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header170.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header172.xml" ContentType="application/vnd.openxmlformats-officedocument.wordprocessingml.header+xml"/>
  <Override PartName="/word/header173.xml" ContentType="application/vnd.openxmlformats-officedocument.wordprocessingml.header+xml"/>
  <Override PartName="/word/footer172.xml" ContentType="application/vnd.openxmlformats-officedocument.wordprocessingml.footer+xml"/>
  <Override PartName="/word/footer173.xml" ContentType="application/vnd.openxmlformats-officedocument.wordprocessingml.footer+xml"/>
  <Override PartName="/word/header174.xml" ContentType="application/vnd.openxmlformats-officedocument.wordprocessingml.header+xml"/>
  <Override PartName="/word/footer174.xml" ContentType="application/vnd.openxmlformats-officedocument.wordprocessingml.footer+xml"/>
  <Override PartName="/word/header175.xml" ContentType="application/vnd.openxmlformats-officedocument.wordprocessingml.header+xml"/>
  <Override PartName="/word/header176.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77.xml" ContentType="application/vnd.openxmlformats-officedocument.wordprocessingml.header+xml"/>
  <Override PartName="/word/footer177.xml" ContentType="application/vnd.openxmlformats-officedocument.wordprocessingml.footer+xml"/>
  <Override PartName="/word/header178.xml" ContentType="application/vnd.openxmlformats-officedocument.wordprocessingml.header+xml"/>
  <Override PartName="/word/header179.xml" ContentType="application/vnd.openxmlformats-officedocument.wordprocessingml.header+xml"/>
  <Override PartName="/word/footer178.xml" ContentType="application/vnd.openxmlformats-officedocument.wordprocessingml.footer+xml"/>
  <Override PartName="/word/footer179.xml" ContentType="application/vnd.openxmlformats-officedocument.wordprocessingml.footer+xml"/>
  <Override PartName="/word/header180.xml" ContentType="application/vnd.openxmlformats-officedocument.wordprocessingml.header+xml"/>
  <Override PartName="/word/footer180.xml" ContentType="application/vnd.openxmlformats-officedocument.wordprocessingml.footer+xml"/>
  <Override PartName="/word/header181.xml" ContentType="application/vnd.openxmlformats-officedocument.wordprocessingml.header+xml"/>
  <Override PartName="/word/header182.xml" ContentType="application/vnd.openxmlformats-officedocument.wordprocessingml.header+xml"/>
  <Override PartName="/word/footer181.xml" ContentType="application/vnd.openxmlformats-officedocument.wordprocessingml.footer+xml"/>
  <Override PartName="/word/footer182.xml" ContentType="application/vnd.openxmlformats-officedocument.wordprocessingml.footer+xml"/>
  <Override PartName="/word/header183.xml" ContentType="application/vnd.openxmlformats-officedocument.wordprocessingml.header+xml"/>
  <Override PartName="/word/footer183.xml" ContentType="application/vnd.openxmlformats-officedocument.wordprocessingml.footer+xml"/>
  <Override PartName="/word/header184.xml" ContentType="application/vnd.openxmlformats-officedocument.wordprocessingml.header+xml"/>
  <Override PartName="/word/header185.xml" ContentType="application/vnd.openxmlformats-officedocument.wordprocessingml.header+xml"/>
  <Override PartName="/word/footer184.xml" ContentType="application/vnd.openxmlformats-officedocument.wordprocessingml.footer+xml"/>
  <Override PartName="/word/footer185.xml" ContentType="application/vnd.openxmlformats-officedocument.wordprocessingml.footer+xml"/>
  <Override PartName="/word/header186.xml" ContentType="application/vnd.openxmlformats-officedocument.wordprocessingml.header+xml"/>
  <Override PartName="/word/footer186.xml" ContentType="application/vnd.openxmlformats-officedocument.wordprocessingml.footer+xml"/>
  <Override PartName="/word/header187.xml" ContentType="application/vnd.openxmlformats-officedocument.wordprocessingml.header+xml"/>
  <Override PartName="/word/header188.xml" ContentType="application/vnd.openxmlformats-officedocument.wordprocessingml.header+xml"/>
  <Override PartName="/word/footer187.xml" ContentType="application/vnd.openxmlformats-officedocument.wordprocessingml.footer+xml"/>
  <Override PartName="/word/footer188.xml" ContentType="application/vnd.openxmlformats-officedocument.wordprocessingml.footer+xml"/>
  <Override PartName="/word/header189.xml" ContentType="application/vnd.openxmlformats-officedocument.wordprocessingml.header+xml"/>
  <Override PartName="/word/footer189.xml" ContentType="application/vnd.openxmlformats-officedocument.wordprocessingml.footer+xml"/>
  <Override PartName="/word/header190.xml" ContentType="application/vnd.openxmlformats-officedocument.wordprocessingml.header+xml"/>
  <Override PartName="/word/header191.xml" ContentType="application/vnd.openxmlformats-officedocument.wordprocessingml.header+xml"/>
  <Override PartName="/word/footer190.xml" ContentType="application/vnd.openxmlformats-officedocument.wordprocessingml.footer+xml"/>
  <Override PartName="/word/footer191.xml" ContentType="application/vnd.openxmlformats-officedocument.wordprocessingml.footer+xml"/>
  <Override PartName="/word/header192.xml" ContentType="application/vnd.openxmlformats-officedocument.wordprocessingml.header+xml"/>
  <Override PartName="/word/footer192.xml" ContentType="application/vnd.openxmlformats-officedocument.wordprocessingml.footer+xml"/>
  <Override PartName="/word/header193.xml" ContentType="application/vnd.openxmlformats-officedocument.wordprocessingml.header+xml"/>
  <Override PartName="/word/header194.xml" ContentType="application/vnd.openxmlformats-officedocument.wordprocessingml.header+xml"/>
  <Override PartName="/word/footer193.xml" ContentType="application/vnd.openxmlformats-officedocument.wordprocessingml.footer+xml"/>
  <Override PartName="/word/footer194.xml" ContentType="application/vnd.openxmlformats-officedocument.wordprocessingml.footer+xml"/>
  <Override PartName="/word/header195.xml" ContentType="application/vnd.openxmlformats-officedocument.wordprocessingml.header+xml"/>
  <Override PartName="/word/footer195.xml" ContentType="application/vnd.openxmlformats-officedocument.wordprocessingml.footer+xml"/>
  <Override PartName="/word/header196.xml" ContentType="application/vnd.openxmlformats-officedocument.wordprocessingml.header+xml"/>
  <Override PartName="/word/header197.xml" ContentType="application/vnd.openxmlformats-officedocument.wordprocessingml.header+xml"/>
  <Override PartName="/word/footer196.xml" ContentType="application/vnd.openxmlformats-officedocument.wordprocessingml.footer+xml"/>
  <Override PartName="/word/footer197.xml" ContentType="application/vnd.openxmlformats-officedocument.wordprocessingml.footer+xml"/>
  <Override PartName="/word/header198.xml" ContentType="application/vnd.openxmlformats-officedocument.wordprocessingml.header+xml"/>
  <Override PartName="/word/footer198.xml" ContentType="application/vnd.openxmlformats-officedocument.wordprocessingml.footer+xml"/>
  <Override PartName="/word/header199.xml" ContentType="application/vnd.openxmlformats-officedocument.wordprocessingml.header+xml"/>
  <Override PartName="/word/header200.xml" ContentType="application/vnd.openxmlformats-officedocument.wordprocessingml.header+xml"/>
  <Override PartName="/word/footer199.xml" ContentType="application/vnd.openxmlformats-officedocument.wordprocessingml.footer+xml"/>
  <Override PartName="/word/footer200.xml" ContentType="application/vnd.openxmlformats-officedocument.wordprocessingml.footer+xml"/>
  <Override PartName="/word/header201.xml" ContentType="application/vnd.openxmlformats-officedocument.wordprocessingml.header+xml"/>
  <Override PartName="/word/footer201.xml" ContentType="application/vnd.openxmlformats-officedocument.wordprocessingml.footer+xml"/>
  <Override PartName="/word/header202.xml" ContentType="application/vnd.openxmlformats-officedocument.wordprocessingml.header+xml"/>
  <Override PartName="/word/header203.xml" ContentType="application/vnd.openxmlformats-officedocument.wordprocessingml.header+xml"/>
  <Override PartName="/word/footer202.xml" ContentType="application/vnd.openxmlformats-officedocument.wordprocessingml.footer+xml"/>
  <Override PartName="/word/footer203.xml" ContentType="application/vnd.openxmlformats-officedocument.wordprocessingml.footer+xml"/>
  <Override PartName="/word/header204.xml" ContentType="application/vnd.openxmlformats-officedocument.wordprocessingml.header+xml"/>
  <Override PartName="/word/footer204.xml" ContentType="application/vnd.openxmlformats-officedocument.wordprocessingml.footer+xml"/>
  <Override PartName="/word/header205.xml" ContentType="application/vnd.openxmlformats-officedocument.wordprocessingml.header+xml"/>
  <Override PartName="/word/header206.xml" ContentType="application/vnd.openxmlformats-officedocument.wordprocessingml.header+xml"/>
  <Override PartName="/word/footer205.xml" ContentType="application/vnd.openxmlformats-officedocument.wordprocessingml.footer+xml"/>
  <Override PartName="/word/footer206.xml" ContentType="application/vnd.openxmlformats-officedocument.wordprocessingml.footer+xml"/>
  <Override PartName="/word/header207.xml" ContentType="application/vnd.openxmlformats-officedocument.wordprocessingml.header+xml"/>
  <Override PartName="/word/footer207.xml" ContentType="application/vnd.openxmlformats-officedocument.wordprocessingml.footer+xml"/>
  <Override PartName="/word/header208.xml" ContentType="application/vnd.openxmlformats-officedocument.wordprocessingml.header+xml"/>
  <Override PartName="/word/header209.xml" ContentType="application/vnd.openxmlformats-officedocument.wordprocessingml.header+xml"/>
  <Override PartName="/word/footer208.xml" ContentType="application/vnd.openxmlformats-officedocument.wordprocessingml.footer+xml"/>
  <Override PartName="/word/footer209.xml" ContentType="application/vnd.openxmlformats-officedocument.wordprocessingml.footer+xml"/>
  <Override PartName="/word/header210.xml" ContentType="application/vnd.openxmlformats-officedocument.wordprocessingml.header+xml"/>
  <Override PartName="/word/footer210.xml" ContentType="application/vnd.openxmlformats-officedocument.wordprocessingml.footer+xml"/>
  <Override PartName="/word/header211.xml" ContentType="application/vnd.openxmlformats-officedocument.wordprocessingml.header+xml"/>
  <Override PartName="/word/header212.xml" ContentType="application/vnd.openxmlformats-officedocument.wordprocessingml.header+xml"/>
  <Override PartName="/word/footer211.xml" ContentType="application/vnd.openxmlformats-officedocument.wordprocessingml.footer+xml"/>
  <Override PartName="/word/footer212.xml" ContentType="application/vnd.openxmlformats-officedocument.wordprocessingml.footer+xml"/>
  <Override PartName="/word/header213.xml" ContentType="application/vnd.openxmlformats-officedocument.wordprocessingml.header+xml"/>
  <Override PartName="/word/footer2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A1158" w14:textId="0FFCC76A" w:rsidR="004C6421" w:rsidRDefault="00863339" w:rsidP="00863339">
      <w:pPr>
        <w:pStyle w:val="Pagedecouverture"/>
        <w:rPr>
          <w:noProof/>
        </w:rPr>
      </w:pPr>
      <w:bookmarkStart w:id="0" w:name="LW_BM_COVERPAGE"/>
      <w:r>
        <w:rPr>
          <w:noProof/>
        </w:rPr>
        <w:pict w14:anchorId="61B029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F90BCD9B-5B81-486F-B44A-647A4539B5D4" style="width:455.25pt;height:396.75pt">
            <v:imagedata r:id="rId11" o:title=""/>
          </v:shape>
        </w:pict>
      </w:r>
    </w:p>
    <w:bookmarkEnd w:id="0"/>
    <w:p w14:paraId="022EA416" w14:textId="77777777" w:rsidR="004C6421" w:rsidRDefault="004C6421">
      <w:pPr>
        <w:rPr>
          <w:noProof/>
        </w:rPr>
        <w:sectPr w:rsidR="004C6421" w:rsidSect="00863339">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3C731D5" w14:textId="280923AB" w:rsidR="004C6421" w:rsidRDefault="009D1962">
      <w:pPr>
        <w:pStyle w:val="P68B1DB1-Heading11"/>
        <w:numPr>
          <w:ilvl w:val="0"/>
          <w:numId w:val="0"/>
        </w:numPr>
        <w:jc w:val="center"/>
        <w:rPr>
          <w:noProof/>
        </w:rPr>
      </w:pPr>
      <w:bookmarkStart w:id="1" w:name="_GoBack"/>
      <w:bookmarkEnd w:id="1"/>
      <w:r>
        <w:rPr>
          <w:noProof/>
        </w:rPr>
        <w:lastRenderedPageBreak/>
        <w:t>ZAŁĄCZNIK</w:t>
      </w:r>
    </w:p>
    <w:p w14:paraId="1BCF8F60" w14:textId="77777777" w:rsidR="004C6421" w:rsidRDefault="009D1962">
      <w:pPr>
        <w:pStyle w:val="Heading1"/>
        <w:rPr>
          <w:noProof/>
        </w:rPr>
      </w:pPr>
      <w:r>
        <w:rPr>
          <w:noProof/>
        </w:rPr>
        <w:t xml:space="preserve">Opis reform i inwestycji </w:t>
      </w:r>
    </w:p>
    <w:p w14:paraId="04BC04EF" w14:textId="77777777" w:rsidR="004C6421" w:rsidRDefault="009D1962">
      <w:pPr>
        <w:pStyle w:val="Heading2"/>
        <w:numPr>
          <w:ilvl w:val="0"/>
          <w:numId w:val="108"/>
        </w:numPr>
        <w:rPr>
          <w:noProof/>
        </w:rPr>
      </w:pPr>
      <w:r>
        <w:rPr>
          <w:noProof/>
        </w:rPr>
        <w:t>ZADANIE 1 – KOMPONENT 1:</w:t>
      </w:r>
    </w:p>
    <w:p w14:paraId="3C15FAFF" w14:textId="77777777" w:rsidR="004C6421" w:rsidRDefault="009D1962">
      <w:pPr>
        <w:pStyle w:val="Descriptiontitle"/>
        <w:ind w:left="0"/>
        <w:rPr>
          <w:rFonts w:eastAsiaTheme="minorEastAsia"/>
          <w:noProof/>
        </w:rPr>
      </w:pPr>
      <w:r>
        <w:rPr>
          <w:b/>
          <w:noProof/>
        </w:rPr>
        <w:t>Oś 1 – Cyfryzacja administracji publicznej</w:t>
      </w:r>
      <w:r>
        <w:rPr>
          <w:noProof/>
        </w:rPr>
        <w:t>: Oś 1 komponentu M1C1 włoskiego planu odbudowy i zwiększania odporności zawiera środki mające na celu wspieranie cyfryzacji włoskiej administracji publicznej i obejmuje siedem inwestycji i trzy reformy. Inwestycje mają w szczególności na celu: racjonalizację i konsolidację istniejącej infrastruktury cyfrowej administracji publicznej; (II) sprzyjanie upowszechnianiu chmury obliczeniowej, (iii) ze szczególnym uwzględnieniem harmonizacji i interoperacyjności platform i usług w zakresie danych, wdrażania zasady jednorazowości oraz dostępności danych za pośrednictwem katalogu interfejsów programowania aplikacji (API); (IV) poprawa dostępności, wydajności i dostępności wszystkich cyfrowych usług publicznych w celu zwiększenia poziomu przyjęcia i zadowolenia użytkowników, (v) wzmocnienie obrony Włoch przed zagrożeniami związanymi z cyberprzestępczością, (vi) wspieranie transformacji cyfrowej dużych administracji centralnych; (VII) rozwiązanie problemu przepaści cyfrowej poprzez wzmocnienie umiejętności cyfrowych obywateli. Reformy w ramach tej osi mają w szczególności na celu (i) usprawnienie i przyspieszenie procesu udzielania zamówień publicznych na rozwiązania w zakresie technologii informacyjno-komunikacyjnych (ICT) przez administrację publiczną; (II) wspieranie transformacji cyfrowej administracji publicznej oraz (iii) usuwanie przeszkód w przyjmowaniu chmury obliczeniowej przez administracje publiczne oraz usprawnienie procesów wymiany danych między administracjami publicznymi.</w:t>
      </w:r>
    </w:p>
    <w:p w14:paraId="324AEEFD" w14:textId="77777777" w:rsidR="004C6421" w:rsidRDefault="009D1962">
      <w:pPr>
        <w:pStyle w:val="Descriptiontitle"/>
        <w:ind w:left="0"/>
        <w:rPr>
          <w:rFonts w:eastAsiaTheme="minorEastAsia"/>
          <w:noProof/>
        </w:rPr>
      </w:pPr>
      <w:r>
        <w:rPr>
          <w:noProof/>
        </w:rPr>
        <w:t>Inwestycje i reformy w ramach tego komponentu przyczyniają się do realizacji zaleceń krajowych skierowanych do Włoch w latach 2020 i 2019 dotyczących potrzeby „poprawy skuteczności administracji publicznej, w tym poprzez inwestowanie w umiejętności pracowników sektora publicznego, przyspieszenie cyfryzacji oraz zwiększenie efektywności i jakości lokalnych usług publicznych” (zalecenie krajowe nr 3, 2019) oraz „koncentrowanie inwestycji na zielonej i cyfrowej transformacji, w szczególności na [...] wzmocnioną infrastrukturę cyfrową w celu zapewnienia świadczenia podstawowych usług” (zalecenie dla poszczególnych krajów nr 3, 2020).</w:t>
      </w:r>
    </w:p>
    <w:p w14:paraId="7FBF3E64" w14:textId="77777777" w:rsidR="004C6421" w:rsidRDefault="009D1962">
      <w:pPr>
        <w:pStyle w:val="Descriptiontitle"/>
        <w:ind w:left="0"/>
        <w:rPr>
          <w:rFonts w:eastAsiaTheme="minorEastAsia"/>
          <w:noProof/>
        </w:rPr>
      </w:pPr>
      <w:r>
        <w:rPr>
          <w:b/>
          <w:noProof/>
        </w:rPr>
        <w:t>Oś 2 – Wymiar sprawiedliwości</w:t>
      </w:r>
      <w:r>
        <w:rPr>
          <w:noProof/>
        </w:rPr>
        <w:t>: Wyniki włoskiego systemu wymiaru sprawiedliwości są nadal dalekie od wyników innych państw członkowskich pod względem czasu trwania postępowań, jak przedstawiono w ostatnim sprawozdaniu Komisji Europejskiej na temat skuteczności wymiaru sprawiedliwości (CEPEJ). Oś 2 komponentu M1C1 planu odbudowy i zwiększania odporności zawiera środki mające na celu zwiększenie skuteczności systemu sądownictwa poprzez skrócenie czasu trwania postępowań i zbliżenie Włoch do unijnej mediany. Komponent ten jest odpowiedzią na zalecenia skierowane do Włoch w latach 2020 i 2019 w sprawie skrócenia czasu trwania procesów cywilnych oraz poprawy skuteczności walki z korupcją (zalecenia dla poszczególnych krajów nr 4, 2019 i 4, 2020). Ponadto cyfryzacja systemu wymiaru sprawiedliwości ma również znaczenie dla transformacji cyfrowej.</w:t>
      </w:r>
    </w:p>
    <w:p w14:paraId="66C98467" w14:textId="77777777" w:rsidR="004C6421" w:rsidRDefault="009D1962">
      <w:pPr>
        <w:pStyle w:val="Descriptiontitle"/>
        <w:ind w:left="0"/>
        <w:rPr>
          <w:rFonts w:eastAsiaTheme="minorEastAsia"/>
          <w:noProof/>
        </w:rPr>
      </w:pPr>
      <w:r>
        <w:rPr>
          <w:b/>
          <w:noProof/>
        </w:rPr>
        <w:t>Oś 3 – Administracja publiczna</w:t>
      </w:r>
      <w:r>
        <w:rPr>
          <w:noProof/>
        </w:rPr>
        <w:t>: Oś 3 komponentu M1C1 planu odbudowy i zwiększania odporności zawiera środki mające na celu reformę włoskiej administracji publicznej i poprawę zdolności administracyjnych. Włochy plasują się poniżej średniej dla UE-27 zarówno pod względem skuteczności sektora instytucji rządowych i samorządowych, jak i zaufania do rządu. Na reformy włoskiej administracji publicznej wpłynęła poważna luka we wdrażaniu reform odgórnych oraz ograniczone uznawanie i rozpowszechnianie cennych oddolnych innowacji. Zdolności administracyjne są bardzo niskie. Należy kontynuować wysiłki na rzecz wzmocnienia zdolności planowania strategicznego, mechanizmów monitorowania i oceny oraz opartych na dowodach instrumentów kształtowania polityki. Głównym celem tego komponentu jest zwiększenie zdolności administracyjnych włoskiej administracji publicznej na szczeblu centralnym i lokalnym, zarówno pod względem kapitału ludzkiego (wybór, kompetencje i kariera zawodowa), jak i uproszczenia procedur administracyjnych. W niniejszej sekcji przedstawiono nadrzędną strukturalną strategię w zakresie zasobów ludzkich, począwszy od procesu selekcji po ścieżki kariery. Reforma obejmuje również działania mające na celu uproszczenie procedur. Inwestycje w nowe zestawy narzędzi cyfrowych i wzmocnione działania w zakresie uczenia się przez całe życie uwzględniono w komponencie 1 misji 1. Komponent ten jest odpowiedzią na zalecenia skierowane do Włoch w latach 2020 i 2019 w sprawie poprawy skuteczności administracji publicznej (zalecenie dla poszczególnych krajów nr 3, 2019 i zalecenie krajowe nr 4, 2020).</w:t>
      </w:r>
    </w:p>
    <w:p w14:paraId="5BE949D8" w14:textId="77777777" w:rsidR="004C6421" w:rsidRDefault="009D1962">
      <w:pPr>
        <w:pStyle w:val="Descriptiontitle"/>
        <w:ind w:left="0"/>
        <w:rPr>
          <w:rFonts w:eastAsiaTheme="minorHAnsi"/>
          <w:noProof/>
        </w:rPr>
      </w:pPr>
      <w:r>
        <w:rPr>
          <w:b/>
          <w:noProof/>
        </w:rPr>
        <w:t>Oś 4 – Zamówienia publiczne i płatności dokonywane przez administrację</w:t>
      </w:r>
      <w:r>
        <w:rPr>
          <w:noProof/>
        </w:rPr>
        <w:t>: Oś 4 komponentu M1C1 planu odbudowy i zwiększania odporności zawiera środki mające na celu zreformowanie niektórych kluczowych aspektów włoskich ram prawnych dotyczących zamówień publicznych oraz zmniejszenie opóźnień w płatnościach ze strony administracji publicznej na szczeblu centralnym, regionalnym i lokalnym, a także regionalnych organów ds. zdrowia. Głównym celem reformy jest uproszczenie przepisów dotyczących zamówień publicznych, zwiększenie pewności prawa dla przedsiębiorstw i przyspieszenie udzielania zamówień publicznych przy jednoczesnym zachowaniu gwarancji proceduralnych w zakresie przejrzystości i równego traktowania. Reformy te wspierają zatem terminową realizację infrastruktury i projektów finansowanych w ramach planu.</w:t>
      </w:r>
    </w:p>
    <w:p w14:paraId="1FC2C8ED" w14:textId="77777777" w:rsidR="004C6421" w:rsidRDefault="009D1962">
      <w:pPr>
        <w:pStyle w:val="Descriptiontitle"/>
        <w:ind w:left="0"/>
        <w:rPr>
          <w:rFonts w:eastAsiaTheme="minorHAnsi"/>
          <w:noProof/>
        </w:rPr>
      </w:pPr>
      <w:r>
        <w:rPr>
          <w:b/>
          <w:noProof/>
        </w:rPr>
        <w:t>Oś 5 – Reformy fiskalno-strukturalne (opodatkowanie i wydatki publiczne)</w:t>
      </w:r>
      <w:r>
        <w:rPr>
          <w:noProof/>
        </w:rPr>
        <w:t>: Oś 5 komponentu M1C1 odbudowy i zwiększania odporności obejmuje szereg reform mających na celu wsparcie stabilności finansów publicznych Włoch (zalecenie krajowe nr 1 z 2019 r.). Po stronie dochodów reformy mają na celu usprawnienie procesu poboru podatków, zachęcanie do przestrzegania przepisów podatkowych i zwalczanie uchylania się od opodatkowania, aby zmniejszyć koszty przestrzegania przepisów ponoszone przez podatników i zwiększyć dochody sektora instytucji rządowych i samorządowych, przyczyniając się do poprawy stabilności finansów publicznych. Po stronie wydatków reformy mają na celu poprawę efektywności wydatków publicznych, zarówno na szczeblu centralnym, poprzez wzmocnienie istniejących ram rocznych przeglądów wydatków, jak i na szczeblu niższym niż krajowy poprzez zakończenie reformy stosunków budżetowych na różnych szczeblach sprawowania rządów.</w:t>
      </w:r>
    </w:p>
    <w:p w14:paraId="0EA2DD54" w14:textId="77777777" w:rsidR="004C6421" w:rsidRDefault="009D1962">
      <w:pPr>
        <w:pStyle w:val="Heading3"/>
        <w:numPr>
          <w:ilvl w:val="0"/>
          <w:numId w:val="0"/>
        </w:numPr>
        <w:ind w:left="850" w:hanging="850"/>
        <w:rPr>
          <w:b/>
          <w:i w:val="0"/>
          <w:noProof/>
          <w:u w:val="single"/>
        </w:rPr>
      </w:pPr>
      <w:r>
        <w:rPr>
          <w:b/>
          <w:i w:val="0"/>
          <w:noProof/>
          <w:u w:val="single"/>
        </w:rPr>
        <w:t xml:space="preserve">A.1. </w:t>
      </w:r>
      <w:r>
        <w:rPr>
          <w:noProof/>
        </w:rPr>
        <w:t xml:space="preserve"> </w:t>
      </w:r>
      <w:r>
        <w:rPr>
          <w:b/>
          <w:i w:val="0"/>
          <w:noProof/>
          <w:u w:val="single"/>
        </w:rPr>
        <w:t>Opis reform i inwestycji, które mają być finansowane z bezzwrotnego wsparcia finansowego</w:t>
      </w:r>
    </w:p>
    <w:p w14:paraId="19119FF5" w14:textId="77777777" w:rsidR="004C6421" w:rsidRDefault="009D1962">
      <w:pPr>
        <w:pStyle w:val="Axistitle"/>
        <w:ind w:left="0"/>
        <w:rPr>
          <w:noProof/>
        </w:rPr>
      </w:pPr>
      <w:r>
        <w:rPr>
          <w:noProof/>
        </w:rPr>
        <w:t>Oś 1 – Cyfryzacja administracji publicznej</w:t>
      </w:r>
    </w:p>
    <w:p w14:paraId="54323592" w14:textId="77777777" w:rsidR="004C6421" w:rsidRDefault="009D1962">
      <w:pPr>
        <w:pStyle w:val="P68B1DB1-Normal2"/>
        <w:spacing w:before="240" w:after="120"/>
        <w:jc w:val="both"/>
        <w:rPr>
          <w:rFonts w:eastAsiaTheme="minorHAnsi"/>
          <w:noProof/>
        </w:rPr>
      </w:pPr>
      <w:r>
        <w:rPr>
          <w:noProof/>
        </w:rPr>
        <w:t>Inwestycje 1.1 – Infrastruktura cyfrowa</w:t>
      </w:r>
    </w:p>
    <w:p w14:paraId="253E0B64" w14:textId="77777777" w:rsidR="004C6421" w:rsidRDefault="009D1962">
      <w:pPr>
        <w:pStyle w:val="Descriptiontitle"/>
        <w:ind w:left="0"/>
        <w:rPr>
          <w:noProof/>
        </w:rPr>
      </w:pPr>
      <w:r>
        <w:rPr>
          <w:noProof/>
        </w:rPr>
        <w:t>Celem tej inwestycji jest zapewnienie, aby systemy, zbiory danych i aplikacje administracji publicznej były przechowywane w wysoce wiarygodnych centrach danych o wysokich standardach jakości w zakresie bezpieczeństwa, wydajności, skalowalności, interoperacyjności i efektywności energetycznej w Europie. W tym celu inwestycja przewiduje utworzenie najnowocześniejszej, w pełni uwolnionej krajowej infrastruktury hybrydowej opartej na chmurze obliczeniowej (zwanej „Polo Strategico Nazionale”, PSN), certyfikację bezpiecznych i skalowalnych rozwiązań alternatywnych w chmurze publicznej oraz migrację zbiorów danych i zastosowań administracji publicznej do środowiska chmury obliczeniowej.</w:t>
      </w:r>
    </w:p>
    <w:p w14:paraId="5847BDA3" w14:textId="77777777" w:rsidR="004C6421" w:rsidRDefault="009D1962">
      <w:pPr>
        <w:pStyle w:val="Descriptiontitle"/>
        <w:ind w:left="0"/>
        <w:rPr>
          <w:noProof/>
        </w:rPr>
      </w:pPr>
      <w:r>
        <w:rPr>
          <w:noProof/>
        </w:rPr>
        <w:t>Oczekuje się, że infrastruktura PSN będzie obsługiwana przez dostawcę technologii wybranego w drodze europejskiego przetargu i zostanie zaprojektowana zgodnie ze standardami interoperacyjności danych określonymi na szczeblu europejskim zgodnie z inicjatywą Gaia-X, aby umożliwić swobodną wymianę danych nieosobowych między poszczególnymi państwami członkowskimi dzięki połączeniu ich krajowych modeli chmury obliczeniowej. Oczekuje się, że podobne wymogi zostaną przyjęte w ramach wstępnej kwalifikacji publicznych dostawców usług w chmurze.</w:t>
      </w:r>
    </w:p>
    <w:p w14:paraId="53430CE7" w14:textId="77777777" w:rsidR="004C6421" w:rsidRDefault="009D1962">
      <w:pPr>
        <w:pStyle w:val="Descriptiontitle"/>
        <w:ind w:left="0"/>
        <w:rPr>
          <w:noProof/>
        </w:rPr>
      </w:pPr>
      <w:r>
        <w:rPr>
          <w:noProof/>
        </w:rPr>
        <w:t>Oczekuje się, że migracja zbiorów danych i aplikacji administracji publicznej do PSN lub do bezpiecznych certyfikowanych publicznych dostawców usług w chmurze będzie zależeć od wymogów dotyczących wydajności, skalowalności i wrażliwości danych określonych przez poszczególne administracje, z których każda ma zachować niezależność w opracowywaniu aplikacji i zarządzaniu danymi.</w:t>
      </w:r>
    </w:p>
    <w:p w14:paraId="4E52C8F7" w14:textId="77777777" w:rsidR="004C6421" w:rsidRDefault="009D1962">
      <w:pPr>
        <w:pStyle w:val="P68B1DB1-Normal2"/>
        <w:spacing w:before="240" w:after="120"/>
        <w:jc w:val="both"/>
        <w:rPr>
          <w:rFonts w:eastAsiaTheme="minorHAnsi"/>
          <w:noProof/>
        </w:rPr>
      </w:pPr>
      <w:r>
        <w:rPr>
          <w:noProof/>
        </w:rPr>
        <w:t>Inwestycje 1.3 – Dane i interoperacyjność</w:t>
      </w:r>
    </w:p>
    <w:p w14:paraId="58F49DC5" w14:textId="77777777" w:rsidR="004C6421" w:rsidRDefault="009D1962">
      <w:pPr>
        <w:pStyle w:val="Descriptiontitle"/>
        <w:ind w:left="0"/>
        <w:rPr>
          <w:noProof/>
        </w:rPr>
      </w:pPr>
      <w:r>
        <w:rPr>
          <w:noProof/>
        </w:rPr>
        <w:t>Celem tej inwestycji jest zapewnienie pełnej interoperacyjności kluczowych zbiorów danych i usług w centralnych i lokalnych administracjach publicznych.</w:t>
      </w:r>
    </w:p>
    <w:p w14:paraId="3B5579F0" w14:textId="77777777" w:rsidR="004C6421" w:rsidRDefault="009D1962">
      <w:pPr>
        <w:pStyle w:val="Descriptiontitle"/>
        <w:ind w:left="0"/>
        <w:rPr>
          <w:noProof/>
        </w:rPr>
      </w:pPr>
      <w:r>
        <w:rPr>
          <w:noProof/>
        </w:rPr>
        <w:t>Środek przewiduje opracowanie krajowej platformy danych cyfrowych („Piattaforma Digitale Nazionale Dati”), która zagwarantuje interoperacyjność zbiorów danych za pośrednictwem katalogu interfejsów programowania aplikacji (API) udostępnianych administracjom centralnym i lokalnym (inwestycja 1.3.1). Po zbudowaniu platforma ta gwarantuje interoperacyjność zbiorów danych za pośrednictwem katalogu interfejsów programowania aplikacji (API) udostępnianych administracjom centralnym i lokalnym. Platforma musi być w pełni zgodna z prawem UE.</w:t>
      </w:r>
    </w:p>
    <w:p w14:paraId="5933D131" w14:textId="77777777" w:rsidR="004C6421" w:rsidRDefault="009D1962">
      <w:pPr>
        <w:pStyle w:val="Descriptiontitle"/>
        <w:ind w:left="0"/>
        <w:rPr>
          <w:noProof/>
        </w:rPr>
      </w:pPr>
      <w:r>
        <w:rPr>
          <w:noProof/>
        </w:rPr>
        <w:t>Ponadto w ramach środka ustanawia się „jednolity portal cyfrowy” zgodnie z rozporządzeniem (UE) 2018/1724), który ma pomóc administracji centralnej i administracji publicznej w restrukturyzacji priorytetowych procedur oraz umożliwić spełnienie zasady jednorazowości (inwestycja 1.3.2).</w:t>
      </w:r>
    </w:p>
    <w:p w14:paraId="33ED18F2" w14:textId="77777777" w:rsidR="004C6421" w:rsidRDefault="009D1962">
      <w:pPr>
        <w:pStyle w:val="P68B1DB1-Normal2"/>
        <w:spacing w:before="240" w:after="120"/>
        <w:jc w:val="both"/>
        <w:rPr>
          <w:rFonts w:eastAsiaTheme="minorHAnsi"/>
          <w:noProof/>
        </w:rPr>
      </w:pPr>
      <w:r>
        <w:rPr>
          <w:noProof/>
        </w:rPr>
        <w:t>Inwestycje 1.5 – Cyberbezpieczeństwo</w:t>
      </w:r>
    </w:p>
    <w:p w14:paraId="29E2D515" w14:textId="77777777" w:rsidR="004C6421" w:rsidRDefault="009D1962">
      <w:pPr>
        <w:pStyle w:val="Descriptiontitle"/>
        <w:ind w:left="0"/>
        <w:rPr>
          <w:noProof/>
        </w:rPr>
      </w:pPr>
      <w:r>
        <w:rPr>
          <w:noProof/>
        </w:rPr>
        <w:t>Celem tej inwestycji jest wzmocnienie ochrony Włoch przed zagrożeniami związanymi z cyberprzestępczością, w szczególności poprzez wdrożenie „krajowego obszaru cyberbezpieczeństwa” zgodnie z wymogami bezpieczeństwa określonymi w dyrektywie (UE) 2016/1148 w sprawie bezpieczeństwa sieci i systemów informatycznych (dyrektywa w sprawie bezpieczeństwa sieci i informacji) oraz poprzez wzmocnienie krajowych zdolności w zakresie cyberobrony w zakresie inspekcji technicznych i monitorowania ryzyka.</w:t>
      </w:r>
    </w:p>
    <w:p w14:paraId="7E153FF2" w14:textId="77777777" w:rsidR="004C6421" w:rsidRDefault="009D1962">
      <w:pPr>
        <w:pStyle w:val="Descriptiontitle"/>
        <w:ind w:left="0"/>
        <w:rPr>
          <w:noProof/>
        </w:rPr>
      </w:pPr>
      <w:r>
        <w:rPr>
          <w:noProof/>
        </w:rPr>
        <w:t>Środek przewiduje opracowanie najnowocześniejszego, zintegrowanego systemu, ściśle łączącego różne podmioty w całym kraju oraz łączącego się na arenie międzynarodowej z partnerami i zaufanymi dostawcami technologii. Składa się to z czterech filarów: wzmocnienie zdolności pierwszej linii wobec społeczeństwa i przedsiębiorstw/podmiotów w zakresie zarządzania ostrzeżeniami i rzeczywistymi publicznie uznawanymi wydarzeniami; (II) zbudowanie/wzmocnienie zdolności danego kraju w zakresie kontroli i audytu sprzętu i oprogramowania wykorzystywanego przez podmioty pełniące podstawowe funkcje w celu poświadczenia wiarygodności/zagrożeń zapobiegających; (III) zasilanie jednostek ścigania i jednostek ds. cyberprzestrzeni w ramach sił policyjnych odpowiedzialnych za prowadzenie dochodzeń w sprawie działalności przestępczej; znaczne wzmocnienie zasobów cyfrowych i zasobów ludzkich odpowiedzialnych za bezpieczeństwo narodowe i reagowanie na cyberzagrożenia.</w:t>
      </w:r>
    </w:p>
    <w:p w14:paraId="10432565" w14:textId="77777777" w:rsidR="004C6421" w:rsidRDefault="009D1962">
      <w:pPr>
        <w:pStyle w:val="P68B1DB1-Normal2"/>
        <w:spacing w:before="240" w:after="120"/>
        <w:jc w:val="both"/>
        <w:rPr>
          <w:rFonts w:eastAsiaTheme="minorHAnsi"/>
          <w:noProof/>
        </w:rPr>
      </w:pPr>
      <w:r>
        <w:rPr>
          <w:noProof/>
        </w:rPr>
        <w:t>Inwestycje 1.7 – Podstawowe umiejętności cyfrowe</w:t>
      </w:r>
    </w:p>
    <w:p w14:paraId="7AFE5E8B" w14:textId="77777777" w:rsidR="004C6421" w:rsidRDefault="009D1962">
      <w:pPr>
        <w:spacing w:before="120" w:after="120"/>
        <w:jc w:val="both"/>
        <w:rPr>
          <w:noProof/>
        </w:rPr>
      </w:pPr>
      <w:r>
        <w:rPr>
          <w:noProof/>
        </w:rPr>
        <w:t>Celem tej inwestycji jest zmniejszenie odsetka obecnej ludności zagrożonej wykluczeniem cyfrowym poprzez uruchomienie inicjatywy „Cyfrowa służba cywilna” – sieci młodych wolontariuszy z różnych środowisk we Włoszech, aby zapewnić osobom zagrożonym wykluczeniem cyfrowym usługi ułatwiające i edukacyjne na rzecz rozwoju i doskonalenia umiejętności cyfrowych (Inwestycje 1.7.1) oraz poprzez wzmocnienie istniejącej sieci „centrów ułatwień cyfrowych” (Inwestycje 1.7.2).</w:t>
      </w:r>
    </w:p>
    <w:p w14:paraId="0B7DE5F2" w14:textId="77777777" w:rsidR="004C6421" w:rsidRDefault="009D1962">
      <w:pPr>
        <w:spacing w:before="120" w:after="120"/>
        <w:jc w:val="both"/>
        <w:rPr>
          <w:noProof/>
        </w:rPr>
      </w:pPr>
      <w:r>
        <w:rPr>
          <w:noProof/>
        </w:rPr>
        <w:t>Ośrodki ułatwień cyfrowych to fizyczne punkty dostępu, zazwyczaj zlokalizowane w bibliotekach, szkołach i centrach społecznych, które zapewniają obywatelom zarówno osobiste, jak i internetowe szkolenia w zakresie umiejętności cyfrowych w celu skutecznego wspierania ich włączenia cyfrowego. Inicjatywa opiera się na dotychczasowych udanych doświadczeniach i ma na celu zapewnienie powszechnego rozwoju takich ośrodków na szczeblu krajowym. Chociaż 600 centrów jest już aktywnych, ich obecność zostanie dodatkowo wzmocniona poprzez specjalne działania szkoleniowe i nowe wyposażenie, przy czym nadrzędnym celem jest utworzenie 2400 nowych punktów dostępu we Włoszech oraz przeszkolenie ponad 2000000 obywateli zagrożonych wykluczeniem cyfrowym. Z 3000 centów co najmniej 1200 jest skoncentrowane na południu Włoch.</w:t>
      </w:r>
      <w:r>
        <w:rPr>
          <w:noProof/>
          <w:color w:val="2B579A"/>
          <w:shd w:val="clear" w:color="auto" w:fill="E6E6E6"/>
        </w:rPr>
        <w:t xml:space="preserve"> </w:t>
      </w:r>
    </w:p>
    <w:p w14:paraId="77EB3AAB" w14:textId="77777777" w:rsidR="004C6421" w:rsidRDefault="009D1962">
      <w:pPr>
        <w:spacing w:before="120" w:after="120"/>
        <w:jc w:val="both"/>
        <w:rPr>
          <w:noProof/>
        </w:rPr>
      </w:pPr>
      <w:r>
        <w:rPr>
          <w:noProof/>
        </w:rPr>
        <w:t>Inicjatywa „Cyfrowa służba cywilna” jest podzielona na trzy lata i stopniowo ma na celu osiągnięcie następujących rezultatów: realizacja trzech corocznych zaproszeń do składania wniosków dotyczących projektów z zakresu cyfrowej służby cywilnej skierowanych do organizacji nienastawionych na zysk zarejestrowanych w krajowym rejestrze organizacji świadczących powszechną służbę cywilną; (II) budowanie zdolności organizacji nienastawionych na zysk uczestniczących w corocznym zaproszeniu do składania wniosków dotyczących cyfrowej służby cywilnej oraz uruchamianie projektów w zakresie ułatwień cyfrowych i edukacji cyfrowej; (III) szkolenia i doświadczenie w terenie w projektach z zakresu cyfrowej służby cywilnej, liczące co najmniej 8300 wolontariuszy; zapewnienie 700000 inicjatyw w zakresie ułatwień cyfrowych lub edukacji cyfrowej z udziałem obywateli, opracowanych w ramach projektów cyfrowej służby cywilnej, w których pracuje 8300 wolontariuszy.</w:t>
      </w:r>
    </w:p>
    <w:p w14:paraId="1636B673" w14:textId="77777777" w:rsidR="004C6421" w:rsidRDefault="009D1962">
      <w:pPr>
        <w:pStyle w:val="P68B1DB1-Normal2"/>
        <w:spacing w:before="240" w:after="120"/>
        <w:jc w:val="both"/>
        <w:rPr>
          <w:rFonts w:eastAsiaTheme="minorHAnsi"/>
          <w:noProof/>
        </w:rPr>
      </w:pPr>
      <w:r>
        <w:rPr>
          <w:noProof/>
        </w:rPr>
        <w:t>Reforma 1.1 – Zamówienia w dziedzinie ICT</w:t>
      </w:r>
    </w:p>
    <w:p w14:paraId="4C0204DC" w14:textId="77777777" w:rsidR="004C6421" w:rsidRDefault="009D1962">
      <w:pPr>
        <w:spacing w:before="120" w:after="120"/>
        <w:jc w:val="both"/>
        <w:rPr>
          <w:noProof/>
        </w:rPr>
      </w:pPr>
      <w:r>
        <w:rPr>
          <w:noProof/>
        </w:rPr>
        <w:t>Celem tej reformy jest zapewnienie, aby administracja publiczna mogła udzielać zamówień na rozwiązania w zakresie technologii informacyjno-komunikacyjnych (ICT) w bardziej terminowy i skuteczny sposób poprzez usprawnienie i przyspieszenie procedury udzielania zamówień na usługi i aktywa ICT.</w:t>
      </w:r>
    </w:p>
    <w:p w14:paraId="048156C6" w14:textId="77777777" w:rsidR="004C6421" w:rsidRDefault="009D1962">
      <w:pPr>
        <w:spacing w:before="120" w:after="120"/>
        <w:jc w:val="both"/>
        <w:rPr>
          <w:noProof/>
        </w:rPr>
      </w:pPr>
      <w:r>
        <w:rPr>
          <w:noProof/>
        </w:rPr>
        <w:t>Realizacja reformy obejmuje trzy kierunki działań. Po pierwsze, należy utworzyć jedną bazę danych zawierającą białą listę podmiotów gospodarczych upoważnionych do dostarczania towarów i świadczenia usług na rzecz administracji publicznej oraz wprowadzić specjalną infrastrukturę technologiczną umożliwiającą certyfikację dostawców. Po drugie, przyjmuje się uproszczone podejście („szybka ścieżka”) w celu usprawnienia zakupów ICT na potrzeby projektów PNRR. Po trzecie, ustanawia się cyfrową usługę zamówień publicznych w celu (i) objęcia nią wyłącznie certyfikowanych dostawców (wykonawcy mogą w dowolnym momencie złożyć wniosek o certyfikację zgodnie z art. 64 dyrektywy 2014/24/UE); umożliwienie szybkiej identyfikacji dostawców spełniających określoną potrzebę (np. za pomocą konfiguratora); (III) zapewnienie administracjom intuicyjnego doświadczenia użytkowników (np. jasny opis oferowanych usług, ocena porównawcza dostawców). Ta ogólna struktura opiera się na istniejących zdolnościach CONSIP, włoskiego podmiotu państwowego w zakresie zamówień publicznych.</w:t>
      </w:r>
    </w:p>
    <w:p w14:paraId="70EA9E27" w14:textId="77777777" w:rsidR="004C6421" w:rsidRDefault="009D1962">
      <w:pPr>
        <w:pStyle w:val="P68B1DB1-Normal2"/>
        <w:spacing w:before="240" w:after="120"/>
        <w:jc w:val="both"/>
        <w:rPr>
          <w:rFonts w:eastAsiaTheme="minorHAnsi"/>
          <w:noProof/>
        </w:rPr>
      </w:pPr>
      <w:r>
        <w:rPr>
          <w:noProof/>
        </w:rPr>
        <w:t>Reforma 1.2 – Wsparcie transformacji</w:t>
      </w:r>
    </w:p>
    <w:p w14:paraId="73C22F28" w14:textId="77777777" w:rsidR="004C6421" w:rsidRDefault="009D1962">
      <w:pPr>
        <w:spacing w:before="120" w:after="120"/>
        <w:jc w:val="both"/>
        <w:rPr>
          <w:noProof/>
        </w:rPr>
      </w:pPr>
      <w:r>
        <w:rPr>
          <w:noProof/>
        </w:rPr>
        <w:t>Celem tej reformy jest wspieranie transformacji cyfrowej wszystkich centralnych i lokalnych administracji publicznych poprzez utworzenie specjalnego „biura ds. transformacji cyfrowej rolnictwa precyzyjnego”. Biuro transformacyjne składa się z tymczasowej puli zasobów posiadających kompetencje technologiczne, która organizuje i wspiera wysiłki migracyjne oraz scentralizowane negocjacje w sprawie „pakietów” certyfikowanego wsparcia zewnętrznego. Ponadto w ramach środka przewiduje się utworzenie przedsiębiorstwa skoncentrowanego na opracowywaniu oprogramowania i zarządzaniu jego eksploatacją w celu wspierania cyfryzacji administracji centralnej. Biuro transformacji wspiera w szczególności administrację publiczną we wdrażaniu inwestycji 1.1–1.7 objętych tym komponentem, a także wspiera realizację inwestycji i reform w zakresie cyfryzacji opieki zdrowotnej objętych misją 6.</w:t>
      </w:r>
    </w:p>
    <w:p w14:paraId="7B980E6F" w14:textId="77777777" w:rsidR="004C6421" w:rsidRDefault="009D1962">
      <w:pPr>
        <w:pStyle w:val="P68B1DB1-Normal2"/>
        <w:spacing w:before="240" w:after="120"/>
        <w:jc w:val="both"/>
        <w:rPr>
          <w:rFonts w:eastAsiaTheme="minorHAnsi"/>
          <w:noProof/>
        </w:rPr>
      </w:pPr>
      <w:r>
        <w:rPr>
          <w:noProof/>
        </w:rPr>
        <w:t>Reforma 1.3 – Pierwsza chmura obliczeniowa i interoperacyjność</w:t>
      </w:r>
    </w:p>
    <w:p w14:paraId="136EB0BD" w14:textId="77777777" w:rsidR="004C6421" w:rsidRDefault="009D1962">
      <w:pPr>
        <w:spacing w:before="120" w:after="120"/>
        <w:jc w:val="both"/>
        <w:rPr>
          <w:noProof/>
        </w:rPr>
      </w:pPr>
      <w:r>
        <w:rPr>
          <w:noProof/>
        </w:rPr>
        <w:t>Celem tej reformy jest usunięcie przeszkód utrudniających przyjęcie chmury obliczeniowej i usprawnienie biurokracji, która spowalnia procesy wymiany danych między administracjami publicznymi poprzez wprowadzenie zestawu zachęt i obowiązków mających na celu ułatwienie przejścia do chmury obliczeniowej oraz usunięcie ograniczeń proceduralnych utrudniających powszechne przyjmowanie usług cyfrowych.</w:t>
      </w:r>
    </w:p>
    <w:p w14:paraId="187EF23E" w14:textId="77777777" w:rsidR="004C6421" w:rsidRDefault="009D1962">
      <w:pPr>
        <w:spacing w:before="120" w:after="120"/>
        <w:jc w:val="both"/>
        <w:rPr>
          <w:noProof/>
        </w:rPr>
      </w:pPr>
      <w:r>
        <w:rPr>
          <w:noProof/>
        </w:rPr>
        <w:t xml:space="preserve">Reforma obejmuje trzy kierunki działania. Po pierwsze, ponieważ rozwiązania w chmurze napędzają opłacalność wydatków na technologie informacyjno-komunikacyjne (ICT), po uprzednio określonym „okresie karencji” (np. trzy lata po rozpoczęciu transformacji), administracje, które nie zastosowały się do transformacji w chmurze, odnotowują ograniczenie w swoim budżecie wydatków na ICT. </w:t>
      </w:r>
    </w:p>
    <w:p w14:paraId="591FF51C" w14:textId="77777777" w:rsidR="004C6421" w:rsidRDefault="009D1962">
      <w:pPr>
        <w:spacing w:before="120" w:after="120"/>
        <w:jc w:val="both"/>
        <w:rPr>
          <w:noProof/>
        </w:rPr>
      </w:pPr>
      <w:r>
        <w:rPr>
          <w:noProof/>
        </w:rPr>
        <w:t>Po drugie, w ramach zachęt do migracji w chmurze należy dokonać przeglądu obecnych zasad rachunkowości publicznej w odniesieniu do wydatków związanych z usługami w chmurze. Biorąc pod uwagę, że przejście do chmury obliczeniowej wiąże się obecnie z przeniesieniem budżetów z wydatków kapitałowych do wydatków operacyjnych, należy dokonać przeglądu zasad rachunkowości publicznej w odniesieniu do wydatków związanych z usługami w chmurze, aby nie zniechęcać administracji publicznej do migracji w chmurze.</w:t>
      </w:r>
    </w:p>
    <w:p w14:paraId="3A0B230A" w14:textId="77777777" w:rsidR="004C6421" w:rsidRDefault="009D1962">
      <w:pPr>
        <w:spacing w:before="120" w:after="120"/>
        <w:jc w:val="both"/>
        <w:rPr>
          <w:noProof/>
        </w:rPr>
      </w:pPr>
      <w:r>
        <w:rPr>
          <w:noProof/>
        </w:rPr>
        <w:t>Po trzecie, należy dokonać przeglądu norm dotyczących zasad interoperacyjności danych, zgodnie z przepisami dotyczącymi otwartych danych i przetwarzania danych osobowych, a obecne procedury wymiany danych między administracjami publicznymi zostaną uproszczone w celu usprawnienia aspektów proceduralnych i przyspieszenia wdrażania interoperacyjności między bazami danych administracji publicznej. Ponadto cyfrowe miejsce zamieszkania jest poddawane przeglądowi i zintegrowane z krajowym rejestrem rezydentów (ANPR), aby umożliwić pewną i bezpieczną korespondencję cyfrową między obywatelami a organami administracji publicznej.</w:t>
      </w:r>
    </w:p>
    <w:p w14:paraId="584C17BD" w14:textId="77777777" w:rsidR="004C6421" w:rsidRDefault="009D1962">
      <w:pPr>
        <w:pStyle w:val="Axistitle"/>
        <w:ind w:left="0"/>
        <w:rPr>
          <w:noProof/>
        </w:rPr>
      </w:pPr>
      <w:r>
        <w:rPr>
          <w:noProof/>
        </w:rPr>
        <w:t>Oś 2 – Wymiar sprawiedliwości</w:t>
      </w:r>
    </w:p>
    <w:p w14:paraId="7A379715" w14:textId="77777777" w:rsidR="004C6421" w:rsidRDefault="009D1962">
      <w:pPr>
        <w:pStyle w:val="P68B1DB1-Normal2"/>
        <w:spacing w:before="240" w:after="120"/>
        <w:jc w:val="both"/>
        <w:rPr>
          <w:rFonts w:eastAsiaTheme="minorHAnsi"/>
          <w:noProof/>
        </w:rPr>
      </w:pPr>
      <w:r>
        <w:rPr>
          <w:noProof/>
        </w:rPr>
        <w:t>Reforma 1.4 – Wymiar sprawiedliwości w sprawach cywilnych</w:t>
      </w:r>
    </w:p>
    <w:p w14:paraId="41ABF046" w14:textId="77777777" w:rsidR="004C6421" w:rsidRDefault="009D1962">
      <w:pPr>
        <w:spacing w:before="120" w:after="120"/>
        <w:jc w:val="both"/>
        <w:rPr>
          <w:noProof/>
        </w:rPr>
      </w:pPr>
      <w:r>
        <w:rPr>
          <w:noProof/>
        </w:rPr>
        <w:t>Celem reformy jest przede wszystkim skrócenie czasu trwania postępowań cywilnych poprzez określenie szerokiego zakresu działań mających na celu zmniejszenie liczby spraw wpływających do sądów, uproszczenie istniejących procedur, zmniejszenie zaległości i zwiększenie wydajności sądów. Zmniejszenie liczby spraw napływających do sądów zostanie osiągnięte poprzez wzmocnienie mediacji, alternatywnych metod rozwiązywania sporów i arbitrażu oraz dokonanie przeglądu obecnego systemu kwantyfikacji i możliwości odzyskania opłat sądowych. Do uproszczenia dąży się poprzez wzmocnienie „procedur filtrowania” na poziomie apelacji, rozszerzenie zakresu spraw, w których sąd w składzie jednoosobowym jest właściwy do orzekania, zapewniając faktyczne wdrożenie wiążących terminów postępowania. Większą wydajność sądów osiąga się dzięki systemowi monitorowania i zachętom do osiągania standardowych wyników we wszystkich sądach. Reforma ma również na celu zmniejszenie zaległości w sądach cywilnych dzięki tymczasowemu zatrudnianiu pracowników i ukierunkowanym działaniom, w tym systemom zachęt do zmniejszenia liczby toczących się spraw.</w:t>
      </w:r>
    </w:p>
    <w:p w14:paraId="7C2D79C7" w14:textId="77777777" w:rsidR="004C6421" w:rsidRDefault="009D1962">
      <w:pPr>
        <w:pStyle w:val="P68B1DB1-Normal2"/>
        <w:spacing w:before="240" w:after="120"/>
        <w:jc w:val="both"/>
        <w:rPr>
          <w:rFonts w:eastAsiaTheme="minorHAnsi"/>
          <w:noProof/>
        </w:rPr>
      </w:pPr>
      <w:r>
        <w:rPr>
          <w:noProof/>
        </w:rPr>
        <w:t>Reforma 1.5 – wymiar sprawiedliwości w sprawach karnych</w:t>
      </w:r>
    </w:p>
    <w:p w14:paraId="77A5CB04" w14:textId="77777777" w:rsidR="004C6421" w:rsidRDefault="009D1962">
      <w:pPr>
        <w:spacing w:before="120" w:after="120"/>
        <w:jc w:val="both"/>
        <w:rPr>
          <w:noProof/>
        </w:rPr>
      </w:pPr>
      <w:r>
        <w:rPr>
          <w:noProof/>
        </w:rPr>
        <w:t xml:space="preserve">Reforma ma przede wszystkim na celu skrócenie czasu trwania postępowań karnych poprzez określenie szerokiego zakresu działań poprzez uproszczenie istniejących procedur i zwiększenie wydajności sądów. Uproszczenie ma na celu rozszerzenie zakresu stosowania uproszczonych procedur, szersze wykorzystanie technologii cyfrowej, określenie terminów czasu trwania wstępnego postępowania wyjaśniającego, przegląd systemu powiadomień w celu zwiększenia jego skuteczności. Większą produktywność sądów osiąga się dzięki systemowi monitorowania i zachętom do osiągania standardowych wyników we wszystkich sądach. </w:t>
      </w:r>
    </w:p>
    <w:p w14:paraId="2E6A3EE2" w14:textId="77777777" w:rsidR="004C6421" w:rsidRDefault="009D1962">
      <w:pPr>
        <w:pStyle w:val="P68B1DB1-Normal2"/>
        <w:spacing w:before="240" w:after="120"/>
        <w:jc w:val="both"/>
        <w:rPr>
          <w:rFonts w:eastAsiaTheme="minorHAnsi"/>
          <w:noProof/>
        </w:rPr>
      </w:pPr>
      <w:r>
        <w:rPr>
          <w:noProof/>
        </w:rPr>
        <w:t>Reforma 1.6 – Niewypłacalność</w:t>
      </w:r>
    </w:p>
    <w:p w14:paraId="3CFB2344" w14:textId="77777777" w:rsidR="004C6421" w:rsidRDefault="009D1962">
      <w:pPr>
        <w:spacing w:before="120" w:after="120"/>
        <w:jc w:val="both"/>
        <w:rPr>
          <w:noProof/>
        </w:rPr>
      </w:pPr>
      <w:r>
        <w:rPr>
          <w:noProof/>
        </w:rPr>
        <w:t xml:space="preserve">Reforma ma na celu cyfryzację i usprawnienie postępowań upadłościowych, wprowadzając mechanizmy wczesnego ostrzegania przed ogłoszeniem upadłości, specjalizację sądów i instytucji przedsądowych w celu skuteczniejszego zarządzania wszystkimi etapami postępowań upadłościowych, w tym poprzez szkolenia i specjalizację dla członków organów sądowych i administracyjnych. </w:t>
      </w:r>
    </w:p>
    <w:p w14:paraId="3A918D54" w14:textId="77777777" w:rsidR="004C6421" w:rsidRDefault="009D1962">
      <w:pPr>
        <w:spacing w:after="160" w:line="259" w:lineRule="auto"/>
        <w:rPr>
          <w:b/>
          <w:noProof/>
        </w:rPr>
      </w:pPr>
      <w:r>
        <w:rPr>
          <w:noProof/>
        </w:rPr>
        <w:br w:type="page"/>
      </w:r>
    </w:p>
    <w:p w14:paraId="0984C644" w14:textId="036E53CD" w:rsidR="004C6421" w:rsidRDefault="009D1962">
      <w:pPr>
        <w:pStyle w:val="P68B1DB1-Normal2"/>
        <w:spacing w:before="240" w:after="120"/>
        <w:jc w:val="both"/>
        <w:rPr>
          <w:rFonts w:eastAsiaTheme="minorHAnsi"/>
          <w:noProof/>
        </w:rPr>
      </w:pPr>
      <w:r>
        <w:rPr>
          <w:noProof/>
        </w:rPr>
        <w:t>Reforma 1.7 – Sądy podatkowe</w:t>
      </w:r>
    </w:p>
    <w:p w14:paraId="45B6DB05" w14:textId="77777777" w:rsidR="004C6421" w:rsidRDefault="009D1962">
      <w:pPr>
        <w:spacing w:before="120" w:after="120"/>
        <w:jc w:val="both"/>
        <w:rPr>
          <w:noProof/>
        </w:rPr>
      </w:pPr>
      <w:r>
        <w:rPr>
          <w:noProof/>
        </w:rPr>
        <w:t xml:space="preserve">Celem reformy jest zwiększenie skuteczności egzekwowania prawa podatkowego i zmniejszenie dużej liczby odwołań w Sądzie Kasacyjnym. </w:t>
      </w:r>
    </w:p>
    <w:p w14:paraId="12FD3120" w14:textId="77777777" w:rsidR="004C6421" w:rsidRDefault="009D1962">
      <w:pPr>
        <w:pStyle w:val="P68B1DB1-Normal2"/>
        <w:spacing w:before="240" w:after="120"/>
        <w:jc w:val="both"/>
        <w:rPr>
          <w:rFonts w:eastAsiaTheme="minorHAnsi"/>
          <w:noProof/>
        </w:rPr>
      </w:pPr>
      <w:r>
        <w:rPr>
          <w:noProof/>
        </w:rPr>
        <w:t>Reforma 1.8 – Cyfryzacja systemu wymiaru sprawiedliwości</w:t>
      </w:r>
    </w:p>
    <w:p w14:paraId="16525818" w14:textId="77777777" w:rsidR="004C6421" w:rsidRDefault="009D1962">
      <w:pPr>
        <w:spacing w:before="120" w:after="120"/>
        <w:jc w:val="both"/>
        <w:rPr>
          <w:noProof/>
        </w:rPr>
      </w:pPr>
      <w:r>
        <w:rPr>
          <w:noProof/>
        </w:rPr>
        <w:t>Reforma przewiduje obowiązkowe elektroniczne składanie wszystkich dokumentów oraz pełną elektroniczną procedurę postępowania w postępowaniu cywilnym. Ma również na celu wprowadzenie bezpłatnej, w pełni dostępnej i możliwej do przeszukiwania bazy danych orzeczeń cywilnych zgodnie z przepisami. Wreszcie dotyczy on cyfryzacji postępowania karnego w pierwszej instancji.</w:t>
      </w:r>
    </w:p>
    <w:p w14:paraId="700A3E6C" w14:textId="77777777" w:rsidR="004C6421" w:rsidRDefault="009D1962">
      <w:pPr>
        <w:pStyle w:val="P68B1DB1-Normal2"/>
        <w:spacing w:before="240" w:after="120"/>
        <w:jc w:val="both"/>
        <w:rPr>
          <w:rFonts w:eastAsiaTheme="minorHAnsi"/>
          <w:noProof/>
        </w:rPr>
      </w:pPr>
      <w:r>
        <w:rPr>
          <w:noProof/>
        </w:rPr>
        <w:t>Inwestycje 1.8 – Procedury rekrutacji w sądach cywilnych, karnych i administracyjnych</w:t>
      </w:r>
    </w:p>
    <w:p w14:paraId="5409ADCB" w14:textId="77777777" w:rsidR="004C6421" w:rsidRDefault="009D1962">
      <w:pPr>
        <w:spacing w:before="120" w:after="120"/>
        <w:jc w:val="both"/>
        <w:rPr>
          <w:noProof/>
        </w:rPr>
      </w:pPr>
      <w:r>
        <w:rPr>
          <w:noProof/>
        </w:rPr>
        <w:t xml:space="preserve">Inwestycje mają na celu działanie w najbliższej przyszłości w odniesieniu do czynników organizacyjnych, aby umożliwić szybsze generowanie wyników w ramach opracowywanych reform, maksymalizację synergii przy jednoczesnej zmianie transformacyjnej dzięki nadzwyczajnym zasobom zapewnionym w ramach planu. </w:t>
      </w:r>
    </w:p>
    <w:p w14:paraId="125D28A1" w14:textId="77777777" w:rsidR="004C6421" w:rsidRDefault="009D1962">
      <w:pPr>
        <w:spacing w:before="120" w:after="120"/>
        <w:jc w:val="both"/>
        <w:rPr>
          <w:noProof/>
        </w:rPr>
      </w:pPr>
      <w:r>
        <w:rPr>
          <w:noProof/>
        </w:rPr>
        <w:t>Narzędzie organizacyjne, zwane „</w:t>
      </w:r>
      <w:r>
        <w:rPr>
          <w:i/>
          <w:noProof/>
        </w:rPr>
        <w:t>biuro procesu sądowego</w:t>
      </w:r>
      <w:r>
        <w:rPr>
          <w:noProof/>
        </w:rPr>
        <w:t xml:space="preserve">”, polega na utworzeniu (lub tam, gdzie już istnieją) zespołów wsparcia dla sędziów (w drodze tymczasowego zatrudnienia) w celu zmniejszenia zaległości i czasu przeznaczonego na rozpatrzenie we Włoszech. </w:t>
      </w:r>
    </w:p>
    <w:p w14:paraId="1AEC60D6" w14:textId="77777777" w:rsidR="004C6421" w:rsidRDefault="009D1962">
      <w:pPr>
        <w:spacing w:before="120" w:after="120"/>
        <w:jc w:val="both"/>
        <w:rPr>
          <w:noProof/>
        </w:rPr>
      </w:pPr>
      <w:r>
        <w:rPr>
          <w:noProof/>
        </w:rPr>
        <w:t xml:space="preserve">Środek ten ma na celu poprawę jakości wymiaru sprawiedliwości poprzez wspieranie sędziów pokoju w zwykłej działalności w zakresie studiów, badań prawnych, sporządzania aktów, organizacji akt, a tym samym umożliwienie sędziom skoncentrowania się na bardziej złożonych zadaniach. </w:t>
      </w:r>
    </w:p>
    <w:p w14:paraId="794BBBFE" w14:textId="77777777" w:rsidR="004C6421" w:rsidRDefault="004C6421">
      <w:pPr>
        <w:spacing w:before="120" w:after="120"/>
        <w:jc w:val="both"/>
        <w:rPr>
          <w:noProof/>
        </w:rPr>
      </w:pPr>
    </w:p>
    <w:p w14:paraId="6977FFB3" w14:textId="77777777" w:rsidR="004C6421" w:rsidRDefault="009D1962">
      <w:pPr>
        <w:spacing w:before="120" w:after="120"/>
        <w:jc w:val="both"/>
        <w:rPr>
          <w:noProof/>
        </w:rPr>
      </w:pPr>
      <w:r>
        <w:rPr>
          <w:noProof/>
        </w:rPr>
        <w:t>Inwestycje obejmują również zatrudnienie personelu technicznego i administracyjnego wspierającego realizację celów RRP. Personel urzędu prowadzącego rozprawę oraz techniczny personel administracyjny wspiera sądy administracyjne, cywilne, karne oraz służby terytorialne i centralne Ministerstwa Sprawiedliwości odpowiedzialne za realizację RRP. Okres obowiązywania umów z jednostką personelu wynosi maksymalnie 3 lata i może zostać przedłużony do dnia 30 czerwca 2026 r.</w:t>
      </w:r>
    </w:p>
    <w:p w14:paraId="3B995CC1" w14:textId="3ACF25B6" w:rsidR="004C6421" w:rsidRDefault="009D1962">
      <w:pPr>
        <w:spacing w:before="120" w:after="120"/>
        <w:jc w:val="both"/>
        <w:rPr>
          <w:noProof/>
        </w:rPr>
      </w:pPr>
      <w:r>
        <w:rPr>
          <w:noProof/>
        </w:rPr>
        <w:t xml:space="preserve">Inwestycja obejmuje również szkolenia wspierające transformację cyfrową w systemie wymiaru sprawiedliwości. </w:t>
      </w:r>
    </w:p>
    <w:p w14:paraId="05883315" w14:textId="77777777" w:rsidR="004C6421" w:rsidRDefault="009D1962">
      <w:pPr>
        <w:pStyle w:val="Axistitle"/>
        <w:ind w:left="0"/>
        <w:rPr>
          <w:noProof/>
        </w:rPr>
      </w:pPr>
      <w:r>
        <w:rPr>
          <w:noProof/>
        </w:rPr>
        <w:t>Oś 3 – Administracja publiczna</w:t>
      </w:r>
    </w:p>
    <w:p w14:paraId="551C4D5F" w14:textId="77777777" w:rsidR="004C6421" w:rsidRDefault="009D1962">
      <w:pPr>
        <w:pStyle w:val="P68B1DB1-Normal2"/>
        <w:spacing w:before="240" w:after="120"/>
        <w:jc w:val="both"/>
        <w:rPr>
          <w:rFonts w:eastAsiaTheme="minorHAnsi"/>
          <w:noProof/>
        </w:rPr>
      </w:pPr>
      <w:r>
        <w:rPr>
          <w:noProof/>
        </w:rPr>
        <w:t>Reforma 1.9 – Reforma zatrudnienia w sektorze publicznym i reforma uproszczeń</w:t>
      </w:r>
    </w:p>
    <w:p w14:paraId="39D11DD0" w14:textId="77777777" w:rsidR="004C6421" w:rsidRDefault="009D1962">
      <w:pPr>
        <w:keepNext/>
        <w:spacing w:before="120" w:after="120"/>
        <w:jc w:val="both"/>
        <w:rPr>
          <w:rFonts w:eastAsiaTheme="minorHAnsi"/>
          <w:noProof/>
        </w:rPr>
      </w:pPr>
      <w:r>
        <w:rPr>
          <w:noProof/>
        </w:rPr>
        <w:t>Reformy zatrudnienia w sektorze publicznym opierają się na podejściu dwuetapowym. W perspektywie krótkoterminowej przyjmuje się pilne środki w celu jak najlepszego wykorzystania finansowania z RRF w odniesieniu do zarządzania planem i natychmiastowej pomocy dla administracji publicznej, które nie posiadają zdolności administracyjnych. Strategii tej towarzyszą reformy organizacyjne i strategia w zakresie zasobów ludzkich mająca na celu zmianę transformacyjną w całej administracji publicznej. W ramach definicji planów strategicznych w zakresie zasobów ludzkich określono kompleksowy zestaw środków mających na celu: aktualizacja profili zawodowych (również w związku z dwojaką transformacją); zreformowanie procedur zatrudniania, tak aby były one bardziej ukierunkowane i skuteczne; zreformowanie służby cywilnej wyższego szczebla w celu ujednolicenia procedur mianowania w całej administracji publicznej; wzmocnienie związku między uczeniem się przez całe życie a mechanizmami nagradzania lub konkretnymi ścieżkami kariery zawodowej; określanie lub aktualizowanie zasad etyki administracji publicznej; wzmocnienie zaangażowania na rzecz równowagi płci; oraz reforma horyzontalnej i pionowej mobilności pracowników. Reforma obejmuje pilne środki mające na celu uproszczenie procedur administracyjnych z korzyścią dla przedsiębiorstw i obywateli, przy jednoczesnym zapewnieniu sprawnej realizacji RRP.</w:t>
      </w:r>
    </w:p>
    <w:p w14:paraId="26718869" w14:textId="77777777" w:rsidR="004C6421" w:rsidRDefault="009D1962">
      <w:pPr>
        <w:keepNext/>
        <w:spacing w:before="120" w:after="120"/>
        <w:jc w:val="both"/>
        <w:rPr>
          <w:noProof/>
        </w:rPr>
      </w:pPr>
      <w:r>
        <w:rPr>
          <w:noProof/>
        </w:rPr>
        <w:t xml:space="preserve">Reforma upraszczająca eliminuje zezwolenia, które nie są uzasadnione nadrzędnymi względami interesu ogólnego, wraz ze zniesieniem zbędnych obowiązków lub tych, które nie wykorzystują nowych technologii. Ponadto Komisja wdraża przyjęcie mechanizmu milczącej zgody, wprowadzenie prostej komunikacji oraz przyjęcie jednolitych systemów wspólnych z regionami i gminami. </w:t>
      </w:r>
    </w:p>
    <w:p w14:paraId="6C8AE16F" w14:textId="74BA007B" w:rsidR="004C6421" w:rsidRDefault="009D1962">
      <w:pPr>
        <w:spacing w:before="120" w:after="120"/>
        <w:jc w:val="both"/>
        <w:rPr>
          <w:noProof/>
        </w:rPr>
      </w:pPr>
      <w:r>
        <w:rPr>
          <w:noProof/>
        </w:rPr>
        <w:t>Reforma uproszczenia obejmuje następujące elementy: interoperacyjność procedur biznesowych i budowlanych (SUAP &amp; SUE); oraz określenie zestawu kluczowych wskaźników skuteczności działania (KPI) w celu kierowania zmianami organizacyjnymi w administracji. Po publikacji pierwszego sprawozdania dotyczącego kluczowych wskaźników efektywności co sześć miesięcy publikuje się kolejne sprawozdania.</w:t>
      </w:r>
    </w:p>
    <w:p w14:paraId="26F74F7E" w14:textId="77777777" w:rsidR="004C6421" w:rsidRDefault="009D1962">
      <w:pPr>
        <w:spacing w:before="120" w:after="120"/>
        <w:jc w:val="both"/>
        <w:rPr>
          <w:noProof/>
        </w:rPr>
      </w:pPr>
      <w:r>
        <w:rPr>
          <w:noProof/>
        </w:rPr>
        <w:t xml:space="preserve">System repozytorium służący do monitorowania wdrażania RRF musi zostać wprowadzony i uruchomiony przed złożeniem pierwszego wniosku o płatność. </w:t>
      </w:r>
    </w:p>
    <w:p w14:paraId="78B16B76" w14:textId="77777777" w:rsidR="004C6421" w:rsidRDefault="009D1962">
      <w:pPr>
        <w:pStyle w:val="P68B1DB1-Normal2"/>
        <w:spacing w:before="120" w:after="120"/>
        <w:jc w:val="both"/>
        <w:rPr>
          <w:noProof/>
        </w:rPr>
      </w:pPr>
      <w:r>
        <w:rPr>
          <w:noProof/>
        </w:rPr>
        <w:t>Reforma 1.9a – Reforma na rzecz przyspieszenia realizacji polityki spójności</w:t>
      </w:r>
    </w:p>
    <w:p w14:paraId="49749423" w14:textId="77777777" w:rsidR="004C6421" w:rsidRDefault="009D1962">
      <w:pPr>
        <w:spacing w:before="120" w:after="120"/>
        <w:jc w:val="both"/>
        <w:rPr>
          <w:noProof/>
        </w:rPr>
      </w:pPr>
      <w:r>
        <w:rPr>
          <w:noProof/>
        </w:rPr>
        <w:t>Reforma ma na celu przyspieszenie wdrażania i skuteczności polityki spójności w uzupełnieniu krajowych planów odbudowy i zwiększania odporności. Określa ona datę zatwierdzenia planu strategicznego jednolitej specjalnej strefy ekonomicznej.</w:t>
      </w:r>
    </w:p>
    <w:p w14:paraId="1863EFBD" w14:textId="77777777" w:rsidR="004C6421" w:rsidRDefault="009D1962">
      <w:pPr>
        <w:spacing w:before="120" w:after="120"/>
        <w:jc w:val="both"/>
        <w:rPr>
          <w:noProof/>
        </w:rPr>
      </w:pPr>
      <w:r>
        <w:rPr>
          <w:rStyle w:val="s10"/>
          <w:noProof/>
          <w:color w:val="000000" w:themeColor="text1"/>
        </w:rPr>
        <w:t xml:space="preserve">Ustawodawstwo </w:t>
      </w:r>
      <w:r>
        <w:rPr>
          <w:noProof/>
        </w:rPr>
        <w:t xml:space="preserve"> </w:t>
      </w:r>
      <w:r>
        <w:rPr>
          <w:rStyle w:val="s10"/>
          <w:noProof/>
          <w:color w:val="000000" w:themeColor="text1"/>
        </w:rPr>
        <w:t xml:space="preserve">krajowe wymaga opinii Jednolitej Konferencji przed jej przekształceniem w ustawę, jak przewidziano w dekrecie ustawodawczym nr 281/1997. </w:t>
      </w:r>
    </w:p>
    <w:p w14:paraId="4CF0E426" w14:textId="77777777" w:rsidR="004C6421" w:rsidRDefault="009D1962">
      <w:pPr>
        <w:spacing w:before="120" w:after="120"/>
        <w:jc w:val="both"/>
        <w:rPr>
          <w:noProof/>
        </w:rPr>
      </w:pPr>
      <w:r>
        <w:rPr>
          <w:noProof/>
        </w:rPr>
        <w:t>Zgodnie z art. 9 rozporządzenia (UE) 2021/241 reforma może otrzymać wsparcie z innych programów i instrumentów unijnych, pod warunkiem że takie wsparcie nie pokrywa tych samych kosztów. RRF nie pokrywa żadnych kosztów reformy.</w:t>
      </w:r>
    </w:p>
    <w:p w14:paraId="506D7260" w14:textId="77777777" w:rsidR="004C6421" w:rsidRDefault="009D1962">
      <w:pPr>
        <w:pStyle w:val="P68B1DB1-Normal2"/>
        <w:spacing w:before="240" w:after="120"/>
        <w:jc w:val="both"/>
        <w:rPr>
          <w:rFonts w:eastAsiaTheme="minorHAnsi"/>
          <w:noProof/>
        </w:rPr>
      </w:pPr>
      <w:r>
        <w:rPr>
          <w:noProof/>
        </w:rPr>
        <w:t>Inwestycje 1.9 – Zapewnienie pomocy technicznej i wzmocnienie budowania zdolności na potrzeby realizacji włoskiego planu odbudowy i zwiększania odporności</w:t>
      </w:r>
    </w:p>
    <w:p w14:paraId="11C9AE49" w14:textId="77777777" w:rsidR="004C6421" w:rsidRDefault="009D1962">
      <w:pPr>
        <w:spacing w:before="120" w:after="120"/>
        <w:jc w:val="both"/>
        <w:rPr>
          <w:noProof/>
        </w:rPr>
      </w:pPr>
      <w:r>
        <w:rPr>
          <w:noProof/>
        </w:rPr>
        <w:t xml:space="preserve">Inwestycja polega na tymczasowym zatrudnieniu grupy ekspertów w celu zapewnienia pomocy technicznej dla administracji i wzmocnienia zdolności administracyjnych, zwłaszcza na szczeblu lokalnym, na potrzeby realizacji konkretnych projektów RRP, które mają być wdrażane w zależności od potrzeb. Inwestycja ta obejmuje również programy szkoleniowe dla pracowników sektora publicznego w ramach wzmacniania budowania zdolności. </w:t>
      </w:r>
    </w:p>
    <w:p w14:paraId="012FDF18" w14:textId="77777777" w:rsidR="004C6421" w:rsidRDefault="009D1962">
      <w:pPr>
        <w:pStyle w:val="Axistitle"/>
        <w:ind w:left="0"/>
        <w:rPr>
          <w:noProof/>
        </w:rPr>
      </w:pPr>
      <w:r>
        <w:rPr>
          <w:noProof/>
        </w:rPr>
        <w:t>Oś 4 – Zamówienia publiczne i płatności administracji publicznej</w:t>
      </w:r>
    </w:p>
    <w:p w14:paraId="248E5484" w14:textId="77777777" w:rsidR="004C6421" w:rsidRDefault="009D1962">
      <w:pPr>
        <w:pStyle w:val="P68B1DB1-Normal2"/>
        <w:spacing w:before="240" w:after="120"/>
        <w:jc w:val="both"/>
        <w:rPr>
          <w:rFonts w:eastAsiaTheme="minorHAnsi"/>
          <w:noProof/>
        </w:rPr>
      </w:pPr>
      <w:r>
        <w:rPr>
          <w:noProof/>
        </w:rPr>
        <w:t>Reforma 1.10 – Reforma ram prawnych dotyczących zamówień publicznych</w:t>
      </w:r>
    </w:p>
    <w:p w14:paraId="034D19A9" w14:textId="77777777" w:rsidR="004C6421" w:rsidRDefault="009D1962">
      <w:pPr>
        <w:spacing w:before="120" w:after="120"/>
        <w:jc w:val="both"/>
        <w:rPr>
          <w:noProof/>
        </w:rPr>
      </w:pPr>
      <w:r>
        <w:rPr>
          <w:noProof/>
        </w:rPr>
        <w:t>Pierwszym etapem tej reformy jest przyjęcie do maja 2021 r. pierwszego zestawu pilnych środków upraszczających wraz z dekretem z mocą ustawy w celu: uproszczenie i cyfryzacja procedur centralnych jednostek zakupujących; rejestrować umowy w bazie danych antykorupcyjnej krajowego organu antykorupcyjnego (ANAC); utworzenie specjalnych biur odpowiedzialnych za procedury udzielania zamówień publicznych w ministerstwach, regionach i miastach metropolitalnych; wyznaczenie celu, jakim jest skrócenie czasu między publikacją a udzieleniem zamówienia oraz między udzieleniem zamówienia a ukończeniem infrastruktury; oraz zachęcanie do stosowania alternatywnych mechanizmów rozstrzygania sporów na etapie realizacji umów. Przed końcem 2021 r. Jednolity Organ Koordynacyjny ds. Polityki Zamówień Publicznych dysponuje odpowiednim poziomem zatrudnienia i przyjmuje strategię profesjonalizacji zapewniającą szkolenia na różnych szczeblach; dynamiczne systemy zakupów są udostępniane zgodnie z dyrektywami w sprawie zamówień publicznych; oraz ANAC kończy proces kwalifikowania instytucji zamawiających.</w:t>
      </w:r>
    </w:p>
    <w:p w14:paraId="3FDE0EDF" w14:textId="77777777" w:rsidR="004C6421" w:rsidRDefault="009D1962">
      <w:pPr>
        <w:spacing w:before="120" w:after="120"/>
        <w:jc w:val="both"/>
        <w:rPr>
          <w:noProof/>
        </w:rPr>
      </w:pPr>
      <w:r>
        <w:rPr>
          <w:noProof/>
        </w:rPr>
        <w:t>Drugi etap tej reformy obejmuje szereg zmian w kodeksie zamówień publicznych, które mają zostać wdrożone do drugiego kwartału 2023 r., obejmujących działania mające na celu: zmniejszenie rozdrobnienia instytucji zamawiających; wprowadzenie wymogu ustanowienia e-platformy jako podstawowego wymogu udziału w ogólnokrajowej ocenie zdolności w zakresie zamówień publicznych; oraz upoważnienie krajowego organu antykorupcyjnego do dokonywania przeglądu kwalifikacji instytucji zamawiających. Zakres reformy obejmuje również dalsze uproszczenie i cyfryzację procedur centralnych jednostek zakupujących oraz określenie wymogów w zakresie interoperacyjności i wzajemnych połączeń. Reforma ograniczy również ograniczenia dotyczące możliwości podwykonawstwa, obecnie zawarte w Kodeksie Zamówień Publicznych.</w:t>
      </w:r>
    </w:p>
    <w:p w14:paraId="44ED5220" w14:textId="77777777" w:rsidR="004C6421" w:rsidRDefault="009D1962">
      <w:pPr>
        <w:spacing w:before="120" w:after="120"/>
        <w:jc w:val="both"/>
        <w:rPr>
          <w:noProof/>
        </w:rPr>
      </w:pPr>
      <w:r>
        <w:rPr>
          <w:noProof/>
        </w:rPr>
        <w:t>Reforma ta polega również na uruchomieniu krajowego systemu e-zamówień do końca 2023 r. oraz wprowadzeniu ukierunkowanych działań, w tym poprzez przyjęcie prawa pierwotnego lub wtórnego, w celu dalszego podniesienia kwalifikacji i profesjonalizacji instytucji zamawiających oraz zwiększenia konkurencji (np. zmiana obowiązujących przepisów dotyczących finansowania projektów).</w:t>
      </w:r>
    </w:p>
    <w:p w14:paraId="5F7464E6" w14:textId="77777777" w:rsidR="004C6421" w:rsidRDefault="009D1962">
      <w:pPr>
        <w:pStyle w:val="P68B1DB1-Normal2"/>
        <w:spacing w:before="240" w:after="120"/>
        <w:jc w:val="both"/>
        <w:rPr>
          <w:rFonts w:eastAsiaTheme="minorEastAsia"/>
          <w:noProof/>
        </w:rPr>
      </w:pPr>
      <w:r>
        <w:rPr>
          <w:noProof/>
        </w:rPr>
        <w:t>Reforma 1.11 – Zmniejszenie opóźnień w płatnościach administracji publicznej i organów ds. zdrowia</w:t>
      </w:r>
    </w:p>
    <w:p w14:paraId="0F4FAC24" w14:textId="77777777" w:rsidR="004C6421" w:rsidRDefault="009D1962">
      <w:pPr>
        <w:spacing w:before="240" w:after="120"/>
        <w:jc w:val="both"/>
        <w:rPr>
          <w:rFonts w:eastAsiaTheme="minorEastAsia"/>
          <w:b/>
          <w:noProof/>
        </w:rPr>
      </w:pPr>
      <w:r>
        <w:rPr>
          <w:noProof/>
        </w:rPr>
        <w:t>Celem reformy jest zmniejszenie opóźnień w płatnościach i brak opóźnień w płatnościach od administracji publicznej do przedsiębiorstw. Reforma obejmuje, od 2024 r., przyjęcie pakietu strukturalnego obejmującego działania zarówno na szczeblu centralnym, jak i lokalnym, w tym wejście w życie prawodawstwa.</w:t>
      </w:r>
    </w:p>
    <w:p w14:paraId="7E8B99B8" w14:textId="77777777" w:rsidR="004C6421" w:rsidRDefault="009D1962">
      <w:pPr>
        <w:ind w:firstLine="11"/>
        <w:jc w:val="both"/>
        <w:rPr>
          <w:noProof/>
        </w:rPr>
      </w:pPr>
      <w:r>
        <w:rPr>
          <w:noProof/>
        </w:rPr>
        <w:t>Reforma ta polega na zapewnieniu, aby do 2025 r. (i) administracje publiczne na szczeblu centralnym, regionalnym i lokalnym płaciły w ciągu 30 dni oraz (ii) regionalne organy ds. zdrowia płaciły w ciągu 60 dni. Aby zapewnić strukturalne rozwiązanie problemu opóźnień w płatnościach, reforma ta polega również na zapewnieniu, by w 2026 r. (i) administracja publiczna na szczeblu centralnym, regionalnym i lokalnym nadal wypłacała płatności w ciągu 30 dni oraz (ii) regionalne organy ds. zdrowia kontynuowały płatności w ciągu 60 dni.</w:t>
      </w:r>
    </w:p>
    <w:p w14:paraId="4C953455" w14:textId="77777777" w:rsidR="004C6421" w:rsidRDefault="009D1962">
      <w:pPr>
        <w:pStyle w:val="Axistitle"/>
        <w:ind w:left="0"/>
        <w:rPr>
          <w:noProof/>
        </w:rPr>
      </w:pPr>
      <w:r>
        <w:rPr>
          <w:noProof/>
        </w:rPr>
        <w:t>Oś 5 – Reformy fiskalno-strukturalne (Podatki i wydatki publiczne)</w:t>
      </w:r>
    </w:p>
    <w:p w14:paraId="130590E6" w14:textId="77777777" w:rsidR="004C6421" w:rsidRDefault="009D1962">
      <w:pPr>
        <w:pStyle w:val="P68B1DB1-Normal2"/>
        <w:spacing w:before="240" w:after="120"/>
        <w:jc w:val="both"/>
        <w:rPr>
          <w:rFonts w:eastAsiaTheme="minorHAnsi"/>
          <w:noProof/>
        </w:rPr>
      </w:pPr>
      <w:r>
        <w:rPr>
          <w:noProof/>
        </w:rPr>
        <w:t>Reforma 1.12 – Reforma administracji podatkowej</w:t>
      </w:r>
    </w:p>
    <w:p w14:paraId="5794903C" w14:textId="42229E0D" w:rsidR="004C6421" w:rsidRDefault="009D1962">
      <w:pPr>
        <w:jc w:val="both"/>
        <w:rPr>
          <w:noProof/>
        </w:rPr>
      </w:pPr>
      <w:r>
        <w:rPr>
          <w:noProof/>
        </w:rPr>
        <w:t>Przyjmuje się szereg środków zachęcających do przestrzegania przepisów prawa podatkowego i zwiększających skuteczność ukierunkowania audytów i kontroli, w tym: (i) utworzenie bazy danych i specjalnej infrastruktury informatycznej do celów udostępniania wcześniej zapełnionej deklaracji podatkowej VAT; (II) poprawę jakości bazy danych wykorzystywanej do „pismów dotyczących zgodności”, również w celu ograniczenia występowania fałszywie dodatnich, stopniowego zwiększania liczby komunikatów kierowanych do podatników; (III) reformę obowiązującego prawodawstwa w celu zapewnienia skutecznych sankcji administracyjnych w przypadku odmowy przyjęcia płatności elektronicznych przez prywatnych dostawców; (IV) zakończenie procesu pseudonimizacji i analizy dużych zbiorów danych w celu zwiększenia skuteczności analizy ryzyka leżącej u podstaw procesu wyboru na potrzeby audytów. Zdolność operacyjna Agencji Skarbowej zostanie zwiększona zgodnie z celami Agencji dotyczącymi zatrudnienia określonymi w „Planie wykonania na lata 2021–2023” Agencji. Ponadto rząd przeprowadzi przegląd możliwych działań mających na celu ograniczenie uchylania się od opodatkowania w wyniku zaniechania fakturowania w najbardziej narażonych sektorach, w tym poprzez ukierunkowane zachęty dla konsumentów, oraz podejmie skuteczne działania w oparciu o wyniki przeglądu, podejmując ambitne zobowiązanie do zmniejszenia skłonności do unikania opodatkowania.</w:t>
      </w:r>
    </w:p>
    <w:p w14:paraId="5F4A4EDE" w14:textId="77777777" w:rsidR="004C6421" w:rsidRDefault="009D1962">
      <w:pPr>
        <w:spacing w:after="160" w:line="259" w:lineRule="auto"/>
        <w:rPr>
          <w:b/>
          <w:noProof/>
        </w:rPr>
      </w:pPr>
      <w:r>
        <w:rPr>
          <w:noProof/>
        </w:rPr>
        <w:br w:type="page"/>
      </w:r>
    </w:p>
    <w:p w14:paraId="796E2EFA" w14:textId="7CE7AFA5" w:rsidR="004C6421" w:rsidRDefault="009D1962">
      <w:pPr>
        <w:pStyle w:val="P68B1DB1-Normal2"/>
        <w:spacing w:before="240" w:after="120"/>
        <w:jc w:val="both"/>
        <w:rPr>
          <w:rFonts w:eastAsiaTheme="minorHAnsi"/>
          <w:noProof/>
        </w:rPr>
      </w:pPr>
      <w:r>
        <w:rPr>
          <w:noProof/>
        </w:rPr>
        <w:t>Reforma 1.13 – Reforma ram przeglądu wydatków</w:t>
      </w:r>
    </w:p>
    <w:p w14:paraId="130D1D37" w14:textId="77777777" w:rsidR="004C6421" w:rsidRDefault="009D1962">
      <w:pPr>
        <w:jc w:val="both"/>
        <w:rPr>
          <w:noProof/>
        </w:rPr>
      </w:pPr>
      <w:r>
        <w:rPr>
          <w:noProof/>
        </w:rPr>
        <w:t>Plan obejmuje reformę ram przeglądu wydatków mającą na celu poprawę ich skuteczności, w tym poprzez wzmocnienie roli Ministerstwa Finansów i procesu oceny ex post oraz poprawę praktyki sporządzania budżetu z uwzględnieniem aspektu płci. Plan zawiera również zobowiązanie do podejmowania, na podstawie obowiązujących ram prawnych, corocznych przeglądów wydatków w latach 2023–2025 w celu osiągnięcia oszczędności fiskalnych w celu wsparcia zrównoważonych finansów publicznych lub finansowania pobudzających wzrost gospodarczy reform podatków lub wydatków publicznych.</w:t>
      </w:r>
    </w:p>
    <w:p w14:paraId="79268C23" w14:textId="77777777" w:rsidR="004C6421" w:rsidRDefault="009D1962">
      <w:pPr>
        <w:pStyle w:val="P68B1DB1-Normal2"/>
        <w:spacing w:before="240" w:after="120"/>
        <w:jc w:val="both"/>
        <w:rPr>
          <w:rFonts w:eastAsiaTheme="minorEastAsia"/>
          <w:noProof/>
        </w:rPr>
      </w:pPr>
      <w:r>
        <w:rPr>
          <w:noProof/>
        </w:rPr>
        <w:t>Reforma 1.14 – Reforma ram budżetowych na szczeblu niższym niż krajowy</w:t>
      </w:r>
    </w:p>
    <w:p w14:paraId="56DB0DA7" w14:textId="77777777" w:rsidR="004C6421" w:rsidRDefault="009D1962">
      <w:pPr>
        <w:jc w:val="both"/>
        <w:rPr>
          <w:noProof/>
        </w:rPr>
      </w:pPr>
      <w:r>
        <w:rPr>
          <w:noProof/>
        </w:rPr>
        <w:t>Reforma polega na zakończeniu federalizmu fiskalnego przewidzianego w ustawie o delegowaniu zadań 42/2009 w celu poprawy przejrzystości stosunków fiskalnych na różnych szczeblach sprawowania rządów, przeznaczenia zasobów na rzecz władz szczebla niższego niż krajowy w oparciu o obiektywne kryteria oraz zachęcania do efektywności wydatków na szczeblu niższym niż krajowy. W szczególności reforma określa odpowiednie parametry wdrażania federalizmu fiskalnego dla regionów o statusie zwykłym, prowincji i miast metropolitalnych.</w:t>
      </w:r>
    </w:p>
    <w:p w14:paraId="2CA7B216" w14:textId="77777777" w:rsidR="004C6421" w:rsidRDefault="009D1962">
      <w:pPr>
        <w:pStyle w:val="P68B1DB1-Normal2"/>
        <w:spacing w:before="240" w:after="120"/>
        <w:jc w:val="both"/>
        <w:rPr>
          <w:rFonts w:eastAsiaTheme="minorHAnsi"/>
          <w:noProof/>
        </w:rPr>
      </w:pPr>
      <w:r>
        <w:rPr>
          <w:noProof/>
        </w:rPr>
        <w:t>Reforma 1.15 – Reforma zasad rachunkowości publicznej</w:t>
      </w:r>
    </w:p>
    <w:p w14:paraId="3867B77B" w14:textId="77777777" w:rsidR="004C6421" w:rsidRDefault="009D1962">
      <w:pPr>
        <w:jc w:val="both"/>
        <w:rPr>
          <w:rFonts w:eastAsiaTheme="minorEastAsia"/>
          <w:noProof/>
        </w:rPr>
      </w:pPr>
      <w:r>
        <w:rPr>
          <w:noProof/>
        </w:rPr>
        <w:t>Reforma ma na celu zlikwidowanie luki w stosunku do europejskich standardów rachunkowości poprzez wprowadzenie jednolitego systemu rachunkowości memoriałowej dla sektora publicznego. Reforma doprowadzi do ukończenia koncepcji systemu rachunkowości memoriałowej jako punktu odniesienia dla systemu rachunkowości memoriałowej zgodnie z cechami jakościowymi określonymi przez Eurostat, zestawem standardów rachunkowości memoriałowej oraz wielowymiarowym planem kont. Uzupełnieniem reformy będzie pierwsza runda szkoleń na potrzeby przejścia na nowy system rachunkowości memoriałowej dla przedstawicieli podmiotów sektora publicznego, pokrywających co najmniej 90 % wydatków pierwotnych całego sektora publicznego.</w:t>
      </w:r>
    </w:p>
    <w:p w14:paraId="7DF6BA14" w14:textId="77777777" w:rsidR="004C6421" w:rsidRDefault="009D1962">
      <w:pPr>
        <w:pStyle w:val="P68B1DB1-Normal2"/>
        <w:spacing w:before="120" w:after="120"/>
        <w:jc w:val="both"/>
        <w:rPr>
          <w:rFonts w:eastAsiaTheme="minorEastAsia"/>
          <w:noProof/>
        </w:rPr>
      </w:pPr>
      <w:r>
        <w:rPr>
          <w:noProof/>
        </w:rPr>
        <w:t xml:space="preserve">Inwestycje 1.10 – Wsparcie na rzecz kwalifikacji i e-zamówień </w:t>
      </w:r>
    </w:p>
    <w:p w14:paraId="7D4D8DA5" w14:textId="77777777" w:rsidR="004C6421" w:rsidRDefault="009D1962">
      <w:pPr>
        <w:spacing w:before="120" w:after="120"/>
        <w:jc w:val="both"/>
        <w:rPr>
          <w:noProof/>
        </w:rPr>
      </w:pPr>
      <w:r>
        <w:rPr>
          <w:noProof/>
        </w:rPr>
        <w:t>W ramach tej inwestycji, w ramach strategii profesjonalizacji nabywców publicznych, ustanawia się komórkę ds. wsparcia zamówień publicznych przeznaczoną dla instytucji zamawiających w celu spełnienia wymogów załącznika II.4 do kodeksu zamówień publicznych oraz wspierania ich w procesie e-zamówień, wspierania nabywania umiejętności cyfrowych i zapewniania wsparcia technicznego w przyjmowaniu cyfryzacji zamówień publicznych, w tym wykorzystania dynamicznych systemów zakupów.</w:t>
      </w:r>
    </w:p>
    <w:p w14:paraId="233FE0DD" w14:textId="77777777" w:rsidR="004C6421" w:rsidRDefault="004C6421">
      <w:pPr>
        <w:spacing w:before="120" w:after="120"/>
        <w:jc w:val="both"/>
        <w:rPr>
          <w:rFonts w:eastAsiaTheme="minorHAnsi"/>
          <w:noProof/>
        </w:rPr>
        <w:sectPr w:rsidR="004C6421" w:rsidSect="00C86E22">
          <w:headerReference w:type="even" r:id="rId18"/>
          <w:headerReference w:type="default" r:id="rId19"/>
          <w:footerReference w:type="even" r:id="rId20"/>
          <w:footerReference w:type="default" r:id="rId21"/>
          <w:headerReference w:type="first" r:id="rId22"/>
          <w:footerReference w:type="first" r:id="rId23"/>
          <w:pgSz w:w="11907" w:h="16839"/>
          <w:pgMar w:top="1440" w:right="1440" w:bottom="1440" w:left="1440" w:header="567" w:footer="567" w:gutter="0"/>
          <w:cols w:space="720"/>
          <w:docGrid w:linePitch="360"/>
        </w:sectPr>
      </w:pPr>
    </w:p>
    <w:p w14:paraId="64A243BE" w14:textId="77777777" w:rsidR="004C6421" w:rsidRDefault="009D1962">
      <w:pPr>
        <w:pStyle w:val="Heading3"/>
        <w:numPr>
          <w:ilvl w:val="0"/>
          <w:numId w:val="0"/>
        </w:numPr>
        <w:ind w:left="850" w:hanging="850"/>
        <w:rPr>
          <w:b/>
          <w:i w:val="0"/>
          <w:noProof/>
          <w:u w:val="single"/>
        </w:rPr>
      </w:pPr>
      <w:r>
        <w:rPr>
          <w:b/>
          <w:i w:val="0"/>
          <w:noProof/>
          <w:u w:val="single"/>
        </w:rPr>
        <w:t xml:space="preserve">A.2. </w:t>
      </w:r>
      <w:r>
        <w:rPr>
          <w:noProof/>
        </w:rPr>
        <w:t xml:space="preserve"> </w:t>
      </w:r>
      <w:r>
        <w:rPr>
          <w:b/>
          <w:i w:val="0"/>
          <w:noProof/>
          <w:u w:val="single"/>
        </w:rPr>
        <w:t>Kamienie milowe, wartości docelowe, wskaźniki i harmonogram monitorowania i realizacji na potrzeby bezzwrotnego wsparcia finansowego</w:t>
      </w:r>
    </w:p>
    <w:tbl>
      <w:tblPr>
        <w:tblW w:w="15503"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253"/>
        <w:gridCol w:w="1568"/>
        <w:gridCol w:w="1148"/>
        <w:gridCol w:w="1470"/>
        <w:gridCol w:w="1701"/>
        <w:gridCol w:w="1134"/>
        <w:gridCol w:w="1417"/>
        <w:gridCol w:w="1425"/>
        <w:gridCol w:w="843"/>
        <w:gridCol w:w="567"/>
        <w:gridCol w:w="2977"/>
      </w:tblGrid>
      <w:tr w:rsidR="004C6421" w14:paraId="49513E4A" w14:textId="77777777">
        <w:trPr>
          <w:trHeight w:val="765"/>
          <w:tblHeader/>
        </w:trPr>
        <w:tc>
          <w:tcPr>
            <w:tcW w:w="1253" w:type="dxa"/>
            <w:vMerge w:val="restart"/>
            <w:shd w:val="clear" w:color="auto" w:fill="BDD7EE"/>
            <w:vAlign w:val="center"/>
            <w:hideMark/>
          </w:tcPr>
          <w:p w14:paraId="400DB879" w14:textId="77777777" w:rsidR="004C6421" w:rsidRDefault="009D1962">
            <w:pPr>
              <w:pStyle w:val="P68B1DB1-Normal3"/>
              <w:jc w:val="center"/>
              <w:rPr>
                <w:rFonts w:cs="Arial"/>
                <w:noProof/>
              </w:rPr>
            </w:pPr>
            <w:r>
              <w:rPr>
                <w:noProof/>
              </w:rPr>
              <w:t>Numer porządkowy</w:t>
            </w:r>
          </w:p>
        </w:tc>
        <w:tc>
          <w:tcPr>
            <w:tcW w:w="1568" w:type="dxa"/>
            <w:vMerge w:val="restart"/>
            <w:shd w:val="clear" w:color="auto" w:fill="BDD7EE"/>
            <w:vAlign w:val="center"/>
            <w:hideMark/>
          </w:tcPr>
          <w:p w14:paraId="696ADBBC" w14:textId="77777777" w:rsidR="004C6421" w:rsidRDefault="009D1962">
            <w:pPr>
              <w:pStyle w:val="P68B1DB1-Normal3"/>
              <w:jc w:val="center"/>
              <w:rPr>
                <w:rFonts w:cs="Arial"/>
                <w:noProof/>
              </w:rPr>
            </w:pPr>
            <w:r>
              <w:rPr>
                <w:noProof/>
              </w:rPr>
              <w:t>Powiązane działanie (reforma lub inwestycja)</w:t>
            </w:r>
          </w:p>
        </w:tc>
        <w:tc>
          <w:tcPr>
            <w:tcW w:w="1148" w:type="dxa"/>
            <w:vMerge w:val="restart"/>
            <w:shd w:val="clear" w:color="auto" w:fill="BDD7EE"/>
            <w:vAlign w:val="center"/>
            <w:hideMark/>
          </w:tcPr>
          <w:p w14:paraId="437CBD13" w14:textId="01022AD2" w:rsidR="004C6421" w:rsidRDefault="00CC179E">
            <w:pPr>
              <w:pStyle w:val="P68B1DB1-Normal3"/>
              <w:jc w:val="center"/>
              <w:rPr>
                <w:rFonts w:cs="Arial"/>
                <w:noProof/>
              </w:rPr>
            </w:pPr>
            <w:r>
              <w:rPr>
                <w:noProof/>
              </w:rPr>
              <w:t>Milowy</w:t>
            </w:r>
          </w:p>
          <w:p w14:paraId="236E4C75" w14:textId="77777777" w:rsidR="004C6421" w:rsidRDefault="009D1962">
            <w:pPr>
              <w:pStyle w:val="P68B1DB1-Normal3"/>
              <w:jc w:val="center"/>
              <w:rPr>
                <w:rFonts w:cs="Arial"/>
                <w:noProof/>
              </w:rPr>
            </w:pPr>
            <w:r>
              <w:rPr>
                <w:noProof/>
              </w:rPr>
              <w:t>/Cel</w:t>
            </w:r>
          </w:p>
        </w:tc>
        <w:tc>
          <w:tcPr>
            <w:tcW w:w="1470" w:type="dxa"/>
            <w:vMerge w:val="restart"/>
            <w:shd w:val="clear" w:color="auto" w:fill="BDD7EE"/>
            <w:vAlign w:val="center"/>
            <w:hideMark/>
          </w:tcPr>
          <w:p w14:paraId="5977F414" w14:textId="77777777" w:rsidR="004C6421" w:rsidRDefault="009D1962">
            <w:pPr>
              <w:pStyle w:val="P68B1DB1-Normal3"/>
              <w:jc w:val="center"/>
              <w:rPr>
                <w:rFonts w:cs="Arial"/>
                <w:noProof/>
              </w:rPr>
            </w:pPr>
            <w:r>
              <w:rPr>
                <w:noProof/>
              </w:rPr>
              <w:t>Nazwa</w:t>
            </w:r>
          </w:p>
        </w:tc>
        <w:tc>
          <w:tcPr>
            <w:tcW w:w="1701" w:type="dxa"/>
            <w:vMerge w:val="restart"/>
            <w:shd w:val="clear" w:color="auto" w:fill="BDD7EE"/>
            <w:vAlign w:val="center"/>
            <w:hideMark/>
          </w:tcPr>
          <w:p w14:paraId="69DB795B" w14:textId="77777777" w:rsidR="004C6421" w:rsidRDefault="009D1962">
            <w:pPr>
              <w:jc w:val="center"/>
              <w:rPr>
                <w:rFonts w:ascii="Arial Narrow" w:hAnsi="Arial Narrow" w:cs="Arial"/>
                <w:b/>
                <w:noProof/>
                <w:sz w:val="20"/>
              </w:rPr>
            </w:pPr>
            <w:r>
              <w:rPr>
                <w:rFonts w:ascii="Arial Narrow" w:hAnsi="Arial Narrow"/>
                <w:b/>
                <w:noProof/>
                <w:sz w:val="20"/>
              </w:rPr>
              <w:t>Wskaźniki jakościowe</w:t>
            </w:r>
            <w:r>
              <w:rPr>
                <w:rFonts w:ascii="Arial Narrow" w:hAnsi="Arial Narrow"/>
                <w:noProof/>
                <w:sz w:val="20"/>
              </w:rPr>
              <w:t xml:space="preserve"> </w:t>
            </w:r>
            <w:r>
              <w:rPr>
                <w:noProof/>
              </w:rPr>
              <w:t xml:space="preserve">  </w:t>
            </w:r>
            <w:r>
              <w:rPr>
                <w:noProof/>
              </w:rPr>
              <w:br/>
            </w:r>
            <w:r>
              <w:rPr>
                <w:rFonts w:ascii="Arial Narrow" w:hAnsi="Arial Narrow"/>
                <w:b/>
                <w:noProof/>
                <w:sz w:val="20"/>
              </w:rPr>
              <w:t>(dla kamieni milowych)</w:t>
            </w:r>
          </w:p>
        </w:tc>
        <w:tc>
          <w:tcPr>
            <w:tcW w:w="3976" w:type="dxa"/>
            <w:gridSpan w:val="3"/>
            <w:shd w:val="clear" w:color="auto" w:fill="BDD7EE"/>
            <w:vAlign w:val="center"/>
            <w:hideMark/>
          </w:tcPr>
          <w:p w14:paraId="23CB8CF3" w14:textId="77777777" w:rsidR="004C6421" w:rsidRDefault="009D1962">
            <w:pPr>
              <w:jc w:val="center"/>
              <w:rPr>
                <w:rFonts w:ascii="Arial Narrow" w:hAnsi="Arial Narrow" w:cs="Arial"/>
                <w:b/>
                <w:noProof/>
                <w:sz w:val="20"/>
              </w:rPr>
            </w:pPr>
            <w:r>
              <w:rPr>
                <w:rFonts w:ascii="Arial Narrow" w:hAnsi="Arial Narrow"/>
                <w:b/>
                <w:noProof/>
                <w:sz w:val="20"/>
              </w:rPr>
              <w:t>Wskaźniki ilościowe</w:t>
            </w:r>
            <w:r>
              <w:rPr>
                <w:rFonts w:ascii="Arial Narrow" w:hAnsi="Arial Narrow"/>
                <w:noProof/>
                <w:sz w:val="20"/>
              </w:rPr>
              <w:t xml:space="preserve"> </w:t>
            </w:r>
            <w:r>
              <w:rPr>
                <w:noProof/>
              </w:rPr>
              <w:t xml:space="preserve">  </w:t>
            </w:r>
            <w:r>
              <w:rPr>
                <w:noProof/>
              </w:rPr>
              <w:br/>
            </w:r>
            <w:r>
              <w:rPr>
                <w:rFonts w:ascii="Arial Narrow" w:hAnsi="Arial Narrow"/>
                <w:b/>
                <w:noProof/>
                <w:sz w:val="20"/>
              </w:rPr>
              <w:t>(dla wartości docelowych)</w:t>
            </w:r>
          </w:p>
        </w:tc>
        <w:tc>
          <w:tcPr>
            <w:tcW w:w="1410" w:type="dxa"/>
            <w:gridSpan w:val="2"/>
            <w:shd w:val="clear" w:color="auto" w:fill="BDD7EE"/>
            <w:vAlign w:val="center"/>
            <w:hideMark/>
          </w:tcPr>
          <w:p w14:paraId="52EB078A" w14:textId="77777777" w:rsidR="004C6421" w:rsidRDefault="009D1962">
            <w:pPr>
              <w:pStyle w:val="P68B1DB1-Normal3"/>
              <w:jc w:val="center"/>
              <w:rPr>
                <w:rFonts w:cs="Arial"/>
                <w:noProof/>
              </w:rPr>
            </w:pPr>
            <w:r>
              <w:rPr>
                <w:noProof/>
              </w:rPr>
              <w:t>Orientacyjny harmonogram zakończenia działania</w:t>
            </w:r>
          </w:p>
        </w:tc>
        <w:tc>
          <w:tcPr>
            <w:tcW w:w="2977" w:type="dxa"/>
            <w:vMerge w:val="restart"/>
            <w:shd w:val="clear" w:color="auto" w:fill="BDD7EE"/>
            <w:vAlign w:val="center"/>
            <w:hideMark/>
          </w:tcPr>
          <w:p w14:paraId="1D8D1AFE" w14:textId="77777777" w:rsidR="004C6421" w:rsidRDefault="009D1962">
            <w:pPr>
              <w:pStyle w:val="P68B1DB1-Normal3"/>
              <w:jc w:val="center"/>
              <w:rPr>
                <w:rFonts w:cs="Arial"/>
                <w:noProof/>
              </w:rPr>
            </w:pPr>
            <w:r>
              <w:rPr>
                <w:noProof/>
              </w:rPr>
              <w:t>Opis każdego kamienia milowego i każdej wartości docelowej</w:t>
            </w:r>
          </w:p>
        </w:tc>
      </w:tr>
      <w:tr w:rsidR="004C6421" w14:paraId="065A8E06" w14:textId="77777777">
        <w:trPr>
          <w:trHeight w:val="691"/>
          <w:tblHeader/>
        </w:trPr>
        <w:tc>
          <w:tcPr>
            <w:tcW w:w="1253" w:type="dxa"/>
            <w:vMerge/>
            <w:vAlign w:val="center"/>
            <w:hideMark/>
          </w:tcPr>
          <w:p w14:paraId="4CCF89AE" w14:textId="77777777" w:rsidR="004C6421" w:rsidRDefault="004C6421">
            <w:pPr>
              <w:jc w:val="center"/>
              <w:rPr>
                <w:rFonts w:ascii="Arial Narrow" w:hAnsi="Arial Narrow" w:cs="Arial"/>
                <w:b/>
                <w:noProof/>
                <w:sz w:val="20"/>
              </w:rPr>
            </w:pPr>
          </w:p>
        </w:tc>
        <w:tc>
          <w:tcPr>
            <w:tcW w:w="1568" w:type="dxa"/>
            <w:vMerge/>
            <w:vAlign w:val="center"/>
            <w:hideMark/>
          </w:tcPr>
          <w:p w14:paraId="50E1A829" w14:textId="77777777" w:rsidR="004C6421" w:rsidRDefault="004C6421">
            <w:pPr>
              <w:jc w:val="center"/>
              <w:rPr>
                <w:rFonts w:ascii="Arial Narrow" w:hAnsi="Arial Narrow" w:cs="Arial"/>
                <w:b/>
                <w:noProof/>
                <w:sz w:val="20"/>
              </w:rPr>
            </w:pPr>
          </w:p>
        </w:tc>
        <w:tc>
          <w:tcPr>
            <w:tcW w:w="1148" w:type="dxa"/>
            <w:vMerge/>
            <w:vAlign w:val="center"/>
            <w:hideMark/>
          </w:tcPr>
          <w:p w14:paraId="7BFCFF76" w14:textId="77777777" w:rsidR="004C6421" w:rsidRDefault="004C6421">
            <w:pPr>
              <w:jc w:val="center"/>
              <w:rPr>
                <w:rFonts w:ascii="Arial Narrow" w:hAnsi="Arial Narrow" w:cs="Arial"/>
                <w:b/>
                <w:noProof/>
                <w:sz w:val="20"/>
              </w:rPr>
            </w:pPr>
          </w:p>
        </w:tc>
        <w:tc>
          <w:tcPr>
            <w:tcW w:w="1470" w:type="dxa"/>
            <w:vMerge/>
            <w:vAlign w:val="center"/>
            <w:hideMark/>
          </w:tcPr>
          <w:p w14:paraId="33E15884" w14:textId="77777777" w:rsidR="004C6421" w:rsidRDefault="004C6421">
            <w:pPr>
              <w:jc w:val="center"/>
              <w:rPr>
                <w:rFonts w:ascii="Arial Narrow" w:hAnsi="Arial Narrow" w:cs="Arial"/>
                <w:b/>
                <w:noProof/>
                <w:sz w:val="20"/>
              </w:rPr>
            </w:pPr>
          </w:p>
        </w:tc>
        <w:tc>
          <w:tcPr>
            <w:tcW w:w="1701" w:type="dxa"/>
            <w:vMerge/>
            <w:vAlign w:val="center"/>
            <w:hideMark/>
          </w:tcPr>
          <w:p w14:paraId="670D8329" w14:textId="77777777" w:rsidR="004C6421" w:rsidRDefault="004C6421">
            <w:pPr>
              <w:jc w:val="center"/>
              <w:rPr>
                <w:rFonts w:ascii="Arial Narrow" w:hAnsi="Arial Narrow" w:cs="Arial"/>
                <w:b/>
                <w:noProof/>
                <w:sz w:val="20"/>
              </w:rPr>
            </w:pPr>
          </w:p>
        </w:tc>
        <w:tc>
          <w:tcPr>
            <w:tcW w:w="1134" w:type="dxa"/>
            <w:shd w:val="clear" w:color="auto" w:fill="BDD7EE"/>
            <w:vAlign w:val="center"/>
            <w:hideMark/>
          </w:tcPr>
          <w:p w14:paraId="0C6DB97A" w14:textId="77777777" w:rsidR="004C6421" w:rsidRDefault="009D1962">
            <w:pPr>
              <w:pStyle w:val="P68B1DB1-Normal3"/>
              <w:jc w:val="center"/>
              <w:rPr>
                <w:rFonts w:cs="Arial"/>
                <w:noProof/>
              </w:rPr>
            </w:pPr>
            <w:r>
              <w:rPr>
                <w:noProof/>
              </w:rPr>
              <w:t>Jednostka</w:t>
            </w:r>
          </w:p>
          <w:p w14:paraId="68714147" w14:textId="77777777" w:rsidR="004C6421" w:rsidRDefault="009D1962">
            <w:pPr>
              <w:pStyle w:val="P68B1DB1-Normal3"/>
              <w:jc w:val="center"/>
              <w:rPr>
                <w:rFonts w:cs="Arial"/>
                <w:noProof/>
              </w:rPr>
            </w:pPr>
            <w:r>
              <w:rPr>
                <w:noProof/>
              </w:rPr>
              <w:t>miara</w:t>
            </w:r>
          </w:p>
        </w:tc>
        <w:tc>
          <w:tcPr>
            <w:tcW w:w="1417" w:type="dxa"/>
            <w:shd w:val="clear" w:color="auto" w:fill="BDD7EE"/>
            <w:vAlign w:val="center"/>
            <w:hideMark/>
          </w:tcPr>
          <w:p w14:paraId="5BE23754" w14:textId="77777777" w:rsidR="004C6421" w:rsidRDefault="009D1962">
            <w:pPr>
              <w:pStyle w:val="P68B1DB1-Normal3"/>
              <w:jc w:val="center"/>
              <w:rPr>
                <w:rFonts w:cs="Arial"/>
                <w:noProof/>
              </w:rPr>
            </w:pPr>
            <w:r>
              <w:rPr>
                <w:noProof/>
              </w:rPr>
              <w:t>Bazowy</w:t>
            </w:r>
          </w:p>
        </w:tc>
        <w:tc>
          <w:tcPr>
            <w:tcW w:w="1425" w:type="dxa"/>
            <w:shd w:val="clear" w:color="auto" w:fill="BDD7EE"/>
            <w:vAlign w:val="center"/>
            <w:hideMark/>
          </w:tcPr>
          <w:p w14:paraId="107178FF" w14:textId="77777777" w:rsidR="004C6421" w:rsidRDefault="009D1962">
            <w:pPr>
              <w:pStyle w:val="P68B1DB1-Normal3"/>
              <w:jc w:val="center"/>
              <w:rPr>
                <w:rFonts w:cs="Arial"/>
                <w:noProof/>
              </w:rPr>
            </w:pPr>
            <w:r>
              <w:rPr>
                <w:noProof/>
              </w:rPr>
              <w:t>Cel</w:t>
            </w:r>
          </w:p>
        </w:tc>
        <w:tc>
          <w:tcPr>
            <w:tcW w:w="843" w:type="dxa"/>
            <w:shd w:val="clear" w:color="auto" w:fill="BDD7EE"/>
            <w:vAlign w:val="center"/>
            <w:hideMark/>
          </w:tcPr>
          <w:p w14:paraId="6C3B7C31" w14:textId="77777777" w:rsidR="004C6421" w:rsidRDefault="009D1962">
            <w:pPr>
              <w:pStyle w:val="P68B1DB1-Normal3"/>
              <w:jc w:val="center"/>
              <w:rPr>
                <w:rFonts w:cs="Arial"/>
                <w:noProof/>
              </w:rPr>
            </w:pPr>
            <w:r>
              <w:rPr>
                <w:noProof/>
              </w:rPr>
              <w:t>Kwartał</w:t>
            </w:r>
          </w:p>
        </w:tc>
        <w:tc>
          <w:tcPr>
            <w:tcW w:w="567" w:type="dxa"/>
            <w:shd w:val="clear" w:color="auto" w:fill="BDD7EE"/>
            <w:vAlign w:val="center"/>
            <w:hideMark/>
          </w:tcPr>
          <w:p w14:paraId="41184E6D" w14:textId="77777777" w:rsidR="004C6421" w:rsidRDefault="009D1962">
            <w:pPr>
              <w:pStyle w:val="P68B1DB1-Normal3"/>
              <w:jc w:val="center"/>
              <w:rPr>
                <w:rFonts w:cs="Arial"/>
                <w:noProof/>
              </w:rPr>
            </w:pPr>
            <w:r>
              <w:rPr>
                <w:noProof/>
              </w:rPr>
              <w:t>Rok</w:t>
            </w:r>
          </w:p>
        </w:tc>
        <w:tc>
          <w:tcPr>
            <w:tcW w:w="2977" w:type="dxa"/>
            <w:vMerge/>
            <w:vAlign w:val="center"/>
            <w:hideMark/>
          </w:tcPr>
          <w:p w14:paraId="5C85715B" w14:textId="77777777" w:rsidR="004C6421" w:rsidRDefault="004C6421">
            <w:pPr>
              <w:jc w:val="center"/>
              <w:rPr>
                <w:rFonts w:ascii="Arial Narrow" w:hAnsi="Arial Narrow" w:cs="Arial"/>
                <w:b/>
                <w:noProof/>
                <w:sz w:val="20"/>
              </w:rPr>
            </w:pPr>
          </w:p>
        </w:tc>
      </w:tr>
      <w:tr w:rsidR="004C6421" w14:paraId="0690F150" w14:textId="77777777">
        <w:trPr>
          <w:trHeight w:val="309"/>
        </w:trPr>
        <w:tc>
          <w:tcPr>
            <w:tcW w:w="1253" w:type="dxa"/>
            <w:shd w:val="clear" w:color="auto" w:fill="C6EFCE"/>
            <w:noWrap/>
            <w:vAlign w:val="center"/>
          </w:tcPr>
          <w:p w14:paraId="5B07271D" w14:textId="77777777" w:rsidR="004C6421" w:rsidRDefault="009D1962">
            <w:pPr>
              <w:pStyle w:val="P68B1DB1-Normal4"/>
              <w:jc w:val="both"/>
              <w:rPr>
                <w:rFonts w:cs="Arial"/>
                <w:noProof/>
              </w:rPr>
            </w:pPr>
            <w:r>
              <w:rPr>
                <w:noProof/>
              </w:rPr>
              <w:t>M1C1-1</w:t>
            </w:r>
          </w:p>
        </w:tc>
        <w:tc>
          <w:tcPr>
            <w:tcW w:w="1568" w:type="dxa"/>
            <w:shd w:val="clear" w:color="auto" w:fill="C6EFCE"/>
            <w:noWrap/>
            <w:vAlign w:val="center"/>
          </w:tcPr>
          <w:p w14:paraId="3C746072" w14:textId="77777777" w:rsidR="004C6421" w:rsidRDefault="009D1962">
            <w:pPr>
              <w:pStyle w:val="P68B1DB1-Normal4"/>
              <w:jc w:val="center"/>
              <w:rPr>
                <w:rFonts w:cs="Arial"/>
                <w:noProof/>
              </w:rPr>
            </w:pPr>
            <w:r>
              <w:rPr>
                <w:noProof/>
              </w:rPr>
              <w:t>Reforma 1.1: Zamówienia w dziedzinie ICT</w:t>
            </w:r>
          </w:p>
        </w:tc>
        <w:tc>
          <w:tcPr>
            <w:tcW w:w="1148" w:type="dxa"/>
            <w:shd w:val="clear" w:color="auto" w:fill="C6EFCE"/>
            <w:noWrap/>
            <w:vAlign w:val="center"/>
          </w:tcPr>
          <w:p w14:paraId="57A4D83E" w14:textId="4B316AD8" w:rsidR="004C6421" w:rsidRDefault="00CC179E">
            <w:pPr>
              <w:pStyle w:val="P68B1DB1-Normal4"/>
              <w:jc w:val="center"/>
              <w:rPr>
                <w:rFonts w:cs="Arial"/>
                <w:noProof/>
              </w:rPr>
            </w:pPr>
            <w:r>
              <w:rPr>
                <w:noProof/>
              </w:rPr>
              <w:t>Milowy</w:t>
            </w:r>
          </w:p>
        </w:tc>
        <w:tc>
          <w:tcPr>
            <w:tcW w:w="1470" w:type="dxa"/>
            <w:shd w:val="clear" w:color="auto" w:fill="C6EFCE"/>
            <w:noWrap/>
            <w:vAlign w:val="center"/>
          </w:tcPr>
          <w:p w14:paraId="6A08B2C4" w14:textId="77777777" w:rsidR="004C6421" w:rsidRDefault="009D1962">
            <w:pPr>
              <w:pStyle w:val="P68B1DB1-Normal4"/>
              <w:jc w:val="center"/>
              <w:rPr>
                <w:rFonts w:cs="Arial"/>
                <w:noProof/>
              </w:rPr>
            </w:pPr>
            <w:r>
              <w:rPr>
                <w:noProof/>
              </w:rPr>
              <w:t>Wejście w życie dekretów z mocą ustawy dotyczących reformy 1.1 „Zamówienia ICT”</w:t>
            </w:r>
          </w:p>
        </w:tc>
        <w:tc>
          <w:tcPr>
            <w:tcW w:w="1701" w:type="dxa"/>
            <w:shd w:val="clear" w:color="auto" w:fill="C6EFCE"/>
            <w:noWrap/>
            <w:vAlign w:val="center"/>
          </w:tcPr>
          <w:p w14:paraId="6ABEE6C9" w14:textId="77777777" w:rsidR="004C6421" w:rsidRDefault="009D1962">
            <w:pPr>
              <w:pStyle w:val="P68B1DB1-Normal4"/>
              <w:jc w:val="center"/>
              <w:rPr>
                <w:rFonts w:cs="Arial"/>
                <w:noProof/>
              </w:rPr>
            </w:pPr>
            <w:r>
              <w:rPr>
                <w:noProof/>
              </w:rPr>
              <w:t>Przepis ustawy wskazujący na wejście w życie dekretu z mocą ustawy dotyczącego reformy zamówień publicznych w sektorze ICT</w:t>
            </w:r>
          </w:p>
        </w:tc>
        <w:tc>
          <w:tcPr>
            <w:tcW w:w="1134" w:type="dxa"/>
            <w:shd w:val="clear" w:color="auto" w:fill="C6EFCE"/>
            <w:noWrap/>
            <w:vAlign w:val="center"/>
          </w:tcPr>
          <w:p w14:paraId="38A8A834" w14:textId="77777777" w:rsidR="004C6421" w:rsidRDefault="009D1962">
            <w:pPr>
              <w:pStyle w:val="P68B1DB1-Normal4"/>
              <w:jc w:val="center"/>
              <w:rPr>
                <w:rFonts w:cs="Arial"/>
                <w:noProof/>
              </w:rPr>
            </w:pPr>
            <w:r>
              <w:rPr>
                <w:noProof/>
              </w:rPr>
              <w:t>NIE DOT.</w:t>
            </w:r>
          </w:p>
        </w:tc>
        <w:tc>
          <w:tcPr>
            <w:tcW w:w="1417" w:type="dxa"/>
            <w:shd w:val="clear" w:color="auto" w:fill="C6EFCE"/>
            <w:noWrap/>
            <w:vAlign w:val="center"/>
          </w:tcPr>
          <w:p w14:paraId="39499E0B" w14:textId="77777777" w:rsidR="004C6421" w:rsidRDefault="009D1962">
            <w:pPr>
              <w:pStyle w:val="P68B1DB1-Normal4"/>
              <w:jc w:val="center"/>
              <w:rPr>
                <w:rFonts w:cs="Arial"/>
                <w:noProof/>
              </w:rPr>
            </w:pPr>
            <w:r>
              <w:rPr>
                <w:noProof/>
              </w:rPr>
              <w:t>NIE DOT.</w:t>
            </w:r>
          </w:p>
        </w:tc>
        <w:tc>
          <w:tcPr>
            <w:tcW w:w="1425" w:type="dxa"/>
            <w:shd w:val="clear" w:color="auto" w:fill="C6EFCE"/>
            <w:noWrap/>
            <w:vAlign w:val="center"/>
          </w:tcPr>
          <w:p w14:paraId="5840ECF4" w14:textId="77777777" w:rsidR="004C6421" w:rsidRDefault="009D1962">
            <w:pPr>
              <w:pStyle w:val="P68B1DB1-Normal4"/>
              <w:jc w:val="center"/>
              <w:rPr>
                <w:rFonts w:cs="Arial"/>
                <w:noProof/>
              </w:rPr>
            </w:pPr>
            <w:r>
              <w:rPr>
                <w:noProof/>
              </w:rPr>
              <w:t>NIE DOT.</w:t>
            </w:r>
          </w:p>
        </w:tc>
        <w:tc>
          <w:tcPr>
            <w:tcW w:w="843" w:type="dxa"/>
            <w:shd w:val="clear" w:color="auto" w:fill="C6EFCE"/>
            <w:noWrap/>
            <w:vAlign w:val="center"/>
          </w:tcPr>
          <w:p w14:paraId="4DCF2821" w14:textId="41DCAEEC" w:rsidR="004C6421" w:rsidRDefault="00CC179E">
            <w:pPr>
              <w:pStyle w:val="P68B1DB1-Normal4"/>
              <w:jc w:val="center"/>
              <w:rPr>
                <w:rFonts w:cs="Arial"/>
                <w:noProof/>
              </w:rPr>
            </w:pPr>
            <w:r>
              <w:rPr>
                <w:noProof/>
              </w:rPr>
              <w:t>KW. 4</w:t>
            </w:r>
          </w:p>
        </w:tc>
        <w:tc>
          <w:tcPr>
            <w:tcW w:w="567" w:type="dxa"/>
            <w:shd w:val="clear" w:color="auto" w:fill="C6EFCE"/>
            <w:noWrap/>
            <w:vAlign w:val="center"/>
          </w:tcPr>
          <w:p w14:paraId="1F434B83" w14:textId="77777777" w:rsidR="004C6421" w:rsidRDefault="009D1962">
            <w:pPr>
              <w:pStyle w:val="P68B1DB1-Normal4"/>
              <w:jc w:val="center"/>
              <w:rPr>
                <w:rFonts w:cs="Arial"/>
                <w:noProof/>
              </w:rPr>
            </w:pPr>
            <w:r>
              <w:rPr>
                <w:noProof/>
              </w:rPr>
              <w:t>2021</w:t>
            </w:r>
          </w:p>
        </w:tc>
        <w:tc>
          <w:tcPr>
            <w:tcW w:w="2977" w:type="dxa"/>
            <w:shd w:val="clear" w:color="auto" w:fill="C6EFCE"/>
            <w:noWrap/>
            <w:vAlign w:val="center"/>
          </w:tcPr>
          <w:p w14:paraId="73B4AC0A" w14:textId="77777777" w:rsidR="004C6421" w:rsidRDefault="009D1962">
            <w:pPr>
              <w:pStyle w:val="P68B1DB1-Normal4"/>
              <w:spacing w:after="120"/>
              <w:rPr>
                <w:rFonts w:cs="Arial"/>
                <w:noProof/>
              </w:rPr>
            </w:pPr>
            <w:r>
              <w:rPr>
                <w:noProof/>
              </w:rPr>
              <w:t>Niezbędne akty prawne obejmują interwencje ustawodawcze w dekrecie z mocą ustawy o uproszczeniu (Decreto Legge Semplificazioni). Przepisy te określają:</w:t>
            </w:r>
          </w:p>
          <w:p w14:paraId="7538F876" w14:textId="77777777" w:rsidR="004C6421" w:rsidRDefault="009D1962">
            <w:pPr>
              <w:pStyle w:val="P68B1DB1-ListParagraph5"/>
              <w:spacing w:before="0"/>
              <w:ind w:left="0"/>
              <w:contextualSpacing w:val="0"/>
              <w:jc w:val="left"/>
              <w:rPr>
                <w:rFonts w:cs="Arial"/>
                <w:noProof/>
              </w:rPr>
            </w:pPr>
            <w:r>
              <w:rPr>
                <w:noProof/>
              </w:rPr>
              <w:t>(i) Możliwość stosowania procedury, o której mowa w art. 48 ust. 3 kodeksu zamówień publicznych, również w przypadku zamówień przekraczających progi, o których mowa w art. 35 kodeksu zamówień publicznych, w odniesieniu do zakupów związanych z zakupem towarów i usług komputerowych, w szczególności opartych na technologii chmury obliczeniowej, a także usług łączności, finansowanych w całości lub w części ze środków przewidzianych na realizację projektów PNRR;</w:t>
            </w:r>
          </w:p>
          <w:p w14:paraId="25A0B863" w14:textId="77777777" w:rsidR="004C6421" w:rsidRDefault="009D1962">
            <w:pPr>
              <w:pStyle w:val="P68B1DB1-ListParagraph5"/>
              <w:spacing w:before="0"/>
              <w:ind w:left="0"/>
              <w:contextualSpacing w:val="0"/>
              <w:jc w:val="left"/>
              <w:rPr>
                <w:rFonts w:cs="Arial"/>
                <w:noProof/>
              </w:rPr>
            </w:pPr>
            <w:r>
              <w:rPr>
                <w:noProof/>
              </w:rPr>
              <w:t>(II) Interoperacyjność różnych baz danych zarządzanych przez jednostki certyfikujące zaangażowane w proces weryfikacji wymogów, o których mowa w art. 80 kodeksu zamówień publicznych;</w:t>
            </w:r>
          </w:p>
          <w:p w14:paraId="21CE68A3" w14:textId="77777777" w:rsidR="004C6421" w:rsidRDefault="009D1962">
            <w:pPr>
              <w:pStyle w:val="P68B1DB1-ListParagraph5"/>
              <w:spacing w:before="0"/>
              <w:ind w:left="0"/>
              <w:jc w:val="left"/>
              <w:rPr>
                <w:rFonts w:cs="Arial"/>
                <w:noProof/>
              </w:rPr>
            </w:pPr>
            <w:r>
              <w:rPr>
                <w:noProof/>
              </w:rPr>
              <w:t>(III) Utworzenie wirtualnego pliku podmiotów gospodarczych, w którym znajdują się dane służące weryfikacji braku powodów wykluczenia, o których mowa w art. 80, umożliwiające określenie białej listy podmiotów gospodarczych, w przypadku których weryfikacja została już przeprowadzona.</w:t>
            </w:r>
          </w:p>
        </w:tc>
      </w:tr>
      <w:tr w:rsidR="004C6421" w14:paraId="69485127" w14:textId="77777777">
        <w:trPr>
          <w:trHeight w:val="789"/>
        </w:trPr>
        <w:tc>
          <w:tcPr>
            <w:tcW w:w="1253" w:type="dxa"/>
            <w:shd w:val="clear" w:color="auto" w:fill="C6EFCE"/>
            <w:noWrap/>
            <w:vAlign w:val="center"/>
          </w:tcPr>
          <w:p w14:paraId="0186311B" w14:textId="77777777" w:rsidR="004C6421" w:rsidRDefault="009D1962">
            <w:pPr>
              <w:pStyle w:val="P68B1DB1-Normal4"/>
              <w:jc w:val="center"/>
              <w:rPr>
                <w:rFonts w:cs="Arial"/>
                <w:noProof/>
              </w:rPr>
            </w:pPr>
            <w:r>
              <w:rPr>
                <w:noProof/>
              </w:rPr>
              <w:t>M1C1-2</w:t>
            </w:r>
          </w:p>
        </w:tc>
        <w:tc>
          <w:tcPr>
            <w:tcW w:w="1568" w:type="dxa"/>
            <w:shd w:val="clear" w:color="auto" w:fill="C6EFCE"/>
            <w:noWrap/>
            <w:vAlign w:val="center"/>
          </w:tcPr>
          <w:p w14:paraId="14167E47" w14:textId="77777777" w:rsidR="004C6421" w:rsidRDefault="009D1962">
            <w:pPr>
              <w:pStyle w:val="P68B1DB1-Normal4"/>
              <w:jc w:val="center"/>
              <w:rPr>
                <w:rFonts w:cs="Arial"/>
                <w:noProof/>
              </w:rPr>
            </w:pPr>
            <w:r>
              <w:rPr>
                <w:noProof/>
              </w:rPr>
              <w:t>Reforma 1.3: Chmura przede wszystkim i interoperacyjność</w:t>
            </w:r>
          </w:p>
        </w:tc>
        <w:tc>
          <w:tcPr>
            <w:tcW w:w="1148" w:type="dxa"/>
            <w:shd w:val="clear" w:color="auto" w:fill="C6EFCE"/>
            <w:noWrap/>
            <w:vAlign w:val="center"/>
          </w:tcPr>
          <w:p w14:paraId="3DF71660" w14:textId="4A2F597E" w:rsidR="004C6421" w:rsidRDefault="00CC179E">
            <w:pPr>
              <w:pStyle w:val="P68B1DB1-Normal4"/>
              <w:jc w:val="center"/>
              <w:rPr>
                <w:rFonts w:cs="Arial"/>
                <w:noProof/>
              </w:rPr>
            </w:pPr>
            <w:r>
              <w:rPr>
                <w:noProof/>
              </w:rPr>
              <w:t>Milowy</w:t>
            </w:r>
          </w:p>
        </w:tc>
        <w:tc>
          <w:tcPr>
            <w:tcW w:w="1470" w:type="dxa"/>
            <w:shd w:val="clear" w:color="auto" w:fill="C6EFCE"/>
            <w:noWrap/>
            <w:vAlign w:val="center"/>
          </w:tcPr>
          <w:p w14:paraId="4B224923" w14:textId="77777777" w:rsidR="004C6421" w:rsidRDefault="009D1962">
            <w:pPr>
              <w:pStyle w:val="P68B1DB1-Normal4"/>
              <w:jc w:val="center"/>
              <w:rPr>
                <w:rFonts w:cs="Arial"/>
                <w:noProof/>
              </w:rPr>
            </w:pPr>
            <w:r>
              <w:rPr>
                <w:noProof/>
              </w:rPr>
              <w:t>Wejście w życie dekretów z mocą ustawy dotyczących reformy 1.3 „Pierwsza chmura obliczeniowa i interoperacyjność”</w:t>
            </w:r>
          </w:p>
        </w:tc>
        <w:tc>
          <w:tcPr>
            <w:tcW w:w="1701" w:type="dxa"/>
            <w:shd w:val="clear" w:color="auto" w:fill="C6EFCE"/>
            <w:noWrap/>
            <w:vAlign w:val="center"/>
          </w:tcPr>
          <w:p w14:paraId="7D5CA737" w14:textId="77777777" w:rsidR="004C6421" w:rsidRDefault="009D1962">
            <w:pPr>
              <w:pStyle w:val="P68B1DB1-Normal4"/>
              <w:jc w:val="center"/>
              <w:rPr>
                <w:rFonts w:cs="Arial"/>
                <w:noProof/>
              </w:rPr>
            </w:pPr>
            <w:r>
              <w:rPr>
                <w:noProof/>
              </w:rPr>
              <w:t>Przepis ustawy wskazujący na wejście w życie dekretu z mocą ustawy dotyczącego pierwszej reformy chmury obliczeniowej i interoperacyjności</w:t>
            </w:r>
          </w:p>
        </w:tc>
        <w:tc>
          <w:tcPr>
            <w:tcW w:w="1134" w:type="dxa"/>
            <w:shd w:val="clear" w:color="auto" w:fill="C6EFCE"/>
            <w:noWrap/>
            <w:vAlign w:val="center"/>
          </w:tcPr>
          <w:p w14:paraId="6687F193" w14:textId="77777777" w:rsidR="004C6421" w:rsidRDefault="009D1962">
            <w:pPr>
              <w:pStyle w:val="P68B1DB1-Normal4"/>
              <w:jc w:val="center"/>
              <w:rPr>
                <w:rFonts w:cs="Arial"/>
                <w:noProof/>
              </w:rPr>
            </w:pPr>
            <w:r>
              <w:rPr>
                <w:noProof/>
              </w:rPr>
              <w:t>NIE DOT.</w:t>
            </w:r>
          </w:p>
        </w:tc>
        <w:tc>
          <w:tcPr>
            <w:tcW w:w="1417" w:type="dxa"/>
            <w:shd w:val="clear" w:color="auto" w:fill="C6EFCE"/>
            <w:noWrap/>
            <w:vAlign w:val="center"/>
          </w:tcPr>
          <w:p w14:paraId="084B7357" w14:textId="77777777" w:rsidR="004C6421" w:rsidRDefault="009D1962">
            <w:pPr>
              <w:pStyle w:val="P68B1DB1-Normal4"/>
              <w:jc w:val="center"/>
              <w:rPr>
                <w:rFonts w:cs="Arial"/>
                <w:noProof/>
              </w:rPr>
            </w:pPr>
            <w:r>
              <w:rPr>
                <w:noProof/>
              </w:rPr>
              <w:t>NIE DOT.</w:t>
            </w:r>
          </w:p>
        </w:tc>
        <w:tc>
          <w:tcPr>
            <w:tcW w:w="1425" w:type="dxa"/>
            <w:shd w:val="clear" w:color="auto" w:fill="C6EFCE"/>
            <w:noWrap/>
            <w:vAlign w:val="center"/>
          </w:tcPr>
          <w:p w14:paraId="51948966" w14:textId="77777777" w:rsidR="004C6421" w:rsidRDefault="009D1962">
            <w:pPr>
              <w:pStyle w:val="P68B1DB1-Normal4"/>
              <w:jc w:val="center"/>
              <w:rPr>
                <w:rFonts w:cs="Arial"/>
                <w:noProof/>
              </w:rPr>
            </w:pPr>
            <w:r>
              <w:rPr>
                <w:noProof/>
              </w:rPr>
              <w:t>NIE DOT.</w:t>
            </w:r>
          </w:p>
        </w:tc>
        <w:tc>
          <w:tcPr>
            <w:tcW w:w="843" w:type="dxa"/>
            <w:shd w:val="clear" w:color="auto" w:fill="C6EFCE"/>
            <w:noWrap/>
            <w:vAlign w:val="center"/>
          </w:tcPr>
          <w:p w14:paraId="4A68021E" w14:textId="158914BD" w:rsidR="004C6421" w:rsidRDefault="00CC179E">
            <w:pPr>
              <w:pStyle w:val="P68B1DB1-Normal4"/>
              <w:jc w:val="center"/>
              <w:rPr>
                <w:rFonts w:cs="Arial"/>
                <w:noProof/>
              </w:rPr>
            </w:pPr>
            <w:r>
              <w:rPr>
                <w:noProof/>
              </w:rPr>
              <w:t>KW. 4</w:t>
            </w:r>
          </w:p>
        </w:tc>
        <w:tc>
          <w:tcPr>
            <w:tcW w:w="567" w:type="dxa"/>
            <w:shd w:val="clear" w:color="auto" w:fill="C6EFCE"/>
            <w:noWrap/>
            <w:vAlign w:val="center"/>
          </w:tcPr>
          <w:p w14:paraId="1326209A" w14:textId="77777777" w:rsidR="004C6421" w:rsidRDefault="009D1962">
            <w:pPr>
              <w:pStyle w:val="P68B1DB1-Normal4"/>
              <w:jc w:val="center"/>
              <w:rPr>
                <w:rFonts w:cs="Arial"/>
                <w:noProof/>
              </w:rPr>
            </w:pPr>
            <w:r>
              <w:rPr>
                <w:noProof/>
              </w:rPr>
              <w:t>2021</w:t>
            </w:r>
          </w:p>
        </w:tc>
        <w:tc>
          <w:tcPr>
            <w:tcW w:w="2977" w:type="dxa"/>
            <w:shd w:val="clear" w:color="auto" w:fill="C6EFCE"/>
            <w:noWrap/>
            <w:vAlign w:val="center"/>
          </w:tcPr>
          <w:p w14:paraId="38BD7668" w14:textId="77777777" w:rsidR="004C6421" w:rsidRDefault="009D1962">
            <w:pPr>
              <w:pStyle w:val="P68B1DB1-Normal4"/>
              <w:spacing w:after="120"/>
              <w:rPr>
                <w:rFonts w:cs="Arial"/>
                <w:noProof/>
              </w:rPr>
            </w:pPr>
            <w:r>
              <w:rPr>
                <w:noProof/>
              </w:rPr>
              <w:t>Niezbędne akty prawne obejmują:</w:t>
            </w:r>
          </w:p>
          <w:p w14:paraId="5774520A" w14:textId="77777777" w:rsidR="004C6421" w:rsidRDefault="009D1962">
            <w:pPr>
              <w:pStyle w:val="P68B1DB1-Normal4"/>
              <w:spacing w:after="120"/>
              <w:rPr>
                <w:rFonts w:cs="Arial"/>
                <w:noProof/>
              </w:rPr>
            </w:pPr>
            <w:r>
              <w:rPr>
                <w:noProof/>
              </w:rPr>
              <w:t>Wykonawcze akty regulacyjne dotyczące w szczególności (i) rozporządzenia Agenzia per l’Italia digitale (AgID) dotyczącego Polo Strategico Nazionale (PSN) (przewidzianego w art. 33 septies dekretu z mocą ustawy 179/212) oraz (ii) wytycznych AgID w sprawie interoperacyjności (przewidzianych w art. 50 i 50b Codice dell’Amministrazione Digitale (CAD).</w:t>
            </w:r>
          </w:p>
          <w:p w14:paraId="247C36CE" w14:textId="77777777" w:rsidR="004C6421" w:rsidRDefault="009D1962">
            <w:pPr>
              <w:pStyle w:val="P68B1DB1-Normal4"/>
              <w:spacing w:after="120"/>
              <w:rPr>
                <w:rFonts w:cs="Arial"/>
                <w:noProof/>
              </w:rPr>
            </w:pPr>
            <w:r>
              <w:rPr>
                <w:noProof/>
              </w:rPr>
              <w:t>Poprawki do art. 50 CAD:</w:t>
            </w:r>
          </w:p>
          <w:p w14:paraId="4C4F4943" w14:textId="77777777" w:rsidR="004C6421" w:rsidRDefault="009D1962">
            <w:pPr>
              <w:pStyle w:val="P68B1DB1-Normal4"/>
              <w:spacing w:after="120"/>
              <w:rPr>
                <w:rFonts w:cs="Arial"/>
                <w:noProof/>
              </w:rPr>
            </w:pPr>
            <w:r>
              <w:rPr>
                <w:noProof/>
              </w:rPr>
              <w:t>(i) zniesienie obowiązku zawierania umów ramowych przez administracje mające dostęp do krajowej platformy danych cyfrowych;</w:t>
            </w:r>
          </w:p>
          <w:p w14:paraId="18BA73AC" w14:textId="77777777" w:rsidR="004C6421" w:rsidRDefault="009D1962">
            <w:pPr>
              <w:pStyle w:val="P68B1DB1-Normal4"/>
              <w:spacing w:after="120"/>
              <w:rPr>
                <w:rFonts w:cs="Arial"/>
                <w:noProof/>
              </w:rPr>
            </w:pPr>
            <w:r>
              <w:rPr>
                <w:noProof/>
              </w:rPr>
              <w:t>(II) wyjaśnienia dotyczące kwestii prywatności: przekazywanie danych z jednego systemu informacyjnego do drugiego nie zmienia własności danych i ich przetwarzania, bez uszczerbku dla obowiązków administracji publicznej, które otrzymują i przetwarzają dane jako niezależni administratorzy danych.</w:t>
            </w:r>
          </w:p>
          <w:p w14:paraId="43F44947" w14:textId="77777777" w:rsidR="004C6421" w:rsidRDefault="009D1962">
            <w:pPr>
              <w:pStyle w:val="P68B1DB1-Normal4"/>
              <w:spacing w:after="120"/>
              <w:rPr>
                <w:rFonts w:cs="Arial"/>
                <w:noProof/>
              </w:rPr>
            </w:pPr>
            <w:r>
              <w:rPr>
                <w:noProof/>
              </w:rPr>
              <w:t>Zmiany w Decreto del Presidente della Repubblica (DPR) 445/2000 dotyczące dostępu do danych:</w:t>
            </w:r>
          </w:p>
          <w:p w14:paraId="0DAC00B0" w14:textId="77777777" w:rsidR="004C6421" w:rsidRDefault="009D1962">
            <w:pPr>
              <w:pStyle w:val="P68B1DB1-Normal4"/>
              <w:spacing w:after="120"/>
              <w:rPr>
                <w:rFonts w:cs="Arial"/>
                <w:noProof/>
              </w:rPr>
            </w:pPr>
            <w:r>
              <w:rPr>
                <w:noProof/>
              </w:rPr>
              <w:t>(i) uchylenie upoważnienia wymaganego do bezpośredniego dostępu do danych;</w:t>
            </w:r>
          </w:p>
          <w:p w14:paraId="1AA315E3" w14:textId="77777777" w:rsidR="004C6421" w:rsidRDefault="009D1962">
            <w:pPr>
              <w:pStyle w:val="P68B1DB1-Normal4"/>
              <w:spacing w:after="120"/>
              <w:rPr>
                <w:rFonts w:cs="Arial"/>
                <w:noProof/>
              </w:rPr>
            </w:pPr>
            <w:r>
              <w:rPr>
                <w:noProof/>
              </w:rPr>
              <w:t>(II) usunięcie odniesienia do umów ramowych w art. 72.</w:t>
            </w:r>
          </w:p>
          <w:p w14:paraId="7D8B76E9" w14:textId="77777777" w:rsidR="004C6421" w:rsidRDefault="009D1962">
            <w:pPr>
              <w:pStyle w:val="P68B1DB1-Normal4"/>
              <w:spacing w:after="120"/>
              <w:rPr>
                <w:rFonts w:cs="Arial"/>
                <w:noProof/>
              </w:rPr>
            </w:pPr>
            <w:r>
              <w:rPr>
                <w:noProof/>
              </w:rPr>
              <w:t>Zmiany w art. 33 dekretu z mocą ustawy 179/2012:</w:t>
            </w:r>
          </w:p>
          <w:p w14:paraId="6A5DB37D" w14:textId="77777777" w:rsidR="004C6421" w:rsidRDefault="009D1962">
            <w:pPr>
              <w:pStyle w:val="P68B1DB1-Normal4"/>
              <w:spacing w:after="120"/>
              <w:rPr>
                <w:rFonts w:cs="Arial"/>
                <w:noProof/>
              </w:rPr>
            </w:pPr>
            <w:r>
              <w:rPr>
                <w:noProof/>
              </w:rPr>
              <w:t>wprowadzenie możliwości uregulowania przez AgID wraz z rozporządzeniem Centri Elaborazione Dati (CED) i rozporządzeniem w sprawie przetwarzania w chmurze warunków i metod, za pomocą których administracje publiczne muszą dokonywać migracji CED;</w:t>
            </w:r>
          </w:p>
          <w:p w14:paraId="27BBC383" w14:textId="77777777" w:rsidR="004C6421" w:rsidRDefault="009D1962">
            <w:pPr>
              <w:pStyle w:val="P68B1DB1-Normal4"/>
              <w:spacing w:after="120"/>
              <w:rPr>
                <w:rFonts w:cs="Arial"/>
                <w:noProof/>
              </w:rPr>
            </w:pPr>
            <w:r>
              <w:rPr>
                <w:noProof/>
              </w:rPr>
              <w:t>(II) wprowadzenie sankcji za niewypełnienie obowiązku migracji do chmury obliczeniowej.</w:t>
            </w:r>
          </w:p>
        </w:tc>
      </w:tr>
      <w:tr w:rsidR="004C6421" w14:paraId="0EAF97BA" w14:textId="77777777">
        <w:trPr>
          <w:trHeight w:val="309"/>
        </w:trPr>
        <w:tc>
          <w:tcPr>
            <w:tcW w:w="1253" w:type="dxa"/>
            <w:shd w:val="clear" w:color="auto" w:fill="C6EFCE"/>
            <w:noWrap/>
            <w:vAlign w:val="center"/>
            <w:hideMark/>
          </w:tcPr>
          <w:p w14:paraId="165E39D6" w14:textId="77777777" w:rsidR="004C6421" w:rsidRDefault="009D1962">
            <w:pPr>
              <w:pStyle w:val="P68B1DB1-Normal4"/>
              <w:jc w:val="center"/>
              <w:rPr>
                <w:rFonts w:cs="Arial"/>
                <w:noProof/>
              </w:rPr>
            </w:pPr>
            <w:r>
              <w:rPr>
                <w:noProof/>
              </w:rPr>
              <w:t>M1C1-3</w:t>
            </w:r>
          </w:p>
        </w:tc>
        <w:tc>
          <w:tcPr>
            <w:tcW w:w="1568" w:type="dxa"/>
            <w:shd w:val="clear" w:color="auto" w:fill="C6EFCE"/>
            <w:noWrap/>
            <w:vAlign w:val="center"/>
            <w:hideMark/>
          </w:tcPr>
          <w:p w14:paraId="37DD731A" w14:textId="77777777" w:rsidR="004C6421" w:rsidRDefault="009D1962">
            <w:pPr>
              <w:pStyle w:val="P68B1DB1-Normal4"/>
              <w:jc w:val="center"/>
              <w:rPr>
                <w:rFonts w:cs="Arial"/>
                <w:noProof/>
              </w:rPr>
            </w:pPr>
            <w:r>
              <w:rPr>
                <w:noProof/>
              </w:rPr>
              <w:t>Inwestycje 1.1: Infrastruktura cyfrowa</w:t>
            </w:r>
          </w:p>
        </w:tc>
        <w:tc>
          <w:tcPr>
            <w:tcW w:w="1148" w:type="dxa"/>
            <w:shd w:val="clear" w:color="auto" w:fill="C6EFCE"/>
            <w:noWrap/>
            <w:vAlign w:val="center"/>
            <w:hideMark/>
          </w:tcPr>
          <w:p w14:paraId="4595744D" w14:textId="46ED4198" w:rsidR="004C6421" w:rsidRDefault="00CC179E">
            <w:pPr>
              <w:pStyle w:val="P68B1DB1-Normal4"/>
              <w:jc w:val="center"/>
              <w:rPr>
                <w:rFonts w:cs="Arial"/>
                <w:noProof/>
              </w:rPr>
            </w:pPr>
            <w:r>
              <w:rPr>
                <w:noProof/>
              </w:rPr>
              <w:t>Milowy</w:t>
            </w:r>
          </w:p>
        </w:tc>
        <w:tc>
          <w:tcPr>
            <w:tcW w:w="1470" w:type="dxa"/>
            <w:shd w:val="clear" w:color="auto" w:fill="C6EFCE"/>
            <w:noWrap/>
            <w:vAlign w:val="center"/>
            <w:hideMark/>
          </w:tcPr>
          <w:p w14:paraId="119B8F3C" w14:textId="77777777" w:rsidR="004C6421" w:rsidRDefault="009D1962">
            <w:pPr>
              <w:pStyle w:val="P68B1DB1-Normal4"/>
              <w:jc w:val="center"/>
              <w:rPr>
                <w:rFonts w:cs="Arial"/>
                <w:noProof/>
              </w:rPr>
            </w:pPr>
            <w:r>
              <w:rPr>
                <w:noProof/>
              </w:rPr>
              <w:t>Zakończenie programu Polo Strategico Nazionale (PSN)</w:t>
            </w:r>
          </w:p>
        </w:tc>
        <w:tc>
          <w:tcPr>
            <w:tcW w:w="1701" w:type="dxa"/>
            <w:shd w:val="clear" w:color="auto" w:fill="C6EFCE"/>
            <w:noWrap/>
            <w:vAlign w:val="center"/>
            <w:hideMark/>
          </w:tcPr>
          <w:p w14:paraId="17D29B6F" w14:textId="77777777" w:rsidR="004C6421" w:rsidRDefault="009D1962">
            <w:pPr>
              <w:pStyle w:val="P68B1DB1-Normal4"/>
              <w:jc w:val="center"/>
              <w:rPr>
                <w:rFonts w:cs="Arial"/>
                <w:noProof/>
              </w:rPr>
            </w:pPr>
            <w:r>
              <w:rPr>
                <w:noProof/>
              </w:rPr>
              <w:t>Sprawozdanie z wdrażania chmury obliczeniowej przez Ministerstwo Innowacji Technologicznych i Transformacji Cyfrowej (MITD)</w:t>
            </w:r>
          </w:p>
        </w:tc>
        <w:tc>
          <w:tcPr>
            <w:tcW w:w="1134" w:type="dxa"/>
            <w:shd w:val="clear" w:color="auto" w:fill="C6EFCE"/>
            <w:noWrap/>
            <w:vAlign w:val="center"/>
          </w:tcPr>
          <w:p w14:paraId="05A1B25E" w14:textId="77777777" w:rsidR="004C6421" w:rsidRDefault="009D1962">
            <w:pPr>
              <w:pStyle w:val="P68B1DB1-Normal4"/>
              <w:jc w:val="center"/>
              <w:rPr>
                <w:rFonts w:cs="Arial"/>
                <w:noProof/>
              </w:rPr>
            </w:pPr>
            <w:r>
              <w:rPr>
                <w:noProof/>
              </w:rPr>
              <w:t>NIE DOT.</w:t>
            </w:r>
          </w:p>
        </w:tc>
        <w:tc>
          <w:tcPr>
            <w:tcW w:w="1417" w:type="dxa"/>
            <w:shd w:val="clear" w:color="auto" w:fill="C6EFCE"/>
            <w:noWrap/>
            <w:vAlign w:val="center"/>
          </w:tcPr>
          <w:p w14:paraId="274466BD" w14:textId="77777777" w:rsidR="004C6421" w:rsidRDefault="009D1962">
            <w:pPr>
              <w:pStyle w:val="P68B1DB1-Normal4"/>
              <w:jc w:val="center"/>
              <w:rPr>
                <w:rFonts w:cs="Arial"/>
                <w:noProof/>
              </w:rPr>
            </w:pPr>
            <w:r>
              <w:rPr>
                <w:noProof/>
              </w:rPr>
              <w:t>NIE DOT.</w:t>
            </w:r>
          </w:p>
        </w:tc>
        <w:tc>
          <w:tcPr>
            <w:tcW w:w="1425" w:type="dxa"/>
            <w:shd w:val="clear" w:color="auto" w:fill="C6EFCE"/>
            <w:noWrap/>
            <w:vAlign w:val="center"/>
          </w:tcPr>
          <w:p w14:paraId="0626290B" w14:textId="77777777" w:rsidR="004C6421" w:rsidRDefault="009D1962">
            <w:pPr>
              <w:pStyle w:val="P68B1DB1-Normal4"/>
              <w:jc w:val="center"/>
              <w:rPr>
                <w:rFonts w:cs="Arial"/>
                <w:noProof/>
              </w:rPr>
            </w:pPr>
            <w:r>
              <w:rPr>
                <w:noProof/>
              </w:rPr>
              <w:t>NIE DOT.</w:t>
            </w:r>
          </w:p>
        </w:tc>
        <w:tc>
          <w:tcPr>
            <w:tcW w:w="843" w:type="dxa"/>
            <w:shd w:val="clear" w:color="auto" w:fill="C6EFCE"/>
            <w:noWrap/>
            <w:vAlign w:val="center"/>
            <w:hideMark/>
          </w:tcPr>
          <w:p w14:paraId="0101504F" w14:textId="16FA4122" w:rsidR="004C6421" w:rsidRDefault="00CC179E">
            <w:pPr>
              <w:pStyle w:val="P68B1DB1-Normal4"/>
              <w:jc w:val="center"/>
              <w:rPr>
                <w:rFonts w:cs="Arial"/>
                <w:noProof/>
              </w:rPr>
            </w:pPr>
            <w:r>
              <w:rPr>
                <w:noProof/>
              </w:rPr>
              <w:t>KW. 4</w:t>
            </w:r>
          </w:p>
        </w:tc>
        <w:tc>
          <w:tcPr>
            <w:tcW w:w="567" w:type="dxa"/>
            <w:shd w:val="clear" w:color="auto" w:fill="C6EFCE"/>
            <w:noWrap/>
            <w:vAlign w:val="center"/>
            <w:hideMark/>
          </w:tcPr>
          <w:p w14:paraId="2A729ADA" w14:textId="77777777" w:rsidR="004C6421" w:rsidRDefault="009D1962">
            <w:pPr>
              <w:pStyle w:val="P68B1DB1-Normal4"/>
              <w:jc w:val="center"/>
              <w:rPr>
                <w:rFonts w:cs="Arial"/>
                <w:noProof/>
              </w:rPr>
            </w:pPr>
            <w:r>
              <w:rPr>
                <w:noProof/>
              </w:rPr>
              <w:t>2022</w:t>
            </w:r>
          </w:p>
        </w:tc>
        <w:tc>
          <w:tcPr>
            <w:tcW w:w="2977" w:type="dxa"/>
            <w:shd w:val="clear" w:color="auto" w:fill="C6EFCE"/>
            <w:noWrap/>
            <w:vAlign w:val="center"/>
            <w:hideMark/>
          </w:tcPr>
          <w:p w14:paraId="09AB60DC" w14:textId="77777777" w:rsidR="004C6421" w:rsidRDefault="009D1962">
            <w:pPr>
              <w:pStyle w:val="P68B1DB1-Normal4"/>
              <w:spacing w:after="120"/>
              <w:rPr>
                <w:rFonts w:cs="Arial"/>
                <w:noProof/>
              </w:rPr>
            </w:pPr>
            <w:r>
              <w:rPr>
                <w:noProof/>
              </w:rPr>
              <w:t>Pełne zakończenie całego projektu zostanie osiągnięte, gdy wszystkie docelowe administracje publiczne doprowadzą do przeniesienia zidentyfikowanych stojaków w kierunku Polo Strategico Nazionale (PSN) i pomyślnie zakończy się testowanie czterech ośrodków danych, co umożliwia rozpoczęcie procesu migracji zbiorów danych i aplikacji ukierunkowanych administracji publicznych do PSN.</w:t>
            </w:r>
          </w:p>
        </w:tc>
      </w:tr>
      <w:tr w:rsidR="004C6421" w14:paraId="1DC18522" w14:textId="77777777">
        <w:trPr>
          <w:trHeight w:val="309"/>
        </w:trPr>
        <w:tc>
          <w:tcPr>
            <w:tcW w:w="1253" w:type="dxa"/>
            <w:shd w:val="clear" w:color="auto" w:fill="C6EFCE"/>
            <w:noWrap/>
            <w:vAlign w:val="center"/>
          </w:tcPr>
          <w:p w14:paraId="015C7475" w14:textId="77777777" w:rsidR="004C6421" w:rsidRDefault="009D1962">
            <w:pPr>
              <w:pStyle w:val="P68B1DB1-Normal4"/>
              <w:jc w:val="center"/>
              <w:rPr>
                <w:rFonts w:cs="Arial"/>
                <w:noProof/>
              </w:rPr>
            </w:pPr>
            <w:r>
              <w:rPr>
                <w:noProof/>
              </w:rPr>
              <w:t>M1C1-4</w:t>
            </w:r>
          </w:p>
        </w:tc>
        <w:tc>
          <w:tcPr>
            <w:tcW w:w="1568" w:type="dxa"/>
            <w:shd w:val="clear" w:color="auto" w:fill="C6EFCE"/>
            <w:noWrap/>
            <w:vAlign w:val="center"/>
          </w:tcPr>
          <w:p w14:paraId="52EC58F9" w14:textId="77777777" w:rsidR="004C6421" w:rsidRDefault="009D1962">
            <w:pPr>
              <w:pStyle w:val="P68B1DB1-Normal4"/>
              <w:jc w:val="center"/>
              <w:rPr>
                <w:rFonts w:cs="Arial"/>
                <w:noProof/>
              </w:rPr>
            </w:pPr>
            <w:r>
              <w:rPr>
                <w:noProof/>
              </w:rPr>
              <w:t>Inwestycja 1.3.1: Krajowa platforma danych cyfrowych</w:t>
            </w:r>
          </w:p>
        </w:tc>
        <w:tc>
          <w:tcPr>
            <w:tcW w:w="1148" w:type="dxa"/>
            <w:shd w:val="clear" w:color="auto" w:fill="C6EFCE"/>
            <w:noWrap/>
            <w:vAlign w:val="center"/>
          </w:tcPr>
          <w:p w14:paraId="501E2DF3" w14:textId="19A171D2" w:rsidR="004C6421" w:rsidRDefault="00CC179E">
            <w:pPr>
              <w:pStyle w:val="P68B1DB1-Normal4"/>
              <w:jc w:val="center"/>
              <w:rPr>
                <w:rFonts w:cs="Arial"/>
                <w:noProof/>
              </w:rPr>
            </w:pPr>
            <w:r>
              <w:rPr>
                <w:noProof/>
              </w:rPr>
              <w:t>Milowy</w:t>
            </w:r>
          </w:p>
        </w:tc>
        <w:tc>
          <w:tcPr>
            <w:tcW w:w="1470" w:type="dxa"/>
            <w:shd w:val="clear" w:color="auto" w:fill="C6EFCE"/>
            <w:noWrap/>
            <w:vAlign w:val="center"/>
          </w:tcPr>
          <w:p w14:paraId="30D596AC" w14:textId="77777777" w:rsidR="004C6421" w:rsidRDefault="009D1962">
            <w:pPr>
              <w:pStyle w:val="P68B1DB1-Normal4"/>
              <w:jc w:val="center"/>
              <w:rPr>
                <w:rFonts w:cs="Arial"/>
                <w:noProof/>
              </w:rPr>
            </w:pPr>
            <w:r>
              <w:rPr>
                <w:noProof/>
              </w:rPr>
              <w:t>Operacyjna krajowa platforma danych cyfrowych</w:t>
            </w:r>
          </w:p>
        </w:tc>
        <w:tc>
          <w:tcPr>
            <w:tcW w:w="1701" w:type="dxa"/>
            <w:shd w:val="clear" w:color="auto" w:fill="C6EFCE"/>
            <w:noWrap/>
            <w:vAlign w:val="center"/>
          </w:tcPr>
          <w:p w14:paraId="0D0224B2" w14:textId="77777777" w:rsidR="004C6421" w:rsidRDefault="009D1962">
            <w:pPr>
              <w:pStyle w:val="P68B1DB1-Normal4"/>
              <w:jc w:val="center"/>
              <w:rPr>
                <w:rFonts w:cs="Arial"/>
                <w:noProof/>
              </w:rPr>
            </w:pPr>
            <w:r>
              <w:rPr>
                <w:noProof/>
              </w:rPr>
              <w:t>Sprawozdanie Ministerstwa Innowacji Technologicznych i Transformacji Cyfrowej (MITD) przedstawiające uruchomienie krajowej platformy danych cyfrowych</w:t>
            </w:r>
          </w:p>
        </w:tc>
        <w:tc>
          <w:tcPr>
            <w:tcW w:w="1134" w:type="dxa"/>
            <w:shd w:val="clear" w:color="auto" w:fill="C6EFCE"/>
            <w:noWrap/>
            <w:vAlign w:val="center"/>
          </w:tcPr>
          <w:p w14:paraId="26467CD5" w14:textId="77777777" w:rsidR="004C6421" w:rsidRDefault="009D1962">
            <w:pPr>
              <w:pStyle w:val="P68B1DB1-Normal4"/>
              <w:jc w:val="center"/>
              <w:rPr>
                <w:rFonts w:cs="Arial"/>
                <w:noProof/>
              </w:rPr>
            </w:pPr>
            <w:r>
              <w:rPr>
                <w:noProof/>
              </w:rPr>
              <w:t>NIE DOT.</w:t>
            </w:r>
          </w:p>
        </w:tc>
        <w:tc>
          <w:tcPr>
            <w:tcW w:w="1417" w:type="dxa"/>
            <w:shd w:val="clear" w:color="auto" w:fill="C6EFCE"/>
            <w:noWrap/>
            <w:vAlign w:val="center"/>
          </w:tcPr>
          <w:p w14:paraId="792FCBBF" w14:textId="77777777" w:rsidR="004C6421" w:rsidRDefault="009D1962">
            <w:pPr>
              <w:pStyle w:val="P68B1DB1-Normal4"/>
              <w:jc w:val="center"/>
              <w:rPr>
                <w:rFonts w:cs="Arial"/>
                <w:noProof/>
              </w:rPr>
            </w:pPr>
            <w:r>
              <w:rPr>
                <w:noProof/>
              </w:rPr>
              <w:t>NIE DOT.</w:t>
            </w:r>
          </w:p>
        </w:tc>
        <w:tc>
          <w:tcPr>
            <w:tcW w:w="1425" w:type="dxa"/>
            <w:shd w:val="clear" w:color="auto" w:fill="C6EFCE"/>
            <w:noWrap/>
            <w:vAlign w:val="center"/>
          </w:tcPr>
          <w:p w14:paraId="39A84C75" w14:textId="77777777" w:rsidR="004C6421" w:rsidRDefault="009D1962">
            <w:pPr>
              <w:pStyle w:val="P68B1DB1-Normal4"/>
              <w:jc w:val="center"/>
              <w:rPr>
                <w:rFonts w:cs="Arial"/>
                <w:noProof/>
              </w:rPr>
            </w:pPr>
            <w:r>
              <w:rPr>
                <w:noProof/>
              </w:rPr>
              <w:t>NIE DOT.</w:t>
            </w:r>
          </w:p>
        </w:tc>
        <w:tc>
          <w:tcPr>
            <w:tcW w:w="843" w:type="dxa"/>
            <w:shd w:val="clear" w:color="auto" w:fill="C6EFCE"/>
            <w:noWrap/>
            <w:vAlign w:val="center"/>
          </w:tcPr>
          <w:p w14:paraId="0889F7E7" w14:textId="61984F2B" w:rsidR="004C6421" w:rsidRDefault="00CC179E">
            <w:pPr>
              <w:pStyle w:val="P68B1DB1-Normal4"/>
              <w:jc w:val="center"/>
              <w:rPr>
                <w:rFonts w:cs="Arial"/>
                <w:noProof/>
              </w:rPr>
            </w:pPr>
            <w:r>
              <w:rPr>
                <w:noProof/>
              </w:rPr>
              <w:t>KW. 4</w:t>
            </w:r>
          </w:p>
        </w:tc>
        <w:tc>
          <w:tcPr>
            <w:tcW w:w="567" w:type="dxa"/>
            <w:shd w:val="clear" w:color="auto" w:fill="C6EFCE"/>
            <w:noWrap/>
            <w:vAlign w:val="center"/>
          </w:tcPr>
          <w:p w14:paraId="2FF812C4" w14:textId="77777777" w:rsidR="004C6421" w:rsidRDefault="009D1962">
            <w:pPr>
              <w:pStyle w:val="P68B1DB1-Normal4"/>
              <w:jc w:val="center"/>
              <w:rPr>
                <w:rFonts w:cs="Arial"/>
                <w:noProof/>
              </w:rPr>
            </w:pPr>
            <w:r>
              <w:rPr>
                <w:noProof/>
              </w:rPr>
              <w:t>2022</w:t>
            </w:r>
          </w:p>
        </w:tc>
        <w:tc>
          <w:tcPr>
            <w:tcW w:w="2977" w:type="dxa"/>
            <w:shd w:val="clear" w:color="auto" w:fill="C6EFCE"/>
            <w:noWrap/>
            <w:vAlign w:val="center"/>
          </w:tcPr>
          <w:p w14:paraId="5AF4A55F" w14:textId="77777777" w:rsidR="004C6421" w:rsidRDefault="009D1962">
            <w:pPr>
              <w:pStyle w:val="P68B1DB1-Normal4"/>
              <w:spacing w:after="120"/>
              <w:rPr>
                <w:rFonts w:cs="Arial"/>
                <w:noProof/>
              </w:rPr>
            </w:pPr>
            <w:r>
              <w:rPr>
                <w:noProof/>
              </w:rPr>
              <w:t>Platforma umożliwia agencjom:</w:t>
            </w:r>
          </w:p>
          <w:p w14:paraId="767901E1" w14:textId="77777777" w:rsidR="004C6421" w:rsidRDefault="009D1962">
            <w:pPr>
              <w:pStyle w:val="P68B1DB1-Normal4"/>
              <w:spacing w:after="120"/>
              <w:rPr>
                <w:rFonts w:cs="Arial"/>
                <w:noProof/>
              </w:rPr>
            </w:pPr>
            <w:r>
              <w:rPr>
                <w:noProof/>
              </w:rPr>
              <w:t>— opublikowanie swoich interfejsów programowania aplikacji (API) w katalogu API platformy;</w:t>
            </w:r>
          </w:p>
          <w:p w14:paraId="1B4A02CF" w14:textId="77777777" w:rsidR="004C6421" w:rsidRDefault="009D1962">
            <w:pPr>
              <w:pStyle w:val="P68B1DB1-Normal4"/>
              <w:spacing w:after="120"/>
              <w:rPr>
                <w:rFonts w:cs="Arial"/>
                <w:noProof/>
              </w:rPr>
            </w:pPr>
            <w:r>
              <w:rPr>
                <w:noProof/>
              </w:rPr>
              <w:t>— zawieranie i podpisywanie umów o interoperacyjności cyfrowej za pośrednictwem platformy;</w:t>
            </w:r>
          </w:p>
          <w:p w14:paraId="015A9299" w14:textId="77777777" w:rsidR="004C6421" w:rsidRDefault="009D1962">
            <w:pPr>
              <w:pStyle w:val="P68B1DB1-Normal4"/>
              <w:spacing w:after="120"/>
              <w:rPr>
                <w:rFonts w:cs="Arial"/>
                <w:noProof/>
              </w:rPr>
            </w:pPr>
            <w:r>
              <w:rPr>
                <w:noProof/>
              </w:rPr>
              <w:t>uwierzytelnianie i autoryzacja dostępu API przy użyciu funkcji platformy;</w:t>
            </w:r>
          </w:p>
          <w:p w14:paraId="0AB6B16E" w14:textId="77777777" w:rsidR="004C6421" w:rsidRDefault="009D1962">
            <w:pPr>
              <w:pStyle w:val="P68B1DB1-Normal4"/>
              <w:spacing w:after="120"/>
              <w:rPr>
                <w:rFonts w:cs="Arial"/>
                <w:noProof/>
              </w:rPr>
            </w:pPr>
            <w:r>
              <w:rPr>
                <w:noProof/>
              </w:rPr>
              <w:t>— zatwierdzenie i ocena zgodności z krajowymi ramami interoperacyjności.</w:t>
            </w:r>
          </w:p>
        </w:tc>
      </w:tr>
      <w:tr w:rsidR="004C6421" w14:paraId="65BF0B93" w14:textId="77777777">
        <w:trPr>
          <w:trHeight w:val="309"/>
        </w:trPr>
        <w:tc>
          <w:tcPr>
            <w:tcW w:w="1253" w:type="dxa"/>
            <w:shd w:val="clear" w:color="auto" w:fill="C6EFCE"/>
            <w:noWrap/>
            <w:vAlign w:val="center"/>
          </w:tcPr>
          <w:p w14:paraId="241D22DC" w14:textId="77777777" w:rsidR="004C6421" w:rsidRDefault="009D1962">
            <w:pPr>
              <w:pStyle w:val="P68B1DB1-Normal4"/>
              <w:jc w:val="center"/>
              <w:rPr>
                <w:rFonts w:cs="Arial"/>
                <w:noProof/>
              </w:rPr>
            </w:pPr>
            <w:r>
              <w:rPr>
                <w:noProof/>
              </w:rPr>
              <w:t>M1C1-5</w:t>
            </w:r>
          </w:p>
        </w:tc>
        <w:tc>
          <w:tcPr>
            <w:tcW w:w="1568" w:type="dxa"/>
            <w:shd w:val="clear" w:color="auto" w:fill="C6EFCE"/>
            <w:noWrap/>
            <w:vAlign w:val="center"/>
          </w:tcPr>
          <w:p w14:paraId="0CCF2848" w14:textId="77777777" w:rsidR="004C6421" w:rsidRDefault="009D1962">
            <w:pPr>
              <w:pStyle w:val="P68B1DB1-Normal4"/>
              <w:jc w:val="center"/>
              <w:rPr>
                <w:rFonts w:cs="Arial"/>
                <w:noProof/>
              </w:rPr>
            </w:pPr>
            <w:r>
              <w:rPr>
                <w:noProof/>
              </w:rPr>
              <w:t>Inwestycja 1.5: Cyberbezpieczeństwo</w:t>
            </w:r>
          </w:p>
        </w:tc>
        <w:tc>
          <w:tcPr>
            <w:tcW w:w="1148" w:type="dxa"/>
            <w:shd w:val="clear" w:color="auto" w:fill="C6EFCE"/>
            <w:noWrap/>
            <w:vAlign w:val="center"/>
          </w:tcPr>
          <w:p w14:paraId="0248FF88" w14:textId="2B220235" w:rsidR="004C6421" w:rsidRDefault="00CC179E">
            <w:pPr>
              <w:pStyle w:val="P68B1DB1-Normal4"/>
              <w:jc w:val="center"/>
              <w:rPr>
                <w:rFonts w:cs="Arial"/>
                <w:noProof/>
              </w:rPr>
            </w:pPr>
            <w:r>
              <w:rPr>
                <w:noProof/>
              </w:rPr>
              <w:t>Milowy</w:t>
            </w:r>
          </w:p>
        </w:tc>
        <w:tc>
          <w:tcPr>
            <w:tcW w:w="1470" w:type="dxa"/>
            <w:shd w:val="clear" w:color="auto" w:fill="C6EFCE"/>
            <w:noWrap/>
            <w:vAlign w:val="center"/>
          </w:tcPr>
          <w:p w14:paraId="457FA410" w14:textId="77777777" w:rsidR="004C6421" w:rsidRDefault="009D1962">
            <w:pPr>
              <w:pStyle w:val="P68B1DB1-Normal4"/>
              <w:jc w:val="center"/>
              <w:rPr>
                <w:rFonts w:cs="Arial"/>
                <w:noProof/>
              </w:rPr>
            </w:pPr>
            <w:r>
              <w:rPr>
                <w:noProof/>
              </w:rPr>
              <w:t>Utworzenie nowej Krajowej Agencji ds. Cyberbezpieczeństwa</w:t>
            </w:r>
          </w:p>
        </w:tc>
        <w:tc>
          <w:tcPr>
            <w:tcW w:w="1701" w:type="dxa"/>
            <w:shd w:val="clear" w:color="auto" w:fill="C6EFCE"/>
            <w:noWrap/>
            <w:vAlign w:val="center"/>
          </w:tcPr>
          <w:p w14:paraId="4CC5DCFB" w14:textId="77777777" w:rsidR="004C6421" w:rsidRDefault="009D1962">
            <w:pPr>
              <w:pStyle w:val="P68B1DB1-Normal4"/>
              <w:jc w:val="center"/>
              <w:rPr>
                <w:rFonts w:cs="Arial"/>
                <w:noProof/>
              </w:rPr>
            </w:pPr>
            <w:r>
              <w:rPr>
                <w:noProof/>
              </w:rPr>
              <w:t>Ustawa konstytucyjna o charakterze administracyjnym</w:t>
            </w:r>
          </w:p>
        </w:tc>
        <w:tc>
          <w:tcPr>
            <w:tcW w:w="1134" w:type="dxa"/>
            <w:shd w:val="clear" w:color="auto" w:fill="C6EFCE"/>
            <w:noWrap/>
            <w:vAlign w:val="center"/>
          </w:tcPr>
          <w:p w14:paraId="5DBB7634" w14:textId="77777777" w:rsidR="004C6421" w:rsidRDefault="009D1962">
            <w:pPr>
              <w:pStyle w:val="P68B1DB1-Normal4"/>
              <w:jc w:val="center"/>
              <w:rPr>
                <w:rFonts w:cs="Arial"/>
                <w:noProof/>
              </w:rPr>
            </w:pPr>
            <w:r>
              <w:rPr>
                <w:noProof/>
              </w:rPr>
              <w:t>NIE DOT.</w:t>
            </w:r>
          </w:p>
        </w:tc>
        <w:tc>
          <w:tcPr>
            <w:tcW w:w="1417" w:type="dxa"/>
            <w:shd w:val="clear" w:color="auto" w:fill="C6EFCE"/>
            <w:noWrap/>
            <w:vAlign w:val="center"/>
          </w:tcPr>
          <w:p w14:paraId="7BB28DBE" w14:textId="77777777" w:rsidR="004C6421" w:rsidRDefault="009D1962">
            <w:pPr>
              <w:pStyle w:val="P68B1DB1-Normal4"/>
              <w:jc w:val="center"/>
              <w:rPr>
                <w:rFonts w:cs="Arial"/>
                <w:noProof/>
              </w:rPr>
            </w:pPr>
            <w:r>
              <w:rPr>
                <w:noProof/>
              </w:rPr>
              <w:t>NIE DOT.</w:t>
            </w:r>
          </w:p>
        </w:tc>
        <w:tc>
          <w:tcPr>
            <w:tcW w:w="1425" w:type="dxa"/>
            <w:shd w:val="clear" w:color="auto" w:fill="C6EFCE"/>
            <w:noWrap/>
            <w:vAlign w:val="center"/>
          </w:tcPr>
          <w:p w14:paraId="0BF49E99" w14:textId="77777777" w:rsidR="004C6421" w:rsidRDefault="009D1962">
            <w:pPr>
              <w:pStyle w:val="P68B1DB1-Normal4"/>
              <w:jc w:val="center"/>
              <w:rPr>
                <w:rFonts w:cs="Arial"/>
                <w:noProof/>
              </w:rPr>
            </w:pPr>
            <w:r>
              <w:rPr>
                <w:noProof/>
              </w:rPr>
              <w:t>NIE DOT.</w:t>
            </w:r>
          </w:p>
        </w:tc>
        <w:tc>
          <w:tcPr>
            <w:tcW w:w="843" w:type="dxa"/>
            <w:shd w:val="clear" w:color="auto" w:fill="C6EFCE"/>
            <w:noWrap/>
            <w:vAlign w:val="center"/>
          </w:tcPr>
          <w:p w14:paraId="42750EB3" w14:textId="52BB8012" w:rsidR="004C6421" w:rsidRDefault="00CC179E">
            <w:pPr>
              <w:pStyle w:val="P68B1DB1-Normal4"/>
              <w:jc w:val="center"/>
              <w:rPr>
                <w:rFonts w:cs="Arial"/>
                <w:noProof/>
              </w:rPr>
            </w:pPr>
            <w:r>
              <w:rPr>
                <w:noProof/>
              </w:rPr>
              <w:t>KW. 4</w:t>
            </w:r>
          </w:p>
        </w:tc>
        <w:tc>
          <w:tcPr>
            <w:tcW w:w="567" w:type="dxa"/>
            <w:shd w:val="clear" w:color="auto" w:fill="C6EFCE"/>
            <w:noWrap/>
            <w:vAlign w:val="center"/>
          </w:tcPr>
          <w:p w14:paraId="1FC1CEEF" w14:textId="77777777" w:rsidR="004C6421" w:rsidRDefault="009D1962">
            <w:pPr>
              <w:pStyle w:val="P68B1DB1-Normal4"/>
              <w:jc w:val="center"/>
              <w:rPr>
                <w:rFonts w:cs="Arial"/>
                <w:noProof/>
              </w:rPr>
            </w:pPr>
            <w:r>
              <w:rPr>
                <w:noProof/>
              </w:rPr>
              <w:t>2022</w:t>
            </w:r>
          </w:p>
        </w:tc>
        <w:tc>
          <w:tcPr>
            <w:tcW w:w="2977" w:type="dxa"/>
            <w:shd w:val="clear" w:color="auto" w:fill="C6EFCE"/>
            <w:noWrap/>
            <w:vAlign w:val="center"/>
          </w:tcPr>
          <w:p w14:paraId="692C5B7F" w14:textId="77777777" w:rsidR="004C6421" w:rsidRDefault="009D1962">
            <w:pPr>
              <w:pStyle w:val="P68B1DB1-Normal4"/>
              <w:spacing w:after="120"/>
              <w:rPr>
                <w:rFonts w:cs="Arial"/>
                <w:noProof/>
              </w:rPr>
            </w:pPr>
            <w:r>
              <w:rPr>
                <w:noProof/>
              </w:rPr>
              <w:t>Cel pośredni należy osiągnąć poprzez (1) przekształcenie w prawo dekretu z mocą ustawy ustanawiającego Krajową Agencję ds. Bezpieczeństwa Cybernetycznego, który jest obecnie finalizowany; 2) opublikowanie w Dzienniku Urzędowym dekretu Prezesa Rady Ministrów (Decreto del Presidente del Consiglio dei Ministri, DPCM) zawierającego przepisy wewnętrzne Krajowej Agencji ds. Cyberbezpieczeństwa.</w:t>
            </w:r>
          </w:p>
        </w:tc>
      </w:tr>
      <w:tr w:rsidR="004C6421" w14:paraId="78FF4C2B" w14:textId="77777777">
        <w:trPr>
          <w:trHeight w:val="309"/>
        </w:trPr>
        <w:tc>
          <w:tcPr>
            <w:tcW w:w="1253" w:type="dxa"/>
            <w:shd w:val="clear" w:color="auto" w:fill="C6EFCE"/>
            <w:noWrap/>
            <w:vAlign w:val="center"/>
          </w:tcPr>
          <w:p w14:paraId="6D2BEA94" w14:textId="77777777" w:rsidR="004C6421" w:rsidRDefault="009D1962">
            <w:pPr>
              <w:pStyle w:val="P68B1DB1-Normal4"/>
              <w:jc w:val="center"/>
              <w:rPr>
                <w:rFonts w:cs="Arial"/>
                <w:noProof/>
              </w:rPr>
            </w:pPr>
            <w:r>
              <w:rPr>
                <w:noProof/>
              </w:rPr>
              <w:t>M1C1-6</w:t>
            </w:r>
          </w:p>
        </w:tc>
        <w:tc>
          <w:tcPr>
            <w:tcW w:w="1568" w:type="dxa"/>
            <w:shd w:val="clear" w:color="auto" w:fill="C6EFCE"/>
            <w:noWrap/>
            <w:vAlign w:val="center"/>
          </w:tcPr>
          <w:p w14:paraId="48D32A59" w14:textId="77777777" w:rsidR="004C6421" w:rsidRDefault="009D1962">
            <w:pPr>
              <w:pStyle w:val="P68B1DB1-Normal4"/>
              <w:jc w:val="center"/>
              <w:rPr>
                <w:rFonts w:cs="Arial"/>
                <w:noProof/>
              </w:rPr>
            </w:pPr>
            <w:r>
              <w:rPr>
                <w:noProof/>
              </w:rPr>
              <w:t>Inwestycja 1.5: Cyberbezpieczeństwo</w:t>
            </w:r>
          </w:p>
        </w:tc>
        <w:tc>
          <w:tcPr>
            <w:tcW w:w="1148" w:type="dxa"/>
            <w:shd w:val="clear" w:color="auto" w:fill="C6EFCE"/>
            <w:noWrap/>
            <w:vAlign w:val="center"/>
          </w:tcPr>
          <w:p w14:paraId="680C7877" w14:textId="7E2D240D" w:rsidR="004C6421" w:rsidRDefault="00CC179E">
            <w:pPr>
              <w:pStyle w:val="P68B1DB1-Normal4"/>
              <w:jc w:val="center"/>
              <w:rPr>
                <w:rFonts w:cs="Arial"/>
                <w:noProof/>
              </w:rPr>
            </w:pPr>
            <w:r>
              <w:rPr>
                <w:noProof/>
              </w:rPr>
              <w:t>Milowy</w:t>
            </w:r>
          </w:p>
        </w:tc>
        <w:tc>
          <w:tcPr>
            <w:tcW w:w="1470" w:type="dxa"/>
            <w:shd w:val="clear" w:color="auto" w:fill="C6EFCE"/>
            <w:noWrap/>
            <w:vAlign w:val="center"/>
          </w:tcPr>
          <w:p w14:paraId="417648CB" w14:textId="77777777" w:rsidR="004C6421" w:rsidRDefault="009D1962">
            <w:pPr>
              <w:pStyle w:val="P68B1DB1-Normal4"/>
              <w:jc w:val="center"/>
              <w:rPr>
                <w:rFonts w:cs="Arial"/>
                <w:noProof/>
              </w:rPr>
            </w:pPr>
            <w:r>
              <w:rPr>
                <w:noProof/>
              </w:rPr>
              <w:t>Wstępne wdrożenie krajowych usług w zakresie cyberbezpieczeństwa</w:t>
            </w:r>
          </w:p>
        </w:tc>
        <w:tc>
          <w:tcPr>
            <w:tcW w:w="1701" w:type="dxa"/>
            <w:shd w:val="clear" w:color="auto" w:fill="C6EFCE"/>
            <w:noWrap/>
            <w:vAlign w:val="center"/>
          </w:tcPr>
          <w:p w14:paraId="71D36C3C" w14:textId="77777777" w:rsidR="004C6421" w:rsidRDefault="009D1962">
            <w:pPr>
              <w:pStyle w:val="P68B1DB1-Normal4"/>
              <w:jc w:val="center"/>
              <w:rPr>
                <w:rFonts w:cs="Arial"/>
                <w:noProof/>
              </w:rPr>
            </w:pPr>
            <w:r>
              <w:rPr>
                <w:noProof/>
              </w:rPr>
              <w:t>Sprawozdanie przedstawiające pełną architekturę krajowych usług w zakresie cyberbezpieczeństwa</w:t>
            </w:r>
          </w:p>
        </w:tc>
        <w:tc>
          <w:tcPr>
            <w:tcW w:w="1134" w:type="dxa"/>
            <w:shd w:val="clear" w:color="auto" w:fill="C6EFCE"/>
            <w:noWrap/>
            <w:vAlign w:val="center"/>
          </w:tcPr>
          <w:p w14:paraId="56EC277E" w14:textId="77777777" w:rsidR="004C6421" w:rsidRDefault="009D1962">
            <w:pPr>
              <w:pStyle w:val="P68B1DB1-Normal4"/>
              <w:jc w:val="center"/>
              <w:rPr>
                <w:rFonts w:cs="Arial"/>
                <w:noProof/>
              </w:rPr>
            </w:pPr>
            <w:r>
              <w:rPr>
                <w:noProof/>
              </w:rPr>
              <w:t>NIE DOT.</w:t>
            </w:r>
          </w:p>
        </w:tc>
        <w:tc>
          <w:tcPr>
            <w:tcW w:w="1417" w:type="dxa"/>
            <w:shd w:val="clear" w:color="auto" w:fill="C6EFCE"/>
            <w:noWrap/>
            <w:vAlign w:val="center"/>
          </w:tcPr>
          <w:p w14:paraId="3CB3E39E" w14:textId="77777777" w:rsidR="004C6421" w:rsidRDefault="009D1962">
            <w:pPr>
              <w:pStyle w:val="P68B1DB1-Normal4"/>
              <w:jc w:val="center"/>
              <w:rPr>
                <w:rFonts w:cs="Arial"/>
                <w:noProof/>
              </w:rPr>
            </w:pPr>
            <w:r>
              <w:rPr>
                <w:noProof/>
              </w:rPr>
              <w:t>NIE DOT.</w:t>
            </w:r>
          </w:p>
        </w:tc>
        <w:tc>
          <w:tcPr>
            <w:tcW w:w="1425" w:type="dxa"/>
            <w:shd w:val="clear" w:color="auto" w:fill="C6EFCE"/>
            <w:noWrap/>
            <w:vAlign w:val="center"/>
          </w:tcPr>
          <w:p w14:paraId="5C2FEBE1" w14:textId="77777777" w:rsidR="004C6421" w:rsidRDefault="009D1962">
            <w:pPr>
              <w:pStyle w:val="P68B1DB1-Normal4"/>
              <w:jc w:val="center"/>
              <w:rPr>
                <w:rFonts w:cs="Arial"/>
                <w:noProof/>
              </w:rPr>
            </w:pPr>
            <w:r>
              <w:rPr>
                <w:noProof/>
              </w:rPr>
              <w:t>NIE DOT.</w:t>
            </w:r>
          </w:p>
        </w:tc>
        <w:tc>
          <w:tcPr>
            <w:tcW w:w="843" w:type="dxa"/>
            <w:shd w:val="clear" w:color="auto" w:fill="C6EFCE"/>
            <w:noWrap/>
            <w:vAlign w:val="center"/>
          </w:tcPr>
          <w:p w14:paraId="3578FB85" w14:textId="24CD0E0C" w:rsidR="004C6421" w:rsidRDefault="00CC179E">
            <w:pPr>
              <w:pStyle w:val="P68B1DB1-Normal4"/>
              <w:jc w:val="center"/>
              <w:rPr>
                <w:rFonts w:cs="Arial"/>
                <w:noProof/>
              </w:rPr>
            </w:pPr>
            <w:r>
              <w:rPr>
                <w:noProof/>
              </w:rPr>
              <w:t>KW. 4</w:t>
            </w:r>
          </w:p>
        </w:tc>
        <w:tc>
          <w:tcPr>
            <w:tcW w:w="567" w:type="dxa"/>
            <w:shd w:val="clear" w:color="auto" w:fill="C6EFCE"/>
            <w:noWrap/>
            <w:vAlign w:val="center"/>
          </w:tcPr>
          <w:p w14:paraId="7D55DC8D" w14:textId="77777777" w:rsidR="004C6421" w:rsidRDefault="009D1962">
            <w:pPr>
              <w:pStyle w:val="P68B1DB1-Normal4"/>
              <w:jc w:val="center"/>
              <w:rPr>
                <w:rFonts w:cs="Arial"/>
                <w:noProof/>
              </w:rPr>
            </w:pPr>
            <w:r>
              <w:rPr>
                <w:noProof/>
              </w:rPr>
              <w:t>2022</w:t>
            </w:r>
          </w:p>
        </w:tc>
        <w:tc>
          <w:tcPr>
            <w:tcW w:w="2977" w:type="dxa"/>
            <w:shd w:val="clear" w:color="auto" w:fill="C6EFCE"/>
            <w:noWrap/>
            <w:vAlign w:val="center"/>
          </w:tcPr>
          <w:p w14:paraId="61FB191D" w14:textId="77777777" w:rsidR="004C6421" w:rsidRDefault="009D1962">
            <w:pPr>
              <w:pStyle w:val="P68B1DB1-Normal4"/>
              <w:spacing w:after="120"/>
              <w:rPr>
                <w:rFonts w:cs="Arial"/>
                <w:noProof/>
              </w:rPr>
            </w:pPr>
            <w:r>
              <w:rPr>
                <w:noProof/>
              </w:rPr>
              <w:t>Cel pośredni należy osiągnąć poprzez określenie szczegółowej architektury całego ekosystemu krajowej architektury cyberbezpieczeństwa (tj. krajowego centrum wymiany i analizy informacji (ISAC), sieci zespołów reagowania na incydenty komputerowe (CERT), krajowego HyperSOC, obliczeń wielkiej skali zintegrowanych z narzędziami sztucznej inteligencji/uczenia się maszyn (AI/ML) w celu analizy incydentów cyberbezpieczeństwa na szczeblu krajowym).</w:t>
            </w:r>
          </w:p>
        </w:tc>
      </w:tr>
      <w:tr w:rsidR="004C6421" w14:paraId="67245132" w14:textId="77777777">
        <w:trPr>
          <w:trHeight w:val="309"/>
        </w:trPr>
        <w:tc>
          <w:tcPr>
            <w:tcW w:w="1253" w:type="dxa"/>
            <w:shd w:val="clear" w:color="auto" w:fill="C6EFCE"/>
            <w:noWrap/>
            <w:vAlign w:val="center"/>
          </w:tcPr>
          <w:p w14:paraId="7519F744" w14:textId="77777777" w:rsidR="004C6421" w:rsidRDefault="009D1962">
            <w:pPr>
              <w:pStyle w:val="P68B1DB1-Normal4"/>
              <w:jc w:val="center"/>
              <w:rPr>
                <w:rFonts w:cs="Arial"/>
                <w:noProof/>
              </w:rPr>
            </w:pPr>
            <w:r>
              <w:rPr>
                <w:noProof/>
              </w:rPr>
              <w:t>M1C1-7</w:t>
            </w:r>
          </w:p>
        </w:tc>
        <w:tc>
          <w:tcPr>
            <w:tcW w:w="1568" w:type="dxa"/>
            <w:shd w:val="clear" w:color="auto" w:fill="C6EFCE"/>
            <w:noWrap/>
            <w:vAlign w:val="center"/>
          </w:tcPr>
          <w:p w14:paraId="002FF068" w14:textId="77777777" w:rsidR="004C6421" w:rsidRDefault="009D1962">
            <w:pPr>
              <w:pStyle w:val="P68B1DB1-Normal4"/>
              <w:jc w:val="center"/>
              <w:rPr>
                <w:rFonts w:cs="Arial"/>
                <w:noProof/>
              </w:rPr>
            </w:pPr>
            <w:r>
              <w:rPr>
                <w:noProof/>
              </w:rPr>
              <w:t>Inwestycja 1.5: Cyberbezpieczeństwo</w:t>
            </w:r>
          </w:p>
        </w:tc>
        <w:tc>
          <w:tcPr>
            <w:tcW w:w="1148" w:type="dxa"/>
            <w:shd w:val="clear" w:color="auto" w:fill="C6EFCE"/>
            <w:noWrap/>
            <w:vAlign w:val="center"/>
          </w:tcPr>
          <w:p w14:paraId="4A266D45" w14:textId="69A097A2" w:rsidR="004C6421" w:rsidRDefault="00CC179E">
            <w:pPr>
              <w:pStyle w:val="P68B1DB1-Normal4"/>
              <w:jc w:val="center"/>
              <w:rPr>
                <w:rFonts w:cs="Arial"/>
                <w:noProof/>
              </w:rPr>
            </w:pPr>
            <w:r>
              <w:rPr>
                <w:noProof/>
              </w:rPr>
              <w:t>Milowy</w:t>
            </w:r>
          </w:p>
        </w:tc>
        <w:tc>
          <w:tcPr>
            <w:tcW w:w="1470" w:type="dxa"/>
            <w:shd w:val="clear" w:color="auto" w:fill="C6EFCE"/>
            <w:noWrap/>
            <w:vAlign w:val="center"/>
          </w:tcPr>
          <w:p w14:paraId="3F3ABF58" w14:textId="77777777" w:rsidR="004C6421" w:rsidRDefault="009D1962">
            <w:pPr>
              <w:pStyle w:val="P68B1DB1-Normal4"/>
              <w:jc w:val="center"/>
              <w:rPr>
                <w:rFonts w:cs="Arial"/>
                <w:noProof/>
              </w:rPr>
            </w:pPr>
            <w:r>
              <w:rPr>
                <w:noProof/>
              </w:rPr>
              <w:t>Uruchomienie sieci laboratoriów ds. kontroli bezpieczeństwa cybernetycznego i certyfikacji cyberbezpieczeństwa</w:t>
            </w:r>
          </w:p>
        </w:tc>
        <w:tc>
          <w:tcPr>
            <w:tcW w:w="1701" w:type="dxa"/>
            <w:shd w:val="clear" w:color="auto" w:fill="C6EFCE"/>
            <w:noWrap/>
            <w:vAlign w:val="center"/>
          </w:tcPr>
          <w:p w14:paraId="4BCB5B93" w14:textId="77777777" w:rsidR="004C6421" w:rsidRDefault="009D1962">
            <w:pPr>
              <w:pStyle w:val="P68B1DB1-Normal4"/>
              <w:jc w:val="center"/>
              <w:rPr>
                <w:rFonts w:cs="Arial"/>
                <w:noProof/>
              </w:rPr>
            </w:pPr>
            <w:r>
              <w:rPr>
                <w:noProof/>
              </w:rPr>
              <w:t>Przedstawiona dokumentacja przedstawiająca zidentyfikowane procesy i procedury, które mają być udostępniane między laboratoriami, oraz sprawozdawczość potwierdzająca aktywację co najmniej jednego laboratorium</w:t>
            </w:r>
          </w:p>
        </w:tc>
        <w:tc>
          <w:tcPr>
            <w:tcW w:w="1134" w:type="dxa"/>
            <w:shd w:val="clear" w:color="auto" w:fill="C6EFCE"/>
            <w:noWrap/>
            <w:vAlign w:val="center"/>
          </w:tcPr>
          <w:p w14:paraId="5384F09D" w14:textId="77777777" w:rsidR="004C6421" w:rsidRDefault="009D1962">
            <w:pPr>
              <w:pStyle w:val="P68B1DB1-Normal4"/>
              <w:jc w:val="center"/>
              <w:rPr>
                <w:rFonts w:cs="Arial"/>
                <w:noProof/>
              </w:rPr>
            </w:pPr>
            <w:r>
              <w:rPr>
                <w:noProof/>
              </w:rPr>
              <w:t>NIE DOT.</w:t>
            </w:r>
          </w:p>
        </w:tc>
        <w:tc>
          <w:tcPr>
            <w:tcW w:w="1417" w:type="dxa"/>
            <w:shd w:val="clear" w:color="auto" w:fill="C6EFCE"/>
            <w:noWrap/>
            <w:vAlign w:val="center"/>
          </w:tcPr>
          <w:p w14:paraId="2E0FAB8D" w14:textId="77777777" w:rsidR="004C6421" w:rsidRDefault="009D1962">
            <w:pPr>
              <w:pStyle w:val="P68B1DB1-Normal4"/>
              <w:jc w:val="center"/>
              <w:rPr>
                <w:rFonts w:cs="Arial"/>
                <w:noProof/>
              </w:rPr>
            </w:pPr>
            <w:r>
              <w:rPr>
                <w:noProof/>
              </w:rPr>
              <w:t>NIE DOT.</w:t>
            </w:r>
          </w:p>
        </w:tc>
        <w:tc>
          <w:tcPr>
            <w:tcW w:w="1425" w:type="dxa"/>
            <w:shd w:val="clear" w:color="auto" w:fill="C6EFCE"/>
            <w:noWrap/>
            <w:vAlign w:val="center"/>
          </w:tcPr>
          <w:p w14:paraId="2A350502" w14:textId="77777777" w:rsidR="004C6421" w:rsidRDefault="009D1962">
            <w:pPr>
              <w:pStyle w:val="P68B1DB1-Normal4"/>
              <w:jc w:val="center"/>
              <w:rPr>
                <w:rFonts w:cs="Arial"/>
                <w:noProof/>
              </w:rPr>
            </w:pPr>
            <w:r>
              <w:rPr>
                <w:noProof/>
              </w:rPr>
              <w:t>NIE DOT.</w:t>
            </w:r>
          </w:p>
        </w:tc>
        <w:tc>
          <w:tcPr>
            <w:tcW w:w="843" w:type="dxa"/>
            <w:shd w:val="clear" w:color="auto" w:fill="C6EFCE"/>
            <w:noWrap/>
            <w:vAlign w:val="center"/>
          </w:tcPr>
          <w:p w14:paraId="4F0DEDD3" w14:textId="50E6014F" w:rsidR="004C6421" w:rsidRDefault="00CC179E">
            <w:pPr>
              <w:pStyle w:val="P68B1DB1-Normal4"/>
              <w:jc w:val="center"/>
              <w:rPr>
                <w:rFonts w:cs="Arial"/>
                <w:noProof/>
              </w:rPr>
            </w:pPr>
            <w:r>
              <w:rPr>
                <w:noProof/>
              </w:rPr>
              <w:t>KW. 4</w:t>
            </w:r>
          </w:p>
        </w:tc>
        <w:tc>
          <w:tcPr>
            <w:tcW w:w="567" w:type="dxa"/>
            <w:shd w:val="clear" w:color="auto" w:fill="C6EFCE"/>
            <w:noWrap/>
            <w:vAlign w:val="center"/>
          </w:tcPr>
          <w:p w14:paraId="64699828" w14:textId="77777777" w:rsidR="004C6421" w:rsidRDefault="009D1962">
            <w:pPr>
              <w:pStyle w:val="P68B1DB1-Normal4"/>
              <w:jc w:val="center"/>
              <w:rPr>
                <w:rFonts w:cs="Arial"/>
                <w:noProof/>
              </w:rPr>
            </w:pPr>
            <w:r>
              <w:rPr>
                <w:noProof/>
              </w:rPr>
              <w:t>2022</w:t>
            </w:r>
          </w:p>
        </w:tc>
        <w:tc>
          <w:tcPr>
            <w:tcW w:w="2977" w:type="dxa"/>
            <w:shd w:val="clear" w:color="auto" w:fill="C6EFCE"/>
            <w:noWrap/>
            <w:vAlign w:val="center"/>
          </w:tcPr>
          <w:p w14:paraId="41FF34EF" w14:textId="77777777" w:rsidR="004C6421" w:rsidRDefault="009D1962">
            <w:pPr>
              <w:pStyle w:val="P68B1DB1-Normal4"/>
              <w:spacing w:after="120"/>
              <w:rPr>
                <w:rFonts w:cs="Arial"/>
                <w:noProof/>
              </w:rPr>
            </w:pPr>
            <w:r>
              <w:rPr>
                <w:noProof/>
              </w:rPr>
              <w:t>Cel pośredni zostaje osiągnięty poprzez:</w:t>
            </w:r>
          </w:p>
          <w:p w14:paraId="769E9F12" w14:textId="77777777" w:rsidR="004C6421" w:rsidRDefault="009D1962">
            <w:pPr>
              <w:pStyle w:val="P68B1DB1-Normal4"/>
              <w:rPr>
                <w:rFonts w:cs="Arial"/>
                <w:noProof/>
              </w:rPr>
            </w:pPr>
            <w:r>
              <w:rPr>
                <w:noProof/>
              </w:rPr>
              <w:t>(i) Wskazanie przez Krajową Agencję ds. Cyberbezpieczeństwa, gdzie zostaną utworzone laboratoria i ośrodki kontroli bezpieczeństwa i certyfikacji, profile ekspertów, którzy mają zostać zatrudnieni, pełne określenie procesów i procedur, które mają być udostępniane laboratoriumm.</w:t>
            </w:r>
          </w:p>
          <w:p w14:paraId="3E49651C" w14:textId="77777777" w:rsidR="004C6421" w:rsidRDefault="009D1962">
            <w:pPr>
              <w:pStyle w:val="P68B1DB1-Normal4"/>
              <w:spacing w:before="120" w:after="120"/>
              <w:rPr>
                <w:rFonts w:cs="Arial"/>
                <w:noProof/>
              </w:rPr>
            </w:pPr>
            <w:r>
              <w:rPr>
                <w:noProof/>
              </w:rPr>
              <w:t>(II) Aktywacja jednego laboratorium.</w:t>
            </w:r>
          </w:p>
          <w:p w14:paraId="20B8A87C" w14:textId="77777777" w:rsidR="004C6421" w:rsidRDefault="009D1962">
            <w:pPr>
              <w:pStyle w:val="P68B1DB1-Normal4"/>
              <w:spacing w:after="120"/>
              <w:rPr>
                <w:rFonts w:cs="Arial"/>
                <w:noProof/>
                <w:color w:val="FF0000"/>
              </w:rPr>
            </w:pPr>
            <w:r>
              <w:rPr>
                <w:noProof/>
              </w:rPr>
              <w:t>Działania podejmowane w celu utworzenia i uruchomienia laboratoriów kontroli są nadzorowane przez Ministero dello Sviluppo Economico (MISE) z CVCN (krajowym laboratorium ds. badań i certyfikacji w dziedzinie cyberbezpieczeństwa) i zintegrowane z Centrum Oceny (CV) przez Ministerstwo Spraw Wewnętrznych i Ministerstwo Obrony.</w:t>
            </w:r>
          </w:p>
        </w:tc>
      </w:tr>
      <w:tr w:rsidR="004C6421" w14:paraId="2EA550AB" w14:textId="77777777">
        <w:trPr>
          <w:trHeight w:val="309"/>
        </w:trPr>
        <w:tc>
          <w:tcPr>
            <w:tcW w:w="1253" w:type="dxa"/>
            <w:shd w:val="clear" w:color="auto" w:fill="C6EFCE"/>
            <w:noWrap/>
            <w:vAlign w:val="center"/>
          </w:tcPr>
          <w:p w14:paraId="774BD52F" w14:textId="77777777" w:rsidR="004C6421" w:rsidRDefault="009D1962">
            <w:pPr>
              <w:pStyle w:val="P68B1DB1-Normal4"/>
              <w:jc w:val="center"/>
              <w:rPr>
                <w:rFonts w:cs="Arial"/>
                <w:noProof/>
              </w:rPr>
            </w:pPr>
            <w:r>
              <w:rPr>
                <w:noProof/>
              </w:rPr>
              <w:t>M1C1-8</w:t>
            </w:r>
          </w:p>
        </w:tc>
        <w:tc>
          <w:tcPr>
            <w:tcW w:w="1568" w:type="dxa"/>
            <w:shd w:val="clear" w:color="auto" w:fill="C6EFCE"/>
            <w:noWrap/>
            <w:vAlign w:val="center"/>
          </w:tcPr>
          <w:p w14:paraId="333E6D1A" w14:textId="77777777" w:rsidR="004C6421" w:rsidRDefault="009D1962">
            <w:pPr>
              <w:pStyle w:val="P68B1DB1-Normal4"/>
              <w:jc w:val="center"/>
              <w:rPr>
                <w:rFonts w:cs="Arial"/>
                <w:noProof/>
              </w:rPr>
            </w:pPr>
            <w:r>
              <w:rPr>
                <w:noProof/>
              </w:rPr>
              <w:t>Inwestycja 1.5: Cyberbezpieczeństwo</w:t>
            </w:r>
          </w:p>
        </w:tc>
        <w:tc>
          <w:tcPr>
            <w:tcW w:w="1148" w:type="dxa"/>
            <w:shd w:val="clear" w:color="auto" w:fill="C6EFCE"/>
            <w:noWrap/>
            <w:vAlign w:val="center"/>
          </w:tcPr>
          <w:p w14:paraId="7CEC5030" w14:textId="22CD1D46" w:rsidR="004C6421" w:rsidRDefault="00CC179E">
            <w:pPr>
              <w:pStyle w:val="P68B1DB1-Normal4"/>
              <w:jc w:val="center"/>
              <w:rPr>
                <w:rFonts w:cs="Arial"/>
                <w:noProof/>
              </w:rPr>
            </w:pPr>
            <w:r>
              <w:rPr>
                <w:noProof/>
              </w:rPr>
              <w:t>Milowy</w:t>
            </w:r>
          </w:p>
        </w:tc>
        <w:tc>
          <w:tcPr>
            <w:tcW w:w="1470" w:type="dxa"/>
            <w:shd w:val="clear" w:color="auto" w:fill="C6EFCE"/>
            <w:noWrap/>
            <w:vAlign w:val="center"/>
          </w:tcPr>
          <w:p w14:paraId="10CD4829" w14:textId="77777777" w:rsidR="004C6421" w:rsidRDefault="009D1962">
            <w:pPr>
              <w:pStyle w:val="P68B1DB1-Normal4"/>
              <w:jc w:val="center"/>
              <w:rPr>
                <w:rFonts w:cs="Arial"/>
                <w:noProof/>
              </w:rPr>
            </w:pPr>
            <w:r>
              <w:rPr>
                <w:noProof/>
              </w:rPr>
              <w:t>Uruchomienie centralnej jednostki audytu ds. środków bezpieczeństwa PSNC i NIS</w:t>
            </w:r>
          </w:p>
        </w:tc>
        <w:tc>
          <w:tcPr>
            <w:tcW w:w="1701" w:type="dxa"/>
            <w:shd w:val="clear" w:color="auto" w:fill="C6EFCE"/>
            <w:noWrap/>
            <w:vAlign w:val="center"/>
          </w:tcPr>
          <w:p w14:paraId="2E561726" w14:textId="77777777" w:rsidR="004C6421" w:rsidRDefault="009D1962">
            <w:pPr>
              <w:pStyle w:val="P68B1DB1-Normal4"/>
              <w:jc w:val="center"/>
              <w:rPr>
                <w:rFonts w:cs="Arial"/>
                <w:noProof/>
              </w:rPr>
            </w:pPr>
            <w:r>
              <w:rPr>
                <w:noProof/>
              </w:rPr>
              <w:t>Przedstawione sprawozdania wykazujące uruchomienie centralnej jednostki audytowej</w:t>
            </w:r>
          </w:p>
        </w:tc>
        <w:tc>
          <w:tcPr>
            <w:tcW w:w="1134" w:type="dxa"/>
            <w:shd w:val="clear" w:color="auto" w:fill="C6EFCE"/>
            <w:noWrap/>
            <w:vAlign w:val="center"/>
          </w:tcPr>
          <w:p w14:paraId="37C2E6DF" w14:textId="77777777" w:rsidR="004C6421" w:rsidRDefault="009D1962">
            <w:pPr>
              <w:pStyle w:val="P68B1DB1-Normal4"/>
              <w:jc w:val="center"/>
              <w:rPr>
                <w:rFonts w:cs="Arial"/>
                <w:noProof/>
              </w:rPr>
            </w:pPr>
            <w:r>
              <w:rPr>
                <w:noProof/>
              </w:rPr>
              <w:t>NIE DOT.</w:t>
            </w:r>
          </w:p>
        </w:tc>
        <w:tc>
          <w:tcPr>
            <w:tcW w:w="1417" w:type="dxa"/>
            <w:shd w:val="clear" w:color="auto" w:fill="C6EFCE"/>
            <w:noWrap/>
            <w:vAlign w:val="center"/>
          </w:tcPr>
          <w:p w14:paraId="4B1FB93A" w14:textId="77777777" w:rsidR="004C6421" w:rsidRDefault="009D1962">
            <w:pPr>
              <w:pStyle w:val="P68B1DB1-Normal4"/>
              <w:jc w:val="center"/>
              <w:rPr>
                <w:rFonts w:cs="Arial"/>
                <w:noProof/>
              </w:rPr>
            </w:pPr>
            <w:r>
              <w:rPr>
                <w:noProof/>
              </w:rPr>
              <w:t>NIE DOT.</w:t>
            </w:r>
          </w:p>
        </w:tc>
        <w:tc>
          <w:tcPr>
            <w:tcW w:w="1425" w:type="dxa"/>
            <w:shd w:val="clear" w:color="auto" w:fill="C6EFCE"/>
            <w:noWrap/>
            <w:vAlign w:val="center"/>
          </w:tcPr>
          <w:p w14:paraId="1B11B319" w14:textId="77777777" w:rsidR="004C6421" w:rsidRDefault="009D1962">
            <w:pPr>
              <w:pStyle w:val="P68B1DB1-Normal4"/>
              <w:jc w:val="center"/>
              <w:rPr>
                <w:rFonts w:cs="Arial"/>
                <w:noProof/>
              </w:rPr>
            </w:pPr>
            <w:r>
              <w:rPr>
                <w:noProof/>
              </w:rPr>
              <w:t>NIE DOT.</w:t>
            </w:r>
          </w:p>
        </w:tc>
        <w:tc>
          <w:tcPr>
            <w:tcW w:w="843" w:type="dxa"/>
            <w:shd w:val="clear" w:color="auto" w:fill="C6EFCE"/>
            <w:noWrap/>
            <w:vAlign w:val="center"/>
          </w:tcPr>
          <w:p w14:paraId="1110956F" w14:textId="31E8DDA6" w:rsidR="004C6421" w:rsidRDefault="00CC179E">
            <w:pPr>
              <w:pStyle w:val="P68B1DB1-Normal4"/>
              <w:jc w:val="center"/>
              <w:rPr>
                <w:rFonts w:cs="Arial"/>
                <w:noProof/>
              </w:rPr>
            </w:pPr>
            <w:r>
              <w:rPr>
                <w:noProof/>
              </w:rPr>
              <w:t>KW. 4</w:t>
            </w:r>
          </w:p>
        </w:tc>
        <w:tc>
          <w:tcPr>
            <w:tcW w:w="567" w:type="dxa"/>
            <w:shd w:val="clear" w:color="auto" w:fill="C6EFCE"/>
            <w:noWrap/>
            <w:vAlign w:val="center"/>
          </w:tcPr>
          <w:p w14:paraId="44418483" w14:textId="77777777" w:rsidR="004C6421" w:rsidRDefault="009D1962">
            <w:pPr>
              <w:pStyle w:val="P68B1DB1-Normal4"/>
              <w:jc w:val="center"/>
              <w:rPr>
                <w:rFonts w:cs="Arial"/>
                <w:noProof/>
              </w:rPr>
            </w:pPr>
            <w:r>
              <w:rPr>
                <w:noProof/>
              </w:rPr>
              <w:t>2022</w:t>
            </w:r>
          </w:p>
        </w:tc>
        <w:tc>
          <w:tcPr>
            <w:tcW w:w="2977" w:type="dxa"/>
            <w:shd w:val="clear" w:color="auto" w:fill="C6EFCE"/>
            <w:noWrap/>
            <w:vAlign w:val="center"/>
          </w:tcPr>
          <w:p w14:paraId="2085707B" w14:textId="77777777" w:rsidR="004C6421" w:rsidRDefault="009D1962">
            <w:pPr>
              <w:pStyle w:val="P68B1DB1-Normal4"/>
              <w:spacing w:after="120"/>
              <w:rPr>
                <w:rFonts w:cs="Arial"/>
                <w:noProof/>
              </w:rPr>
            </w:pPr>
            <w:r>
              <w:rPr>
                <w:noProof/>
              </w:rPr>
              <w:t>W ramach Krajowej Agencji ds. Cyberbezpieczeństwa powołuje się jednostkę wewnętrzną upoważnioną do prowadzenia działań centralnej jednostki audytowej, która będzie odpowiedzialna za środki bezpieczeństwa PSNC i NIS.</w:t>
            </w:r>
          </w:p>
          <w:p w14:paraId="3A38DED3" w14:textId="77777777" w:rsidR="004C6421" w:rsidRDefault="009D1962">
            <w:pPr>
              <w:pStyle w:val="P68B1DB1-Normal4"/>
              <w:spacing w:after="120"/>
              <w:rPr>
                <w:rFonts w:cs="Arial"/>
                <w:noProof/>
              </w:rPr>
            </w:pPr>
            <w:r>
              <w:rPr>
                <w:noProof/>
              </w:rPr>
              <w:t>Procesy, logistyka i ustalenia operacyjne są sformalizowane w odpowiedniej dokumentacji, ze szczególnym uwzględnieniem procesów operacyjnych, tj. zasad dotyczących procedur dotyczących zaangażowania, audytu i sprawozdawczości.</w:t>
            </w:r>
          </w:p>
          <w:p w14:paraId="32C90AB6" w14:textId="77777777" w:rsidR="004C6421" w:rsidRDefault="009D1962">
            <w:pPr>
              <w:pStyle w:val="P68B1DB1-Normal4"/>
              <w:spacing w:after="120"/>
              <w:rPr>
                <w:rFonts w:cs="Arial"/>
                <w:noProof/>
              </w:rPr>
            </w:pPr>
            <w:r>
              <w:rPr>
                <w:noProof/>
              </w:rPr>
              <w:t>Narzędzia informatyczne gromadzą dane z audytu, zarządzają nimi i je analizują oraz są opracowywane i wykorzystywane przez dział audytu.</w:t>
            </w:r>
          </w:p>
          <w:p w14:paraId="65ACBB96" w14:textId="77777777" w:rsidR="004C6421" w:rsidRDefault="009D1962">
            <w:pPr>
              <w:pStyle w:val="P68B1DB1-Normal4"/>
              <w:spacing w:after="120"/>
              <w:rPr>
                <w:rFonts w:cs="Arial"/>
                <w:noProof/>
              </w:rPr>
            </w:pPr>
            <w:r>
              <w:rPr>
                <w:noProof/>
              </w:rPr>
              <w:t>Należy przedstawić dokumentację zawierającą sprawozdanie z ukończenia prac nad narzędziami.</w:t>
            </w:r>
          </w:p>
        </w:tc>
      </w:tr>
      <w:tr w:rsidR="004C6421" w14:paraId="7DDC34F4" w14:textId="77777777">
        <w:trPr>
          <w:trHeight w:val="309"/>
        </w:trPr>
        <w:tc>
          <w:tcPr>
            <w:tcW w:w="1253" w:type="dxa"/>
            <w:shd w:val="clear" w:color="auto" w:fill="C6EFCE"/>
            <w:noWrap/>
            <w:vAlign w:val="center"/>
          </w:tcPr>
          <w:p w14:paraId="17148E89" w14:textId="77777777" w:rsidR="004C6421" w:rsidRDefault="009D1962">
            <w:pPr>
              <w:pStyle w:val="P68B1DB1-Normal4"/>
              <w:jc w:val="center"/>
              <w:rPr>
                <w:rFonts w:cs="Arial"/>
                <w:noProof/>
              </w:rPr>
            </w:pPr>
            <w:r>
              <w:rPr>
                <w:noProof/>
              </w:rPr>
              <w:t>M1C1-9</w:t>
            </w:r>
          </w:p>
        </w:tc>
        <w:tc>
          <w:tcPr>
            <w:tcW w:w="1568" w:type="dxa"/>
            <w:shd w:val="clear" w:color="auto" w:fill="C6EFCE"/>
            <w:noWrap/>
            <w:vAlign w:val="center"/>
          </w:tcPr>
          <w:p w14:paraId="0AACCC27" w14:textId="77777777" w:rsidR="004C6421" w:rsidRDefault="009D1962">
            <w:pPr>
              <w:pStyle w:val="P68B1DB1-Normal4"/>
              <w:jc w:val="center"/>
              <w:rPr>
                <w:rFonts w:cs="Arial"/>
                <w:noProof/>
              </w:rPr>
            </w:pPr>
            <w:r>
              <w:rPr>
                <w:noProof/>
              </w:rPr>
              <w:t>Inwestycja 1.5: Cyberbezpieczeństwo</w:t>
            </w:r>
          </w:p>
        </w:tc>
        <w:tc>
          <w:tcPr>
            <w:tcW w:w="1148" w:type="dxa"/>
            <w:shd w:val="clear" w:color="auto" w:fill="C6EFCE"/>
            <w:noWrap/>
            <w:vAlign w:val="center"/>
          </w:tcPr>
          <w:p w14:paraId="2220B85B" w14:textId="77777777" w:rsidR="004C6421" w:rsidRDefault="009D1962">
            <w:pPr>
              <w:pStyle w:val="P68B1DB1-Normal4"/>
              <w:jc w:val="center"/>
              <w:rPr>
                <w:rFonts w:cs="Arial"/>
                <w:noProof/>
              </w:rPr>
            </w:pPr>
            <w:r>
              <w:rPr>
                <w:noProof/>
              </w:rPr>
              <w:t>Cel</w:t>
            </w:r>
          </w:p>
        </w:tc>
        <w:tc>
          <w:tcPr>
            <w:tcW w:w="1470" w:type="dxa"/>
            <w:shd w:val="clear" w:color="auto" w:fill="C6EFCE"/>
            <w:noWrap/>
            <w:vAlign w:val="center"/>
          </w:tcPr>
          <w:p w14:paraId="5C4D39C6" w14:textId="77777777" w:rsidR="004C6421" w:rsidRDefault="009D1962">
            <w:pPr>
              <w:pStyle w:val="P68B1DB1-Normal4"/>
              <w:jc w:val="center"/>
              <w:rPr>
                <w:rFonts w:cs="Arial"/>
                <w:noProof/>
              </w:rPr>
            </w:pPr>
            <w:r>
              <w:rPr>
                <w:noProof/>
              </w:rPr>
              <w:t>Wsparcie modernizacji struktur bezpieczeństwa T1</w:t>
            </w:r>
          </w:p>
        </w:tc>
        <w:tc>
          <w:tcPr>
            <w:tcW w:w="1701" w:type="dxa"/>
            <w:shd w:val="clear" w:color="auto" w:fill="C6EFCE"/>
            <w:noWrap/>
            <w:vAlign w:val="center"/>
          </w:tcPr>
          <w:p w14:paraId="19AE3C0C" w14:textId="77777777" w:rsidR="004C6421" w:rsidRDefault="009D1962">
            <w:pPr>
              <w:pStyle w:val="P68B1DB1-Normal4"/>
              <w:jc w:val="center"/>
              <w:rPr>
                <w:rFonts w:cs="Arial"/>
                <w:noProof/>
              </w:rPr>
            </w:pPr>
            <w:r>
              <w:rPr>
                <w:noProof/>
              </w:rPr>
              <w:t>NIE DOT.</w:t>
            </w:r>
          </w:p>
        </w:tc>
        <w:tc>
          <w:tcPr>
            <w:tcW w:w="1134" w:type="dxa"/>
            <w:shd w:val="clear" w:color="auto" w:fill="C6EFCE"/>
            <w:noWrap/>
            <w:vAlign w:val="center"/>
          </w:tcPr>
          <w:p w14:paraId="4C42470A" w14:textId="77777777" w:rsidR="004C6421" w:rsidRDefault="009D1962">
            <w:pPr>
              <w:pStyle w:val="P68B1DB1-Normal4"/>
              <w:jc w:val="center"/>
              <w:rPr>
                <w:rFonts w:cs="Arial"/>
                <w:noProof/>
              </w:rPr>
            </w:pPr>
            <w:r>
              <w:rPr>
                <w:noProof/>
              </w:rPr>
              <w:t>Numer</w:t>
            </w:r>
          </w:p>
        </w:tc>
        <w:tc>
          <w:tcPr>
            <w:tcW w:w="1417" w:type="dxa"/>
            <w:shd w:val="clear" w:color="auto" w:fill="C6EFCE"/>
            <w:noWrap/>
            <w:vAlign w:val="center"/>
          </w:tcPr>
          <w:p w14:paraId="25AC2AB1" w14:textId="77777777" w:rsidR="004C6421" w:rsidRDefault="009D1962">
            <w:pPr>
              <w:pStyle w:val="P68B1DB1-Normal4"/>
              <w:jc w:val="center"/>
              <w:rPr>
                <w:rFonts w:cs="Arial"/>
                <w:noProof/>
              </w:rPr>
            </w:pPr>
            <w:r>
              <w:rPr>
                <w:noProof/>
              </w:rPr>
              <w:t>0</w:t>
            </w:r>
          </w:p>
        </w:tc>
        <w:tc>
          <w:tcPr>
            <w:tcW w:w="1425" w:type="dxa"/>
            <w:shd w:val="clear" w:color="auto" w:fill="C6EFCE"/>
            <w:noWrap/>
            <w:vAlign w:val="center"/>
          </w:tcPr>
          <w:p w14:paraId="58EE9CE5" w14:textId="77777777" w:rsidR="004C6421" w:rsidRDefault="009D1962">
            <w:pPr>
              <w:pStyle w:val="P68B1DB1-Normal4"/>
              <w:jc w:val="center"/>
              <w:rPr>
                <w:rFonts w:cs="Arial"/>
                <w:noProof/>
              </w:rPr>
            </w:pPr>
            <w:r>
              <w:rPr>
                <w:noProof/>
              </w:rPr>
              <w:t>5</w:t>
            </w:r>
          </w:p>
        </w:tc>
        <w:tc>
          <w:tcPr>
            <w:tcW w:w="843" w:type="dxa"/>
            <w:shd w:val="clear" w:color="auto" w:fill="C6EFCE"/>
            <w:noWrap/>
            <w:vAlign w:val="center"/>
          </w:tcPr>
          <w:p w14:paraId="5505D9CD" w14:textId="4D8BED44" w:rsidR="004C6421" w:rsidRDefault="00CC179E">
            <w:pPr>
              <w:pStyle w:val="P68B1DB1-Normal4"/>
              <w:jc w:val="center"/>
              <w:rPr>
                <w:rFonts w:cs="Arial"/>
                <w:noProof/>
              </w:rPr>
            </w:pPr>
            <w:r>
              <w:rPr>
                <w:noProof/>
              </w:rPr>
              <w:t>KW. 4</w:t>
            </w:r>
          </w:p>
        </w:tc>
        <w:tc>
          <w:tcPr>
            <w:tcW w:w="567" w:type="dxa"/>
            <w:shd w:val="clear" w:color="auto" w:fill="C6EFCE"/>
            <w:noWrap/>
            <w:vAlign w:val="center"/>
          </w:tcPr>
          <w:p w14:paraId="5C817ACB" w14:textId="77777777" w:rsidR="004C6421" w:rsidRDefault="009D1962">
            <w:pPr>
              <w:pStyle w:val="P68B1DB1-Normal4"/>
              <w:jc w:val="center"/>
              <w:rPr>
                <w:rFonts w:cs="Arial"/>
                <w:noProof/>
              </w:rPr>
            </w:pPr>
            <w:r>
              <w:rPr>
                <w:noProof/>
              </w:rPr>
              <w:t>2022</w:t>
            </w:r>
          </w:p>
        </w:tc>
        <w:tc>
          <w:tcPr>
            <w:tcW w:w="2977" w:type="dxa"/>
            <w:shd w:val="clear" w:color="auto" w:fill="C6EFCE"/>
            <w:noWrap/>
            <w:vAlign w:val="center"/>
          </w:tcPr>
          <w:p w14:paraId="6E50981B" w14:textId="77777777" w:rsidR="004C6421" w:rsidRDefault="009D1962">
            <w:pPr>
              <w:pStyle w:val="P68B1DB1-Normal4"/>
              <w:spacing w:after="120"/>
              <w:rPr>
                <w:rFonts w:cs="Arial"/>
                <w:noProof/>
              </w:rPr>
            </w:pPr>
            <w:r>
              <w:rPr>
                <w:noProof/>
              </w:rPr>
              <w:t>Ukończono co najmniej pięć działań wzmacniających służących modernizacji struktur bezpieczeństwa w sektorze bezpieczeństwa narodowego dla cyberbezpieczeństwa (PSNC) oraz sieci i systemów informatycznych (NIS).</w:t>
            </w:r>
          </w:p>
          <w:p w14:paraId="24E84643" w14:textId="77777777" w:rsidR="004C6421" w:rsidRDefault="009D1962">
            <w:pPr>
              <w:pStyle w:val="P68B1DB1-Normal4"/>
              <w:spacing w:after="120"/>
              <w:rPr>
                <w:rFonts w:cs="Arial"/>
                <w:noProof/>
              </w:rPr>
            </w:pPr>
            <w:r>
              <w:rPr>
                <w:noProof/>
              </w:rPr>
              <w:t>Rodzaje interwencji obejmują modernizację operacyjnych ośrodków bezpieczeństwa (SOC), poprawę cyberobrony oraz wewnętrzne zdolności w zakresie monitorowania i kontroli. Interwencje koncentrują się na sektorach opieki zdrowotnej, energii i środowiska (zaopatrzenie w wodę pitną).</w:t>
            </w:r>
          </w:p>
        </w:tc>
      </w:tr>
      <w:tr w:rsidR="004C6421" w14:paraId="435C1B62" w14:textId="77777777">
        <w:trPr>
          <w:trHeight w:val="309"/>
        </w:trPr>
        <w:tc>
          <w:tcPr>
            <w:tcW w:w="1253" w:type="dxa"/>
            <w:shd w:val="clear" w:color="auto" w:fill="C6EFCE"/>
            <w:noWrap/>
            <w:vAlign w:val="center"/>
          </w:tcPr>
          <w:p w14:paraId="03E872D3" w14:textId="77777777" w:rsidR="004C6421" w:rsidRDefault="009D1962">
            <w:pPr>
              <w:pStyle w:val="P68B1DB1-Normal4"/>
              <w:jc w:val="center"/>
              <w:rPr>
                <w:rFonts w:cs="Arial"/>
                <w:noProof/>
              </w:rPr>
            </w:pPr>
            <w:r>
              <w:rPr>
                <w:noProof/>
              </w:rPr>
              <w:t>M1C1-10</w:t>
            </w:r>
          </w:p>
        </w:tc>
        <w:tc>
          <w:tcPr>
            <w:tcW w:w="1568" w:type="dxa"/>
            <w:shd w:val="clear" w:color="auto" w:fill="C6EFCE"/>
            <w:noWrap/>
            <w:vAlign w:val="center"/>
          </w:tcPr>
          <w:p w14:paraId="0789B7A3" w14:textId="77777777" w:rsidR="004C6421" w:rsidRDefault="009D1962">
            <w:pPr>
              <w:pStyle w:val="P68B1DB1-Normal4"/>
              <w:jc w:val="center"/>
              <w:rPr>
                <w:rFonts w:cs="Arial"/>
                <w:noProof/>
              </w:rPr>
            </w:pPr>
            <w:r>
              <w:rPr>
                <w:noProof/>
              </w:rPr>
              <w:t>Reforma 1.2: Wsparcie transformacji</w:t>
            </w:r>
          </w:p>
        </w:tc>
        <w:tc>
          <w:tcPr>
            <w:tcW w:w="1148" w:type="dxa"/>
            <w:shd w:val="clear" w:color="auto" w:fill="C6EFCE"/>
            <w:noWrap/>
            <w:vAlign w:val="center"/>
          </w:tcPr>
          <w:p w14:paraId="4956976B" w14:textId="0C1A19E1" w:rsidR="004C6421" w:rsidRDefault="00CC179E">
            <w:pPr>
              <w:pStyle w:val="P68B1DB1-Normal4"/>
              <w:jc w:val="center"/>
              <w:rPr>
                <w:rFonts w:cs="Arial"/>
                <w:noProof/>
              </w:rPr>
            </w:pPr>
            <w:r>
              <w:rPr>
                <w:noProof/>
              </w:rPr>
              <w:t>Milowy</w:t>
            </w:r>
          </w:p>
        </w:tc>
        <w:tc>
          <w:tcPr>
            <w:tcW w:w="1470" w:type="dxa"/>
            <w:shd w:val="clear" w:color="auto" w:fill="C6EFCE"/>
            <w:noWrap/>
            <w:vAlign w:val="center"/>
          </w:tcPr>
          <w:p w14:paraId="19FBCE59" w14:textId="77777777" w:rsidR="004C6421" w:rsidRDefault="009D1962">
            <w:pPr>
              <w:pStyle w:val="P68B1DB1-Normal4"/>
              <w:jc w:val="center"/>
              <w:rPr>
                <w:rFonts w:cs="Arial"/>
                <w:noProof/>
              </w:rPr>
            </w:pPr>
            <w:r>
              <w:rPr>
                <w:noProof/>
              </w:rPr>
              <w:t>Wejście w życie utworzenia zespołu ds. transformacji i NewCo</w:t>
            </w:r>
          </w:p>
        </w:tc>
        <w:tc>
          <w:tcPr>
            <w:tcW w:w="1701" w:type="dxa"/>
            <w:shd w:val="clear" w:color="auto" w:fill="C6EFCE"/>
            <w:noWrap/>
            <w:vAlign w:val="center"/>
          </w:tcPr>
          <w:p w14:paraId="6C27E414" w14:textId="77777777" w:rsidR="004C6421" w:rsidRDefault="009D1962">
            <w:pPr>
              <w:pStyle w:val="P68B1DB1-Normal4"/>
              <w:jc w:val="center"/>
              <w:rPr>
                <w:rFonts w:cs="Arial"/>
                <w:noProof/>
              </w:rPr>
            </w:pPr>
            <w:r>
              <w:rPr>
                <w:noProof/>
              </w:rPr>
              <w:t>Przepis w akcie prawnym wskazujący na wejście w życie aktu prawnego w celu utworzenia Urzędu ds. Transformacji oraz wejście w życie aktu prawnego mającego na celu utworzenie NewCo</w:t>
            </w:r>
          </w:p>
        </w:tc>
        <w:tc>
          <w:tcPr>
            <w:tcW w:w="1134" w:type="dxa"/>
            <w:shd w:val="clear" w:color="auto" w:fill="C6EFCE"/>
            <w:noWrap/>
            <w:vAlign w:val="center"/>
          </w:tcPr>
          <w:p w14:paraId="5165B280" w14:textId="77777777" w:rsidR="004C6421" w:rsidRDefault="009D1962">
            <w:pPr>
              <w:pStyle w:val="P68B1DB1-Normal4"/>
              <w:jc w:val="center"/>
              <w:rPr>
                <w:rFonts w:cs="Arial"/>
                <w:noProof/>
              </w:rPr>
            </w:pPr>
            <w:r>
              <w:rPr>
                <w:noProof/>
              </w:rPr>
              <w:t>NIE DOT.</w:t>
            </w:r>
          </w:p>
        </w:tc>
        <w:tc>
          <w:tcPr>
            <w:tcW w:w="1417" w:type="dxa"/>
            <w:shd w:val="clear" w:color="auto" w:fill="C6EFCE"/>
            <w:noWrap/>
            <w:vAlign w:val="center"/>
          </w:tcPr>
          <w:p w14:paraId="457DAD3E" w14:textId="77777777" w:rsidR="004C6421" w:rsidRDefault="009D1962">
            <w:pPr>
              <w:pStyle w:val="P68B1DB1-Normal4"/>
              <w:jc w:val="center"/>
              <w:rPr>
                <w:rFonts w:cs="Arial"/>
                <w:noProof/>
              </w:rPr>
            </w:pPr>
            <w:r>
              <w:rPr>
                <w:noProof/>
              </w:rPr>
              <w:t>NIE DOT.</w:t>
            </w:r>
          </w:p>
        </w:tc>
        <w:tc>
          <w:tcPr>
            <w:tcW w:w="1425" w:type="dxa"/>
            <w:shd w:val="clear" w:color="auto" w:fill="C6EFCE"/>
            <w:noWrap/>
            <w:vAlign w:val="center"/>
          </w:tcPr>
          <w:p w14:paraId="016C0E13" w14:textId="77777777" w:rsidR="004C6421" w:rsidRDefault="009D1962">
            <w:pPr>
              <w:pStyle w:val="P68B1DB1-Normal4"/>
              <w:jc w:val="center"/>
              <w:rPr>
                <w:rFonts w:cs="Arial"/>
                <w:noProof/>
              </w:rPr>
            </w:pPr>
            <w:r>
              <w:rPr>
                <w:noProof/>
              </w:rPr>
              <w:t>NIE DOT.</w:t>
            </w:r>
          </w:p>
        </w:tc>
        <w:tc>
          <w:tcPr>
            <w:tcW w:w="843" w:type="dxa"/>
            <w:shd w:val="clear" w:color="auto" w:fill="C6EFCE"/>
            <w:noWrap/>
            <w:vAlign w:val="center"/>
          </w:tcPr>
          <w:p w14:paraId="2964AD9E" w14:textId="605F8DD9" w:rsidR="004C6421" w:rsidRDefault="00CC179E">
            <w:pPr>
              <w:pStyle w:val="P68B1DB1-Normal4"/>
              <w:jc w:val="center"/>
              <w:rPr>
                <w:rFonts w:cs="Arial"/>
                <w:noProof/>
              </w:rPr>
            </w:pPr>
            <w:r>
              <w:rPr>
                <w:noProof/>
              </w:rPr>
              <w:t>KW. 4</w:t>
            </w:r>
          </w:p>
        </w:tc>
        <w:tc>
          <w:tcPr>
            <w:tcW w:w="567" w:type="dxa"/>
            <w:shd w:val="clear" w:color="auto" w:fill="C6EFCE"/>
            <w:noWrap/>
            <w:vAlign w:val="center"/>
          </w:tcPr>
          <w:p w14:paraId="16656184" w14:textId="77777777" w:rsidR="004C6421" w:rsidRDefault="009D1962">
            <w:pPr>
              <w:pStyle w:val="P68B1DB1-Normal4"/>
              <w:jc w:val="center"/>
              <w:rPr>
                <w:rFonts w:cs="Arial"/>
                <w:noProof/>
              </w:rPr>
            </w:pPr>
            <w:r>
              <w:rPr>
                <w:noProof/>
              </w:rPr>
              <w:t>2022</w:t>
            </w:r>
          </w:p>
        </w:tc>
        <w:tc>
          <w:tcPr>
            <w:tcW w:w="2977" w:type="dxa"/>
            <w:shd w:val="clear" w:color="auto" w:fill="C6EFCE"/>
            <w:noWrap/>
            <w:vAlign w:val="center"/>
          </w:tcPr>
          <w:p w14:paraId="4A5ABF22" w14:textId="77777777" w:rsidR="004C6421" w:rsidRDefault="009D1962">
            <w:pPr>
              <w:pStyle w:val="P68B1DB1-Normal6"/>
              <w:spacing w:after="120"/>
              <w:rPr>
                <w:rFonts w:cs="Arial"/>
                <w:noProof/>
                <w:color w:val="006100"/>
              </w:rPr>
            </w:pPr>
            <w:r>
              <w:rPr>
                <w:noProof/>
                <w:color w:val="006100"/>
              </w:rPr>
              <w:t>W celu utworzenia biura ds. transformacji niezbędne</w:t>
            </w:r>
            <w:r>
              <w:rPr>
                <w:noProof/>
              </w:rPr>
              <w:t xml:space="preserve"> </w:t>
            </w:r>
            <w:r>
              <w:rPr>
                <w:noProof/>
                <w:color w:val="006100"/>
              </w:rPr>
              <w:t>akty prawne obejmują:</w:t>
            </w:r>
          </w:p>
          <w:p w14:paraId="16636A10" w14:textId="77777777" w:rsidR="004C6421" w:rsidRDefault="009D1962">
            <w:pPr>
              <w:pStyle w:val="P68B1DB1-ListParagraph5"/>
              <w:numPr>
                <w:ilvl w:val="0"/>
                <w:numId w:val="90"/>
              </w:numPr>
              <w:ind w:left="314" w:hanging="232"/>
              <w:jc w:val="left"/>
              <w:rPr>
                <w:rFonts w:cs="Arial"/>
                <w:noProof/>
              </w:rPr>
            </w:pPr>
            <w:r>
              <w:rPr>
                <w:noProof/>
              </w:rPr>
              <w:t>Publikacja dekretu z mocą ustawy „reclutamento” (już zatwierdzonego przez Radę Ministrów nr 22 z dnia 4 czerwca 2021</w:t>
            </w:r>
            <w:r>
              <w:rPr>
                <w:noProof/>
                <w:vertAlign w:val="superscript"/>
              </w:rPr>
              <w:t>r.</w:t>
            </w:r>
            <w:r>
              <w:rPr>
                <w:noProof/>
              </w:rPr>
              <w:t xml:space="preserve"> i opublikowanego w Dzienniku Urzędowym („Gazzetta Ufficiale”) w dniu 10 czerwca</w:t>
            </w:r>
            <w:r>
              <w:rPr>
                <w:noProof/>
                <w:vertAlign w:val="superscript"/>
              </w:rPr>
              <w:t>2021</w:t>
            </w:r>
            <w:r>
              <w:rPr>
                <w:noProof/>
              </w:rPr>
              <w:t xml:space="preserve"> r.);</w:t>
            </w:r>
          </w:p>
          <w:p w14:paraId="7EE8966A" w14:textId="77777777" w:rsidR="004C6421" w:rsidRDefault="009D1962">
            <w:pPr>
              <w:pStyle w:val="P68B1DB1-ListParagraph5"/>
              <w:numPr>
                <w:ilvl w:val="0"/>
                <w:numId w:val="90"/>
              </w:numPr>
              <w:ind w:left="314" w:hanging="232"/>
              <w:jc w:val="left"/>
              <w:rPr>
                <w:rFonts w:cs="Arial"/>
                <w:noProof/>
              </w:rPr>
            </w:pPr>
            <w:r>
              <w:rPr>
                <w:noProof/>
              </w:rPr>
              <w:t>Publikację zaproszenia do wyrażenia zainteresowania;</w:t>
            </w:r>
          </w:p>
          <w:p w14:paraId="3BDF5FF6" w14:textId="77777777" w:rsidR="004C6421" w:rsidRDefault="009D1962">
            <w:pPr>
              <w:pStyle w:val="P68B1DB1-ListParagraph5"/>
              <w:numPr>
                <w:ilvl w:val="0"/>
                <w:numId w:val="90"/>
              </w:numPr>
              <w:ind w:left="314" w:hanging="232"/>
              <w:jc w:val="left"/>
              <w:rPr>
                <w:rFonts w:cs="Arial"/>
                <w:noProof/>
              </w:rPr>
            </w:pPr>
            <w:r>
              <w:rPr>
                <w:noProof/>
              </w:rPr>
              <w:t>Wybór i powierzenie zadań ekspertom (tymczasowo na czas trwania RRF).</w:t>
            </w:r>
          </w:p>
          <w:p w14:paraId="03713929" w14:textId="77777777" w:rsidR="004C6421" w:rsidRDefault="009D1962">
            <w:pPr>
              <w:pStyle w:val="P68B1DB1-Normal4"/>
              <w:spacing w:after="120"/>
              <w:rPr>
                <w:rFonts w:cs="Arial"/>
                <w:noProof/>
              </w:rPr>
            </w:pPr>
            <w:r>
              <w:rPr>
                <w:noProof/>
              </w:rPr>
              <w:t>W przypadku NewCo kluczowe wymagane kroki obejmują:</w:t>
            </w:r>
          </w:p>
          <w:p w14:paraId="29AA96BD" w14:textId="77777777" w:rsidR="004C6421" w:rsidRDefault="009D1962">
            <w:pPr>
              <w:pStyle w:val="P68B1DB1-ListParagraph5"/>
              <w:numPr>
                <w:ilvl w:val="0"/>
                <w:numId w:val="90"/>
              </w:numPr>
              <w:ind w:left="314" w:hanging="232"/>
              <w:jc w:val="left"/>
              <w:rPr>
                <w:rFonts w:cs="Arial"/>
                <w:noProof/>
              </w:rPr>
            </w:pPr>
            <w:r>
              <w:rPr>
                <w:noProof/>
              </w:rPr>
              <w:t>Autoryzacja legislacyjna;</w:t>
            </w:r>
          </w:p>
          <w:p w14:paraId="10659705" w14:textId="77777777" w:rsidR="004C6421" w:rsidRDefault="009D1962">
            <w:pPr>
              <w:pStyle w:val="P68B1DB1-ListParagraph5"/>
              <w:numPr>
                <w:ilvl w:val="0"/>
                <w:numId w:val="90"/>
              </w:numPr>
              <w:ind w:left="314" w:hanging="232"/>
              <w:jc w:val="left"/>
              <w:rPr>
                <w:rFonts w:cs="Arial"/>
                <w:noProof/>
              </w:rPr>
            </w:pPr>
            <w:r>
              <w:rPr>
                <w:noProof/>
              </w:rPr>
              <w:t>Decreto del Presidente del Consiglio dei Ministri (DPCM) zezwalający na założenie spółki oraz określający cele, kapitał zakładowy, czas trwania i zarząd spółki;</w:t>
            </w:r>
          </w:p>
          <w:p w14:paraId="245F63CC" w14:textId="77777777" w:rsidR="004C6421" w:rsidRDefault="009D1962">
            <w:pPr>
              <w:pStyle w:val="P68B1DB1-ListParagraph5"/>
              <w:numPr>
                <w:ilvl w:val="0"/>
                <w:numId w:val="90"/>
              </w:numPr>
              <w:ind w:left="314" w:hanging="232"/>
              <w:jc w:val="left"/>
              <w:rPr>
                <w:rFonts w:cs="Arial"/>
                <w:noProof/>
              </w:rPr>
            </w:pPr>
            <w:r>
              <w:rPr>
                <w:noProof/>
              </w:rPr>
              <w:t>Instytucja spółki z aktem notarialnym;</w:t>
            </w:r>
          </w:p>
          <w:p w14:paraId="7A845FCC" w14:textId="77777777" w:rsidR="004C6421" w:rsidRDefault="009D1962">
            <w:pPr>
              <w:pStyle w:val="P68B1DB1-ListParagraph5"/>
              <w:numPr>
                <w:ilvl w:val="0"/>
                <w:numId w:val="90"/>
              </w:numPr>
              <w:ind w:left="314" w:hanging="232"/>
              <w:jc w:val="left"/>
              <w:rPr>
                <w:rFonts w:cs="Arial"/>
                <w:noProof/>
              </w:rPr>
            </w:pPr>
            <w:r>
              <w:rPr>
                <w:noProof/>
              </w:rPr>
              <w:t>Czynności wymagane do uruchomienia spółki – statut i różne rozporządzenia.</w:t>
            </w:r>
          </w:p>
        </w:tc>
      </w:tr>
      <w:tr w:rsidR="004C6421" w14:paraId="4F4199E5" w14:textId="77777777">
        <w:trPr>
          <w:trHeight w:val="309"/>
        </w:trPr>
        <w:tc>
          <w:tcPr>
            <w:tcW w:w="1253" w:type="dxa"/>
            <w:shd w:val="clear" w:color="auto" w:fill="C6EFCE"/>
            <w:noWrap/>
            <w:vAlign w:val="center"/>
          </w:tcPr>
          <w:p w14:paraId="3F934542" w14:textId="77777777" w:rsidR="004C6421" w:rsidRDefault="009D1962">
            <w:pPr>
              <w:pStyle w:val="P68B1DB1-Normal4"/>
              <w:jc w:val="center"/>
              <w:rPr>
                <w:rFonts w:cs="Arial"/>
                <w:noProof/>
              </w:rPr>
            </w:pPr>
            <w:r>
              <w:rPr>
                <w:noProof/>
              </w:rPr>
              <w:t>M1C1-11</w:t>
            </w:r>
          </w:p>
        </w:tc>
        <w:tc>
          <w:tcPr>
            <w:tcW w:w="1568" w:type="dxa"/>
            <w:shd w:val="clear" w:color="auto" w:fill="C6EFCE"/>
            <w:noWrap/>
            <w:vAlign w:val="center"/>
          </w:tcPr>
          <w:p w14:paraId="0FD4D9D5" w14:textId="77777777" w:rsidR="004C6421" w:rsidRDefault="009D1962">
            <w:pPr>
              <w:pStyle w:val="P68B1DB1-Normal4"/>
              <w:jc w:val="center"/>
              <w:rPr>
                <w:rFonts w:cs="Arial"/>
                <w:noProof/>
              </w:rPr>
            </w:pPr>
            <w:r>
              <w:rPr>
                <w:noProof/>
              </w:rPr>
              <w:t>Inwestycje 1.6.6: Cyfryzacja policji finansowej</w:t>
            </w:r>
          </w:p>
        </w:tc>
        <w:tc>
          <w:tcPr>
            <w:tcW w:w="1148" w:type="dxa"/>
            <w:shd w:val="clear" w:color="auto" w:fill="C6EFCE"/>
            <w:noWrap/>
            <w:vAlign w:val="center"/>
          </w:tcPr>
          <w:p w14:paraId="73B58695" w14:textId="77777777" w:rsidR="004C6421" w:rsidRDefault="009D1962">
            <w:pPr>
              <w:pStyle w:val="P68B1DB1-Normal4"/>
              <w:jc w:val="center"/>
              <w:rPr>
                <w:rFonts w:cs="Arial"/>
                <w:noProof/>
              </w:rPr>
            </w:pPr>
            <w:r>
              <w:rPr>
                <w:noProof/>
              </w:rPr>
              <w:t>Cel</w:t>
            </w:r>
          </w:p>
        </w:tc>
        <w:tc>
          <w:tcPr>
            <w:tcW w:w="1470" w:type="dxa"/>
            <w:shd w:val="clear" w:color="auto" w:fill="C6EFCE"/>
            <w:noWrap/>
            <w:vAlign w:val="center"/>
          </w:tcPr>
          <w:p w14:paraId="15F909E7" w14:textId="77777777" w:rsidR="004C6421" w:rsidRDefault="009D1962">
            <w:pPr>
              <w:pStyle w:val="P68B1DB1-Normal4"/>
              <w:jc w:val="center"/>
              <w:rPr>
                <w:rFonts w:cs="Arial"/>
                <w:noProof/>
              </w:rPr>
            </w:pPr>
            <w:r>
              <w:rPr>
                <w:noProof/>
              </w:rPr>
              <w:t>Policja Finansowa – Zakup profesjonalnych usług w zakresie nauki o danych T1</w:t>
            </w:r>
          </w:p>
        </w:tc>
        <w:tc>
          <w:tcPr>
            <w:tcW w:w="1701" w:type="dxa"/>
            <w:shd w:val="clear" w:color="auto" w:fill="C6EFCE"/>
            <w:noWrap/>
            <w:vAlign w:val="center"/>
          </w:tcPr>
          <w:p w14:paraId="0DFD9B7E" w14:textId="77777777" w:rsidR="004C6421" w:rsidRDefault="009D1962">
            <w:pPr>
              <w:pStyle w:val="P68B1DB1-Normal4"/>
              <w:jc w:val="center"/>
              <w:rPr>
                <w:rFonts w:cs="Arial"/>
                <w:noProof/>
              </w:rPr>
            </w:pPr>
            <w:r>
              <w:rPr>
                <w:noProof/>
              </w:rPr>
              <w:t>NIE DOT.</w:t>
            </w:r>
          </w:p>
        </w:tc>
        <w:tc>
          <w:tcPr>
            <w:tcW w:w="1134" w:type="dxa"/>
            <w:shd w:val="clear" w:color="auto" w:fill="C6EFCE"/>
            <w:noWrap/>
            <w:vAlign w:val="center"/>
          </w:tcPr>
          <w:p w14:paraId="5542E991" w14:textId="77777777" w:rsidR="004C6421" w:rsidRDefault="009D1962">
            <w:pPr>
              <w:pStyle w:val="P68B1DB1-Normal4"/>
              <w:jc w:val="center"/>
              <w:rPr>
                <w:rFonts w:cs="Arial"/>
                <w:noProof/>
              </w:rPr>
            </w:pPr>
            <w:r>
              <w:rPr>
                <w:noProof/>
              </w:rPr>
              <w:t>Numer</w:t>
            </w:r>
          </w:p>
        </w:tc>
        <w:tc>
          <w:tcPr>
            <w:tcW w:w="1417" w:type="dxa"/>
            <w:shd w:val="clear" w:color="auto" w:fill="C6EFCE"/>
            <w:noWrap/>
            <w:vAlign w:val="center"/>
          </w:tcPr>
          <w:p w14:paraId="030753BE" w14:textId="77777777" w:rsidR="004C6421" w:rsidRDefault="009D1962">
            <w:pPr>
              <w:pStyle w:val="P68B1DB1-Normal4"/>
              <w:jc w:val="center"/>
              <w:rPr>
                <w:rFonts w:cs="Arial"/>
                <w:noProof/>
              </w:rPr>
            </w:pPr>
            <w:r>
              <w:rPr>
                <w:noProof/>
              </w:rPr>
              <w:t>0</w:t>
            </w:r>
          </w:p>
        </w:tc>
        <w:tc>
          <w:tcPr>
            <w:tcW w:w="1425" w:type="dxa"/>
            <w:shd w:val="clear" w:color="auto" w:fill="C6EFCE"/>
            <w:noWrap/>
            <w:vAlign w:val="center"/>
          </w:tcPr>
          <w:p w14:paraId="4B24615C" w14:textId="77777777" w:rsidR="004C6421" w:rsidRDefault="009D1962">
            <w:pPr>
              <w:pStyle w:val="P68B1DB1-Normal4"/>
              <w:jc w:val="center"/>
              <w:rPr>
                <w:rFonts w:cs="Arial"/>
                <w:noProof/>
              </w:rPr>
            </w:pPr>
            <w:r>
              <w:rPr>
                <w:noProof/>
              </w:rPr>
              <w:t>5</w:t>
            </w:r>
          </w:p>
        </w:tc>
        <w:tc>
          <w:tcPr>
            <w:tcW w:w="843" w:type="dxa"/>
            <w:shd w:val="clear" w:color="auto" w:fill="C6EFCE"/>
            <w:noWrap/>
            <w:vAlign w:val="center"/>
          </w:tcPr>
          <w:p w14:paraId="4DB7EF40" w14:textId="4CD1B81D" w:rsidR="004C6421" w:rsidRDefault="00CC179E">
            <w:pPr>
              <w:pStyle w:val="P68B1DB1-Normal4"/>
              <w:jc w:val="center"/>
              <w:rPr>
                <w:rFonts w:cs="Arial"/>
                <w:noProof/>
              </w:rPr>
            </w:pPr>
            <w:r>
              <w:rPr>
                <w:noProof/>
              </w:rPr>
              <w:t>KW. 1</w:t>
            </w:r>
          </w:p>
        </w:tc>
        <w:tc>
          <w:tcPr>
            <w:tcW w:w="567" w:type="dxa"/>
            <w:shd w:val="clear" w:color="auto" w:fill="C6EFCE"/>
            <w:noWrap/>
            <w:vAlign w:val="center"/>
          </w:tcPr>
          <w:p w14:paraId="24623927" w14:textId="77777777" w:rsidR="004C6421" w:rsidRDefault="009D1962">
            <w:pPr>
              <w:pStyle w:val="P68B1DB1-Normal4"/>
              <w:jc w:val="center"/>
              <w:rPr>
                <w:rFonts w:cs="Arial"/>
                <w:noProof/>
              </w:rPr>
            </w:pPr>
            <w:r>
              <w:rPr>
                <w:noProof/>
              </w:rPr>
              <w:t>2023</w:t>
            </w:r>
          </w:p>
        </w:tc>
        <w:tc>
          <w:tcPr>
            <w:tcW w:w="2977" w:type="dxa"/>
            <w:shd w:val="clear" w:color="auto" w:fill="C6EFCE"/>
            <w:noWrap/>
            <w:vAlign w:val="center"/>
          </w:tcPr>
          <w:p w14:paraId="67374AE8" w14:textId="77777777" w:rsidR="004C6421" w:rsidRDefault="009D1962">
            <w:pPr>
              <w:pStyle w:val="P68B1DB1-Normal4"/>
              <w:spacing w:after="120"/>
              <w:rPr>
                <w:rFonts w:cs="Arial"/>
                <w:noProof/>
              </w:rPr>
            </w:pPr>
            <w:r>
              <w:rPr>
                <w:noProof/>
              </w:rPr>
              <w:t>Zakup profesjonalnych usług w zakresie nauki o danych poprzez zawieranie umów z dostawcą usług doradczych obejmujących łącznie pięć zasobów ludzkich odpowiedzialnych zarówno za projektowanie architektury danych, jak i zapisywanie algorytmów jednostki ds. analizy dużych zbiorów danych. Publikacja udzielonego zamówienia na zakup usług w zakresie nauki o danych zgodnie z wytycznymi technicznymi dotyczącymi zasady „nie czyń poważnych szkód” (2021/C58/01) poprzez wykorzystanie wykazu wykluczenia i wymogu zgodności z odpowiednimi unijnymi i krajowymi przepisami w zakresie ochrony środowiska oraz udostępnienie na skalę krajową nowych narzędzi w ramach pierwszego modułu analitycznego (szkielet IT).</w:t>
            </w:r>
          </w:p>
        </w:tc>
      </w:tr>
      <w:tr w:rsidR="004C6421" w14:paraId="56C3A3A0" w14:textId="77777777">
        <w:trPr>
          <w:trHeight w:val="309"/>
        </w:trPr>
        <w:tc>
          <w:tcPr>
            <w:tcW w:w="1253" w:type="dxa"/>
            <w:shd w:val="clear" w:color="auto" w:fill="C6EFCE"/>
            <w:noWrap/>
            <w:vAlign w:val="center"/>
          </w:tcPr>
          <w:p w14:paraId="22B9CA73" w14:textId="77777777" w:rsidR="004C6421" w:rsidRDefault="009D1962">
            <w:pPr>
              <w:pStyle w:val="P68B1DB1-Normal4"/>
              <w:jc w:val="center"/>
              <w:rPr>
                <w:rFonts w:cs="Arial"/>
                <w:noProof/>
              </w:rPr>
            </w:pPr>
            <w:r>
              <w:rPr>
                <w:noProof/>
              </w:rPr>
              <w:t>M1C1-12</w:t>
            </w:r>
          </w:p>
        </w:tc>
        <w:tc>
          <w:tcPr>
            <w:tcW w:w="1568" w:type="dxa"/>
            <w:shd w:val="clear" w:color="auto" w:fill="C6EFCE"/>
            <w:noWrap/>
            <w:vAlign w:val="center"/>
          </w:tcPr>
          <w:p w14:paraId="4C98529A" w14:textId="77777777" w:rsidR="004C6421" w:rsidRDefault="009D1962">
            <w:pPr>
              <w:pStyle w:val="P68B1DB1-Normal4"/>
              <w:jc w:val="center"/>
              <w:rPr>
                <w:rFonts w:cs="Arial"/>
                <w:noProof/>
              </w:rPr>
            </w:pPr>
            <w:r>
              <w:rPr>
                <w:noProof/>
              </w:rPr>
              <w:t>Inwestycja 1.3.2: Jednolity portal cyfrowy</w:t>
            </w:r>
          </w:p>
        </w:tc>
        <w:tc>
          <w:tcPr>
            <w:tcW w:w="1148" w:type="dxa"/>
            <w:shd w:val="clear" w:color="auto" w:fill="C6EFCE"/>
            <w:noWrap/>
            <w:vAlign w:val="center"/>
          </w:tcPr>
          <w:p w14:paraId="0AA5B9F6" w14:textId="77777777" w:rsidR="004C6421" w:rsidRDefault="009D1962">
            <w:pPr>
              <w:pStyle w:val="P68B1DB1-Normal4"/>
              <w:jc w:val="center"/>
              <w:rPr>
                <w:rFonts w:cs="Arial"/>
                <w:noProof/>
              </w:rPr>
            </w:pPr>
            <w:r>
              <w:rPr>
                <w:noProof/>
              </w:rPr>
              <w:t>Cel</w:t>
            </w:r>
          </w:p>
        </w:tc>
        <w:tc>
          <w:tcPr>
            <w:tcW w:w="1470" w:type="dxa"/>
            <w:shd w:val="clear" w:color="auto" w:fill="C6EFCE"/>
            <w:noWrap/>
            <w:vAlign w:val="center"/>
          </w:tcPr>
          <w:p w14:paraId="12DBC7F2" w14:textId="77777777" w:rsidR="004C6421" w:rsidRDefault="009D1962">
            <w:pPr>
              <w:pStyle w:val="P68B1DB1-Normal4"/>
              <w:jc w:val="center"/>
              <w:rPr>
                <w:rFonts w:cs="Arial"/>
                <w:noProof/>
              </w:rPr>
            </w:pPr>
            <w:r>
              <w:rPr>
                <w:noProof/>
              </w:rPr>
              <w:t>Jednolity portal cyfrowy</w:t>
            </w:r>
          </w:p>
        </w:tc>
        <w:tc>
          <w:tcPr>
            <w:tcW w:w="1701" w:type="dxa"/>
            <w:shd w:val="clear" w:color="auto" w:fill="C6EFCE"/>
            <w:noWrap/>
            <w:vAlign w:val="center"/>
          </w:tcPr>
          <w:p w14:paraId="14923D86" w14:textId="77777777" w:rsidR="004C6421" w:rsidRDefault="009D1962">
            <w:pPr>
              <w:pStyle w:val="P68B1DB1-Normal4"/>
              <w:jc w:val="center"/>
              <w:rPr>
                <w:rFonts w:cs="Arial"/>
                <w:noProof/>
              </w:rPr>
            </w:pPr>
            <w:r>
              <w:rPr>
                <w:noProof/>
              </w:rPr>
              <w:t>NIE DOT.</w:t>
            </w:r>
          </w:p>
        </w:tc>
        <w:tc>
          <w:tcPr>
            <w:tcW w:w="1134" w:type="dxa"/>
            <w:shd w:val="clear" w:color="auto" w:fill="C6EFCE"/>
            <w:noWrap/>
            <w:vAlign w:val="center"/>
          </w:tcPr>
          <w:p w14:paraId="494EF068" w14:textId="77777777" w:rsidR="004C6421" w:rsidRDefault="009D1962">
            <w:pPr>
              <w:pStyle w:val="P68B1DB1-Normal4"/>
              <w:jc w:val="center"/>
              <w:rPr>
                <w:rFonts w:cs="Arial"/>
                <w:noProof/>
              </w:rPr>
            </w:pPr>
            <w:r>
              <w:rPr>
                <w:noProof/>
              </w:rPr>
              <w:t>Numer</w:t>
            </w:r>
          </w:p>
        </w:tc>
        <w:tc>
          <w:tcPr>
            <w:tcW w:w="1417" w:type="dxa"/>
            <w:shd w:val="clear" w:color="auto" w:fill="C6EFCE"/>
            <w:noWrap/>
            <w:vAlign w:val="center"/>
          </w:tcPr>
          <w:p w14:paraId="74699E7E" w14:textId="77777777" w:rsidR="004C6421" w:rsidRDefault="009D1962">
            <w:pPr>
              <w:pStyle w:val="P68B1DB1-Normal4"/>
              <w:jc w:val="center"/>
              <w:rPr>
                <w:rFonts w:cs="Arial"/>
                <w:noProof/>
              </w:rPr>
            </w:pPr>
            <w:r>
              <w:rPr>
                <w:noProof/>
              </w:rPr>
              <w:t>0</w:t>
            </w:r>
          </w:p>
        </w:tc>
        <w:tc>
          <w:tcPr>
            <w:tcW w:w="1425" w:type="dxa"/>
            <w:shd w:val="clear" w:color="auto" w:fill="C6EFCE"/>
            <w:noWrap/>
            <w:vAlign w:val="center"/>
          </w:tcPr>
          <w:p w14:paraId="12F24A60" w14:textId="77777777" w:rsidR="004C6421" w:rsidRDefault="009D1962">
            <w:pPr>
              <w:pStyle w:val="P68B1DB1-Normal4"/>
              <w:jc w:val="center"/>
              <w:rPr>
                <w:rFonts w:cs="Arial"/>
                <w:noProof/>
              </w:rPr>
            </w:pPr>
            <w:r>
              <w:rPr>
                <w:noProof/>
              </w:rPr>
              <w:t>19</w:t>
            </w:r>
          </w:p>
        </w:tc>
        <w:tc>
          <w:tcPr>
            <w:tcW w:w="843" w:type="dxa"/>
            <w:shd w:val="clear" w:color="auto" w:fill="C6EFCE"/>
            <w:noWrap/>
            <w:vAlign w:val="center"/>
          </w:tcPr>
          <w:p w14:paraId="741C0F6D" w14:textId="24911B29" w:rsidR="004C6421" w:rsidRDefault="00CC179E">
            <w:pPr>
              <w:pStyle w:val="P68B1DB1-Normal4"/>
              <w:jc w:val="center"/>
              <w:rPr>
                <w:rFonts w:cs="Arial"/>
                <w:noProof/>
              </w:rPr>
            </w:pPr>
            <w:r>
              <w:rPr>
                <w:noProof/>
              </w:rPr>
              <w:t>KW. 4</w:t>
            </w:r>
          </w:p>
        </w:tc>
        <w:tc>
          <w:tcPr>
            <w:tcW w:w="567" w:type="dxa"/>
            <w:shd w:val="clear" w:color="auto" w:fill="C6EFCE"/>
            <w:noWrap/>
            <w:vAlign w:val="center"/>
          </w:tcPr>
          <w:p w14:paraId="7388BE88" w14:textId="77777777" w:rsidR="004C6421" w:rsidRDefault="009D1962">
            <w:pPr>
              <w:pStyle w:val="P68B1DB1-Normal4"/>
              <w:jc w:val="center"/>
              <w:rPr>
                <w:rFonts w:cs="Arial"/>
                <w:noProof/>
              </w:rPr>
            </w:pPr>
            <w:r>
              <w:rPr>
                <w:noProof/>
              </w:rPr>
              <w:t>2023</w:t>
            </w:r>
          </w:p>
        </w:tc>
        <w:tc>
          <w:tcPr>
            <w:tcW w:w="2977" w:type="dxa"/>
            <w:shd w:val="clear" w:color="auto" w:fill="C6EFCE"/>
            <w:noWrap/>
            <w:vAlign w:val="center"/>
          </w:tcPr>
          <w:p w14:paraId="60026403" w14:textId="77777777" w:rsidR="004C6421" w:rsidRDefault="009D1962">
            <w:pPr>
              <w:pStyle w:val="P68B1DB1-Normal4"/>
              <w:spacing w:after="120"/>
              <w:rPr>
                <w:rFonts w:cs="Arial"/>
                <w:noProof/>
              </w:rPr>
            </w:pPr>
            <w:r>
              <w:rPr>
                <w:noProof/>
              </w:rPr>
              <w:t>19 priorytetowych procedur administracyjnych mających zastosowanie we Włoszech spośród 21 określonych w rozporządzeniu (UE) 2018/1724 jest w pełni zgodnych z wymogami określonymi w art. 6 rozporządzenia (UE) 2018/1724. A konkretnie: a) identyfikację użytkowników, dostarczanie informacji i dowodów potwierdzających, podpis i ostateczne składanie dokumentów przeprowadza się drogą elektroniczną na odległość, za pośrednictwem kanału usługowego umożliwiającego użytkownikom spełnienie wymogów związanych z procedurą w sposób przyjazny dla użytkownika i uporządkowany; użytkownicy otrzymują automatyczne potwierdzenie odbioru, chyba że wynik procedury zostanie natychmiast dostarczony; C) wyniki procedury dostarczane są drogą elektroniczną lub, w razie potrzeby, w celu zapewnienia zgodności z mającym zastosowanie prawem Unii lub prawem krajowym, dostarczane za pomocą środków fizycznych; d) użytkownicy otrzymują elektroniczne powiadomienie o zakończeniu procedury.</w:t>
            </w:r>
          </w:p>
        </w:tc>
      </w:tr>
      <w:tr w:rsidR="004C6421" w14:paraId="2F18E7A7" w14:textId="77777777">
        <w:trPr>
          <w:trHeight w:val="309"/>
        </w:trPr>
        <w:tc>
          <w:tcPr>
            <w:tcW w:w="1253" w:type="dxa"/>
            <w:shd w:val="clear" w:color="auto" w:fill="C6EFCE"/>
            <w:noWrap/>
            <w:vAlign w:val="center"/>
          </w:tcPr>
          <w:p w14:paraId="2A69177B" w14:textId="77777777" w:rsidR="004C6421" w:rsidRDefault="009D1962">
            <w:pPr>
              <w:pStyle w:val="P68B1DB1-Normal4"/>
              <w:jc w:val="center"/>
              <w:rPr>
                <w:rFonts w:cs="Arial"/>
                <w:noProof/>
              </w:rPr>
            </w:pPr>
            <w:r>
              <w:rPr>
                <w:noProof/>
              </w:rPr>
              <w:t>M1C1-13</w:t>
            </w:r>
          </w:p>
        </w:tc>
        <w:tc>
          <w:tcPr>
            <w:tcW w:w="1568" w:type="dxa"/>
            <w:shd w:val="clear" w:color="auto" w:fill="C6EFCE"/>
            <w:noWrap/>
            <w:vAlign w:val="center"/>
          </w:tcPr>
          <w:p w14:paraId="1CB681CF" w14:textId="77777777" w:rsidR="004C6421" w:rsidRDefault="009D1962">
            <w:pPr>
              <w:pStyle w:val="P68B1DB1-Normal4"/>
              <w:jc w:val="center"/>
              <w:rPr>
                <w:rFonts w:cs="Arial"/>
                <w:noProof/>
              </w:rPr>
            </w:pPr>
            <w:r>
              <w:rPr>
                <w:noProof/>
              </w:rPr>
              <w:t>Inwestycje 1.4.6:</w:t>
            </w:r>
          </w:p>
          <w:p w14:paraId="209E978D" w14:textId="77777777" w:rsidR="004C6421" w:rsidRDefault="009D1962">
            <w:pPr>
              <w:pStyle w:val="P68B1DB1-Normal4"/>
              <w:jc w:val="center"/>
              <w:rPr>
                <w:rFonts w:cs="Arial"/>
                <w:noProof/>
              </w:rPr>
            </w:pPr>
            <w:r>
              <w:rPr>
                <w:noProof/>
              </w:rPr>
              <w:t>Mobilność jako usługa dla Włoch</w:t>
            </w:r>
          </w:p>
        </w:tc>
        <w:tc>
          <w:tcPr>
            <w:tcW w:w="1148" w:type="dxa"/>
            <w:shd w:val="clear" w:color="auto" w:fill="C6EFCE"/>
            <w:noWrap/>
            <w:vAlign w:val="center"/>
          </w:tcPr>
          <w:p w14:paraId="7F28BC48" w14:textId="6DCBB993" w:rsidR="004C6421" w:rsidRDefault="00CC179E">
            <w:pPr>
              <w:pStyle w:val="P68B1DB1-Normal4"/>
              <w:jc w:val="center"/>
              <w:rPr>
                <w:rFonts w:cs="Arial"/>
                <w:noProof/>
              </w:rPr>
            </w:pPr>
            <w:r>
              <w:rPr>
                <w:noProof/>
              </w:rPr>
              <w:t>Milowy</w:t>
            </w:r>
          </w:p>
        </w:tc>
        <w:tc>
          <w:tcPr>
            <w:tcW w:w="1470" w:type="dxa"/>
            <w:shd w:val="clear" w:color="auto" w:fill="C6EFCE"/>
            <w:noWrap/>
            <w:vAlign w:val="center"/>
          </w:tcPr>
          <w:p w14:paraId="58CC21F9" w14:textId="77777777" w:rsidR="004C6421" w:rsidRDefault="009D1962">
            <w:pPr>
              <w:pStyle w:val="P68B1DB1-Normal4"/>
              <w:jc w:val="center"/>
              <w:rPr>
                <w:rFonts w:cs="Arial"/>
                <w:noProof/>
              </w:rPr>
            </w:pPr>
            <w:r>
              <w:rPr>
                <w:noProof/>
              </w:rPr>
              <w:t>Mobilność jako rozwiązania usługowe M1</w:t>
            </w:r>
          </w:p>
        </w:tc>
        <w:tc>
          <w:tcPr>
            <w:tcW w:w="1701" w:type="dxa"/>
            <w:shd w:val="clear" w:color="auto" w:fill="C6EFCE"/>
            <w:noWrap/>
            <w:vAlign w:val="center"/>
          </w:tcPr>
          <w:p w14:paraId="2A402533" w14:textId="77777777" w:rsidR="004C6421" w:rsidRDefault="009D1962">
            <w:pPr>
              <w:pStyle w:val="P68B1DB1-Normal4"/>
              <w:jc w:val="center"/>
              <w:rPr>
                <w:rFonts w:cs="Arial"/>
                <w:noProof/>
              </w:rPr>
            </w:pPr>
            <w:r>
              <w:rPr>
                <w:noProof/>
              </w:rPr>
              <w:t>Sprawozdanie Ministero delle Infrastrutture e della Mobilità Sostenibili (MIMS) we współpracy z uniwersytetami opisujące wdrażanie i ocenę wyników trzech projektów pilotażowych NIE DOT.</w:t>
            </w:r>
          </w:p>
        </w:tc>
        <w:tc>
          <w:tcPr>
            <w:tcW w:w="1134" w:type="dxa"/>
            <w:shd w:val="clear" w:color="auto" w:fill="C6EFCE"/>
            <w:noWrap/>
            <w:vAlign w:val="center"/>
          </w:tcPr>
          <w:p w14:paraId="79DFE3E6" w14:textId="77777777" w:rsidR="004C6421" w:rsidRDefault="009D1962">
            <w:pPr>
              <w:pStyle w:val="P68B1DB1-Normal4"/>
              <w:jc w:val="center"/>
              <w:rPr>
                <w:rFonts w:cs="Arial"/>
                <w:noProof/>
              </w:rPr>
            </w:pPr>
            <w:r>
              <w:rPr>
                <w:noProof/>
              </w:rPr>
              <w:t>NIE DOT.</w:t>
            </w:r>
          </w:p>
        </w:tc>
        <w:tc>
          <w:tcPr>
            <w:tcW w:w="1417" w:type="dxa"/>
            <w:shd w:val="clear" w:color="auto" w:fill="C6EFCE"/>
            <w:noWrap/>
            <w:vAlign w:val="center"/>
          </w:tcPr>
          <w:p w14:paraId="1D36EE9C" w14:textId="77777777" w:rsidR="004C6421" w:rsidRDefault="009D1962">
            <w:pPr>
              <w:pStyle w:val="P68B1DB1-Normal4"/>
              <w:jc w:val="center"/>
              <w:rPr>
                <w:rFonts w:cs="Arial"/>
                <w:noProof/>
              </w:rPr>
            </w:pPr>
            <w:r>
              <w:rPr>
                <w:noProof/>
              </w:rPr>
              <w:t>NIE DOT.</w:t>
            </w:r>
          </w:p>
        </w:tc>
        <w:tc>
          <w:tcPr>
            <w:tcW w:w="1425" w:type="dxa"/>
            <w:shd w:val="clear" w:color="auto" w:fill="C6EFCE"/>
            <w:noWrap/>
            <w:vAlign w:val="center"/>
          </w:tcPr>
          <w:p w14:paraId="5F6C9A7B" w14:textId="77777777" w:rsidR="004C6421" w:rsidRDefault="009D1962">
            <w:pPr>
              <w:pStyle w:val="P68B1DB1-Normal4"/>
              <w:jc w:val="center"/>
              <w:rPr>
                <w:rFonts w:cs="Arial"/>
                <w:noProof/>
              </w:rPr>
            </w:pPr>
            <w:r>
              <w:rPr>
                <w:noProof/>
              </w:rPr>
              <w:t>NIE DOT.</w:t>
            </w:r>
          </w:p>
        </w:tc>
        <w:tc>
          <w:tcPr>
            <w:tcW w:w="843" w:type="dxa"/>
            <w:shd w:val="clear" w:color="auto" w:fill="C6EFCE"/>
            <w:noWrap/>
            <w:vAlign w:val="center"/>
          </w:tcPr>
          <w:p w14:paraId="646F4948" w14:textId="3B9B39C2" w:rsidR="004C6421" w:rsidRDefault="00CC179E">
            <w:pPr>
              <w:pStyle w:val="P68B1DB1-Normal4"/>
              <w:jc w:val="center"/>
              <w:rPr>
                <w:rFonts w:cs="Arial"/>
                <w:noProof/>
              </w:rPr>
            </w:pPr>
            <w:r>
              <w:rPr>
                <w:noProof/>
              </w:rPr>
              <w:t>KW. 4</w:t>
            </w:r>
          </w:p>
        </w:tc>
        <w:tc>
          <w:tcPr>
            <w:tcW w:w="567" w:type="dxa"/>
            <w:shd w:val="clear" w:color="auto" w:fill="C6EFCE"/>
            <w:noWrap/>
            <w:vAlign w:val="center"/>
          </w:tcPr>
          <w:p w14:paraId="1C5B3EE0" w14:textId="77777777" w:rsidR="004C6421" w:rsidRDefault="009D1962">
            <w:pPr>
              <w:pStyle w:val="P68B1DB1-Normal4"/>
              <w:jc w:val="center"/>
              <w:rPr>
                <w:rFonts w:cs="Arial"/>
                <w:noProof/>
              </w:rPr>
            </w:pPr>
            <w:r>
              <w:rPr>
                <w:noProof/>
              </w:rPr>
              <w:t>2023</w:t>
            </w:r>
          </w:p>
        </w:tc>
        <w:tc>
          <w:tcPr>
            <w:tcW w:w="2977" w:type="dxa"/>
            <w:shd w:val="clear" w:color="auto" w:fill="C6EFCE"/>
            <w:noWrap/>
            <w:vAlign w:val="center"/>
          </w:tcPr>
          <w:p w14:paraId="7387EA8B" w14:textId="77777777" w:rsidR="004C6421" w:rsidRDefault="009D1962">
            <w:pPr>
              <w:pStyle w:val="P68B1DB1-Normal4"/>
              <w:spacing w:after="120"/>
              <w:rPr>
                <w:rFonts w:cs="Arial"/>
                <w:noProof/>
              </w:rPr>
            </w:pPr>
            <w:r>
              <w:rPr>
                <w:noProof/>
              </w:rPr>
              <w:t>Wdrożono trzy projekty pilotażowe mające na celu testowanie mobilności jako rozwiązań usługowych w zaawansowanych technologicznie miastach metropolitalnych.</w:t>
            </w:r>
          </w:p>
          <w:p w14:paraId="403DC82A" w14:textId="77777777" w:rsidR="004C6421" w:rsidRDefault="009D1962">
            <w:pPr>
              <w:pStyle w:val="P68B1DB1-Normal4"/>
              <w:spacing w:after="120"/>
              <w:rPr>
                <w:rFonts w:cs="Arial"/>
                <w:noProof/>
              </w:rPr>
            </w:pPr>
            <w:r>
              <w:rPr>
                <w:noProof/>
              </w:rPr>
              <w:t>Każdy roztwór był używany przez co najmniej 1000 użytkowników w okresie pilotażowym.</w:t>
            </w:r>
          </w:p>
          <w:p w14:paraId="1D34BBDE" w14:textId="77777777" w:rsidR="004C6421" w:rsidRDefault="009D1962">
            <w:pPr>
              <w:pStyle w:val="P68B1DB1-Normal4"/>
              <w:spacing w:after="120"/>
              <w:rPr>
                <w:rFonts w:cs="Arial"/>
                <w:noProof/>
              </w:rPr>
            </w:pPr>
            <w:r>
              <w:rPr>
                <w:noProof/>
              </w:rPr>
              <w:t>Każdy projekt pilotażowy jest otwarty dla co najmniej 1000 użytkowników, którzy mają do niego dostęp na zasadzie dobrowolności i na własny koszt oraz umożliwiają indywidualną ocenę, z możliwością wyboru i zakupu usług w zakresie mobilności spośród usług dostępnych na platformie.</w:t>
            </w:r>
          </w:p>
          <w:p w14:paraId="0B17E781" w14:textId="77777777" w:rsidR="004C6421" w:rsidRDefault="009D1962">
            <w:pPr>
              <w:pStyle w:val="P68B1DB1-Normal4"/>
              <w:spacing w:after="120"/>
              <w:rPr>
                <w:rFonts w:cs="Arial"/>
                <w:noProof/>
              </w:rPr>
            </w:pPr>
            <w:r>
              <w:rPr>
                <w:noProof/>
              </w:rPr>
              <w:t>Usługa MaaS, za pośrednictwem jednej platformy technologicznej, proponuje użytkownikowi będącemu obywatelem najlepsze rozwiązanie w zakresie podróży w oparciu o jego potrzeby, wykorzystując integrację różnych dostępnych możliwości w zakresie mobilności (lokalny transport publiczny, wspólne korzystanie z kabiny, wynajem samochodów) w celu optymalizacji doświadczeń związanych z podróżą zarówno pod względem planowania (planer trasy intermodalnej i informacje w czasie rzeczywistym na temat czasu i odległości), jak i pod względem wykorzystania (rezerwacja i płatność za usługi).</w:t>
            </w:r>
          </w:p>
        </w:tc>
      </w:tr>
      <w:tr w:rsidR="004C6421" w14:paraId="1070193F"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7BB673" w14:textId="77777777" w:rsidR="004C6421" w:rsidRDefault="009D1962">
            <w:pPr>
              <w:pStyle w:val="P68B1DB1-Normal4"/>
              <w:jc w:val="center"/>
              <w:rPr>
                <w:rFonts w:cs="Arial"/>
                <w:noProof/>
              </w:rPr>
            </w:pPr>
            <w:r>
              <w:rPr>
                <w:noProof/>
              </w:rPr>
              <w:t>M1C1-14bis</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13503D" w14:textId="77777777" w:rsidR="004C6421" w:rsidRDefault="009D1962">
            <w:pPr>
              <w:pStyle w:val="P68B1DB1-Normal4"/>
              <w:jc w:val="center"/>
              <w:rPr>
                <w:rFonts w:cs="Arial"/>
                <w:noProof/>
              </w:rPr>
            </w:pPr>
            <w:r>
              <w:rPr>
                <w:noProof/>
              </w:rPr>
              <w:t>Reforma 1.9a: Reforma na rzecz przyspieszenia wdrażania polityki spójności</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1FA14AB" w14:textId="4D039CF8" w:rsidR="004C6421" w:rsidRDefault="00CC179E">
            <w:pPr>
              <w:pStyle w:val="P68B1DB1-Normal4"/>
              <w:jc w:val="center"/>
              <w:rPr>
                <w:rFonts w:cs="Arial"/>
                <w:noProof/>
              </w:rPr>
            </w:pPr>
            <w:r>
              <w:rPr>
                <w:noProof/>
              </w:rPr>
              <w:t xml:space="preserve">Milowy </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F7BC29" w14:textId="77777777" w:rsidR="004C6421" w:rsidRDefault="009D1962">
            <w:pPr>
              <w:pStyle w:val="P68B1DB1-Normal4"/>
              <w:jc w:val="center"/>
              <w:rPr>
                <w:rFonts w:cs="Arial"/>
                <w:noProof/>
              </w:rPr>
            </w:pPr>
            <w:r>
              <w:rPr>
                <w:noProof/>
              </w:rPr>
              <w:t>Wejście w życie przepisów krajowych mających na celu przyspieszenie wdrażania polityki spójności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7FA5B25" w14:textId="77777777" w:rsidR="004C6421" w:rsidRDefault="009D1962">
            <w:pPr>
              <w:pStyle w:val="P68B1DB1-Normal4"/>
              <w:jc w:val="center"/>
              <w:rPr>
                <w:rFonts w:cs="Arial"/>
                <w:noProof/>
              </w:rPr>
            </w:pPr>
            <w:r>
              <w:rPr>
                <w:noProof/>
              </w:rPr>
              <w:t xml:space="preserve">Przepis ustawy wskazujący na wejście w życie ustawodawstwa krajowego w celu przyspieszenia wdrażania polityki spójności NIE DOT. </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8763A5"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069C8A"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3B02DAD"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D533FD" w14:textId="1EA9B99A" w:rsidR="004C6421" w:rsidRDefault="00CC179E">
            <w:pPr>
              <w:pStyle w:val="P68B1DB1-Normal4"/>
              <w:jc w:val="center"/>
              <w:rPr>
                <w:rFonts w:cs="Arial"/>
                <w:noProof/>
              </w:rPr>
            </w:pPr>
            <w:r>
              <w:rPr>
                <w:noProof/>
              </w:rPr>
              <w:t>KW. 1</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6387190" w14:textId="77777777" w:rsidR="004C6421" w:rsidRDefault="009D1962">
            <w:pPr>
              <w:pStyle w:val="P68B1DB1-Normal4"/>
              <w:jc w:val="center"/>
              <w:rPr>
                <w:rFonts w:cs="Arial"/>
                <w:noProof/>
              </w:rPr>
            </w:pPr>
            <w:r>
              <w:rPr>
                <w:noProof/>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697681" w14:textId="77777777" w:rsidR="004C6421" w:rsidRDefault="009D1962">
            <w:pPr>
              <w:pStyle w:val="P68B1DB1-Normal4"/>
              <w:spacing w:after="120"/>
              <w:rPr>
                <w:rFonts w:cs="Arial"/>
                <w:noProof/>
              </w:rPr>
            </w:pPr>
            <w:r>
              <w:rPr>
                <w:noProof/>
              </w:rPr>
              <w:t xml:space="preserve">Wejście w życie ustawodawstwa krajowego określającego, w ramach umowy partnerstwa i w odniesieniu do wszystkich obecnych programów, ustalenia niezbędne do przyspieszenia i poprawy wdrażania polityki spójności. </w:t>
            </w:r>
          </w:p>
          <w:p w14:paraId="0EF420DD" w14:textId="77777777" w:rsidR="004C6421" w:rsidRDefault="009D1962">
            <w:pPr>
              <w:pStyle w:val="P68B1DB1-Normal4"/>
              <w:spacing w:after="120"/>
              <w:rPr>
                <w:rFonts w:cs="Arial"/>
                <w:noProof/>
              </w:rPr>
            </w:pPr>
            <w:r>
              <w:rPr>
                <w:noProof/>
              </w:rPr>
              <w:t>Aby zapewnić dialog instytucjonalny i współpracę instytucjonalną, a także wspólne zrozumienie niezbędnych działań, do dnia 31 grudnia 2023 r. rząd utworzy techniczną grupę roboczą z instytucjami zarządzającymi wszystkimi programami regionalnymi i krajowymi w ramach Cabina di regia PNRR, bez uszczerbku dla przepisów krajowych dotyczących ujednoliconej konferencji.</w:t>
            </w:r>
          </w:p>
          <w:p w14:paraId="469D6446" w14:textId="77777777" w:rsidR="004C6421" w:rsidRDefault="009D1962">
            <w:pPr>
              <w:pStyle w:val="P68B1DB1-Normal4"/>
              <w:spacing w:after="120"/>
              <w:rPr>
                <w:rFonts w:cs="Arial"/>
                <w:noProof/>
              </w:rPr>
            </w:pPr>
            <w:r>
              <w:rPr>
                <w:noProof/>
              </w:rPr>
              <w:t>W prawodawstwie określa się ustalenia niezbędne do priorytetowego traktowania interwencji w następujących sektorach strategicznych, w ścisłej zgodności z dokumentami dotyczącymi planowania określonymi w odniesieniu do odpowiednich warunków podstawowych, oraz do ich konkretnego wdrożenia, w tym interwencji w szczególności w celu wzmocnienia zdolności administracyjnych w tych sektorach:</w:t>
            </w:r>
          </w:p>
          <w:p w14:paraId="1F1CAECB" w14:textId="77777777" w:rsidR="004C6421" w:rsidRDefault="009D1962">
            <w:pPr>
              <w:spacing w:after="120"/>
              <w:rPr>
                <w:rFonts w:ascii="Arial Narrow" w:hAnsi="Arial Narrow" w:cs="Arial"/>
                <w:noProof/>
                <w:color w:val="006100"/>
                <w:sz w:val="20"/>
              </w:rPr>
            </w:pPr>
            <w:r>
              <w:rPr>
                <w:rFonts w:ascii="Arial Narrow" w:hAnsi="Arial Narrow"/>
                <w:noProof/>
                <w:color w:val="006100"/>
                <w:sz w:val="20"/>
              </w:rPr>
              <w:t>-</w:t>
            </w:r>
            <w:r>
              <w:rPr>
                <w:noProof/>
              </w:rPr>
              <w:t xml:space="preserve"> </w:t>
            </w:r>
            <w:r>
              <w:rPr>
                <w:rFonts w:ascii="Arial Narrow" w:hAnsi="Arial Narrow"/>
                <w:noProof/>
                <w:color w:val="006100"/>
                <w:sz w:val="20"/>
              </w:rPr>
              <w:t>Wodę;</w:t>
            </w:r>
          </w:p>
          <w:p w14:paraId="2A6A61A9" w14:textId="77777777" w:rsidR="004C6421" w:rsidRDefault="009D1962">
            <w:pPr>
              <w:spacing w:after="120"/>
              <w:rPr>
                <w:rFonts w:ascii="Arial Narrow" w:hAnsi="Arial Narrow" w:cs="Arial"/>
                <w:noProof/>
                <w:color w:val="006100"/>
                <w:sz w:val="20"/>
              </w:rPr>
            </w:pPr>
            <w:r>
              <w:rPr>
                <w:rFonts w:ascii="Arial Narrow" w:hAnsi="Arial Narrow"/>
                <w:noProof/>
                <w:color w:val="006100"/>
                <w:sz w:val="20"/>
              </w:rPr>
              <w:t>-</w:t>
            </w:r>
            <w:r>
              <w:rPr>
                <w:noProof/>
              </w:rPr>
              <w:t xml:space="preserve"> </w:t>
            </w:r>
            <w:r>
              <w:rPr>
                <w:rFonts w:ascii="Arial Narrow" w:hAnsi="Arial Narrow"/>
                <w:noProof/>
                <w:color w:val="006100"/>
                <w:sz w:val="20"/>
              </w:rPr>
              <w:t>infrastruktury dla ryzyka hydrogeologicznego i ochrony środowiska;</w:t>
            </w:r>
          </w:p>
          <w:p w14:paraId="4E3167E9" w14:textId="77777777" w:rsidR="004C6421" w:rsidRDefault="009D1962">
            <w:pPr>
              <w:spacing w:after="120"/>
              <w:rPr>
                <w:rFonts w:ascii="Arial Narrow" w:hAnsi="Arial Narrow" w:cs="Arial"/>
                <w:noProof/>
                <w:color w:val="006100"/>
                <w:sz w:val="20"/>
              </w:rPr>
            </w:pPr>
            <w:r>
              <w:rPr>
                <w:rFonts w:ascii="Arial Narrow" w:hAnsi="Arial Narrow"/>
                <w:noProof/>
                <w:color w:val="006100"/>
                <w:sz w:val="20"/>
              </w:rPr>
              <w:t>-</w:t>
            </w:r>
            <w:r>
              <w:rPr>
                <w:noProof/>
              </w:rPr>
              <w:t xml:space="preserve"> </w:t>
            </w:r>
            <w:r>
              <w:rPr>
                <w:rFonts w:ascii="Arial Narrow" w:hAnsi="Arial Narrow"/>
                <w:noProof/>
                <w:color w:val="006100"/>
                <w:sz w:val="20"/>
              </w:rPr>
              <w:t>Odpadów;</w:t>
            </w:r>
          </w:p>
          <w:p w14:paraId="586C357A" w14:textId="77777777" w:rsidR="004C6421" w:rsidRDefault="009D1962">
            <w:pPr>
              <w:spacing w:after="120"/>
              <w:rPr>
                <w:rFonts w:ascii="Arial Narrow" w:hAnsi="Arial Narrow" w:cs="Arial"/>
                <w:noProof/>
                <w:color w:val="006100"/>
                <w:sz w:val="20"/>
              </w:rPr>
            </w:pPr>
            <w:r>
              <w:rPr>
                <w:rFonts w:ascii="Arial Narrow" w:hAnsi="Arial Narrow"/>
                <w:noProof/>
                <w:color w:val="006100"/>
                <w:sz w:val="20"/>
              </w:rPr>
              <w:t>-</w:t>
            </w:r>
            <w:r>
              <w:rPr>
                <w:noProof/>
              </w:rPr>
              <w:t xml:space="preserve"> </w:t>
            </w:r>
            <w:r>
              <w:rPr>
                <w:rFonts w:ascii="Arial Narrow" w:hAnsi="Arial Narrow"/>
                <w:noProof/>
                <w:color w:val="006100"/>
                <w:sz w:val="20"/>
              </w:rPr>
              <w:t>Transport i mobilność zgodna z zasadami zrównoważonego rozwoju;</w:t>
            </w:r>
          </w:p>
          <w:p w14:paraId="4A4C6F5F" w14:textId="77777777" w:rsidR="004C6421" w:rsidRDefault="009D1962">
            <w:pPr>
              <w:spacing w:after="120"/>
              <w:rPr>
                <w:rFonts w:ascii="Arial Narrow" w:hAnsi="Arial Narrow" w:cs="Arial"/>
                <w:noProof/>
                <w:color w:val="006100"/>
                <w:sz w:val="20"/>
              </w:rPr>
            </w:pPr>
            <w:r>
              <w:rPr>
                <w:rFonts w:ascii="Arial Narrow" w:hAnsi="Arial Narrow"/>
                <w:noProof/>
                <w:color w:val="006100"/>
                <w:sz w:val="20"/>
              </w:rPr>
              <w:t>-</w:t>
            </w:r>
            <w:r>
              <w:rPr>
                <w:noProof/>
              </w:rPr>
              <w:t xml:space="preserve"> </w:t>
            </w:r>
            <w:r>
              <w:rPr>
                <w:rFonts w:ascii="Arial Narrow" w:hAnsi="Arial Narrow"/>
                <w:noProof/>
                <w:color w:val="006100"/>
                <w:sz w:val="20"/>
              </w:rPr>
              <w:t>Energię;</w:t>
            </w:r>
          </w:p>
          <w:p w14:paraId="7159787C" w14:textId="77777777" w:rsidR="004C6421" w:rsidRDefault="009D1962">
            <w:pPr>
              <w:spacing w:after="120"/>
              <w:rPr>
                <w:rFonts w:ascii="Arial Narrow" w:hAnsi="Arial Narrow" w:cs="Arial"/>
                <w:noProof/>
                <w:color w:val="006100"/>
                <w:sz w:val="20"/>
              </w:rPr>
            </w:pPr>
            <w:r>
              <w:rPr>
                <w:rFonts w:ascii="Arial Narrow" w:hAnsi="Arial Narrow"/>
                <w:noProof/>
                <w:color w:val="006100"/>
                <w:sz w:val="20"/>
              </w:rPr>
              <w:t>-</w:t>
            </w:r>
            <w:r>
              <w:rPr>
                <w:noProof/>
              </w:rPr>
              <w:t xml:space="preserve"> </w:t>
            </w:r>
            <w:r>
              <w:rPr>
                <w:rFonts w:ascii="Arial Narrow" w:hAnsi="Arial Narrow"/>
                <w:noProof/>
                <w:color w:val="006100"/>
                <w:sz w:val="20"/>
              </w:rPr>
              <w:t>Wsparcie rozwoju i atrakcyjności przedsiębiorstw, również na rzecz transformacji cyfrowej i ekologicznej.</w:t>
            </w:r>
          </w:p>
        </w:tc>
      </w:tr>
      <w:tr w:rsidR="004C6421" w14:paraId="353D2774" w14:textId="77777777">
        <w:trPr>
          <w:trHeight w:val="309"/>
        </w:trPr>
        <w:tc>
          <w:tcPr>
            <w:tcW w:w="1253" w:type="dxa"/>
            <w:shd w:val="clear" w:color="auto" w:fill="C6EFCE"/>
            <w:noWrap/>
            <w:vAlign w:val="center"/>
          </w:tcPr>
          <w:p w14:paraId="37854474" w14:textId="77777777" w:rsidR="004C6421" w:rsidRDefault="009D1962">
            <w:pPr>
              <w:pStyle w:val="P68B1DB1-Normal4"/>
              <w:jc w:val="center"/>
              <w:rPr>
                <w:rFonts w:cs="Arial"/>
                <w:noProof/>
              </w:rPr>
            </w:pPr>
            <w:r>
              <w:rPr>
                <w:noProof/>
              </w:rPr>
              <w:t>M1C1-15</w:t>
            </w:r>
          </w:p>
        </w:tc>
        <w:tc>
          <w:tcPr>
            <w:tcW w:w="1568" w:type="dxa"/>
            <w:shd w:val="clear" w:color="auto" w:fill="C6EFCE"/>
            <w:noWrap/>
            <w:vAlign w:val="center"/>
          </w:tcPr>
          <w:p w14:paraId="0E9FE352" w14:textId="77777777" w:rsidR="004C6421" w:rsidRDefault="009D1962">
            <w:pPr>
              <w:pStyle w:val="P68B1DB1-Normal4"/>
              <w:jc w:val="center"/>
              <w:rPr>
                <w:rFonts w:cs="Arial"/>
                <w:noProof/>
              </w:rPr>
            </w:pPr>
            <w:r>
              <w:rPr>
                <w:noProof/>
              </w:rPr>
              <w:t>Inwestycje 1.6.6: Cyfryzacja policji finansowej</w:t>
            </w:r>
          </w:p>
        </w:tc>
        <w:tc>
          <w:tcPr>
            <w:tcW w:w="1148" w:type="dxa"/>
            <w:shd w:val="clear" w:color="auto" w:fill="C6EFCE"/>
            <w:noWrap/>
            <w:vAlign w:val="center"/>
          </w:tcPr>
          <w:p w14:paraId="26E077B7" w14:textId="77777777" w:rsidR="004C6421" w:rsidRDefault="009D1962">
            <w:pPr>
              <w:pStyle w:val="P68B1DB1-Normal4"/>
              <w:jc w:val="center"/>
              <w:rPr>
                <w:rFonts w:cs="Arial"/>
                <w:noProof/>
              </w:rPr>
            </w:pPr>
            <w:r>
              <w:rPr>
                <w:noProof/>
              </w:rPr>
              <w:t>Cel</w:t>
            </w:r>
          </w:p>
        </w:tc>
        <w:tc>
          <w:tcPr>
            <w:tcW w:w="1470" w:type="dxa"/>
            <w:shd w:val="clear" w:color="auto" w:fill="C6EFCE"/>
            <w:noWrap/>
            <w:vAlign w:val="center"/>
          </w:tcPr>
          <w:p w14:paraId="0C5D606E" w14:textId="77777777" w:rsidR="004C6421" w:rsidRDefault="009D1962">
            <w:pPr>
              <w:pStyle w:val="P68B1DB1-Normal4"/>
              <w:jc w:val="center"/>
              <w:rPr>
                <w:rFonts w:cs="Arial"/>
                <w:noProof/>
              </w:rPr>
            </w:pPr>
            <w:r>
              <w:rPr>
                <w:noProof/>
              </w:rPr>
              <w:t>Policja Finansowa – Zakup profesjonalnych usług w zakresie nauki o danych T2</w:t>
            </w:r>
          </w:p>
        </w:tc>
        <w:tc>
          <w:tcPr>
            <w:tcW w:w="1701" w:type="dxa"/>
            <w:shd w:val="clear" w:color="auto" w:fill="C6EFCE"/>
            <w:noWrap/>
            <w:vAlign w:val="center"/>
          </w:tcPr>
          <w:p w14:paraId="7549113B" w14:textId="77777777" w:rsidR="004C6421" w:rsidRDefault="009D1962">
            <w:pPr>
              <w:pStyle w:val="P68B1DB1-Normal4"/>
              <w:jc w:val="center"/>
              <w:rPr>
                <w:rFonts w:cs="Arial"/>
                <w:noProof/>
              </w:rPr>
            </w:pPr>
            <w:r>
              <w:rPr>
                <w:noProof/>
              </w:rPr>
              <w:t>NIE DOT.</w:t>
            </w:r>
          </w:p>
        </w:tc>
        <w:tc>
          <w:tcPr>
            <w:tcW w:w="1134" w:type="dxa"/>
            <w:shd w:val="clear" w:color="auto" w:fill="C6EFCE"/>
            <w:noWrap/>
            <w:vAlign w:val="center"/>
          </w:tcPr>
          <w:p w14:paraId="0F270A42" w14:textId="77777777" w:rsidR="004C6421" w:rsidRDefault="009D1962">
            <w:pPr>
              <w:pStyle w:val="P68B1DB1-Normal4"/>
              <w:jc w:val="center"/>
              <w:rPr>
                <w:rFonts w:cs="Arial"/>
                <w:noProof/>
              </w:rPr>
            </w:pPr>
            <w:r>
              <w:rPr>
                <w:noProof/>
              </w:rPr>
              <w:t>Numer</w:t>
            </w:r>
          </w:p>
        </w:tc>
        <w:tc>
          <w:tcPr>
            <w:tcW w:w="1417" w:type="dxa"/>
            <w:shd w:val="clear" w:color="auto" w:fill="C6EFCE"/>
            <w:noWrap/>
            <w:vAlign w:val="center"/>
          </w:tcPr>
          <w:p w14:paraId="67C14956" w14:textId="77777777" w:rsidR="004C6421" w:rsidRDefault="009D1962">
            <w:pPr>
              <w:pStyle w:val="P68B1DB1-Normal4"/>
              <w:jc w:val="center"/>
              <w:rPr>
                <w:rFonts w:cs="Arial"/>
                <w:noProof/>
              </w:rPr>
            </w:pPr>
            <w:r>
              <w:rPr>
                <w:noProof/>
              </w:rPr>
              <w:t>5</w:t>
            </w:r>
          </w:p>
        </w:tc>
        <w:tc>
          <w:tcPr>
            <w:tcW w:w="1425" w:type="dxa"/>
            <w:shd w:val="clear" w:color="auto" w:fill="C6EFCE"/>
            <w:noWrap/>
            <w:vAlign w:val="center"/>
          </w:tcPr>
          <w:p w14:paraId="7D274D64" w14:textId="77777777" w:rsidR="004C6421" w:rsidRDefault="009D1962">
            <w:pPr>
              <w:pStyle w:val="P68B1DB1-Normal4"/>
              <w:jc w:val="center"/>
              <w:rPr>
                <w:rFonts w:cs="Arial"/>
                <w:noProof/>
              </w:rPr>
            </w:pPr>
            <w:r>
              <w:rPr>
                <w:noProof/>
              </w:rPr>
              <w:t>10</w:t>
            </w:r>
          </w:p>
        </w:tc>
        <w:tc>
          <w:tcPr>
            <w:tcW w:w="843" w:type="dxa"/>
            <w:shd w:val="clear" w:color="auto" w:fill="C6EFCE"/>
            <w:noWrap/>
            <w:vAlign w:val="center"/>
          </w:tcPr>
          <w:p w14:paraId="67D0FDC5" w14:textId="704204CF" w:rsidR="004C6421" w:rsidRDefault="00CC179E">
            <w:pPr>
              <w:pStyle w:val="P68B1DB1-Normal4"/>
              <w:jc w:val="center"/>
              <w:rPr>
                <w:rFonts w:cs="Arial"/>
                <w:noProof/>
              </w:rPr>
            </w:pPr>
            <w:r>
              <w:rPr>
                <w:noProof/>
              </w:rPr>
              <w:t>KW. 1</w:t>
            </w:r>
          </w:p>
        </w:tc>
        <w:tc>
          <w:tcPr>
            <w:tcW w:w="567" w:type="dxa"/>
            <w:shd w:val="clear" w:color="auto" w:fill="C6EFCE"/>
            <w:noWrap/>
            <w:vAlign w:val="center"/>
          </w:tcPr>
          <w:p w14:paraId="57A465ED" w14:textId="77777777" w:rsidR="004C6421" w:rsidRDefault="009D1962">
            <w:pPr>
              <w:pStyle w:val="P68B1DB1-Normal4"/>
              <w:jc w:val="center"/>
              <w:rPr>
                <w:rFonts w:cs="Arial"/>
                <w:noProof/>
              </w:rPr>
            </w:pPr>
            <w:r>
              <w:rPr>
                <w:noProof/>
              </w:rPr>
              <w:t>2024</w:t>
            </w:r>
          </w:p>
        </w:tc>
        <w:tc>
          <w:tcPr>
            <w:tcW w:w="2977" w:type="dxa"/>
            <w:shd w:val="clear" w:color="auto" w:fill="C6EFCE"/>
            <w:noWrap/>
            <w:vAlign w:val="center"/>
          </w:tcPr>
          <w:p w14:paraId="58E71C7F" w14:textId="26DD14A6" w:rsidR="004C6421" w:rsidRDefault="009D1962">
            <w:pPr>
              <w:pStyle w:val="P68B1DB1-Normal4"/>
              <w:spacing w:after="120"/>
              <w:rPr>
                <w:rFonts w:cs="Arial"/>
                <w:noProof/>
              </w:rPr>
            </w:pPr>
            <w:r>
              <w:rPr>
                <w:noProof/>
              </w:rPr>
              <w:t>Zakup profesjonalnych usług w zakresie nauk o danych w drodze umowy z dostawcą usług konsultingowych obejmującym pięć dodatkowych zasobów ludzkich (łącznie dziesięciu) odpowiedzialnych zarówno za projektowanie architektury danych, jak i za pisanie algorytmów jednostki ds. analizy dużych zbiorów danych. Publikacja udzielonego zamówienia na zakup usług w zakresie nauki o danych zgodnie z wytycznymi technicznymi dotyczącymi zasady „nie czyń poważnych szkód” (2021/C58/01) poprzez wykorzystanie wykazu wykluczenia i wymogu zgodności z odpowiednimi unijnymi i krajowymi przepisami w zakresie ochrony środowiska oraz udostępnienie na skalę krajową nowych narzędzi w ramach pierwszego modułu analitycznego (szkielet IT).</w:t>
            </w:r>
          </w:p>
        </w:tc>
      </w:tr>
      <w:tr w:rsidR="004C6421" w14:paraId="22135B0D" w14:textId="77777777">
        <w:trPr>
          <w:trHeight w:val="309"/>
        </w:trPr>
        <w:tc>
          <w:tcPr>
            <w:tcW w:w="1253" w:type="dxa"/>
            <w:shd w:val="clear" w:color="auto" w:fill="C6EFCE"/>
            <w:noWrap/>
            <w:vAlign w:val="center"/>
            <w:hideMark/>
          </w:tcPr>
          <w:p w14:paraId="061F5586" w14:textId="77777777" w:rsidR="004C6421" w:rsidRDefault="009D1962">
            <w:pPr>
              <w:pStyle w:val="P68B1DB1-Normal4"/>
              <w:jc w:val="center"/>
              <w:rPr>
                <w:rFonts w:cs="Arial"/>
                <w:noProof/>
              </w:rPr>
            </w:pPr>
            <w:r>
              <w:rPr>
                <w:noProof/>
              </w:rPr>
              <w:t>M1C1-17</w:t>
            </w:r>
          </w:p>
        </w:tc>
        <w:tc>
          <w:tcPr>
            <w:tcW w:w="1568" w:type="dxa"/>
            <w:shd w:val="clear" w:color="auto" w:fill="C6EFCE"/>
            <w:noWrap/>
            <w:vAlign w:val="center"/>
            <w:hideMark/>
          </w:tcPr>
          <w:p w14:paraId="7B20BAFC" w14:textId="77777777" w:rsidR="004C6421" w:rsidRDefault="009D1962">
            <w:pPr>
              <w:pStyle w:val="P68B1DB1-Normal4"/>
              <w:jc w:val="center"/>
              <w:rPr>
                <w:rFonts w:cs="Arial"/>
                <w:noProof/>
              </w:rPr>
            </w:pPr>
            <w:r>
              <w:rPr>
                <w:noProof/>
              </w:rPr>
              <w:t>Inwestycje 1.1: Infrastruktura cyfrowa</w:t>
            </w:r>
          </w:p>
        </w:tc>
        <w:tc>
          <w:tcPr>
            <w:tcW w:w="1148" w:type="dxa"/>
            <w:shd w:val="clear" w:color="auto" w:fill="C6EFCE"/>
            <w:noWrap/>
            <w:vAlign w:val="center"/>
            <w:hideMark/>
          </w:tcPr>
          <w:p w14:paraId="31B2566D" w14:textId="77777777" w:rsidR="004C6421" w:rsidRDefault="009D1962">
            <w:pPr>
              <w:pStyle w:val="P68B1DB1-Normal4"/>
              <w:jc w:val="center"/>
              <w:rPr>
                <w:rFonts w:cs="Arial"/>
                <w:noProof/>
              </w:rPr>
            </w:pPr>
            <w:r>
              <w:rPr>
                <w:noProof/>
              </w:rPr>
              <w:t>Cel</w:t>
            </w:r>
          </w:p>
        </w:tc>
        <w:tc>
          <w:tcPr>
            <w:tcW w:w="1470" w:type="dxa"/>
            <w:shd w:val="clear" w:color="auto" w:fill="C6EFCE"/>
            <w:noWrap/>
            <w:vAlign w:val="center"/>
            <w:hideMark/>
          </w:tcPr>
          <w:p w14:paraId="21AA5743" w14:textId="77777777" w:rsidR="004C6421" w:rsidRDefault="009D1962">
            <w:pPr>
              <w:pStyle w:val="P68B1DB1-Normal4"/>
              <w:jc w:val="center"/>
              <w:rPr>
                <w:rFonts w:cs="Arial"/>
                <w:noProof/>
              </w:rPr>
            </w:pPr>
            <w:r>
              <w:rPr>
                <w:noProof/>
              </w:rPr>
              <w:t>Migracja do Polo Strategico Nazionale T1</w:t>
            </w:r>
          </w:p>
        </w:tc>
        <w:tc>
          <w:tcPr>
            <w:tcW w:w="1701" w:type="dxa"/>
            <w:shd w:val="clear" w:color="auto" w:fill="C6EFCE"/>
            <w:noWrap/>
            <w:vAlign w:val="center"/>
          </w:tcPr>
          <w:p w14:paraId="1EE259A4" w14:textId="77777777" w:rsidR="004C6421" w:rsidRDefault="009D1962">
            <w:pPr>
              <w:pStyle w:val="P68B1DB1-Normal4"/>
              <w:jc w:val="center"/>
              <w:rPr>
                <w:rFonts w:cs="Arial"/>
                <w:noProof/>
              </w:rPr>
            </w:pPr>
            <w:r>
              <w:rPr>
                <w:noProof/>
              </w:rPr>
              <w:t>NIE DOT.</w:t>
            </w:r>
          </w:p>
        </w:tc>
        <w:tc>
          <w:tcPr>
            <w:tcW w:w="1134" w:type="dxa"/>
            <w:shd w:val="clear" w:color="auto" w:fill="C6EFCE"/>
            <w:noWrap/>
            <w:vAlign w:val="center"/>
            <w:hideMark/>
          </w:tcPr>
          <w:p w14:paraId="6C95BA2C" w14:textId="77777777" w:rsidR="004C6421" w:rsidRDefault="009D1962">
            <w:pPr>
              <w:pStyle w:val="P68B1DB1-Normal4"/>
              <w:jc w:val="center"/>
              <w:rPr>
                <w:rFonts w:cs="Arial"/>
                <w:noProof/>
              </w:rPr>
            </w:pPr>
            <w:r>
              <w:rPr>
                <w:noProof/>
              </w:rPr>
              <w:t>Numer</w:t>
            </w:r>
          </w:p>
        </w:tc>
        <w:tc>
          <w:tcPr>
            <w:tcW w:w="1417" w:type="dxa"/>
            <w:shd w:val="clear" w:color="auto" w:fill="C6EFCE"/>
            <w:noWrap/>
            <w:vAlign w:val="center"/>
            <w:hideMark/>
          </w:tcPr>
          <w:p w14:paraId="471422C5" w14:textId="77777777" w:rsidR="004C6421" w:rsidRDefault="009D1962">
            <w:pPr>
              <w:pStyle w:val="P68B1DB1-Normal4"/>
              <w:jc w:val="center"/>
              <w:rPr>
                <w:rFonts w:cs="Arial"/>
                <w:noProof/>
              </w:rPr>
            </w:pPr>
            <w:r>
              <w:rPr>
                <w:noProof/>
              </w:rPr>
              <w:t>0</w:t>
            </w:r>
          </w:p>
        </w:tc>
        <w:tc>
          <w:tcPr>
            <w:tcW w:w="1425" w:type="dxa"/>
            <w:shd w:val="clear" w:color="auto" w:fill="C6EFCE"/>
            <w:noWrap/>
            <w:vAlign w:val="center"/>
            <w:hideMark/>
          </w:tcPr>
          <w:p w14:paraId="6A86B1E9" w14:textId="77777777" w:rsidR="004C6421" w:rsidRDefault="009D1962">
            <w:pPr>
              <w:pStyle w:val="P68B1DB1-Normal4"/>
              <w:jc w:val="center"/>
              <w:rPr>
                <w:rFonts w:cs="Arial"/>
                <w:noProof/>
              </w:rPr>
            </w:pPr>
            <w:r>
              <w:rPr>
                <w:noProof/>
              </w:rPr>
              <w:t>100</w:t>
            </w:r>
          </w:p>
        </w:tc>
        <w:tc>
          <w:tcPr>
            <w:tcW w:w="843" w:type="dxa"/>
            <w:shd w:val="clear" w:color="auto" w:fill="C6EFCE"/>
            <w:noWrap/>
            <w:vAlign w:val="center"/>
            <w:hideMark/>
          </w:tcPr>
          <w:p w14:paraId="4C642963" w14:textId="77777777" w:rsidR="004C6421" w:rsidRDefault="009D1962">
            <w:pPr>
              <w:pStyle w:val="P68B1DB1-Normal4"/>
              <w:jc w:val="center"/>
              <w:rPr>
                <w:rFonts w:cs="Arial"/>
                <w:noProof/>
              </w:rPr>
            </w:pPr>
            <w:r>
              <w:rPr>
                <w:noProof/>
              </w:rPr>
              <w:t>III KW.</w:t>
            </w:r>
          </w:p>
        </w:tc>
        <w:tc>
          <w:tcPr>
            <w:tcW w:w="567" w:type="dxa"/>
            <w:shd w:val="clear" w:color="auto" w:fill="C6EFCE"/>
            <w:noWrap/>
            <w:vAlign w:val="center"/>
            <w:hideMark/>
          </w:tcPr>
          <w:p w14:paraId="39948A77" w14:textId="77777777" w:rsidR="004C6421" w:rsidRDefault="009D1962">
            <w:pPr>
              <w:pStyle w:val="P68B1DB1-Normal4"/>
              <w:jc w:val="center"/>
              <w:rPr>
                <w:rFonts w:cs="Arial"/>
                <w:noProof/>
              </w:rPr>
            </w:pPr>
            <w:r>
              <w:rPr>
                <w:noProof/>
              </w:rPr>
              <w:t>2024</w:t>
            </w:r>
          </w:p>
        </w:tc>
        <w:tc>
          <w:tcPr>
            <w:tcW w:w="2977" w:type="dxa"/>
            <w:shd w:val="clear" w:color="auto" w:fill="C6EFCE"/>
            <w:noWrap/>
            <w:vAlign w:val="center"/>
            <w:hideMark/>
          </w:tcPr>
          <w:p w14:paraId="1290C65C" w14:textId="77777777" w:rsidR="004C6421" w:rsidRDefault="009D1962">
            <w:pPr>
              <w:pStyle w:val="P68B1DB1-Normal4"/>
              <w:spacing w:after="120"/>
              <w:rPr>
                <w:rFonts w:cs="Arial"/>
                <w:noProof/>
              </w:rPr>
            </w:pPr>
            <w:r>
              <w:rPr>
                <w:noProof/>
              </w:rPr>
              <w:t>Co najmniej 100 centralnych administracji publicznych i lokalnych organów opieki zdrowotnej (Aziende Sanitarie Locali/Aziende ospedaliere) w pełni przenosi co najmniej jedną służbę administracji (w tym systemy, zbiór danych i aplikacje) do infrastruktury (Polo Strategico Nazionale). Pełna migracja może oznaczać dla każdej instytucji połączenie: nieprzystosowana do chmury w przypadku czystej obsługi, migracji wind i zmianowej, modernizacji infrastruktury jako usługi (IaaS), platformy jako usługi (Paas) lub oprogramowania jako usługi (SaaS). Migracja do Polo Strategico Nazionale może być realizowana na różne sposoby, zgodnie z aktualnym stanem wiedzy w zakresie architektury informatycznej oprogramowania znajdującej się w posiadaniu każdej migrującej administracji publicznej. Strategie te mogą się różnić od migracji czysto hostingowej i przenoszenia i zmiany oprogramowania nieprzystosowanego do chmury, a skończywszy na przejściu do IaaS, PaaS lub SaaS w przypadku oprogramowania gotowego do chmury. PSN oferuje każdej migrującej administracji publicznej wszystkie strategie migracyjne, które kwalifikują się do uwzględnienia osiągniętego celu „migracji do Polo Strategico Nazionale”.</w:t>
            </w:r>
          </w:p>
          <w:p w14:paraId="571663B4" w14:textId="77777777" w:rsidR="004C6421" w:rsidRDefault="009D1962">
            <w:pPr>
              <w:pStyle w:val="P68B1DB1-Normal4"/>
              <w:rPr>
                <w:rFonts w:cs="Arial"/>
                <w:noProof/>
              </w:rPr>
            </w:pPr>
            <w:r>
              <w:rPr>
                <w:noProof/>
              </w:rPr>
              <w:t>Całkowita liczba organów administracji publicznej „objętych zakresem” obejmuje:</w:t>
            </w:r>
          </w:p>
          <w:p w14:paraId="10FBD7A5" w14:textId="77777777" w:rsidR="004C6421" w:rsidRDefault="009D1962">
            <w:pPr>
              <w:pStyle w:val="P68B1DB1-Normal4"/>
              <w:rPr>
                <w:rFonts w:cs="Arial"/>
                <w:noProof/>
              </w:rPr>
            </w:pPr>
            <w:r>
              <w:rPr>
                <w:noProof/>
              </w:rPr>
              <w:t>• Centralne administracje publiczne, które odpowiadają za największą część wydatków na technologie informacyjno-komunikacyjne (ICT) (takie jak Krajowy Instytut Zabezpieczenia Społecznego i Ministerstwo Sprawiedliwości);</w:t>
            </w:r>
          </w:p>
          <w:p w14:paraId="288C93F5" w14:textId="77777777" w:rsidR="004C6421" w:rsidRDefault="009D1962">
            <w:pPr>
              <w:pStyle w:val="P68B1DB1-Normal4"/>
              <w:rPr>
                <w:rFonts w:cs="Arial"/>
                <w:noProof/>
              </w:rPr>
            </w:pPr>
            <w:r>
              <w:rPr>
                <w:noProof/>
              </w:rPr>
              <w:t>• Centralne administracje publiczne przechowujące dane w przestarzałych centrach danych, zgodnie z ostatnim badaniem dotyczącym gotowości do korzystania z chmury obliczeniowej;</w:t>
            </w:r>
          </w:p>
          <w:p w14:paraId="3414EEA1" w14:textId="77777777" w:rsidR="004C6421" w:rsidRDefault="009D1962">
            <w:pPr>
              <w:pStyle w:val="P68B1DB1-Normal4"/>
              <w:rPr>
                <w:rFonts w:cs="Arial"/>
                <w:noProof/>
              </w:rPr>
            </w:pPr>
            <w:r>
              <w:rPr>
                <w:noProof/>
              </w:rPr>
              <w:t>• Lokalne organy opieki zdrowotnej (Aziende Sanitarie Locali/Aziende Ospedaliere) zlokalizowane głównie w środkowych i południowych Włoszech, które nie posiadają odpowiedniej infrastruktury zapewniającej bezpieczeństwo danych.</w:t>
            </w:r>
          </w:p>
        </w:tc>
      </w:tr>
      <w:tr w:rsidR="004C6421" w14:paraId="069BE277" w14:textId="77777777">
        <w:trPr>
          <w:trHeight w:val="309"/>
        </w:trPr>
        <w:tc>
          <w:tcPr>
            <w:tcW w:w="1253" w:type="dxa"/>
            <w:shd w:val="clear" w:color="auto" w:fill="C6EFCE"/>
            <w:noWrap/>
            <w:vAlign w:val="center"/>
          </w:tcPr>
          <w:p w14:paraId="5B98BCEA" w14:textId="77777777" w:rsidR="004C6421" w:rsidRDefault="009D1962">
            <w:pPr>
              <w:pStyle w:val="P68B1DB1-Normal4"/>
              <w:jc w:val="center"/>
              <w:rPr>
                <w:rFonts w:cs="Arial"/>
                <w:noProof/>
              </w:rPr>
            </w:pPr>
            <w:r>
              <w:rPr>
                <w:noProof/>
              </w:rPr>
              <w:t>M1C1-18</w:t>
            </w:r>
          </w:p>
        </w:tc>
        <w:tc>
          <w:tcPr>
            <w:tcW w:w="1568" w:type="dxa"/>
            <w:shd w:val="clear" w:color="auto" w:fill="C6EFCE"/>
            <w:noWrap/>
            <w:vAlign w:val="center"/>
          </w:tcPr>
          <w:p w14:paraId="0D9449E2" w14:textId="77777777" w:rsidR="004C6421" w:rsidRDefault="009D1962">
            <w:pPr>
              <w:pStyle w:val="P68B1DB1-Normal4"/>
              <w:jc w:val="center"/>
              <w:rPr>
                <w:rFonts w:cs="Arial"/>
                <w:noProof/>
              </w:rPr>
            </w:pPr>
            <w:r>
              <w:rPr>
                <w:noProof/>
              </w:rPr>
              <w:t>Inwestycja 1.3.1: Krajowa platforma danych cyfrowych</w:t>
            </w:r>
          </w:p>
        </w:tc>
        <w:tc>
          <w:tcPr>
            <w:tcW w:w="1148" w:type="dxa"/>
            <w:shd w:val="clear" w:color="auto" w:fill="C6EFCE"/>
            <w:noWrap/>
            <w:vAlign w:val="center"/>
          </w:tcPr>
          <w:p w14:paraId="0CE313A9" w14:textId="77777777" w:rsidR="004C6421" w:rsidRDefault="009D1962">
            <w:pPr>
              <w:pStyle w:val="P68B1DB1-Normal4"/>
              <w:jc w:val="center"/>
              <w:rPr>
                <w:rFonts w:cs="Arial"/>
                <w:noProof/>
              </w:rPr>
            </w:pPr>
            <w:r>
              <w:rPr>
                <w:noProof/>
              </w:rPr>
              <w:t>Cel</w:t>
            </w:r>
          </w:p>
        </w:tc>
        <w:tc>
          <w:tcPr>
            <w:tcW w:w="1470" w:type="dxa"/>
            <w:shd w:val="clear" w:color="auto" w:fill="C6EFCE"/>
            <w:noWrap/>
            <w:vAlign w:val="center"/>
          </w:tcPr>
          <w:p w14:paraId="7E75E27A" w14:textId="77777777" w:rsidR="004C6421" w:rsidRDefault="009D1962">
            <w:pPr>
              <w:pStyle w:val="P68B1DB1-Normal4"/>
              <w:jc w:val="center"/>
              <w:rPr>
                <w:rFonts w:cs="Arial"/>
                <w:noProof/>
              </w:rPr>
            </w:pPr>
            <w:r>
              <w:rPr>
                <w:noProof/>
              </w:rPr>
              <w:t>API w krajowej platformie danych cyfrowych T1</w:t>
            </w:r>
          </w:p>
        </w:tc>
        <w:tc>
          <w:tcPr>
            <w:tcW w:w="1701" w:type="dxa"/>
            <w:shd w:val="clear" w:color="auto" w:fill="C6EFCE"/>
            <w:noWrap/>
            <w:vAlign w:val="center"/>
          </w:tcPr>
          <w:p w14:paraId="0B7E6958" w14:textId="77777777" w:rsidR="004C6421" w:rsidRDefault="009D1962">
            <w:pPr>
              <w:pStyle w:val="P68B1DB1-Normal4"/>
              <w:jc w:val="center"/>
              <w:rPr>
                <w:rFonts w:cs="Arial"/>
                <w:noProof/>
              </w:rPr>
            </w:pPr>
            <w:r>
              <w:rPr>
                <w:noProof/>
              </w:rPr>
              <w:t>NIE DOT.</w:t>
            </w:r>
          </w:p>
        </w:tc>
        <w:tc>
          <w:tcPr>
            <w:tcW w:w="1134" w:type="dxa"/>
            <w:shd w:val="clear" w:color="auto" w:fill="C6EFCE"/>
            <w:noWrap/>
            <w:vAlign w:val="center"/>
          </w:tcPr>
          <w:p w14:paraId="0B9C14BC" w14:textId="77777777" w:rsidR="004C6421" w:rsidRDefault="009D1962">
            <w:pPr>
              <w:pStyle w:val="P68B1DB1-Normal4"/>
              <w:jc w:val="center"/>
              <w:rPr>
                <w:rFonts w:cs="Arial"/>
                <w:noProof/>
              </w:rPr>
            </w:pPr>
            <w:r>
              <w:rPr>
                <w:noProof/>
              </w:rPr>
              <w:t>Numer</w:t>
            </w:r>
          </w:p>
        </w:tc>
        <w:tc>
          <w:tcPr>
            <w:tcW w:w="1417" w:type="dxa"/>
            <w:shd w:val="clear" w:color="auto" w:fill="C6EFCE"/>
            <w:noWrap/>
            <w:vAlign w:val="center"/>
          </w:tcPr>
          <w:p w14:paraId="7DD439DF" w14:textId="77777777" w:rsidR="004C6421" w:rsidRDefault="009D1962">
            <w:pPr>
              <w:pStyle w:val="P68B1DB1-Normal4"/>
              <w:jc w:val="center"/>
              <w:rPr>
                <w:rFonts w:cs="Arial"/>
                <w:noProof/>
              </w:rPr>
            </w:pPr>
            <w:r>
              <w:rPr>
                <w:noProof/>
              </w:rPr>
              <w:t>0</w:t>
            </w:r>
          </w:p>
        </w:tc>
        <w:tc>
          <w:tcPr>
            <w:tcW w:w="1425" w:type="dxa"/>
            <w:shd w:val="clear" w:color="auto" w:fill="C6EFCE"/>
            <w:noWrap/>
            <w:vAlign w:val="center"/>
          </w:tcPr>
          <w:p w14:paraId="51BD2E73" w14:textId="77777777" w:rsidR="004C6421" w:rsidRDefault="009D1962">
            <w:pPr>
              <w:pStyle w:val="P68B1DB1-Normal4"/>
              <w:jc w:val="center"/>
              <w:rPr>
                <w:rFonts w:cs="Arial"/>
                <w:noProof/>
              </w:rPr>
            </w:pPr>
            <w:r>
              <w:rPr>
                <w:noProof/>
              </w:rPr>
              <w:t>400</w:t>
            </w:r>
          </w:p>
        </w:tc>
        <w:tc>
          <w:tcPr>
            <w:tcW w:w="843" w:type="dxa"/>
            <w:shd w:val="clear" w:color="auto" w:fill="C6EFCE"/>
            <w:noWrap/>
            <w:vAlign w:val="center"/>
          </w:tcPr>
          <w:p w14:paraId="61ABD727" w14:textId="2FBF7E6C" w:rsidR="004C6421" w:rsidRDefault="00CC179E">
            <w:pPr>
              <w:pStyle w:val="P68B1DB1-Normal4"/>
              <w:jc w:val="center"/>
              <w:rPr>
                <w:rFonts w:cs="Arial"/>
                <w:noProof/>
              </w:rPr>
            </w:pPr>
            <w:r>
              <w:rPr>
                <w:noProof/>
              </w:rPr>
              <w:t>KW. 4</w:t>
            </w:r>
          </w:p>
        </w:tc>
        <w:tc>
          <w:tcPr>
            <w:tcW w:w="567" w:type="dxa"/>
            <w:shd w:val="clear" w:color="auto" w:fill="C6EFCE"/>
            <w:noWrap/>
            <w:vAlign w:val="center"/>
          </w:tcPr>
          <w:p w14:paraId="1869EA28" w14:textId="77777777" w:rsidR="004C6421" w:rsidRDefault="009D1962">
            <w:pPr>
              <w:pStyle w:val="P68B1DB1-Normal4"/>
              <w:jc w:val="center"/>
              <w:rPr>
                <w:rFonts w:cs="Arial"/>
                <w:noProof/>
              </w:rPr>
            </w:pPr>
            <w:r>
              <w:rPr>
                <w:noProof/>
              </w:rPr>
              <w:t>2024</w:t>
            </w:r>
          </w:p>
        </w:tc>
        <w:tc>
          <w:tcPr>
            <w:tcW w:w="2977" w:type="dxa"/>
            <w:shd w:val="clear" w:color="auto" w:fill="C6EFCE"/>
            <w:noWrap/>
            <w:vAlign w:val="center"/>
          </w:tcPr>
          <w:p w14:paraId="3248C518" w14:textId="77777777" w:rsidR="004C6421" w:rsidRDefault="009D1962">
            <w:pPr>
              <w:pStyle w:val="P68B1DB1-Normal4"/>
              <w:spacing w:after="120"/>
              <w:rPr>
                <w:rFonts w:cs="Arial"/>
                <w:noProof/>
              </w:rPr>
            </w:pPr>
            <w:r>
              <w:rPr>
                <w:noProof/>
              </w:rPr>
              <w:t>Cel ten polega na osiągnięciu co najmniej 400 interfejsów programowania aplikacji (API) wdrożonych przez agencje, opublikowanych w katalogu API i zintegrowanych z krajową platformą danych cyfrowych. Interfejsy API objęte zakresem zostały już nakreślone. Opublikowane API mają wpływ na następujące obszary:</w:t>
            </w:r>
          </w:p>
          <w:p w14:paraId="2CBDE4EA" w14:textId="77777777" w:rsidR="004C6421" w:rsidRDefault="009D1962">
            <w:pPr>
              <w:pStyle w:val="P68B1DB1-Normal4"/>
              <w:spacing w:after="120"/>
              <w:rPr>
                <w:rFonts w:cs="Arial"/>
                <w:noProof/>
              </w:rPr>
            </w:pPr>
            <w:r>
              <w:rPr>
                <w:noProof/>
              </w:rPr>
              <w:t>(i) Na koniec 31 grudnia 2023 r.: priorytetowe usługi w zakresie zabezpieczenia społecznego i przestrzeganie przepisów podatkowych, w tym podstawowe rejestry krajowe (takie jak rejestr ludności i rejestr administracji publicznej);</w:t>
            </w:r>
          </w:p>
          <w:p w14:paraId="0C03AB85" w14:textId="77777777" w:rsidR="004C6421" w:rsidRDefault="009D1962">
            <w:pPr>
              <w:pStyle w:val="P68B1DB1-Normal4"/>
              <w:spacing w:after="120"/>
              <w:rPr>
                <w:rFonts w:cs="Arial"/>
                <w:noProof/>
              </w:rPr>
            </w:pPr>
            <w:r>
              <w:rPr>
                <w:noProof/>
              </w:rPr>
              <w:t>(II) Na koniec 31 grudnia 2024 r.: pozostałe usługi zabezpieczenia społecznego i przestrzeganie przepisów podatkowych.</w:t>
            </w:r>
          </w:p>
          <w:p w14:paraId="03D7BDE0" w14:textId="77777777" w:rsidR="004C6421" w:rsidRDefault="009D1962">
            <w:pPr>
              <w:pStyle w:val="P68B1DB1-Normal4"/>
              <w:spacing w:after="120"/>
              <w:rPr>
                <w:rFonts w:cs="Arial"/>
                <w:noProof/>
              </w:rPr>
            </w:pPr>
            <w:r>
              <w:rPr>
                <w:noProof/>
              </w:rPr>
              <w:t>Każde wdrożenie i dokumentacja API są zgodne z krajowymi normami interoperacyjności i wspierają ramy krajowej cyfrowej platformy danych; wspomniana platforma zapewnia funkcje umożliwiające ocenę tej zgodności.</w:t>
            </w:r>
          </w:p>
        </w:tc>
      </w:tr>
      <w:tr w:rsidR="004C6421" w14:paraId="483583A2" w14:textId="77777777">
        <w:trPr>
          <w:trHeight w:val="309"/>
        </w:trPr>
        <w:tc>
          <w:tcPr>
            <w:tcW w:w="1253" w:type="dxa"/>
            <w:shd w:val="clear" w:color="auto" w:fill="C6EFCE"/>
            <w:noWrap/>
            <w:vAlign w:val="center"/>
          </w:tcPr>
          <w:p w14:paraId="254BA987" w14:textId="77777777" w:rsidR="004C6421" w:rsidRDefault="009D1962">
            <w:pPr>
              <w:pStyle w:val="P68B1DB1-Normal4"/>
              <w:jc w:val="center"/>
              <w:rPr>
                <w:rFonts w:cs="Arial"/>
                <w:noProof/>
              </w:rPr>
            </w:pPr>
            <w:r>
              <w:rPr>
                <w:noProof/>
              </w:rPr>
              <w:t>M1C1-19</w:t>
            </w:r>
          </w:p>
        </w:tc>
        <w:tc>
          <w:tcPr>
            <w:tcW w:w="1568" w:type="dxa"/>
            <w:shd w:val="clear" w:color="auto" w:fill="C6EFCE"/>
            <w:noWrap/>
            <w:vAlign w:val="center"/>
          </w:tcPr>
          <w:p w14:paraId="62B35FA8" w14:textId="77777777" w:rsidR="004C6421" w:rsidRDefault="009D1962">
            <w:pPr>
              <w:pStyle w:val="P68B1DB1-Normal4"/>
              <w:jc w:val="center"/>
              <w:rPr>
                <w:rFonts w:cs="Arial"/>
                <w:noProof/>
              </w:rPr>
            </w:pPr>
            <w:r>
              <w:rPr>
                <w:noProof/>
              </w:rPr>
              <w:t>Inwestycja 1.5: Cyberbezpieczeństwo</w:t>
            </w:r>
          </w:p>
        </w:tc>
        <w:tc>
          <w:tcPr>
            <w:tcW w:w="1148" w:type="dxa"/>
            <w:shd w:val="clear" w:color="auto" w:fill="C6EFCE"/>
            <w:noWrap/>
            <w:vAlign w:val="center"/>
          </w:tcPr>
          <w:p w14:paraId="1669920A" w14:textId="77777777" w:rsidR="004C6421" w:rsidRDefault="009D1962">
            <w:pPr>
              <w:pStyle w:val="P68B1DB1-Normal4"/>
              <w:jc w:val="center"/>
              <w:rPr>
                <w:rFonts w:cs="Arial"/>
                <w:noProof/>
              </w:rPr>
            </w:pPr>
            <w:r>
              <w:rPr>
                <w:noProof/>
              </w:rPr>
              <w:t>Cel</w:t>
            </w:r>
          </w:p>
        </w:tc>
        <w:tc>
          <w:tcPr>
            <w:tcW w:w="1470" w:type="dxa"/>
            <w:shd w:val="clear" w:color="auto" w:fill="C6EFCE"/>
            <w:noWrap/>
            <w:vAlign w:val="center"/>
          </w:tcPr>
          <w:p w14:paraId="6B145396" w14:textId="77777777" w:rsidR="004C6421" w:rsidRDefault="009D1962">
            <w:pPr>
              <w:pStyle w:val="P68B1DB1-Normal4"/>
              <w:jc w:val="center"/>
              <w:rPr>
                <w:rFonts w:cs="Arial"/>
                <w:noProof/>
              </w:rPr>
            </w:pPr>
            <w:r>
              <w:rPr>
                <w:noProof/>
              </w:rPr>
              <w:t>Wsparcie modernizacji struktur bezpieczeństwa T2</w:t>
            </w:r>
          </w:p>
        </w:tc>
        <w:tc>
          <w:tcPr>
            <w:tcW w:w="1701" w:type="dxa"/>
            <w:shd w:val="clear" w:color="auto" w:fill="C6EFCE"/>
            <w:noWrap/>
            <w:vAlign w:val="center"/>
          </w:tcPr>
          <w:p w14:paraId="05D7860D" w14:textId="77777777" w:rsidR="004C6421" w:rsidRDefault="009D1962">
            <w:pPr>
              <w:pStyle w:val="P68B1DB1-Normal4"/>
              <w:jc w:val="center"/>
              <w:rPr>
                <w:rFonts w:cs="Arial"/>
                <w:noProof/>
              </w:rPr>
            </w:pPr>
            <w:r>
              <w:rPr>
                <w:noProof/>
              </w:rPr>
              <w:t>NIE DOT.</w:t>
            </w:r>
          </w:p>
        </w:tc>
        <w:tc>
          <w:tcPr>
            <w:tcW w:w="1134" w:type="dxa"/>
            <w:shd w:val="clear" w:color="auto" w:fill="C6EFCE"/>
            <w:noWrap/>
            <w:vAlign w:val="center"/>
          </w:tcPr>
          <w:p w14:paraId="383E4B35" w14:textId="77777777" w:rsidR="004C6421" w:rsidRDefault="009D1962">
            <w:pPr>
              <w:pStyle w:val="P68B1DB1-Normal4"/>
              <w:jc w:val="center"/>
              <w:rPr>
                <w:rFonts w:cs="Arial"/>
                <w:noProof/>
              </w:rPr>
            </w:pPr>
            <w:r>
              <w:rPr>
                <w:noProof/>
              </w:rPr>
              <w:t>Numer</w:t>
            </w:r>
          </w:p>
        </w:tc>
        <w:tc>
          <w:tcPr>
            <w:tcW w:w="1417" w:type="dxa"/>
            <w:shd w:val="clear" w:color="auto" w:fill="C6EFCE"/>
            <w:noWrap/>
            <w:vAlign w:val="center"/>
          </w:tcPr>
          <w:p w14:paraId="48D809B8" w14:textId="77777777" w:rsidR="004C6421" w:rsidRDefault="009D1962">
            <w:pPr>
              <w:pStyle w:val="P68B1DB1-Normal4"/>
              <w:jc w:val="center"/>
              <w:rPr>
                <w:rFonts w:cs="Arial"/>
                <w:noProof/>
              </w:rPr>
            </w:pPr>
            <w:r>
              <w:rPr>
                <w:noProof/>
              </w:rPr>
              <w:t>5</w:t>
            </w:r>
          </w:p>
        </w:tc>
        <w:tc>
          <w:tcPr>
            <w:tcW w:w="1425" w:type="dxa"/>
            <w:shd w:val="clear" w:color="auto" w:fill="C6EFCE"/>
            <w:noWrap/>
            <w:vAlign w:val="center"/>
          </w:tcPr>
          <w:p w14:paraId="22F9AD0A" w14:textId="77777777" w:rsidR="004C6421" w:rsidRDefault="009D1962">
            <w:pPr>
              <w:pStyle w:val="P68B1DB1-Normal4"/>
              <w:jc w:val="center"/>
              <w:rPr>
                <w:rFonts w:cs="Arial"/>
                <w:noProof/>
              </w:rPr>
            </w:pPr>
            <w:r>
              <w:rPr>
                <w:noProof/>
              </w:rPr>
              <w:t>50</w:t>
            </w:r>
          </w:p>
        </w:tc>
        <w:tc>
          <w:tcPr>
            <w:tcW w:w="843" w:type="dxa"/>
            <w:shd w:val="clear" w:color="auto" w:fill="C6EFCE"/>
            <w:noWrap/>
            <w:vAlign w:val="center"/>
          </w:tcPr>
          <w:p w14:paraId="5F702043" w14:textId="6061CD93" w:rsidR="004C6421" w:rsidRDefault="00CC179E">
            <w:pPr>
              <w:pStyle w:val="P68B1DB1-Normal4"/>
              <w:jc w:val="center"/>
              <w:rPr>
                <w:rFonts w:cs="Arial"/>
                <w:noProof/>
              </w:rPr>
            </w:pPr>
            <w:r>
              <w:rPr>
                <w:noProof/>
              </w:rPr>
              <w:t>KW. 4</w:t>
            </w:r>
          </w:p>
        </w:tc>
        <w:tc>
          <w:tcPr>
            <w:tcW w:w="567" w:type="dxa"/>
            <w:shd w:val="clear" w:color="auto" w:fill="C6EFCE"/>
            <w:noWrap/>
            <w:vAlign w:val="center"/>
          </w:tcPr>
          <w:p w14:paraId="6B929D0D" w14:textId="77777777" w:rsidR="004C6421" w:rsidRDefault="009D1962">
            <w:pPr>
              <w:pStyle w:val="P68B1DB1-Normal4"/>
              <w:jc w:val="center"/>
              <w:rPr>
                <w:rFonts w:cs="Arial"/>
                <w:noProof/>
              </w:rPr>
            </w:pPr>
            <w:r>
              <w:rPr>
                <w:noProof/>
              </w:rPr>
              <w:t>2024</w:t>
            </w:r>
          </w:p>
        </w:tc>
        <w:tc>
          <w:tcPr>
            <w:tcW w:w="2977" w:type="dxa"/>
            <w:shd w:val="clear" w:color="auto" w:fill="C6EFCE"/>
            <w:noWrap/>
            <w:vAlign w:val="center"/>
          </w:tcPr>
          <w:p w14:paraId="729FFF72" w14:textId="77777777" w:rsidR="004C6421" w:rsidRDefault="009D1962">
            <w:pPr>
              <w:pStyle w:val="P68B1DB1-Normal4"/>
              <w:spacing w:after="120"/>
              <w:rPr>
                <w:rFonts w:cs="Arial"/>
                <w:noProof/>
              </w:rPr>
            </w:pPr>
            <w:r>
              <w:rPr>
                <w:noProof/>
              </w:rPr>
              <w:t>Zakończono co najmniej 50 działań wzmacniających w sektorach „Perymetr bezpieczeństwa narodowego w dziedzinie cyberbezpieczeństwa” oraz sieci i systemów informatycznych (NIS).</w:t>
            </w:r>
          </w:p>
          <w:p w14:paraId="7F179ED6" w14:textId="77777777" w:rsidR="004C6421" w:rsidRDefault="009D1962">
            <w:pPr>
              <w:pStyle w:val="P68B1DB1-Normal4"/>
              <w:spacing w:after="120"/>
              <w:rPr>
                <w:rFonts w:cs="Arial"/>
                <w:noProof/>
              </w:rPr>
            </w:pPr>
            <w:r>
              <w:rPr>
                <w:noProof/>
              </w:rPr>
              <w:t>Rodzaje interwencji obejmują na przykład operacyjne ośrodki bezpieczeństwa (SOC), usprawnienia w zakresie cyberobrony oraz wewnętrzne zdolności w zakresie monitorowania i kontroli zgodnie z wymogami NIS i PSNC. Interwencje w sektorach bezpieczeństwa sieci i informacji skupiają się w szczególności na sektorach opieki zdrowotnej, energii i środowiska (zaopatrzenie w wodę pitną i gospodarowanie odpadami).</w:t>
            </w:r>
          </w:p>
        </w:tc>
      </w:tr>
      <w:tr w:rsidR="004C6421" w14:paraId="0E92AD30" w14:textId="77777777">
        <w:trPr>
          <w:trHeight w:val="309"/>
        </w:trPr>
        <w:tc>
          <w:tcPr>
            <w:tcW w:w="1253" w:type="dxa"/>
            <w:shd w:val="clear" w:color="auto" w:fill="C6EFCE"/>
            <w:noWrap/>
            <w:vAlign w:val="center"/>
          </w:tcPr>
          <w:p w14:paraId="4807BC7C" w14:textId="77777777" w:rsidR="004C6421" w:rsidRDefault="009D1962">
            <w:pPr>
              <w:pStyle w:val="P68B1DB1-Normal4"/>
              <w:jc w:val="center"/>
              <w:rPr>
                <w:rFonts w:cs="Arial"/>
                <w:noProof/>
              </w:rPr>
            </w:pPr>
            <w:r>
              <w:rPr>
                <w:noProof/>
              </w:rPr>
              <w:t>M1C1-20</w:t>
            </w:r>
          </w:p>
        </w:tc>
        <w:tc>
          <w:tcPr>
            <w:tcW w:w="1568" w:type="dxa"/>
            <w:shd w:val="clear" w:color="auto" w:fill="C6EFCE"/>
            <w:noWrap/>
            <w:vAlign w:val="center"/>
          </w:tcPr>
          <w:p w14:paraId="6BD6CAB2" w14:textId="77777777" w:rsidR="004C6421" w:rsidRDefault="009D1962">
            <w:pPr>
              <w:pStyle w:val="P68B1DB1-Normal4"/>
              <w:jc w:val="center"/>
              <w:rPr>
                <w:rFonts w:cs="Arial"/>
                <w:noProof/>
              </w:rPr>
            </w:pPr>
            <w:r>
              <w:rPr>
                <w:noProof/>
              </w:rPr>
              <w:t>Inwestycja 1.5: Cyberbezpieczeństwo</w:t>
            </w:r>
          </w:p>
        </w:tc>
        <w:tc>
          <w:tcPr>
            <w:tcW w:w="1148" w:type="dxa"/>
            <w:shd w:val="clear" w:color="auto" w:fill="C6EFCE"/>
            <w:noWrap/>
            <w:vAlign w:val="center"/>
          </w:tcPr>
          <w:p w14:paraId="2A2AECDA" w14:textId="2318602A" w:rsidR="004C6421" w:rsidRDefault="00CC179E">
            <w:pPr>
              <w:pStyle w:val="P68B1DB1-Normal4"/>
              <w:jc w:val="center"/>
              <w:rPr>
                <w:rFonts w:cs="Arial"/>
                <w:noProof/>
              </w:rPr>
            </w:pPr>
            <w:r>
              <w:rPr>
                <w:noProof/>
              </w:rPr>
              <w:t>Milowy</w:t>
            </w:r>
          </w:p>
        </w:tc>
        <w:tc>
          <w:tcPr>
            <w:tcW w:w="1470" w:type="dxa"/>
            <w:shd w:val="clear" w:color="auto" w:fill="C6EFCE"/>
            <w:noWrap/>
            <w:vAlign w:val="center"/>
          </w:tcPr>
          <w:p w14:paraId="4BCD271C" w14:textId="77777777" w:rsidR="004C6421" w:rsidRDefault="009D1962">
            <w:pPr>
              <w:pStyle w:val="P68B1DB1-Normal4"/>
              <w:jc w:val="center"/>
              <w:rPr>
                <w:rFonts w:cs="Arial"/>
                <w:noProof/>
              </w:rPr>
            </w:pPr>
            <w:r>
              <w:rPr>
                <w:noProof/>
              </w:rPr>
              <w:t>Pełne wdrożenie krajowych usług w zakresie cyberbezpieczeństwa</w:t>
            </w:r>
          </w:p>
        </w:tc>
        <w:tc>
          <w:tcPr>
            <w:tcW w:w="1701" w:type="dxa"/>
            <w:shd w:val="clear" w:color="auto" w:fill="C6EFCE"/>
            <w:noWrap/>
            <w:vAlign w:val="center"/>
          </w:tcPr>
          <w:p w14:paraId="186234B1" w14:textId="77777777" w:rsidR="004C6421" w:rsidRDefault="009D1962">
            <w:pPr>
              <w:pStyle w:val="P68B1DB1-Normal4"/>
              <w:jc w:val="center"/>
              <w:rPr>
                <w:rFonts w:cs="Arial"/>
                <w:noProof/>
              </w:rPr>
            </w:pPr>
            <w:r>
              <w:rPr>
                <w:noProof/>
              </w:rPr>
              <w:t>Sprawozdanie wykazujące pełną aktywację krajowych usług w zakresie cyberbezpieczeństwa</w:t>
            </w:r>
          </w:p>
        </w:tc>
        <w:tc>
          <w:tcPr>
            <w:tcW w:w="1134" w:type="dxa"/>
            <w:shd w:val="clear" w:color="auto" w:fill="C6EFCE"/>
            <w:noWrap/>
            <w:vAlign w:val="center"/>
          </w:tcPr>
          <w:p w14:paraId="0A8C23C6" w14:textId="77777777" w:rsidR="004C6421" w:rsidRDefault="009D1962">
            <w:pPr>
              <w:pStyle w:val="P68B1DB1-Normal4"/>
              <w:jc w:val="center"/>
              <w:rPr>
                <w:rFonts w:cs="Arial"/>
                <w:noProof/>
              </w:rPr>
            </w:pPr>
            <w:r>
              <w:rPr>
                <w:noProof/>
              </w:rPr>
              <w:t>NIE DOT.</w:t>
            </w:r>
          </w:p>
        </w:tc>
        <w:tc>
          <w:tcPr>
            <w:tcW w:w="1417" w:type="dxa"/>
            <w:shd w:val="clear" w:color="auto" w:fill="C6EFCE"/>
            <w:noWrap/>
            <w:vAlign w:val="center"/>
          </w:tcPr>
          <w:p w14:paraId="3D45229F" w14:textId="77777777" w:rsidR="004C6421" w:rsidRDefault="009D1962">
            <w:pPr>
              <w:pStyle w:val="P68B1DB1-Normal4"/>
              <w:jc w:val="center"/>
              <w:rPr>
                <w:rFonts w:cs="Arial"/>
                <w:noProof/>
              </w:rPr>
            </w:pPr>
            <w:r>
              <w:rPr>
                <w:noProof/>
              </w:rPr>
              <w:t>NIE DOT.</w:t>
            </w:r>
          </w:p>
        </w:tc>
        <w:tc>
          <w:tcPr>
            <w:tcW w:w="1425" w:type="dxa"/>
            <w:shd w:val="clear" w:color="auto" w:fill="C6EFCE"/>
            <w:noWrap/>
            <w:vAlign w:val="center"/>
          </w:tcPr>
          <w:p w14:paraId="204DF060" w14:textId="77777777" w:rsidR="004C6421" w:rsidRDefault="009D1962">
            <w:pPr>
              <w:pStyle w:val="P68B1DB1-Normal4"/>
              <w:jc w:val="center"/>
              <w:rPr>
                <w:rFonts w:cs="Arial"/>
                <w:noProof/>
              </w:rPr>
            </w:pPr>
            <w:r>
              <w:rPr>
                <w:noProof/>
              </w:rPr>
              <w:t>NIE DOT.</w:t>
            </w:r>
          </w:p>
        </w:tc>
        <w:tc>
          <w:tcPr>
            <w:tcW w:w="843" w:type="dxa"/>
            <w:shd w:val="clear" w:color="auto" w:fill="C6EFCE"/>
            <w:noWrap/>
            <w:vAlign w:val="center"/>
          </w:tcPr>
          <w:p w14:paraId="690B58B5" w14:textId="792DE3FA" w:rsidR="004C6421" w:rsidRDefault="00CC179E">
            <w:pPr>
              <w:pStyle w:val="P68B1DB1-Normal4"/>
              <w:jc w:val="center"/>
              <w:rPr>
                <w:rFonts w:cs="Arial"/>
                <w:noProof/>
              </w:rPr>
            </w:pPr>
            <w:r>
              <w:rPr>
                <w:noProof/>
              </w:rPr>
              <w:t>KW. 4</w:t>
            </w:r>
          </w:p>
        </w:tc>
        <w:tc>
          <w:tcPr>
            <w:tcW w:w="567" w:type="dxa"/>
            <w:shd w:val="clear" w:color="auto" w:fill="C6EFCE"/>
            <w:noWrap/>
            <w:vAlign w:val="center"/>
          </w:tcPr>
          <w:p w14:paraId="7356FCAE" w14:textId="77777777" w:rsidR="004C6421" w:rsidRDefault="009D1962">
            <w:pPr>
              <w:pStyle w:val="P68B1DB1-Normal4"/>
              <w:jc w:val="center"/>
              <w:rPr>
                <w:rFonts w:cs="Arial"/>
                <w:noProof/>
              </w:rPr>
            </w:pPr>
            <w:r>
              <w:rPr>
                <w:noProof/>
              </w:rPr>
              <w:t>2024</w:t>
            </w:r>
          </w:p>
        </w:tc>
        <w:tc>
          <w:tcPr>
            <w:tcW w:w="2977" w:type="dxa"/>
            <w:shd w:val="clear" w:color="auto" w:fill="C6EFCE"/>
            <w:noWrap/>
            <w:vAlign w:val="center"/>
          </w:tcPr>
          <w:p w14:paraId="6B2892C0" w14:textId="77777777" w:rsidR="004C6421" w:rsidRDefault="009D1962">
            <w:pPr>
              <w:pStyle w:val="P68B1DB1-Normal4"/>
              <w:spacing w:after="120"/>
              <w:rPr>
                <w:rFonts w:cs="Arial"/>
                <w:noProof/>
              </w:rPr>
            </w:pPr>
            <w:r>
              <w:rPr>
                <w:noProof/>
              </w:rPr>
              <w:t>Etap ten kończy się uruchomieniem sektorowych zespołów reagowania na incydenty komputerowe (CERT), ich połączeniem z włoskim zespołem reagowania na incydenty bezpieczeństwa komputerowego (CSIRT) oraz Centrum Wymiany i Analizy Informacji (ISAC), integracją co najmniej 5 operacyjnych centrów bezpieczeństwa (SOC) z krajowym HyperSOC, pełnym funkcjonowaniem usług zarządzania ryzykiem w cyberprzestrzeni, w tym usług w zakresie analizy łańcucha dostaw i ubezpieczeń od ryzyka cybernetycznego.</w:t>
            </w:r>
          </w:p>
        </w:tc>
      </w:tr>
      <w:tr w:rsidR="004C6421" w14:paraId="12125AD2" w14:textId="77777777">
        <w:trPr>
          <w:trHeight w:val="309"/>
        </w:trPr>
        <w:tc>
          <w:tcPr>
            <w:tcW w:w="1253" w:type="dxa"/>
            <w:shd w:val="clear" w:color="auto" w:fill="C6EFCE"/>
            <w:noWrap/>
            <w:vAlign w:val="center"/>
          </w:tcPr>
          <w:p w14:paraId="2C0AD165" w14:textId="77777777" w:rsidR="004C6421" w:rsidRDefault="009D1962">
            <w:pPr>
              <w:pStyle w:val="P68B1DB1-Normal4"/>
              <w:jc w:val="center"/>
              <w:rPr>
                <w:rFonts w:cs="Arial"/>
                <w:noProof/>
              </w:rPr>
            </w:pPr>
            <w:r>
              <w:rPr>
                <w:noProof/>
              </w:rPr>
              <w:t>M1C1-21</w:t>
            </w:r>
          </w:p>
        </w:tc>
        <w:tc>
          <w:tcPr>
            <w:tcW w:w="1568" w:type="dxa"/>
            <w:shd w:val="clear" w:color="auto" w:fill="C6EFCE"/>
            <w:noWrap/>
            <w:vAlign w:val="center"/>
          </w:tcPr>
          <w:p w14:paraId="360FEA0E" w14:textId="77777777" w:rsidR="004C6421" w:rsidRDefault="009D1962">
            <w:pPr>
              <w:pStyle w:val="P68B1DB1-Normal4"/>
              <w:jc w:val="center"/>
              <w:rPr>
                <w:rFonts w:cs="Arial"/>
                <w:noProof/>
              </w:rPr>
            </w:pPr>
            <w:r>
              <w:rPr>
                <w:noProof/>
              </w:rPr>
              <w:t>Inwestycja 1.5: Cyberbezpieczeństwo</w:t>
            </w:r>
          </w:p>
        </w:tc>
        <w:tc>
          <w:tcPr>
            <w:tcW w:w="1148" w:type="dxa"/>
            <w:shd w:val="clear" w:color="auto" w:fill="C6EFCE"/>
            <w:noWrap/>
            <w:vAlign w:val="center"/>
          </w:tcPr>
          <w:p w14:paraId="1B92F72D" w14:textId="708FDAEA" w:rsidR="004C6421" w:rsidRDefault="00CC179E">
            <w:pPr>
              <w:pStyle w:val="P68B1DB1-Normal4"/>
              <w:jc w:val="center"/>
              <w:rPr>
                <w:rFonts w:cs="Arial"/>
                <w:noProof/>
              </w:rPr>
            </w:pPr>
            <w:r>
              <w:rPr>
                <w:noProof/>
              </w:rPr>
              <w:t>Milowy</w:t>
            </w:r>
          </w:p>
        </w:tc>
        <w:tc>
          <w:tcPr>
            <w:tcW w:w="1470" w:type="dxa"/>
            <w:shd w:val="clear" w:color="auto" w:fill="C6EFCE"/>
            <w:noWrap/>
            <w:vAlign w:val="center"/>
          </w:tcPr>
          <w:p w14:paraId="702135E3" w14:textId="77777777" w:rsidR="004C6421" w:rsidRDefault="009D1962">
            <w:pPr>
              <w:pStyle w:val="P68B1DB1-Normal4"/>
              <w:jc w:val="center"/>
              <w:rPr>
                <w:rFonts w:cs="Arial"/>
                <w:noProof/>
              </w:rPr>
            </w:pPr>
            <w:r>
              <w:rPr>
                <w:noProof/>
              </w:rPr>
              <w:t>Zakończenie tworzenia sieci laboratoriów ds. kontroli bezpieczeństwa cybernetycznego i certyfikacji cyberbezpieczeństwa, ośrodków oceny</w:t>
            </w:r>
          </w:p>
        </w:tc>
        <w:tc>
          <w:tcPr>
            <w:tcW w:w="1701" w:type="dxa"/>
            <w:shd w:val="clear" w:color="auto" w:fill="C6EFCE"/>
            <w:noWrap/>
            <w:vAlign w:val="center"/>
          </w:tcPr>
          <w:p w14:paraId="451D3CAD" w14:textId="77777777" w:rsidR="004C6421" w:rsidRDefault="009D1962">
            <w:pPr>
              <w:pStyle w:val="P68B1DB1-Normal4"/>
              <w:jc w:val="center"/>
              <w:rPr>
                <w:rFonts w:cs="Arial"/>
                <w:noProof/>
              </w:rPr>
            </w:pPr>
            <w:r>
              <w:rPr>
                <w:noProof/>
              </w:rPr>
              <w:t>Przedstawione sprawozdania wykazujące pełną aktywację co najmniej 10 laboratoriów i 2 ośrodków oceny (CV) NIE DOT.</w:t>
            </w:r>
          </w:p>
        </w:tc>
        <w:tc>
          <w:tcPr>
            <w:tcW w:w="1134" w:type="dxa"/>
            <w:shd w:val="clear" w:color="auto" w:fill="C6EFCE"/>
            <w:noWrap/>
            <w:vAlign w:val="center"/>
          </w:tcPr>
          <w:p w14:paraId="0DAD9264" w14:textId="77777777" w:rsidR="004C6421" w:rsidRDefault="009D1962">
            <w:pPr>
              <w:pStyle w:val="P68B1DB1-Normal4"/>
              <w:jc w:val="center"/>
              <w:rPr>
                <w:rFonts w:cs="Arial"/>
                <w:noProof/>
              </w:rPr>
            </w:pPr>
            <w:r>
              <w:rPr>
                <w:noProof/>
              </w:rPr>
              <w:t>NIE DOT.</w:t>
            </w:r>
          </w:p>
        </w:tc>
        <w:tc>
          <w:tcPr>
            <w:tcW w:w="1417" w:type="dxa"/>
            <w:shd w:val="clear" w:color="auto" w:fill="C6EFCE"/>
            <w:noWrap/>
            <w:vAlign w:val="center"/>
          </w:tcPr>
          <w:p w14:paraId="56D5BC20" w14:textId="77777777" w:rsidR="004C6421" w:rsidRDefault="009D1962">
            <w:pPr>
              <w:pStyle w:val="P68B1DB1-Normal4"/>
              <w:jc w:val="center"/>
              <w:rPr>
                <w:rFonts w:cs="Arial"/>
                <w:noProof/>
              </w:rPr>
            </w:pPr>
            <w:r>
              <w:rPr>
                <w:noProof/>
              </w:rPr>
              <w:t>NIE DOT.</w:t>
            </w:r>
          </w:p>
        </w:tc>
        <w:tc>
          <w:tcPr>
            <w:tcW w:w="1425" w:type="dxa"/>
            <w:shd w:val="clear" w:color="auto" w:fill="C6EFCE"/>
            <w:noWrap/>
            <w:vAlign w:val="center"/>
          </w:tcPr>
          <w:p w14:paraId="609F017F" w14:textId="77777777" w:rsidR="004C6421" w:rsidRDefault="009D1962">
            <w:pPr>
              <w:pStyle w:val="P68B1DB1-Normal4"/>
              <w:jc w:val="center"/>
              <w:rPr>
                <w:rFonts w:cs="Arial"/>
                <w:noProof/>
              </w:rPr>
            </w:pPr>
            <w:r>
              <w:rPr>
                <w:noProof/>
              </w:rPr>
              <w:t>NIE DOT.</w:t>
            </w:r>
          </w:p>
        </w:tc>
        <w:tc>
          <w:tcPr>
            <w:tcW w:w="843" w:type="dxa"/>
            <w:shd w:val="clear" w:color="auto" w:fill="C6EFCE"/>
            <w:noWrap/>
            <w:vAlign w:val="center"/>
          </w:tcPr>
          <w:p w14:paraId="4F09583A" w14:textId="59CE2ED4" w:rsidR="004C6421" w:rsidRDefault="00CC179E">
            <w:pPr>
              <w:pStyle w:val="P68B1DB1-Normal4"/>
              <w:jc w:val="center"/>
              <w:rPr>
                <w:rFonts w:cs="Arial"/>
                <w:noProof/>
              </w:rPr>
            </w:pPr>
            <w:r>
              <w:rPr>
                <w:noProof/>
              </w:rPr>
              <w:t>KW. 4</w:t>
            </w:r>
          </w:p>
        </w:tc>
        <w:tc>
          <w:tcPr>
            <w:tcW w:w="567" w:type="dxa"/>
            <w:shd w:val="clear" w:color="auto" w:fill="C6EFCE"/>
            <w:noWrap/>
            <w:vAlign w:val="center"/>
          </w:tcPr>
          <w:p w14:paraId="348A82E9" w14:textId="77777777" w:rsidR="004C6421" w:rsidRDefault="009D1962">
            <w:pPr>
              <w:pStyle w:val="P68B1DB1-Normal4"/>
              <w:jc w:val="center"/>
              <w:rPr>
                <w:rFonts w:cs="Arial"/>
                <w:noProof/>
              </w:rPr>
            </w:pPr>
            <w:r>
              <w:rPr>
                <w:noProof/>
              </w:rPr>
              <w:t>2024</w:t>
            </w:r>
          </w:p>
        </w:tc>
        <w:tc>
          <w:tcPr>
            <w:tcW w:w="2977" w:type="dxa"/>
            <w:shd w:val="clear" w:color="auto" w:fill="C6EFCE"/>
            <w:noWrap/>
            <w:vAlign w:val="center"/>
          </w:tcPr>
          <w:p w14:paraId="40CCF651" w14:textId="77777777" w:rsidR="004C6421" w:rsidRDefault="009D1962">
            <w:pPr>
              <w:pStyle w:val="P68B1DB1-Normal4"/>
              <w:spacing w:after="120"/>
              <w:rPr>
                <w:rFonts w:cs="Arial"/>
                <w:noProof/>
              </w:rPr>
            </w:pPr>
            <w:r>
              <w:rPr>
                <w:noProof/>
              </w:rPr>
              <w:t>Aktywacja co najmniej 10 laboratoriów przesiewowych i certyfikujących oraz 2 ośrodków oceny (CV).</w:t>
            </w:r>
          </w:p>
        </w:tc>
      </w:tr>
      <w:tr w:rsidR="004C6421" w14:paraId="488F3081" w14:textId="77777777">
        <w:trPr>
          <w:trHeight w:val="309"/>
        </w:trPr>
        <w:tc>
          <w:tcPr>
            <w:tcW w:w="1253" w:type="dxa"/>
            <w:shd w:val="clear" w:color="auto" w:fill="C6EFCE"/>
            <w:noWrap/>
            <w:vAlign w:val="center"/>
          </w:tcPr>
          <w:p w14:paraId="6532D226" w14:textId="77777777" w:rsidR="004C6421" w:rsidRDefault="009D1962">
            <w:pPr>
              <w:pStyle w:val="P68B1DB1-Normal4"/>
              <w:jc w:val="center"/>
              <w:rPr>
                <w:rFonts w:cs="Arial"/>
                <w:noProof/>
              </w:rPr>
            </w:pPr>
            <w:r>
              <w:rPr>
                <w:noProof/>
              </w:rPr>
              <w:t>M1C1-22</w:t>
            </w:r>
          </w:p>
        </w:tc>
        <w:tc>
          <w:tcPr>
            <w:tcW w:w="1568" w:type="dxa"/>
            <w:shd w:val="clear" w:color="auto" w:fill="C6EFCE"/>
            <w:noWrap/>
            <w:vAlign w:val="center"/>
          </w:tcPr>
          <w:p w14:paraId="69B4EDEB" w14:textId="77777777" w:rsidR="004C6421" w:rsidRDefault="009D1962">
            <w:pPr>
              <w:pStyle w:val="P68B1DB1-Normal4"/>
              <w:jc w:val="center"/>
              <w:rPr>
                <w:rFonts w:cs="Arial"/>
                <w:noProof/>
              </w:rPr>
            </w:pPr>
            <w:r>
              <w:rPr>
                <w:noProof/>
              </w:rPr>
              <w:t>Inwestycja 1.5: Cyberbezpieczeństwo</w:t>
            </w:r>
          </w:p>
        </w:tc>
        <w:tc>
          <w:tcPr>
            <w:tcW w:w="1148" w:type="dxa"/>
            <w:shd w:val="clear" w:color="auto" w:fill="C6EFCE"/>
            <w:noWrap/>
            <w:vAlign w:val="center"/>
          </w:tcPr>
          <w:p w14:paraId="5D1842B6" w14:textId="55E7638A" w:rsidR="004C6421" w:rsidRDefault="00CC179E">
            <w:pPr>
              <w:pStyle w:val="P68B1DB1-Normal4"/>
              <w:jc w:val="center"/>
              <w:rPr>
                <w:rFonts w:cs="Arial"/>
                <w:noProof/>
              </w:rPr>
            </w:pPr>
            <w:r>
              <w:rPr>
                <w:noProof/>
              </w:rPr>
              <w:t>Milowy</w:t>
            </w:r>
          </w:p>
        </w:tc>
        <w:tc>
          <w:tcPr>
            <w:tcW w:w="1470" w:type="dxa"/>
            <w:shd w:val="clear" w:color="auto" w:fill="C6EFCE"/>
            <w:noWrap/>
            <w:vAlign w:val="center"/>
          </w:tcPr>
          <w:p w14:paraId="06C42101" w14:textId="77777777" w:rsidR="004C6421" w:rsidRDefault="009D1962">
            <w:pPr>
              <w:pStyle w:val="P68B1DB1-Normal4"/>
              <w:jc w:val="center"/>
              <w:rPr>
                <w:rFonts w:cs="Arial"/>
                <w:noProof/>
              </w:rPr>
            </w:pPr>
            <w:r>
              <w:rPr>
                <w:noProof/>
              </w:rPr>
              <w:t>Pełne działanie centralnej jednostki audytowej ds. środków bezpieczeństwa PSNC i NIS po zakończeniu co najmniej 30 inspekcji</w:t>
            </w:r>
          </w:p>
        </w:tc>
        <w:tc>
          <w:tcPr>
            <w:tcW w:w="1701" w:type="dxa"/>
            <w:shd w:val="clear" w:color="auto" w:fill="C6EFCE"/>
            <w:noWrap/>
            <w:vAlign w:val="center"/>
          </w:tcPr>
          <w:p w14:paraId="2D32D185" w14:textId="77777777" w:rsidR="004C6421" w:rsidRDefault="009D1962">
            <w:pPr>
              <w:pStyle w:val="P68B1DB1-Normal4"/>
              <w:jc w:val="center"/>
              <w:rPr>
                <w:rFonts w:cs="Arial"/>
                <w:noProof/>
              </w:rPr>
            </w:pPr>
            <w:r>
              <w:rPr>
                <w:noProof/>
              </w:rPr>
              <w:t>Przekazane sprawozdania, sprawozdania z inspekcji</w:t>
            </w:r>
          </w:p>
        </w:tc>
        <w:tc>
          <w:tcPr>
            <w:tcW w:w="1134" w:type="dxa"/>
            <w:shd w:val="clear" w:color="auto" w:fill="C6EFCE"/>
            <w:noWrap/>
            <w:vAlign w:val="center"/>
          </w:tcPr>
          <w:p w14:paraId="119CB0F6" w14:textId="77777777" w:rsidR="004C6421" w:rsidRDefault="009D1962">
            <w:pPr>
              <w:pStyle w:val="P68B1DB1-Normal4"/>
              <w:jc w:val="center"/>
              <w:rPr>
                <w:rFonts w:cs="Arial"/>
                <w:noProof/>
              </w:rPr>
            </w:pPr>
            <w:r>
              <w:rPr>
                <w:noProof/>
              </w:rPr>
              <w:t>NIE DOT.</w:t>
            </w:r>
          </w:p>
        </w:tc>
        <w:tc>
          <w:tcPr>
            <w:tcW w:w="1417" w:type="dxa"/>
            <w:shd w:val="clear" w:color="auto" w:fill="C6EFCE"/>
            <w:noWrap/>
            <w:vAlign w:val="center"/>
          </w:tcPr>
          <w:p w14:paraId="433D9872" w14:textId="77777777" w:rsidR="004C6421" w:rsidRDefault="009D1962">
            <w:pPr>
              <w:pStyle w:val="P68B1DB1-Normal4"/>
              <w:jc w:val="center"/>
              <w:rPr>
                <w:rFonts w:cs="Arial"/>
                <w:noProof/>
              </w:rPr>
            </w:pPr>
            <w:r>
              <w:rPr>
                <w:noProof/>
              </w:rPr>
              <w:t>NIE DOT.</w:t>
            </w:r>
          </w:p>
        </w:tc>
        <w:tc>
          <w:tcPr>
            <w:tcW w:w="1425" w:type="dxa"/>
            <w:shd w:val="clear" w:color="auto" w:fill="C6EFCE"/>
            <w:noWrap/>
            <w:vAlign w:val="center"/>
          </w:tcPr>
          <w:p w14:paraId="2D0E2768" w14:textId="77777777" w:rsidR="004C6421" w:rsidRDefault="009D1962">
            <w:pPr>
              <w:pStyle w:val="P68B1DB1-Normal4"/>
              <w:jc w:val="center"/>
              <w:rPr>
                <w:rFonts w:cs="Arial"/>
                <w:noProof/>
              </w:rPr>
            </w:pPr>
            <w:r>
              <w:rPr>
                <w:noProof/>
              </w:rPr>
              <w:t>NIE DOT.</w:t>
            </w:r>
          </w:p>
        </w:tc>
        <w:tc>
          <w:tcPr>
            <w:tcW w:w="843" w:type="dxa"/>
            <w:shd w:val="clear" w:color="auto" w:fill="C6EFCE"/>
            <w:noWrap/>
            <w:vAlign w:val="center"/>
          </w:tcPr>
          <w:p w14:paraId="130A7A08" w14:textId="28E28DE2" w:rsidR="004C6421" w:rsidRDefault="00CC179E">
            <w:pPr>
              <w:pStyle w:val="P68B1DB1-Normal4"/>
              <w:jc w:val="center"/>
              <w:rPr>
                <w:rFonts w:cs="Arial"/>
                <w:noProof/>
              </w:rPr>
            </w:pPr>
            <w:r>
              <w:rPr>
                <w:noProof/>
              </w:rPr>
              <w:t>KW. 4</w:t>
            </w:r>
          </w:p>
        </w:tc>
        <w:tc>
          <w:tcPr>
            <w:tcW w:w="567" w:type="dxa"/>
            <w:shd w:val="clear" w:color="auto" w:fill="C6EFCE"/>
            <w:noWrap/>
            <w:vAlign w:val="center"/>
          </w:tcPr>
          <w:p w14:paraId="13F82FB1" w14:textId="77777777" w:rsidR="004C6421" w:rsidRDefault="009D1962">
            <w:pPr>
              <w:pStyle w:val="P68B1DB1-Normal4"/>
              <w:jc w:val="center"/>
              <w:rPr>
                <w:rFonts w:cs="Arial"/>
                <w:noProof/>
              </w:rPr>
            </w:pPr>
            <w:r>
              <w:rPr>
                <w:noProof/>
              </w:rPr>
              <w:t>2024</w:t>
            </w:r>
          </w:p>
        </w:tc>
        <w:tc>
          <w:tcPr>
            <w:tcW w:w="2977" w:type="dxa"/>
            <w:shd w:val="clear" w:color="auto" w:fill="C6EFCE"/>
            <w:noWrap/>
            <w:vAlign w:val="center"/>
          </w:tcPr>
          <w:p w14:paraId="334A6847" w14:textId="77777777" w:rsidR="004C6421" w:rsidRDefault="009D1962">
            <w:pPr>
              <w:pStyle w:val="P68B1DB1-Normal4"/>
              <w:spacing w:after="120"/>
              <w:rPr>
                <w:rFonts w:cs="Arial"/>
                <w:noProof/>
              </w:rPr>
            </w:pPr>
            <w:r>
              <w:rPr>
                <w:noProof/>
              </w:rPr>
              <w:t>Pełne działanie Centralnej Jednostki Obrachunkowej z co najmniej 30 kontrolami.</w:t>
            </w:r>
          </w:p>
        </w:tc>
      </w:tr>
      <w:tr w:rsidR="004C6421" w14:paraId="093E0B97" w14:textId="77777777">
        <w:trPr>
          <w:trHeight w:val="309"/>
        </w:trPr>
        <w:tc>
          <w:tcPr>
            <w:tcW w:w="1253" w:type="dxa"/>
            <w:shd w:val="clear" w:color="auto" w:fill="C6EFCE"/>
            <w:noWrap/>
            <w:vAlign w:val="center"/>
          </w:tcPr>
          <w:p w14:paraId="38448DFE" w14:textId="77777777" w:rsidR="004C6421" w:rsidRDefault="009D1962">
            <w:pPr>
              <w:pStyle w:val="P68B1DB1-Normal4"/>
              <w:jc w:val="center"/>
              <w:rPr>
                <w:rFonts w:cs="Arial"/>
                <w:noProof/>
              </w:rPr>
            </w:pPr>
            <w:r>
              <w:rPr>
                <w:noProof/>
              </w:rPr>
              <w:t>M1C1-23</w:t>
            </w:r>
          </w:p>
        </w:tc>
        <w:tc>
          <w:tcPr>
            <w:tcW w:w="1568" w:type="dxa"/>
            <w:shd w:val="clear" w:color="auto" w:fill="C6EFCE"/>
            <w:noWrap/>
            <w:vAlign w:val="center"/>
          </w:tcPr>
          <w:p w14:paraId="39082DE7" w14:textId="77777777" w:rsidR="004C6421" w:rsidRDefault="009D1962">
            <w:pPr>
              <w:pStyle w:val="P68B1DB1-Normal4"/>
              <w:jc w:val="center"/>
              <w:rPr>
                <w:rFonts w:cs="Arial"/>
                <w:noProof/>
              </w:rPr>
            </w:pPr>
            <w:r>
              <w:rPr>
                <w:noProof/>
              </w:rPr>
              <w:t>Inwestycje 1.4.6: Mobilność jako usługa dla Włoch</w:t>
            </w:r>
          </w:p>
        </w:tc>
        <w:tc>
          <w:tcPr>
            <w:tcW w:w="1148" w:type="dxa"/>
            <w:shd w:val="clear" w:color="auto" w:fill="C6EFCE"/>
            <w:noWrap/>
            <w:vAlign w:val="center"/>
          </w:tcPr>
          <w:p w14:paraId="09D5CE96" w14:textId="1669EE65" w:rsidR="004C6421" w:rsidRDefault="00CC179E">
            <w:pPr>
              <w:pStyle w:val="P68B1DB1-Normal4"/>
              <w:jc w:val="center"/>
              <w:rPr>
                <w:rFonts w:cs="Arial"/>
                <w:noProof/>
              </w:rPr>
            </w:pPr>
            <w:r>
              <w:rPr>
                <w:noProof/>
              </w:rPr>
              <w:t>Milowy</w:t>
            </w:r>
          </w:p>
        </w:tc>
        <w:tc>
          <w:tcPr>
            <w:tcW w:w="1470" w:type="dxa"/>
            <w:shd w:val="clear" w:color="auto" w:fill="C6EFCE"/>
            <w:noWrap/>
            <w:vAlign w:val="center"/>
          </w:tcPr>
          <w:p w14:paraId="6A6317E6" w14:textId="77777777" w:rsidR="004C6421" w:rsidRDefault="009D1962">
            <w:pPr>
              <w:pStyle w:val="P68B1DB1-Normal4"/>
              <w:jc w:val="center"/>
              <w:rPr>
                <w:rFonts w:cs="Arial"/>
                <w:noProof/>
              </w:rPr>
            </w:pPr>
            <w:r>
              <w:rPr>
                <w:noProof/>
              </w:rPr>
              <w:t>Mobilność jako rozwiązania usługowe M2</w:t>
            </w:r>
          </w:p>
        </w:tc>
        <w:tc>
          <w:tcPr>
            <w:tcW w:w="1701" w:type="dxa"/>
            <w:shd w:val="clear" w:color="auto" w:fill="C6EFCE"/>
            <w:noWrap/>
            <w:vAlign w:val="center"/>
          </w:tcPr>
          <w:p w14:paraId="7698B05D" w14:textId="77777777" w:rsidR="004C6421" w:rsidRDefault="009D1962">
            <w:pPr>
              <w:pStyle w:val="P68B1DB1-Normal4"/>
              <w:jc w:val="center"/>
              <w:rPr>
                <w:rFonts w:cs="Arial"/>
                <w:noProof/>
              </w:rPr>
            </w:pPr>
            <w:r>
              <w:rPr>
                <w:noProof/>
              </w:rPr>
              <w:t>Wyniki pilotażowe ocenione przez Ministero delle Infrastrutture e della Mobilità Sostenibili (MIMS) we współpracy z uniwersytetami</w:t>
            </w:r>
          </w:p>
        </w:tc>
        <w:tc>
          <w:tcPr>
            <w:tcW w:w="1134" w:type="dxa"/>
            <w:shd w:val="clear" w:color="auto" w:fill="C6EFCE"/>
            <w:noWrap/>
            <w:vAlign w:val="center"/>
          </w:tcPr>
          <w:p w14:paraId="5AB2C982" w14:textId="77777777" w:rsidR="004C6421" w:rsidRDefault="009D1962">
            <w:pPr>
              <w:pStyle w:val="P68B1DB1-Normal4"/>
              <w:jc w:val="center"/>
              <w:rPr>
                <w:rFonts w:cs="Arial"/>
                <w:noProof/>
              </w:rPr>
            </w:pPr>
            <w:r>
              <w:rPr>
                <w:noProof/>
              </w:rPr>
              <w:t>NIE DOT.</w:t>
            </w:r>
          </w:p>
        </w:tc>
        <w:tc>
          <w:tcPr>
            <w:tcW w:w="1417" w:type="dxa"/>
            <w:shd w:val="clear" w:color="auto" w:fill="C6EFCE"/>
            <w:noWrap/>
            <w:vAlign w:val="center"/>
          </w:tcPr>
          <w:p w14:paraId="17E96575" w14:textId="77777777" w:rsidR="004C6421" w:rsidRDefault="009D1962">
            <w:pPr>
              <w:pStyle w:val="P68B1DB1-Normal4"/>
              <w:jc w:val="center"/>
              <w:rPr>
                <w:rFonts w:cs="Arial"/>
                <w:noProof/>
              </w:rPr>
            </w:pPr>
            <w:r>
              <w:rPr>
                <w:noProof/>
              </w:rPr>
              <w:t>NIE DOT.</w:t>
            </w:r>
          </w:p>
        </w:tc>
        <w:tc>
          <w:tcPr>
            <w:tcW w:w="1425" w:type="dxa"/>
            <w:shd w:val="clear" w:color="auto" w:fill="C6EFCE"/>
            <w:noWrap/>
            <w:vAlign w:val="center"/>
          </w:tcPr>
          <w:p w14:paraId="6FE5FC30" w14:textId="77777777" w:rsidR="004C6421" w:rsidRDefault="009D1962">
            <w:pPr>
              <w:pStyle w:val="P68B1DB1-Normal4"/>
              <w:jc w:val="center"/>
              <w:rPr>
                <w:rFonts w:cs="Arial"/>
                <w:noProof/>
              </w:rPr>
            </w:pPr>
            <w:r>
              <w:rPr>
                <w:noProof/>
              </w:rPr>
              <w:t>NIE DOT.</w:t>
            </w:r>
          </w:p>
        </w:tc>
        <w:tc>
          <w:tcPr>
            <w:tcW w:w="843" w:type="dxa"/>
            <w:shd w:val="clear" w:color="auto" w:fill="C6EFCE"/>
            <w:noWrap/>
            <w:vAlign w:val="center"/>
          </w:tcPr>
          <w:p w14:paraId="6508B09A" w14:textId="78EB639E" w:rsidR="004C6421" w:rsidRDefault="00CC179E">
            <w:pPr>
              <w:pStyle w:val="P68B1DB1-Normal4"/>
              <w:jc w:val="center"/>
              <w:rPr>
                <w:rFonts w:cs="Arial"/>
                <w:noProof/>
              </w:rPr>
            </w:pPr>
            <w:r>
              <w:rPr>
                <w:noProof/>
              </w:rPr>
              <w:t>KW. 1</w:t>
            </w:r>
          </w:p>
        </w:tc>
        <w:tc>
          <w:tcPr>
            <w:tcW w:w="567" w:type="dxa"/>
            <w:shd w:val="clear" w:color="auto" w:fill="C6EFCE"/>
            <w:noWrap/>
            <w:vAlign w:val="center"/>
          </w:tcPr>
          <w:p w14:paraId="196BE4D5" w14:textId="77777777" w:rsidR="004C6421" w:rsidRDefault="009D1962">
            <w:pPr>
              <w:pStyle w:val="P68B1DB1-Normal4"/>
              <w:jc w:val="center"/>
              <w:rPr>
                <w:rFonts w:cs="Arial"/>
                <w:noProof/>
              </w:rPr>
            </w:pPr>
            <w:r>
              <w:rPr>
                <w:noProof/>
              </w:rPr>
              <w:t>2025</w:t>
            </w:r>
          </w:p>
        </w:tc>
        <w:tc>
          <w:tcPr>
            <w:tcW w:w="2977" w:type="dxa"/>
            <w:shd w:val="clear" w:color="auto" w:fill="C6EFCE"/>
            <w:noWrap/>
            <w:vAlign w:val="center"/>
          </w:tcPr>
          <w:p w14:paraId="5B366D89" w14:textId="77777777" w:rsidR="004C6421" w:rsidRDefault="009D1962">
            <w:pPr>
              <w:pStyle w:val="P68B1DB1-Normal4"/>
              <w:spacing w:after="120"/>
              <w:rPr>
                <w:rFonts w:cs="Arial"/>
                <w:noProof/>
              </w:rPr>
            </w:pPr>
            <w:r>
              <w:rPr>
                <w:noProof/>
              </w:rPr>
              <w:t>Kamień milowy odnosi się do realizacji drugiej fali siedmiu projektów pilotażowych mających na celu testowanie mobilności jako rozwiązań w zakresie usług na obszarach „następujących”.</w:t>
            </w:r>
          </w:p>
          <w:p w14:paraId="5214F669" w14:textId="77777777" w:rsidR="004C6421" w:rsidRDefault="009D1962">
            <w:pPr>
              <w:pStyle w:val="P68B1DB1-Normal4"/>
              <w:spacing w:after="120"/>
              <w:rPr>
                <w:rFonts w:cs="Arial"/>
                <w:noProof/>
              </w:rPr>
            </w:pPr>
            <w:r>
              <w:rPr>
                <w:noProof/>
              </w:rPr>
              <w:t>Oczekuje się, że gminy wykorzystają doświadczenia miast metropolitalnych gotowych do cyfryzacji, wybranych w ramach pierwszej fali. 40 % projektów pilotażowych będzie zlokalizowanych na południu.</w:t>
            </w:r>
          </w:p>
        </w:tc>
      </w:tr>
      <w:tr w:rsidR="004C6421" w14:paraId="796FF602" w14:textId="77777777">
        <w:trPr>
          <w:trHeight w:val="309"/>
        </w:trPr>
        <w:tc>
          <w:tcPr>
            <w:tcW w:w="1253" w:type="dxa"/>
            <w:shd w:val="clear" w:color="auto" w:fill="C6EFCE"/>
            <w:noWrap/>
            <w:vAlign w:val="center"/>
          </w:tcPr>
          <w:p w14:paraId="2C4F537C" w14:textId="77777777" w:rsidR="004C6421" w:rsidRDefault="009D1962">
            <w:pPr>
              <w:pStyle w:val="P68B1DB1-Normal4"/>
              <w:jc w:val="center"/>
              <w:rPr>
                <w:rFonts w:cs="Arial"/>
                <w:noProof/>
              </w:rPr>
            </w:pPr>
            <w:r>
              <w:rPr>
                <w:noProof/>
              </w:rPr>
              <w:t>M1C1-24</w:t>
            </w:r>
          </w:p>
        </w:tc>
        <w:tc>
          <w:tcPr>
            <w:tcW w:w="1568" w:type="dxa"/>
            <w:shd w:val="clear" w:color="auto" w:fill="C6EFCE"/>
            <w:noWrap/>
            <w:vAlign w:val="center"/>
          </w:tcPr>
          <w:p w14:paraId="7A42754A" w14:textId="77777777" w:rsidR="004C6421" w:rsidRDefault="009D1962">
            <w:pPr>
              <w:pStyle w:val="P68B1DB1-Normal4"/>
              <w:jc w:val="center"/>
              <w:rPr>
                <w:rFonts w:cs="Arial"/>
                <w:noProof/>
              </w:rPr>
            </w:pPr>
            <w:r>
              <w:rPr>
                <w:noProof/>
              </w:rPr>
              <w:t>Inwestycje 1.7.1: Cyfrowa Służba Cywilna</w:t>
            </w:r>
          </w:p>
        </w:tc>
        <w:tc>
          <w:tcPr>
            <w:tcW w:w="1148" w:type="dxa"/>
            <w:shd w:val="clear" w:color="auto" w:fill="C6EFCE"/>
            <w:noWrap/>
            <w:vAlign w:val="center"/>
          </w:tcPr>
          <w:p w14:paraId="629A8F64" w14:textId="77777777" w:rsidR="004C6421" w:rsidRDefault="009D1962">
            <w:pPr>
              <w:pStyle w:val="P68B1DB1-Normal4"/>
              <w:jc w:val="center"/>
              <w:rPr>
                <w:rFonts w:cs="Arial"/>
                <w:noProof/>
              </w:rPr>
            </w:pPr>
            <w:r>
              <w:rPr>
                <w:noProof/>
              </w:rPr>
              <w:t>Cel</w:t>
            </w:r>
          </w:p>
        </w:tc>
        <w:tc>
          <w:tcPr>
            <w:tcW w:w="1470" w:type="dxa"/>
            <w:shd w:val="clear" w:color="auto" w:fill="C6EFCE"/>
            <w:noWrap/>
            <w:vAlign w:val="center"/>
          </w:tcPr>
          <w:p w14:paraId="5E7BE4BD" w14:textId="77777777" w:rsidR="004C6421" w:rsidRDefault="009D1962">
            <w:pPr>
              <w:pStyle w:val="P68B1DB1-Normal4"/>
              <w:jc w:val="center"/>
              <w:rPr>
                <w:rFonts w:cs="Arial"/>
                <w:noProof/>
              </w:rPr>
            </w:pPr>
            <w:r>
              <w:rPr>
                <w:noProof/>
              </w:rPr>
              <w:t xml:space="preserve">Obywatele uczestniczący w inicjatywach w zakresie edukacji cyfrowej lub ułatwień oferowanych przez organizacje zarejestrowane w krajowym rejestrze organizacji powszechnych służby cywilnej </w:t>
            </w:r>
          </w:p>
        </w:tc>
        <w:tc>
          <w:tcPr>
            <w:tcW w:w="1701" w:type="dxa"/>
            <w:shd w:val="clear" w:color="auto" w:fill="C6EFCE"/>
            <w:noWrap/>
            <w:vAlign w:val="center"/>
          </w:tcPr>
          <w:p w14:paraId="520318B3" w14:textId="77777777" w:rsidR="004C6421" w:rsidRDefault="009D1962">
            <w:pPr>
              <w:pStyle w:val="P68B1DB1-Normal4"/>
              <w:jc w:val="center"/>
              <w:rPr>
                <w:rFonts w:cs="Arial"/>
                <w:noProof/>
              </w:rPr>
            </w:pPr>
            <w:r>
              <w:rPr>
                <w:noProof/>
              </w:rPr>
              <w:t>NIE DOT.</w:t>
            </w:r>
          </w:p>
        </w:tc>
        <w:tc>
          <w:tcPr>
            <w:tcW w:w="1134" w:type="dxa"/>
            <w:shd w:val="clear" w:color="auto" w:fill="C6EFCE"/>
            <w:noWrap/>
            <w:vAlign w:val="center"/>
          </w:tcPr>
          <w:p w14:paraId="5BD77666" w14:textId="77777777" w:rsidR="004C6421" w:rsidRDefault="009D1962">
            <w:pPr>
              <w:pStyle w:val="P68B1DB1-Normal4"/>
              <w:jc w:val="center"/>
              <w:rPr>
                <w:rFonts w:cs="Arial"/>
                <w:noProof/>
              </w:rPr>
            </w:pPr>
            <w:r>
              <w:rPr>
                <w:noProof/>
              </w:rPr>
              <w:t>Numer</w:t>
            </w:r>
          </w:p>
        </w:tc>
        <w:tc>
          <w:tcPr>
            <w:tcW w:w="1417" w:type="dxa"/>
            <w:shd w:val="clear" w:color="auto" w:fill="C6EFCE"/>
            <w:noWrap/>
            <w:vAlign w:val="center"/>
          </w:tcPr>
          <w:p w14:paraId="73E60C0E" w14:textId="77777777" w:rsidR="004C6421" w:rsidRDefault="009D1962">
            <w:pPr>
              <w:pStyle w:val="P68B1DB1-Normal4"/>
              <w:jc w:val="center"/>
              <w:rPr>
                <w:rFonts w:cs="Arial"/>
                <w:noProof/>
              </w:rPr>
            </w:pPr>
            <w:r>
              <w:rPr>
                <w:noProof/>
              </w:rPr>
              <w:t>0</w:t>
            </w:r>
          </w:p>
        </w:tc>
        <w:tc>
          <w:tcPr>
            <w:tcW w:w="1425" w:type="dxa"/>
            <w:shd w:val="clear" w:color="auto" w:fill="C6EFCE"/>
            <w:noWrap/>
            <w:vAlign w:val="center"/>
          </w:tcPr>
          <w:p w14:paraId="5B696F98" w14:textId="77777777" w:rsidR="004C6421" w:rsidRDefault="009D1962">
            <w:pPr>
              <w:pStyle w:val="P68B1DB1-Normal4"/>
              <w:jc w:val="center"/>
              <w:rPr>
                <w:rFonts w:cs="Arial"/>
                <w:noProof/>
              </w:rPr>
            </w:pPr>
            <w:r>
              <w:rPr>
                <w:noProof/>
              </w:rPr>
              <w:t>700 000</w:t>
            </w:r>
          </w:p>
        </w:tc>
        <w:tc>
          <w:tcPr>
            <w:tcW w:w="843" w:type="dxa"/>
            <w:shd w:val="clear" w:color="auto" w:fill="C6EFCE"/>
            <w:noWrap/>
            <w:vAlign w:val="center"/>
          </w:tcPr>
          <w:p w14:paraId="76EAF375" w14:textId="795996D0" w:rsidR="004C6421" w:rsidRDefault="00CC179E">
            <w:pPr>
              <w:pStyle w:val="P68B1DB1-Normal4"/>
              <w:jc w:val="center"/>
              <w:rPr>
                <w:rFonts w:cs="Arial"/>
                <w:noProof/>
              </w:rPr>
            </w:pPr>
            <w:r>
              <w:rPr>
                <w:noProof/>
              </w:rPr>
              <w:t>KW. 4</w:t>
            </w:r>
          </w:p>
        </w:tc>
        <w:tc>
          <w:tcPr>
            <w:tcW w:w="567" w:type="dxa"/>
            <w:shd w:val="clear" w:color="auto" w:fill="C6EFCE"/>
            <w:noWrap/>
            <w:vAlign w:val="center"/>
          </w:tcPr>
          <w:p w14:paraId="2E8AB628" w14:textId="77777777" w:rsidR="004C6421" w:rsidRDefault="009D1962">
            <w:pPr>
              <w:pStyle w:val="P68B1DB1-Normal4"/>
              <w:jc w:val="center"/>
              <w:rPr>
                <w:rFonts w:cs="Arial"/>
                <w:noProof/>
              </w:rPr>
            </w:pPr>
            <w:r>
              <w:rPr>
                <w:noProof/>
              </w:rPr>
              <w:t>2025</w:t>
            </w:r>
          </w:p>
        </w:tc>
        <w:tc>
          <w:tcPr>
            <w:tcW w:w="2977" w:type="dxa"/>
            <w:shd w:val="clear" w:color="auto" w:fill="C6EFCE"/>
            <w:noWrap/>
            <w:vAlign w:val="center"/>
          </w:tcPr>
          <w:p w14:paraId="1A7AF0AE" w14:textId="77777777" w:rsidR="004C6421" w:rsidRDefault="009D1962">
            <w:pPr>
              <w:pStyle w:val="P68B1DB1-Normal4"/>
              <w:rPr>
                <w:rFonts w:cs="Arial"/>
                <w:noProof/>
              </w:rPr>
            </w:pPr>
            <w:r>
              <w:rPr>
                <w:noProof/>
              </w:rPr>
              <w:t>Co najmniej 700000 inicjatyw w zakresie edukacji cyfrowej lub ułatwień z udziałem obywateli zapewnianych przez organizacje zarejestrowane w krajowym rejestrze organizacji powszechnych służby cywilnej.</w:t>
            </w:r>
          </w:p>
        </w:tc>
      </w:tr>
      <w:tr w:rsidR="004C6421" w14:paraId="5123C56F" w14:textId="77777777">
        <w:trPr>
          <w:trHeight w:val="309"/>
        </w:trPr>
        <w:tc>
          <w:tcPr>
            <w:tcW w:w="1253" w:type="dxa"/>
            <w:shd w:val="clear" w:color="auto" w:fill="C6EFCE"/>
            <w:noWrap/>
            <w:vAlign w:val="center"/>
          </w:tcPr>
          <w:p w14:paraId="573DB0C6" w14:textId="77777777" w:rsidR="004C6421" w:rsidRDefault="009D1962">
            <w:pPr>
              <w:pStyle w:val="P68B1DB1-Normal4"/>
              <w:jc w:val="center"/>
              <w:rPr>
                <w:rFonts w:cs="Arial"/>
                <w:noProof/>
              </w:rPr>
            </w:pPr>
            <w:r>
              <w:rPr>
                <w:noProof/>
              </w:rPr>
              <w:t>M1C1-25</w:t>
            </w:r>
          </w:p>
        </w:tc>
        <w:tc>
          <w:tcPr>
            <w:tcW w:w="1568" w:type="dxa"/>
            <w:shd w:val="clear" w:color="auto" w:fill="C6EFCE"/>
            <w:noWrap/>
            <w:vAlign w:val="center"/>
          </w:tcPr>
          <w:p w14:paraId="74B3741E" w14:textId="77777777" w:rsidR="004C6421" w:rsidRDefault="009D1962">
            <w:pPr>
              <w:pStyle w:val="P68B1DB1-Normal4"/>
              <w:jc w:val="center"/>
              <w:rPr>
                <w:rFonts w:cs="Arial"/>
                <w:noProof/>
              </w:rPr>
            </w:pPr>
            <w:r>
              <w:rPr>
                <w:noProof/>
              </w:rPr>
              <w:t>Inwestycje 1.6.6: Cyfryzacja policji finansowej</w:t>
            </w:r>
          </w:p>
        </w:tc>
        <w:tc>
          <w:tcPr>
            <w:tcW w:w="1148" w:type="dxa"/>
            <w:shd w:val="clear" w:color="auto" w:fill="C6EFCE"/>
            <w:noWrap/>
            <w:vAlign w:val="center"/>
          </w:tcPr>
          <w:p w14:paraId="237A9B16" w14:textId="7CFB917C" w:rsidR="004C6421" w:rsidRDefault="00CC179E">
            <w:pPr>
              <w:pStyle w:val="P68B1DB1-Normal4"/>
              <w:jc w:val="center"/>
              <w:rPr>
                <w:rFonts w:cs="Arial"/>
                <w:noProof/>
              </w:rPr>
            </w:pPr>
            <w:r>
              <w:rPr>
                <w:noProof/>
              </w:rPr>
              <w:t>Milowy</w:t>
            </w:r>
          </w:p>
        </w:tc>
        <w:tc>
          <w:tcPr>
            <w:tcW w:w="1470" w:type="dxa"/>
            <w:shd w:val="clear" w:color="auto" w:fill="C6EFCE"/>
            <w:noWrap/>
            <w:vAlign w:val="center"/>
          </w:tcPr>
          <w:p w14:paraId="319C5BF5" w14:textId="77777777" w:rsidR="004C6421" w:rsidRDefault="009D1962">
            <w:pPr>
              <w:pStyle w:val="P68B1DB1-Normal4"/>
              <w:jc w:val="center"/>
              <w:rPr>
                <w:rFonts w:cs="Arial"/>
                <w:noProof/>
              </w:rPr>
            </w:pPr>
            <w:r>
              <w:rPr>
                <w:noProof/>
              </w:rPr>
              <w:t>Rozwój operacyjnych systemów informacyjnych wykorzystywanych do zwalczania przestępczości gospodarczej</w:t>
            </w:r>
          </w:p>
        </w:tc>
        <w:tc>
          <w:tcPr>
            <w:tcW w:w="1701" w:type="dxa"/>
            <w:shd w:val="clear" w:color="auto" w:fill="C6EFCE"/>
            <w:noWrap/>
            <w:vAlign w:val="center"/>
          </w:tcPr>
          <w:p w14:paraId="56808BFC" w14:textId="77777777" w:rsidR="004C6421" w:rsidRDefault="009D1962">
            <w:pPr>
              <w:pStyle w:val="P68B1DB1-Normal4"/>
              <w:jc w:val="center"/>
              <w:rPr>
                <w:rFonts w:cs="Arial"/>
                <w:noProof/>
              </w:rPr>
            </w:pPr>
            <w:r>
              <w:rPr>
                <w:noProof/>
              </w:rPr>
              <w:t>Poprawa systemów informatycznych pod względem nowych funkcji, wydajności i doświadczenia użytkowników</w:t>
            </w:r>
          </w:p>
        </w:tc>
        <w:tc>
          <w:tcPr>
            <w:tcW w:w="1134" w:type="dxa"/>
            <w:shd w:val="clear" w:color="auto" w:fill="C6EFCE"/>
            <w:noWrap/>
            <w:vAlign w:val="center"/>
          </w:tcPr>
          <w:p w14:paraId="1C87356A" w14:textId="77777777" w:rsidR="004C6421" w:rsidRDefault="009D1962">
            <w:pPr>
              <w:pStyle w:val="P68B1DB1-Normal4"/>
              <w:jc w:val="center"/>
              <w:rPr>
                <w:rFonts w:cs="Arial"/>
                <w:noProof/>
              </w:rPr>
            </w:pPr>
            <w:r>
              <w:rPr>
                <w:noProof/>
              </w:rPr>
              <w:t>NIE DOT.</w:t>
            </w:r>
          </w:p>
        </w:tc>
        <w:tc>
          <w:tcPr>
            <w:tcW w:w="1417" w:type="dxa"/>
            <w:shd w:val="clear" w:color="auto" w:fill="C6EFCE"/>
            <w:noWrap/>
            <w:vAlign w:val="center"/>
          </w:tcPr>
          <w:p w14:paraId="0A18E872" w14:textId="77777777" w:rsidR="004C6421" w:rsidRDefault="009D1962">
            <w:pPr>
              <w:pStyle w:val="P68B1DB1-Normal4"/>
              <w:jc w:val="center"/>
              <w:rPr>
                <w:rFonts w:cs="Arial"/>
                <w:noProof/>
              </w:rPr>
            </w:pPr>
            <w:r>
              <w:rPr>
                <w:noProof/>
              </w:rPr>
              <w:t>NIE DOT.</w:t>
            </w:r>
          </w:p>
        </w:tc>
        <w:tc>
          <w:tcPr>
            <w:tcW w:w="1425" w:type="dxa"/>
            <w:shd w:val="clear" w:color="auto" w:fill="C6EFCE"/>
            <w:noWrap/>
            <w:vAlign w:val="center"/>
          </w:tcPr>
          <w:p w14:paraId="789A1515" w14:textId="77777777" w:rsidR="004C6421" w:rsidRDefault="009D1962">
            <w:pPr>
              <w:pStyle w:val="P68B1DB1-Normal4"/>
              <w:jc w:val="center"/>
              <w:rPr>
                <w:rFonts w:cs="Arial"/>
                <w:noProof/>
              </w:rPr>
            </w:pPr>
            <w:r>
              <w:rPr>
                <w:noProof/>
              </w:rPr>
              <w:t>NIE DOT.</w:t>
            </w:r>
          </w:p>
        </w:tc>
        <w:tc>
          <w:tcPr>
            <w:tcW w:w="843" w:type="dxa"/>
            <w:shd w:val="clear" w:color="auto" w:fill="C6EFCE"/>
            <w:noWrap/>
            <w:vAlign w:val="center"/>
          </w:tcPr>
          <w:p w14:paraId="4A27C542" w14:textId="77777777" w:rsidR="004C6421" w:rsidRDefault="009D1962">
            <w:pPr>
              <w:pStyle w:val="P68B1DB1-Normal4"/>
              <w:jc w:val="center"/>
              <w:rPr>
                <w:rFonts w:cs="Arial"/>
                <w:noProof/>
              </w:rPr>
            </w:pPr>
            <w:r>
              <w:rPr>
                <w:noProof/>
              </w:rPr>
              <w:t>II KW.</w:t>
            </w:r>
          </w:p>
        </w:tc>
        <w:tc>
          <w:tcPr>
            <w:tcW w:w="567" w:type="dxa"/>
            <w:shd w:val="clear" w:color="auto" w:fill="C6EFCE"/>
            <w:noWrap/>
            <w:vAlign w:val="center"/>
          </w:tcPr>
          <w:p w14:paraId="72C74DEA" w14:textId="77777777" w:rsidR="004C6421" w:rsidRDefault="009D1962">
            <w:pPr>
              <w:pStyle w:val="P68B1DB1-Normal4"/>
              <w:jc w:val="center"/>
              <w:rPr>
                <w:rFonts w:cs="Arial"/>
                <w:noProof/>
              </w:rPr>
            </w:pPr>
            <w:r>
              <w:rPr>
                <w:noProof/>
              </w:rPr>
              <w:t>2025</w:t>
            </w:r>
          </w:p>
        </w:tc>
        <w:tc>
          <w:tcPr>
            <w:tcW w:w="2977" w:type="dxa"/>
            <w:shd w:val="clear" w:color="auto" w:fill="C6EFCE"/>
            <w:noWrap/>
            <w:vAlign w:val="center"/>
          </w:tcPr>
          <w:p w14:paraId="6304FB26" w14:textId="77777777" w:rsidR="004C6421" w:rsidRDefault="009D1962">
            <w:pPr>
              <w:pStyle w:val="P68B1DB1-Normal4"/>
              <w:rPr>
                <w:rFonts w:cs="Arial"/>
                <w:noProof/>
              </w:rPr>
            </w:pPr>
            <w:r>
              <w:rPr>
                <w:noProof/>
              </w:rPr>
              <w:t>Stopniowe udostępnianie (w ujęciu rocznym) nowych funkcji operacyjnych systemów informacyjnych w celu zapewnienia ich aktualności zgodnie z szybko zmieniającymi się scenariuszami prawnymi, również związanymi z sytuacją pandemiczną.</w:t>
            </w:r>
          </w:p>
        </w:tc>
      </w:tr>
      <w:tr w:rsidR="004C6421" w14:paraId="320E5FBB" w14:textId="77777777">
        <w:trPr>
          <w:trHeight w:val="309"/>
        </w:trPr>
        <w:tc>
          <w:tcPr>
            <w:tcW w:w="1253" w:type="dxa"/>
            <w:shd w:val="clear" w:color="auto" w:fill="C6EFCE"/>
            <w:noWrap/>
            <w:vAlign w:val="center"/>
            <w:hideMark/>
          </w:tcPr>
          <w:p w14:paraId="645A0AFD" w14:textId="77777777" w:rsidR="004C6421" w:rsidRDefault="009D1962">
            <w:pPr>
              <w:pStyle w:val="P68B1DB1-Normal4"/>
              <w:jc w:val="center"/>
              <w:rPr>
                <w:rFonts w:cs="Arial"/>
                <w:noProof/>
              </w:rPr>
            </w:pPr>
            <w:r>
              <w:rPr>
                <w:noProof/>
              </w:rPr>
              <w:t>M1C1-26</w:t>
            </w:r>
          </w:p>
        </w:tc>
        <w:tc>
          <w:tcPr>
            <w:tcW w:w="1568" w:type="dxa"/>
            <w:shd w:val="clear" w:color="auto" w:fill="C6EFCE"/>
            <w:noWrap/>
            <w:vAlign w:val="center"/>
            <w:hideMark/>
          </w:tcPr>
          <w:p w14:paraId="6D6479AD" w14:textId="77777777" w:rsidR="004C6421" w:rsidRDefault="009D1962">
            <w:pPr>
              <w:pStyle w:val="P68B1DB1-Normal4"/>
              <w:jc w:val="center"/>
              <w:rPr>
                <w:rFonts w:cs="Arial"/>
                <w:noProof/>
              </w:rPr>
            </w:pPr>
            <w:r>
              <w:rPr>
                <w:noProof/>
              </w:rPr>
              <w:t>Inwestycje 1.1: Infrastruktura cyfrowa</w:t>
            </w:r>
          </w:p>
        </w:tc>
        <w:tc>
          <w:tcPr>
            <w:tcW w:w="1148" w:type="dxa"/>
            <w:shd w:val="clear" w:color="auto" w:fill="C6EFCE"/>
            <w:noWrap/>
            <w:vAlign w:val="center"/>
            <w:hideMark/>
          </w:tcPr>
          <w:p w14:paraId="429CE605" w14:textId="77777777" w:rsidR="004C6421" w:rsidRDefault="009D1962">
            <w:pPr>
              <w:pStyle w:val="P68B1DB1-Normal4"/>
              <w:jc w:val="center"/>
              <w:rPr>
                <w:rFonts w:cs="Arial"/>
                <w:noProof/>
              </w:rPr>
            </w:pPr>
            <w:r>
              <w:rPr>
                <w:noProof/>
              </w:rPr>
              <w:t>Cel</w:t>
            </w:r>
          </w:p>
        </w:tc>
        <w:tc>
          <w:tcPr>
            <w:tcW w:w="1470" w:type="dxa"/>
            <w:shd w:val="clear" w:color="auto" w:fill="C6EFCE"/>
            <w:noWrap/>
            <w:vAlign w:val="center"/>
            <w:hideMark/>
          </w:tcPr>
          <w:p w14:paraId="1831378B" w14:textId="77777777" w:rsidR="004C6421" w:rsidRDefault="009D1962">
            <w:pPr>
              <w:pStyle w:val="P68B1DB1-Normal4"/>
              <w:jc w:val="center"/>
              <w:rPr>
                <w:rFonts w:cs="Arial"/>
                <w:noProof/>
              </w:rPr>
            </w:pPr>
            <w:r>
              <w:rPr>
                <w:noProof/>
              </w:rPr>
              <w:t>Migracja do Polo Strategico Nazionale T2</w:t>
            </w:r>
          </w:p>
        </w:tc>
        <w:tc>
          <w:tcPr>
            <w:tcW w:w="1701" w:type="dxa"/>
            <w:shd w:val="clear" w:color="auto" w:fill="C6EFCE"/>
            <w:noWrap/>
            <w:vAlign w:val="center"/>
            <w:hideMark/>
          </w:tcPr>
          <w:p w14:paraId="332C8E4A" w14:textId="77777777" w:rsidR="004C6421" w:rsidRDefault="009D1962">
            <w:pPr>
              <w:pStyle w:val="P68B1DB1-Normal4"/>
              <w:jc w:val="center"/>
              <w:rPr>
                <w:rFonts w:cs="Arial"/>
                <w:noProof/>
              </w:rPr>
            </w:pPr>
            <w:r>
              <w:rPr>
                <w:noProof/>
              </w:rPr>
              <w:t>NIE DOT.</w:t>
            </w:r>
          </w:p>
        </w:tc>
        <w:tc>
          <w:tcPr>
            <w:tcW w:w="1134" w:type="dxa"/>
            <w:shd w:val="clear" w:color="auto" w:fill="C6EFCE"/>
            <w:noWrap/>
            <w:vAlign w:val="center"/>
            <w:hideMark/>
          </w:tcPr>
          <w:p w14:paraId="4F5B689A" w14:textId="77777777" w:rsidR="004C6421" w:rsidRDefault="009D1962">
            <w:pPr>
              <w:pStyle w:val="P68B1DB1-Normal4"/>
              <w:jc w:val="center"/>
              <w:rPr>
                <w:rFonts w:cs="Arial"/>
                <w:noProof/>
              </w:rPr>
            </w:pPr>
            <w:r>
              <w:rPr>
                <w:noProof/>
              </w:rPr>
              <w:t>Numer</w:t>
            </w:r>
          </w:p>
        </w:tc>
        <w:tc>
          <w:tcPr>
            <w:tcW w:w="1417" w:type="dxa"/>
            <w:shd w:val="clear" w:color="auto" w:fill="C6EFCE"/>
            <w:noWrap/>
            <w:vAlign w:val="center"/>
            <w:hideMark/>
          </w:tcPr>
          <w:p w14:paraId="00C8ACDF" w14:textId="77777777" w:rsidR="004C6421" w:rsidRDefault="009D1962">
            <w:pPr>
              <w:pStyle w:val="P68B1DB1-Normal4"/>
              <w:jc w:val="center"/>
              <w:rPr>
                <w:rFonts w:cs="Arial"/>
                <w:noProof/>
              </w:rPr>
            </w:pPr>
            <w:r>
              <w:rPr>
                <w:noProof/>
              </w:rPr>
              <w:t>100</w:t>
            </w:r>
          </w:p>
        </w:tc>
        <w:tc>
          <w:tcPr>
            <w:tcW w:w="1425" w:type="dxa"/>
            <w:shd w:val="clear" w:color="auto" w:fill="C6EFCE"/>
            <w:noWrap/>
            <w:vAlign w:val="center"/>
            <w:hideMark/>
          </w:tcPr>
          <w:p w14:paraId="2D9CA115" w14:textId="77777777" w:rsidR="004C6421" w:rsidRDefault="009D1962">
            <w:pPr>
              <w:pStyle w:val="P68B1DB1-Normal4"/>
              <w:jc w:val="center"/>
              <w:rPr>
                <w:rFonts w:cs="Arial"/>
                <w:noProof/>
              </w:rPr>
            </w:pPr>
            <w:r>
              <w:rPr>
                <w:noProof/>
              </w:rPr>
              <w:t>280</w:t>
            </w:r>
          </w:p>
        </w:tc>
        <w:tc>
          <w:tcPr>
            <w:tcW w:w="843" w:type="dxa"/>
            <w:shd w:val="clear" w:color="auto" w:fill="C6EFCE"/>
            <w:noWrap/>
            <w:vAlign w:val="center"/>
            <w:hideMark/>
          </w:tcPr>
          <w:p w14:paraId="6CDC73B3" w14:textId="77777777" w:rsidR="004C6421" w:rsidRDefault="009D1962">
            <w:pPr>
              <w:pStyle w:val="P68B1DB1-Normal4"/>
              <w:jc w:val="center"/>
              <w:rPr>
                <w:rFonts w:cs="Arial"/>
                <w:noProof/>
              </w:rPr>
            </w:pPr>
            <w:r>
              <w:rPr>
                <w:noProof/>
              </w:rPr>
              <w:t>II KW.</w:t>
            </w:r>
          </w:p>
        </w:tc>
        <w:tc>
          <w:tcPr>
            <w:tcW w:w="567" w:type="dxa"/>
            <w:shd w:val="clear" w:color="auto" w:fill="C6EFCE"/>
            <w:noWrap/>
            <w:vAlign w:val="center"/>
            <w:hideMark/>
          </w:tcPr>
          <w:p w14:paraId="604F93E6" w14:textId="77777777" w:rsidR="004C6421" w:rsidRDefault="009D1962">
            <w:pPr>
              <w:pStyle w:val="P68B1DB1-Normal4"/>
              <w:jc w:val="center"/>
              <w:rPr>
                <w:rFonts w:cs="Arial"/>
                <w:noProof/>
              </w:rPr>
            </w:pPr>
            <w:r>
              <w:rPr>
                <w:noProof/>
              </w:rPr>
              <w:t>2026</w:t>
            </w:r>
          </w:p>
        </w:tc>
        <w:tc>
          <w:tcPr>
            <w:tcW w:w="2977" w:type="dxa"/>
            <w:shd w:val="clear" w:color="auto" w:fill="C6EFCE"/>
            <w:noWrap/>
            <w:vAlign w:val="center"/>
            <w:hideMark/>
          </w:tcPr>
          <w:p w14:paraId="67E9B625" w14:textId="77777777" w:rsidR="004C6421" w:rsidRDefault="009D1962">
            <w:pPr>
              <w:pStyle w:val="P68B1DB1-Normal6"/>
              <w:spacing w:after="120"/>
              <w:rPr>
                <w:rFonts w:cs="Arial"/>
                <w:noProof/>
                <w:color w:val="006100"/>
              </w:rPr>
            </w:pPr>
            <w:r>
              <w:rPr>
                <w:noProof/>
                <w:color w:val="006100"/>
              </w:rPr>
              <w:t>Co najmniej 280 centralnych administracji publicznych i lokalnych organów opieki zdrowotnej (Aziende Sanitarie Locali/Aziende Ospedaliere) migrowało do „Polo Strategico Nazionale”</w:t>
            </w:r>
            <w:r>
              <w:rPr>
                <w:noProof/>
              </w:rPr>
              <w:t xml:space="preserve"> </w:t>
            </w:r>
            <w:r>
              <w:rPr>
                <w:noProof/>
                <w:color w:val="006100"/>
              </w:rPr>
              <w:t xml:space="preserve">zgodnie z planem migracji zatwierdzonym przez Departament Transformacji Cyfrowej. </w:t>
            </w:r>
          </w:p>
          <w:p w14:paraId="0BFD903F" w14:textId="77777777" w:rsidR="004C6421" w:rsidRDefault="009D1962">
            <w:pPr>
              <w:pStyle w:val="P68B1DB1-Normal4"/>
              <w:spacing w:after="120"/>
              <w:rPr>
                <w:rFonts w:cs="Arial"/>
                <w:noProof/>
              </w:rPr>
            </w:pPr>
            <w:r>
              <w:rPr>
                <w:noProof/>
              </w:rPr>
              <w:t xml:space="preserve">Migracja do Polo Strategico Nazionale może być realizowana na różne sposoby, zgodnie z aktualnym stanem wiedzy w zakresie architektury informatycznej oprogramowania znajdującej się w posiadaniu każdej migrującej administracji publicznej. </w:t>
            </w:r>
          </w:p>
          <w:p w14:paraId="19937C75" w14:textId="77777777" w:rsidR="004C6421" w:rsidRDefault="009D1962">
            <w:pPr>
              <w:pStyle w:val="P68B1DB1-Normal4"/>
              <w:spacing w:after="120"/>
              <w:rPr>
                <w:rFonts w:cs="Arial"/>
                <w:noProof/>
              </w:rPr>
            </w:pPr>
            <w:r>
              <w:rPr>
                <w:noProof/>
              </w:rPr>
              <w:t xml:space="preserve">Strategie te mogą się różnić od migracji czysto hostingowej i podnośnikowej i zmianowej w przypadku oprogramowania nieprzystosowanego do chmury po przejście do infrastruktury jako usługi (IaaS), platformy jako usługi (PaaS) lub oprogramowania jako usługi (SaaS) w przypadku oprogramowania gotowego do przetwarzania w chmurze. </w:t>
            </w:r>
          </w:p>
          <w:p w14:paraId="4A1A577D" w14:textId="77777777" w:rsidR="004C6421" w:rsidRDefault="009D1962">
            <w:pPr>
              <w:pStyle w:val="P68B1DB1-Normal4"/>
              <w:spacing w:after="120"/>
              <w:rPr>
                <w:rFonts w:cs="Arial"/>
                <w:noProof/>
              </w:rPr>
            </w:pPr>
            <w:r>
              <w:rPr>
                <w:noProof/>
              </w:rPr>
              <w:t>Co najmniej 40 % migrujących usług wdraża się za pośrednictwem rozwiązań IaaS, PaaS lub SaaS.</w:t>
            </w:r>
          </w:p>
          <w:p w14:paraId="6F9B3F15" w14:textId="77777777" w:rsidR="004C6421" w:rsidRDefault="009D1962">
            <w:pPr>
              <w:pStyle w:val="P68B1DB1-Normal4"/>
              <w:spacing w:after="120"/>
              <w:rPr>
                <w:rFonts w:cs="Arial"/>
                <w:noProof/>
              </w:rPr>
            </w:pPr>
            <w:r>
              <w:rPr>
                <w:noProof/>
              </w:rPr>
              <w:t>PSN oferuje każdej migrującej administracji publicznej wszystkie strategie migracyjne, które kwalifikują się do uwzględnienia osiągniętego celu „migracji do Polo Strategico Nazionale”.</w:t>
            </w:r>
          </w:p>
          <w:p w14:paraId="31CFFF51" w14:textId="77777777" w:rsidR="004C6421" w:rsidRDefault="009D1962">
            <w:pPr>
              <w:pStyle w:val="P68B1DB1-Normal4"/>
              <w:spacing w:after="120"/>
              <w:rPr>
                <w:rFonts w:cs="Arial"/>
                <w:noProof/>
              </w:rPr>
            </w:pPr>
            <w:r>
              <w:rPr>
                <w:noProof/>
              </w:rPr>
              <w:t>Całkowita liczba organów administracji publicznej „objętych zakresem” obejmuje:</w:t>
            </w:r>
          </w:p>
          <w:p w14:paraId="1382957A" w14:textId="77777777" w:rsidR="004C6421" w:rsidRDefault="009D1962">
            <w:pPr>
              <w:pStyle w:val="P68B1DB1-Normal4"/>
              <w:spacing w:after="120"/>
              <w:rPr>
                <w:rFonts w:cs="Arial"/>
                <w:noProof/>
              </w:rPr>
            </w:pPr>
            <w:r>
              <w:rPr>
                <w:noProof/>
              </w:rPr>
              <w:t>• Centralne administracje publiczne, które odpowiadają za największą część wydatków na technologie informacyjno-komunikacyjne (ICT) (takie jak Krajowy Instytut Zabezpieczenia Społecznego, Ministerstwo Sprawiedliwości);</w:t>
            </w:r>
          </w:p>
          <w:p w14:paraId="13AD3500" w14:textId="77777777" w:rsidR="004C6421" w:rsidRDefault="009D1962">
            <w:pPr>
              <w:pStyle w:val="P68B1DB1-Normal4"/>
              <w:spacing w:after="120"/>
              <w:rPr>
                <w:rFonts w:cs="Arial"/>
                <w:noProof/>
              </w:rPr>
            </w:pPr>
            <w:r>
              <w:rPr>
                <w:noProof/>
              </w:rPr>
              <w:t>• Centralne administracje publiczne przechowujące dane w przestarzałych centrach danych, zgodnie z ostatnim badaniem dotyczącym gotowości do korzystania z chmury obliczeniowej;</w:t>
            </w:r>
          </w:p>
          <w:p w14:paraId="76D70602" w14:textId="77777777" w:rsidR="004C6421" w:rsidRDefault="009D1962">
            <w:pPr>
              <w:pStyle w:val="P68B1DB1-Normal4"/>
              <w:spacing w:after="120"/>
              <w:rPr>
                <w:rFonts w:cs="Arial"/>
                <w:noProof/>
              </w:rPr>
            </w:pPr>
            <w:r>
              <w:rPr>
                <w:noProof/>
              </w:rPr>
              <w:t>• Lokalne organy opieki zdrowotnej (Aziende Sanitarie Locali/Aziende Ospedaliere) zlokalizowane głównie w środkowych i południowych Włoszech, które nie posiadają odpowiedniej infrastruktury zapewniającej bezpieczeństwo danych.</w:t>
            </w:r>
          </w:p>
        </w:tc>
      </w:tr>
      <w:tr w:rsidR="004C6421" w14:paraId="43AC3616" w14:textId="77777777">
        <w:trPr>
          <w:trHeight w:val="309"/>
        </w:trPr>
        <w:tc>
          <w:tcPr>
            <w:tcW w:w="1253" w:type="dxa"/>
            <w:shd w:val="clear" w:color="auto" w:fill="C6EFCE"/>
            <w:noWrap/>
            <w:vAlign w:val="center"/>
          </w:tcPr>
          <w:p w14:paraId="6C7B5D13" w14:textId="77777777" w:rsidR="004C6421" w:rsidRDefault="009D1962">
            <w:pPr>
              <w:pStyle w:val="P68B1DB1-Normal4"/>
              <w:jc w:val="center"/>
              <w:rPr>
                <w:rFonts w:cs="Arial"/>
                <w:noProof/>
              </w:rPr>
            </w:pPr>
            <w:r>
              <w:rPr>
                <w:noProof/>
              </w:rPr>
              <w:t>M1C1-27</w:t>
            </w:r>
          </w:p>
        </w:tc>
        <w:tc>
          <w:tcPr>
            <w:tcW w:w="1568" w:type="dxa"/>
            <w:shd w:val="clear" w:color="auto" w:fill="C6EFCE"/>
            <w:noWrap/>
            <w:vAlign w:val="center"/>
          </w:tcPr>
          <w:p w14:paraId="53AEA16E" w14:textId="77777777" w:rsidR="004C6421" w:rsidRDefault="009D1962">
            <w:pPr>
              <w:pStyle w:val="P68B1DB1-Normal4"/>
              <w:jc w:val="center"/>
              <w:rPr>
                <w:rFonts w:cs="Arial"/>
                <w:noProof/>
              </w:rPr>
            </w:pPr>
            <w:r>
              <w:rPr>
                <w:noProof/>
              </w:rPr>
              <w:t>Inwestycja 1.3.1: Krajowa platforma danych cyfrowych</w:t>
            </w:r>
          </w:p>
        </w:tc>
        <w:tc>
          <w:tcPr>
            <w:tcW w:w="1148" w:type="dxa"/>
            <w:shd w:val="clear" w:color="auto" w:fill="C6EFCE"/>
            <w:noWrap/>
            <w:vAlign w:val="center"/>
          </w:tcPr>
          <w:p w14:paraId="6D73D8CB" w14:textId="77777777" w:rsidR="004C6421" w:rsidRDefault="009D1962">
            <w:pPr>
              <w:pStyle w:val="P68B1DB1-Normal4"/>
              <w:jc w:val="center"/>
              <w:rPr>
                <w:rFonts w:cs="Arial"/>
                <w:noProof/>
              </w:rPr>
            </w:pPr>
            <w:r>
              <w:rPr>
                <w:noProof/>
              </w:rPr>
              <w:t>Cel</w:t>
            </w:r>
          </w:p>
        </w:tc>
        <w:tc>
          <w:tcPr>
            <w:tcW w:w="1470" w:type="dxa"/>
            <w:shd w:val="clear" w:color="auto" w:fill="C6EFCE"/>
            <w:noWrap/>
            <w:vAlign w:val="center"/>
          </w:tcPr>
          <w:p w14:paraId="1050C9CD" w14:textId="77777777" w:rsidR="004C6421" w:rsidRDefault="009D1962">
            <w:pPr>
              <w:pStyle w:val="P68B1DB1-Normal4"/>
              <w:jc w:val="center"/>
              <w:rPr>
                <w:rFonts w:cs="Arial"/>
                <w:noProof/>
              </w:rPr>
            </w:pPr>
            <w:r>
              <w:rPr>
                <w:noProof/>
              </w:rPr>
              <w:t>API w krajowej platformie danych cyfrowych T2</w:t>
            </w:r>
          </w:p>
        </w:tc>
        <w:tc>
          <w:tcPr>
            <w:tcW w:w="1701" w:type="dxa"/>
            <w:shd w:val="clear" w:color="auto" w:fill="C6EFCE"/>
            <w:noWrap/>
            <w:vAlign w:val="center"/>
          </w:tcPr>
          <w:p w14:paraId="065A803D" w14:textId="77777777" w:rsidR="004C6421" w:rsidRDefault="009D1962">
            <w:pPr>
              <w:pStyle w:val="P68B1DB1-Normal4"/>
              <w:jc w:val="center"/>
              <w:rPr>
                <w:rFonts w:cs="Arial"/>
                <w:noProof/>
              </w:rPr>
            </w:pPr>
            <w:r>
              <w:rPr>
                <w:noProof/>
              </w:rPr>
              <w:t>NIE DOT.</w:t>
            </w:r>
          </w:p>
        </w:tc>
        <w:tc>
          <w:tcPr>
            <w:tcW w:w="1134" w:type="dxa"/>
            <w:shd w:val="clear" w:color="auto" w:fill="C6EFCE"/>
            <w:noWrap/>
            <w:vAlign w:val="center"/>
          </w:tcPr>
          <w:p w14:paraId="58F65191" w14:textId="77777777" w:rsidR="004C6421" w:rsidRDefault="009D1962">
            <w:pPr>
              <w:pStyle w:val="P68B1DB1-Normal4"/>
              <w:jc w:val="center"/>
              <w:rPr>
                <w:rFonts w:cs="Arial"/>
                <w:noProof/>
              </w:rPr>
            </w:pPr>
            <w:r>
              <w:rPr>
                <w:noProof/>
              </w:rPr>
              <w:t>Numer</w:t>
            </w:r>
          </w:p>
        </w:tc>
        <w:tc>
          <w:tcPr>
            <w:tcW w:w="1417" w:type="dxa"/>
            <w:shd w:val="clear" w:color="auto" w:fill="C6EFCE"/>
            <w:noWrap/>
            <w:vAlign w:val="center"/>
          </w:tcPr>
          <w:p w14:paraId="7CA4045C" w14:textId="77777777" w:rsidR="004C6421" w:rsidRDefault="009D1962">
            <w:pPr>
              <w:pStyle w:val="P68B1DB1-Normal4"/>
              <w:jc w:val="center"/>
              <w:rPr>
                <w:rFonts w:cs="Arial"/>
                <w:noProof/>
              </w:rPr>
            </w:pPr>
            <w:r>
              <w:rPr>
                <w:noProof/>
              </w:rPr>
              <w:t>400</w:t>
            </w:r>
          </w:p>
        </w:tc>
        <w:tc>
          <w:tcPr>
            <w:tcW w:w="1425" w:type="dxa"/>
            <w:shd w:val="clear" w:color="auto" w:fill="C6EFCE"/>
            <w:noWrap/>
            <w:vAlign w:val="center"/>
          </w:tcPr>
          <w:p w14:paraId="3B4831B6" w14:textId="77777777" w:rsidR="004C6421" w:rsidRDefault="009D1962">
            <w:pPr>
              <w:pStyle w:val="P68B1DB1-Normal4"/>
              <w:jc w:val="center"/>
              <w:rPr>
                <w:rFonts w:cs="Arial"/>
                <w:noProof/>
              </w:rPr>
            </w:pPr>
            <w:r>
              <w:rPr>
                <w:noProof/>
              </w:rPr>
              <w:t>1 000</w:t>
            </w:r>
          </w:p>
        </w:tc>
        <w:tc>
          <w:tcPr>
            <w:tcW w:w="843" w:type="dxa"/>
            <w:shd w:val="clear" w:color="auto" w:fill="C6EFCE"/>
            <w:noWrap/>
            <w:vAlign w:val="center"/>
          </w:tcPr>
          <w:p w14:paraId="5BA7E95C" w14:textId="77777777" w:rsidR="004C6421" w:rsidRDefault="009D1962">
            <w:pPr>
              <w:pStyle w:val="P68B1DB1-Normal4"/>
              <w:jc w:val="center"/>
              <w:rPr>
                <w:rFonts w:cs="Arial"/>
                <w:noProof/>
              </w:rPr>
            </w:pPr>
            <w:r>
              <w:rPr>
                <w:noProof/>
              </w:rPr>
              <w:t>II KW.</w:t>
            </w:r>
          </w:p>
        </w:tc>
        <w:tc>
          <w:tcPr>
            <w:tcW w:w="567" w:type="dxa"/>
            <w:shd w:val="clear" w:color="auto" w:fill="C6EFCE"/>
            <w:noWrap/>
            <w:vAlign w:val="center"/>
          </w:tcPr>
          <w:p w14:paraId="53B04AE2" w14:textId="77777777" w:rsidR="004C6421" w:rsidRDefault="009D1962">
            <w:pPr>
              <w:pStyle w:val="P68B1DB1-Normal4"/>
              <w:jc w:val="center"/>
              <w:rPr>
                <w:rFonts w:cs="Arial"/>
                <w:noProof/>
              </w:rPr>
            </w:pPr>
            <w:r>
              <w:rPr>
                <w:noProof/>
              </w:rPr>
              <w:t>2026</w:t>
            </w:r>
          </w:p>
        </w:tc>
        <w:tc>
          <w:tcPr>
            <w:tcW w:w="2977" w:type="dxa"/>
            <w:shd w:val="clear" w:color="auto" w:fill="C6EFCE"/>
            <w:noWrap/>
            <w:vAlign w:val="center"/>
          </w:tcPr>
          <w:p w14:paraId="2D359F7D" w14:textId="77777777" w:rsidR="004C6421" w:rsidRDefault="009D1962">
            <w:pPr>
              <w:pStyle w:val="P68B1DB1-Normal4"/>
              <w:spacing w:after="120"/>
              <w:rPr>
                <w:rFonts w:cs="Arial"/>
                <w:noProof/>
              </w:rPr>
            </w:pPr>
            <w:r>
              <w:rPr>
                <w:noProof/>
              </w:rPr>
              <w:t>Cel ten polega na osiągnięciu co najmniej 600 dodatkowych interfejsów programowania aplikacji (API) opublikowanych w katalogu (łącznie 1000).</w:t>
            </w:r>
          </w:p>
          <w:p w14:paraId="7D343AA6" w14:textId="77777777" w:rsidR="004C6421" w:rsidRDefault="009D1962">
            <w:pPr>
              <w:pStyle w:val="P68B1DB1-Normal4"/>
              <w:spacing w:after="120"/>
              <w:rPr>
                <w:rFonts w:cs="Arial"/>
                <w:noProof/>
              </w:rPr>
            </w:pPr>
            <w:r>
              <w:rPr>
                <w:noProof/>
              </w:rPr>
              <w:t>Opublikowane API mają wpływ na następujące obszary:</w:t>
            </w:r>
          </w:p>
          <w:p w14:paraId="57BAF401" w14:textId="77777777" w:rsidR="004C6421" w:rsidRDefault="009D1962">
            <w:pPr>
              <w:pStyle w:val="P68B1DB1-Normal4"/>
              <w:spacing w:after="120"/>
              <w:ind w:right="-62"/>
              <w:rPr>
                <w:rFonts w:cs="Arial"/>
                <w:noProof/>
              </w:rPr>
            </w:pPr>
            <w:r>
              <w:rPr>
                <w:noProof/>
              </w:rPr>
              <w:t>(i) do dnia 31 grudnia 2025 r.: procedury publiczne, takie jak rekrutacja, przejście na emeryturę, rekrutacja do szkół i uczelni wyższych (np. krajowy rejestr studentów i rejestr licencji samochodowych);</w:t>
            </w:r>
          </w:p>
          <w:p w14:paraId="3A2FB463" w14:textId="77777777" w:rsidR="004C6421" w:rsidRDefault="009D1962">
            <w:pPr>
              <w:pStyle w:val="P68B1DB1-Normal4"/>
              <w:spacing w:after="120"/>
              <w:ind w:right="-62"/>
              <w:rPr>
                <w:rFonts w:cs="Arial"/>
                <w:noProof/>
              </w:rPr>
            </w:pPr>
            <w:r>
              <w:rPr>
                <w:noProof/>
              </w:rPr>
              <w:t>(II) do dnia 30 czerwca 2026 r.: opieka społeczna, zarządzanie usługami zamówień publicznych, krajowy system informacyjny dotyczący danych medycznych i stanów zagrożenia sanitarnego – taki jak rejestry pacjentów i lekarzy.</w:t>
            </w:r>
          </w:p>
          <w:p w14:paraId="532814A1" w14:textId="77777777" w:rsidR="004C6421" w:rsidRDefault="009D1962">
            <w:pPr>
              <w:pStyle w:val="P68B1DB1-Normal4"/>
              <w:spacing w:after="120"/>
              <w:ind w:right="-62"/>
              <w:rPr>
                <w:rFonts w:cs="Arial"/>
                <w:noProof/>
              </w:rPr>
            </w:pPr>
            <w:r>
              <w:rPr>
                <w:noProof/>
              </w:rPr>
              <w:t>Każde wdrożenie i dokumentacja API są zgodne z krajowymi normami interoperacyjności i wspierają ramy krajowej cyfrowej platformy danych; wspomniana platforma zapewnia funkcje umożliwiające ocenę tej zgodności.</w:t>
            </w:r>
          </w:p>
        </w:tc>
      </w:tr>
      <w:tr w:rsidR="004C6421" w14:paraId="1A9D54AB" w14:textId="77777777">
        <w:trPr>
          <w:trHeight w:val="309"/>
        </w:trPr>
        <w:tc>
          <w:tcPr>
            <w:tcW w:w="1253" w:type="dxa"/>
            <w:shd w:val="clear" w:color="auto" w:fill="C6EFCE"/>
            <w:noWrap/>
            <w:vAlign w:val="center"/>
          </w:tcPr>
          <w:p w14:paraId="40A3BC6A" w14:textId="77777777" w:rsidR="004C6421" w:rsidRDefault="009D1962">
            <w:pPr>
              <w:pStyle w:val="P68B1DB1-Normal4"/>
              <w:jc w:val="center"/>
              <w:rPr>
                <w:rFonts w:cs="Arial"/>
                <w:noProof/>
              </w:rPr>
            </w:pPr>
            <w:r>
              <w:rPr>
                <w:noProof/>
              </w:rPr>
              <w:t>M1C1-28</w:t>
            </w:r>
          </w:p>
        </w:tc>
        <w:tc>
          <w:tcPr>
            <w:tcW w:w="1568" w:type="dxa"/>
            <w:shd w:val="clear" w:color="auto" w:fill="C6EFCE"/>
            <w:noWrap/>
            <w:vAlign w:val="center"/>
          </w:tcPr>
          <w:p w14:paraId="648000DA" w14:textId="77777777" w:rsidR="004C6421" w:rsidRDefault="009D1962">
            <w:pPr>
              <w:pStyle w:val="P68B1DB1-Normal4"/>
              <w:jc w:val="center"/>
              <w:rPr>
                <w:rFonts w:cs="Arial"/>
                <w:noProof/>
              </w:rPr>
            </w:pPr>
            <w:r>
              <w:rPr>
                <w:noProof/>
              </w:rPr>
              <w:t>Inwestycje 1.7.2: Sieć usług ułatwień cyfrowych</w:t>
            </w:r>
          </w:p>
        </w:tc>
        <w:tc>
          <w:tcPr>
            <w:tcW w:w="1148" w:type="dxa"/>
            <w:shd w:val="clear" w:color="auto" w:fill="C6EFCE"/>
            <w:noWrap/>
            <w:vAlign w:val="center"/>
          </w:tcPr>
          <w:p w14:paraId="1DAD9CF0" w14:textId="77777777" w:rsidR="004C6421" w:rsidRDefault="009D1962">
            <w:pPr>
              <w:pStyle w:val="P68B1DB1-Normal4"/>
              <w:jc w:val="center"/>
              <w:rPr>
                <w:rFonts w:cs="Arial"/>
                <w:noProof/>
              </w:rPr>
            </w:pPr>
            <w:r>
              <w:rPr>
                <w:noProof/>
              </w:rPr>
              <w:t>Cel</w:t>
            </w:r>
          </w:p>
        </w:tc>
        <w:tc>
          <w:tcPr>
            <w:tcW w:w="1470" w:type="dxa"/>
            <w:shd w:val="clear" w:color="auto" w:fill="C6EFCE"/>
            <w:noWrap/>
            <w:vAlign w:val="center"/>
          </w:tcPr>
          <w:p w14:paraId="286A72B0" w14:textId="77777777" w:rsidR="004C6421" w:rsidRDefault="009D1962">
            <w:pPr>
              <w:pStyle w:val="P68B1DB1-Normal4"/>
              <w:jc w:val="center"/>
              <w:rPr>
                <w:rFonts w:cs="Arial"/>
                <w:noProof/>
              </w:rPr>
            </w:pPr>
            <w:r>
              <w:rPr>
                <w:noProof/>
              </w:rPr>
              <w:t>Liczba obywateli uczestniczących w nowych inicjatywach w zakresie edukacji cyfrowej lub ułatwień oferowanych przez ośrodki ułatwień cyfrowych</w:t>
            </w:r>
          </w:p>
        </w:tc>
        <w:tc>
          <w:tcPr>
            <w:tcW w:w="1701" w:type="dxa"/>
            <w:shd w:val="clear" w:color="auto" w:fill="C6EFCE"/>
            <w:noWrap/>
            <w:vAlign w:val="center"/>
          </w:tcPr>
          <w:p w14:paraId="16BE9911" w14:textId="77777777" w:rsidR="004C6421" w:rsidRDefault="009D1962">
            <w:pPr>
              <w:pStyle w:val="P68B1DB1-Normal4"/>
              <w:jc w:val="center"/>
              <w:rPr>
                <w:rFonts w:cs="Arial"/>
                <w:noProof/>
              </w:rPr>
            </w:pPr>
            <w:r>
              <w:rPr>
                <w:noProof/>
              </w:rPr>
              <w:t>NIE DOT.</w:t>
            </w:r>
          </w:p>
        </w:tc>
        <w:tc>
          <w:tcPr>
            <w:tcW w:w="1134" w:type="dxa"/>
            <w:shd w:val="clear" w:color="auto" w:fill="C6EFCE"/>
            <w:noWrap/>
            <w:vAlign w:val="center"/>
          </w:tcPr>
          <w:p w14:paraId="2902CD76" w14:textId="77777777" w:rsidR="004C6421" w:rsidRDefault="009D1962">
            <w:pPr>
              <w:pStyle w:val="P68B1DB1-Normal4"/>
              <w:jc w:val="center"/>
              <w:rPr>
                <w:rFonts w:cs="Arial"/>
                <w:noProof/>
              </w:rPr>
            </w:pPr>
            <w:r>
              <w:rPr>
                <w:noProof/>
              </w:rPr>
              <w:t>Numer</w:t>
            </w:r>
          </w:p>
        </w:tc>
        <w:tc>
          <w:tcPr>
            <w:tcW w:w="1417" w:type="dxa"/>
            <w:shd w:val="clear" w:color="auto" w:fill="C6EFCE"/>
            <w:noWrap/>
            <w:vAlign w:val="center"/>
          </w:tcPr>
          <w:p w14:paraId="6B90E8C1" w14:textId="77777777" w:rsidR="004C6421" w:rsidRDefault="009D1962">
            <w:pPr>
              <w:pStyle w:val="P68B1DB1-Normal4"/>
              <w:jc w:val="center"/>
              <w:rPr>
                <w:rFonts w:cs="Arial"/>
                <w:noProof/>
              </w:rPr>
            </w:pPr>
            <w:r>
              <w:rPr>
                <w:noProof/>
              </w:rPr>
              <w:t>0</w:t>
            </w:r>
          </w:p>
        </w:tc>
        <w:tc>
          <w:tcPr>
            <w:tcW w:w="1425" w:type="dxa"/>
            <w:shd w:val="clear" w:color="auto" w:fill="C6EFCE"/>
            <w:noWrap/>
            <w:vAlign w:val="center"/>
          </w:tcPr>
          <w:p w14:paraId="313E197E" w14:textId="77777777" w:rsidR="004C6421" w:rsidRDefault="009D1962">
            <w:pPr>
              <w:pStyle w:val="P68B1DB1-Normal4"/>
              <w:jc w:val="center"/>
              <w:rPr>
                <w:rFonts w:cs="Arial"/>
                <w:noProof/>
              </w:rPr>
            </w:pPr>
            <w:r>
              <w:rPr>
                <w:noProof/>
              </w:rPr>
              <w:t>2 000 000</w:t>
            </w:r>
          </w:p>
        </w:tc>
        <w:tc>
          <w:tcPr>
            <w:tcW w:w="843" w:type="dxa"/>
            <w:shd w:val="clear" w:color="auto" w:fill="C6EFCE"/>
            <w:noWrap/>
            <w:vAlign w:val="center"/>
          </w:tcPr>
          <w:p w14:paraId="3664C779" w14:textId="77777777" w:rsidR="004C6421" w:rsidRDefault="009D1962">
            <w:pPr>
              <w:pStyle w:val="P68B1DB1-Normal4"/>
              <w:jc w:val="center"/>
              <w:rPr>
                <w:rFonts w:cs="Arial"/>
                <w:noProof/>
              </w:rPr>
            </w:pPr>
            <w:r>
              <w:rPr>
                <w:noProof/>
              </w:rPr>
              <w:t>II KW.</w:t>
            </w:r>
          </w:p>
        </w:tc>
        <w:tc>
          <w:tcPr>
            <w:tcW w:w="567" w:type="dxa"/>
            <w:shd w:val="clear" w:color="auto" w:fill="C6EFCE"/>
            <w:noWrap/>
            <w:vAlign w:val="center"/>
          </w:tcPr>
          <w:p w14:paraId="5345387C" w14:textId="77777777" w:rsidR="004C6421" w:rsidRDefault="009D1962">
            <w:pPr>
              <w:pStyle w:val="P68B1DB1-Normal4"/>
              <w:jc w:val="center"/>
              <w:rPr>
                <w:rFonts w:cs="Arial"/>
                <w:noProof/>
              </w:rPr>
            </w:pPr>
            <w:r>
              <w:rPr>
                <w:noProof/>
              </w:rPr>
              <w:t>2026</w:t>
            </w:r>
          </w:p>
        </w:tc>
        <w:tc>
          <w:tcPr>
            <w:tcW w:w="2977" w:type="dxa"/>
            <w:shd w:val="clear" w:color="auto" w:fill="C6EFCE"/>
            <w:noWrap/>
            <w:vAlign w:val="center"/>
          </w:tcPr>
          <w:p w14:paraId="2194CA7C" w14:textId="77777777" w:rsidR="004C6421" w:rsidRDefault="009D1962">
            <w:pPr>
              <w:pStyle w:val="P68B1DB1-Normal4"/>
              <w:spacing w:after="120"/>
              <w:rPr>
                <w:rFonts w:cs="Arial"/>
                <w:noProof/>
              </w:rPr>
            </w:pPr>
            <w:r>
              <w:rPr>
                <w:noProof/>
              </w:rPr>
              <w:t>2 Co najmniej 2000000 obywateli uczestniczących w inicjatywach w zakresie edukacji cyfrowej lub ułatwień oferowanych przez ośrodki ułatwień cyfrowych.</w:t>
            </w:r>
          </w:p>
          <w:p w14:paraId="6428BDED" w14:textId="77777777" w:rsidR="004C6421" w:rsidRDefault="009D1962">
            <w:pPr>
              <w:pStyle w:val="P68B1DB1-Normal4"/>
              <w:spacing w:after="120"/>
              <w:rPr>
                <w:rFonts w:cs="Arial"/>
                <w:noProof/>
              </w:rPr>
            </w:pPr>
            <w:r>
              <w:rPr>
                <w:noProof/>
              </w:rPr>
              <w:t>Aby osiągnąć cel, uznaje się następujące działania szkoleniowe:</w:t>
            </w:r>
          </w:p>
          <w:p w14:paraId="0A0B26DC" w14:textId="77777777" w:rsidR="004C6421" w:rsidRDefault="009D1962">
            <w:pPr>
              <w:pStyle w:val="P68B1DB1-Normal4"/>
              <w:rPr>
                <w:rFonts w:cs="Arial"/>
                <w:noProof/>
              </w:rPr>
            </w:pPr>
            <w:r>
              <w:rPr>
                <w:noProof/>
              </w:rPr>
              <w:t>indywidualne indywidualne inicjatywy w zakresie edukacji cyfrowej lub ułatwień cyfrowych zapewniane za pomocą metod ułatwień cyfrowych, zazwyczaj realizowane na podstawie rezerwacji usługi i rejestrowane w systemie monitorowania;</w:t>
            </w:r>
          </w:p>
          <w:p w14:paraId="68DE7FC4" w14:textId="77777777" w:rsidR="004C6421" w:rsidRDefault="009D1962">
            <w:pPr>
              <w:pStyle w:val="P68B1DB1-Normal4"/>
              <w:rPr>
                <w:rFonts w:cs="Arial"/>
                <w:noProof/>
              </w:rPr>
            </w:pPr>
            <w:r>
              <w:rPr>
                <w:noProof/>
              </w:rPr>
              <w:t>b) bezpośrednie i internetowe inicjatywy w zakresie edukacji cyfrowej lub ułatwień, mające na celu rozwój umiejętności cyfrowych obywateli, prowadzone w sposób synchroniczny przez ośrodki ułatwień cyfrowych i rejestrowane w systemie monitorowania;</w:t>
            </w:r>
          </w:p>
          <w:p w14:paraId="3AD864BC" w14:textId="77777777" w:rsidR="004C6421" w:rsidRDefault="009D1962">
            <w:pPr>
              <w:pStyle w:val="P68B1DB1-Normal4"/>
              <w:spacing w:after="120"/>
              <w:rPr>
                <w:rFonts w:cs="Arial"/>
                <w:noProof/>
              </w:rPr>
            </w:pPr>
            <w:r>
              <w:rPr>
                <w:noProof/>
              </w:rPr>
              <w:t>C) internetowe inicjatywy w zakresie edukacji cyfrowej lub ułatwień mające na celu rozwijanie umiejętności cyfrowych obywateli, również w trybie samouczenia się i asynchronicznym, ale niekoniecznie z rejestracją zgłaszaną w systemie monitorowania prowadzonym w ramach katalogu szkoleń przygotowanego przez sieć usług ułatwień cyfrowych i dostępnego w ramach wdrożonego systemu zarządzania wiedzą.</w:t>
            </w:r>
          </w:p>
        </w:tc>
      </w:tr>
      <w:tr w:rsidR="004C6421" w14:paraId="5DAB0B33"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C5EBD4" w14:textId="77777777" w:rsidR="004C6421" w:rsidRDefault="009D1962">
            <w:pPr>
              <w:pStyle w:val="P68B1DB1-Normal4"/>
              <w:jc w:val="center"/>
              <w:rPr>
                <w:rFonts w:cs="Arial"/>
                <w:noProof/>
              </w:rPr>
            </w:pPr>
            <w:r>
              <w:rPr>
                <w:noProof/>
              </w:rPr>
              <w:t>M1C1-29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3F4F756" w14:textId="77777777" w:rsidR="004C6421" w:rsidRDefault="009D1962">
            <w:pPr>
              <w:pStyle w:val="P68B1DB1-Normal4"/>
              <w:jc w:val="center"/>
              <w:rPr>
                <w:rFonts w:cs="Arial"/>
                <w:noProof/>
              </w:rPr>
            </w:pPr>
            <w:r>
              <w:rPr>
                <w:noProof/>
              </w:rPr>
              <w:t>Reforma 1.4: Reforma wymiaru sprawiedliwości w sprawach cywilnych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C1777B" w14:textId="5A093FDA"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119055" w14:textId="77777777" w:rsidR="004C6421" w:rsidRDefault="009D1962">
            <w:pPr>
              <w:pStyle w:val="P68B1DB1-Normal4"/>
              <w:jc w:val="center"/>
              <w:rPr>
                <w:rFonts w:cs="Arial"/>
                <w:noProof/>
              </w:rPr>
            </w:pPr>
            <w:r>
              <w:rPr>
                <w:noProof/>
              </w:rPr>
              <w:t>Wejście w życie przepisów umożliwiających reformę wymiaru sprawiedliwości w sprawach cywilnych</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0DB073D" w14:textId="77777777" w:rsidR="004C6421" w:rsidRDefault="009D1962">
            <w:pPr>
              <w:pStyle w:val="P68B1DB1-Normal4"/>
              <w:jc w:val="center"/>
              <w:rPr>
                <w:rFonts w:cs="Arial"/>
                <w:noProof/>
              </w:rPr>
            </w:pPr>
            <w:r>
              <w:rPr>
                <w:noProof/>
              </w:rPr>
              <w:t>Przepis prawa wskazujący na wejście w życie ustawy upoważniającej 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DB17A63"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B10FE4"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FBB7533"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8BD110" w14:textId="2FE36723"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E01ABD" w14:textId="77777777" w:rsidR="004C6421" w:rsidRDefault="009D1962">
            <w:pPr>
              <w:pStyle w:val="P68B1DB1-Normal4"/>
              <w:jc w:val="center"/>
              <w:rPr>
                <w:rFonts w:cs="Arial"/>
                <w:noProof/>
              </w:rPr>
            </w:pPr>
            <w:r>
              <w:rPr>
                <w:noProof/>
              </w:rPr>
              <w:t>2021</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6ED33F" w14:textId="77777777" w:rsidR="004C6421" w:rsidRDefault="009D1962">
            <w:pPr>
              <w:pStyle w:val="P68B1DB1-Normal4"/>
              <w:rPr>
                <w:rFonts w:cs="Arial"/>
                <w:noProof/>
              </w:rPr>
            </w:pPr>
            <w:r>
              <w:rPr>
                <w:noProof/>
              </w:rPr>
              <w:t>Prawodawstwo upoważniające obejmuje co najmniej następujące środki: wprowadzenie procedury uproszczonej na szczeblu pierwszej instancji/procesu oraz wzmocnienie stosowania „procedur filtracyjnych” na szczeblu odwoławczym, w tym szersze stosowanie procedur uproszczonych i zakres spraw, w których sąd w składzie jednego sędziego jest właściwy do orzekania; zapewnienie faktycznego wdrożenia wiążących ram czasowych dla procedur i kalendarza gromadzenia dowodów i składania drogą elektroniczną wszelkich stosownych aktów i dokumentów; zreformowanie korzystania z mediacji i alternatywnych metod rozwiązywania sporów wraz ze wspomaganą mediacją, arbitrażem i wszelkimi innymi możliwymi alternatywami, aby zwiększyć skuteczność tych instytucji w zmniejszaniu presji na wymiar sprawiedliwości w sprawach cywilnych, w tym poprzez zachęty; zreformować procedurę przymusowego wykonania, aby skrócić obecny średni czas, w tym sprawić, by egzekucja kwot zadeklarowanych do zapłaty była szybsza i mniej kosztowna; zreformowanie obecnego systemu kwantyfikacji i możliwości odzyskania opłat sądowych w celu ograniczenia niepoważnych sporów; wprowadzenie systemu monitorowania na szczeblu sądów i zwiększenie wydajności sądów cywilnych poprzez zachęty w celu zapewnienia rozsądnego czasu trwania postępowań i jednolitych wyników we wszystkich sądach.</w:t>
            </w:r>
          </w:p>
        </w:tc>
      </w:tr>
      <w:tr w:rsidR="004C6421" w14:paraId="15C43F3D"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D99246" w14:textId="77777777" w:rsidR="004C6421" w:rsidRDefault="009D1962">
            <w:pPr>
              <w:pStyle w:val="P68B1DB1-Normal4"/>
              <w:jc w:val="center"/>
              <w:rPr>
                <w:rFonts w:cs="Arial"/>
                <w:noProof/>
              </w:rPr>
            </w:pPr>
            <w:r>
              <w:rPr>
                <w:noProof/>
              </w:rPr>
              <w:t>M1C1-30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6CD4CBE" w14:textId="77777777" w:rsidR="004C6421" w:rsidRDefault="009D1962">
            <w:pPr>
              <w:pStyle w:val="P68B1DB1-Normal4"/>
              <w:jc w:val="center"/>
              <w:rPr>
                <w:rFonts w:cs="Arial"/>
                <w:noProof/>
              </w:rPr>
            </w:pPr>
            <w:r>
              <w:rPr>
                <w:noProof/>
              </w:rPr>
              <w:t>Reforma 1.5: Reforma wymiaru sprawiedliwości w sprawach karnych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05C92D" w14:textId="41F8747E"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2038702" w14:textId="77777777" w:rsidR="004C6421" w:rsidRDefault="009D1962">
            <w:pPr>
              <w:pStyle w:val="P68B1DB1-Normal4"/>
              <w:jc w:val="center"/>
              <w:rPr>
                <w:rFonts w:cs="Arial"/>
                <w:noProof/>
              </w:rPr>
            </w:pPr>
            <w:r>
              <w:rPr>
                <w:noProof/>
              </w:rPr>
              <w:t>Wejście w życie przepisów umożliwiających reformę wymiaru sprawiedliwości w sprawach karnych</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C5F3264" w14:textId="77777777" w:rsidR="004C6421" w:rsidRDefault="009D1962">
            <w:pPr>
              <w:pStyle w:val="P68B1DB1-Normal4"/>
              <w:jc w:val="center"/>
              <w:rPr>
                <w:rFonts w:cs="Arial"/>
                <w:noProof/>
              </w:rPr>
            </w:pPr>
            <w:r>
              <w:rPr>
                <w:noProof/>
              </w:rPr>
              <w:t>Przepis prawa wskazujący na wejście w życie ustawy upoważniającej 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B1CF7EC"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601185"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D8CEDA9"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865E23" w14:textId="7399EA40"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D6345E" w14:textId="77777777" w:rsidR="004C6421" w:rsidRDefault="009D1962">
            <w:pPr>
              <w:pStyle w:val="P68B1DB1-Normal4"/>
              <w:jc w:val="center"/>
              <w:rPr>
                <w:rFonts w:cs="Arial"/>
                <w:noProof/>
              </w:rPr>
            </w:pPr>
            <w:r>
              <w:rPr>
                <w:noProof/>
              </w:rPr>
              <w:t>2021</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FA3B0D9" w14:textId="77777777" w:rsidR="004C6421" w:rsidRDefault="009D1962">
            <w:pPr>
              <w:pStyle w:val="P68B1DB1-Normal4"/>
              <w:spacing w:after="120"/>
              <w:rPr>
                <w:rFonts w:cs="Arial"/>
                <w:noProof/>
              </w:rPr>
            </w:pPr>
            <w:r>
              <w:rPr>
                <w:noProof/>
              </w:rPr>
              <w:t>Prawodawstwo upoważniające, które obejmuje co najmniej następujące środki: (i) zmieniony system powiadamiania, (ii) szersze stosowanie procedur uproszczonych, (iii) szersze stosowanie elektronicznego składania dokumentów, (iv) uproszczone zasady dotyczące dowodów, v) określenie terminów trwania wstępnego postępowania przygotowawczego i środków mających na celu uniknięcie stagnacji na etapie postępowania przygotowawczego, vi) rozszerzenie możliwości wygaśnięcia przestępstwa w przypadku zwrotu odszkodowania, vii) wprowadzenie systemu monitorowania na szczeblu sądów i zwiększenie wydajności sądów karnych poprzez zachęty do zapewnienia rozsądnego czasu trwania postępowań i jednolitych wyników we wszystkich sądach.</w:t>
            </w:r>
          </w:p>
        </w:tc>
      </w:tr>
      <w:tr w:rsidR="004C6421" w14:paraId="4591FEDF"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BAC8CD" w14:textId="77777777" w:rsidR="004C6421" w:rsidRDefault="009D1962">
            <w:pPr>
              <w:pStyle w:val="P68B1DB1-Normal4"/>
              <w:jc w:val="center"/>
              <w:rPr>
                <w:rFonts w:cs="Arial"/>
                <w:noProof/>
              </w:rPr>
            </w:pPr>
            <w:r>
              <w:rPr>
                <w:noProof/>
              </w:rPr>
              <w:t>M1C1-31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CB61872" w14:textId="77777777" w:rsidR="004C6421" w:rsidRDefault="009D1962">
            <w:pPr>
              <w:pStyle w:val="P68B1DB1-Normal4"/>
              <w:jc w:val="center"/>
              <w:rPr>
                <w:rFonts w:cs="Arial"/>
                <w:noProof/>
              </w:rPr>
            </w:pPr>
            <w:r>
              <w:rPr>
                <w:noProof/>
              </w:rPr>
              <w:t>Reforma 1.6: Reforma ram prawnych dotyczących niewypłacalności</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0D49B30" w14:textId="72BC8957"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526F1B" w14:textId="77777777" w:rsidR="004C6421" w:rsidRDefault="009D1962">
            <w:pPr>
              <w:pStyle w:val="P68B1DB1-Normal4"/>
              <w:jc w:val="center"/>
              <w:rPr>
                <w:rFonts w:cs="Arial"/>
                <w:noProof/>
              </w:rPr>
            </w:pPr>
            <w:r>
              <w:rPr>
                <w:noProof/>
              </w:rPr>
              <w:t>Wejście w życie przepisów umożliwiających reformę przepisów dotyczących niewypłacalności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07D4384" w14:textId="77777777" w:rsidR="004C6421" w:rsidRDefault="009D1962">
            <w:pPr>
              <w:pStyle w:val="P68B1DB1-Normal4"/>
              <w:jc w:val="center"/>
              <w:rPr>
                <w:rFonts w:cs="Arial"/>
                <w:noProof/>
              </w:rPr>
            </w:pPr>
            <w:r>
              <w:rPr>
                <w:noProof/>
              </w:rPr>
              <w:t>Przepis prawa wskazujący na wejście w życie ustawy upoważniającej 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93D73A"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2B48F5B"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EC743E"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13454BA" w14:textId="45EDC49E"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A3341E" w14:textId="77777777" w:rsidR="004C6421" w:rsidRDefault="009D1962">
            <w:pPr>
              <w:pStyle w:val="P68B1DB1-Normal4"/>
              <w:jc w:val="center"/>
              <w:rPr>
                <w:rFonts w:cs="Arial"/>
                <w:noProof/>
              </w:rPr>
            </w:pPr>
            <w:r>
              <w:rPr>
                <w:noProof/>
              </w:rPr>
              <w:t>2021</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31346DA" w14:textId="77777777" w:rsidR="004C6421" w:rsidRDefault="009D1962">
            <w:pPr>
              <w:pStyle w:val="P68B1DB1-Normal4"/>
              <w:spacing w:after="120"/>
              <w:rPr>
                <w:rFonts w:cs="Arial"/>
                <w:noProof/>
              </w:rPr>
            </w:pPr>
            <w:r>
              <w:rPr>
                <w:noProof/>
              </w:rPr>
              <w:t>Reforma upadłości obejmuje co najmniej następujące środki: dokonać przeglądu uzgodnień dotyczących pozasądowego rozstrzygania sporów w celu określenia obszarów, w których konieczne mogą być dalsze usprawnienia w celu zachęcenia zainteresowanych stron do częstszego korzystania z takich postępowań; wprowadzenie mechanizmów wczesnego ostrzegania i dostępu do informacji przed etapem upadłości; III) przejście na specjalizację sądów (prawa handlowego, wydziału/izby ds. niewypłacalności), a także instytucji przedsądowych w celu zarządzania postępowaniami upadłościowymi; IV) umożliwienie zaspokojenia wierzycieli zabezpieczonych w pierwszej kolejności (przed wierzytelnościami podatkowymi i wierzytelnościami pracowniczymi); (v) umożliwienie przedsiębiorstwom przyznania prawa do zabezpieczenia niemożliwego. Jako uzupełnienie reformy niewypłacalności zapewnia się szkolenia i specjalizację dla członków organów sądowych i administracyjnych zajmujących się postępowaniami dotyczącymi restrukturyzacji, a także ogólną cyfryzację postępowań restrukturyzacyjnych i upadłościowych oraz utworzenie platformy internetowej służącej pozasądowemu rozstrzyganiu sporów, w szczególności na etapie przedupadłościowym, której stosowanie powinno być zachęcane do zmniejszenia obciążenia wymiaru sprawiedliwości (wnioski o restrukturyzację przed ogłoszeniem upadłości, promowanie restrukturyzacji wielostronnej i umożliwienie z góry zatwierdzonych zautomatyzowanych postępowań restrukturyzacyjnych i rozstrzygania spraw o niskiej wartości). Taka platforma internetowa zapewnia również interoperacyjność z bankowymi systemami informatycznymi, a także z innymi organami publicznymi i bazami danych, aby zapewnić szybką elektroniczną wymianę dokumentacji i danych między dłużnikami a wierzycielami. W tym celu wnioskodawca (dłużnik) wyraziłby zgodę na wymianę swoich danych osobowych zgodnie z RODO, a przepis ten powinien zostać włączony do prawa. W ramach reformy ustanawia się rejestr zabezpieczeń.</w:t>
            </w:r>
          </w:p>
        </w:tc>
      </w:tr>
      <w:tr w:rsidR="004C6421" w14:paraId="494E762D"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CEB9D96" w14:textId="77777777" w:rsidR="004C6421" w:rsidRDefault="009D1962">
            <w:pPr>
              <w:pStyle w:val="P68B1DB1-Normal4"/>
              <w:jc w:val="center"/>
              <w:rPr>
                <w:rFonts w:cs="Arial"/>
                <w:noProof/>
              </w:rPr>
            </w:pPr>
            <w:r>
              <w:rPr>
                <w:noProof/>
              </w:rPr>
              <w:t>M1C1-32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093E89" w14:textId="77777777" w:rsidR="004C6421" w:rsidRDefault="009D1962">
            <w:pPr>
              <w:pStyle w:val="P68B1DB1-Normal4"/>
              <w:jc w:val="center"/>
              <w:rPr>
                <w:rFonts w:cs="Arial"/>
                <w:noProof/>
              </w:rPr>
            </w:pPr>
            <w:r>
              <w:rPr>
                <w:noProof/>
              </w:rPr>
              <w:t>Inwestycje 1.8: Procedury rekrutacyjne w sądach cywilnych, karnych i administracyjnych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B0ECB4" w14:textId="4D9CBE89"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D75948C" w14:textId="77777777" w:rsidR="004C6421" w:rsidRDefault="009D1962">
            <w:pPr>
              <w:pStyle w:val="P68B1DB1-Normal4"/>
              <w:jc w:val="center"/>
              <w:rPr>
                <w:rFonts w:cs="Arial"/>
                <w:noProof/>
              </w:rPr>
            </w:pPr>
            <w:r>
              <w:rPr>
                <w:noProof/>
              </w:rPr>
              <w:t>Wejście w życie specjalnych przepisów regulujących rekrutację w ramach krajowego planu odbudowy i zwiększania odporności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D0B313" w14:textId="77777777" w:rsidR="004C6421" w:rsidRDefault="009D1962">
            <w:pPr>
              <w:pStyle w:val="P68B1DB1-Normal4"/>
              <w:jc w:val="center"/>
              <w:rPr>
                <w:rFonts w:cs="Arial"/>
                <w:noProof/>
              </w:rPr>
            </w:pPr>
            <w:r>
              <w:rPr>
                <w:noProof/>
              </w:rPr>
              <w:t>Przepis ustawy wskazujący na wejście w życie przepisów szczególnych regulujących rekrutację w ramach krajowego planu odbudowy i zwiększania odporności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B72AF41"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9BA11CD"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249C05D"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2656FEC" w14:textId="11465F25"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8839D29" w14:textId="77777777" w:rsidR="004C6421" w:rsidRDefault="009D1962">
            <w:pPr>
              <w:pStyle w:val="P68B1DB1-Normal4"/>
              <w:jc w:val="center"/>
              <w:rPr>
                <w:rFonts w:cs="Arial"/>
                <w:noProof/>
              </w:rPr>
            </w:pPr>
            <w:r>
              <w:rPr>
                <w:noProof/>
              </w:rPr>
              <w:t>2021</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C30DB01" w14:textId="77777777" w:rsidR="004C6421" w:rsidRDefault="009D1962">
            <w:pPr>
              <w:pStyle w:val="P68B1DB1-Normal4"/>
              <w:spacing w:after="120"/>
              <w:rPr>
                <w:rFonts w:cs="Arial"/>
                <w:noProof/>
              </w:rPr>
            </w:pPr>
            <w:r>
              <w:rPr>
                <w:noProof/>
              </w:rPr>
              <w:t>Zatwierdzenie specjalnych przepisów regulujących rekrutację w ramach krajowego planu odbudowy i zwiększania odporności z zezwoleniem na ogłaszanie i rekrutację.</w:t>
            </w:r>
          </w:p>
        </w:tc>
      </w:tr>
      <w:tr w:rsidR="004C6421" w14:paraId="5D367F5C"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187AC1" w14:textId="77777777" w:rsidR="004C6421" w:rsidRDefault="009D1962">
            <w:pPr>
              <w:pStyle w:val="P68B1DB1-Normal4"/>
              <w:jc w:val="center"/>
              <w:rPr>
                <w:rFonts w:cs="Arial"/>
                <w:noProof/>
              </w:rPr>
            </w:pPr>
            <w:r>
              <w:rPr>
                <w:noProof/>
              </w:rPr>
              <w:t>M1C1-33</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02A3938" w14:textId="77777777" w:rsidR="004C6421" w:rsidRDefault="009D1962">
            <w:pPr>
              <w:pStyle w:val="P68B1DB1-Normal4"/>
              <w:jc w:val="center"/>
              <w:rPr>
                <w:rFonts w:cs="Arial"/>
                <w:noProof/>
              </w:rPr>
            </w:pPr>
            <w:r>
              <w:rPr>
                <w:noProof/>
              </w:rPr>
              <w:t>Inwestycje 1.8: Procedury rekrutacyjne w sądach administracyjnych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EE203E4"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FBC26E8" w14:textId="77777777" w:rsidR="004C6421" w:rsidRDefault="009D1962">
            <w:pPr>
              <w:pStyle w:val="P68B1DB1-Normal4"/>
              <w:jc w:val="center"/>
              <w:rPr>
                <w:rFonts w:cs="Arial"/>
                <w:noProof/>
              </w:rPr>
            </w:pPr>
            <w:r>
              <w:rPr>
                <w:noProof/>
              </w:rPr>
              <w:t>Rozpoczęcie procedur rekrutacyjnych do sądów administracyjnych</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2D6D66"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CA90BC" w14:textId="77777777" w:rsidR="004C6421" w:rsidRDefault="009D1962">
            <w:pPr>
              <w:pStyle w:val="P68B1DB1-Normal4"/>
              <w:jc w:val="center"/>
              <w:rPr>
                <w:rFonts w:cs="Arial"/>
                <w:noProof/>
              </w:rPr>
            </w:pPr>
            <w:r>
              <w:rPr>
                <w:noProof/>
              </w:rPr>
              <w:t>Numer</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1F5C5C" w14:textId="77777777" w:rsidR="004C6421" w:rsidRDefault="009D1962">
            <w:pPr>
              <w:pStyle w:val="P68B1DB1-Normal4"/>
              <w:jc w:val="center"/>
              <w:rPr>
                <w:rFonts w:cs="Arial"/>
                <w:noProof/>
              </w:rPr>
            </w:pPr>
            <w:r>
              <w:rPr>
                <w:noProof/>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D26F20B" w14:textId="77777777" w:rsidR="004C6421" w:rsidRDefault="009D1962">
            <w:pPr>
              <w:pStyle w:val="P68B1DB1-Normal4"/>
              <w:jc w:val="center"/>
              <w:rPr>
                <w:rFonts w:cs="Arial"/>
                <w:noProof/>
              </w:rPr>
            </w:pPr>
            <w:r>
              <w:rPr>
                <w:noProof/>
              </w:rPr>
              <w:t>168</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A204172"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27BAE1F" w14:textId="77777777" w:rsidR="004C6421" w:rsidRDefault="009D1962">
            <w:pPr>
              <w:pStyle w:val="P68B1DB1-Normal4"/>
              <w:jc w:val="center"/>
              <w:rPr>
                <w:rFonts w:cs="Arial"/>
                <w:noProof/>
              </w:rPr>
            </w:pPr>
            <w:r>
              <w:rPr>
                <w:noProof/>
              </w:rPr>
              <w:t>2022</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DD3B0E8" w14:textId="77777777" w:rsidR="004C6421" w:rsidRDefault="009D1962">
            <w:pPr>
              <w:pStyle w:val="P68B1DB1-Normal4"/>
              <w:spacing w:after="120"/>
              <w:rPr>
                <w:rFonts w:cs="Arial"/>
                <w:noProof/>
              </w:rPr>
            </w:pPr>
            <w:r>
              <w:rPr>
                <w:noProof/>
              </w:rPr>
              <w:t>Rozpoczęcie procedur rekrutacji co najmniej 168 jednostek personelu w biurze sądowym i sądach administracyjnych oraz oddelegowanie jednostek do służby. Punktem odniesienia jest liczba personelu zatrudnionego na dzień 31 grudnia 2021 r.</w:t>
            </w:r>
          </w:p>
        </w:tc>
      </w:tr>
      <w:tr w:rsidR="004C6421" w14:paraId="0D2911D3"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C0C66A" w14:textId="77777777" w:rsidR="004C6421" w:rsidRDefault="009D1962">
            <w:pPr>
              <w:pStyle w:val="P68B1DB1-Normal4"/>
              <w:jc w:val="center"/>
              <w:rPr>
                <w:rFonts w:cs="Arial"/>
                <w:noProof/>
              </w:rPr>
            </w:pPr>
            <w:r>
              <w:rPr>
                <w:noProof/>
              </w:rPr>
              <w:t>M1C1-34</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48889C2" w14:textId="77777777" w:rsidR="004C6421" w:rsidRDefault="009D1962">
            <w:pPr>
              <w:pStyle w:val="P68B1DB1-Normal4"/>
              <w:jc w:val="center"/>
              <w:rPr>
                <w:rFonts w:cs="Arial"/>
                <w:noProof/>
              </w:rPr>
            </w:pPr>
            <w:r>
              <w:rPr>
                <w:noProof/>
              </w:rPr>
              <w:t>Inwestycje 1.8: Procedury rekrutacyjne do kancelarii rozpraw sądowych w sprawach cywilnych i karnych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5198242"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EA71350" w14:textId="77777777" w:rsidR="004C6421" w:rsidRDefault="009D1962">
            <w:pPr>
              <w:pStyle w:val="P68B1DB1-Normal4"/>
              <w:jc w:val="center"/>
              <w:rPr>
                <w:rFonts w:cs="Arial"/>
                <w:noProof/>
              </w:rPr>
            </w:pPr>
            <w:r>
              <w:rPr>
                <w:noProof/>
              </w:rPr>
              <w:t>Rozpoczęcie procedur rekrutacyjnych do sądów cywilnych i karnych</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A9CCF22"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C33AD8" w14:textId="77777777" w:rsidR="004C6421" w:rsidRDefault="009D1962">
            <w:pPr>
              <w:pStyle w:val="P68B1DB1-Normal4"/>
              <w:jc w:val="center"/>
              <w:rPr>
                <w:rFonts w:cs="Arial"/>
                <w:noProof/>
              </w:rPr>
            </w:pPr>
            <w:r>
              <w:rPr>
                <w:noProof/>
              </w:rPr>
              <w:t>Numer</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8B5551A" w14:textId="77777777" w:rsidR="004C6421" w:rsidRDefault="009D1962">
            <w:pPr>
              <w:pStyle w:val="P68B1DB1-Normal4"/>
              <w:jc w:val="center"/>
              <w:rPr>
                <w:rFonts w:cs="Arial"/>
                <w:noProof/>
              </w:rPr>
            </w:pPr>
            <w:r>
              <w:rPr>
                <w:noProof/>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8E77D2" w14:textId="77777777" w:rsidR="004C6421" w:rsidRDefault="009D1962">
            <w:pPr>
              <w:pStyle w:val="P68B1DB1-Normal4"/>
              <w:jc w:val="center"/>
              <w:rPr>
                <w:rFonts w:cs="Arial"/>
                <w:noProof/>
              </w:rPr>
            </w:pPr>
            <w:r>
              <w:rPr>
                <w:noProof/>
              </w:rPr>
              <w:t>8 764</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97A808" w14:textId="53BCCBF5"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15EE62" w14:textId="77777777" w:rsidR="004C6421" w:rsidRDefault="009D1962">
            <w:pPr>
              <w:pStyle w:val="P68B1DB1-Normal4"/>
              <w:jc w:val="center"/>
              <w:rPr>
                <w:rFonts w:cs="Arial"/>
                <w:noProof/>
              </w:rPr>
            </w:pPr>
            <w:r>
              <w:rPr>
                <w:noProof/>
              </w:rPr>
              <w:t>2022</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466F746" w14:textId="77777777" w:rsidR="004C6421" w:rsidRDefault="009D1962">
            <w:pPr>
              <w:pStyle w:val="P68B1DB1-Normal4"/>
              <w:spacing w:after="120"/>
              <w:rPr>
                <w:rFonts w:cs="Arial"/>
                <w:noProof/>
              </w:rPr>
            </w:pPr>
            <w:r>
              <w:rPr>
                <w:noProof/>
              </w:rPr>
              <w:t>Rozpoczęcie procedur rekrutacyjnych co najmniej 8764 jednostek personelu na potrzeby prowadzenia postępowań sądowych w sądach cywilnych i karnych oraz oddelegowanie jednostek do służby. Punktem odniesienia jest liczba pracowników na koniec 2021 r.</w:t>
            </w:r>
          </w:p>
        </w:tc>
      </w:tr>
      <w:tr w:rsidR="004C6421" w14:paraId="31061DA9"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B9D7383" w14:textId="77777777" w:rsidR="004C6421" w:rsidRDefault="009D1962">
            <w:pPr>
              <w:pStyle w:val="P68B1DB1-Normal4"/>
              <w:jc w:val="center"/>
              <w:rPr>
                <w:rFonts w:cs="Arial"/>
                <w:noProof/>
              </w:rPr>
            </w:pPr>
            <w:r>
              <w:rPr>
                <w:noProof/>
              </w:rPr>
              <w:t>M1C1-35</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655AB4" w14:textId="77777777" w:rsidR="004C6421" w:rsidRDefault="009D1962">
            <w:pPr>
              <w:pStyle w:val="P68B1DB1-Normal4"/>
              <w:jc w:val="center"/>
              <w:rPr>
                <w:rFonts w:cs="Arial"/>
                <w:noProof/>
              </w:rPr>
            </w:pPr>
            <w:r>
              <w:rPr>
                <w:noProof/>
              </w:rPr>
              <w:t>Reforma 1.7: Reforma sądów podatkowych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559DCE" w14:textId="0CE954B7"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93CFB0" w14:textId="77777777" w:rsidR="004C6421" w:rsidRDefault="009D1962">
            <w:pPr>
              <w:pStyle w:val="P68B1DB1-Normal4"/>
              <w:jc w:val="center"/>
              <w:rPr>
                <w:rFonts w:cs="Arial"/>
                <w:noProof/>
              </w:rPr>
            </w:pPr>
            <w:r>
              <w:rPr>
                <w:noProof/>
              </w:rPr>
              <w:t>Kompleksowa reforma sądów podatkowych pierwszej i drugiej instancji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1936355" w14:textId="77777777" w:rsidR="004C6421" w:rsidRDefault="009D1962">
            <w:pPr>
              <w:pStyle w:val="P68B1DB1-Normal4"/>
              <w:jc w:val="center"/>
              <w:rPr>
                <w:rFonts w:cs="Arial"/>
                <w:noProof/>
              </w:rPr>
            </w:pPr>
            <w:r>
              <w:rPr>
                <w:noProof/>
              </w:rPr>
              <w:t>Przepis ustawy wskazujący na wejście w życie zmienionych ram prawnych</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56B042"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B4C1E6"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7F5A03"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BAD0D89" w14:textId="6E63BABB"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8ED48EA" w14:textId="77777777" w:rsidR="004C6421" w:rsidRDefault="009D1962">
            <w:pPr>
              <w:pStyle w:val="P68B1DB1-Normal4"/>
              <w:jc w:val="center"/>
              <w:rPr>
                <w:rFonts w:cs="Arial"/>
                <w:noProof/>
              </w:rPr>
            </w:pPr>
            <w:r>
              <w:rPr>
                <w:noProof/>
              </w:rPr>
              <w:t>2022</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2131480" w14:textId="77777777" w:rsidR="004C6421" w:rsidRDefault="009D1962">
            <w:pPr>
              <w:pStyle w:val="P68B1DB1-Normal4"/>
              <w:spacing w:after="120"/>
              <w:rPr>
                <w:rFonts w:cs="Arial"/>
                <w:noProof/>
              </w:rPr>
            </w:pPr>
            <w:r>
              <w:rPr>
                <w:noProof/>
              </w:rPr>
              <w:t>Zmienione ramy prawne zwiększą skuteczność egzekwowania prawa podatkowego i zmniejszają wysoką liczbę odwołań w Sądzie Kasacyjnym.</w:t>
            </w:r>
          </w:p>
        </w:tc>
      </w:tr>
      <w:tr w:rsidR="004C6421" w14:paraId="4F3F71C6"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2ACA7D9" w14:textId="77777777" w:rsidR="004C6421" w:rsidRDefault="009D1962">
            <w:pPr>
              <w:pStyle w:val="P68B1DB1-Normal4"/>
              <w:jc w:val="center"/>
              <w:rPr>
                <w:rFonts w:cs="Arial"/>
                <w:noProof/>
              </w:rPr>
            </w:pPr>
            <w:r>
              <w:rPr>
                <w:noProof/>
              </w:rPr>
              <w:t>M1C1-36</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B01D4D" w14:textId="77777777" w:rsidR="004C6421" w:rsidRDefault="009D1962">
            <w:pPr>
              <w:pStyle w:val="P68B1DB1-Normal4"/>
              <w:jc w:val="center"/>
              <w:rPr>
                <w:rFonts w:cs="Arial"/>
                <w:noProof/>
              </w:rPr>
            </w:pPr>
            <w:r>
              <w:rPr>
                <w:noProof/>
              </w:rPr>
              <w:t>Reformy 1.4, 1.5 i 1.6: Reforma wymiaru sprawiedliwości w sprawach cywilnych i karnych oraz reforma upadłości</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360FB46" w14:textId="02FF985D"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A948047" w14:textId="77777777" w:rsidR="004C6421" w:rsidRDefault="009D1962">
            <w:pPr>
              <w:pStyle w:val="P68B1DB1-Normal4"/>
              <w:jc w:val="center"/>
              <w:rPr>
                <w:rFonts w:cs="Arial"/>
                <w:noProof/>
              </w:rPr>
            </w:pPr>
            <w:r>
              <w:rPr>
                <w:noProof/>
              </w:rPr>
              <w:t>Wejście w życie aktów delegowanych dotyczących reformy wymiaru sprawiedliwości w sprawach cywilnych i karnych oraz reformy dotyczącej niewypłacalności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09E116" w14:textId="77777777" w:rsidR="004C6421" w:rsidRDefault="009D1962">
            <w:pPr>
              <w:pStyle w:val="P68B1DB1-Normal4"/>
              <w:jc w:val="center"/>
              <w:rPr>
                <w:rFonts w:cs="Arial"/>
                <w:noProof/>
              </w:rPr>
            </w:pPr>
            <w:r>
              <w:rPr>
                <w:noProof/>
              </w:rPr>
              <w:t>Przepis w aktach delegowanych wskazujący na wejście w życie aktów delegowanych</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C0CD2CB"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2FFB2BB"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786282"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368065F" w14:textId="2284E827"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8C928C7" w14:textId="77777777" w:rsidR="004C6421" w:rsidRDefault="009D1962">
            <w:pPr>
              <w:pStyle w:val="P68B1DB1-Normal4"/>
              <w:jc w:val="center"/>
              <w:rPr>
                <w:rFonts w:cs="Arial"/>
                <w:noProof/>
              </w:rPr>
            </w:pPr>
            <w:r>
              <w:rPr>
                <w:noProof/>
              </w:rPr>
              <w:t>2022</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82E31F5" w14:textId="77777777" w:rsidR="004C6421" w:rsidRDefault="009D1962">
            <w:pPr>
              <w:pStyle w:val="P68B1DB1-Normal4"/>
              <w:spacing w:after="120"/>
              <w:rPr>
                <w:rFonts w:cs="Arial"/>
                <w:noProof/>
              </w:rPr>
            </w:pPr>
            <w:r>
              <w:rPr>
                <w:noProof/>
              </w:rPr>
              <w:t>Wejście w życie wszystkich aktów delegowanych, których treść jest określona w przepisach wykonawczych dotyczących reformy wymiaru sprawiedliwości w sprawach cywilnych i karnych oraz reformy dotyczącej niewypłacalności.</w:t>
            </w:r>
          </w:p>
        </w:tc>
      </w:tr>
      <w:tr w:rsidR="004C6421" w14:paraId="498D6EA3"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FFC96BD" w14:textId="77777777" w:rsidR="004C6421" w:rsidRDefault="009D1962">
            <w:pPr>
              <w:pStyle w:val="P68B1DB1-Normal4"/>
              <w:jc w:val="center"/>
              <w:rPr>
                <w:rFonts w:cs="Arial"/>
                <w:noProof/>
              </w:rPr>
            </w:pPr>
            <w:r>
              <w:rPr>
                <w:noProof/>
              </w:rPr>
              <w:t>M1C1-37</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2FBA63" w14:textId="77777777" w:rsidR="004C6421" w:rsidRDefault="009D1962">
            <w:pPr>
              <w:pStyle w:val="P68B1DB1-Normal4"/>
              <w:jc w:val="center"/>
              <w:rPr>
                <w:rFonts w:cs="Arial"/>
                <w:noProof/>
              </w:rPr>
            </w:pPr>
            <w:r>
              <w:rPr>
                <w:noProof/>
              </w:rPr>
              <w:t>Reformy 1.4 i 1.5: Reforma wymiaru sprawiedliwości w sprawach cywilnych i karnych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0E26C1" w14:textId="5FCAD4C5"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F19C32" w14:textId="77777777" w:rsidR="004C6421" w:rsidRDefault="009D1962">
            <w:pPr>
              <w:pStyle w:val="P68B1DB1-Normal4"/>
              <w:jc w:val="center"/>
              <w:rPr>
                <w:rFonts w:cs="Arial"/>
                <w:noProof/>
              </w:rPr>
            </w:pPr>
            <w:r>
              <w:rPr>
                <w:noProof/>
              </w:rPr>
              <w:t>Wejście w życie reformy wymiaru sprawiedliwości w sprawach cywilnych i karnych</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01FB17" w14:textId="77777777" w:rsidR="004C6421" w:rsidRDefault="009D1962">
            <w:pPr>
              <w:pStyle w:val="P68B1DB1-Normal4"/>
              <w:jc w:val="center"/>
              <w:rPr>
                <w:rFonts w:cs="Arial"/>
                <w:noProof/>
              </w:rPr>
            </w:pPr>
            <w:r>
              <w:rPr>
                <w:noProof/>
              </w:rPr>
              <w:t>Przepis w aktach prawa wtórnego wskazujący na wejście w życie aktów prawa wtórnego</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A0A5B6D"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A6235AB"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4B1CF7D"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71DD9B"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F4F4C10" w14:textId="77777777" w:rsidR="004C6421" w:rsidRDefault="009D1962">
            <w:pPr>
              <w:pStyle w:val="P68B1DB1-Normal4"/>
              <w:jc w:val="center"/>
              <w:rPr>
                <w:rFonts w:cs="Arial"/>
                <w:noProof/>
              </w:rPr>
            </w:pPr>
            <w:r>
              <w:rPr>
                <w:noProof/>
              </w:rPr>
              <w:t>2023</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25E9F8" w14:textId="77777777" w:rsidR="004C6421" w:rsidRDefault="009D1962">
            <w:pPr>
              <w:pStyle w:val="P68B1DB1-Normal4"/>
              <w:spacing w:after="120"/>
              <w:rPr>
                <w:rFonts w:cs="Arial"/>
                <w:noProof/>
              </w:rPr>
            </w:pPr>
            <w:r>
              <w:rPr>
                <w:noProof/>
              </w:rPr>
              <w:t>Zakończenie przyjmowania wszystkich przepisów i wtórnych źródeł prawodawstwa niezbędnych do skutecznego stosowania ustaw sprzyjających reformom wymiaru sprawiedliwości.</w:t>
            </w:r>
          </w:p>
        </w:tc>
      </w:tr>
      <w:tr w:rsidR="004C6421" w14:paraId="05F7A1ED"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DA4F1D" w14:textId="77777777" w:rsidR="004C6421" w:rsidRDefault="009D1962">
            <w:pPr>
              <w:pStyle w:val="P68B1DB1-Normal4"/>
              <w:jc w:val="center"/>
              <w:rPr>
                <w:rFonts w:cs="Arial"/>
                <w:noProof/>
              </w:rPr>
            </w:pPr>
            <w:r>
              <w:rPr>
                <w:noProof/>
              </w:rPr>
              <w:t>M1C1-38</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19E2FA" w14:textId="77777777" w:rsidR="004C6421" w:rsidRDefault="009D1962">
            <w:pPr>
              <w:pStyle w:val="P68B1DB1-Normal4"/>
              <w:jc w:val="center"/>
              <w:rPr>
                <w:rFonts w:cs="Arial"/>
                <w:noProof/>
              </w:rPr>
            </w:pPr>
            <w:r>
              <w:rPr>
                <w:noProof/>
              </w:rPr>
              <w:t>Reforma 1.8: Cyfryzacja wymiaru sprawiedliwości</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F2569AF" w14:textId="035167AE"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95448C0" w14:textId="77777777" w:rsidR="004C6421" w:rsidRDefault="009D1962">
            <w:pPr>
              <w:pStyle w:val="P68B1DB1-Normal4"/>
              <w:jc w:val="center"/>
              <w:rPr>
                <w:rFonts w:cs="Arial"/>
                <w:noProof/>
              </w:rPr>
            </w:pPr>
            <w:r>
              <w:rPr>
                <w:noProof/>
              </w:rPr>
              <w:t>Cyfryzacja systemu wymiaru sprawiedliwości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77AFFC" w14:textId="77777777" w:rsidR="004C6421" w:rsidRDefault="009D1962">
            <w:pPr>
              <w:pStyle w:val="P68B1DB1-Normal4"/>
              <w:jc w:val="center"/>
              <w:rPr>
                <w:rFonts w:cs="Arial"/>
                <w:noProof/>
              </w:rPr>
            </w:pPr>
            <w:r>
              <w:rPr>
                <w:noProof/>
              </w:rPr>
              <w:t>Przepis w aktach prawa pierwotnego i wtórnego wskazujący na wejście w życie odpowiednich aktów</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A74645"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73F71F4"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03498D"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296AA2" w14:textId="65033714"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CEC9C79" w14:textId="77777777" w:rsidR="004C6421" w:rsidRDefault="009D1962">
            <w:pPr>
              <w:pStyle w:val="P68B1DB1-Normal4"/>
              <w:jc w:val="center"/>
              <w:rPr>
                <w:rFonts w:cs="Arial"/>
                <w:noProof/>
              </w:rPr>
            </w:pPr>
            <w:r>
              <w:rPr>
                <w:noProof/>
              </w:rPr>
              <w:t>2023</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C3B9CB5" w14:textId="77777777" w:rsidR="004C6421" w:rsidRDefault="009D1962">
            <w:pPr>
              <w:pStyle w:val="P68B1DB1-Normal4"/>
              <w:spacing w:after="120"/>
              <w:rPr>
                <w:rFonts w:cs="Arial"/>
                <w:noProof/>
              </w:rPr>
            </w:pPr>
            <w:r>
              <w:rPr>
                <w:noProof/>
              </w:rPr>
              <w:t>Ustanawia się obowiązkowe elektroniczne składanie wszystkich dokumentów i pełną elektroniczną procedurę postępowania w postępowaniu cywilnym. Postępowanie karne w pierwszej instancji zostało zdigitalizowane (z wyłączeniem wstępnego urzędu ds. przesłuchań). Utworzenie bezpłatnej, w pełni dostępnej i dającej się przeszukiwać bazy danych orzeczeń cywilnych zgodnie z przepisami.</w:t>
            </w:r>
          </w:p>
        </w:tc>
      </w:tr>
      <w:tr w:rsidR="004C6421" w14:paraId="509602F5"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80BB03B" w14:textId="77777777" w:rsidR="004C6421" w:rsidRDefault="009D1962">
            <w:pPr>
              <w:pStyle w:val="P68B1DB1-Normal4"/>
              <w:jc w:val="center"/>
              <w:rPr>
                <w:rFonts w:cs="Arial"/>
                <w:noProof/>
              </w:rPr>
            </w:pPr>
            <w:r>
              <w:rPr>
                <w:noProof/>
              </w:rPr>
              <w:t>M1C1-38bis</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3748493" w14:textId="77777777" w:rsidR="004C6421" w:rsidRDefault="009D1962">
            <w:pPr>
              <w:pStyle w:val="P68B1DB1-Normal4"/>
              <w:jc w:val="center"/>
              <w:rPr>
                <w:rFonts w:cs="Arial"/>
                <w:noProof/>
              </w:rPr>
            </w:pPr>
            <w:r>
              <w:rPr>
                <w:noProof/>
              </w:rPr>
              <w:t>Reforma 1.8: Cyfryzacja wymiaru sprawiedliwości</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80EDDA2" w14:textId="4764F54D"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D596EB7" w14:textId="77777777" w:rsidR="004C6421" w:rsidRDefault="009D1962">
            <w:pPr>
              <w:pStyle w:val="P68B1DB1-Normal4"/>
              <w:jc w:val="center"/>
              <w:rPr>
                <w:rFonts w:cs="Arial"/>
                <w:noProof/>
              </w:rPr>
            </w:pPr>
            <w:r>
              <w:rPr>
                <w:noProof/>
              </w:rPr>
              <w:t>Cyfryzacja systemu wymiaru sprawiedliwości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AF91450" w14:textId="77777777" w:rsidR="004C6421" w:rsidRDefault="009D1962">
            <w:pPr>
              <w:pStyle w:val="P68B1DB1-Normal4"/>
              <w:jc w:val="center"/>
              <w:rPr>
                <w:rFonts w:cs="Arial"/>
                <w:noProof/>
              </w:rPr>
            </w:pPr>
            <w:r>
              <w:rPr>
                <w:noProof/>
              </w:rPr>
              <w:t>Pełna operacyjność i interoperacyjność PNR, PDP i APP</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08CEC86"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95A91A5"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2922CEC"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D24C99" w14:textId="07235F32"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AD174F4" w14:textId="77777777" w:rsidR="004C6421" w:rsidRDefault="009D1962">
            <w:pPr>
              <w:pStyle w:val="P68B1DB1-Normal4"/>
              <w:jc w:val="center"/>
              <w:rPr>
                <w:rFonts w:cs="Arial"/>
                <w:noProof/>
              </w:rPr>
            </w:pPr>
            <w:r>
              <w:rPr>
                <w:noProof/>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8099B8" w14:textId="77777777" w:rsidR="004C6421" w:rsidRDefault="009D1962">
            <w:pPr>
              <w:pStyle w:val="P68B1DB1-Normal4"/>
              <w:spacing w:after="120"/>
              <w:rPr>
                <w:rFonts w:cs="Arial"/>
                <w:noProof/>
              </w:rPr>
            </w:pPr>
            <w:r>
              <w:rPr>
                <w:noProof/>
              </w:rPr>
              <w:t>Pełna cyfryzacja postępowań karnych w pierwszej instancji aż do zakończenia postępowania za pośrednictwem „portale delle notizie di reato” (PNR), „portale dei depositi penali” (PDP) i „applicativo processo penale” (APP). Platformy są ze sobą interoperacyjne.</w:t>
            </w:r>
          </w:p>
        </w:tc>
      </w:tr>
      <w:tr w:rsidR="004C6421" w14:paraId="0EEA77C8"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FC460D" w14:textId="77777777" w:rsidR="004C6421" w:rsidRDefault="009D1962">
            <w:pPr>
              <w:pStyle w:val="P68B1DB1-Normal4"/>
              <w:jc w:val="center"/>
              <w:rPr>
                <w:rFonts w:cs="Arial"/>
                <w:noProof/>
              </w:rPr>
            </w:pPr>
            <w:r>
              <w:rPr>
                <w:noProof/>
              </w:rPr>
              <w:t>M1C1-39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A181A6B" w14:textId="77777777" w:rsidR="004C6421" w:rsidRDefault="009D1962">
            <w:pPr>
              <w:pStyle w:val="P68B1DB1-Normal4"/>
              <w:jc w:val="center"/>
              <w:rPr>
                <w:rFonts w:cs="Arial"/>
                <w:noProof/>
              </w:rPr>
            </w:pPr>
            <w:r>
              <w:rPr>
                <w:noProof/>
              </w:rPr>
              <w:t>Inwestycje 1.8: Procedury rekrutacji do sądów cywilnych i karnych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BA4F77"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B8764D8" w14:textId="77777777" w:rsidR="004C6421" w:rsidRDefault="009D1962">
            <w:pPr>
              <w:pStyle w:val="P68B1DB1-Normal4"/>
              <w:jc w:val="center"/>
              <w:rPr>
                <w:rFonts w:cs="Arial"/>
                <w:noProof/>
              </w:rPr>
            </w:pPr>
            <w:r>
              <w:rPr>
                <w:noProof/>
              </w:rPr>
              <w:t>Procedury rekrutacji lub rozszerzenia dotyczące sądów cywilnych i karnych oraz służb terytorialnych i centralnych Ministerstwa Sprawiedliwości odpowiedzialnych za realizację RRP</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34796E"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2324F5" w14:textId="77777777" w:rsidR="004C6421" w:rsidRDefault="009D1962">
            <w:pPr>
              <w:pStyle w:val="P68B1DB1-Normal4"/>
              <w:jc w:val="center"/>
              <w:rPr>
                <w:rFonts w:cs="Arial"/>
                <w:noProof/>
              </w:rPr>
            </w:pPr>
            <w:r>
              <w:rPr>
                <w:noProof/>
              </w:rPr>
              <w:t>Numer</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4DCD75" w14:textId="77777777" w:rsidR="004C6421" w:rsidRDefault="009D1962">
            <w:pPr>
              <w:pStyle w:val="P68B1DB1-Normal4"/>
              <w:jc w:val="center"/>
              <w:rPr>
                <w:rFonts w:cs="Arial"/>
                <w:noProof/>
              </w:rPr>
            </w:pPr>
            <w:r>
              <w:rPr>
                <w:noProof/>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2CFBE20" w14:textId="77777777" w:rsidR="004C6421" w:rsidRDefault="009D1962">
            <w:pPr>
              <w:pStyle w:val="P68B1DB1-Normal4"/>
              <w:jc w:val="center"/>
              <w:rPr>
                <w:rFonts w:cs="Arial"/>
                <w:noProof/>
              </w:rPr>
            </w:pPr>
            <w:r>
              <w:rPr>
                <w:noProof/>
              </w:rPr>
              <w:t>10 000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BD8314"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F5A6B9B" w14:textId="77777777" w:rsidR="004C6421" w:rsidRDefault="009D1962">
            <w:pPr>
              <w:pStyle w:val="P68B1DB1-Normal4"/>
              <w:jc w:val="center"/>
              <w:rPr>
                <w:rFonts w:cs="Arial"/>
                <w:noProof/>
              </w:rPr>
            </w:pPr>
            <w:r>
              <w:rPr>
                <w:noProof/>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ADF153D" w14:textId="77777777" w:rsidR="004C6421" w:rsidRDefault="009D1962">
            <w:pPr>
              <w:pStyle w:val="P68B1DB1-Normal4"/>
              <w:spacing w:after="120"/>
              <w:rPr>
                <w:rFonts w:cs="Arial"/>
                <w:noProof/>
              </w:rPr>
            </w:pPr>
            <w:r>
              <w:rPr>
                <w:noProof/>
              </w:rPr>
              <w:t>Dokończyć procedury rekrutacji lub rozszerzenia co najmniej 10000 jednostek personelu biura egzaminacyjnego oraz technicznego personelu administracyjnego i oddelegować ich do służby.</w:t>
            </w:r>
          </w:p>
          <w:p w14:paraId="5B3EAFC8" w14:textId="77777777" w:rsidR="004C6421" w:rsidRDefault="009D1962">
            <w:pPr>
              <w:pStyle w:val="P68B1DB1-Normal4"/>
              <w:spacing w:after="120"/>
              <w:rPr>
                <w:rFonts w:cs="Arial"/>
                <w:noProof/>
              </w:rPr>
            </w:pPr>
            <w:r>
              <w:rPr>
                <w:noProof/>
              </w:rPr>
              <w:t>Na poczet tego celu zalicza się wyłącznie procedury rekrutacji lub przedłużenia, które zostały zakończone od dnia 1 stycznia 2022 r.</w:t>
            </w:r>
          </w:p>
        </w:tc>
      </w:tr>
      <w:tr w:rsidR="004C6421" w14:paraId="6E1BB158"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401EB41" w14:textId="77777777" w:rsidR="004C6421" w:rsidRDefault="009D1962">
            <w:pPr>
              <w:pStyle w:val="P68B1DB1-Normal4"/>
              <w:jc w:val="center"/>
              <w:rPr>
                <w:rFonts w:cs="Arial"/>
                <w:noProof/>
              </w:rPr>
            </w:pPr>
            <w:r>
              <w:rPr>
                <w:noProof/>
              </w:rPr>
              <w:t>M1C1-40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8AAEDE9" w14:textId="77777777" w:rsidR="004C6421" w:rsidRDefault="009D1962">
            <w:pPr>
              <w:pStyle w:val="P68B1DB1-Normal4"/>
              <w:jc w:val="center"/>
              <w:rPr>
                <w:rFonts w:cs="Arial"/>
                <w:noProof/>
              </w:rPr>
            </w:pPr>
            <w:bookmarkStart w:id="2" w:name="_Hlk160473086"/>
            <w:r>
              <w:rPr>
                <w:noProof/>
              </w:rPr>
              <w:t>Inwestycje 1.8: Procedury rekrutacyjne w sądach administracyjnych</w:t>
            </w:r>
            <w:bookmarkEnd w:id="2"/>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75E08F"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5348A6B" w14:textId="77777777" w:rsidR="004C6421" w:rsidRDefault="009D1962">
            <w:pPr>
              <w:pStyle w:val="P68B1DB1-Normal4"/>
              <w:jc w:val="center"/>
              <w:rPr>
                <w:rFonts w:cs="Arial"/>
                <w:noProof/>
              </w:rPr>
            </w:pPr>
            <w:r>
              <w:rPr>
                <w:noProof/>
              </w:rPr>
              <w:t>Procedury rekrutacji lub przedłużenia postępowania przed sądami administracyjnymi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BAEF4C1"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F052CC" w14:textId="77777777" w:rsidR="004C6421" w:rsidRDefault="009D1962">
            <w:pPr>
              <w:pStyle w:val="P68B1DB1-Normal4"/>
              <w:jc w:val="center"/>
              <w:rPr>
                <w:rFonts w:cs="Arial"/>
                <w:noProof/>
              </w:rPr>
            </w:pPr>
            <w:r>
              <w:rPr>
                <w:noProof/>
              </w:rPr>
              <w:t>Numer</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BA54F47" w14:textId="77777777" w:rsidR="004C6421" w:rsidRDefault="009D1962">
            <w:pPr>
              <w:pStyle w:val="P68B1DB1-Normal4"/>
              <w:jc w:val="center"/>
              <w:rPr>
                <w:rFonts w:cs="Arial"/>
                <w:noProof/>
              </w:rPr>
            </w:pPr>
            <w:r>
              <w:rPr>
                <w:noProof/>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FDF113C" w14:textId="77777777" w:rsidR="004C6421" w:rsidRDefault="009D1962">
            <w:pPr>
              <w:pStyle w:val="P68B1DB1-Normal4"/>
              <w:jc w:val="center"/>
              <w:rPr>
                <w:rFonts w:cs="Arial"/>
                <w:noProof/>
              </w:rPr>
            </w:pPr>
            <w:r>
              <w:rPr>
                <w:noProof/>
              </w:rPr>
              <w:t>158</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BA51EB7"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9805E1" w14:textId="77777777" w:rsidR="004C6421" w:rsidRDefault="009D1962">
            <w:pPr>
              <w:pStyle w:val="P68B1DB1-Normal4"/>
              <w:jc w:val="center"/>
              <w:rPr>
                <w:rFonts w:cs="Arial"/>
                <w:noProof/>
              </w:rPr>
            </w:pPr>
            <w:r>
              <w:rPr>
                <w:noProof/>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2679CE" w14:textId="77777777" w:rsidR="004C6421" w:rsidRDefault="009D1962">
            <w:pPr>
              <w:pStyle w:val="P68B1DB1-Normal4"/>
              <w:spacing w:after="120"/>
              <w:rPr>
                <w:rFonts w:cs="Arial"/>
                <w:noProof/>
              </w:rPr>
            </w:pPr>
            <w:r>
              <w:rPr>
                <w:noProof/>
              </w:rPr>
              <w:t>Zakończenie procedur rekrutacji lub przedłużenia co najmniej 158 jednostek personelu w biurze procesowym i sądach administracyjnych oraz oddanie ich do użytku. Na poczet tego celu zalicza się wyłącznie procedury rekrutacji lub przedłużenia, które zostały zakończone od dnia 1 stycznia 2022 r.</w:t>
            </w:r>
          </w:p>
        </w:tc>
      </w:tr>
      <w:tr w:rsidR="004C6421" w14:paraId="496FA1F3"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76F712F" w14:textId="77777777" w:rsidR="004C6421" w:rsidRDefault="009D1962">
            <w:pPr>
              <w:pStyle w:val="P68B1DB1-Normal4"/>
              <w:jc w:val="center"/>
              <w:rPr>
                <w:rFonts w:cs="Arial"/>
                <w:noProof/>
              </w:rPr>
            </w:pPr>
            <w:r>
              <w:rPr>
                <w:noProof/>
              </w:rPr>
              <w:t>M1C1-41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955E76C" w14:textId="77777777" w:rsidR="004C6421" w:rsidRDefault="009D1962">
            <w:pPr>
              <w:pStyle w:val="P68B1DB1-Normal4"/>
              <w:jc w:val="center"/>
              <w:rPr>
                <w:rFonts w:cs="Arial"/>
                <w:noProof/>
              </w:rPr>
            </w:pPr>
            <w:r>
              <w:rPr>
                <w:noProof/>
              </w:rPr>
              <w:t>Inwestycje 1.8: Procedury rekrutacyjne w sądach administracyjnych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9C01C8"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FD56E9" w14:textId="77777777" w:rsidR="004C6421" w:rsidRDefault="009D1962">
            <w:pPr>
              <w:pStyle w:val="P68B1DB1-Normal4"/>
              <w:jc w:val="center"/>
              <w:rPr>
                <w:rFonts w:cs="Arial"/>
                <w:noProof/>
              </w:rPr>
            </w:pPr>
            <w:r>
              <w:rPr>
                <w:noProof/>
              </w:rPr>
              <w:t>Zmniejszenie liczby zaległych spraw dotyczących regionalnych sądów administracyjnych</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7FBE8DB"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6210CF3" w14:textId="77777777" w:rsidR="004C6421" w:rsidRDefault="009D1962">
            <w:pPr>
              <w:pStyle w:val="P68B1DB1-Normal4"/>
              <w:jc w:val="center"/>
              <w:rPr>
                <w:rFonts w:cs="Arial"/>
                <w:noProof/>
              </w:rPr>
            </w:pPr>
            <w:r>
              <w:rPr>
                <w:noProof/>
              </w:rPr>
              <w:t>Procent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CFA95A1" w14:textId="77777777" w:rsidR="004C6421" w:rsidRDefault="009D1962">
            <w:pPr>
              <w:pStyle w:val="P68B1DB1-Normal4"/>
              <w:jc w:val="center"/>
              <w:rPr>
                <w:rFonts w:cs="Arial"/>
                <w:noProof/>
              </w:rPr>
            </w:pPr>
            <w:r>
              <w:rPr>
                <w:noProof/>
              </w:rPr>
              <w:t>100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4B02AE" w14:textId="77777777" w:rsidR="004C6421" w:rsidRDefault="009D1962">
            <w:pPr>
              <w:pStyle w:val="P68B1DB1-Normal4"/>
              <w:jc w:val="center"/>
              <w:rPr>
                <w:rFonts w:cs="Arial"/>
                <w:noProof/>
              </w:rPr>
            </w:pPr>
            <w:r>
              <w:rPr>
                <w:noProof/>
              </w:rPr>
              <w:t>75</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CB281BC"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727EFCC" w14:textId="77777777" w:rsidR="004C6421" w:rsidRDefault="009D1962">
            <w:pPr>
              <w:pStyle w:val="P68B1DB1-Normal4"/>
              <w:jc w:val="center"/>
              <w:rPr>
                <w:rFonts w:cs="Arial"/>
                <w:noProof/>
              </w:rPr>
            </w:pPr>
            <w:r>
              <w:rPr>
                <w:noProof/>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2275188" w14:textId="77777777" w:rsidR="004C6421" w:rsidRDefault="009D1962">
            <w:pPr>
              <w:pStyle w:val="P68B1DB1-Normal4"/>
              <w:spacing w:after="120"/>
              <w:rPr>
                <w:rFonts w:cs="Arial"/>
                <w:noProof/>
              </w:rPr>
            </w:pPr>
            <w:r>
              <w:rPr>
                <w:noProof/>
              </w:rPr>
              <w:t>Zmniejszenie o 25 % liczby spraw w toku w 2019 r. (109029) w regionalnych sądach administracyjnych (sądach administracyjnych pierwszej instancji).</w:t>
            </w:r>
          </w:p>
        </w:tc>
      </w:tr>
      <w:tr w:rsidR="004C6421" w14:paraId="0399252E"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AA4D56C" w14:textId="77777777" w:rsidR="004C6421" w:rsidRDefault="009D1962">
            <w:pPr>
              <w:pStyle w:val="P68B1DB1-Normal4"/>
              <w:jc w:val="center"/>
              <w:rPr>
                <w:rFonts w:cs="Arial"/>
                <w:noProof/>
              </w:rPr>
            </w:pPr>
            <w:r>
              <w:rPr>
                <w:noProof/>
              </w:rPr>
              <w:t>M1C1-42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9C6A87" w14:textId="77777777" w:rsidR="004C6421" w:rsidRDefault="009D1962">
            <w:pPr>
              <w:pStyle w:val="P68B1DB1-Normal4"/>
              <w:jc w:val="center"/>
              <w:rPr>
                <w:rFonts w:cs="Arial"/>
                <w:noProof/>
              </w:rPr>
            </w:pPr>
            <w:r>
              <w:rPr>
                <w:noProof/>
              </w:rPr>
              <w:t>Inwestycje 1.8: Procedury rekrutacyjne w sądach administracyjnych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BAF6BCD"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3C75823" w14:textId="77777777" w:rsidR="004C6421" w:rsidRDefault="009D1962">
            <w:pPr>
              <w:pStyle w:val="P68B1DB1-Normal4"/>
              <w:jc w:val="center"/>
              <w:rPr>
                <w:rFonts w:cs="Arial"/>
                <w:noProof/>
              </w:rPr>
            </w:pPr>
            <w:r>
              <w:rPr>
                <w:noProof/>
              </w:rPr>
              <w:t>Zmniejszenie liczby zaległych spraw w Radzie Stanu</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8D12B0"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C12D589" w14:textId="77777777" w:rsidR="004C6421" w:rsidRDefault="009D1962">
            <w:pPr>
              <w:pStyle w:val="P68B1DB1-Normal4"/>
              <w:jc w:val="center"/>
              <w:rPr>
                <w:rFonts w:cs="Arial"/>
                <w:noProof/>
              </w:rPr>
            </w:pPr>
            <w:r>
              <w:rPr>
                <w:noProof/>
              </w:rPr>
              <w:t>Procent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996BC51" w14:textId="77777777" w:rsidR="004C6421" w:rsidRDefault="009D1962">
            <w:pPr>
              <w:pStyle w:val="P68B1DB1-Normal4"/>
              <w:jc w:val="center"/>
              <w:rPr>
                <w:rFonts w:cs="Arial"/>
                <w:noProof/>
              </w:rPr>
            </w:pPr>
            <w:r>
              <w:rPr>
                <w:noProof/>
              </w:rPr>
              <w:t>100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C33734" w14:textId="77777777" w:rsidR="004C6421" w:rsidRDefault="009D1962">
            <w:pPr>
              <w:pStyle w:val="P68B1DB1-Normal4"/>
              <w:jc w:val="center"/>
              <w:rPr>
                <w:rFonts w:cs="Arial"/>
                <w:noProof/>
              </w:rPr>
            </w:pPr>
            <w:r>
              <w:rPr>
                <w:noProof/>
              </w:rPr>
              <w:t>65</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A29C68B"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FB297B0" w14:textId="77777777" w:rsidR="004C6421" w:rsidRDefault="009D1962">
            <w:pPr>
              <w:pStyle w:val="P68B1DB1-Normal4"/>
              <w:jc w:val="center"/>
              <w:rPr>
                <w:rFonts w:cs="Arial"/>
                <w:noProof/>
              </w:rPr>
            </w:pPr>
            <w:r>
              <w:rPr>
                <w:noProof/>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17228EF" w14:textId="77777777" w:rsidR="004C6421" w:rsidRDefault="009D1962">
            <w:pPr>
              <w:pStyle w:val="P68B1DB1-Normal4"/>
              <w:spacing w:after="120"/>
              <w:rPr>
                <w:rFonts w:cs="Arial"/>
                <w:noProof/>
              </w:rPr>
            </w:pPr>
            <w:r>
              <w:rPr>
                <w:noProof/>
              </w:rPr>
              <w:t>Zmniejszenie o 35 % liczby spraw w toku w 2019 r. (24010) w Radzie Stanu (druga instancja).</w:t>
            </w:r>
          </w:p>
        </w:tc>
      </w:tr>
      <w:tr w:rsidR="004C6421" w14:paraId="76DDE638"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340CB6" w14:textId="77777777" w:rsidR="004C6421" w:rsidRDefault="009D1962">
            <w:pPr>
              <w:pStyle w:val="P68B1DB1-Normal4"/>
              <w:jc w:val="center"/>
              <w:rPr>
                <w:rFonts w:cs="Arial"/>
                <w:noProof/>
              </w:rPr>
            </w:pPr>
            <w:r>
              <w:rPr>
                <w:noProof/>
              </w:rPr>
              <w:t>M1C1-43</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D86208" w14:textId="77777777" w:rsidR="004C6421" w:rsidRDefault="009D1962">
            <w:pPr>
              <w:pStyle w:val="P68B1DB1-Normal4"/>
              <w:jc w:val="center"/>
              <w:rPr>
                <w:rFonts w:cs="Arial"/>
                <w:noProof/>
              </w:rPr>
            </w:pPr>
            <w:r>
              <w:rPr>
                <w:noProof/>
              </w:rPr>
              <w:t>Reforma 1.4: Reforma wymiaru sprawiedliwości w sprawach cywilnych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35A46D"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F1A312" w14:textId="77777777" w:rsidR="004C6421" w:rsidRDefault="009D1962">
            <w:pPr>
              <w:pStyle w:val="P68B1DB1-Normal4"/>
              <w:jc w:val="center"/>
              <w:rPr>
                <w:rFonts w:cs="Arial"/>
                <w:noProof/>
              </w:rPr>
            </w:pPr>
            <w:r>
              <w:rPr>
                <w:noProof/>
              </w:rPr>
              <w:t>Zmniejszenie liczby zaległych spraw w sądach powszechnych w sprawach cywilnych (pierwsza instancja)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09A93A"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EAE0D6E" w14:textId="77777777" w:rsidR="004C6421" w:rsidRDefault="009D1962">
            <w:pPr>
              <w:pStyle w:val="P68B1DB1-Normal4"/>
              <w:jc w:val="center"/>
              <w:rPr>
                <w:rFonts w:cs="Arial"/>
                <w:noProof/>
              </w:rPr>
            </w:pPr>
            <w:r>
              <w:rPr>
                <w:noProof/>
              </w:rPr>
              <w:t>Procent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6461C5D" w14:textId="77777777" w:rsidR="004C6421" w:rsidRDefault="009D1962">
            <w:pPr>
              <w:pStyle w:val="P68B1DB1-Normal4"/>
              <w:jc w:val="center"/>
              <w:rPr>
                <w:rFonts w:cs="Arial"/>
                <w:noProof/>
              </w:rPr>
            </w:pPr>
            <w:r>
              <w:rPr>
                <w:noProof/>
              </w:rPr>
              <w:t>100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ABAE8BD" w14:textId="77777777" w:rsidR="004C6421" w:rsidRDefault="009D1962">
            <w:pPr>
              <w:pStyle w:val="P68B1DB1-Normal4"/>
              <w:jc w:val="center"/>
              <w:rPr>
                <w:rFonts w:cs="Arial"/>
                <w:noProof/>
              </w:rPr>
            </w:pPr>
            <w:r>
              <w:rPr>
                <w:noProof/>
              </w:rPr>
              <w:t>5</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F7F630B" w14:textId="7307BAEE"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507624E" w14:textId="77777777" w:rsidR="004C6421" w:rsidRDefault="009D1962">
            <w:pPr>
              <w:pStyle w:val="P68B1DB1-Normal4"/>
              <w:jc w:val="center"/>
              <w:rPr>
                <w:rFonts w:cs="Arial"/>
                <w:noProof/>
              </w:rPr>
            </w:pPr>
            <w:r>
              <w:rPr>
                <w:noProof/>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5324D9" w14:textId="77777777" w:rsidR="004C6421" w:rsidRDefault="009D1962">
            <w:pPr>
              <w:pStyle w:val="P68B1DB1-Normal4"/>
              <w:spacing w:after="120"/>
              <w:rPr>
                <w:rFonts w:cs="Arial"/>
                <w:noProof/>
              </w:rPr>
            </w:pPr>
            <w:r>
              <w:rPr>
                <w:noProof/>
              </w:rPr>
              <w:t>Zmniejszenie o 95 % liczby spraw w toku w 2019 r. (337740) w sądach powszechnych w sprawach cywilnych (pierwsza instancja).</w:t>
            </w:r>
          </w:p>
          <w:p w14:paraId="5BB982DB" w14:textId="77777777" w:rsidR="004C6421" w:rsidRDefault="009D1962">
            <w:pPr>
              <w:pStyle w:val="P68B1DB1-Normal4"/>
              <w:spacing w:after="120"/>
              <w:rPr>
                <w:rFonts w:cs="Arial"/>
                <w:noProof/>
              </w:rPr>
            </w:pPr>
            <w:r>
              <w:rPr>
                <w:noProof/>
              </w:rPr>
              <w:t>Punktem odniesienia jest liczba spraw zawisłych przez ponad trzy lata przed sądami powszechnymi w sprawach cywilnych (w 2019 r.).</w:t>
            </w:r>
          </w:p>
        </w:tc>
      </w:tr>
      <w:tr w:rsidR="004C6421" w14:paraId="256A5B28"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9D5EA4E" w14:textId="77777777" w:rsidR="004C6421" w:rsidRDefault="009D1962">
            <w:pPr>
              <w:pStyle w:val="P68B1DB1-Normal4"/>
              <w:jc w:val="center"/>
              <w:rPr>
                <w:rFonts w:cs="Arial"/>
                <w:noProof/>
              </w:rPr>
            </w:pPr>
            <w:r>
              <w:rPr>
                <w:noProof/>
              </w:rPr>
              <w:t>M1C1-44</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8A84D5" w14:textId="77777777" w:rsidR="004C6421" w:rsidRDefault="009D1962">
            <w:pPr>
              <w:pStyle w:val="P68B1DB1-Normal4"/>
              <w:jc w:val="center"/>
              <w:rPr>
                <w:rFonts w:cs="Arial"/>
                <w:noProof/>
              </w:rPr>
            </w:pPr>
            <w:r>
              <w:rPr>
                <w:noProof/>
              </w:rPr>
              <w:t>Reforma 1.4: Reforma wymiaru sprawiedliwości w sprawach cywilnych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316B8B3"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9B84BEC" w14:textId="77777777" w:rsidR="004C6421" w:rsidRDefault="009D1962">
            <w:pPr>
              <w:pStyle w:val="P68B1DB1-Normal4"/>
              <w:jc w:val="center"/>
              <w:rPr>
                <w:rFonts w:cs="Arial"/>
                <w:noProof/>
              </w:rPr>
            </w:pPr>
            <w:r>
              <w:rPr>
                <w:noProof/>
              </w:rPr>
              <w:t>Zmniejszenie liczby zaległych spraw w Sądzie Apelacyjnym w sprawach cywilnych (druga instancja)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E456C9C"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647F47" w14:textId="77777777" w:rsidR="004C6421" w:rsidRDefault="009D1962">
            <w:pPr>
              <w:pStyle w:val="P68B1DB1-Normal4"/>
              <w:jc w:val="center"/>
              <w:rPr>
                <w:rFonts w:cs="Arial"/>
                <w:noProof/>
              </w:rPr>
            </w:pPr>
            <w:r>
              <w:rPr>
                <w:noProof/>
              </w:rPr>
              <w:t>Procent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73A222" w14:textId="77777777" w:rsidR="004C6421" w:rsidRDefault="009D1962">
            <w:pPr>
              <w:pStyle w:val="P68B1DB1-Normal4"/>
              <w:jc w:val="center"/>
              <w:rPr>
                <w:rFonts w:cs="Arial"/>
                <w:noProof/>
              </w:rPr>
            </w:pPr>
            <w:r>
              <w:rPr>
                <w:noProof/>
              </w:rPr>
              <w:t>100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91FB5F0" w14:textId="77777777" w:rsidR="004C6421" w:rsidRDefault="009D1962">
            <w:pPr>
              <w:pStyle w:val="P68B1DB1-Normal4"/>
              <w:jc w:val="center"/>
              <w:rPr>
                <w:rFonts w:cs="Arial"/>
                <w:noProof/>
              </w:rPr>
            </w:pPr>
            <w:r>
              <w:rPr>
                <w:noProof/>
              </w:rPr>
              <w:t>5</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0938BE1" w14:textId="0A9B3E64"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6A32D3" w14:textId="77777777" w:rsidR="004C6421" w:rsidRDefault="009D1962">
            <w:pPr>
              <w:pStyle w:val="P68B1DB1-Normal4"/>
              <w:jc w:val="center"/>
              <w:rPr>
                <w:rFonts w:cs="Arial"/>
                <w:noProof/>
              </w:rPr>
            </w:pPr>
            <w:r>
              <w:rPr>
                <w:noProof/>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02C7455" w14:textId="77777777" w:rsidR="004C6421" w:rsidRDefault="009D1962">
            <w:pPr>
              <w:pStyle w:val="P68B1DB1-Normal4"/>
              <w:spacing w:after="120"/>
              <w:rPr>
                <w:rFonts w:cs="Arial"/>
                <w:noProof/>
              </w:rPr>
            </w:pPr>
            <w:r>
              <w:rPr>
                <w:noProof/>
              </w:rPr>
              <w:t xml:space="preserve">Zmniejszenie o 95 % liczby spraw w toku w 2019 r. (98371) w Sądach Apelacyjnych w sprawach cywilnych (druga instancja). </w:t>
            </w:r>
          </w:p>
          <w:p w14:paraId="2477DD1D" w14:textId="77777777" w:rsidR="004C6421" w:rsidRDefault="009D1962">
            <w:pPr>
              <w:pStyle w:val="P68B1DB1-Normal4"/>
              <w:spacing w:after="120"/>
              <w:rPr>
                <w:rFonts w:cs="Arial"/>
                <w:noProof/>
              </w:rPr>
            </w:pPr>
            <w:r>
              <w:rPr>
                <w:noProof/>
              </w:rPr>
              <w:t>Punktem odniesienia jest liczba spraw zawisłych przez ponad dwa lata przed cywilnymi sądami apelacyjnymi (w 2019 r.).</w:t>
            </w:r>
          </w:p>
        </w:tc>
      </w:tr>
      <w:tr w:rsidR="004C6421" w14:paraId="379C1D05"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C37DB27" w14:textId="77777777" w:rsidR="004C6421" w:rsidRDefault="009D1962">
            <w:pPr>
              <w:pStyle w:val="P68B1DB1-Normal4"/>
              <w:jc w:val="center"/>
              <w:rPr>
                <w:rFonts w:cs="Arial"/>
                <w:noProof/>
              </w:rPr>
            </w:pPr>
            <w:r>
              <w:rPr>
                <w:noProof/>
              </w:rPr>
              <w:t>M1C1-37bis</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DF6E44" w14:textId="77777777" w:rsidR="004C6421" w:rsidRDefault="009D1962">
            <w:pPr>
              <w:pStyle w:val="P68B1DB1-Normal4"/>
              <w:jc w:val="center"/>
              <w:rPr>
                <w:rFonts w:cs="Arial"/>
                <w:noProof/>
              </w:rPr>
            </w:pPr>
            <w:r>
              <w:rPr>
                <w:noProof/>
              </w:rPr>
              <w:t>Reforma 1.4: Reforma wymiaru sprawiedliwości w sprawach cywilnych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795ED5C" w14:textId="00B5349C"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DBFC746" w14:textId="77777777" w:rsidR="004C6421" w:rsidRDefault="009D1962">
            <w:pPr>
              <w:pStyle w:val="P68B1DB1-Normal4"/>
              <w:jc w:val="center"/>
              <w:rPr>
                <w:rFonts w:cs="Arial"/>
                <w:noProof/>
              </w:rPr>
            </w:pPr>
            <w:r>
              <w:rPr>
                <w:noProof/>
              </w:rPr>
              <w:t>Wejście w życie środków mających na celu zmniejszenie zaległości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14CB500" w14:textId="77777777" w:rsidR="004C6421" w:rsidRDefault="009D1962">
            <w:pPr>
              <w:pStyle w:val="P68B1DB1-Normal4"/>
              <w:jc w:val="center"/>
              <w:rPr>
                <w:rFonts w:cs="Arial"/>
                <w:noProof/>
              </w:rPr>
            </w:pPr>
            <w:r>
              <w:rPr>
                <w:noProof/>
              </w:rPr>
              <w:t>Przepis prawa wskazujący na wejście w życie prawa pierwotnego i aktów prawa wtórnego w celu zmniejszenia zaległości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6C8A27C" w14:textId="77777777" w:rsidR="004C6421" w:rsidRDefault="004C6421">
            <w:pPr>
              <w:jc w:val="center"/>
              <w:rPr>
                <w:rFonts w:ascii="Arial Narrow" w:hAnsi="Arial Narrow" w:cs="Arial"/>
                <w:noProof/>
                <w:color w:val="0061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0E2E96" w14:textId="77777777" w:rsidR="004C6421" w:rsidRDefault="004C6421">
            <w:pPr>
              <w:jc w:val="center"/>
              <w:rPr>
                <w:rFonts w:ascii="Arial Narrow" w:hAnsi="Arial Narrow" w:cs="Arial"/>
                <w:noProof/>
                <w:color w:val="006100"/>
                <w:sz w:val="20"/>
              </w:rPr>
            </w:pP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D1E0B88" w14:textId="77777777" w:rsidR="004C6421" w:rsidRDefault="004C6421">
            <w:pPr>
              <w:jc w:val="center"/>
              <w:rPr>
                <w:rFonts w:ascii="Arial Narrow" w:hAnsi="Arial Narrow" w:cs="Arial"/>
                <w:noProof/>
                <w:color w:val="006100"/>
                <w:sz w:val="20"/>
              </w:rPr>
            </w:pP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AD2E7C" w14:textId="42AFF394" w:rsidR="004C6421" w:rsidRDefault="00CC179E">
            <w:pPr>
              <w:pStyle w:val="P68B1DB1-Normal4"/>
              <w:jc w:val="center"/>
              <w:rPr>
                <w:rFonts w:cs="Arial"/>
                <w:noProof/>
              </w:rPr>
            </w:pPr>
            <w:r>
              <w:rPr>
                <w:noProof/>
              </w:rPr>
              <w:t>KW. 1</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DD08DD" w14:textId="77777777" w:rsidR="004C6421" w:rsidRDefault="009D1962">
            <w:pPr>
              <w:pStyle w:val="P68B1DB1-Normal4"/>
              <w:jc w:val="center"/>
              <w:rPr>
                <w:rFonts w:cs="Arial"/>
                <w:noProof/>
              </w:rPr>
            </w:pPr>
            <w:r>
              <w:rPr>
                <w:noProof/>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4A9DA82" w14:textId="77777777" w:rsidR="004C6421" w:rsidRDefault="009D1962">
            <w:pPr>
              <w:pStyle w:val="P68B1DB1-Normal4"/>
              <w:rPr>
                <w:rFonts w:cs="Arial"/>
                <w:noProof/>
              </w:rPr>
            </w:pPr>
            <w:r>
              <w:rPr>
                <w:noProof/>
              </w:rPr>
              <w:t>Wejście w życie prawa pierwotnego i źródeł prawa wtórnego, aby umożliwić:</w:t>
            </w:r>
          </w:p>
          <w:p w14:paraId="533066FF" w14:textId="77777777" w:rsidR="004C6421" w:rsidRDefault="009D1962">
            <w:pPr>
              <w:pStyle w:val="P68B1DB1-ListParagraph5"/>
              <w:numPr>
                <w:ilvl w:val="0"/>
                <w:numId w:val="115"/>
              </w:numPr>
              <w:ind w:left="304" w:hanging="142"/>
              <w:jc w:val="left"/>
              <w:rPr>
                <w:rFonts w:cs="Arial"/>
                <w:noProof/>
              </w:rPr>
            </w:pPr>
            <w:r>
              <w:rPr>
                <w:noProof/>
              </w:rPr>
              <w:t>Wzmocnienie biur sądowych, w tym za pomocą zachęt, w celu przyciągnięcia i zatrzymania jednostek personelu zatrudnionego na podstawie programu rekrutacji w ramach krajowego planu odbudowy i zwiększania odporności;</w:t>
            </w:r>
          </w:p>
          <w:p w14:paraId="02EC2034" w14:textId="77777777" w:rsidR="004C6421" w:rsidRDefault="009D1962">
            <w:pPr>
              <w:pStyle w:val="P68B1DB1-ListParagraph5"/>
              <w:numPr>
                <w:ilvl w:val="0"/>
                <w:numId w:val="115"/>
              </w:numPr>
              <w:ind w:left="304" w:hanging="142"/>
              <w:jc w:val="left"/>
              <w:rPr>
                <w:rFonts w:cs="Arial"/>
                <w:noProof/>
              </w:rPr>
            </w:pPr>
            <w:r>
              <w:rPr>
                <w:noProof/>
              </w:rPr>
              <w:t>Stworzenie zachęt do: 1) wspieranie mniej skutecznych sądów w zmniejszaniu zaległości w zakresie wymiaru sprawiedliwości w sprawach cywilnych; 2) nagradzanie urzędów sądowych, które osiągają konkretne cele roczne polegające na zmniejszeniu liczby spraw w toku w systemie wymiaru sprawiedliwości w sprawach cywilnych.</w:t>
            </w:r>
          </w:p>
        </w:tc>
      </w:tr>
      <w:tr w:rsidR="004C6421" w14:paraId="547F241A"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B121026" w14:textId="77777777" w:rsidR="004C6421" w:rsidRDefault="009D1962">
            <w:pPr>
              <w:pStyle w:val="P68B1DB1-Normal4"/>
              <w:jc w:val="center"/>
              <w:rPr>
                <w:rFonts w:cs="Arial"/>
                <w:noProof/>
              </w:rPr>
            </w:pPr>
            <w:r>
              <w:rPr>
                <w:noProof/>
              </w:rPr>
              <w:t>M1C1-45</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026FA5" w14:textId="77777777" w:rsidR="004C6421" w:rsidRDefault="009D1962">
            <w:pPr>
              <w:pStyle w:val="P68B1DB1-Normal4"/>
              <w:jc w:val="center"/>
              <w:rPr>
                <w:rFonts w:cs="Arial"/>
                <w:noProof/>
              </w:rPr>
            </w:pPr>
            <w:r>
              <w:rPr>
                <w:noProof/>
              </w:rPr>
              <w:t>Reformy 1.4: Reforma wymiaru sprawiedliwości w sprawach cywilnych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82183C"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8E8830C" w14:textId="77777777" w:rsidR="004C6421" w:rsidRDefault="009D1962">
            <w:pPr>
              <w:pStyle w:val="P68B1DB1-Normal4"/>
              <w:jc w:val="center"/>
              <w:rPr>
                <w:rFonts w:cs="Arial"/>
                <w:noProof/>
              </w:rPr>
            </w:pPr>
            <w:r>
              <w:rPr>
                <w:noProof/>
              </w:rPr>
              <w:t>Skrócenie czasu trwania postępowania cywilnego</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AF8479D"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1E02D39" w14:textId="77777777" w:rsidR="004C6421" w:rsidRDefault="009D1962">
            <w:pPr>
              <w:pStyle w:val="P68B1DB1-Normal4"/>
              <w:jc w:val="center"/>
              <w:rPr>
                <w:rFonts w:cs="Arial"/>
                <w:noProof/>
              </w:rPr>
            </w:pPr>
            <w:r>
              <w:rPr>
                <w:noProof/>
              </w:rPr>
              <w:t>Procent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33BFB7" w14:textId="77777777" w:rsidR="004C6421" w:rsidRDefault="009D1962">
            <w:pPr>
              <w:pStyle w:val="P68B1DB1-Normal4"/>
              <w:jc w:val="center"/>
              <w:rPr>
                <w:rFonts w:cs="Arial"/>
                <w:noProof/>
              </w:rPr>
            </w:pPr>
            <w:r>
              <w:rPr>
                <w:noProof/>
              </w:rPr>
              <w:t>100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C4ED1C9" w14:textId="77777777" w:rsidR="004C6421" w:rsidRDefault="009D1962">
            <w:pPr>
              <w:pStyle w:val="P68B1DB1-Normal4"/>
              <w:jc w:val="center"/>
              <w:rPr>
                <w:rFonts w:cs="Arial"/>
                <w:noProof/>
              </w:rPr>
            </w:pPr>
            <w:r>
              <w:rPr>
                <w:noProof/>
              </w:rPr>
              <w:t>60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D2BAB3"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D514516" w14:textId="77777777" w:rsidR="004C6421" w:rsidRDefault="009D1962">
            <w:pPr>
              <w:pStyle w:val="P68B1DB1-Normal4"/>
              <w:jc w:val="center"/>
              <w:rPr>
                <w:rFonts w:cs="Arial"/>
                <w:noProof/>
              </w:rPr>
            </w:pPr>
            <w:r>
              <w:rPr>
                <w:noProof/>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D43196" w14:textId="77777777" w:rsidR="004C6421" w:rsidRDefault="009D1962">
            <w:pPr>
              <w:pStyle w:val="P68B1DB1-Normal4"/>
              <w:spacing w:after="120"/>
              <w:rPr>
                <w:rFonts w:cs="Arial"/>
                <w:noProof/>
              </w:rPr>
            </w:pPr>
            <w:r>
              <w:rPr>
                <w:noProof/>
              </w:rPr>
              <w:t xml:space="preserve">Skrócenie czasu rozpatrywania spraw cywilnych i handlowych o 40 % w porównaniu z 2019 r. </w:t>
            </w:r>
          </w:p>
        </w:tc>
      </w:tr>
      <w:tr w:rsidR="004C6421" w14:paraId="6836077F"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C98E6C4" w14:textId="77777777" w:rsidR="004C6421" w:rsidRDefault="009D1962">
            <w:pPr>
              <w:pStyle w:val="P68B1DB1-Normal4"/>
              <w:jc w:val="center"/>
              <w:rPr>
                <w:rFonts w:cs="Arial"/>
                <w:noProof/>
              </w:rPr>
            </w:pPr>
            <w:r>
              <w:rPr>
                <w:noProof/>
              </w:rPr>
              <w:t>M1C1-46</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D9C792" w14:textId="77777777" w:rsidR="004C6421" w:rsidRDefault="009D1962">
            <w:pPr>
              <w:pStyle w:val="P68B1DB1-Normal4"/>
              <w:jc w:val="center"/>
              <w:rPr>
                <w:rFonts w:cs="Arial"/>
                <w:noProof/>
              </w:rPr>
            </w:pPr>
            <w:r>
              <w:rPr>
                <w:noProof/>
              </w:rPr>
              <w:t>Reforma 1.5: Reforma wymiaru sprawiedliwości w sprawach karnych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DC9E1C3"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E6D8C0" w14:textId="77777777" w:rsidR="004C6421" w:rsidRDefault="009D1962">
            <w:pPr>
              <w:pStyle w:val="P68B1DB1-Normal4"/>
              <w:jc w:val="center"/>
              <w:rPr>
                <w:rFonts w:cs="Arial"/>
                <w:noProof/>
              </w:rPr>
            </w:pPr>
            <w:r>
              <w:rPr>
                <w:noProof/>
              </w:rPr>
              <w:t>Skrócenie czasu trwania postępowania karnego</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715F3B3"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032EB7A" w14:textId="77777777" w:rsidR="004C6421" w:rsidRDefault="009D1962">
            <w:pPr>
              <w:pStyle w:val="P68B1DB1-Normal4"/>
              <w:jc w:val="center"/>
              <w:rPr>
                <w:rFonts w:cs="Arial"/>
                <w:noProof/>
              </w:rPr>
            </w:pPr>
            <w:r>
              <w:rPr>
                <w:noProof/>
              </w:rPr>
              <w:t>Procent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C806BCF" w14:textId="77777777" w:rsidR="004C6421" w:rsidRDefault="009D1962">
            <w:pPr>
              <w:pStyle w:val="P68B1DB1-Normal4"/>
              <w:jc w:val="center"/>
              <w:rPr>
                <w:rFonts w:cs="Arial"/>
                <w:noProof/>
              </w:rPr>
            </w:pPr>
            <w:r>
              <w:rPr>
                <w:noProof/>
              </w:rPr>
              <w:t>100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B4986D" w14:textId="77777777" w:rsidR="004C6421" w:rsidRDefault="009D1962">
            <w:pPr>
              <w:pStyle w:val="P68B1DB1-Normal4"/>
              <w:jc w:val="center"/>
              <w:rPr>
                <w:rFonts w:cs="Arial"/>
                <w:noProof/>
              </w:rPr>
            </w:pPr>
            <w:r>
              <w:rPr>
                <w:noProof/>
              </w:rPr>
              <w:t>75</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485839"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E6D7F9D" w14:textId="77777777" w:rsidR="004C6421" w:rsidRDefault="009D1962">
            <w:pPr>
              <w:pStyle w:val="P68B1DB1-Normal4"/>
              <w:jc w:val="center"/>
              <w:rPr>
                <w:rFonts w:cs="Arial"/>
                <w:noProof/>
              </w:rPr>
            </w:pPr>
            <w:r>
              <w:rPr>
                <w:noProof/>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9C57C15" w14:textId="77777777" w:rsidR="004C6421" w:rsidRDefault="009D1962">
            <w:pPr>
              <w:pStyle w:val="P68B1DB1-Normal4"/>
              <w:spacing w:after="120"/>
              <w:rPr>
                <w:rFonts w:cs="Arial"/>
                <w:noProof/>
              </w:rPr>
            </w:pPr>
            <w:r>
              <w:rPr>
                <w:noProof/>
              </w:rPr>
              <w:t xml:space="preserve">Skrócenie czasu rozpatrywania spraw karnych o 25 % w porównaniu z 2019 r. </w:t>
            </w:r>
          </w:p>
        </w:tc>
      </w:tr>
      <w:tr w:rsidR="004C6421" w14:paraId="770F4FF6"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BCA731E" w14:textId="77777777" w:rsidR="004C6421" w:rsidRDefault="009D1962">
            <w:pPr>
              <w:pStyle w:val="P68B1DB1-Normal4"/>
              <w:jc w:val="center"/>
              <w:rPr>
                <w:rFonts w:cs="Arial"/>
                <w:noProof/>
              </w:rPr>
            </w:pPr>
            <w:r>
              <w:rPr>
                <w:noProof/>
              </w:rPr>
              <w:t>M1C1-47</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AF39E4" w14:textId="77777777" w:rsidR="004C6421" w:rsidRDefault="009D1962">
            <w:pPr>
              <w:pStyle w:val="P68B1DB1-Normal4"/>
              <w:jc w:val="center"/>
              <w:rPr>
                <w:rFonts w:cs="Arial"/>
                <w:noProof/>
              </w:rPr>
            </w:pPr>
            <w:r>
              <w:rPr>
                <w:noProof/>
              </w:rPr>
              <w:t>Reforma 1.4: Reforma wymiaru sprawiedliwości w sprawach cywilnych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D4C9A32"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C45D1B" w14:textId="77777777" w:rsidR="004C6421" w:rsidRDefault="009D1962">
            <w:pPr>
              <w:pStyle w:val="P68B1DB1-Normal4"/>
              <w:jc w:val="center"/>
              <w:rPr>
                <w:rFonts w:cs="Arial"/>
                <w:noProof/>
              </w:rPr>
            </w:pPr>
            <w:r>
              <w:rPr>
                <w:noProof/>
              </w:rPr>
              <w:t>Zmniejszenie liczby zaległych spraw w sądach powszechnych w sprawach cywilnych (pierwsza instancja)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E34D935"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7D9E98" w14:textId="77777777" w:rsidR="004C6421" w:rsidRDefault="009D1962">
            <w:pPr>
              <w:pStyle w:val="P68B1DB1-Normal4"/>
              <w:jc w:val="center"/>
              <w:rPr>
                <w:rFonts w:cs="Arial"/>
                <w:noProof/>
              </w:rPr>
            </w:pPr>
            <w:r>
              <w:rPr>
                <w:noProof/>
              </w:rPr>
              <w:t>Procent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A3A0CFA" w14:textId="77777777" w:rsidR="004C6421" w:rsidRDefault="009D1962">
            <w:pPr>
              <w:pStyle w:val="P68B1DB1-Normal4"/>
              <w:jc w:val="center"/>
              <w:rPr>
                <w:rFonts w:cs="Arial"/>
                <w:noProof/>
              </w:rPr>
            </w:pPr>
            <w:r>
              <w:rPr>
                <w:noProof/>
              </w:rPr>
              <w:t>100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10B1E9" w14:textId="77777777" w:rsidR="004C6421" w:rsidRDefault="009D1962">
            <w:pPr>
              <w:pStyle w:val="P68B1DB1-Normal4"/>
              <w:jc w:val="center"/>
              <w:rPr>
                <w:rFonts w:cs="Arial"/>
                <w:noProof/>
              </w:rPr>
            </w:pPr>
            <w:r>
              <w:rPr>
                <w:noProof/>
              </w:rPr>
              <w:t>10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85D804"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BCD6E9" w14:textId="77777777" w:rsidR="004C6421" w:rsidRDefault="009D1962">
            <w:pPr>
              <w:pStyle w:val="P68B1DB1-Normal4"/>
              <w:jc w:val="center"/>
              <w:rPr>
                <w:rFonts w:cs="Arial"/>
                <w:noProof/>
              </w:rPr>
            </w:pPr>
            <w:r>
              <w:rPr>
                <w:noProof/>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8D9EBA" w14:textId="77777777" w:rsidR="004C6421" w:rsidRDefault="009D1962">
            <w:pPr>
              <w:pStyle w:val="P68B1DB1-Normal4"/>
              <w:spacing w:after="120"/>
              <w:rPr>
                <w:rFonts w:cs="Arial"/>
                <w:noProof/>
              </w:rPr>
            </w:pPr>
            <w:r>
              <w:rPr>
                <w:noProof/>
              </w:rPr>
              <w:t xml:space="preserve">Zmniejszenie o 90 % liczby spraw w toku, które zostały wszczęte między dniem 1 stycznia 2017 r. a dniem 31 grudnia 2022 r. i które były nadal otwarte na dzień 31 grudnia 2022 r. (1197786) w sądach powszechnych w sprawach cywilnych (pierwsza instancja). </w:t>
            </w:r>
          </w:p>
        </w:tc>
      </w:tr>
      <w:tr w:rsidR="004C6421" w14:paraId="4D79BFCB"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7B7D17" w14:textId="77777777" w:rsidR="004C6421" w:rsidRDefault="009D1962">
            <w:pPr>
              <w:pStyle w:val="P68B1DB1-Normal4"/>
              <w:jc w:val="center"/>
              <w:rPr>
                <w:rFonts w:cs="Arial"/>
                <w:noProof/>
              </w:rPr>
            </w:pPr>
            <w:r>
              <w:rPr>
                <w:noProof/>
              </w:rPr>
              <w:t>M1C1-48</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97AA46A" w14:textId="77777777" w:rsidR="004C6421" w:rsidRDefault="009D1962">
            <w:pPr>
              <w:pStyle w:val="P68B1DB1-Normal4"/>
              <w:jc w:val="center"/>
              <w:rPr>
                <w:rFonts w:cs="Arial"/>
                <w:noProof/>
              </w:rPr>
            </w:pPr>
            <w:r>
              <w:rPr>
                <w:noProof/>
              </w:rPr>
              <w:t>Reforma 1.4: Reforma wymiaru sprawiedliwości w sprawach cywilnych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022DCF"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A413A0" w14:textId="77777777" w:rsidR="004C6421" w:rsidRDefault="009D1962">
            <w:pPr>
              <w:pStyle w:val="P68B1DB1-Normal4"/>
              <w:jc w:val="center"/>
              <w:rPr>
                <w:rFonts w:cs="Arial"/>
                <w:noProof/>
              </w:rPr>
            </w:pPr>
            <w:r>
              <w:rPr>
                <w:noProof/>
              </w:rPr>
              <w:t>Zmniejszenie liczby zaległych spraw w Sądzie Apelacyjnym w sprawach cywilnych (druga instancja)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91A829"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ECE7DC" w14:textId="77777777" w:rsidR="004C6421" w:rsidRDefault="009D1962">
            <w:pPr>
              <w:pStyle w:val="P68B1DB1-Normal4"/>
              <w:jc w:val="center"/>
              <w:rPr>
                <w:rFonts w:cs="Arial"/>
                <w:noProof/>
              </w:rPr>
            </w:pPr>
            <w:r>
              <w:rPr>
                <w:noProof/>
              </w:rPr>
              <w:t>Procent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87E141" w14:textId="77777777" w:rsidR="004C6421" w:rsidRDefault="009D1962">
            <w:pPr>
              <w:pStyle w:val="P68B1DB1-Normal4"/>
              <w:jc w:val="center"/>
              <w:rPr>
                <w:rFonts w:cs="Arial"/>
                <w:noProof/>
              </w:rPr>
            </w:pPr>
            <w:r>
              <w:rPr>
                <w:noProof/>
              </w:rPr>
              <w:t>100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D94312" w14:textId="77777777" w:rsidR="004C6421" w:rsidRDefault="009D1962">
            <w:pPr>
              <w:pStyle w:val="P68B1DB1-Normal4"/>
              <w:jc w:val="center"/>
              <w:rPr>
                <w:rFonts w:cs="Arial"/>
                <w:noProof/>
              </w:rPr>
            </w:pPr>
            <w:r>
              <w:rPr>
                <w:noProof/>
              </w:rPr>
              <w:t>10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DEED5D1"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8D8952" w14:textId="77777777" w:rsidR="004C6421" w:rsidRDefault="009D1962">
            <w:pPr>
              <w:pStyle w:val="P68B1DB1-Normal4"/>
              <w:jc w:val="center"/>
              <w:rPr>
                <w:rFonts w:cs="Arial"/>
                <w:noProof/>
              </w:rPr>
            </w:pPr>
            <w:r>
              <w:rPr>
                <w:noProof/>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6D9D2D2" w14:textId="77777777" w:rsidR="004C6421" w:rsidRDefault="009D1962">
            <w:pPr>
              <w:pStyle w:val="P68B1DB1-Normal4"/>
              <w:spacing w:after="120"/>
              <w:rPr>
                <w:rFonts w:cs="Arial"/>
                <w:noProof/>
              </w:rPr>
            </w:pPr>
            <w:r>
              <w:rPr>
                <w:noProof/>
              </w:rPr>
              <w:t xml:space="preserve">Zmniejszenie o 90 % liczby spraw w toku, które zostały wszczęte między dniem 1 stycznia 2018 r. a dniem 31 grudnia 2022 r. i które były nadal w toku na dzień 31 grudnia 2022 r. (179306) w Sądach Apelacyjnych w sprawach cywilnych (druga instancja). </w:t>
            </w:r>
          </w:p>
        </w:tc>
      </w:tr>
      <w:tr w:rsidR="004C6421" w14:paraId="354150AE"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2BFB21A" w14:textId="77777777" w:rsidR="004C6421" w:rsidRDefault="009D1962">
            <w:pPr>
              <w:pStyle w:val="P68B1DB1-Normal4"/>
              <w:jc w:val="center"/>
              <w:rPr>
                <w:rFonts w:cs="Arial"/>
                <w:noProof/>
              </w:rPr>
            </w:pPr>
            <w:r>
              <w:rPr>
                <w:noProof/>
              </w:rPr>
              <w:t>M1C1-49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2063BE" w14:textId="77777777" w:rsidR="004C6421" w:rsidRDefault="009D1962">
            <w:pPr>
              <w:pStyle w:val="P68B1DB1-Normal4"/>
              <w:jc w:val="center"/>
              <w:rPr>
                <w:rFonts w:cs="Arial"/>
                <w:noProof/>
              </w:rPr>
            </w:pPr>
            <w:r>
              <w:rPr>
                <w:noProof/>
              </w:rPr>
              <w:t>Inwestycje 1.8: Procedury rekrutacyjne w sądach administracyjnych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89F30C3"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E1E8048" w14:textId="77777777" w:rsidR="004C6421" w:rsidRDefault="009D1962">
            <w:pPr>
              <w:pStyle w:val="P68B1DB1-Normal4"/>
              <w:jc w:val="center"/>
              <w:rPr>
                <w:rFonts w:cs="Arial"/>
                <w:noProof/>
              </w:rPr>
            </w:pPr>
            <w:r>
              <w:rPr>
                <w:noProof/>
              </w:rPr>
              <w:t>Zmniejszenie liczby zaległych spraw dotyczących regionalnych sądów administracyjnych (pierwsza instancja)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32C2306"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F4860FD" w14:textId="77777777" w:rsidR="004C6421" w:rsidRDefault="009D1962">
            <w:pPr>
              <w:pStyle w:val="P68B1DB1-Normal4"/>
              <w:jc w:val="center"/>
              <w:rPr>
                <w:rFonts w:cs="Arial"/>
                <w:noProof/>
              </w:rPr>
            </w:pPr>
            <w:r>
              <w:rPr>
                <w:noProof/>
              </w:rPr>
              <w:t>Procent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6BDB284" w14:textId="77777777" w:rsidR="004C6421" w:rsidRDefault="009D1962">
            <w:pPr>
              <w:pStyle w:val="P68B1DB1-Normal4"/>
              <w:jc w:val="center"/>
              <w:rPr>
                <w:rFonts w:cs="Arial"/>
                <w:noProof/>
              </w:rPr>
            </w:pPr>
            <w:r>
              <w:rPr>
                <w:noProof/>
              </w:rPr>
              <w:t>100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6762BF2" w14:textId="77777777" w:rsidR="004C6421" w:rsidRDefault="009D1962">
            <w:pPr>
              <w:pStyle w:val="P68B1DB1-Normal4"/>
              <w:jc w:val="center"/>
              <w:rPr>
                <w:rFonts w:cs="Arial"/>
                <w:noProof/>
              </w:rPr>
            </w:pPr>
            <w:r>
              <w:rPr>
                <w:noProof/>
              </w:rPr>
              <w:t>30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80D363"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3A22BA" w14:textId="77777777" w:rsidR="004C6421" w:rsidRDefault="009D1962">
            <w:pPr>
              <w:pStyle w:val="P68B1DB1-Normal4"/>
              <w:jc w:val="center"/>
              <w:rPr>
                <w:rFonts w:cs="Arial"/>
                <w:noProof/>
              </w:rPr>
            </w:pPr>
            <w:r>
              <w:rPr>
                <w:noProof/>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532863" w14:textId="77777777" w:rsidR="004C6421" w:rsidRDefault="009D1962">
            <w:pPr>
              <w:pStyle w:val="P68B1DB1-Normal4"/>
              <w:spacing w:after="120"/>
              <w:rPr>
                <w:rFonts w:cs="Arial"/>
                <w:noProof/>
              </w:rPr>
            </w:pPr>
            <w:r>
              <w:rPr>
                <w:noProof/>
              </w:rPr>
              <w:t>Zmniejszenie o 70 % liczby spraw w toku (109029) w 2019 r. w regionalnych sądach administracyjnych (sąd administracyjny pierwszej instancji).</w:t>
            </w:r>
          </w:p>
        </w:tc>
      </w:tr>
      <w:tr w:rsidR="004C6421" w14:paraId="5A48B268"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C100A6" w14:textId="77777777" w:rsidR="004C6421" w:rsidRDefault="009D1962">
            <w:pPr>
              <w:pStyle w:val="P68B1DB1-Normal4"/>
              <w:jc w:val="center"/>
              <w:rPr>
                <w:rFonts w:cs="Arial"/>
                <w:noProof/>
              </w:rPr>
            </w:pPr>
            <w:r>
              <w:rPr>
                <w:noProof/>
              </w:rPr>
              <w:t>M1C1-50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42A72F" w14:textId="77777777" w:rsidR="004C6421" w:rsidRDefault="009D1962">
            <w:pPr>
              <w:pStyle w:val="P68B1DB1-Normal4"/>
              <w:jc w:val="center"/>
              <w:rPr>
                <w:rFonts w:cs="Arial"/>
                <w:noProof/>
              </w:rPr>
            </w:pPr>
            <w:r>
              <w:rPr>
                <w:noProof/>
              </w:rPr>
              <w:t>Inwestycje 1.8: Procedury rekrutacyjne w sądach administracyjnych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14AFD6"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AA5EAA" w14:textId="77777777" w:rsidR="004C6421" w:rsidRDefault="009D1962">
            <w:pPr>
              <w:pStyle w:val="P68B1DB1-Normal4"/>
              <w:jc w:val="center"/>
              <w:rPr>
                <w:rFonts w:cs="Arial"/>
                <w:noProof/>
              </w:rPr>
            </w:pPr>
            <w:r>
              <w:rPr>
                <w:noProof/>
              </w:rPr>
              <w:t>Zmniejszenie liczby zaległych spraw w Radzie Stanu</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6FE62E5"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24BB70" w14:textId="77777777" w:rsidR="004C6421" w:rsidRDefault="009D1962">
            <w:pPr>
              <w:pStyle w:val="P68B1DB1-Normal4"/>
              <w:jc w:val="center"/>
              <w:rPr>
                <w:rFonts w:cs="Arial"/>
                <w:noProof/>
              </w:rPr>
            </w:pPr>
            <w:r>
              <w:rPr>
                <w:noProof/>
              </w:rPr>
              <w:t>Procent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437A623" w14:textId="77777777" w:rsidR="004C6421" w:rsidRDefault="009D1962">
            <w:pPr>
              <w:pStyle w:val="P68B1DB1-Normal4"/>
              <w:jc w:val="center"/>
              <w:rPr>
                <w:rFonts w:cs="Arial"/>
                <w:noProof/>
              </w:rPr>
            </w:pPr>
            <w:r>
              <w:rPr>
                <w:noProof/>
              </w:rPr>
              <w:t>100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ED3627" w14:textId="77777777" w:rsidR="004C6421" w:rsidRDefault="009D1962">
            <w:pPr>
              <w:pStyle w:val="P68B1DB1-Normal4"/>
              <w:jc w:val="center"/>
              <w:rPr>
                <w:rFonts w:cs="Arial"/>
                <w:noProof/>
              </w:rPr>
            </w:pPr>
            <w:r>
              <w:rPr>
                <w:noProof/>
              </w:rPr>
              <w:t>30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8433ACD"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33B2FF" w14:textId="77777777" w:rsidR="004C6421" w:rsidRDefault="009D1962">
            <w:pPr>
              <w:pStyle w:val="P68B1DB1-Normal4"/>
              <w:jc w:val="center"/>
              <w:rPr>
                <w:rFonts w:cs="Arial"/>
                <w:noProof/>
              </w:rPr>
            </w:pPr>
            <w:r>
              <w:rPr>
                <w:noProof/>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866C963" w14:textId="77777777" w:rsidR="004C6421" w:rsidRDefault="009D1962">
            <w:pPr>
              <w:pStyle w:val="P68B1DB1-Normal4"/>
              <w:spacing w:after="120"/>
              <w:rPr>
                <w:rFonts w:cs="Arial"/>
                <w:noProof/>
              </w:rPr>
            </w:pPr>
            <w:r>
              <w:rPr>
                <w:noProof/>
              </w:rPr>
              <w:t>Zmniejszenie o 70 % liczby spraw w toku (24010) w 2019 r. w Radzie Stanu (druga instancja).</w:t>
            </w:r>
          </w:p>
        </w:tc>
      </w:tr>
      <w:tr w:rsidR="004C6421" w14:paraId="137CBF21"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1F118A6" w14:textId="77777777" w:rsidR="004C6421" w:rsidRDefault="009D1962">
            <w:pPr>
              <w:pStyle w:val="P68B1DB1-Normal4"/>
              <w:jc w:val="center"/>
              <w:rPr>
                <w:rFonts w:cs="Arial"/>
                <w:noProof/>
              </w:rPr>
            </w:pPr>
            <w:r>
              <w:rPr>
                <w:noProof/>
              </w:rPr>
              <w:t>M1C1-51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94B5C1E" w14:textId="77777777" w:rsidR="004C6421" w:rsidRDefault="009D1962">
            <w:pPr>
              <w:pStyle w:val="P68B1DB1-Normal4"/>
              <w:jc w:val="center"/>
              <w:rPr>
                <w:rFonts w:cs="Arial"/>
                <w:noProof/>
              </w:rPr>
            </w:pPr>
            <w:r>
              <w:rPr>
                <w:noProof/>
              </w:rPr>
              <w:t>Reforma 1.9: Reforma administracji publicznej</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B19AD23" w14:textId="7320435D"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313E113" w14:textId="77777777" w:rsidR="004C6421" w:rsidRDefault="009D1962">
            <w:pPr>
              <w:pStyle w:val="P68B1DB1-Normal4"/>
              <w:jc w:val="center"/>
              <w:rPr>
                <w:rFonts w:cs="Arial"/>
                <w:noProof/>
              </w:rPr>
            </w:pPr>
            <w:r>
              <w:rPr>
                <w:noProof/>
              </w:rPr>
              <w:t>Wejście w życie prawa pierwotnego dotyczącego zarządzania włoskim planem odbudowy i zwiększania odporności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CAE42B5" w14:textId="77777777" w:rsidR="004C6421" w:rsidRDefault="009D1962">
            <w:pPr>
              <w:pStyle w:val="P68B1DB1-Normal4"/>
              <w:jc w:val="center"/>
              <w:rPr>
                <w:rFonts w:cs="Arial"/>
                <w:noProof/>
              </w:rPr>
            </w:pPr>
            <w:r>
              <w:rPr>
                <w:noProof/>
              </w:rPr>
              <w:t>Przepis ustawy wskazujący na wejście w życie ustawy</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420B6C"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4BCF6D7"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0567052"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1FC7F1"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462D56" w14:textId="77777777" w:rsidR="004C6421" w:rsidRDefault="009D1962">
            <w:pPr>
              <w:pStyle w:val="P68B1DB1-Normal4"/>
              <w:jc w:val="center"/>
              <w:rPr>
                <w:rFonts w:cs="Arial"/>
                <w:noProof/>
              </w:rPr>
            </w:pPr>
            <w:r>
              <w:rPr>
                <w:noProof/>
              </w:rPr>
              <w:t>2021</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C460C58" w14:textId="77777777" w:rsidR="004C6421" w:rsidRDefault="009D1962">
            <w:pPr>
              <w:pStyle w:val="P68B1DB1-Normal4"/>
              <w:spacing w:after="120"/>
              <w:rPr>
                <w:rFonts w:cs="Arial"/>
                <w:noProof/>
              </w:rPr>
            </w:pPr>
            <w:r>
              <w:rPr>
                <w:noProof/>
              </w:rPr>
              <w:t>Prawo pierwotne dotyczy co najmniej:</w:t>
            </w:r>
          </w:p>
          <w:p w14:paraId="4654461D" w14:textId="77777777" w:rsidR="004C6421" w:rsidRDefault="009D1962">
            <w:pPr>
              <w:pStyle w:val="P68B1DB1-Normal4"/>
              <w:spacing w:after="120"/>
              <w:rPr>
                <w:rFonts w:cs="Arial"/>
                <w:noProof/>
              </w:rPr>
            </w:pPr>
            <w:r>
              <w:rPr>
                <w:noProof/>
              </w:rPr>
              <w:t>Koordynacja i monitorowanie projektów włoskiego planu odbudowy i zwiększania odporności na szczeblu centralnym;</w:t>
            </w:r>
          </w:p>
          <w:p w14:paraId="2A129E94" w14:textId="77777777" w:rsidR="004C6421" w:rsidRDefault="009D1962">
            <w:pPr>
              <w:pStyle w:val="P68B1DB1-Normal4"/>
              <w:spacing w:after="120"/>
              <w:rPr>
                <w:rFonts w:cs="Arial"/>
                <w:noProof/>
              </w:rPr>
            </w:pPr>
            <w:r>
              <w:rPr>
                <w:noProof/>
              </w:rPr>
              <w:t>Określenie i rozdzielenie kompetencji oraz zatwierdzenie odpowiednich mandatów poszczególnych organów i administracji zaangażowanych w koordynację, monitorowanie i realizację włoskiego planu odbudowy i zwiększania odporności;</w:t>
            </w:r>
          </w:p>
          <w:p w14:paraId="275A57A7" w14:textId="77777777" w:rsidR="004C6421" w:rsidRDefault="009D1962">
            <w:pPr>
              <w:pStyle w:val="P68B1DB1-Normal4"/>
              <w:spacing w:after="120"/>
              <w:rPr>
                <w:rFonts w:cs="Arial"/>
                <w:noProof/>
              </w:rPr>
            </w:pPr>
            <w:r>
              <w:rPr>
                <w:noProof/>
              </w:rPr>
              <w:t>Zdefiniowanie systemu wczesnego wykrywania problemów związanych z wdrażaniem;</w:t>
            </w:r>
          </w:p>
          <w:p w14:paraId="4FE16ADF" w14:textId="77777777" w:rsidR="004C6421" w:rsidRDefault="009D1962">
            <w:pPr>
              <w:pStyle w:val="P68B1DB1-Normal4"/>
              <w:spacing w:after="120"/>
              <w:rPr>
                <w:rFonts w:cs="Arial"/>
                <w:noProof/>
              </w:rPr>
            </w:pPr>
            <w:r>
              <w:rPr>
                <w:noProof/>
              </w:rPr>
              <w:t>Określenie ex ante mechanizmu egzekwowania w celu rozwiązania problemów związanych z wdrażaniem i uniknięcia opóźnień, w szczególności w odniesieniu do różnych szczebli administracji;</w:t>
            </w:r>
          </w:p>
          <w:p w14:paraId="15CDD89D" w14:textId="77777777" w:rsidR="004C6421" w:rsidRDefault="009D1962">
            <w:pPr>
              <w:pStyle w:val="P68B1DB1-Normal4"/>
              <w:spacing w:after="120"/>
              <w:rPr>
                <w:rFonts w:cs="Arial"/>
                <w:noProof/>
              </w:rPr>
            </w:pPr>
            <w:r>
              <w:rPr>
                <w:noProof/>
              </w:rPr>
              <w:t>5) zdefiniowanie personelu (liczby i wiedzy fachowej) zajmującego się koordynacją, monitorowaniem i wdrażaniem włoskiego planu odbudowy i zwiększania odporności w zaangażowanych administracjach;</w:t>
            </w:r>
          </w:p>
          <w:p w14:paraId="14FBAC38" w14:textId="77777777" w:rsidR="004C6421" w:rsidRDefault="009D1962">
            <w:pPr>
              <w:pStyle w:val="P68B1DB1-Normal4"/>
              <w:spacing w:after="120"/>
              <w:rPr>
                <w:rFonts w:cs="Arial"/>
                <w:noProof/>
              </w:rPr>
            </w:pPr>
            <w:r>
              <w:rPr>
                <w:noProof/>
              </w:rPr>
              <w:t>Definicja pomocy technicznej udzielanej administracjom zaangażowanym we wdrażanie włoskiego planu odbudowy i zwiększania odporności, w szczególności na szczeblu lokalnym, zapewniająca budowanie zdolności administracyjnych w ramach administracji publicznej;</w:t>
            </w:r>
          </w:p>
          <w:p w14:paraId="160AA821" w14:textId="77777777" w:rsidR="004C6421" w:rsidRDefault="009D1962">
            <w:pPr>
              <w:pStyle w:val="P68B1DB1-Normal4"/>
              <w:spacing w:after="120"/>
              <w:rPr>
                <w:rFonts w:cs="Arial"/>
                <w:noProof/>
              </w:rPr>
            </w:pPr>
            <w:r>
              <w:rPr>
                <w:noProof/>
              </w:rPr>
              <w:t>Wyznaczenie przyspieszonych procedur wdrażania włoskiego planu odbudowy i zwiększania odporności oraz terminowej absorpcji funduszy;</w:t>
            </w:r>
          </w:p>
          <w:p w14:paraId="31E0ADEA" w14:textId="77777777" w:rsidR="004C6421" w:rsidRDefault="009D1962">
            <w:pPr>
              <w:pStyle w:val="P68B1DB1-Normal4"/>
              <w:spacing w:after="120"/>
              <w:rPr>
                <w:rFonts w:cs="Arial"/>
                <w:noProof/>
              </w:rPr>
            </w:pPr>
            <w:r>
              <w:rPr>
                <w:noProof/>
              </w:rPr>
              <w:t>Organizacja audytu i kontroli oraz procedury dotyczące włoskiego planu odbudowy i zwiększania odporności.</w:t>
            </w:r>
          </w:p>
        </w:tc>
      </w:tr>
      <w:tr w:rsidR="004C6421" w14:paraId="6FC2CEC0"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3BD15A7" w14:textId="77777777" w:rsidR="004C6421" w:rsidRDefault="009D1962">
            <w:pPr>
              <w:pStyle w:val="P68B1DB1-Normal4"/>
              <w:jc w:val="center"/>
              <w:rPr>
                <w:rFonts w:cs="Arial"/>
                <w:noProof/>
              </w:rPr>
            </w:pPr>
            <w:r>
              <w:rPr>
                <w:noProof/>
              </w:rPr>
              <w:t>M1C1-52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7F47823" w14:textId="77777777" w:rsidR="004C6421" w:rsidRDefault="009D1962">
            <w:pPr>
              <w:pStyle w:val="P68B1DB1-Normal4"/>
              <w:jc w:val="center"/>
              <w:rPr>
                <w:rFonts w:cs="Arial"/>
                <w:noProof/>
              </w:rPr>
            </w:pPr>
            <w:r>
              <w:rPr>
                <w:noProof/>
              </w:rPr>
              <w:t>Reforma 1.9: Reforma administracji publicznej</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B1DA10" w14:textId="37C540D8"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A0781AF" w14:textId="77777777" w:rsidR="004C6421" w:rsidRDefault="009D1962">
            <w:pPr>
              <w:pStyle w:val="P68B1DB1-Normal4"/>
              <w:jc w:val="center"/>
              <w:rPr>
                <w:rFonts w:cs="Arial"/>
                <w:noProof/>
              </w:rPr>
            </w:pPr>
            <w:r>
              <w:rPr>
                <w:noProof/>
              </w:rPr>
              <w:t>Wejście w życie prawodawstwa pierwotnego dotyczącego uproszczenia procedur administracyjnych w celu wdrożenia włoskiego planu odbudowy i zwiększania odporności.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D0709BD" w14:textId="77777777" w:rsidR="004C6421" w:rsidRDefault="009D1962">
            <w:pPr>
              <w:pStyle w:val="P68B1DB1-Normal4"/>
              <w:jc w:val="center"/>
              <w:rPr>
                <w:rFonts w:cs="Arial"/>
                <w:noProof/>
              </w:rPr>
            </w:pPr>
            <w:r>
              <w:rPr>
                <w:noProof/>
              </w:rPr>
              <w:t>Przepis ustawy wskazujący na wejście w życie ustawy</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20D7878"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9D36126"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D42A234"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05595F5"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E66B584" w14:textId="77777777" w:rsidR="004C6421" w:rsidRDefault="009D1962">
            <w:pPr>
              <w:pStyle w:val="P68B1DB1-Normal4"/>
              <w:jc w:val="center"/>
              <w:rPr>
                <w:rFonts w:cs="Arial"/>
                <w:noProof/>
              </w:rPr>
            </w:pPr>
            <w:r>
              <w:rPr>
                <w:noProof/>
              </w:rPr>
              <w:t>2021</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54E56CD" w14:textId="77777777" w:rsidR="004C6421" w:rsidRDefault="009D1962">
            <w:pPr>
              <w:pStyle w:val="P68B1DB1-Normal4"/>
              <w:spacing w:after="120"/>
              <w:rPr>
                <w:rFonts w:cs="Arial"/>
                <w:noProof/>
              </w:rPr>
            </w:pPr>
            <w:r>
              <w:rPr>
                <w:noProof/>
              </w:rPr>
              <w:t>Środki te obejmują:</w:t>
            </w:r>
          </w:p>
          <w:p w14:paraId="3964EC1C" w14:textId="77777777" w:rsidR="004C6421" w:rsidRDefault="009D1962">
            <w:pPr>
              <w:pStyle w:val="P68B1DB1-Normal4"/>
              <w:spacing w:after="120"/>
              <w:rPr>
                <w:rFonts w:cs="Arial"/>
                <w:noProof/>
              </w:rPr>
            </w:pPr>
            <w:r>
              <w:rPr>
                <w:noProof/>
              </w:rPr>
              <w:t>1) usunięcie krytycznych wąskich gardeł dotyczących w szczególności państwowej i regionalnej oceny oddziaływania na środowisko, zezwoleń dla nowych zakładów recyklingu odpadów, procedur udzielania zezwoleń na energię ze źródeł odnawialnych oraz procedur niezbędnych do osiągnięcia efektywności energetycznej budynków (tzw. Super Bonus) i rewitalizacji obszarów miejskich. Konkretne działania mają na celu uproszczenie procedur w ramach „Conferenza di servizi” (formalne porozumienie między co najmniej dwiema administracjami publicznymi.</w:t>
            </w:r>
          </w:p>
        </w:tc>
      </w:tr>
      <w:tr w:rsidR="004C6421" w14:paraId="5E4234AD"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82A120" w14:textId="77777777" w:rsidR="004C6421" w:rsidRDefault="009D1962">
            <w:pPr>
              <w:pStyle w:val="P68B1DB1-Normal4"/>
              <w:jc w:val="center"/>
              <w:rPr>
                <w:rFonts w:cs="Arial"/>
                <w:noProof/>
              </w:rPr>
            </w:pPr>
            <w:r>
              <w:rPr>
                <w:noProof/>
              </w:rPr>
              <w:t>M1C1-53</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6C0863" w14:textId="77777777" w:rsidR="004C6421" w:rsidRDefault="009D1962">
            <w:pPr>
              <w:pStyle w:val="P68B1DB1-Normal4"/>
              <w:jc w:val="center"/>
              <w:rPr>
                <w:rFonts w:cs="Arial"/>
                <w:noProof/>
              </w:rPr>
            </w:pPr>
            <w:r>
              <w:rPr>
                <w:noProof/>
              </w:rPr>
              <w:t>Inwestycja 1.9: Zapewnienie pomocy technicznej i wzmocnienie budowania zdolności na potrzeby realizacji włoskiego planu odbudowy i zwiększania odporności</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8AADE8" w14:textId="25557443"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3E8581" w14:textId="77777777" w:rsidR="004C6421" w:rsidRDefault="009D1962">
            <w:pPr>
              <w:pStyle w:val="P68B1DB1-Normal4"/>
              <w:jc w:val="center"/>
              <w:rPr>
                <w:rFonts w:cs="Arial"/>
                <w:noProof/>
              </w:rPr>
            </w:pPr>
            <w:r>
              <w:rPr>
                <w:noProof/>
              </w:rPr>
              <w:t>Wejście w życie prawa pierwotnego w celu zapewnienia pomocy technicznej i wzmocnienia budowania zdolności na potrzeby realizacji włoskiego planu odbudowy i zwiększania odporności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894991B" w14:textId="77777777" w:rsidR="004C6421" w:rsidRDefault="009D1962">
            <w:pPr>
              <w:pStyle w:val="P68B1DB1-Normal4"/>
              <w:jc w:val="center"/>
              <w:rPr>
                <w:rFonts w:cs="Arial"/>
                <w:noProof/>
              </w:rPr>
            </w:pPr>
            <w:r>
              <w:rPr>
                <w:noProof/>
              </w:rPr>
              <w:t>Przepis ustawy wskazujący na wejście w życie ustawy</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C26239"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73EEE24"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4428EDB"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6F2EBD"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C60F7EE" w14:textId="77777777" w:rsidR="004C6421" w:rsidRDefault="009D1962">
            <w:pPr>
              <w:pStyle w:val="P68B1DB1-Normal4"/>
              <w:jc w:val="center"/>
              <w:rPr>
                <w:rFonts w:cs="Arial"/>
                <w:noProof/>
              </w:rPr>
            </w:pPr>
            <w:r>
              <w:rPr>
                <w:noProof/>
              </w:rPr>
              <w:t>2021</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F14352F" w14:textId="77777777" w:rsidR="004C6421" w:rsidRDefault="009D1962">
            <w:pPr>
              <w:pStyle w:val="P68B1DB1-Normal4"/>
              <w:spacing w:after="120"/>
              <w:rPr>
                <w:rFonts w:cs="Arial"/>
                <w:noProof/>
              </w:rPr>
            </w:pPr>
            <w:r>
              <w:rPr>
                <w:noProof/>
              </w:rPr>
              <w:t>2 Środki obejmują przepis umożliwiający tymczasową rekrutację:</w:t>
            </w:r>
          </w:p>
          <w:p w14:paraId="7549301A" w14:textId="77777777" w:rsidR="004C6421" w:rsidRDefault="009D1962">
            <w:pPr>
              <w:pStyle w:val="P68B1DB1-Normal4"/>
              <w:spacing w:after="120"/>
              <w:rPr>
                <w:rFonts w:cs="Arial"/>
                <w:noProof/>
              </w:rPr>
            </w:pPr>
            <w:r>
              <w:rPr>
                <w:noProof/>
              </w:rPr>
              <w:t>2800 danych technicznych służących wzmocnieniu administracji publicznej Południa opłacanych z budżetu krajowego;</w:t>
            </w:r>
          </w:p>
          <w:p w14:paraId="13C7422B" w14:textId="77777777" w:rsidR="004C6421" w:rsidRDefault="009D1962">
            <w:pPr>
              <w:pStyle w:val="P68B1DB1-Normal4"/>
              <w:spacing w:after="120"/>
              <w:rPr>
                <w:rFonts w:cs="Arial"/>
                <w:noProof/>
              </w:rPr>
            </w:pPr>
            <w:r>
              <w:rPr>
                <w:noProof/>
              </w:rPr>
              <w:t>grupa 1000 ekspertów, którzy mają zostać rozmieszczeni na okres trzech lat w celu wspierania administracji w zarządzaniu nowymi procedurami zapewniającymi pomoc techniczną.</w:t>
            </w:r>
          </w:p>
        </w:tc>
      </w:tr>
      <w:tr w:rsidR="004C6421" w14:paraId="0884527C"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CEBAE82" w14:textId="77777777" w:rsidR="004C6421" w:rsidRDefault="009D1962">
            <w:pPr>
              <w:pStyle w:val="P68B1DB1-Normal4"/>
              <w:jc w:val="center"/>
              <w:rPr>
                <w:rFonts w:cs="Arial"/>
                <w:noProof/>
              </w:rPr>
            </w:pPr>
            <w:r>
              <w:rPr>
                <w:noProof/>
              </w:rPr>
              <w:t>M1C1-54</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8928D03" w14:textId="77777777" w:rsidR="004C6421" w:rsidRDefault="009D1962">
            <w:pPr>
              <w:pStyle w:val="P68B1DB1-Normal4"/>
              <w:jc w:val="center"/>
              <w:rPr>
                <w:rFonts w:cs="Arial"/>
                <w:noProof/>
              </w:rPr>
            </w:pPr>
            <w:r>
              <w:rPr>
                <w:noProof/>
              </w:rPr>
              <w:t>Inwestycja 1.9: Zapewnienie pomocy technicznej i wzmocnienie budowania zdolności na potrzeby realizacji włoskiego planu odbudowy i zwiększania odporności</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38997C"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650B60" w14:textId="77777777" w:rsidR="004C6421" w:rsidRDefault="009D1962">
            <w:pPr>
              <w:pStyle w:val="P68B1DB1-Normal4"/>
              <w:jc w:val="center"/>
              <w:rPr>
                <w:rFonts w:cs="Arial"/>
                <w:noProof/>
              </w:rPr>
            </w:pPr>
            <w:r>
              <w:rPr>
                <w:noProof/>
              </w:rPr>
              <w:t>Zakończona rekrutacja ekspertów do celów realizacji włoskiego planu odbudowy i zwiększania odporności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726035"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E18E53" w14:textId="77777777" w:rsidR="004C6421" w:rsidRDefault="009D1962">
            <w:pPr>
              <w:pStyle w:val="P68B1DB1-Normal4"/>
              <w:jc w:val="center"/>
              <w:rPr>
                <w:rFonts w:cs="Arial"/>
                <w:noProof/>
              </w:rPr>
            </w:pPr>
            <w:r>
              <w:rPr>
                <w:noProof/>
              </w:rPr>
              <w:t>Numer</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C1DBB0C" w14:textId="77777777" w:rsidR="004C6421" w:rsidRDefault="009D1962">
            <w:pPr>
              <w:pStyle w:val="P68B1DB1-Normal4"/>
              <w:jc w:val="center"/>
              <w:rPr>
                <w:rFonts w:cs="Arial"/>
                <w:noProof/>
              </w:rPr>
            </w:pPr>
            <w:r>
              <w:rPr>
                <w:noProof/>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9DC4B5" w14:textId="77777777" w:rsidR="004C6421" w:rsidRDefault="009D1962">
            <w:pPr>
              <w:pStyle w:val="P68B1DB1-Normal4"/>
              <w:jc w:val="center"/>
              <w:rPr>
                <w:rFonts w:cs="Arial"/>
                <w:noProof/>
              </w:rPr>
            </w:pPr>
            <w:r>
              <w:rPr>
                <w:noProof/>
              </w:rPr>
              <w:t>1 000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900549" w14:textId="5A5A075A"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277778" w14:textId="77777777" w:rsidR="004C6421" w:rsidRDefault="009D1962">
            <w:pPr>
              <w:pStyle w:val="P68B1DB1-Normal4"/>
              <w:jc w:val="center"/>
              <w:rPr>
                <w:rFonts w:cs="Arial"/>
                <w:noProof/>
              </w:rPr>
            </w:pPr>
            <w:r>
              <w:rPr>
                <w:noProof/>
              </w:rPr>
              <w:t>2021</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31F080A" w14:textId="77777777" w:rsidR="004C6421" w:rsidRDefault="009D1962">
            <w:pPr>
              <w:pStyle w:val="P68B1DB1-Normal4"/>
              <w:spacing w:after="120"/>
              <w:rPr>
                <w:rFonts w:cs="Arial"/>
                <w:noProof/>
              </w:rPr>
            </w:pPr>
            <w:r>
              <w:rPr>
                <w:noProof/>
              </w:rPr>
              <w:t>Zakończenie procedur rekrutacyjnych do puli 1000 ekspertów, którzy zostaną oddelegowani na okres trzech lat w celu wsparcia administracji w zarządzaniu nowymi procedurami zapewniającymi pomoc techniczną.</w:t>
            </w:r>
          </w:p>
        </w:tc>
      </w:tr>
      <w:tr w:rsidR="004C6421" w14:paraId="5515F2E2"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5D136C" w14:textId="77777777" w:rsidR="004C6421" w:rsidRDefault="009D1962">
            <w:pPr>
              <w:pStyle w:val="P68B1DB1-Normal4"/>
              <w:jc w:val="center"/>
              <w:rPr>
                <w:rFonts w:cs="Arial"/>
                <w:noProof/>
              </w:rPr>
            </w:pPr>
            <w:r>
              <w:rPr>
                <w:noProof/>
              </w:rPr>
              <w:t>M1C1-55</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BEEECD" w14:textId="77777777" w:rsidR="004C6421" w:rsidRDefault="009D1962">
            <w:pPr>
              <w:pStyle w:val="P68B1DB1-Normal4"/>
              <w:jc w:val="center"/>
              <w:rPr>
                <w:rFonts w:cs="Arial"/>
                <w:noProof/>
              </w:rPr>
            </w:pPr>
            <w:r>
              <w:rPr>
                <w:noProof/>
              </w:rPr>
              <w:t>Reforma 1.9: Reforma administracji publicznej</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DBFCC6" w14:textId="4AD8FFCE"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57D0AA6" w14:textId="77777777" w:rsidR="004C6421" w:rsidRDefault="009D1962">
            <w:pPr>
              <w:pStyle w:val="P68B1DB1-Normal4"/>
              <w:jc w:val="center"/>
              <w:rPr>
                <w:rFonts w:cs="Arial"/>
                <w:noProof/>
              </w:rPr>
            </w:pPr>
            <w:r>
              <w:rPr>
                <w:noProof/>
              </w:rPr>
              <w:t>Rozszerzenie metodyki stosowanej do włoskiego planu odbudowy i zwiększania odporności na budżet krajowy w celu zwiększenia absorpcji inwestycji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0E7086" w14:textId="77777777" w:rsidR="004C6421" w:rsidRDefault="009D1962">
            <w:pPr>
              <w:pStyle w:val="P68B1DB1-Normal4"/>
              <w:jc w:val="center"/>
              <w:rPr>
                <w:rFonts w:cs="Arial"/>
                <w:noProof/>
              </w:rPr>
            </w:pPr>
            <w:r>
              <w:rPr>
                <w:noProof/>
              </w:rPr>
              <w:t>Przepis prawa wskazujący na wejście w życie rozszerzenia metodologii 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9FFA604"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90990D"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4C915D"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971908D" w14:textId="01DA6233"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4C33D0D" w14:textId="77777777" w:rsidR="004C6421" w:rsidRDefault="009D1962">
            <w:pPr>
              <w:pStyle w:val="P68B1DB1-Normal4"/>
              <w:jc w:val="center"/>
              <w:rPr>
                <w:rFonts w:cs="Arial"/>
                <w:noProof/>
              </w:rPr>
            </w:pPr>
            <w:r>
              <w:rPr>
                <w:noProof/>
              </w:rPr>
              <w:t>2021</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109EEAB" w14:textId="77777777" w:rsidR="004C6421" w:rsidRDefault="009D1962">
            <w:pPr>
              <w:pStyle w:val="P68B1DB1-Normal4"/>
              <w:spacing w:after="120"/>
              <w:rPr>
                <w:rFonts w:cs="Arial"/>
                <w:noProof/>
              </w:rPr>
            </w:pPr>
            <w:r>
              <w:rPr>
                <w:noProof/>
              </w:rPr>
              <w:t>Ustanowienie uproszczonego systemu kamieni milowych i wartości docelowych podobnych do RRF w odniesieniu do planowania, realizacji i finansowania projektów w ramach uzupełniającego funduszu inwestycyjnego (30,5 mld EUR).</w:t>
            </w:r>
          </w:p>
        </w:tc>
      </w:tr>
      <w:tr w:rsidR="004C6421" w14:paraId="18AE8550"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139CFF" w14:textId="77777777" w:rsidR="004C6421" w:rsidRDefault="009D1962">
            <w:pPr>
              <w:pStyle w:val="P68B1DB1-Normal4"/>
              <w:jc w:val="center"/>
              <w:rPr>
                <w:rFonts w:cs="Arial"/>
                <w:noProof/>
              </w:rPr>
            </w:pPr>
            <w:r>
              <w:rPr>
                <w:noProof/>
              </w:rPr>
              <w:t>M1C1-56</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97AB4C1" w14:textId="77777777" w:rsidR="004C6421" w:rsidRDefault="009D1962">
            <w:pPr>
              <w:pStyle w:val="P68B1DB1-Normal4"/>
              <w:jc w:val="center"/>
              <w:rPr>
                <w:rFonts w:cs="Arial"/>
                <w:noProof/>
              </w:rPr>
            </w:pPr>
            <w:r>
              <w:rPr>
                <w:noProof/>
              </w:rPr>
              <w:t>Reforma 1.9: Reforma administracji publicznej</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375534F" w14:textId="31F5E245"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709FFFF" w14:textId="77777777" w:rsidR="004C6421" w:rsidRDefault="009D1962">
            <w:pPr>
              <w:pStyle w:val="P68B1DB1-Normal4"/>
              <w:jc w:val="center"/>
              <w:rPr>
                <w:rFonts w:cs="Arial"/>
                <w:noProof/>
              </w:rPr>
            </w:pPr>
            <w:r>
              <w:rPr>
                <w:noProof/>
              </w:rPr>
              <w:t>Wejście w życie przepisów umożliwiających reformę zatrudnienia w sektorze publicznym</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5AED50B" w14:textId="77777777" w:rsidR="004C6421" w:rsidRDefault="009D1962">
            <w:pPr>
              <w:pStyle w:val="P68B1DB1-Normal4"/>
              <w:jc w:val="center"/>
              <w:rPr>
                <w:rFonts w:cs="Arial"/>
                <w:noProof/>
              </w:rPr>
            </w:pPr>
            <w:r>
              <w:rPr>
                <w:noProof/>
              </w:rPr>
              <w:t>Przepis ustawy wskazujący na wejście w życie ustawy</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F2FE721"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C2B88D"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2ED1B6"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3020D1"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C67A268" w14:textId="77777777" w:rsidR="004C6421" w:rsidRDefault="009D1962">
            <w:pPr>
              <w:pStyle w:val="P68B1DB1-Normal4"/>
              <w:jc w:val="center"/>
              <w:rPr>
                <w:rFonts w:cs="Arial"/>
                <w:noProof/>
              </w:rPr>
            </w:pPr>
            <w:r>
              <w:rPr>
                <w:noProof/>
              </w:rPr>
              <w:t>2022</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CE3744" w14:textId="77777777" w:rsidR="004C6421" w:rsidRDefault="009D1962">
            <w:pPr>
              <w:pStyle w:val="P68B1DB1-Normal4"/>
              <w:spacing w:after="120"/>
              <w:rPr>
                <w:rFonts w:cs="Arial"/>
                <w:noProof/>
              </w:rPr>
            </w:pPr>
            <w:r>
              <w:rPr>
                <w:noProof/>
              </w:rPr>
              <w:t>Prawodawstwo upoważniające obejmuje następujące środki:</w:t>
            </w:r>
          </w:p>
          <w:p w14:paraId="682AEA1E" w14:textId="77777777" w:rsidR="004C6421" w:rsidRDefault="009D1962">
            <w:pPr>
              <w:pStyle w:val="P68B1DB1-Normal4"/>
              <w:spacing w:after="120"/>
              <w:rPr>
                <w:rFonts w:cs="Arial"/>
                <w:noProof/>
              </w:rPr>
            </w:pPr>
            <w:r>
              <w:rPr>
                <w:noProof/>
              </w:rPr>
              <w:t>— określenie profili zawodowych specyficznych dla sektora publicznego w celu przyciągnięcia potrzebnych kompetencji i umiejętności;</w:t>
            </w:r>
          </w:p>
          <w:p w14:paraId="51646680" w14:textId="77777777" w:rsidR="004C6421" w:rsidRDefault="009D1962">
            <w:pPr>
              <w:pStyle w:val="P68B1DB1-Normal4"/>
              <w:spacing w:after="120"/>
              <w:rPr>
                <w:rFonts w:cs="Arial"/>
                <w:noProof/>
              </w:rPr>
            </w:pPr>
            <w:r>
              <w:rPr>
                <w:noProof/>
              </w:rPr>
              <w:t>— utworzenie jednej platformy rekrutacyjnej w celu centralizacji publicznych procedur rekrutacji dla wszystkich centralnych administracji publicznych, z zobowiązaniem do rozszerzenia korzystania z platformy również na administrację lokalną;</w:t>
            </w:r>
          </w:p>
          <w:p w14:paraId="13BD2208" w14:textId="77777777" w:rsidR="004C6421" w:rsidRDefault="009D1962">
            <w:pPr>
              <w:pStyle w:val="P68B1DB1-Normal4"/>
              <w:spacing w:after="120"/>
              <w:rPr>
                <w:rFonts w:cs="Arial"/>
                <w:noProof/>
              </w:rPr>
            </w:pPr>
            <w:r>
              <w:rPr>
                <w:noProof/>
              </w:rPr>
              <w:t>— reforma procesu rekrutacji w celu: przejście od systemu opartego wyłącznie na wiedzy do systemu opartego głównie na kompetencjach i odpowiednich umiejętnościach; II) ocenia kompetencje do pełnienia obowiązków przez urzędników służby cywilnej; rozróżnienie procesów rekrutacji między rekrutacją na początkowym szczeblu, która opiera się wyłącznie na kompetencjach, a rekrutacją wyspecjalizowanych profili, która powinna łączyć kompetencje z odpowiednim doświadczeniem zawodowym i prowadzić do uzyskania dostępu do kariery zawodowej na wyższym szczeblu. Ministerstwo Administracji Publicznej zapewnia spójne wdrażanie nowego procesu we wszystkich administracjach;</w:t>
            </w:r>
          </w:p>
          <w:p w14:paraId="59CF451A" w14:textId="77777777" w:rsidR="004C6421" w:rsidRDefault="009D1962">
            <w:pPr>
              <w:pStyle w:val="P68B1DB1-Normal4"/>
              <w:spacing w:after="120"/>
              <w:rPr>
                <w:rFonts w:cs="Arial"/>
                <w:noProof/>
              </w:rPr>
            </w:pPr>
            <w:r>
              <w:rPr>
                <w:noProof/>
              </w:rPr>
              <w:t>— reformę służby cywilnej wyższego szczebla w celu ujednolicenia procedur mianowania w całej administracji publicznej, określenia profili zawodowych i oceny ich wyników;</w:t>
            </w:r>
          </w:p>
          <w:p w14:paraId="7F9AD91F" w14:textId="77777777" w:rsidR="004C6421" w:rsidRDefault="009D1962">
            <w:pPr>
              <w:pStyle w:val="P68B1DB1-Normal4"/>
              <w:spacing w:after="120"/>
              <w:rPr>
                <w:rFonts w:cs="Arial"/>
                <w:noProof/>
              </w:rPr>
            </w:pPr>
            <w:r>
              <w:rPr>
                <w:noProof/>
              </w:rPr>
              <w:t>— wzmocnienie związku między uczeniem się przez całe życie a możliwościami szkoleniowymi dla pracowników a zachętami do uczestnictwa, na przykład poprzez zaplanowanie mechanizmów wynagradzania lub konkretnych ścieżek kariery, ze szczególnym uwzględnieniem dwojakiej transformacji;</w:t>
            </w:r>
          </w:p>
          <w:p w14:paraId="728882EE" w14:textId="77777777" w:rsidR="004C6421" w:rsidRDefault="009D1962">
            <w:pPr>
              <w:pStyle w:val="P68B1DB1-Normal4"/>
              <w:spacing w:after="120"/>
              <w:rPr>
                <w:rFonts w:cs="Arial"/>
                <w:noProof/>
              </w:rPr>
            </w:pPr>
            <w:r>
              <w:rPr>
                <w:noProof/>
              </w:rPr>
              <w:t>— określenie lub aktualizacja zasad etycznych administracji publicznej za pomocą jasnych zasad, kodeksów postępowania i modułów szkoleniowych na ten temat;</w:t>
            </w:r>
          </w:p>
          <w:p w14:paraId="7A13CA49" w14:textId="77777777" w:rsidR="004C6421" w:rsidRDefault="009D1962">
            <w:pPr>
              <w:pStyle w:val="P68B1DB1-Normal4"/>
              <w:spacing w:after="120"/>
              <w:rPr>
                <w:rFonts w:cs="Arial"/>
                <w:noProof/>
              </w:rPr>
            </w:pPr>
            <w:r>
              <w:rPr>
                <w:noProof/>
              </w:rPr>
              <w:t>— wzmocnienie zaangażowania na rzecz równowagi płci;</w:t>
            </w:r>
          </w:p>
          <w:p w14:paraId="64444D07" w14:textId="77777777" w:rsidR="004C6421" w:rsidRDefault="009D1962">
            <w:pPr>
              <w:pStyle w:val="P68B1DB1-Normal4"/>
              <w:spacing w:after="120"/>
              <w:rPr>
                <w:rFonts w:cs="Arial"/>
                <w:noProof/>
              </w:rPr>
            </w:pPr>
            <w:r>
              <w:rPr>
                <w:noProof/>
              </w:rPr>
              <w:t>— przegląd ram regulacyjnych dotyczących mobilności pionowej, zreformowanie ścieżek kariery w celu tworzenia i dostępu do stanowisk kierowniczych średniego szczebla („quadri”) oraz dostępu do wyższych stanowisk cywilnych („dirigenti di prima e seconda fascia”) w administracji. Obejmuje to reformę systemu oceny wyników oraz wzmocnienie powiązania między rozwojem kariery a oceną wyników;</w:t>
            </w:r>
          </w:p>
          <w:p w14:paraId="2B4BDEC9" w14:textId="77777777" w:rsidR="004C6421" w:rsidRDefault="009D1962">
            <w:pPr>
              <w:pStyle w:val="P68B1DB1-Normal4"/>
              <w:rPr>
                <w:rFonts w:cs="Arial"/>
                <w:noProof/>
              </w:rPr>
            </w:pPr>
            <w:r>
              <w:rPr>
                <w:noProof/>
              </w:rPr>
              <w:t>— zreformowanie ram regulacyjnych dotyczących mobilności horyzontalnej w celu osiągnięcia efektywnego rynku pracy w administracji publicznej, w tym a) stworzenie przejrzystego jednolitego systemu ogłoszeń dla wszystkich wolnych stanowisk w administracji centralnej i lokalnej, b) możliwość ubiegania się o wszelkie dostępne stanowiska w dowolnym miejscu, c) zniesienie zezwolenia na mobilność przez administrację pochodzenia oraz d) wprowadzenie znacznych ograniczeń w korzystaniu z alternatywnych środków mobilności nieprowadzących do przeniesienia (tj. „comandi” i „distacchi”), aby uczynić je wyjątkowymi i ściśle ograniczonymi w czasie.</w:t>
            </w:r>
          </w:p>
        </w:tc>
      </w:tr>
      <w:tr w:rsidR="004C6421" w14:paraId="2A5B03F5"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A3CFBB1" w14:textId="77777777" w:rsidR="004C6421" w:rsidRDefault="009D1962">
            <w:pPr>
              <w:pStyle w:val="P68B1DB1-Normal4"/>
              <w:jc w:val="center"/>
              <w:rPr>
                <w:rFonts w:cs="Arial"/>
                <w:noProof/>
              </w:rPr>
            </w:pPr>
            <w:r>
              <w:rPr>
                <w:noProof/>
              </w:rPr>
              <w:t>M1C1-57</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090A6E5" w14:textId="77777777" w:rsidR="004C6421" w:rsidRDefault="009D1962">
            <w:pPr>
              <w:pStyle w:val="P68B1DB1-Normal4"/>
              <w:jc w:val="center"/>
              <w:rPr>
                <w:rFonts w:cs="Arial"/>
                <w:noProof/>
              </w:rPr>
            </w:pPr>
            <w:r>
              <w:rPr>
                <w:noProof/>
              </w:rPr>
              <w:t>Reforma 1.9: Reforma administracji publicznej</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85F60C2" w14:textId="40F63D32"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0FA37B" w14:textId="77777777" w:rsidR="004C6421" w:rsidRDefault="009D1962">
            <w:pPr>
              <w:pStyle w:val="P68B1DB1-Normal4"/>
              <w:jc w:val="center"/>
              <w:rPr>
                <w:rFonts w:cs="Arial"/>
                <w:noProof/>
              </w:rPr>
            </w:pPr>
            <w:r>
              <w:rPr>
                <w:noProof/>
              </w:rPr>
              <w:t>Wejście w życie procedur administracyjnych dotyczących reformy upraszczającej mającej na celu wdrożenie RRF</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FF7794" w14:textId="77777777" w:rsidR="004C6421" w:rsidRDefault="009D1962">
            <w:pPr>
              <w:pStyle w:val="P68B1DB1-Normal4"/>
              <w:jc w:val="center"/>
              <w:rPr>
                <w:rFonts w:cs="Arial"/>
                <w:noProof/>
              </w:rPr>
            </w:pPr>
            <w:r>
              <w:rPr>
                <w:noProof/>
              </w:rPr>
              <w:t>Przepis prawa wskazujący na wejście w życie prawa wtórnego</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9B570F"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67C2AC"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4A433BA"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A612823" w14:textId="4196869F"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C4D77B8" w14:textId="77777777" w:rsidR="004C6421" w:rsidRDefault="009D1962">
            <w:pPr>
              <w:pStyle w:val="P68B1DB1-Normal4"/>
              <w:jc w:val="center"/>
              <w:rPr>
                <w:rFonts w:cs="Arial"/>
                <w:noProof/>
              </w:rPr>
            </w:pPr>
            <w:r>
              <w:rPr>
                <w:noProof/>
              </w:rPr>
              <w:t>2022</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F69FBD" w14:textId="77777777" w:rsidR="004C6421" w:rsidRDefault="009D1962">
            <w:pPr>
              <w:pStyle w:val="P68B1DB1-Normal4"/>
              <w:spacing w:after="120"/>
              <w:rPr>
                <w:rFonts w:cs="Arial"/>
                <w:noProof/>
              </w:rPr>
            </w:pPr>
            <w:r>
              <w:rPr>
                <w:noProof/>
              </w:rPr>
              <w:t>Wejście w życie wszystkich powiązanych aktów delegowanych, dekretów ministerialnych, prawa wtórnego i wszelkich innych przepisów niezbędnych do skutecznego wdrożenia uproszczenia, w tym umów z regionami w przypadku wyłącznych i równoległych kompetencji regionalnych.</w:t>
            </w:r>
          </w:p>
        </w:tc>
      </w:tr>
      <w:tr w:rsidR="004C6421" w14:paraId="6419E0B6"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B38FDF" w14:textId="77777777" w:rsidR="004C6421" w:rsidRDefault="009D1962">
            <w:pPr>
              <w:pStyle w:val="P68B1DB1-Normal4"/>
              <w:jc w:val="center"/>
              <w:rPr>
                <w:rFonts w:cs="Arial"/>
                <w:noProof/>
              </w:rPr>
            </w:pPr>
            <w:r>
              <w:rPr>
                <w:noProof/>
              </w:rPr>
              <w:t>M1C1-58</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3A30487" w14:textId="77777777" w:rsidR="004C6421" w:rsidRDefault="009D1962">
            <w:pPr>
              <w:pStyle w:val="P68B1DB1-Normal4"/>
              <w:jc w:val="center"/>
              <w:rPr>
                <w:rFonts w:cs="Arial"/>
                <w:noProof/>
              </w:rPr>
            </w:pPr>
            <w:r>
              <w:rPr>
                <w:noProof/>
              </w:rPr>
              <w:t>Reforma 1.9: Reforma administracji publicznej</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F17075" w14:textId="46B76B56"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C740D6F" w14:textId="77777777" w:rsidR="004C6421" w:rsidRDefault="009D1962">
            <w:pPr>
              <w:pStyle w:val="P68B1DB1-Normal4"/>
              <w:jc w:val="center"/>
              <w:rPr>
                <w:rFonts w:cs="Arial"/>
                <w:noProof/>
              </w:rPr>
            </w:pPr>
            <w:r>
              <w:rPr>
                <w:noProof/>
              </w:rPr>
              <w:t>Wejście w życie aktów prawnych dotyczących reformy zatrudnienia w sektorze publicznym</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34161B" w14:textId="77777777" w:rsidR="004C6421" w:rsidRDefault="009D1962">
            <w:pPr>
              <w:pStyle w:val="P68B1DB1-Normal4"/>
              <w:jc w:val="center"/>
              <w:rPr>
                <w:rFonts w:cs="Arial"/>
                <w:noProof/>
              </w:rPr>
            </w:pPr>
            <w:r>
              <w:rPr>
                <w:noProof/>
              </w:rPr>
              <w:t>Przepis wskazujący na wejście w życie aktów prawnych dotyczących reformy zatrudnienia w sektorze publicznym</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40E388"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65D921"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A47C997"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F0D7069"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9E3BB8" w14:textId="77777777" w:rsidR="004C6421" w:rsidRDefault="009D1962">
            <w:pPr>
              <w:pStyle w:val="P68B1DB1-Normal4"/>
              <w:jc w:val="center"/>
              <w:rPr>
                <w:rFonts w:cs="Arial"/>
                <w:noProof/>
              </w:rPr>
            </w:pPr>
            <w:r>
              <w:rPr>
                <w:noProof/>
              </w:rPr>
              <w:t>2023</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E65D7F0" w14:textId="77777777" w:rsidR="004C6421" w:rsidRDefault="009D1962">
            <w:pPr>
              <w:pStyle w:val="P68B1DB1-Normal4"/>
              <w:spacing w:after="120"/>
              <w:rPr>
                <w:rFonts w:cs="Arial"/>
                <w:noProof/>
              </w:rPr>
            </w:pPr>
            <w:r>
              <w:rPr>
                <w:noProof/>
              </w:rPr>
              <w:t>Wejście w życie wszystkich powiązanych aktów delegowanych, dekretów ministerialnych, prawa wtórnego i wszystkich innych rozporządzeń niezbędnych do skutecznego wdrożenia reformy.</w:t>
            </w:r>
          </w:p>
        </w:tc>
      </w:tr>
      <w:tr w:rsidR="004C6421" w14:paraId="0E185E3E"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FCE8DBE" w14:textId="77777777" w:rsidR="004C6421" w:rsidRDefault="009D1962">
            <w:pPr>
              <w:pStyle w:val="P68B1DB1-Normal4"/>
              <w:jc w:val="center"/>
              <w:rPr>
                <w:rFonts w:cs="Arial"/>
                <w:noProof/>
              </w:rPr>
            </w:pPr>
            <w:r>
              <w:rPr>
                <w:noProof/>
              </w:rPr>
              <w:t>M1C1-59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22093E1" w14:textId="77777777" w:rsidR="004C6421" w:rsidRDefault="009D1962">
            <w:pPr>
              <w:pStyle w:val="P68B1DB1-Normal4"/>
              <w:jc w:val="center"/>
              <w:rPr>
                <w:rFonts w:cs="Arial"/>
                <w:noProof/>
              </w:rPr>
            </w:pPr>
            <w:r>
              <w:rPr>
                <w:noProof/>
              </w:rPr>
              <w:t>Reforma 1.9: Reforma administracji publicznej</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D6011E" w14:textId="059D9976"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AF5C8B3" w14:textId="77777777" w:rsidR="004C6421" w:rsidRDefault="009D1962">
            <w:pPr>
              <w:pStyle w:val="P68B1DB1-Normal4"/>
              <w:jc w:val="center"/>
              <w:rPr>
                <w:rFonts w:cs="Arial"/>
                <w:noProof/>
              </w:rPr>
            </w:pPr>
            <w:r>
              <w:rPr>
                <w:noProof/>
              </w:rPr>
              <w:t>Wejście w życie strategicznego zarządzania zasobami ludzkimi w administracji publicznej</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221249E" w14:textId="77777777" w:rsidR="004C6421" w:rsidRDefault="009D1962">
            <w:pPr>
              <w:pStyle w:val="P68B1DB1-Normal4"/>
              <w:jc w:val="center"/>
              <w:rPr>
                <w:rFonts w:cs="Arial"/>
                <w:noProof/>
              </w:rPr>
            </w:pPr>
            <w:r>
              <w:rPr>
                <w:noProof/>
              </w:rPr>
              <w:t>Przepis wskazujący na wejście w życie przepisów dotyczących wprowadzenia strategicznego zarządzania zasobami ludzkimi w administracji publicznej</w:t>
            </w:r>
          </w:p>
          <w:p w14:paraId="1C866D9C" w14:textId="77777777" w:rsidR="004C6421" w:rsidRDefault="004C6421">
            <w:pPr>
              <w:jc w:val="center"/>
              <w:rPr>
                <w:rFonts w:ascii="Arial Narrow" w:hAnsi="Arial Narrow" w:cs="Arial"/>
                <w:noProof/>
                <w:color w:val="0061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27B397"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21915B"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D22050"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C2E3EC9" w14:textId="0A1507D5"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2B4E74" w14:textId="77777777" w:rsidR="004C6421" w:rsidRDefault="009D1962">
            <w:pPr>
              <w:pStyle w:val="P68B1DB1-Normal4"/>
              <w:jc w:val="center"/>
              <w:rPr>
                <w:rFonts w:cs="Arial"/>
                <w:noProof/>
              </w:rPr>
            </w:pPr>
            <w:r>
              <w:rPr>
                <w:noProof/>
              </w:rPr>
              <w:t>2023</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96DA323" w14:textId="77777777" w:rsidR="004C6421" w:rsidRDefault="009D1962">
            <w:pPr>
              <w:pStyle w:val="P68B1DB1-Normal4"/>
              <w:spacing w:after="120"/>
              <w:rPr>
                <w:rFonts w:cs="Arial"/>
                <w:noProof/>
              </w:rPr>
            </w:pPr>
            <w:r>
              <w:rPr>
                <w:noProof/>
              </w:rPr>
              <w:t>Prawodawstwo i akty delegowane dotyczące wprowadzenia strategicznego zarządzania zasobami ludzkimi w administracji publicznej obejmują: określenie, w kontekście zintegrowanego planu działań i organizacji (PIAO), planów strategicznych w zakresie zasobów ludzkich dotyczących rekrutacji, rozwoju kariery i szkoleń dla wszystkich administracji centralnych i regionalnych, przy wsparciu zintegrowanej bazy danych zawierającej umiejętności i profile; utworzenie centralnej jednostki ds. dostaw koordynującej i wspierającej system planowania zasobów ludzkich. W drugim etapie plany strategiczne w zakresie zasobów ludzkich zostaną rozszerzone na duże gminy, natomiast małe i średnie gminy są przedmiotem konkretnych inwestycji w budowanie zdolności.</w:t>
            </w:r>
          </w:p>
        </w:tc>
      </w:tr>
      <w:tr w:rsidR="004C6421" w14:paraId="0B7C29BB"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E432E9" w14:textId="77777777" w:rsidR="004C6421" w:rsidRDefault="009D1962">
            <w:pPr>
              <w:pStyle w:val="P68B1DB1-Normal4"/>
              <w:jc w:val="center"/>
              <w:rPr>
                <w:rFonts w:cs="Arial"/>
                <w:noProof/>
              </w:rPr>
            </w:pPr>
            <w:r>
              <w:rPr>
                <w:noProof/>
              </w:rPr>
              <w:t>M1C1-59BIS</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881EBEF" w14:textId="77777777" w:rsidR="004C6421" w:rsidRDefault="009D1962">
            <w:pPr>
              <w:pStyle w:val="P68B1DB1-Normal4"/>
              <w:jc w:val="center"/>
              <w:rPr>
                <w:rFonts w:cs="Arial"/>
                <w:noProof/>
              </w:rPr>
            </w:pPr>
            <w:r>
              <w:rPr>
                <w:noProof/>
              </w:rPr>
              <w:t>Reforma 1.9: Reforma administracji publicznej</w:t>
            </w:r>
          </w:p>
          <w:p w14:paraId="5B45211D" w14:textId="77777777" w:rsidR="004C6421" w:rsidRDefault="004C6421">
            <w:pPr>
              <w:jc w:val="center"/>
              <w:rPr>
                <w:rFonts w:ascii="Arial Narrow" w:hAnsi="Arial Narrow" w:cs="Arial"/>
                <w:noProof/>
                <w:color w:val="006100"/>
                <w:sz w:val="20"/>
              </w:rPr>
            </w:pP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61447F4" w14:textId="63DA2030"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191D21" w14:textId="77777777" w:rsidR="004C6421" w:rsidRDefault="009D1962">
            <w:pPr>
              <w:pStyle w:val="P68B1DB1-Normal4"/>
              <w:jc w:val="center"/>
              <w:rPr>
                <w:rFonts w:cs="Arial"/>
                <w:noProof/>
              </w:rPr>
            </w:pPr>
            <w:r>
              <w:rPr>
                <w:noProof/>
              </w:rPr>
              <w:t>Wdrożenie strategicznego zarządzania zasobami ludzkimi w administracji publicznej</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7F4B64" w14:textId="77777777" w:rsidR="004C6421" w:rsidRDefault="009D1962">
            <w:pPr>
              <w:pStyle w:val="P68B1DB1-Normal4"/>
              <w:jc w:val="center"/>
              <w:rPr>
                <w:rFonts w:cs="Arial"/>
                <w:noProof/>
              </w:rPr>
            </w:pPr>
            <w:r>
              <w:rPr>
                <w:noProof/>
              </w:rPr>
              <w:t>Publikacja pierwszego półrocznego sprawozdania na temat kluczowych wskaźników efektywności.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7BEAFB"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FF28D1A"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71C0A45"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9C2BB26"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E92A8F3" w14:textId="77777777" w:rsidR="004C6421" w:rsidRDefault="009D1962">
            <w:pPr>
              <w:pStyle w:val="P68B1DB1-Normal4"/>
              <w:jc w:val="center"/>
              <w:rPr>
                <w:rFonts w:cs="Arial"/>
                <w:noProof/>
              </w:rPr>
            </w:pPr>
            <w:r>
              <w:rPr>
                <w:noProof/>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684DC4" w14:textId="77777777" w:rsidR="004C6421" w:rsidRDefault="009D1962">
            <w:pPr>
              <w:pStyle w:val="P68B1DB1-Normal4"/>
              <w:rPr>
                <w:rFonts w:cs="Arial"/>
                <w:noProof/>
              </w:rPr>
            </w:pPr>
            <w:r>
              <w:rPr>
                <w:noProof/>
              </w:rPr>
              <w:t>Publikowane jest pierwsze półroczne sprawozdanie na temat kluczowych wskaźników efektywności.</w:t>
            </w:r>
          </w:p>
        </w:tc>
      </w:tr>
      <w:tr w:rsidR="004C6421" w14:paraId="611D646C"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599006" w14:textId="77777777" w:rsidR="004C6421" w:rsidRDefault="009D1962">
            <w:pPr>
              <w:pStyle w:val="P68B1DB1-Normal4"/>
              <w:jc w:val="center"/>
              <w:rPr>
                <w:noProof/>
              </w:rPr>
            </w:pPr>
            <w:r>
              <w:rPr>
                <w:noProof/>
              </w:rPr>
              <w:t>M1C1-59ter</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F70CA6" w14:textId="77777777" w:rsidR="004C6421" w:rsidRDefault="009D1962">
            <w:pPr>
              <w:pStyle w:val="P68B1DB1-Normal4"/>
              <w:jc w:val="center"/>
              <w:rPr>
                <w:noProof/>
              </w:rPr>
            </w:pPr>
            <w:r>
              <w:rPr>
                <w:noProof/>
              </w:rPr>
              <w:t>Reforma 1.9: Reforma administracji publicznej</w:t>
            </w:r>
          </w:p>
          <w:p w14:paraId="6BAD074E" w14:textId="77777777" w:rsidR="004C6421" w:rsidRDefault="004C6421">
            <w:pPr>
              <w:jc w:val="center"/>
              <w:rPr>
                <w:rFonts w:ascii="Arial Narrow" w:hAnsi="Arial Narrow"/>
                <w:noProof/>
                <w:color w:val="006100"/>
                <w:sz w:val="20"/>
              </w:rPr>
            </w:pP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7FE34B8" w14:textId="4211B8EA" w:rsidR="004C6421" w:rsidRDefault="00CC179E">
            <w:pPr>
              <w:pStyle w:val="P68B1DB1-Normal4"/>
              <w:jc w:val="center"/>
              <w:rPr>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395A93" w14:textId="77777777" w:rsidR="004C6421" w:rsidRDefault="009D1962">
            <w:pPr>
              <w:pStyle w:val="P68B1DB1-Normal4"/>
              <w:jc w:val="center"/>
              <w:rPr>
                <w:noProof/>
              </w:rPr>
            </w:pPr>
            <w:r>
              <w:rPr>
                <w:noProof/>
              </w:rPr>
              <w:t>Wdrożenie strategicznego zarządzania zasobami ludzkimi w administracji publicznej</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9548A2D" w14:textId="77777777" w:rsidR="004C6421" w:rsidRDefault="009D1962">
            <w:pPr>
              <w:pStyle w:val="P68B1DB1-Normal4"/>
              <w:jc w:val="center"/>
              <w:rPr>
                <w:noProof/>
              </w:rPr>
            </w:pPr>
            <w:r>
              <w:rPr>
                <w:noProof/>
              </w:rPr>
              <w:t xml:space="preserve">„Zestaw narzędzi kadrowych”, interoperacyjny z inPA i Syllabus oraz zintegrowany z bazą danych PIAO, a także weryfikacja planów strategicznych w zakresie zasobów ludzkich. </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45B2D8" w14:textId="77777777" w:rsidR="004C6421" w:rsidRDefault="009D1962">
            <w:pPr>
              <w:pStyle w:val="P68B1DB1-Normal4"/>
              <w:jc w:val="center"/>
              <w:rPr>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EAE1C9" w14:textId="77777777" w:rsidR="004C6421" w:rsidRDefault="009D1962">
            <w:pPr>
              <w:pStyle w:val="P68B1DB1-Normal4"/>
              <w:jc w:val="center"/>
              <w:rPr>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CE4A347" w14:textId="77777777" w:rsidR="004C6421" w:rsidRDefault="009D1962">
            <w:pPr>
              <w:pStyle w:val="P68B1DB1-Normal4"/>
              <w:jc w:val="center"/>
              <w:rPr>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A58AAAC" w14:textId="77777777" w:rsidR="004C6421" w:rsidRDefault="009D1962">
            <w:pPr>
              <w:pStyle w:val="P68B1DB1-Normal4"/>
              <w:jc w:val="center"/>
              <w:rPr>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6982DBA" w14:textId="77777777" w:rsidR="004C6421" w:rsidRDefault="009D1962">
            <w:pPr>
              <w:pStyle w:val="P68B1DB1-Normal4"/>
              <w:jc w:val="center"/>
              <w:rPr>
                <w:noProof/>
              </w:rPr>
            </w:pPr>
            <w:r>
              <w:rPr>
                <w:noProof/>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1EF69D" w14:textId="77777777" w:rsidR="004C6421" w:rsidRDefault="009D1962">
            <w:pPr>
              <w:pStyle w:val="P68B1DB1-Normal4"/>
              <w:spacing w:before="120" w:after="160" w:line="259" w:lineRule="auto"/>
              <w:contextualSpacing/>
              <w:rPr>
                <w:noProof/>
              </w:rPr>
            </w:pPr>
            <w:r>
              <w:rPr>
                <w:noProof/>
              </w:rPr>
              <w:t>Zintegrowana baza danych („zestaw narzędzi HRM”) jest dostępna dla wszystkich administracji publicznych zatrudniających ponad 50 pracowników, które zgodnie z prawem muszą przyjąć PIAO. „Zestaw narzędzi HRM” jest interoperacyjny z platformą rekrutacyjną (inPA) i platformą „Syllabus”. Należy zintegrować „zestaw narzędzi HRM” i bazę danych PIAO.</w:t>
            </w:r>
          </w:p>
          <w:p w14:paraId="19E7A7CD" w14:textId="77777777" w:rsidR="004C6421" w:rsidRDefault="004C6421">
            <w:pPr>
              <w:spacing w:before="120" w:after="160" w:line="259" w:lineRule="auto"/>
              <w:contextualSpacing/>
              <w:rPr>
                <w:rFonts w:ascii="Arial Narrow" w:hAnsi="Arial Narrow"/>
                <w:noProof/>
                <w:color w:val="006100"/>
                <w:sz w:val="20"/>
              </w:rPr>
            </w:pPr>
          </w:p>
          <w:p w14:paraId="671D10E1" w14:textId="77777777" w:rsidR="004C6421" w:rsidRDefault="009D1962">
            <w:pPr>
              <w:pStyle w:val="P68B1DB1-Normal4"/>
              <w:rPr>
                <w:noProof/>
              </w:rPr>
            </w:pPr>
            <w:r>
              <w:rPr>
                <w:noProof/>
              </w:rPr>
              <w:t>Ministerstwo Administracji Publicznej weryfikuje, co najmniej w odniesieniu do próby administracji krajowej i administracji szczebla niższego niż krajowy zatrudniającej ponad 50 pracowników przyjmujących PIAO, treść odpowiednich planów strategicznych w zakresie zasobów ludzkich i podejmuje działania następcze w niezbędnym zakresie, uwzględniając również wyniki sprawozdań półrocznych dotyczących kluczowych wskaźników skuteczności działania.</w:t>
            </w:r>
          </w:p>
        </w:tc>
      </w:tr>
      <w:tr w:rsidR="004C6421" w14:paraId="2AAA9EE6"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A27786" w14:textId="77777777" w:rsidR="004C6421" w:rsidRDefault="009D1962">
            <w:pPr>
              <w:pStyle w:val="P68B1DB1-Normal4"/>
              <w:jc w:val="center"/>
              <w:rPr>
                <w:rFonts w:cs="Arial"/>
                <w:noProof/>
              </w:rPr>
            </w:pPr>
            <w:r>
              <w:rPr>
                <w:noProof/>
              </w:rPr>
              <w:t>M1C1-60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6D025EC" w14:textId="77777777" w:rsidR="004C6421" w:rsidRDefault="009D1962">
            <w:pPr>
              <w:pStyle w:val="P68B1DB1-Normal4"/>
              <w:jc w:val="center"/>
              <w:rPr>
                <w:rFonts w:cs="Arial"/>
                <w:noProof/>
              </w:rPr>
            </w:pPr>
            <w:r>
              <w:rPr>
                <w:noProof/>
              </w:rPr>
              <w:t>Reforma 1.9: Reforma administracji publicznej</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A4BAB33" w14:textId="3CEFBCEE"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3F37C8D" w14:textId="77777777" w:rsidR="004C6421" w:rsidRDefault="009D1962">
            <w:pPr>
              <w:pStyle w:val="P68B1DB1-Normal4"/>
              <w:jc w:val="center"/>
              <w:rPr>
                <w:rFonts w:cs="Arial"/>
                <w:noProof/>
              </w:rPr>
            </w:pPr>
            <w:r>
              <w:rPr>
                <w:noProof/>
              </w:rPr>
              <w:t>Pełne wdrożenie (w tym wszystkich aktów delegowanych) uproszczenia lub cyfryzacji zestawu 200 kluczowych procedur mających wpływ na obywateli i przedsiębiorstwa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FDE976" w14:textId="77777777" w:rsidR="004C6421" w:rsidRDefault="009D1962">
            <w:pPr>
              <w:pStyle w:val="P68B1DB1-Normal4"/>
              <w:jc w:val="center"/>
              <w:rPr>
                <w:rFonts w:cs="Arial"/>
                <w:noProof/>
              </w:rPr>
            </w:pPr>
            <w:r>
              <w:rPr>
                <w:noProof/>
              </w:rPr>
              <w:t>Wejście w życie prawa wtórnego</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DF25591"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C985B4"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21AFEC4"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AC7DC5" w14:textId="542FBAB8"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461BCDF" w14:textId="77777777" w:rsidR="004C6421" w:rsidRDefault="009D1962">
            <w:pPr>
              <w:pStyle w:val="P68B1DB1-Normal4"/>
              <w:jc w:val="center"/>
              <w:rPr>
                <w:rFonts w:cs="Arial"/>
                <w:noProof/>
              </w:rPr>
            </w:pPr>
            <w:r>
              <w:rPr>
                <w:noProof/>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976360" w14:textId="77777777" w:rsidR="004C6421" w:rsidRDefault="009D1962">
            <w:pPr>
              <w:pStyle w:val="P68B1DB1-Normal4"/>
              <w:spacing w:before="120" w:after="160" w:line="259" w:lineRule="auto"/>
              <w:contextualSpacing/>
              <w:rPr>
                <w:rFonts w:cs="Arial"/>
                <w:noProof/>
              </w:rPr>
            </w:pPr>
            <w:r>
              <w:rPr>
                <w:noProof/>
              </w:rPr>
              <w:t>Obszary priorytetowe, które należy uprościć, to:</w:t>
            </w:r>
          </w:p>
          <w:p w14:paraId="3ECBFB5E" w14:textId="77777777" w:rsidR="004C6421" w:rsidRDefault="009D1962">
            <w:pPr>
              <w:pStyle w:val="P68B1DB1-ListParagraph5"/>
              <w:numPr>
                <w:ilvl w:val="0"/>
                <w:numId w:val="131"/>
              </w:numPr>
              <w:spacing w:before="0" w:after="0" w:line="259" w:lineRule="auto"/>
              <w:ind w:left="399"/>
              <w:jc w:val="left"/>
              <w:rPr>
                <w:rFonts w:cs="Arial"/>
                <w:noProof/>
              </w:rPr>
            </w:pPr>
            <w:r>
              <w:rPr>
                <w:noProof/>
              </w:rPr>
              <w:t xml:space="preserve">Pozwolenia środowiskowe, odnawialne źródła energii i zielona gospodarka </w:t>
            </w:r>
          </w:p>
          <w:p w14:paraId="32772668" w14:textId="77777777" w:rsidR="004C6421" w:rsidRDefault="009D1962">
            <w:pPr>
              <w:pStyle w:val="P68B1DB1-ListParagraph5"/>
              <w:numPr>
                <w:ilvl w:val="0"/>
                <w:numId w:val="130"/>
              </w:numPr>
              <w:spacing w:before="0" w:after="0" w:line="259" w:lineRule="auto"/>
              <w:ind w:left="399"/>
              <w:jc w:val="left"/>
              <w:rPr>
                <w:rFonts w:cs="Arial"/>
                <w:noProof/>
              </w:rPr>
            </w:pPr>
            <w:r>
              <w:rPr>
                <w:noProof/>
              </w:rPr>
              <w:t>Pozwolenia na budowę i przekwalifikowywanie obszarów miejskich</w:t>
            </w:r>
          </w:p>
          <w:p w14:paraId="200934C8" w14:textId="77777777" w:rsidR="004C6421" w:rsidRDefault="009D1962">
            <w:pPr>
              <w:pStyle w:val="P68B1DB1-ListParagraph5"/>
              <w:numPr>
                <w:ilvl w:val="0"/>
                <w:numId w:val="129"/>
              </w:numPr>
              <w:spacing w:before="0" w:after="0" w:line="259" w:lineRule="auto"/>
              <w:ind w:left="399"/>
              <w:jc w:val="left"/>
              <w:rPr>
                <w:rFonts w:cs="Arial"/>
                <w:noProof/>
              </w:rPr>
            </w:pPr>
            <w:r>
              <w:rPr>
                <w:noProof/>
              </w:rPr>
              <w:t>Infrastruktura cyfrowa</w:t>
            </w:r>
          </w:p>
          <w:p w14:paraId="1C3A9DB2" w14:textId="77777777" w:rsidR="004C6421" w:rsidRDefault="009D1962">
            <w:pPr>
              <w:pStyle w:val="P68B1DB1-ListParagraph5"/>
              <w:numPr>
                <w:ilvl w:val="0"/>
                <w:numId w:val="129"/>
              </w:numPr>
              <w:spacing w:before="0" w:after="0" w:line="259" w:lineRule="auto"/>
              <w:ind w:left="399"/>
              <w:jc w:val="left"/>
              <w:rPr>
                <w:rFonts w:cs="Arial"/>
                <w:noProof/>
              </w:rPr>
            </w:pPr>
            <w:r>
              <w:rPr>
                <w:noProof/>
              </w:rPr>
              <w:t>Procedury biznesowe</w:t>
            </w:r>
          </w:p>
          <w:p w14:paraId="0FC0829E" w14:textId="77777777" w:rsidR="004C6421" w:rsidRDefault="009D1962">
            <w:pPr>
              <w:pStyle w:val="P68B1DB1-Normal4"/>
              <w:spacing w:before="120" w:after="160" w:line="259" w:lineRule="auto"/>
              <w:contextualSpacing/>
              <w:rPr>
                <w:rFonts w:cs="Arial"/>
                <w:noProof/>
              </w:rPr>
            </w:pPr>
            <w:r>
              <w:rPr>
                <w:noProof/>
              </w:rPr>
              <w:t>Kolejne sektory krytyczne to:</w:t>
            </w:r>
          </w:p>
          <w:p w14:paraId="675FAFC7" w14:textId="77777777" w:rsidR="004C6421" w:rsidRDefault="009D1962">
            <w:pPr>
              <w:pStyle w:val="P68B1DB1-ListParagraph5"/>
              <w:numPr>
                <w:ilvl w:val="0"/>
                <w:numId w:val="128"/>
              </w:numPr>
              <w:spacing w:before="0" w:after="0" w:line="259" w:lineRule="auto"/>
              <w:ind w:left="399"/>
              <w:jc w:val="left"/>
              <w:rPr>
                <w:rFonts w:cs="Arial"/>
                <w:noProof/>
              </w:rPr>
            </w:pPr>
            <w:r>
              <w:rPr>
                <w:noProof/>
              </w:rPr>
              <w:t xml:space="preserve">Prawo pracy i zabezpieczenie społeczne </w:t>
            </w:r>
          </w:p>
          <w:p w14:paraId="5CE750F7" w14:textId="77777777" w:rsidR="004C6421" w:rsidRDefault="009D1962">
            <w:pPr>
              <w:pStyle w:val="P68B1DB1-ListParagraph5"/>
              <w:numPr>
                <w:ilvl w:val="0"/>
                <w:numId w:val="127"/>
              </w:numPr>
              <w:spacing w:before="0" w:after="0" w:line="259" w:lineRule="auto"/>
              <w:ind w:left="399"/>
              <w:jc w:val="left"/>
              <w:rPr>
                <w:rFonts w:cs="Arial"/>
                <w:noProof/>
              </w:rPr>
            </w:pPr>
            <w:r>
              <w:rPr>
                <w:noProof/>
              </w:rPr>
              <w:t xml:space="preserve">Turystyka </w:t>
            </w:r>
          </w:p>
          <w:p w14:paraId="3119EE3F" w14:textId="77777777" w:rsidR="004C6421" w:rsidRDefault="009D1962">
            <w:pPr>
              <w:pStyle w:val="P68B1DB1-ListParagraph5"/>
              <w:numPr>
                <w:ilvl w:val="0"/>
                <w:numId w:val="126"/>
              </w:numPr>
              <w:spacing w:before="0" w:after="0" w:line="259" w:lineRule="auto"/>
              <w:ind w:left="399"/>
              <w:jc w:val="left"/>
              <w:rPr>
                <w:rFonts w:cs="Arial"/>
                <w:noProof/>
              </w:rPr>
            </w:pPr>
            <w:r>
              <w:rPr>
                <w:noProof/>
              </w:rPr>
              <w:t>Rolno-spożywczy</w:t>
            </w:r>
          </w:p>
          <w:p w14:paraId="4AD5AA8C" w14:textId="77777777" w:rsidR="004C6421" w:rsidRDefault="004C6421">
            <w:pPr>
              <w:spacing w:line="259" w:lineRule="auto"/>
              <w:ind w:left="39"/>
              <w:rPr>
                <w:rFonts w:ascii="Arial Narrow" w:hAnsi="Arial Narrow" w:cs="Arial"/>
                <w:noProof/>
                <w:color w:val="006100"/>
                <w:sz w:val="20"/>
              </w:rPr>
            </w:pPr>
          </w:p>
          <w:p w14:paraId="01FC9787" w14:textId="77777777" w:rsidR="004C6421" w:rsidRDefault="009D1962">
            <w:pPr>
              <w:pStyle w:val="P68B1DB1-Normal4"/>
              <w:spacing w:before="120" w:after="160" w:line="259" w:lineRule="auto"/>
              <w:contextualSpacing/>
              <w:rPr>
                <w:rFonts w:cs="Arial"/>
                <w:noProof/>
              </w:rPr>
            </w:pPr>
            <w:r>
              <w:rPr>
                <w:noProof/>
              </w:rPr>
              <w:t xml:space="preserve">Wybrane procedury państwowe i regionalne można podsumować w następujących głównych obszarach: </w:t>
            </w:r>
          </w:p>
          <w:p w14:paraId="524DC147" w14:textId="77777777" w:rsidR="004C6421" w:rsidRDefault="009D1962">
            <w:pPr>
              <w:pStyle w:val="P68B1DB1-ListParagraph5"/>
              <w:numPr>
                <w:ilvl w:val="0"/>
                <w:numId w:val="125"/>
              </w:numPr>
              <w:spacing w:before="0" w:after="0" w:line="259" w:lineRule="auto"/>
              <w:jc w:val="left"/>
              <w:rPr>
                <w:rFonts w:cs="Arial"/>
                <w:noProof/>
              </w:rPr>
            </w:pPr>
            <w:r>
              <w:rPr>
                <w:noProof/>
              </w:rPr>
              <w:t xml:space="preserve">Pozwolenia środowiskowe i energetyczne: </w:t>
            </w:r>
          </w:p>
          <w:p w14:paraId="0BFC9338" w14:textId="77777777" w:rsidR="004C6421" w:rsidRDefault="009D1962">
            <w:pPr>
              <w:pStyle w:val="P68B1DB1-ListParagraph5"/>
              <w:numPr>
                <w:ilvl w:val="0"/>
                <w:numId w:val="120"/>
              </w:numPr>
              <w:spacing w:before="0" w:after="0" w:line="259" w:lineRule="auto"/>
              <w:jc w:val="left"/>
              <w:rPr>
                <w:rFonts w:cs="Arial"/>
                <w:noProof/>
              </w:rPr>
            </w:pPr>
            <w:r>
              <w:rPr>
                <w:noProof/>
              </w:rPr>
              <w:t xml:space="preserve">Państwowa procedura oceny oddziaływania na środowisko </w:t>
            </w:r>
          </w:p>
          <w:p w14:paraId="73A88E54" w14:textId="77777777" w:rsidR="004C6421" w:rsidRDefault="009D1962">
            <w:pPr>
              <w:pStyle w:val="P68B1DB1-ListParagraph5"/>
              <w:numPr>
                <w:ilvl w:val="0"/>
                <w:numId w:val="120"/>
              </w:numPr>
              <w:spacing w:before="0" w:after="0" w:line="259" w:lineRule="auto"/>
              <w:jc w:val="left"/>
              <w:rPr>
                <w:rFonts w:cs="Arial"/>
                <w:noProof/>
              </w:rPr>
            </w:pPr>
            <w:r>
              <w:rPr>
                <w:noProof/>
              </w:rPr>
              <w:t xml:space="preserve">Regionalna procedura oceny oddziaływania na środowisko </w:t>
            </w:r>
          </w:p>
          <w:p w14:paraId="24691531" w14:textId="77777777" w:rsidR="004C6421" w:rsidRDefault="009D1962">
            <w:pPr>
              <w:pStyle w:val="P68B1DB1-ListParagraph5"/>
              <w:numPr>
                <w:ilvl w:val="0"/>
                <w:numId w:val="120"/>
              </w:numPr>
              <w:spacing w:before="0" w:after="0" w:line="259" w:lineRule="auto"/>
              <w:jc w:val="left"/>
              <w:rPr>
                <w:rFonts w:cs="Arial"/>
                <w:noProof/>
              </w:rPr>
            </w:pPr>
            <w:r>
              <w:rPr>
                <w:noProof/>
              </w:rPr>
              <w:t xml:space="preserve">Zezwolenia na remediację środowiska </w:t>
            </w:r>
          </w:p>
          <w:p w14:paraId="6E5EC932" w14:textId="77777777" w:rsidR="004C6421" w:rsidRDefault="009D1962">
            <w:pPr>
              <w:pStyle w:val="P68B1DB1-ListParagraph5"/>
              <w:numPr>
                <w:ilvl w:val="0"/>
                <w:numId w:val="120"/>
              </w:numPr>
              <w:spacing w:before="0" w:after="0" w:line="259" w:lineRule="auto"/>
              <w:jc w:val="left"/>
              <w:rPr>
                <w:rFonts w:cs="Arial"/>
                <w:noProof/>
              </w:rPr>
            </w:pPr>
            <w:r>
              <w:rPr>
                <w:noProof/>
              </w:rPr>
              <w:t xml:space="preserve">Strategiczna ocena środowiska </w:t>
            </w:r>
          </w:p>
          <w:p w14:paraId="45597F8C" w14:textId="77777777" w:rsidR="004C6421" w:rsidRDefault="009D1962">
            <w:pPr>
              <w:pStyle w:val="P68B1DB1-ListParagraph5"/>
              <w:numPr>
                <w:ilvl w:val="0"/>
                <w:numId w:val="120"/>
              </w:numPr>
              <w:spacing w:before="0" w:after="0" w:line="259" w:lineRule="auto"/>
              <w:jc w:val="left"/>
              <w:rPr>
                <w:rFonts w:cs="Arial"/>
                <w:noProof/>
              </w:rPr>
            </w:pPr>
            <w:r>
              <w:rPr>
                <w:noProof/>
              </w:rPr>
              <w:t xml:space="preserve">Zintegrowane zapobieganie zanieczyszczeniom i ich kontrola (IPPC) </w:t>
            </w:r>
          </w:p>
          <w:p w14:paraId="157EE56B" w14:textId="77777777" w:rsidR="004C6421" w:rsidRDefault="009D1962">
            <w:pPr>
              <w:pStyle w:val="P68B1DB1-ListParagraph5"/>
              <w:numPr>
                <w:ilvl w:val="0"/>
                <w:numId w:val="120"/>
              </w:numPr>
              <w:spacing w:before="0" w:after="0" w:line="259" w:lineRule="auto"/>
              <w:jc w:val="left"/>
              <w:rPr>
                <w:rFonts w:cs="Arial"/>
                <w:noProof/>
              </w:rPr>
            </w:pPr>
            <w:r>
              <w:rPr>
                <w:noProof/>
              </w:rPr>
              <w:t xml:space="preserve">Procedury udzielania zezwoleń na odnawialne źródła energii </w:t>
            </w:r>
          </w:p>
          <w:p w14:paraId="4033FF41" w14:textId="77777777" w:rsidR="004C6421" w:rsidRDefault="009D1962">
            <w:pPr>
              <w:pStyle w:val="P68B1DB1-ListParagraph5"/>
              <w:numPr>
                <w:ilvl w:val="0"/>
                <w:numId w:val="120"/>
              </w:numPr>
              <w:spacing w:before="0" w:after="0" w:line="259" w:lineRule="auto"/>
              <w:jc w:val="left"/>
              <w:rPr>
                <w:rFonts w:cs="Arial"/>
                <w:noProof/>
              </w:rPr>
            </w:pPr>
            <w:r>
              <w:rPr>
                <w:noProof/>
              </w:rPr>
              <w:t>Procedury rozbudowy źródła energii, przebudowy i przebudowy źródeł energii</w:t>
            </w:r>
          </w:p>
          <w:p w14:paraId="25D44219" w14:textId="77777777" w:rsidR="004C6421" w:rsidRDefault="009D1962">
            <w:pPr>
              <w:pStyle w:val="P68B1DB1-ListParagraph5"/>
              <w:numPr>
                <w:ilvl w:val="0"/>
                <w:numId w:val="120"/>
              </w:numPr>
              <w:spacing w:before="0" w:after="0" w:line="259" w:lineRule="auto"/>
              <w:jc w:val="left"/>
              <w:rPr>
                <w:rFonts w:cs="Arial"/>
                <w:noProof/>
              </w:rPr>
            </w:pPr>
            <w:r>
              <w:rPr>
                <w:noProof/>
              </w:rPr>
              <w:t xml:space="preserve">Procedury udzielania zezwoleń na infrastrukturę energetyczną </w:t>
            </w:r>
          </w:p>
          <w:p w14:paraId="5AF8789F" w14:textId="77777777" w:rsidR="004C6421" w:rsidRDefault="009D1962">
            <w:pPr>
              <w:pStyle w:val="P68B1DB1-ListParagraph5"/>
              <w:numPr>
                <w:ilvl w:val="0"/>
                <w:numId w:val="120"/>
              </w:numPr>
              <w:spacing w:before="0" w:after="0" w:line="259" w:lineRule="auto"/>
              <w:jc w:val="left"/>
              <w:rPr>
                <w:rFonts w:cs="Arial"/>
                <w:noProof/>
              </w:rPr>
            </w:pPr>
            <w:r>
              <w:rPr>
                <w:noProof/>
              </w:rPr>
              <w:t>Zezwolenia dotyczące odpadów</w:t>
            </w:r>
          </w:p>
          <w:p w14:paraId="093846CE" w14:textId="77777777" w:rsidR="004C6421" w:rsidRDefault="009D1962">
            <w:pPr>
              <w:pStyle w:val="P68B1DB1-ListParagraph5"/>
              <w:numPr>
                <w:ilvl w:val="0"/>
                <w:numId w:val="124"/>
              </w:numPr>
              <w:spacing w:before="0" w:after="0" w:line="259" w:lineRule="auto"/>
              <w:jc w:val="left"/>
              <w:rPr>
                <w:rFonts w:cs="Arial"/>
                <w:noProof/>
              </w:rPr>
            </w:pPr>
            <w:r>
              <w:rPr>
                <w:noProof/>
              </w:rPr>
              <w:t>Budowa i przekwalifikowywanie miast:</w:t>
            </w:r>
          </w:p>
          <w:p w14:paraId="4F00F48C" w14:textId="77777777" w:rsidR="004C6421" w:rsidRDefault="009D1962">
            <w:pPr>
              <w:pStyle w:val="P68B1DB1-ListParagraph5"/>
              <w:numPr>
                <w:ilvl w:val="0"/>
                <w:numId w:val="119"/>
              </w:numPr>
              <w:spacing w:before="0" w:after="0" w:line="259" w:lineRule="auto"/>
              <w:jc w:val="left"/>
              <w:rPr>
                <w:rFonts w:cs="Arial"/>
                <w:noProof/>
              </w:rPr>
            </w:pPr>
            <w:r>
              <w:rPr>
                <w:noProof/>
              </w:rPr>
              <w:t xml:space="preserve">Procedury oszczędności energii i racjonalizacji zużycia energii (procedury zgodności itp.) </w:t>
            </w:r>
          </w:p>
          <w:p w14:paraId="72B28309" w14:textId="77777777" w:rsidR="004C6421" w:rsidRDefault="009D1962">
            <w:pPr>
              <w:pStyle w:val="P68B1DB1-ListParagraph5"/>
              <w:numPr>
                <w:ilvl w:val="0"/>
                <w:numId w:val="119"/>
              </w:numPr>
              <w:spacing w:before="0" w:after="0" w:line="259" w:lineRule="auto"/>
              <w:jc w:val="left"/>
              <w:rPr>
                <w:rFonts w:cs="Arial"/>
                <w:noProof/>
              </w:rPr>
            </w:pPr>
            <w:r>
              <w:rPr>
                <w:noProof/>
              </w:rPr>
              <w:t xml:space="preserve"> —Konferencja służbowa</w:t>
            </w:r>
          </w:p>
          <w:p w14:paraId="4559EADA" w14:textId="77777777" w:rsidR="004C6421" w:rsidRDefault="009D1962">
            <w:pPr>
              <w:pStyle w:val="P68B1DB1-ListParagraph5"/>
              <w:numPr>
                <w:ilvl w:val="0"/>
                <w:numId w:val="123"/>
              </w:numPr>
              <w:spacing w:before="0" w:after="0" w:line="259" w:lineRule="auto"/>
              <w:jc w:val="left"/>
              <w:rPr>
                <w:rFonts w:cs="Arial"/>
                <w:noProof/>
              </w:rPr>
            </w:pPr>
            <w:r>
              <w:rPr>
                <w:noProof/>
              </w:rPr>
              <w:t xml:space="preserve">Infrastruktura cyfrowa:  </w:t>
            </w:r>
          </w:p>
          <w:p w14:paraId="25938D55" w14:textId="77777777" w:rsidR="004C6421" w:rsidRDefault="009D1962">
            <w:pPr>
              <w:pStyle w:val="P68B1DB1-ListParagraph5"/>
              <w:numPr>
                <w:ilvl w:val="0"/>
                <w:numId w:val="118"/>
              </w:numPr>
              <w:spacing w:before="0" w:after="0" w:line="259" w:lineRule="auto"/>
              <w:jc w:val="left"/>
              <w:rPr>
                <w:rFonts w:cs="Arial"/>
                <w:noProof/>
              </w:rPr>
            </w:pPr>
            <w:r>
              <w:rPr>
                <w:noProof/>
              </w:rPr>
              <w:t xml:space="preserve">Zezwolenia na infrastrukturę łączności  </w:t>
            </w:r>
          </w:p>
          <w:p w14:paraId="28A1AB14" w14:textId="77777777" w:rsidR="004C6421" w:rsidRDefault="009D1962">
            <w:pPr>
              <w:pStyle w:val="P68B1DB1-ListParagraph5"/>
              <w:numPr>
                <w:ilvl w:val="0"/>
                <w:numId w:val="122"/>
              </w:numPr>
              <w:spacing w:before="0" w:after="0" w:line="259" w:lineRule="auto"/>
              <w:jc w:val="left"/>
              <w:rPr>
                <w:rFonts w:cs="Arial"/>
                <w:noProof/>
              </w:rPr>
            </w:pPr>
            <w:r>
              <w:rPr>
                <w:noProof/>
              </w:rPr>
              <w:t xml:space="preserve">Procedury biznesowe: </w:t>
            </w:r>
          </w:p>
          <w:p w14:paraId="5D2CF6C1" w14:textId="77777777" w:rsidR="004C6421" w:rsidRDefault="009D1962">
            <w:pPr>
              <w:pStyle w:val="P68B1DB1-ListParagraph5"/>
              <w:numPr>
                <w:ilvl w:val="0"/>
                <w:numId w:val="114"/>
              </w:numPr>
              <w:spacing w:before="0" w:after="0" w:line="259" w:lineRule="auto"/>
              <w:jc w:val="left"/>
              <w:rPr>
                <w:rFonts w:cs="Arial"/>
                <w:noProof/>
              </w:rPr>
            </w:pPr>
            <w:r>
              <w:rPr>
                <w:noProof/>
              </w:rPr>
              <w:t>Procedury w sektorze detalicznym</w:t>
            </w:r>
          </w:p>
          <w:p w14:paraId="210337CF" w14:textId="77777777" w:rsidR="004C6421" w:rsidRDefault="009D1962">
            <w:pPr>
              <w:pStyle w:val="P68B1DB1-ListParagraph5"/>
              <w:numPr>
                <w:ilvl w:val="0"/>
                <w:numId w:val="114"/>
              </w:numPr>
              <w:spacing w:before="0" w:after="0" w:line="259" w:lineRule="auto"/>
              <w:jc w:val="left"/>
              <w:rPr>
                <w:rFonts w:cs="Arial"/>
                <w:noProof/>
              </w:rPr>
            </w:pPr>
            <w:r>
              <w:rPr>
                <w:noProof/>
              </w:rPr>
              <w:t>Procedury biznesowe i budowlane (SUAP i SUE)</w:t>
            </w:r>
          </w:p>
          <w:p w14:paraId="1380D70B" w14:textId="77777777" w:rsidR="004C6421" w:rsidRDefault="009D1962">
            <w:pPr>
              <w:pStyle w:val="P68B1DB1-ListParagraph5"/>
              <w:numPr>
                <w:ilvl w:val="0"/>
                <w:numId w:val="114"/>
              </w:numPr>
              <w:spacing w:before="0" w:after="0" w:line="259" w:lineRule="auto"/>
              <w:jc w:val="left"/>
              <w:rPr>
                <w:rFonts w:cs="Arial"/>
                <w:noProof/>
              </w:rPr>
            </w:pPr>
            <w:r>
              <w:rPr>
                <w:noProof/>
              </w:rPr>
              <w:t>Procedury dotyczące działalności rzemieślniczej</w:t>
            </w:r>
          </w:p>
          <w:p w14:paraId="50C6887A" w14:textId="77777777" w:rsidR="004C6421" w:rsidRDefault="009D1962">
            <w:pPr>
              <w:pStyle w:val="P68B1DB1-ListParagraph5"/>
              <w:numPr>
                <w:ilvl w:val="0"/>
                <w:numId w:val="121"/>
              </w:numPr>
              <w:spacing w:before="0" w:after="0" w:line="259" w:lineRule="auto"/>
              <w:jc w:val="left"/>
              <w:rPr>
                <w:rFonts w:cs="Arial"/>
                <w:noProof/>
              </w:rPr>
            </w:pPr>
            <w:r>
              <w:rPr>
                <w:noProof/>
              </w:rPr>
              <w:t xml:space="preserve">Inne procedury:  </w:t>
            </w:r>
          </w:p>
          <w:p w14:paraId="6B6E9519" w14:textId="77777777" w:rsidR="004C6421" w:rsidRDefault="009D1962">
            <w:pPr>
              <w:pStyle w:val="P68B1DB1-ListParagraph5"/>
              <w:numPr>
                <w:ilvl w:val="0"/>
                <w:numId w:val="117"/>
              </w:numPr>
              <w:spacing w:before="0" w:after="0" w:line="259" w:lineRule="auto"/>
              <w:jc w:val="left"/>
              <w:rPr>
                <w:rFonts w:cs="Arial"/>
                <w:noProof/>
              </w:rPr>
            </w:pPr>
            <w:r>
              <w:rPr>
                <w:noProof/>
              </w:rPr>
              <w:t xml:space="preserve">Poświadczenie milczącej zgody </w:t>
            </w:r>
          </w:p>
          <w:p w14:paraId="0C5AC5B0" w14:textId="77777777" w:rsidR="004C6421" w:rsidRDefault="009D1962">
            <w:pPr>
              <w:pStyle w:val="P68B1DB1-ListParagraph5"/>
              <w:numPr>
                <w:ilvl w:val="0"/>
                <w:numId w:val="117"/>
              </w:numPr>
              <w:spacing w:before="0" w:after="0" w:line="259" w:lineRule="auto"/>
              <w:jc w:val="left"/>
              <w:rPr>
                <w:rFonts w:cs="Arial"/>
                <w:noProof/>
              </w:rPr>
            </w:pPr>
            <w:r>
              <w:rPr>
                <w:noProof/>
              </w:rPr>
              <w:t xml:space="preserve">Moc substytucyjna </w:t>
            </w:r>
          </w:p>
          <w:p w14:paraId="115EB01B" w14:textId="77777777" w:rsidR="004C6421" w:rsidRDefault="009D1962">
            <w:pPr>
              <w:pStyle w:val="P68B1DB1-ListParagraph5"/>
              <w:numPr>
                <w:ilvl w:val="0"/>
                <w:numId w:val="117"/>
              </w:numPr>
              <w:spacing w:before="0" w:after="0" w:line="259" w:lineRule="auto"/>
              <w:jc w:val="left"/>
              <w:rPr>
                <w:rFonts w:cs="Arial"/>
                <w:noProof/>
              </w:rPr>
            </w:pPr>
            <w:r>
              <w:rPr>
                <w:noProof/>
              </w:rPr>
              <w:t xml:space="preserve">Procedury zapobiegania pożarom </w:t>
            </w:r>
          </w:p>
          <w:p w14:paraId="7896B400" w14:textId="77777777" w:rsidR="004C6421" w:rsidRDefault="009D1962">
            <w:pPr>
              <w:pStyle w:val="P68B1DB1-ListParagraph5"/>
              <w:numPr>
                <w:ilvl w:val="0"/>
                <w:numId w:val="117"/>
              </w:numPr>
              <w:spacing w:before="0" w:after="0" w:line="259" w:lineRule="auto"/>
              <w:jc w:val="left"/>
              <w:rPr>
                <w:rFonts w:cs="Arial"/>
                <w:noProof/>
              </w:rPr>
            </w:pPr>
            <w:r>
              <w:rPr>
                <w:noProof/>
              </w:rPr>
              <w:t xml:space="preserve">Zezwolenia dla specjalnych stref ekonomicznych </w:t>
            </w:r>
          </w:p>
          <w:p w14:paraId="48846D0B" w14:textId="77777777" w:rsidR="004C6421" w:rsidRDefault="009D1962">
            <w:pPr>
              <w:pStyle w:val="P68B1DB1-ListParagraph5"/>
              <w:numPr>
                <w:ilvl w:val="0"/>
                <w:numId w:val="117"/>
              </w:numPr>
              <w:spacing w:before="0" w:after="0" w:line="259" w:lineRule="auto"/>
              <w:jc w:val="left"/>
              <w:rPr>
                <w:rFonts w:cs="Arial"/>
                <w:noProof/>
              </w:rPr>
            </w:pPr>
            <w:r>
              <w:rPr>
                <w:noProof/>
              </w:rPr>
              <w:t>Zezwolenia w zakresie bezpieczeństwa publicznego</w:t>
            </w:r>
          </w:p>
          <w:p w14:paraId="1B582161" w14:textId="77777777" w:rsidR="004C6421" w:rsidRDefault="009D1962">
            <w:pPr>
              <w:pStyle w:val="P68B1DB1-ListParagraph5"/>
              <w:numPr>
                <w:ilvl w:val="0"/>
                <w:numId w:val="117"/>
              </w:numPr>
              <w:spacing w:before="0" w:after="0" w:line="259" w:lineRule="auto"/>
              <w:jc w:val="left"/>
              <w:rPr>
                <w:rFonts w:cs="Arial"/>
                <w:noProof/>
              </w:rPr>
            </w:pPr>
            <w:r>
              <w:rPr>
                <w:noProof/>
              </w:rPr>
              <w:t xml:space="preserve">Zezwolenia dotyczące krajobrazu </w:t>
            </w:r>
          </w:p>
          <w:p w14:paraId="1F054CAC" w14:textId="77777777" w:rsidR="004C6421" w:rsidRDefault="009D1962">
            <w:pPr>
              <w:pStyle w:val="P68B1DB1-ListParagraph5"/>
              <w:numPr>
                <w:ilvl w:val="0"/>
                <w:numId w:val="117"/>
              </w:numPr>
              <w:spacing w:before="0" w:after="0" w:line="259" w:lineRule="auto"/>
              <w:jc w:val="left"/>
              <w:rPr>
                <w:rFonts w:cs="Arial"/>
                <w:noProof/>
              </w:rPr>
            </w:pPr>
            <w:r>
              <w:rPr>
                <w:noProof/>
              </w:rPr>
              <w:t>Pozwolenia farmaceutyczne i zdrowotne</w:t>
            </w:r>
          </w:p>
          <w:p w14:paraId="295B326F" w14:textId="77777777" w:rsidR="004C6421" w:rsidRDefault="009D1962">
            <w:pPr>
              <w:pStyle w:val="P68B1DB1-ListParagraph5"/>
              <w:numPr>
                <w:ilvl w:val="0"/>
                <w:numId w:val="117"/>
              </w:numPr>
              <w:spacing w:after="160" w:line="257" w:lineRule="auto"/>
              <w:jc w:val="left"/>
              <w:rPr>
                <w:rFonts w:cs="Arial"/>
                <w:noProof/>
              </w:rPr>
            </w:pPr>
            <w:r>
              <w:rPr>
                <w:noProof/>
              </w:rPr>
              <w:t>Procedury/pozwolenia sejsmiczne i hydrogeologiczne</w:t>
            </w:r>
          </w:p>
        </w:tc>
      </w:tr>
      <w:tr w:rsidR="004C6421" w14:paraId="42F6496D"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9E9779" w14:textId="77777777" w:rsidR="004C6421" w:rsidRDefault="009D1962">
            <w:pPr>
              <w:pStyle w:val="P68B1DB1-Normal4"/>
              <w:jc w:val="center"/>
              <w:rPr>
                <w:rFonts w:cs="Arial"/>
                <w:noProof/>
              </w:rPr>
            </w:pPr>
            <w:r>
              <w:rPr>
                <w:noProof/>
              </w:rPr>
              <w:t>M1C1-61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525E675" w14:textId="77777777" w:rsidR="004C6421" w:rsidRDefault="009D1962">
            <w:pPr>
              <w:pStyle w:val="P68B1DB1-Normal4"/>
              <w:jc w:val="center"/>
              <w:rPr>
                <w:rFonts w:cs="Arial"/>
                <w:noProof/>
              </w:rPr>
            </w:pPr>
            <w:r>
              <w:rPr>
                <w:noProof/>
              </w:rPr>
              <w:t>Reforma 1.9: Reforma administracji publicznej</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A06E6C1" w14:textId="461B10E4"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CF4231" w14:textId="77777777" w:rsidR="004C6421" w:rsidRDefault="009D1962">
            <w:pPr>
              <w:pStyle w:val="P68B1DB1-Normal4"/>
              <w:jc w:val="center"/>
              <w:rPr>
                <w:rFonts w:cs="Arial"/>
                <w:noProof/>
              </w:rPr>
            </w:pPr>
            <w:r>
              <w:rPr>
                <w:noProof/>
              </w:rPr>
              <w:t xml:space="preserve"> Zakończenie wdrażania (w tym wszystkich aktów delegowanych) uproszczenia lub cyfryzacji dodatkowego zestawu 50 kluczowych procedur mających bezpośredni wpływ na obywateli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2B47F6" w14:textId="77777777" w:rsidR="004C6421" w:rsidRDefault="009D1962">
            <w:pPr>
              <w:pStyle w:val="P68B1DB1-Normal4"/>
              <w:jc w:val="center"/>
              <w:rPr>
                <w:rFonts w:cs="Arial"/>
                <w:noProof/>
              </w:rPr>
            </w:pPr>
            <w:r>
              <w:rPr>
                <w:noProof/>
              </w:rPr>
              <w:t>Wejście w życie prawa wtórnego</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674935E"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1463F4F"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F7A273"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D1FED11"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CD69678" w14:textId="77777777" w:rsidR="004C6421" w:rsidRDefault="009D1962">
            <w:pPr>
              <w:pStyle w:val="P68B1DB1-Normal4"/>
              <w:jc w:val="center"/>
              <w:rPr>
                <w:rFonts w:cs="Arial"/>
                <w:noProof/>
              </w:rPr>
            </w:pPr>
            <w:r>
              <w:rPr>
                <w:noProof/>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5745A5" w14:textId="77777777" w:rsidR="004C6421" w:rsidRDefault="009D1962">
            <w:pPr>
              <w:pStyle w:val="P68B1DB1-Normal4"/>
              <w:spacing w:after="120"/>
              <w:contextualSpacing/>
              <w:rPr>
                <w:rFonts w:cs="Arial"/>
                <w:noProof/>
              </w:rPr>
            </w:pPr>
            <w:r>
              <w:rPr>
                <w:noProof/>
              </w:rPr>
              <w:t xml:space="preserve">Procedury uproszczone mają wpływ na następujące obszary:  </w:t>
            </w:r>
          </w:p>
          <w:p w14:paraId="1217B2CC" w14:textId="77777777" w:rsidR="004C6421" w:rsidRDefault="009D1962">
            <w:pPr>
              <w:pStyle w:val="P68B1DB1-ListParagraph5"/>
              <w:numPr>
                <w:ilvl w:val="0"/>
                <w:numId w:val="116"/>
              </w:numPr>
              <w:spacing w:before="0" w:after="0"/>
              <w:ind w:left="173" w:hanging="141"/>
              <w:jc w:val="left"/>
              <w:rPr>
                <w:rFonts w:cs="Arial"/>
                <w:noProof/>
              </w:rPr>
            </w:pPr>
            <w:r>
              <w:rPr>
                <w:noProof/>
              </w:rPr>
              <w:t xml:space="preserve">Rejestr i stan cywilny  </w:t>
            </w:r>
          </w:p>
          <w:p w14:paraId="3232E625" w14:textId="77777777" w:rsidR="004C6421" w:rsidRDefault="009D1962">
            <w:pPr>
              <w:pStyle w:val="P68B1DB1-ListParagraph5"/>
              <w:numPr>
                <w:ilvl w:val="0"/>
                <w:numId w:val="116"/>
              </w:numPr>
              <w:spacing w:before="0" w:after="0"/>
              <w:ind w:left="173" w:hanging="141"/>
              <w:jc w:val="left"/>
              <w:rPr>
                <w:rFonts w:cs="Arial"/>
                <w:noProof/>
              </w:rPr>
            </w:pPr>
            <w:r>
              <w:rPr>
                <w:noProof/>
              </w:rPr>
              <w:t xml:space="preserve">Tożsamość, cyfrowe miejsce zamieszkania i dostęp do usług online </w:t>
            </w:r>
          </w:p>
          <w:p w14:paraId="65B3EF75" w14:textId="77777777" w:rsidR="004C6421" w:rsidRDefault="009D1962">
            <w:pPr>
              <w:pStyle w:val="P68B1DB1-ListParagraph5"/>
              <w:numPr>
                <w:ilvl w:val="0"/>
                <w:numId w:val="116"/>
              </w:numPr>
              <w:spacing w:before="0"/>
              <w:ind w:left="173" w:hanging="141"/>
              <w:jc w:val="left"/>
              <w:rPr>
                <w:rFonts w:cs="Arial"/>
                <w:noProof/>
              </w:rPr>
            </w:pPr>
            <w:r>
              <w:rPr>
                <w:noProof/>
              </w:rPr>
              <w:t>Niepełnosprawność</w:t>
            </w:r>
          </w:p>
        </w:tc>
      </w:tr>
      <w:tr w:rsidR="004C6421" w14:paraId="2C0A6995"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D6B9FFA" w14:textId="77777777" w:rsidR="004C6421" w:rsidRDefault="009D1962">
            <w:pPr>
              <w:pStyle w:val="P68B1DB1-Normal4"/>
              <w:jc w:val="center"/>
              <w:rPr>
                <w:rFonts w:cs="Arial"/>
                <w:noProof/>
              </w:rPr>
            </w:pPr>
            <w:r>
              <w:rPr>
                <w:noProof/>
              </w:rPr>
              <w:t>M1C1-62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E541AB" w14:textId="77777777" w:rsidR="004C6421" w:rsidRDefault="009D1962">
            <w:pPr>
              <w:pStyle w:val="P68B1DB1-Normal4"/>
              <w:jc w:val="center"/>
              <w:rPr>
                <w:rFonts w:cs="Arial"/>
                <w:noProof/>
              </w:rPr>
            </w:pPr>
            <w:bookmarkStart w:id="3" w:name="_Hlk160472673"/>
            <w:r>
              <w:rPr>
                <w:noProof/>
              </w:rPr>
              <w:t>Reforma 1.9: Reforma administracji publicznej</w:t>
            </w:r>
            <w:bookmarkEnd w:id="3"/>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A14FCBD" w14:textId="1763D1D3"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309A4D" w14:textId="77777777" w:rsidR="004C6421" w:rsidRDefault="009D1962">
            <w:pPr>
              <w:pStyle w:val="P68B1DB1-Normal4"/>
              <w:jc w:val="center"/>
              <w:rPr>
                <w:rFonts w:cs="Arial"/>
                <w:noProof/>
              </w:rPr>
            </w:pPr>
            <w:r>
              <w:rPr>
                <w:noProof/>
              </w:rPr>
              <w:t>Zwiększenie absorpcji inwestycji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D9C6C49" w14:textId="77777777" w:rsidR="004C6421" w:rsidRDefault="009D1962">
            <w:pPr>
              <w:pStyle w:val="P68B1DB1-Normal4"/>
              <w:jc w:val="center"/>
              <w:rPr>
                <w:rFonts w:cs="Arial"/>
                <w:noProof/>
              </w:rPr>
            </w:pPr>
            <w:r>
              <w:rPr>
                <w:noProof/>
              </w:rPr>
              <w:t>Publikacja sprawozdania z realizacji przez Ministerstwo Finansów</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F3376F"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1A29489"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529254F"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68923DC"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63198CB" w14:textId="77777777" w:rsidR="004C6421" w:rsidRDefault="009D1962">
            <w:pPr>
              <w:pStyle w:val="P68B1DB1-Normal4"/>
              <w:jc w:val="center"/>
              <w:rPr>
                <w:rFonts w:cs="Arial"/>
                <w:noProof/>
              </w:rPr>
            </w:pPr>
            <w:r>
              <w:rPr>
                <w:noProof/>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BF96D7" w14:textId="77777777" w:rsidR="004C6421" w:rsidRDefault="009D1962">
            <w:pPr>
              <w:pStyle w:val="P68B1DB1-Normal4"/>
              <w:spacing w:after="120"/>
              <w:rPr>
                <w:rFonts w:cs="Arial"/>
                <w:noProof/>
              </w:rPr>
            </w:pPr>
            <w:r>
              <w:rPr>
                <w:noProof/>
              </w:rPr>
              <w:t>Opublikowanie sprawozdania z realizacji w celu pomiaru wpływu działań mających na celu zapewnienie pomocy technicznej i budowania zdolności, poprawę zdolności w zakresie planowania, zarządzania i realizacji wydatków kapitałowych finansowanych z budżetu krajowego, osiągnięcie znacznej absorpcji zasobów funduszu uzupełniającego przydzielonych do 2024 r.</w:t>
            </w:r>
          </w:p>
        </w:tc>
      </w:tr>
      <w:tr w:rsidR="004C6421" w14:paraId="7A261264"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6814ACD" w14:textId="77777777" w:rsidR="004C6421" w:rsidRDefault="009D1962">
            <w:pPr>
              <w:pStyle w:val="P68B1DB1-Normal4"/>
              <w:jc w:val="center"/>
              <w:rPr>
                <w:rFonts w:cs="Arial"/>
                <w:noProof/>
              </w:rPr>
            </w:pPr>
            <w:r>
              <w:rPr>
                <w:noProof/>
              </w:rPr>
              <w:t>M1C1-63</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91F73DD" w14:textId="77777777" w:rsidR="004C6421" w:rsidRDefault="009D1962">
            <w:pPr>
              <w:pStyle w:val="P68B1DB1-Normal4"/>
              <w:jc w:val="center"/>
              <w:rPr>
                <w:rFonts w:cs="Arial"/>
                <w:noProof/>
              </w:rPr>
            </w:pPr>
            <w:r>
              <w:rPr>
                <w:noProof/>
              </w:rPr>
              <w:t>Reforma 1.9: Reforma administracji publicznej</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6ACB382" w14:textId="6B753AB4"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A6F7458" w14:textId="77777777" w:rsidR="004C6421" w:rsidRDefault="009D1962">
            <w:pPr>
              <w:pStyle w:val="P68B1DB1-Normal4"/>
              <w:jc w:val="center"/>
              <w:rPr>
                <w:rFonts w:cs="Arial"/>
                <w:noProof/>
              </w:rPr>
            </w:pPr>
            <w:r>
              <w:rPr>
                <w:noProof/>
              </w:rPr>
              <w:t>Zakończenie uproszczenia i stworzenie repozytorium wszystkich procedur uproszczonych i odpowiednich systemów administracyjnych o pełnej mocy prawnej na całym terytorium kraju</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0CF1FF2" w14:textId="77777777" w:rsidR="004C6421" w:rsidRDefault="009D1962">
            <w:pPr>
              <w:pStyle w:val="P68B1DB1-Normal4"/>
              <w:jc w:val="center"/>
              <w:rPr>
                <w:rFonts w:cs="Arial"/>
                <w:noProof/>
              </w:rPr>
            </w:pPr>
            <w:r>
              <w:rPr>
                <w:noProof/>
              </w:rPr>
              <w:t>Publikacja repozytorium na stronie internetowej właściwego ministerstwa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0967CD"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4DFD1A1"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79E322"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0B5A6E"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29907F4" w14:textId="77777777" w:rsidR="004C6421" w:rsidRDefault="009D1962">
            <w:pPr>
              <w:pStyle w:val="P68B1DB1-Normal4"/>
              <w:jc w:val="center"/>
              <w:rPr>
                <w:rFonts w:cs="Arial"/>
                <w:noProof/>
              </w:rPr>
            </w:pPr>
            <w:r>
              <w:rPr>
                <w:noProof/>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3D2D4E3" w14:textId="77777777" w:rsidR="004C6421" w:rsidRDefault="009D1962">
            <w:pPr>
              <w:pStyle w:val="P68B1DB1-Normal4"/>
              <w:rPr>
                <w:rFonts w:cs="Arial"/>
                <w:noProof/>
              </w:rPr>
            </w:pPr>
            <w:r>
              <w:rPr>
                <w:noProof/>
              </w:rPr>
              <w:t xml:space="preserve">Kontrolę systemów proceduralnych przeprowadza się w odniesieniu do wszystkich procedur uproszczonych. </w:t>
            </w:r>
          </w:p>
          <w:p w14:paraId="0A3DD99E" w14:textId="77777777" w:rsidR="004C6421" w:rsidRDefault="009D1962">
            <w:pPr>
              <w:pStyle w:val="P68B1DB1-Normal4"/>
              <w:rPr>
                <w:rFonts w:cs="Arial"/>
                <w:noProof/>
              </w:rPr>
            </w:pPr>
            <w:r>
              <w:rPr>
                <w:noProof/>
              </w:rPr>
              <w:t>Również weryfikacją i monitorowaniem:</w:t>
            </w:r>
          </w:p>
          <w:p w14:paraId="01D24204" w14:textId="77777777" w:rsidR="004C6421" w:rsidRDefault="009D1962">
            <w:pPr>
              <w:pStyle w:val="P68B1DB1-ListParagraph5"/>
              <w:numPr>
                <w:ilvl w:val="0"/>
                <w:numId w:val="132"/>
              </w:numPr>
              <w:ind w:left="313" w:hanging="283"/>
              <w:jc w:val="left"/>
              <w:rPr>
                <w:rFonts w:cs="Arial"/>
                <w:noProof/>
              </w:rPr>
            </w:pPr>
            <w:r>
              <w:rPr>
                <w:noProof/>
              </w:rPr>
              <w:t xml:space="preserve">Skuteczne wdrożenie procedur uproszczonych, </w:t>
            </w:r>
          </w:p>
          <w:p w14:paraId="7A3B4F18" w14:textId="77777777" w:rsidR="004C6421" w:rsidRDefault="009D1962">
            <w:pPr>
              <w:pStyle w:val="P68B1DB1-ListParagraph5"/>
              <w:numPr>
                <w:ilvl w:val="0"/>
                <w:numId w:val="132"/>
              </w:numPr>
              <w:ind w:left="313" w:hanging="283"/>
              <w:jc w:val="left"/>
              <w:rPr>
                <w:rFonts w:cs="Arial"/>
                <w:noProof/>
              </w:rPr>
            </w:pPr>
            <w:r>
              <w:rPr>
                <w:noProof/>
              </w:rPr>
              <w:t xml:space="preserve">nowe standardowe formularze, oraz </w:t>
            </w:r>
          </w:p>
          <w:p w14:paraId="50563C0A" w14:textId="77777777" w:rsidR="004C6421" w:rsidRDefault="009D1962">
            <w:pPr>
              <w:pStyle w:val="P68B1DB1-ListParagraph5"/>
              <w:numPr>
                <w:ilvl w:val="0"/>
                <w:numId w:val="132"/>
              </w:numPr>
              <w:ind w:left="313" w:hanging="283"/>
              <w:jc w:val="left"/>
              <w:rPr>
                <w:rFonts w:cs="Arial"/>
                <w:noProof/>
              </w:rPr>
            </w:pPr>
            <w:r>
              <w:rPr>
                <w:noProof/>
              </w:rPr>
              <w:t>odpowiednie zarządzanie cyfrowe</w:t>
            </w:r>
          </w:p>
          <w:p w14:paraId="174A20D4" w14:textId="77777777" w:rsidR="004C6421" w:rsidRDefault="009D1962">
            <w:pPr>
              <w:pStyle w:val="P68B1DB1-Normal4"/>
              <w:rPr>
                <w:rFonts w:cs="Arial"/>
                <w:noProof/>
              </w:rPr>
            </w:pPr>
            <w:r>
              <w:rPr>
                <w:noProof/>
              </w:rPr>
              <w:t xml:space="preserve">muszą być zapewnione. </w:t>
            </w:r>
          </w:p>
          <w:p w14:paraId="11DA2CA6" w14:textId="77777777" w:rsidR="004C6421" w:rsidRDefault="004C6421">
            <w:pPr>
              <w:rPr>
                <w:rFonts w:ascii="Arial Narrow" w:hAnsi="Arial Narrow" w:cs="Arial"/>
                <w:noProof/>
                <w:color w:val="006100"/>
                <w:sz w:val="20"/>
              </w:rPr>
            </w:pPr>
          </w:p>
          <w:p w14:paraId="79EFA8A7" w14:textId="77777777" w:rsidR="004C6421" w:rsidRDefault="009D1962">
            <w:pPr>
              <w:pStyle w:val="P68B1DB1-Normal4"/>
              <w:spacing w:after="120"/>
              <w:rPr>
                <w:rFonts w:cs="Arial"/>
                <w:noProof/>
              </w:rPr>
            </w:pPr>
            <w:r>
              <w:rPr>
                <w:noProof/>
              </w:rPr>
              <w:t>Uproszczenie ma zastosowanie do łącznie 600 procedur krytycznych, w tym procedur objętych kamieniami Kamień milowy i M1C1 60 i M1C1 61.</w:t>
            </w:r>
          </w:p>
        </w:tc>
      </w:tr>
      <w:tr w:rsidR="004C6421" w14:paraId="111C33C8"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9C6CC2" w14:textId="77777777" w:rsidR="004C6421" w:rsidRDefault="009D1962">
            <w:pPr>
              <w:pStyle w:val="P68B1DB1-Normal4"/>
              <w:jc w:val="center"/>
              <w:rPr>
                <w:rFonts w:cs="Arial"/>
                <w:noProof/>
              </w:rPr>
            </w:pPr>
            <w:r>
              <w:rPr>
                <w:noProof/>
              </w:rPr>
              <w:t>M1C1-64</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9050DA5" w14:textId="77777777" w:rsidR="004C6421" w:rsidRDefault="009D1962">
            <w:pPr>
              <w:pStyle w:val="P68B1DB1-Normal4"/>
              <w:jc w:val="center"/>
              <w:rPr>
                <w:rFonts w:cs="Arial"/>
                <w:noProof/>
              </w:rPr>
            </w:pPr>
            <w:r>
              <w:rPr>
                <w:noProof/>
              </w:rPr>
              <w:t>Inwestycja 1.9: Zapewnienie pomocy technicznej i wzmocnienie budowania zdolności na potrzeby realizacji włoskiego planu odbudowy i zwiększania odporności</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E92B24"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928C066" w14:textId="77777777" w:rsidR="004C6421" w:rsidRDefault="009D1962">
            <w:pPr>
              <w:pStyle w:val="P68B1DB1-Normal4"/>
              <w:jc w:val="center"/>
              <w:rPr>
                <w:rFonts w:cs="Arial"/>
                <w:noProof/>
              </w:rPr>
            </w:pPr>
            <w:r>
              <w:rPr>
                <w:noProof/>
              </w:rPr>
              <w:t>Kształcenie i szkolenie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B69C4FE"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3B75077" w14:textId="77777777" w:rsidR="004C6421" w:rsidRDefault="009D1962">
            <w:pPr>
              <w:pStyle w:val="P68B1DB1-Normal4"/>
              <w:jc w:val="center"/>
              <w:rPr>
                <w:rFonts w:cs="Arial"/>
                <w:noProof/>
              </w:rPr>
            </w:pPr>
            <w:r>
              <w:rPr>
                <w:noProof/>
              </w:rPr>
              <w:t>Numer</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96B960" w14:textId="77777777" w:rsidR="004C6421" w:rsidRDefault="009D1962">
            <w:pPr>
              <w:pStyle w:val="P68B1DB1-Normal4"/>
              <w:jc w:val="center"/>
              <w:rPr>
                <w:rFonts w:cs="Arial"/>
                <w:noProof/>
              </w:rPr>
            </w:pPr>
            <w:r>
              <w:rPr>
                <w:noProof/>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352710B" w14:textId="77777777" w:rsidR="004C6421" w:rsidRDefault="009D1962">
            <w:pPr>
              <w:pStyle w:val="P68B1DB1-Normal4"/>
              <w:jc w:val="center"/>
              <w:rPr>
                <w:rFonts w:cs="Arial"/>
                <w:noProof/>
              </w:rPr>
            </w:pPr>
            <w:r>
              <w:rPr>
                <w:noProof/>
              </w:rPr>
              <w:t>350 000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C76C51"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93378A" w14:textId="77777777" w:rsidR="004C6421" w:rsidRDefault="009D1962">
            <w:pPr>
              <w:pStyle w:val="P68B1DB1-Normal4"/>
              <w:jc w:val="center"/>
              <w:rPr>
                <w:rFonts w:cs="Arial"/>
                <w:noProof/>
              </w:rPr>
            </w:pPr>
            <w:r>
              <w:rPr>
                <w:noProof/>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FC69A59" w14:textId="77777777" w:rsidR="004C6421" w:rsidRDefault="009D1962">
            <w:pPr>
              <w:pStyle w:val="P68B1DB1-Normal4"/>
              <w:spacing w:after="120"/>
              <w:rPr>
                <w:rFonts w:cs="Arial"/>
                <w:noProof/>
              </w:rPr>
            </w:pPr>
            <w:r>
              <w:rPr>
                <w:noProof/>
              </w:rPr>
              <w:t>Co najmniej 350000 pracowników publicznych centralnych organów administracji publicznej bierze udział w inicjatywach dotyczących podnoszenia lub zmiany kwalifikacji</w:t>
            </w:r>
          </w:p>
        </w:tc>
      </w:tr>
      <w:tr w:rsidR="004C6421" w14:paraId="46744A12"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1FB4545" w14:textId="77777777" w:rsidR="004C6421" w:rsidRDefault="009D1962">
            <w:pPr>
              <w:pStyle w:val="P68B1DB1-Normal4"/>
              <w:jc w:val="center"/>
              <w:rPr>
                <w:rFonts w:cs="Arial"/>
                <w:noProof/>
              </w:rPr>
            </w:pPr>
            <w:r>
              <w:rPr>
                <w:noProof/>
              </w:rPr>
              <w:t>M1C1-65</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9D11BB" w14:textId="77777777" w:rsidR="004C6421" w:rsidRDefault="009D1962">
            <w:pPr>
              <w:pStyle w:val="P68B1DB1-Normal4"/>
              <w:jc w:val="center"/>
              <w:rPr>
                <w:rFonts w:cs="Arial"/>
                <w:noProof/>
              </w:rPr>
            </w:pPr>
            <w:r>
              <w:rPr>
                <w:noProof/>
              </w:rPr>
              <w:t>Inwestycja 1.9: Zapewnienie pomocy technicznej i wzmocnienie budowania zdolności na potrzeby realizacji włoskiego planu odbudowy i zwiększania odporności</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7BDE61C"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B31B355" w14:textId="77777777" w:rsidR="004C6421" w:rsidRDefault="009D1962">
            <w:pPr>
              <w:pStyle w:val="P68B1DB1-Normal4"/>
              <w:jc w:val="center"/>
              <w:rPr>
                <w:rFonts w:cs="Arial"/>
                <w:noProof/>
              </w:rPr>
            </w:pPr>
            <w:r>
              <w:rPr>
                <w:noProof/>
              </w:rPr>
              <w:t>Kształcenie i szkolenie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CB9CB0D"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EAF7F46" w14:textId="77777777" w:rsidR="004C6421" w:rsidRDefault="009D1962">
            <w:pPr>
              <w:pStyle w:val="P68B1DB1-Normal4"/>
              <w:jc w:val="center"/>
              <w:rPr>
                <w:rFonts w:cs="Arial"/>
                <w:noProof/>
              </w:rPr>
            </w:pPr>
            <w:r>
              <w:rPr>
                <w:noProof/>
              </w:rPr>
              <w:t>Numer</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DB27A31" w14:textId="77777777" w:rsidR="004C6421" w:rsidRDefault="009D1962">
            <w:pPr>
              <w:pStyle w:val="P68B1DB1-Normal4"/>
              <w:jc w:val="center"/>
              <w:rPr>
                <w:rFonts w:cs="Arial"/>
                <w:noProof/>
              </w:rPr>
            </w:pPr>
            <w:r>
              <w:rPr>
                <w:noProof/>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3069ADD" w14:textId="77777777" w:rsidR="004C6421" w:rsidRDefault="009D1962">
            <w:pPr>
              <w:pStyle w:val="P68B1DB1-Normal4"/>
              <w:jc w:val="center"/>
              <w:rPr>
                <w:rFonts w:cs="Arial"/>
                <w:noProof/>
              </w:rPr>
            </w:pPr>
            <w:r>
              <w:rPr>
                <w:noProof/>
              </w:rPr>
              <w:t>400 000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F70143B"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C516B0" w14:textId="77777777" w:rsidR="004C6421" w:rsidRDefault="009D1962">
            <w:pPr>
              <w:pStyle w:val="P68B1DB1-Normal4"/>
              <w:jc w:val="center"/>
              <w:rPr>
                <w:rFonts w:cs="Arial"/>
                <w:noProof/>
              </w:rPr>
            </w:pPr>
            <w:r>
              <w:rPr>
                <w:noProof/>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904566C" w14:textId="77777777" w:rsidR="004C6421" w:rsidRDefault="009D1962">
            <w:pPr>
              <w:pStyle w:val="P68B1DB1-Normal4"/>
              <w:spacing w:after="120"/>
              <w:rPr>
                <w:rFonts w:cs="Arial"/>
                <w:noProof/>
              </w:rPr>
            </w:pPr>
            <w:r>
              <w:rPr>
                <w:noProof/>
              </w:rPr>
              <w:t>Co najmniej 400000 pracowników sektora publicznego innych administracji publicznych uczestniczących w inicjatywach na rzecz podnoszenia lub zmiany kwalifikacji.</w:t>
            </w:r>
          </w:p>
        </w:tc>
      </w:tr>
      <w:tr w:rsidR="004C6421" w14:paraId="3A7A744E"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4A7066" w14:textId="77777777" w:rsidR="004C6421" w:rsidRDefault="009D1962">
            <w:pPr>
              <w:pStyle w:val="P68B1DB1-Normal4"/>
              <w:jc w:val="center"/>
              <w:rPr>
                <w:rFonts w:cs="Arial"/>
                <w:noProof/>
              </w:rPr>
            </w:pPr>
            <w:r>
              <w:rPr>
                <w:noProof/>
              </w:rPr>
              <w:t>M1C1-66</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C6ED6C" w14:textId="77777777" w:rsidR="004C6421" w:rsidRDefault="009D1962">
            <w:pPr>
              <w:pStyle w:val="P68B1DB1-Normal4"/>
              <w:jc w:val="center"/>
              <w:rPr>
                <w:rFonts w:cs="Arial"/>
                <w:noProof/>
              </w:rPr>
            </w:pPr>
            <w:r>
              <w:rPr>
                <w:noProof/>
              </w:rPr>
              <w:t>Inwestycja 1.9: Zapewnienie pomocy technicznej i wzmocnienie budowania zdolności na potrzeby realizacji włoskiego planu odbudowy i zwiększania odporności</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A8EFF29"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ADF80D7" w14:textId="77777777" w:rsidR="004C6421" w:rsidRDefault="009D1962">
            <w:pPr>
              <w:pStyle w:val="P68B1DB1-Normal4"/>
              <w:jc w:val="center"/>
              <w:rPr>
                <w:rFonts w:cs="Arial"/>
                <w:noProof/>
              </w:rPr>
            </w:pPr>
            <w:r>
              <w:rPr>
                <w:noProof/>
              </w:rPr>
              <w:t>Kształcenie i szkolenie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5E93BE"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656BF7B" w14:textId="77777777" w:rsidR="004C6421" w:rsidRDefault="009D1962">
            <w:pPr>
              <w:pStyle w:val="P68B1DB1-Normal4"/>
              <w:jc w:val="center"/>
              <w:rPr>
                <w:rFonts w:cs="Arial"/>
                <w:noProof/>
              </w:rPr>
            </w:pPr>
            <w:r>
              <w:rPr>
                <w:noProof/>
              </w:rPr>
              <w:t>Numer</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FCBB42" w14:textId="77777777" w:rsidR="004C6421" w:rsidRDefault="009D1962">
            <w:pPr>
              <w:pStyle w:val="P68B1DB1-Normal4"/>
              <w:jc w:val="center"/>
              <w:rPr>
                <w:rFonts w:cs="Arial"/>
                <w:noProof/>
              </w:rPr>
            </w:pPr>
            <w:r>
              <w:rPr>
                <w:noProof/>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2A8AA31" w14:textId="77777777" w:rsidR="004C6421" w:rsidRDefault="009D1962">
            <w:pPr>
              <w:pStyle w:val="P68B1DB1-Normal4"/>
              <w:jc w:val="center"/>
              <w:rPr>
                <w:rFonts w:cs="Arial"/>
                <w:noProof/>
              </w:rPr>
            </w:pPr>
            <w:r>
              <w:rPr>
                <w:noProof/>
              </w:rPr>
              <w:t>245 000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B960420"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5290FDF" w14:textId="77777777" w:rsidR="004C6421" w:rsidRDefault="009D1962">
            <w:pPr>
              <w:pStyle w:val="P68B1DB1-Normal4"/>
              <w:jc w:val="center"/>
              <w:rPr>
                <w:rFonts w:cs="Arial"/>
                <w:noProof/>
              </w:rPr>
            </w:pPr>
            <w:r>
              <w:rPr>
                <w:noProof/>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352CC75" w14:textId="77777777" w:rsidR="004C6421" w:rsidRDefault="009D1962">
            <w:pPr>
              <w:pStyle w:val="P68B1DB1-Normal4"/>
              <w:spacing w:after="120"/>
              <w:rPr>
                <w:rFonts w:cs="Arial"/>
                <w:noProof/>
              </w:rPr>
            </w:pPr>
            <w:r>
              <w:rPr>
                <w:noProof/>
              </w:rPr>
              <w:t>Co najmniej 245000 (70 %) pracowników administracji publicznej na szczeblu centralnym pomyślnie ukończyło inicjatywy szkoleniowe, o których mowa w M1C1-64 (formalna certyfikacja lub ocena skutków).</w:t>
            </w:r>
          </w:p>
        </w:tc>
      </w:tr>
      <w:tr w:rsidR="004C6421" w14:paraId="63C167E8"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6CC98F9" w14:textId="77777777" w:rsidR="004C6421" w:rsidRDefault="009D1962">
            <w:pPr>
              <w:pStyle w:val="P68B1DB1-Normal4"/>
              <w:jc w:val="center"/>
              <w:rPr>
                <w:rFonts w:cs="Arial"/>
                <w:noProof/>
              </w:rPr>
            </w:pPr>
            <w:r>
              <w:rPr>
                <w:noProof/>
              </w:rPr>
              <w:t>M1C1-67</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2154A9E" w14:textId="77777777" w:rsidR="004C6421" w:rsidRDefault="009D1962">
            <w:pPr>
              <w:pStyle w:val="P68B1DB1-Normal4"/>
              <w:jc w:val="center"/>
              <w:rPr>
                <w:rFonts w:cs="Arial"/>
                <w:noProof/>
              </w:rPr>
            </w:pPr>
            <w:r>
              <w:rPr>
                <w:noProof/>
              </w:rPr>
              <w:t>Inwestycja 1.9: Zapewnienie pomocy technicznej i wzmocnienie budowania zdolności na potrzeby realizacji włoskiego planu odbudowy i zwiększania odporności</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DC7826"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FA213E" w14:textId="77777777" w:rsidR="004C6421" w:rsidRDefault="009D1962">
            <w:pPr>
              <w:pStyle w:val="P68B1DB1-Normal4"/>
              <w:jc w:val="center"/>
              <w:rPr>
                <w:rFonts w:cs="Arial"/>
                <w:noProof/>
              </w:rPr>
            </w:pPr>
            <w:r>
              <w:rPr>
                <w:noProof/>
              </w:rPr>
              <w:t>Kształcenie i szkolenie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DA46C0"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D91DED" w14:textId="77777777" w:rsidR="004C6421" w:rsidRDefault="009D1962">
            <w:pPr>
              <w:pStyle w:val="P68B1DB1-Normal4"/>
              <w:jc w:val="center"/>
              <w:rPr>
                <w:rFonts w:cs="Arial"/>
                <w:noProof/>
              </w:rPr>
            </w:pPr>
            <w:r>
              <w:rPr>
                <w:noProof/>
              </w:rPr>
              <w:t>Numer</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35DCF55" w14:textId="77777777" w:rsidR="004C6421" w:rsidRDefault="009D1962">
            <w:pPr>
              <w:pStyle w:val="P68B1DB1-Normal4"/>
              <w:jc w:val="center"/>
              <w:rPr>
                <w:rFonts w:cs="Arial"/>
                <w:noProof/>
              </w:rPr>
            </w:pPr>
            <w:r>
              <w:rPr>
                <w:noProof/>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E7DF98" w14:textId="77777777" w:rsidR="004C6421" w:rsidRDefault="009D1962">
            <w:pPr>
              <w:pStyle w:val="P68B1DB1-Normal4"/>
              <w:jc w:val="center"/>
              <w:rPr>
                <w:rFonts w:cs="Arial"/>
                <w:noProof/>
              </w:rPr>
            </w:pPr>
            <w:r>
              <w:rPr>
                <w:noProof/>
              </w:rPr>
              <w:t>280 000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A79C3D5"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C5A6E5C" w14:textId="77777777" w:rsidR="004C6421" w:rsidRDefault="009D1962">
            <w:pPr>
              <w:pStyle w:val="P68B1DB1-Normal4"/>
              <w:jc w:val="center"/>
              <w:rPr>
                <w:rFonts w:cs="Arial"/>
                <w:noProof/>
              </w:rPr>
            </w:pPr>
            <w:r>
              <w:rPr>
                <w:noProof/>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448B12A" w14:textId="77777777" w:rsidR="004C6421" w:rsidRDefault="009D1962">
            <w:pPr>
              <w:pStyle w:val="P68B1DB1-Normal4"/>
              <w:spacing w:after="120"/>
              <w:rPr>
                <w:rFonts w:cs="Arial"/>
                <w:noProof/>
              </w:rPr>
            </w:pPr>
            <w:r>
              <w:rPr>
                <w:noProof/>
              </w:rPr>
              <w:t>Co najmniej 280000 (70 %) pracowników sektora publicznego innych administracji publicznych pomyślnie ukończyło inicjatywy szkoleniowe, o których mowa w M1C1-65 (formalna certyfikacja lub ocena skutków).</w:t>
            </w:r>
          </w:p>
        </w:tc>
      </w:tr>
      <w:tr w:rsidR="004C6421" w14:paraId="3D76E20B"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BC0C58" w14:textId="77777777" w:rsidR="004C6421" w:rsidRDefault="009D1962">
            <w:pPr>
              <w:pStyle w:val="P68B1DB1-Normal4"/>
              <w:jc w:val="center"/>
              <w:rPr>
                <w:rFonts w:cs="Arial"/>
                <w:noProof/>
              </w:rPr>
            </w:pPr>
            <w:r>
              <w:rPr>
                <w:noProof/>
              </w:rPr>
              <w:t>M1C1-68</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2325660" w14:textId="77777777" w:rsidR="004C6421" w:rsidRDefault="009D1962">
            <w:pPr>
              <w:pStyle w:val="P68B1DB1-Normal4"/>
              <w:jc w:val="center"/>
              <w:rPr>
                <w:rFonts w:cs="Arial"/>
                <w:noProof/>
              </w:rPr>
            </w:pPr>
            <w:r>
              <w:rPr>
                <w:noProof/>
              </w:rPr>
              <w:t>Reforma 1.9: Reforma administracji publicznej</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0286283" w14:textId="0B5A0E4B"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85819EE" w14:textId="77777777" w:rsidR="004C6421" w:rsidRDefault="009D1962">
            <w:pPr>
              <w:pStyle w:val="P68B1DB1-Normal4"/>
              <w:jc w:val="center"/>
              <w:rPr>
                <w:rFonts w:cs="Arial"/>
                <w:noProof/>
              </w:rPr>
            </w:pPr>
            <w:r>
              <w:rPr>
                <w:noProof/>
              </w:rPr>
              <w:t>System repozytoriów audytu i kontroli: informacje na potrzeby monitorowania wdrażania RRF</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6E77DE1" w14:textId="77777777" w:rsidR="004C6421" w:rsidRDefault="009D1962">
            <w:pPr>
              <w:pStyle w:val="P68B1DB1-Normal4"/>
              <w:jc w:val="center"/>
              <w:rPr>
                <w:rFonts w:cs="Arial"/>
                <w:noProof/>
              </w:rPr>
            </w:pPr>
            <w:r>
              <w:rPr>
                <w:noProof/>
              </w:rPr>
              <w:t>Sprawozdanie z audytu potwierdzające funkcje systemu repozytorium</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D4DFFA"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6A15F5A"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D3B7E5"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428883" w14:textId="18E31350"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37BC589" w14:textId="77777777" w:rsidR="004C6421" w:rsidRDefault="009D1962">
            <w:pPr>
              <w:pStyle w:val="P68B1DB1-Normal4"/>
              <w:jc w:val="center"/>
              <w:rPr>
                <w:rFonts w:cs="Arial"/>
                <w:noProof/>
              </w:rPr>
            </w:pPr>
            <w:r>
              <w:rPr>
                <w:noProof/>
              </w:rPr>
              <w:t>2021</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E55D83C" w14:textId="77777777" w:rsidR="004C6421" w:rsidRDefault="009D1962">
            <w:pPr>
              <w:pStyle w:val="P68B1DB1-Normal4"/>
              <w:spacing w:after="120"/>
              <w:rPr>
                <w:rFonts w:cs="Arial"/>
                <w:noProof/>
              </w:rPr>
            </w:pPr>
            <w:r>
              <w:rPr>
                <w:noProof/>
              </w:rPr>
              <w:t>Należy wprowadzić i uruchomić system repozytorium służący do monitorowania wdrażania RRF.</w:t>
            </w:r>
          </w:p>
          <w:p w14:paraId="7E5549DD" w14:textId="77777777" w:rsidR="004C6421" w:rsidRDefault="009D1962">
            <w:pPr>
              <w:pStyle w:val="P68B1DB1-Normal4"/>
              <w:spacing w:after="120"/>
              <w:rPr>
                <w:rFonts w:cs="Arial"/>
                <w:noProof/>
              </w:rPr>
            </w:pPr>
            <w:r>
              <w:rPr>
                <w:noProof/>
              </w:rPr>
              <w:t>System obejmuje co najmniej następujące funkcje:</w:t>
            </w:r>
          </w:p>
          <w:p w14:paraId="28FF9BD9" w14:textId="77777777" w:rsidR="004C6421" w:rsidRDefault="009D1962">
            <w:pPr>
              <w:pStyle w:val="P68B1DB1-Normal4"/>
              <w:spacing w:after="120"/>
              <w:rPr>
                <w:rFonts w:cs="Arial"/>
                <w:noProof/>
              </w:rPr>
            </w:pPr>
            <w:r>
              <w:rPr>
                <w:noProof/>
              </w:rPr>
              <w:t>a) gromadzi dane i monitoruje osiąganie kamieni milowych i wartości docelowych;</w:t>
            </w:r>
          </w:p>
          <w:p w14:paraId="710A9158" w14:textId="77777777" w:rsidR="004C6421" w:rsidRDefault="009D1962">
            <w:pPr>
              <w:pStyle w:val="P68B1DB1-Normal4"/>
              <w:spacing w:after="120"/>
              <w:rPr>
                <w:rFonts w:cs="Arial"/>
                <w:noProof/>
              </w:rPr>
            </w:pPr>
            <w:r>
              <w:rPr>
                <w:noProof/>
              </w:rPr>
              <w:t>b) gromadzi, przechowuje i zapewnia dostęp do danych wymaganych na mocy art. 22 ust. 2 lit. d) ppkt (i)–(iii) rozporządzenia w sprawie RRF.</w:t>
            </w:r>
          </w:p>
        </w:tc>
      </w:tr>
      <w:tr w:rsidR="004C6421" w14:paraId="77CD2047"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4CA8A41" w14:textId="77777777" w:rsidR="004C6421" w:rsidRDefault="009D1962">
            <w:pPr>
              <w:pStyle w:val="P68B1DB1-Normal4"/>
              <w:jc w:val="center"/>
              <w:rPr>
                <w:rFonts w:cs="Arial"/>
                <w:noProof/>
              </w:rPr>
            </w:pPr>
            <w:r>
              <w:rPr>
                <w:noProof/>
              </w:rPr>
              <w:t>M1C1-69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9269351" w14:textId="77777777" w:rsidR="004C6421" w:rsidRDefault="009D1962">
            <w:pPr>
              <w:pStyle w:val="P68B1DB1-Normal4"/>
              <w:jc w:val="center"/>
              <w:rPr>
                <w:rFonts w:cs="Arial"/>
                <w:noProof/>
              </w:rPr>
            </w:pPr>
            <w:r>
              <w:rPr>
                <w:noProof/>
              </w:rPr>
              <w:t>Reforma 1.10: Reforma ram prawnych dotyczących zamówień publicznych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EE4AA4" w14:textId="5A68A327"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BB2429B" w14:textId="77777777" w:rsidR="004C6421" w:rsidRDefault="009D1962">
            <w:pPr>
              <w:pStyle w:val="P68B1DB1-Normal4"/>
              <w:jc w:val="center"/>
              <w:rPr>
                <w:rFonts w:cs="Arial"/>
                <w:noProof/>
              </w:rPr>
            </w:pPr>
            <w:r>
              <w:rPr>
                <w:noProof/>
              </w:rPr>
              <w:t>Wejście w życie dekretu w sprawie uproszczenia systemu zamówień publicznych</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B203A8" w14:textId="77777777" w:rsidR="004C6421" w:rsidRDefault="009D1962">
            <w:pPr>
              <w:pStyle w:val="P68B1DB1-Normal4"/>
              <w:jc w:val="center"/>
              <w:rPr>
                <w:rFonts w:cs="Arial"/>
                <w:noProof/>
              </w:rPr>
            </w:pPr>
            <w:r>
              <w:rPr>
                <w:noProof/>
              </w:rPr>
              <w:t>Przepis ustawy wskazujący na wejście w życie dekretu ustawodawczego w celu uproszczenia systemu zamówień publicznych.</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432B94"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3EBCE2B"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85115C5"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BD11B6"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55D6995" w14:textId="77777777" w:rsidR="004C6421" w:rsidRDefault="009D1962">
            <w:pPr>
              <w:pStyle w:val="P68B1DB1-Normal4"/>
              <w:jc w:val="center"/>
              <w:rPr>
                <w:rFonts w:cs="Arial"/>
                <w:noProof/>
              </w:rPr>
            </w:pPr>
            <w:r>
              <w:rPr>
                <w:noProof/>
              </w:rPr>
              <w:t>2021</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BA83346" w14:textId="77777777" w:rsidR="004C6421" w:rsidRDefault="009D1962">
            <w:pPr>
              <w:pStyle w:val="P68B1DB1-Normal4"/>
              <w:spacing w:after="120"/>
              <w:rPr>
                <w:rFonts w:cs="Arial"/>
                <w:noProof/>
              </w:rPr>
            </w:pPr>
            <w:r>
              <w:rPr>
                <w:noProof/>
              </w:rPr>
              <w:t>Dekret ustawodawczy uprości system zamówień publicznych za pomocą co najmniej następujących pilnych środków:</w:t>
            </w:r>
          </w:p>
          <w:p w14:paraId="3EC3DC79" w14:textId="77777777" w:rsidR="004C6421" w:rsidRDefault="009D1962">
            <w:pPr>
              <w:pStyle w:val="P68B1DB1-Normal4"/>
              <w:spacing w:after="120"/>
              <w:rPr>
                <w:rFonts w:cs="Arial"/>
                <w:noProof/>
              </w:rPr>
            </w:pPr>
            <w:r>
              <w:rPr>
                <w:noProof/>
              </w:rPr>
              <w:t>I. Ustanowi cele, aby skrócić czas między publikacją a udzieleniem zamówienia.</w:t>
            </w:r>
          </w:p>
          <w:p w14:paraId="7AEDD1D7" w14:textId="77777777" w:rsidR="004C6421" w:rsidRDefault="009D1962">
            <w:pPr>
              <w:pStyle w:val="P68B1DB1-Normal4"/>
              <w:spacing w:after="120"/>
              <w:rPr>
                <w:rFonts w:cs="Arial"/>
                <w:noProof/>
              </w:rPr>
            </w:pPr>
            <w:r>
              <w:rPr>
                <w:noProof/>
              </w:rPr>
              <w:t>II. Ustanawia cele i system monitorowania w celu skrócenia czasu między udzieleniem zamówienia a ukończeniem infrastruktury („fase esecutiva”).</w:t>
            </w:r>
          </w:p>
          <w:p w14:paraId="109814AD" w14:textId="77777777" w:rsidR="004C6421" w:rsidRDefault="009D1962">
            <w:pPr>
              <w:pStyle w:val="P68B1DB1-Normal4"/>
              <w:spacing w:after="120"/>
              <w:rPr>
                <w:rFonts w:cs="Arial"/>
                <w:noProof/>
              </w:rPr>
            </w:pPr>
            <w:r>
              <w:rPr>
                <w:noProof/>
              </w:rPr>
              <w:t>III. Wymaga, aby dane dotyczące wszystkich umów były rejestrowane w bazie danych antykorupcyjnej krajowego organu antykorupcyjnego (ANAC).</w:t>
            </w:r>
          </w:p>
          <w:p w14:paraId="355DF628" w14:textId="77777777" w:rsidR="004C6421" w:rsidRDefault="009D1962">
            <w:pPr>
              <w:pStyle w:val="P68B1DB1-Normal4"/>
              <w:spacing w:after="120"/>
              <w:rPr>
                <w:rFonts w:cs="Arial"/>
                <w:noProof/>
              </w:rPr>
            </w:pPr>
            <w:r>
              <w:rPr>
                <w:noProof/>
              </w:rPr>
              <w:t>IV. Wdrożenie alternatywnych mechanizmów rozstrzygania sporów i zachęcanie do ich stosowania na etapie realizacji zamówień publicznych.</w:t>
            </w:r>
          </w:p>
          <w:p w14:paraId="70B9370B" w14:textId="77777777" w:rsidR="004C6421" w:rsidRDefault="009D1962">
            <w:pPr>
              <w:pStyle w:val="P68B1DB1-Normal4"/>
              <w:spacing w:after="120"/>
              <w:rPr>
                <w:rFonts w:cs="Arial"/>
                <w:noProof/>
              </w:rPr>
            </w:pPr>
            <w:r>
              <w:rPr>
                <w:noProof/>
              </w:rPr>
              <w:t>V. Uruchomienie specjalnych biur odpowiedzialnych za postępowania o udzielenie zamówienia publicznego w ministerstwach, regionach i miastach metropolitalnych.</w:t>
            </w:r>
          </w:p>
          <w:p w14:paraId="0C818B06" w14:textId="77777777" w:rsidR="004C6421" w:rsidRDefault="009D1962">
            <w:pPr>
              <w:pStyle w:val="P68B1DB1-Normal4"/>
              <w:spacing w:after="120"/>
              <w:rPr>
                <w:rFonts w:cs="Arial"/>
                <w:noProof/>
              </w:rPr>
            </w:pPr>
            <w:r>
              <w:rPr>
                <w:noProof/>
              </w:rPr>
              <w:t>Dalsze szczegóły:</w:t>
            </w:r>
          </w:p>
          <w:p w14:paraId="60BF198E" w14:textId="77777777" w:rsidR="004C6421" w:rsidRDefault="009D1962">
            <w:pPr>
              <w:pStyle w:val="P68B1DB1-Normal4"/>
              <w:spacing w:after="120"/>
              <w:rPr>
                <w:rFonts w:cs="Arial"/>
                <w:noProof/>
              </w:rPr>
            </w:pPr>
            <w:r>
              <w:rPr>
                <w:noProof/>
              </w:rPr>
              <w:t>Uproszczenie i cyfryzacja procedur centralnych jednostek zakupujących („centrali di committenza”);</w:t>
            </w:r>
          </w:p>
          <w:p w14:paraId="1E443527" w14:textId="77777777" w:rsidR="004C6421" w:rsidRDefault="009D1962">
            <w:pPr>
              <w:pStyle w:val="P68B1DB1-Normal4"/>
              <w:spacing w:after="120"/>
              <w:rPr>
                <w:rFonts w:cs="Arial"/>
                <w:noProof/>
              </w:rPr>
            </w:pPr>
            <w:r>
              <w:rPr>
                <w:noProof/>
              </w:rPr>
              <w:t>— Wdrożenie art. 41 i 44 obowiązującego kodeksu zamówień publicznych;</w:t>
            </w:r>
          </w:p>
          <w:p w14:paraId="39B7E778" w14:textId="77777777" w:rsidR="004C6421" w:rsidRDefault="009D1962">
            <w:pPr>
              <w:pStyle w:val="P68B1DB1-Normal4"/>
              <w:spacing w:after="120"/>
              <w:rPr>
                <w:rFonts w:cs="Arial"/>
                <w:noProof/>
              </w:rPr>
            </w:pPr>
            <w:r>
              <w:rPr>
                <w:noProof/>
              </w:rPr>
              <w:t>Określenie sposobu cyfryzacji procedur w odniesieniu do wszystkich zamówień publicznych i koncesji oraz określenie wymogów interoperacyjności i wzajemnych połączeń;</w:t>
            </w:r>
          </w:p>
          <w:p w14:paraId="5F37B950" w14:textId="77777777" w:rsidR="004C6421" w:rsidRDefault="009D1962">
            <w:pPr>
              <w:pStyle w:val="P68B1DB1-Normal4"/>
              <w:spacing w:after="120"/>
              <w:rPr>
                <w:rFonts w:cs="Arial"/>
                <w:noProof/>
              </w:rPr>
            </w:pPr>
            <w:r>
              <w:rPr>
                <w:noProof/>
              </w:rPr>
              <w:t>— Wdrożenie art. 44 obecnego kodeksu zamówień publicznych.0</w:t>
            </w:r>
          </w:p>
        </w:tc>
      </w:tr>
      <w:tr w:rsidR="004C6421" w14:paraId="6600BA1B"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35C4B6B" w14:textId="77777777" w:rsidR="004C6421" w:rsidRDefault="009D1962">
            <w:pPr>
              <w:pStyle w:val="P68B1DB1-Normal4"/>
              <w:jc w:val="center"/>
              <w:rPr>
                <w:rFonts w:cs="Arial"/>
                <w:noProof/>
              </w:rPr>
            </w:pPr>
            <w:r>
              <w:rPr>
                <w:noProof/>
              </w:rPr>
              <w:t>M1C1-70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6C5F2A7" w14:textId="77777777" w:rsidR="004C6421" w:rsidRDefault="009D1962">
            <w:pPr>
              <w:pStyle w:val="P68B1DB1-Normal4"/>
              <w:jc w:val="center"/>
              <w:rPr>
                <w:rFonts w:cs="Arial"/>
                <w:noProof/>
              </w:rPr>
            </w:pPr>
            <w:r>
              <w:rPr>
                <w:noProof/>
              </w:rPr>
              <w:t>Reforma 1.10: Reforma ram prawnych dotyczących zamówień publicznych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2FAE602" w14:textId="7B47E6C1"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569F6F" w14:textId="77777777" w:rsidR="004C6421" w:rsidRDefault="009D1962">
            <w:pPr>
              <w:pStyle w:val="P68B1DB1-Normal4"/>
              <w:jc w:val="center"/>
              <w:rPr>
                <w:rFonts w:cs="Arial"/>
                <w:noProof/>
              </w:rPr>
            </w:pPr>
            <w:r>
              <w:rPr>
                <w:noProof/>
              </w:rPr>
              <w:t>Wejście w życie zmiany kodeksu zamówień publicznych (D.Lgs. nr 50/2016)</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C2F54D3" w14:textId="77777777" w:rsidR="004C6421" w:rsidRDefault="009D1962">
            <w:pPr>
              <w:pStyle w:val="P68B1DB1-Normal4"/>
              <w:jc w:val="center"/>
              <w:rPr>
                <w:rFonts w:cs="Arial"/>
                <w:noProof/>
              </w:rPr>
            </w:pPr>
            <w:r>
              <w:rPr>
                <w:noProof/>
              </w:rPr>
              <w:t>Przepis ustawy wskazujący na wejście w życie ustawy o delegowaniu zadań, który reformuje obecny kodeks systemu zamówień publicznych (D.Lgs. n. 50/2016)</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D5D1A3"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BD8096C"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EE3858"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2F46613"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FCEC80" w14:textId="77777777" w:rsidR="004C6421" w:rsidRDefault="009D1962">
            <w:pPr>
              <w:pStyle w:val="P68B1DB1-Normal4"/>
              <w:jc w:val="center"/>
              <w:rPr>
                <w:rFonts w:cs="Arial"/>
                <w:noProof/>
              </w:rPr>
            </w:pPr>
            <w:r>
              <w:rPr>
                <w:noProof/>
              </w:rPr>
              <w:t>2022</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609BF3F" w14:textId="77777777" w:rsidR="004C6421" w:rsidRDefault="009D1962">
            <w:pPr>
              <w:pStyle w:val="P68B1DB1-Normal4"/>
              <w:spacing w:after="120"/>
              <w:rPr>
                <w:rFonts w:cs="Arial"/>
                <w:noProof/>
              </w:rPr>
            </w:pPr>
            <w:r>
              <w:rPr>
                <w:noProof/>
              </w:rPr>
              <w:t>Niniejsza ustawa określa wszystkie szczegółowe kryteria i zasady reformy systemowej kodeksu zamówień publicznych. Prawo przekazania uprawnień określa co najmniej następujące zasady i kryteria:</w:t>
            </w:r>
          </w:p>
          <w:p w14:paraId="0EFA9813" w14:textId="77777777" w:rsidR="004C6421" w:rsidRDefault="009D1962">
            <w:pPr>
              <w:pStyle w:val="P68B1DB1-Normal4"/>
              <w:spacing w:after="120"/>
              <w:rPr>
                <w:rFonts w:cs="Arial"/>
                <w:noProof/>
              </w:rPr>
            </w:pPr>
            <w:r>
              <w:rPr>
                <w:noProof/>
              </w:rPr>
              <w:t>Prawo przekazania uprawnień określa co najmniej następujące zasady i kryteria w celu:</w:t>
            </w:r>
          </w:p>
          <w:p w14:paraId="3EA8CF9E" w14:textId="77777777" w:rsidR="004C6421" w:rsidRDefault="009D1962">
            <w:pPr>
              <w:pStyle w:val="P68B1DB1-Normal4"/>
              <w:spacing w:after="120"/>
              <w:rPr>
                <w:rFonts w:cs="Arial"/>
                <w:noProof/>
              </w:rPr>
            </w:pPr>
            <w:r>
              <w:rPr>
                <w:noProof/>
              </w:rPr>
              <w:t>upoważnienie krajowego organu antykorupcyjnego (ANAC) do dokonania przeglądu kwalifikacji instytucji zamawiających pod względem zdolności w zakresie zamówień (rodzaje i wolumeny zakupów), 4) zapewnienie zachęt do korzystania z istniejących profesjonalnych centralnych jednostek zakupujących.</w:t>
            </w:r>
          </w:p>
          <w:p w14:paraId="6D31BB82" w14:textId="77777777" w:rsidR="004C6421" w:rsidRDefault="009D1962">
            <w:pPr>
              <w:pStyle w:val="P68B1DB1-Normal4"/>
              <w:spacing w:after="120"/>
              <w:rPr>
                <w:rFonts w:cs="Arial"/>
                <w:noProof/>
              </w:rPr>
            </w:pPr>
            <w:r>
              <w:rPr>
                <w:noProof/>
              </w:rPr>
              <w:t>II. Uproszczenie i cyfryzacja procedur centralnych jednostek zakupujących („centrali di commitmenttenza”)</w:t>
            </w:r>
          </w:p>
          <w:p w14:paraId="27F365A3" w14:textId="77777777" w:rsidR="004C6421" w:rsidRDefault="009D1962">
            <w:pPr>
              <w:pStyle w:val="P68B1DB1-Normal4"/>
              <w:spacing w:after="120"/>
              <w:rPr>
                <w:rFonts w:cs="Arial"/>
                <w:noProof/>
              </w:rPr>
            </w:pPr>
            <w:r>
              <w:rPr>
                <w:noProof/>
              </w:rPr>
              <w:t>III. Określenie sposobu cyfryzacji procedur w odniesieniu do wszystkich zamówień publicznych i koncesji oraz określenie wymogów w zakresie interoperacyjności i wzajemnych połączeń.</w:t>
            </w:r>
          </w:p>
          <w:p w14:paraId="3F8ED7FC" w14:textId="77777777" w:rsidR="004C6421" w:rsidRDefault="009D1962">
            <w:pPr>
              <w:pStyle w:val="P68B1DB1-Normal4"/>
              <w:spacing w:after="120"/>
              <w:rPr>
                <w:rFonts w:cs="Arial"/>
                <w:noProof/>
              </w:rPr>
            </w:pPr>
            <w:r>
              <w:rPr>
                <w:noProof/>
              </w:rPr>
              <w:t>IV. Ograniczenie ograniczeń dotyczących podwykonawstwa w sposób progresywny.</w:t>
            </w:r>
          </w:p>
        </w:tc>
      </w:tr>
      <w:tr w:rsidR="004C6421" w14:paraId="267C8E51"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F09CAA" w14:textId="77777777" w:rsidR="004C6421" w:rsidRDefault="009D1962">
            <w:pPr>
              <w:pStyle w:val="P68B1DB1-Normal4"/>
              <w:jc w:val="center"/>
              <w:rPr>
                <w:rFonts w:cs="Arial"/>
                <w:noProof/>
              </w:rPr>
            </w:pPr>
            <w:r>
              <w:rPr>
                <w:noProof/>
              </w:rPr>
              <w:t>M1C1-71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DB6ED17" w14:textId="77777777" w:rsidR="004C6421" w:rsidRDefault="009D1962">
            <w:pPr>
              <w:pStyle w:val="P68B1DB1-Normal4"/>
              <w:jc w:val="center"/>
              <w:rPr>
                <w:rFonts w:cs="Arial"/>
                <w:noProof/>
              </w:rPr>
            </w:pPr>
            <w:r>
              <w:rPr>
                <w:noProof/>
              </w:rPr>
              <w:t>Reforma 1.10: Reforma ram prawnych dotyczących zamówień publicznych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DB26232" w14:textId="106C8748"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F6E0602" w14:textId="77777777" w:rsidR="004C6421" w:rsidRDefault="009D1962">
            <w:pPr>
              <w:pStyle w:val="P68B1DB1-Normal4"/>
              <w:jc w:val="center"/>
              <w:rPr>
                <w:rFonts w:cs="Arial"/>
                <w:noProof/>
              </w:rPr>
            </w:pPr>
            <w:r>
              <w:rPr>
                <w:noProof/>
              </w:rPr>
              <w:t>Wejście w życie wszystkich niezbędnych przepisów ustawowych, wykonawczych i wykonawczych (w tym prawa wtórnego) w odniesieniu do systemu zamówień publicznych</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E95F81" w14:textId="77777777" w:rsidR="004C6421" w:rsidRDefault="009D1962">
            <w:pPr>
              <w:pStyle w:val="P68B1DB1-Normal4"/>
              <w:jc w:val="center"/>
              <w:rPr>
                <w:rFonts w:cs="Arial"/>
                <w:noProof/>
              </w:rPr>
            </w:pPr>
            <w:r>
              <w:rPr>
                <w:noProof/>
              </w:rPr>
              <w:t>Wejście w życie wszystkich niezbędnych rozporządzeń ustawodawczych i aktów wykonawczych</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01BD77"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BCE63C2"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7D5E81C"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3663D2" w14:textId="2E8E90BA"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5A04DA0" w14:textId="77777777" w:rsidR="004C6421" w:rsidRDefault="009D1962">
            <w:pPr>
              <w:pStyle w:val="P68B1DB1-Normal4"/>
              <w:jc w:val="center"/>
              <w:rPr>
                <w:rFonts w:cs="Arial"/>
                <w:noProof/>
              </w:rPr>
            </w:pPr>
            <w:r>
              <w:rPr>
                <w:noProof/>
              </w:rPr>
              <w:t>2021</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1CEC0E7" w14:textId="77777777" w:rsidR="004C6421" w:rsidRDefault="009D1962">
            <w:pPr>
              <w:pStyle w:val="P68B1DB1-Normal4"/>
              <w:spacing w:after="120"/>
              <w:rPr>
                <w:rFonts w:cs="Arial"/>
                <w:noProof/>
              </w:rPr>
            </w:pPr>
            <w:r>
              <w:rPr>
                <w:noProof/>
              </w:rPr>
              <w:t>Wszystkie niezbędne przepisy ustawowe, wykonawcze i wykonawcze (w tym, w razie potrzeby, prawodawstwo wtórne) uzyskują następujące wyniki:</w:t>
            </w:r>
          </w:p>
          <w:p w14:paraId="33CB263A" w14:textId="77777777" w:rsidR="004C6421" w:rsidRDefault="009D1962">
            <w:pPr>
              <w:pStyle w:val="P68B1DB1-Normal4"/>
              <w:spacing w:after="120"/>
              <w:rPr>
                <w:rFonts w:cs="Arial"/>
                <w:noProof/>
              </w:rPr>
            </w:pPr>
            <w:r>
              <w:rPr>
                <w:noProof/>
              </w:rPr>
              <w:t>I. Jednolity Organ Koordynacyjny ds. Polityki Zamówień Publicznych dysponuje odpowiednim (do określenia w porozumieniu operacyjnym) poziomem zasobów kadrowych i finansowych, aby był w pełni operacyjny, również dzięki wsparciu udzielanemu przez specjalną strukturę ANAC.</w:t>
            </w:r>
          </w:p>
          <w:p w14:paraId="13863D6A" w14:textId="77777777" w:rsidR="004C6421" w:rsidRDefault="009D1962">
            <w:pPr>
              <w:pStyle w:val="P68B1DB1-Normal4"/>
              <w:spacing w:after="120"/>
              <w:rPr>
                <w:rFonts w:cs="Arial"/>
                <w:noProof/>
              </w:rPr>
            </w:pPr>
            <w:r>
              <w:rPr>
                <w:noProof/>
              </w:rPr>
              <w:t>II. Jednolity Organ Koordynacyjny ds. Polityki Zamówień Publicznych przyjmuje strategię profesjonalizacji (por. związaną z proponowaną przez Włochy reformą 2.1.6) obejmującą rodzaje szkoleń na różnych poziomach, specjalistyczne doradztwo i opracowanie wytycznych operacyjnych, przy wsparciu ANAC i Krajowej Szkoły Administracji.</w:t>
            </w:r>
          </w:p>
          <w:p w14:paraId="1FEEC3C8" w14:textId="77777777" w:rsidR="004C6421" w:rsidRDefault="009D1962">
            <w:pPr>
              <w:pStyle w:val="P68B1DB1-Normal4"/>
              <w:spacing w:after="120"/>
              <w:rPr>
                <w:rFonts w:cs="Arial"/>
                <w:noProof/>
              </w:rPr>
            </w:pPr>
            <w:r>
              <w:rPr>
                <w:noProof/>
              </w:rPr>
              <w:t>III. Dynamiczne systemy zakupów są udostępniane przez Consip i są zgodne z dyrektywami w sprawie zamówień publicznych.</w:t>
            </w:r>
          </w:p>
          <w:p w14:paraId="25D992F2" w14:textId="77777777" w:rsidR="004C6421" w:rsidRDefault="009D1962">
            <w:pPr>
              <w:pStyle w:val="P68B1DB1-Normal4"/>
              <w:spacing w:after="120"/>
              <w:rPr>
                <w:rFonts w:cs="Arial"/>
                <w:noProof/>
              </w:rPr>
            </w:pPr>
            <w:r>
              <w:rPr>
                <w:noProof/>
              </w:rPr>
              <w:t>IV. ANAC kończy proces kwalifikacji instytucji zamawiających pod względem zdolności w zakresie zamówień publicznych w następstwie wdrożenia art. 38 kodeksu zamówień publicznych.</w:t>
            </w:r>
          </w:p>
          <w:p w14:paraId="26E705BD" w14:textId="77777777" w:rsidR="004C6421" w:rsidRDefault="009D1962">
            <w:pPr>
              <w:pStyle w:val="P68B1DB1-Normal4"/>
              <w:spacing w:after="120"/>
              <w:rPr>
                <w:rFonts w:cs="Arial"/>
                <w:noProof/>
              </w:rPr>
            </w:pPr>
            <w:r>
              <w:rPr>
                <w:noProof/>
              </w:rPr>
              <w:t>V. System monitorowania w okresie między udzieleniem zamówienia a zakończeniem robót infrastrukturalnych jest operacyjny.</w:t>
            </w:r>
          </w:p>
          <w:p w14:paraId="07D3E381" w14:textId="77777777" w:rsidR="004C6421" w:rsidRDefault="009D1962">
            <w:pPr>
              <w:pStyle w:val="P68B1DB1-Normal4"/>
              <w:spacing w:after="120"/>
              <w:rPr>
                <w:rFonts w:cs="Arial"/>
                <w:noProof/>
              </w:rPr>
            </w:pPr>
            <w:r>
              <w:rPr>
                <w:noProof/>
              </w:rPr>
              <w:t>VI. Dane dotyczące wszystkich umów są rejestrowane w bazie danych antykorupcyjnej krajowego organu antykorupcyjnego (ANAC).</w:t>
            </w:r>
          </w:p>
          <w:p w14:paraId="66CB760C" w14:textId="77777777" w:rsidR="004C6421" w:rsidRDefault="009D1962">
            <w:pPr>
              <w:pStyle w:val="P68B1DB1-Normal4"/>
              <w:spacing w:after="120"/>
              <w:rPr>
                <w:rFonts w:cs="Arial"/>
                <w:noProof/>
              </w:rPr>
            </w:pPr>
            <w:r>
              <w:rPr>
                <w:noProof/>
              </w:rPr>
              <w:t>VII. Wszystkie specjalne biura odpowiedzialne za procedury udzielania zamówień publicznych w ministerstwach, regionach i miastach metropolitalnych.</w:t>
            </w:r>
          </w:p>
        </w:tc>
      </w:tr>
      <w:tr w:rsidR="004C6421" w14:paraId="201087F8"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36C78BE" w14:textId="77777777" w:rsidR="004C6421" w:rsidRDefault="009D1962">
            <w:pPr>
              <w:pStyle w:val="P68B1DB1-Normal4"/>
              <w:jc w:val="center"/>
              <w:rPr>
                <w:rFonts w:cs="Arial"/>
                <w:noProof/>
              </w:rPr>
            </w:pPr>
            <w:r>
              <w:rPr>
                <w:noProof/>
              </w:rPr>
              <w:t>M1C1-72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360D728" w14:textId="77777777" w:rsidR="004C6421" w:rsidRDefault="009D1962">
            <w:pPr>
              <w:pStyle w:val="P68B1DB1-Normal4"/>
              <w:jc w:val="center"/>
              <w:rPr>
                <w:rFonts w:cs="Arial"/>
                <w:noProof/>
              </w:rPr>
            </w:pPr>
            <w:r>
              <w:rPr>
                <w:noProof/>
              </w:rPr>
              <w:t>Reforma 1.11: Zmniejszenie opóźnień w płatnościach dokonywanych przez organy administracji publicznej i służby zdrowia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52AF3F7" w14:textId="2E52F28F"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BDE5427" w14:textId="77777777" w:rsidR="004C6421" w:rsidRDefault="009D1962">
            <w:pPr>
              <w:pStyle w:val="P68B1DB1-Normal4"/>
              <w:jc w:val="center"/>
              <w:rPr>
                <w:rFonts w:cs="Arial"/>
                <w:noProof/>
              </w:rPr>
            </w:pPr>
            <w:r>
              <w:rPr>
                <w:noProof/>
              </w:rPr>
              <w:t>Zatwierdza się środki mające na celu zmniejszenie opóźnień w płatnościach ze strony administracji publicznej na rzecz przedsiębiorstw</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4F14BD" w14:textId="77777777" w:rsidR="004C6421" w:rsidRDefault="009D1962">
            <w:pPr>
              <w:pStyle w:val="P68B1DB1-Normal4"/>
              <w:jc w:val="center"/>
              <w:rPr>
                <w:rFonts w:cs="Arial"/>
                <w:noProof/>
              </w:rPr>
            </w:pPr>
            <w:r>
              <w:rPr>
                <w:noProof/>
              </w:rPr>
              <w:t>Przepis prawa wskazujący na wejście w życie przepisów mających na celu zmniejszenie opóźnień w płatnościach z AP na rzecz przedsiębiorstw</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DB75D1"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43C724"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43B7F5A"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918047" w14:textId="3F301A43" w:rsidR="004C6421" w:rsidRDefault="00CC179E">
            <w:pPr>
              <w:pStyle w:val="P68B1DB1-Normal4"/>
              <w:jc w:val="center"/>
              <w:rPr>
                <w:rFonts w:cs="Arial"/>
                <w:noProof/>
              </w:rPr>
            </w:pPr>
            <w:r>
              <w:rPr>
                <w:noProof/>
              </w:rPr>
              <w:t>KW. 1</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F302CE" w14:textId="77777777" w:rsidR="004C6421" w:rsidRDefault="009D1962">
            <w:pPr>
              <w:pStyle w:val="P68B1DB1-Normal4"/>
              <w:jc w:val="center"/>
              <w:rPr>
                <w:rFonts w:cs="Arial"/>
                <w:noProof/>
              </w:rPr>
            </w:pPr>
            <w:r>
              <w:rPr>
                <w:noProof/>
              </w:rPr>
              <w:t>2023</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EBF589A" w14:textId="77777777" w:rsidR="004C6421" w:rsidRDefault="009D1962">
            <w:pPr>
              <w:pStyle w:val="P68B1DB1-Normal4"/>
              <w:spacing w:after="120"/>
              <w:rPr>
                <w:rFonts w:cs="Arial"/>
                <w:noProof/>
              </w:rPr>
            </w:pPr>
            <w:r>
              <w:rPr>
                <w:noProof/>
              </w:rPr>
              <w:t>Wejście w życie nowych przepisów mających na celu ograniczenie opóźnień w płatnościach administracji publicznej na rzecz przedsiębiorstw.</w:t>
            </w:r>
          </w:p>
          <w:p w14:paraId="4DB6D586" w14:textId="77777777" w:rsidR="004C6421" w:rsidRDefault="009D1962">
            <w:pPr>
              <w:pStyle w:val="P68B1DB1-Normal4"/>
              <w:spacing w:after="120"/>
              <w:rPr>
                <w:rFonts w:cs="Arial"/>
                <w:noProof/>
              </w:rPr>
            </w:pPr>
            <w:r>
              <w:rPr>
                <w:noProof/>
              </w:rPr>
              <w:t>Środki te obejmują co najmniej następujące kluczowe elementy:</w:t>
            </w:r>
          </w:p>
          <w:p w14:paraId="7A2A5DC0" w14:textId="77777777" w:rsidR="004C6421" w:rsidRDefault="009D1962">
            <w:pPr>
              <w:pStyle w:val="P68B1DB1-Normal6"/>
              <w:spacing w:after="120"/>
              <w:rPr>
                <w:rFonts w:cs="Arial"/>
                <w:noProof/>
                <w:color w:val="006100"/>
              </w:rPr>
            </w:pPr>
            <w:r>
              <w:rPr>
                <w:noProof/>
                <w:color w:val="006100"/>
              </w:rPr>
              <w:t>I. System</w:t>
            </w:r>
            <w:r>
              <w:rPr>
                <w:noProof/>
              </w:rPr>
              <w:t xml:space="preserve"> </w:t>
            </w:r>
            <w:r>
              <w:rPr>
                <w:noProof/>
                <w:color w:val="006100"/>
              </w:rPr>
              <w:t>InIT zostanie wdrożony w centralnej administracji publicznej w celu wsparcia rachunkowości ekonomicznej i finansowej oraz realizacji wydatków publicznych.</w:t>
            </w:r>
          </w:p>
          <w:p w14:paraId="465B9A6B" w14:textId="77777777" w:rsidR="004C6421" w:rsidRDefault="009D1962">
            <w:pPr>
              <w:pStyle w:val="P68B1DB1-Normal6"/>
              <w:spacing w:after="120"/>
              <w:rPr>
                <w:rFonts w:cs="Arial"/>
                <w:noProof/>
                <w:color w:val="006100"/>
              </w:rPr>
            </w:pPr>
            <w:r>
              <w:rPr>
                <w:noProof/>
                <w:color w:val="006100"/>
              </w:rPr>
              <w:t>II.</w:t>
            </w:r>
            <w:r>
              <w:rPr>
                <w:noProof/>
              </w:rPr>
              <w:t xml:space="preserve"> </w:t>
            </w:r>
            <w:r>
              <w:rPr>
                <w:noProof/>
                <w:color w:val="006100"/>
              </w:rPr>
              <w:t>Opóźnienia w płatnościach: wskaźnikami opartymi na bazie danych systemu informatycznego Ministerstwa Finansów (PCC) są średni ważony czas płatności organów publicznych na rzecz przedsiębiorstw oraz średni ważony termin płatności organów publicznych na rzecz przedsiębiorstw dla każdego z następujących poziomów administracji publicznej:</w:t>
            </w:r>
          </w:p>
          <w:p w14:paraId="433FC487" w14:textId="77777777" w:rsidR="004C6421" w:rsidRDefault="009D1962">
            <w:pPr>
              <w:pStyle w:val="P68B1DB1-Normal4"/>
              <w:numPr>
                <w:ilvl w:val="0"/>
                <w:numId w:val="88"/>
              </w:numPr>
              <w:spacing w:after="120"/>
              <w:ind w:left="341" w:hanging="283"/>
              <w:rPr>
                <w:rFonts w:cs="Arial"/>
                <w:noProof/>
              </w:rPr>
            </w:pPr>
            <w:r>
              <w:rPr>
                <w:noProof/>
              </w:rPr>
              <w:t>organy centralne (Amministrazioni dello Stato, enti pubblici nazionali e altri enti)</w:t>
            </w:r>
          </w:p>
          <w:p w14:paraId="006337BA" w14:textId="77777777" w:rsidR="004C6421" w:rsidRDefault="009D1962">
            <w:pPr>
              <w:pStyle w:val="P68B1DB1-Normal4"/>
              <w:numPr>
                <w:ilvl w:val="0"/>
                <w:numId w:val="88"/>
              </w:numPr>
              <w:spacing w:after="120"/>
              <w:ind w:left="341" w:hanging="283"/>
              <w:rPr>
                <w:rFonts w:cs="Arial"/>
                <w:noProof/>
              </w:rPr>
            </w:pPr>
            <w:r>
              <w:rPr>
                <w:noProof/>
              </w:rPr>
              <w:t>władze regionalne (Regioni i Prowincja Autonome),</w:t>
            </w:r>
          </w:p>
          <w:p w14:paraId="795D9563" w14:textId="77777777" w:rsidR="004C6421" w:rsidRDefault="009D1962">
            <w:pPr>
              <w:pStyle w:val="P68B1DB1-Normal4"/>
              <w:numPr>
                <w:ilvl w:val="0"/>
                <w:numId w:val="88"/>
              </w:numPr>
              <w:spacing w:after="120"/>
              <w:ind w:left="341" w:hanging="283"/>
              <w:rPr>
                <w:rFonts w:cs="Arial"/>
                <w:noProof/>
              </w:rPr>
            </w:pPr>
            <w:r>
              <w:rPr>
                <w:noProof/>
              </w:rPr>
              <w:t>władze lokalne (enti locali)</w:t>
            </w:r>
          </w:p>
          <w:p w14:paraId="1638E75D" w14:textId="77777777" w:rsidR="004C6421" w:rsidRDefault="009D1962">
            <w:pPr>
              <w:pStyle w:val="P68B1DB1-Normal4"/>
              <w:numPr>
                <w:ilvl w:val="0"/>
                <w:numId w:val="88"/>
              </w:numPr>
              <w:spacing w:after="120"/>
              <w:ind w:left="341" w:hanging="283"/>
              <w:rPr>
                <w:rFonts w:cs="Arial"/>
                <w:noProof/>
              </w:rPr>
            </w:pPr>
            <w:r>
              <w:rPr>
                <w:noProof/>
              </w:rPr>
              <w:t>organy ds. zdrowia publicznego (enti del Servizio sanitario nazionale).</w:t>
            </w:r>
          </w:p>
        </w:tc>
      </w:tr>
      <w:tr w:rsidR="004C6421" w14:paraId="4A032D8F"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3CFCE0" w14:textId="77777777" w:rsidR="004C6421" w:rsidRDefault="009D1962">
            <w:pPr>
              <w:pStyle w:val="P68B1DB1-Normal4"/>
              <w:jc w:val="center"/>
              <w:rPr>
                <w:rFonts w:cs="Arial"/>
                <w:noProof/>
              </w:rPr>
            </w:pPr>
            <w:r>
              <w:rPr>
                <w:noProof/>
              </w:rPr>
              <w:t>M1C1-72bis</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BDF7A9" w14:textId="77777777" w:rsidR="004C6421" w:rsidRDefault="009D1962">
            <w:pPr>
              <w:pStyle w:val="P68B1DB1-Normal4"/>
              <w:jc w:val="center"/>
              <w:rPr>
                <w:rFonts w:cs="Arial"/>
                <w:noProof/>
              </w:rPr>
            </w:pPr>
            <w:r>
              <w:rPr>
                <w:noProof/>
              </w:rPr>
              <w:t>Reforma 1.11: Zmniejszenie opóźnień w płatnościach dokonywanych przez organy administracji publicznej i służby zdrowia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D309E1" w14:textId="336C4CAA"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C2EBD66" w14:textId="77777777" w:rsidR="004C6421" w:rsidRDefault="009D1962">
            <w:pPr>
              <w:pStyle w:val="P68B1DB1-Normal4"/>
              <w:jc w:val="center"/>
              <w:rPr>
                <w:rFonts w:cs="Arial"/>
                <w:noProof/>
              </w:rPr>
            </w:pPr>
            <w:r>
              <w:rPr>
                <w:noProof/>
              </w:rPr>
              <w:t>Działania legislacyjne i szczegółowe mające na celu zmniejszenie opóźnień w płatnościach na szczeblu centralnym/lokalnym</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24E8E5" w14:textId="56068084" w:rsidR="004C6421" w:rsidRDefault="009D1962">
            <w:pPr>
              <w:pStyle w:val="P68B1DB1-Normal4"/>
              <w:jc w:val="center"/>
              <w:rPr>
                <w:rFonts w:cs="Arial"/>
                <w:noProof/>
              </w:rPr>
            </w:pPr>
            <w:r>
              <w:rPr>
                <w:noProof/>
              </w:rPr>
              <w:t>Przepis w prawodawstwie wskazujący na wejście w życie, przyjęte okólniki i środki podjęte w celu zmniejszenia opóźnień w płatnościach ze strony administracji publicznej na rzecz przedsiębiorstw</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B074FF7"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293881A"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D93154"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7461BDD" w14:textId="5CC5E4CE" w:rsidR="004C6421" w:rsidRDefault="00CC179E">
            <w:pPr>
              <w:pStyle w:val="P68B1DB1-Normal4"/>
              <w:jc w:val="center"/>
              <w:rPr>
                <w:rFonts w:cs="Arial"/>
                <w:noProof/>
              </w:rPr>
            </w:pPr>
            <w:r>
              <w:rPr>
                <w:noProof/>
              </w:rPr>
              <w:t>KW. 1</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A7B78A" w14:textId="77777777" w:rsidR="004C6421" w:rsidRDefault="009D1962">
            <w:pPr>
              <w:pStyle w:val="P68B1DB1-Normal4"/>
              <w:jc w:val="center"/>
              <w:rPr>
                <w:rFonts w:cs="Arial"/>
                <w:noProof/>
              </w:rPr>
            </w:pPr>
            <w:r>
              <w:rPr>
                <w:noProof/>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8390EB4" w14:textId="527D362C" w:rsidR="004C6421" w:rsidRDefault="009D1962">
            <w:pPr>
              <w:pStyle w:val="P68B1DB1-Normal4"/>
              <w:spacing w:after="120"/>
              <w:rPr>
                <w:rFonts w:cs="Arial"/>
                <w:noProof/>
              </w:rPr>
            </w:pPr>
            <w:r>
              <w:rPr>
                <w:noProof/>
              </w:rPr>
              <w:t>Wchodzą w życie następujące akty:</w:t>
            </w:r>
          </w:p>
          <w:p w14:paraId="0FF5B7DB" w14:textId="0A9935D3" w:rsidR="004C6421" w:rsidRDefault="009D1962">
            <w:pPr>
              <w:pStyle w:val="P68B1DB1-Normal4"/>
              <w:spacing w:after="120"/>
              <w:rPr>
                <w:rFonts w:cs="Arial"/>
                <w:noProof/>
              </w:rPr>
            </w:pPr>
            <w:r>
              <w:rPr>
                <w:noProof/>
              </w:rPr>
              <w:t xml:space="preserve">— okólnik wyjaśniający zakres transakcji handlowych i niekomercyjnych zgodnie z dyrektywą w sprawie zwalczania opóźnień w płatnościach; </w:t>
            </w:r>
          </w:p>
          <w:p w14:paraId="609B0354" w14:textId="5F91064B" w:rsidR="004C6421" w:rsidRDefault="009D1962">
            <w:pPr>
              <w:pStyle w:val="P68B1DB1-Normal4"/>
              <w:spacing w:after="120"/>
              <w:rPr>
                <w:rFonts w:cs="Arial"/>
                <w:noProof/>
              </w:rPr>
            </w:pPr>
            <w:r>
              <w:rPr>
                <w:noProof/>
              </w:rPr>
              <w:t>— okólnik wyjaśniający zakres art. 4 ust. 6 dyrektywy w sprawie zwalczania opóźnień w płatnościach zgodnie z tą dyrektywą;</w:t>
            </w:r>
          </w:p>
          <w:p w14:paraId="35DBA541" w14:textId="7AC70745" w:rsidR="004C6421" w:rsidRDefault="009D1962">
            <w:pPr>
              <w:pStyle w:val="P68B1DB1-Normal4"/>
              <w:spacing w:after="120"/>
              <w:rPr>
                <w:rFonts w:cs="Arial"/>
                <w:noProof/>
              </w:rPr>
            </w:pPr>
            <w:r>
              <w:rPr>
                <w:noProof/>
              </w:rPr>
              <w:t>— przepisy mające na celu zapewnienie, aby zwykłe regiony i władze lokalne otrzymywały środki na terminowe wystawianie faktur na szczeblu centralnym;</w:t>
            </w:r>
          </w:p>
          <w:p w14:paraId="465F6C21" w14:textId="77777777" w:rsidR="004C6421" w:rsidRDefault="009D1962">
            <w:pPr>
              <w:pStyle w:val="P68B1DB1-Normal4"/>
              <w:spacing w:after="120"/>
              <w:rPr>
                <w:rFonts w:cs="Arial"/>
                <w:noProof/>
              </w:rPr>
            </w:pPr>
            <w:r>
              <w:rPr>
                <w:noProof/>
              </w:rPr>
              <w:t>— przepisy zobowiązujące organy publiczne do przyjmowania rocznych planów przepływów pieniężnych zapewniających przestrzeganie ustawowych terminów płatności;</w:t>
            </w:r>
          </w:p>
          <w:p w14:paraId="2E859589" w14:textId="77777777" w:rsidR="004C6421" w:rsidRDefault="009D1962">
            <w:pPr>
              <w:pStyle w:val="P68B1DB1-Normal4"/>
              <w:rPr>
                <w:noProof/>
              </w:rPr>
            </w:pPr>
            <w:r>
              <w:rPr>
                <w:noProof/>
              </w:rPr>
              <w:t>— prawodawstwo wprowadzające przepisy umożliwiające cesję kredytów na rzecz osób trzecich po 30 dniach milczenia/braku działania ze strony administracji publicznej.</w:t>
            </w:r>
          </w:p>
          <w:p w14:paraId="11CAD51D" w14:textId="77777777" w:rsidR="004C6421" w:rsidRDefault="004C6421">
            <w:pPr>
              <w:rPr>
                <w:rFonts w:asciiTheme="minorHAnsi" w:eastAsiaTheme="minorEastAsia" w:hAnsiTheme="minorHAnsi" w:cstheme="minorBidi"/>
                <w:noProof/>
                <w:color w:val="006100"/>
                <w:sz w:val="20"/>
              </w:rPr>
            </w:pPr>
          </w:p>
          <w:p w14:paraId="633B5FEB" w14:textId="2894173E" w:rsidR="004C6421" w:rsidRDefault="009D1962">
            <w:pPr>
              <w:pStyle w:val="P68B1DB1-Normal4"/>
              <w:rPr>
                <w:b/>
                <w:noProof/>
              </w:rPr>
            </w:pPr>
            <w:r>
              <w:rPr>
                <w:noProof/>
              </w:rPr>
              <w:t xml:space="preserve">Na </w:t>
            </w:r>
            <w:r>
              <w:rPr>
                <w:b/>
                <w:noProof/>
              </w:rPr>
              <w:t>szczeblu centralnym podejmowane są następujące działania:</w:t>
            </w:r>
            <w:r>
              <w:rPr>
                <w:noProof/>
              </w:rPr>
              <w:t xml:space="preserve"> </w:t>
            </w:r>
          </w:p>
          <w:p w14:paraId="372D2CAF" w14:textId="77777777" w:rsidR="004C6421" w:rsidRDefault="004C6421">
            <w:pPr>
              <w:rPr>
                <w:rFonts w:ascii="Arial Narrow" w:hAnsi="Arial Narrow" w:cs="Arial"/>
                <w:b/>
                <w:noProof/>
                <w:color w:val="006100"/>
                <w:sz w:val="20"/>
              </w:rPr>
            </w:pPr>
          </w:p>
          <w:p w14:paraId="77DBADC2" w14:textId="544C7685" w:rsidR="004C6421" w:rsidRDefault="009D1962">
            <w:pPr>
              <w:pStyle w:val="P68B1DB1-Normal4"/>
              <w:spacing w:after="120"/>
              <w:rPr>
                <w:rFonts w:cs="Arial"/>
                <w:noProof/>
              </w:rPr>
            </w:pPr>
            <w:r>
              <w:rPr>
                <w:noProof/>
              </w:rPr>
              <w:t xml:space="preserve">— Wejście w życie przepisów identyfikujących opóźnionych płatników na szczeblu centralnym i wymagających przyjęcia środków w celu zapewnienia, że dokonają oni płatności w terminie 30 dni; </w:t>
            </w:r>
          </w:p>
          <w:p w14:paraId="41A5E130" w14:textId="5D1C8A75" w:rsidR="004C6421" w:rsidRDefault="009D1962">
            <w:pPr>
              <w:pStyle w:val="P68B1DB1-Normal4"/>
              <w:spacing w:after="120"/>
              <w:rPr>
                <w:rFonts w:cs="Arial"/>
                <w:noProof/>
              </w:rPr>
            </w:pPr>
            <w:r>
              <w:rPr>
                <w:noProof/>
              </w:rPr>
              <w:t>— Aktualizowana kwartalna publikacja stanu zaległych płatności ministerstw;</w:t>
            </w:r>
          </w:p>
          <w:p w14:paraId="13BCD611" w14:textId="777A6FDB" w:rsidR="004C6421" w:rsidRDefault="009D1962">
            <w:pPr>
              <w:pStyle w:val="P68B1DB1-Normal4"/>
              <w:spacing w:after="120"/>
              <w:rPr>
                <w:rFonts w:cs="Arial"/>
                <w:noProof/>
              </w:rPr>
            </w:pPr>
            <w:r>
              <w:rPr>
                <w:noProof/>
              </w:rPr>
              <w:t xml:space="preserve">— Tworzenie grup zadaniowych, jeżeli wymagają tego przepisy. </w:t>
            </w:r>
          </w:p>
          <w:p w14:paraId="4E6D05AB" w14:textId="02DA66CD" w:rsidR="004C6421" w:rsidRDefault="009D1962">
            <w:pPr>
              <w:pStyle w:val="P68B1DB1-Normal4"/>
              <w:spacing w:after="120"/>
              <w:rPr>
                <w:rFonts w:cs="Arial"/>
                <w:b/>
                <w:noProof/>
              </w:rPr>
            </w:pPr>
            <w:r>
              <w:rPr>
                <w:noProof/>
              </w:rPr>
              <w:t xml:space="preserve">Na </w:t>
            </w:r>
            <w:r>
              <w:rPr>
                <w:b/>
                <w:noProof/>
              </w:rPr>
              <w:t>szczeblu lokalnym</w:t>
            </w:r>
            <w:r>
              <w:rPr>
                <w:noProof/>
              </w:rPr>
              <w:t>podejmowane są następujące działania:</w:t>
            </w:r>
            <w:r>
              <w:rPr>
                <w:b/>
                <w:noProof/>
              </w:rPr>
              <w:t xml:space="preserve"> </w:t>
            </w:r>
          </w:p>
          <w:p w14:paraId="477F5380" w14:textId="0FA6687E" w:rsidR="004C6421" w:rsidRDefault="009D1962">
            <w:pPr>
              <w:pStyle w:val="P68B1DB1-Normal4"/>
              <w:spacing w:after="120"/>
              <w:rPr>
                <w:rFonts w:cs="Arial"/>
                <w:noProof/>
              </w:rPr>
            </w:pPr>
            <w:r>
              <w:rPr>
                <w:noProof/>
              </w:rPr>
              <w:t xml:space="preserve">— Wejście w życie przepisów identyfikujących opóźnionych płatników na szczeblu lokalnym i wymagających przyjęcia środków w celu zapewnienia, że dokonają oni płatności w terminie 30 dni; </w:t>
            </w:r>
          </w:p>
          <w:p w14:paraId="7AB3424B" w14:textId="711650F5" w:rsidR="004C6421" w:rsidRDefault="009D1962">
            <w:pPr>
              <w:pStyle w:val="P68B1DB1-Normal4"/>
              <w:spacing w:after="120"/>
              <w:rPr>
                <w:rFonts w:cs="Arial"/>
                <w:noProof/>
              </w:rPr>
            </w:pPr>
            <w:r>
              <w:rPr>
                <w:noProof/>
              </w:rPr>
              <w:t>— Aktualizowana co kwartał publikacja stanu zaległości płatniczych tych organów.</w:t>
            </w:r>
          </w:p>
        </w:tc>
      </w:tr>
      <w:tr w:rsidR="004C6421" w14:paraId="653219E3"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F79998" w14:textId="77777777" w:rsidR="004C6421" w:rsidRDefault="009D1962">
            <w:pPr>
              <w:pStyle w:val="P68B1DB1-Normal4"/>
              <w:jc w:val="center"/>
              <w:rPr>
                <w:rFonts w:cs="Arial"/>
                <w:noProof/>
              </w:rPr>
            </w:pPr>
            <w:r>
              <w:rPr>
                <w:noProof/>
              </w:rPr>
              <w:t>M1C1-72ter</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3CC4379" w14:textId="77777777" w:rsidR="004C6421" w:rsidRDefault="009D1962">
            <w:pPr>
              <w:pStyle w:val="P68B1DB1-Normal4"/>
              <w:jc w:val="center"/>
              <w:rPr>
                <w:rFonts w:cs="Arial"/>
                <w:noProof/>
              </w:rPr>
            </w:pPr>
            <w:r>
              <w:rPr>
                <w:noProof/>
              </w:rPr>
              <w:t>Reforma 1.11: Zmniejszenie opóźnień w płatnościach dokonywanych przez organy administracji publicznej i służby zdrowia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453820" w14:textId="2EE7A4E1"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086DBD2" w14:textId="77777777" w:rsidR="004C6421" w:rsidRDefault="009D1962">
            <w:pPr>
              <w:pStyle w:val="P68B1DB1-Normal4"/>
              <w:jc w:val="center"/>
              <w:rPr>
                <w:rFonts w:cs="Arial"/>
                <w:noProof/>
              </w:rPr>
            </w:pPr>
            <w:r>
              <w:rPr>
                <w:noProof/>
              </w:rPr>
              <w:t>Zwiększenie zasobów ludzkich zajmujących się opóźnionymi płatnościami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ABE9F9" w14:textId="77777777" w:rsidR="004C6421" w:rsidRDefault="009D1962">
            <w:pPr>
              <w:pStyle w:val="P68B1DB1-Normal4"/>
              <w:jc w:val="center"/>
              <w:rPr>
                <w:rFonts w:cs="Arial"/>
                <w:noProof/>
              </w:rPr>
            </w:pPr>
            <w:r>
              <w:rPr>
                <w:noProof/>
              </w:rPr>
              <w:t>Przepis wskazujący na wejście w życie przepisów mających na celu zwiększenie zasobów ludzkich zajmujących się opóźnionymi płatnościami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E3BB166"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3117BE1"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CA612C"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FEA72E" w14:textId="07AD10C0"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A607383" w14:textId="77777777" w:rsidR="004C6421" w:rsidRDefault="009D1962">
            <w:pPr>
              <w:pStyle w:val="P68B1DB1-Normal4"/>
              <w:jc w:val="center"/>
              <w:rPr>
                <w:rFonts w:cs="Arial"/>
                <w:noProof/>
              </w:rPr>
            </w:pPr>
            <w:r>
              <w:rPr>
                <w:noProof/>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3C66B3" w14:textId="77777777" w:rsidR="004C6421" w:rsidRDefault="009D1962">
            <w:pPr>
              <w:pStyle w:val="P68B1DB1-Normal4"/>
              <w:spacing w:after="120"/>
              <w:rPr>
                <w:rFonts w:cs="Arial"/>
                <w:noProof/>
              </w:rPr>
            </w:pPr>
            <w:r>
              <w:rPr>
                <w:noProof/>
              </w:rPr>
              <w:t>Wejście w życie aktów prawnych przewidujących zwiększenie zasobów ludzkich zajmujących się płatnościami w:</w:t>
            </w:r>
          </w:p>
          <w:p w14:paraId="553C890A" w14:textId="77777777" w:rsidR="004C6421" w:rsidRDefault="009D1962">
            <w:pPr>
              <w:pStyle w:val="P68B1DB1-Normal4"/>
              <w:spacing w:after="120"/>
              <w:rPr>
                <w:rFonts w:cs="Arial"/>
                <w:noProof/>
              </w:rPr>
            </w:pPr>
            <w:r>
              <w:rPr>
                <w:noProof/>
              </w:rPr>
              <w:t>— Ministerstwa i administracje centralne w zależności od konkretnych potrzeb organizacyjnych zaangażowanej administracji centralnej;</w:t>
            </w:r>
          </w:p>
          <w:p w14:paraId="0E621E53" w14:textId="77777777" w:rsidR="004C6421" w:rsidRDefault="009D1962">
            <w:pPr>
              <w:pStyle w:val="P68B1DB1-Normal4"/>
              <w:spacing w:after="120"/>
              <w:rPr>
                <w:rFonts w:cs="Arial"/>
                <w:noProof/>
              </w:rPr>
            </w:pPr>
            <w:r>
              <w:rPr>
                <w:noProof/>
              </w:rPr>
              <w:t>— administracja lokalna w zależności od konkretnych potrzeb organizacyjnych zaangażowanej administracji lokalnej.</w:t>
            </w:r>
          </w:p>
        </w:tc>
      </w:tr>
      <w:tr w:rsidR="004C6421" w14:paraId="354B06F0"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E17FB19" w14:textId="77777777" w:rsidR="004C6421" w:rsidRDefault="009D1962">
            <w:pPr>
              <w:pStyle w:val="P68B1DB1-Normal4"/>
              <w:jc w:val="center"/>
              <w:rPr>
                <w:rFonts w:cs="Arial"/>
                <w:noProof/>
              </w:rPr>
            </w:pPr>
            <w:r>
              <w:rPr>
                <w:noProof/>
              </w:rPr>
              <w:t>M1C1-72quater</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908BB90" w14:textId="77777777" w:rsidR="004C6421" w:rsidRDefault="009D1962">
            <w:pPr>
              <w:pStyle w:val="P68B1DB1-Normal4"/>
              <w:jc w:val="center"/>
              <w:rPr>
                <w:rFonts w:cs="Arial"/>
                <w:noProof/>
              </w:rPr>
            </w:pPr>
            <w:r>
              <w:rPr>
                <w:noProof/>
              </w:rPr>
              <w:t>Reforma 1.11: Zmniejszenie opóźnień w płatnościach dokonywanych przez organy administracji publicznej i służby zdrowia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F102FBF" w14:textId="15685465"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048137" w14:textId="002CB72D" w:rsidR="004C6421" w:rsidRDefault="004C6421">
            <w:pPr>
              <w:jc w:val="center"/>
              <w:rPr>
                <w:rFonts w:ascii="Arial Narrow" w:hAnsi="Arial Narrow"/>
                <w:noProof/>
                <w:color w:val="006100"/>
                <w:sz w:val="20"/>
              </w:rPr>
            </w:pPr>
          </w:p>
          <w:p w14:paraId="16DDD1C2" w14:textId="77777777" w:rsidR="004C6421" w:rsidRDefault="004C6421">
            <w:pPr>
              <w:jc w:val="center"/>
              <w:rPr>
                <w:rFonts w:ascii="Arial Narrow" w:hAnsi="Arial Narrow"/>
                <w:noProof/>
                <w:color w:val="006100"/>
                <w:sz w:val="20"/>
              </w:rPr>
            </w:pPr>
          </w:p>
          <w:p w14:paraId="56C4AA7C" w14:textId="4E7BE9AD" w:rsidR="004C6421" w:rsidRDefault="009D1962">
            <w:pPr>
              <w:pStyle w:val="P68B1DB1-Normal7"/>
              <w:jc w:val="center"/>
              <w:rPr>
                <w:rFonts w:ascii="Arial Narrow" w:hAnsi="Arial Narrow"/>
                <w:noProof/>
              </w:rPr>
            </w:pPr>
            <w:r>
              <w:rPr>
                <w:noProof/>
              </w:rPr>
              <w:t>Przyjęcie planu audytu</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CD3AED" w14:textId="02C071C3" w:rsidR="004C6421" w:rsidRDefault="004C6421">
            <w:pPr>
              <w:jc w:val="center"/>
              <w:rPr>
                <w:rFonts w:ascii="Arial Narrow" w:hAnsi="Arial Narrow"/>
                <w:noProof/>
                <w:color w:val="006100"/>
                <w:sz w:val="20"/>
              </w:rPr>
            </w:pPr>
          </w:p>
          <w:p w14:paraId="495A74CF" w14:textId="77777777" w:rsidR="004C6421" w:rsidRDefault="004C6421">
            <w:pPr>
              <w:jc w:val="center"/>
              <w:rPr>
                <w:rFonts w:ascii="Arial Narrow" w:hAnsi="Arial Narrow"/>
                <w:noProof/>
                <w:color w:val="006100"/>
                <w:sz w:val="20"/>
              </w:rPr>
            </w:pPr>
          </w:p>
          <w:p w14:paraId="2E3FF374" w14:textId="2BD8F486" w:rsidR="004C6421" w:rsidRDefault="009D1962">
            <w:pPr>
              <w:pStyle w:val="P68B1DB1-Normal7"/>
              <w:jc w:val="center"/>
              <w:rPr>
                <w:rFonts w:ascii="Arial Narrow" w:hAnsi="Arial Narrow"/>
                <w:noProof/>
              </w:rPr>
            </w:pPr>
            <w:r>
              <w:rPr>
                <w:noProof/>
              </w:rPr>
              <w:t>Przyjęcie planu audytu</w:t>
            </w:r>
          </w:p>
          <w:p w14:paraId="666B8334" w14:textId="77777777" w:rsidR="004C6421" w:rsidRDefault="004C6421">
            <w:pPr>
              <w:spacing w:line="276" w:lineRule="auto"/>
              <w:jc w:val="center"/>
              <w:rPr>
                <w:rFonts w:ascii="Arial Narrow" w:hAnsi="Arial Narrow"/>
                <w:noProof/>
                <w:color w:val="0061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5954878"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B09F0A0"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60D31D"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8FC0B8" w14:textId="5E7A5479"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DE15418" w14:textId="77777777" w:rsidR="004C6421" w:rsidRDefault="009D1962">
            <w:pPr>
              <w:pStyle w:val="P68B1DB1-Normal4"/>
              <w:jc w:val="center"/>
              <w:rPr>
                <w:rFonts w:cs="Arial"/>
                <w:noProof/>
              </w:rPr>
            </w:pPr>
            <w:r>
              <w:rPr>
                <w:noProof/>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864034D" w14:textId="7A15B878" w:rsidR="004C6421" w:rsidRDefault="004C6421">
            <w:pPr>
              <w:spacing w:after="120"/>
              <w:rPr>
                <w:rFonts w:ascii="Arial Narrow" w:hAnsi="Arial Narrow" w:cs="Arial"/>
                <w:noProof/>
                <w:color w:val="006100"/>
                <w:sz w:val="20"/>
              </w:rPr>
            </w:pPr>
          </w:p>
          <w:p w14:paraId="33CC0791" w14:textId="5A27BBA5" w:rsidR="004C6421" w:rsidRDefault="009D1962">
            <w:pPr>
              <w:pStyle w:val="P68B1DB1-Normal4"/>
              <w:spacing w:after="120"/>
              <w:rPr>
                <w:noProof/>
              </w:rPr>
            </w:pPr>
            <w:r>
              <w:rPr>
                <w:noProof/>
              </w:rPr>
              <w:t>Przyjęcie planu audytu, w tym harmonogramu jego wdrożenia, dotyczącego adekwatności i terminowości istniejących procesów płatniczych co najmniej 130 organów administracji publicznej zidentyfikowanych jako opóźnione płatniki spośród: (i) szczebla centralnego (w tym oddziałów terytorialnych ministerstw); (II) na poziomie lokalnym; oraz (iii) organy ds. zdrowia publicznego.</w:t>
            </w:r>
          </w:p>
        </w:tc>
      </w:tr>
      <w:tr w:rsidR="004C6421" w14:paraId="5FBA6F55"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A56070C" w14:textId="77777777" w:rsidR="004C6421" w:rsidRDefault="009D1962">
            <w:pPr>
              <w:pStyle w:val="P68B1DB1-Normal4"/>
              <w:jc w:val="center"/>
              <w:rPr>
                <w:rFonts w:cs="Arial"/>
                <w:noProof/>
              </w:rPr>
            </w:pPr>
            <w:bookmarkStart w:id="4" w:name="_Hlk160473292"/>
            <w:r>
              <w:rPr>
                <w:noProof/>
              </w:rPr>
              <w:t>M1C1-72quinquies</w:t>
            </w:r>
            <w:bookmarkEnd w:id="4"/>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591360" w14:textId="77777777" w:rsidR="004C6421" w:rsidRDefault="009D1962">
            <w:pPr>
              <w:pStyle w:val="P68B1DB1-Normal4"/>
              <w:jc w:val="center"/>
              <w:rPr>
                <w:rFonts w:cs="Arial"/>
                <w:noProof/>
              </w:rPr>
            </w:pPr>
            <w:bookmarkStart w:id="5" w:name="_Hlk160473280"/>
            <w:r>
              <w:rPr>
                <w:noProof/>
              </w:rPr>
              <w:t>Reforma 1.11: Zmniejszenie opóźnień w płatnościach dokonywanych przez organy administracji publicznej i służby zdrowia</w:t>
            </w:r>
            <w:bookmarkEnd w:id="5"/>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14936AD" w14:textId="16077F20"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C3346E" w14:textId="220783C2" w:rsidR="004C6421" w:rsidRDefault="009D1962">
            <w:pPr>
              <w:pStyle w:val="P68B1DB1-Normal4"/>
              <w:jc w:val="center"/>
              <w:rPr>
                <w:noProof/>
              </w:rPr>
            </w:pPr>
            <w:r>
              <w:rPr>
                <w:noProof/>
              </w:rPr>
              <w:t>Realizacja płatności w systemie InIT.</w:t>
            </w:r>
          </w:p>
          <w:p w14:paraId="0BBF58E6" w14:textId="77777777" w:rsidR="004C6421" w:rsidRDefault="009D1962">
            <w:pPr>
              <w:pStyle w:val="P68B1DB1-Normal4"/>
              <w:jc w:val="center"/>
              <w:rPr>
                <w:noProof/>
              </w:rPr>
            </w:pPr>
            <w:r>
              <w:rPr>
                <w:noProof/>
              </w:rPr>
              <w:t xml:space="preserve">oraz </w:t>
            </w:r>
          </w:p>
          <w:p w14:paraId="46C23503" w14:textId="15565DB4" w:rsidR="004C6421" w:rsidRDefault="009D1962">
            <w:pPr>
              <w:pStyle w:val="P68B1DB1-Normal4"/>
              <w:jc w:val="center"/>
              <w:rPr>
                <w:noProof/>
              </w:rPr>
            </w:pPr>
            <w:r>
              <w:rPr>
                <w:noProof/>
              </w:rPr>
              <w:t>środki horyzontalne mające na celu zmniejszenie opóźnień w płatnościach z AP na rzecz przedsiębiorstw</w:t>
            </w:r>
          </w:p>
          <w:p w14:paraId="23789C8B" w14:textId="77777777" w:rsidR="004C6421" w:rsidRDefault="004C6421">
            <w:pPr>
              <w:jc w:val="center"/>
              <w:rPr>
                <w:rFonts w:ascii="Arial Narrow" w:hAnsi="Arial Narrow"/>
                <w:noProof/>
                <w:color w:val="006100"/>
                <w:sz w:val="20"/>
              </w:rPr>
            </w:pPr>
          </w:p>
          <w:p w14:paraId="3A795B6C" w14:textId="77777777" w:rsidR="004C6421" w:rsidRDefault="004C6421">
            <w:pPr>
              <w:jc w:val="center"/>
              <w:rPr>
                <w:rFonts w:ascii="Arial Narrow" w:hAnsi="Arial Narrow"/>
                <w:noProof/>
                <w:color w:val="006100"/>
                <w:sz w:val="20"/>
              </w:rPr>
            </w:pPr>
          </w:p>
          <w:p w14:paraId="5CB508C9" w14:textId="77777777" w:rsidR="004C6421" w:rsidRDefault="004C6421">
            <w:pPr>
              <w:jc w:val="center"/>
              <w:rPr>
                <w:rFonts w:ascii="Arial Narrow" w:hAnsi="Arial Narrow"/>
                <w:noProof/>
                <w:color w:val="006100"/>
                <w:sz w:val="20"/>
              </w:rPr>
            </w:pP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DB1919" w14:textId="1ACF2767" w:rsidR="004C6421" w:rsidRDefault="009D1962">
            <w:pPr>
              <w:pStyle w:val="P68B1DB1-Normal4"/>
              <w:jc w:val="center"/>
              <w:rPr>
                <w:rFonts w:cs="Arial"/>
                <w:noProof/>
              </w:rPr>
            </w:pPr>
            <w:r>
              <w:rPr>
                <w:noProof/>
              </w:rPr>
              <w:t>Uruchomienie systemu InIT do realizacji płatności oraz platformy zapewniającej informacje o kredytach komercyjnych.</w:t>
            </w:r>
          </w:p>
          <w:p w14:paraId="3B5EA29C" w14:textId="77777777" w:rsidR="004C6421" w:rsidRDefault="004C6421">
            <w:pPr>
              <w:jc w:val="center"/>
              <w:rPr>
                <w:rFonts w:ascii="Arial Narrow" w:hAnsi="Arial Narrow"/>
                <w:noProof/>
                <w:color w:val="006100"/>
                <w:sz w:val="20"/>
              </w:rPr>
            </w:pPr>
          </w:p>
          <w:p w14:paraId="3890FBEF" w14:textId="70FBEBFB" w:rsidR="004C6421" w:rsidRDefault="004C6421">
            <w:pPr>
              <w:jc w:val="center"/>
              <w:rPr>
                <w:rFonts w:ascii="Arial Narrow" w:hAnsi="Arial Narrow" w:cs="Arial"/>
                <w:noProof/>
                <w:color w:val="0061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D1DE1AF"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67B297"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3B37A7"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9D2D19E" w14:textId="38A4A7F2"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7C06CF8" w14:textId="77777777" w:rsidR="004C6421" w:rsidRDefault="009D1962">
            <w:pPr>
              <w:pStyle w:val="P68B1DB1-Normal4"/>
              <w:jc w:val="center"/>
              <w:rPr>
                <w:rFonts w:cs="Arial"/>
                <w:noProof/>
              </w:rPr>
            </w:pPr>
            <w:r>
              <w:rPr>
                <w:noProof/>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214660" w14:textId="77777777" w:rsidR="004C6421" w:rsidRDefault="009D1962">
            <w:pPr>
              <w:pStyle w:val="P68B1DB1-Normal4"/>
              <w:spacing w:after="120"/>
              <w:rPr>
                <w:rFonts w:cs="Arial"/>
                <w:noProof/>
              </w:rPr>
            </w:pPr>
            <w:r>
              <w:rPr>
                <w:noProof/>
              </w:rPr>
              <w:t>System InIT jest w pełni operacyjny i posiada następujące zdolności:</w:t>
            </w:r>
          </w:p>
          <w:p w14:paraId="5395BA60" w14:textId="77777777" w:rsidR="004C6421" w:rsidRDefault="009D1962">
            <w:pPr>
              <w:pStyle w:val="P68B1DB1-Normal4"/>
              <w:spacing w:after="120"/>
              <w:rPr>
                <w:rFonts w:cs="Arial"/>
                <w:noProof/>
              </w:rPr>
            </w:pPr>
            <w:r>
              <w:rPr>
                <w:noProof/>
              </w:rPr>
              <w:t>—Umożliwia realizację płatności bez korzystania z interoperacyjności ze starymi platformami przetwarzania płatności.</w:t>
            </w:r>
          </w:p>
          <w:p w14:paraId="321BC520" w14:textId="77777777" w:rsidR="004C6421" w:rsidRDefault="009D1962">
            <w:pPr>
              <w:pStyle w:val="P68B1DB1-Normal4"/>
              <w:spacing w:after="120"/>
              <w:rPr>
                <w:noProof/>
              </w:rPr>
            </w:pPr>
            <w:r>
              <w:rPr>
                <w:noProof/>
              </w:rPr>
              <w:t>—Zapewnia dostępność danych dotyczących płatności, w tym opóźnień, na potrzeby wspierania działań w zakresie audytu i kontroli prowadzonych przez ministerstwa i włoski Trybunał Obrachunkowy.</w:t>
            </w:r>
          </w:p>
          <w:p w14:paraId="6E6624B4" w14:textId="5227041E" w:rsidR="004C6421" w:rsidRDefault="009D1962">
            <w:pPr>
              <w:pStyle w:val="P68B1DB1-Normal4"/>
              <w:spacing w:after="120"/>
              <w:rPr>
                <w:rFonts w:cs="Arial"/>
                <w:noProof/>
              </w:rPr>
            </w:pPr>
            <w:r>
              <w:rPr>
                <w:noProof/>
              </w:rPr>
              <w:t>Uruchomiona zostanie specjalna platforma zapewniająca informacje na temat kredytów komercyjnych przedsiębiorstwom będącym wierzycielami i organom administracji publicznej będącym dłużnikami. Platforma zapewnia co najmniej następujące elementy:</w:t>
            </w:r>
          </w:p>
          <w:p w14:paraId="5F9B038D" w14:textId="77777777" w:rsidR="004C6421" w:rsidRDefault="009D1962">
            <w:pPr>
              <w:pStyle w:val="P68B1DB1-Normal4"/>
              <w:spacing w:after="120"/>
              <w:rPr>
                <w:rFonts w:cs="Arial"/>
                <w:noProof/>
              </w:rPr>
            </w:pPr>
            <w:r>
              <w:rPr>
                <w:noProof/>
              </w:rPr>
              <w:t xml:space="preserve">—informacje dla przedsiębiorstw (wierzycieli) na temat ram prawnych dotyczących kredytów na rzecz administracji publicznej, praw przedsiębiorstwa będącego wierzycielem, kroków prawnych, które można podjąć w przypadku opóźnień w otrzymaniu płatności, funkcjonowania mechanizmu płatności dostawców, punktu kontaktowego dla przedsiębiorstw będących wierzycielami. </w:t>
            </w:r>
          </w:p>
          <w:p w14:paraId="58E4234B" w14:textId="0A15FF65" w:rsidR="004C6421" w:rsidRDefault="009D1962">
            <w:pPr>
              <w:pStyle w:val="P68B1DB1-Normal4"/>
              <w:spacing w:after="120"/>
              <w:rPr>
                <w:rFonts w:cs="Arial"/>
                <w:noProof/>
              </w:rPr>
            </w:pPr>
            <w:r>
              <w:rPr>
                <w:noProof/>
              </w:rPr>
              <w:t>—opracowanie administracji publicznej (dłużników) w sprawie wymogów prawnych dotyczących spłaty długów handlowych, wytycznych administracyjnych, narzędzi monitorowania dostępnych dla administracji publicznej oraz możliwych najlepszych praktyk w celu poprawy wyników w zakresie płatności.</w:t>
            </w:r>
          </w:p>
          <w:p w14:paraId="432AE3BD" w14:textId="77777777" w:rsidR="004C6421" w:rsidRDefault="009D1962">
            <w:pPr>
              <w:pStyle w:val="P68B1DB1-Normal4"/>
              <w:spacing w:after="120"/>
              <w:rPr>
                <w:noProof/>
              </w:rPr>
            </w:pPr>
            <w:r>
              <w:rPr>
                <w:noProof/>
              </w:rPr>
              <w:t>—Wszystkie strony internetowe ministerstwa mają link do tej platformy.</w:t>
            </w:r>
          </w:p>
          <w:p w14:paraId="08848A4D" w14:textId="77777777" w:rsidR="004C6421" w:rsidRDefault="004C6421">
            <w:pPr>
              <w:spacing w:after="120"/>
              <w:rPr>
                <w:rFonts w:ascii="Arial Narrow" w:hAnsi="Arial Narrow"/>
                <w:noProof/>
                <w:color w:val="006100"/>
                <w:sz w:val="20"/>
              </w:rPr>
            </w:pPr>
          </w:p>
        </w:tc>
      </w:tr>
      <w:tr w:rsidR="004C6421" w14:paraId="22AEDFB8"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4DF509" w14:textId="77777777" w:rsidR="004C6421" w:rsidRDefault="009D1962">
            <w:pPr>
              <w:pStyle w:val="P68B1DB1-Normal4"/>
              <w:jc w:val="center"/>
              <w:rPr>
                <w:rFonts w:cs="Arial"/>
                <w:noProof/>
              </w:rPr>
            </w:pPr>
            <w:r>
              <w:rPr>
                <w:noProof/>
              </w:rPr>
              <w:t>M1C1-72sześci</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FBE15FC" w14:textId="77777777" w:rsidR="004C6421" w:rsidRDefault="009D1962">
            <w:pPr>
              <w:pStyle w:val="P68B1DB1-Normal4"/>
              <w:jc w:val="center"/>
              <w:rPr>
                <w:rFonts w:cs="Arial"/>
                <w:noProof/>
              </w:rPr>
            </w:pPr>
            <w:r>
              <w:rPr>
                <w:noProof/>
              </w:rPr>
              <w:t>Reforma 1.11: Zmniejszenie opóźnień w płatnościach dokonywanych przez organy administracji publicznej i służby zdrowia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A5E5BD6" w14:textId="1FCBC708"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F5DAD0" w14:textId="5470AA5C" w:rsidR="004C6421" w:rsidRDefault="009D1962">
            <w:pPr>
              <w:pStyle w:val="P68B1DB1-Normal4"/>
              <w:jc w:val="center"/>
              <w:rPr>
                <w:rFonts w:cs="Arial"/>
                <w:noProof/>
              </w:rPr>
            </w:pPr>
            <w:r>
              <w:rPr>
                <w:noProof/>
              </w:rPr>
              <w:t>Przyjęcie końcowego sprawozdania z audytu planu audytu</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D82EA2" w14:textId="5B324A53" w:rsidR="004C6421" w:rsidRDefault="004C6421">
            <w:pPr>
              <w:jc w:val="center"/>
              <w:rPr>
                <w:rFonts w:ascii="Arial Narrow" w:hAnsi="Arial Narrow"/>
                <w:noProof/>
                <w:color w:val="006100"/>
                <w:sz w:val="20"/>
              </w:rPr>
            </w:pPr>
          </w:p>
          <w:p w14:paraId="1A81EB39" w14:textId="77777777" w:rsidR="004C6421" w:rsidRDefault="009D1962">
            <w:pPr>
              <w:pStyle w:val="P68B1DB1-Normal4"/>
              <w:jc w:val="center"/>
              <w:rPr>
                <w:rFonts w:cs="Arial"/>
                <w:noProof/>
              </w:rPr>
            </w:pPr>
            <w:r>
              <w:rPr>
                <w:noProof/>
              </w:rPr>
              <w:t>Przyjęcie końcowego sprawozdania z audytu planu audytu</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29B28B"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BB320E4"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2018C9E"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07C4F4E" w14:textId="679F48C2"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FB4F3C" w14:textId="77777777" w:rsidR="004C6421" w:rsidRDefault="009D1962">
            <w:pPr>
              <w:pStyle w:val="P68B1DB1-Normal4"/>
              <w:jc w:val="center"/>
              <w:rPr>
                <w:rFonts w:cs="Arial"/>
                <w:noProof/>
              </w:rPr>
            </w:pPr>
            <w:r>
              <w:rPr>
                <w:noProof/>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991B5D" w14:textId="58EF949C" w:rsidR="004C6421" w:rsidRDefault="004C6421">
            <w:pPr>
              <w:spacing w:after="120"/>
              <w:rPr>
                <w:rFonts w:ascii="Arial Narrow" w:hAnsi="Arial Narrow"/>
                <w:noProof/>
                <w:color w:val="006100"/>
                <w:sz w:val="20"/>
              </w:rPr>
            </w:pPr>
          </w:p>
          <w:p w14:paraId="6FBBA01D" w14:textId="7A251B48" w:rsidR="004C6421" w:rsidRDefault="009D1962">
            <w:pPr>
              <w:pStyle w:val="P68B1DB1-Normal4"/>
              <w:spacing w:after="120"/>
              <w:rPr>
                <w:noProof/>
              </w:rPr>
            </w:pPr>
            <w:r>
              <w:rPr>
                <w:noProof/>
              </w:rPr>
              <w:t>Przyjęcie końcowego sprawozdania z audytu planu audytu, w tym środków naprawczych wdrożonych do czwartego kwartału 2025 r. zgodnie z wynikami działań audytowych.</w:t>
            </w:r>
          </w:p>
          <w:p w14:paraId="0BFA76DE" w14:textId="77777777" w:rsidR="004C6421" w:rsidRDefault="004C6421">
            <w:pPr>
              <w:spacing w:after="120"/>
              <w:rPr>
                <w:rFonts w:ascii="Arial Narrow" w:hAnsi="Arial Narrow" w:cs="Arial"/>
                <w:noProof/>
                <w:color w:val="006100"/>
                <w:sz w:val="20"/>
              </w:rPr>
            </w:pPr>
          </w:p>
        </w:tc>
      </w:tr>
      <w:tr w:rsidR="004C6421" w14:paraId="670DAB8A"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C94ABF" w14:textId="77777777" w:rsidR="004C6421" w:rsidRDefault="009D1962">
            <w:pPr>
              <w:pStyle w:val="P68B1DB1-Normal4"/>
              <w:jc w:val="center"/>
              <w:rPr>
                <w:rFonts w:cs="Arial"/>
                <w:noProof/>
              </w:rPr>
            </w:pPr>
            <w:r>
              <w:rPr>
                <w:noProof/>
              </w:rPr>
              <w:t>M1C1-73</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A453E01" w14:textId="77777777" w:rsidR="004C6421" w:rsidRDefault="009D1962">
            <w:pPr>
              <w:pStyle w:val="P68B1DB1-Normal4"/>
              <w:jc w:val="center"/>
              <w:rPr>
                <w:rFonts w:cs="Arial"/>
                <w:noProof/>
              </w:rPr>
            </w:pPr>
            <w:r>
              <w:rPr>
                <w:noProof/>
              </w:rPr>
              <w:t>Reforma 1.10: Reforma ram prawnych dotyczących zamówień publicznych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D68842E" w14:textId="64B725EC"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DA3AE0D" w14:textId="77777777" w:rsidR="004C6421" w:rsidRDefault="009D1962">
            <w:pPr>
              <w:pStyle w:val="P68B1DB1-Normal4"/>
              <w:jc w:val="center"/>
              <w:rPr>
                <w:rFonts w:cs="Arial"/>
                <w:noProof/>
              </w:rPr>
            </w:pPr>
            <w:r>
              <w:rPr>
                <w:noProof/>
              </w:rPr>
              <w:t>Wejście w życie reformy kodeksu zamówień publicznych</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B5924A8" w14:textId="77777777" w:rsidR="004C6421" w:rsidRDefault="009D1962">
            <w:pPr>
              <w:pStyle w:val="P68B1DB1-Normal4"/>
              <w:jc w:val="center"/>
              <w:rPr>
                <w:rFonts w:cs="Arial"/>
                <w:noProof/>
              </w:rPr>
            </w:pPr>
            <w:r>
              <w:rPr>
                <w:noProof/>
              </w:rPr>
              <w:t>Przepis ustawy wskazujący na wejście w życie dekretu ustawodawczego w celu wdrożenia wszystkich przepisów ustawy o delegowaniu zadań w zakresie reformy kodeksu zamówień publicznych.</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E0054A"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37D3EE"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CA2874"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C7EBF8F" w14:textId="6136BAB4" w:rsidR="004C6421" w:rsidRDefault="00CC179E">
            <w:pPr>
              <w:pStyle w:val="P68B1DB1-Normal4"/>
              <w:jc w:val="center"/>
              <w:rPr>
                <w:rFonts w:cs="Arial"/>
                <w:noProof/>
              </w:rPr>
            </w:pPr>
            <w:r>
              <w:rPr>
                <w:noProof/>
              </w:rPr>
              <w:t>KW. 1</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87AD7D" w14:textId="77777777" w:rsidR="004C6421" w:rsidRDefault="009D1962">
            <w:pPr>
              <w:pStyle w:val="P68B1DB1-Normal4"/>
              <w:jc w:val="center"/>
              <w:rPr>
                <w:rFonts w:cs="Arial"/>
                <w:noProof/>
              </w:rPr>
            </w:pPr>
            <w:r>
              <w:rPr>
                <w:noProof/>
              </w:rPr>
              <w:t>2023</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1175466" w14:textId="77777777" w:rsidR="004C6421" w:rsidRDefault="009D1962">
            <w:pPr>
              <w:pStyle w:val="P68B1DB1-Normal4"/>
              <w:spacing w:before="100" w:beforeAutospacing="1" w:after="120"/>
              <w:rPr>
                <w:rFonts w:cs="Arial"/>
                <w:noProof/>
              </w:rPr>
            </w:pPr>
            <w:r>
              <w:rPr>
                <w:noProof/>
              </w:rPr>
              <w:t>Wejście w życie dekretu ustawodawczego w celu wdrożenia wszystkich przepisów ustawy o delegowaniu zadań w celu zreformowania kodeksu zamówień publicznych.</w:t>
            </w:r>
          </w:p>
        </w:tc>
      </w:tr>
      <w:tr w:rsidR="004C6421" w14:paraId="7BEF1144"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27AA8D9" w14:textId="77777777" w:rsidR="004C6421" w:rsidRDefault="009D1962">
            <w:pPr>
              <w:pStyle w:val="P68B1DB1-Normal4"/>
              <w:jc w:val="center"/>
              <w:rPr>
                <w:rFonts w:cs="Arial"/>
                <w:noProof/>
              </w:rPr>
            </w:pPr>
            <w:r>
              <w:rPr>
                <w:noProof/>
              </w:rPr>
              <w:t>M1C1-74</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6AC4CE6" w14:textId="77777777" w:rsidR="004C6421" w:rsidRDefault="009D1962">
            <w:pPr>
              <w:pStyle w:val="P68B1DB1-Normal4"/>
              <w:jc w:val="center"/>
              <w:rPr>
                <w:rFonts w:cs="Arial"/>
                <w:noProof/>
              </w:rPr>
            </w:pPr>
            <w:r>
              <w:rPr>
                <w:noProof/>
              </w:rPr>
              <w:t>Reforma 1.10: Reforma ram prawnych dotyczących zamówień publicznych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0ED2A6" w14:textId="0BA581C8"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B3DB89" w14:textId="77777777" w:rsidR="004C6421" w:rsidRDefault="009D1962">
            <w:pPr>
              <w:pStyle w:val="P68B1DB1-Normal4"/>
              <w:jc w:val="center"/>
              <w:rPr>
                <w:rFonts w:cs="Arial"/>
                <w:noProof/>
              </w:rPr>
            </w:pPr>
            <w:r>
              <w:rPr>
                <w:noProof/>
              </w:rPr>
              <w:t>Wejście w życie wszystkich niezbędnych środków wykonawczych i prawodawstwa wtórnego dotyczących reformy dotyczącej uproszczenia kodeksu zamówień publicznych</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8F9D735" w14:textId="77777777" w:rsidR="004C6421" w:rsidRDefault="009D1962">
            <w:pPr>
              <w:pStyle w:val="P68B1DB1-Normal4"/>
              <w:jc w:val="center"/>
              <w:rPr>
                <w:rFonts w:cs="Arial"/>
                <w:noProof/>
              </w:rPr>
            </w:pPr>
            <w:r>
              <w:rPr>
                <w:noProof/>
              </w:rPr>
              <w:t>Wejście w życie wszystkich niezbędnych środków wykonawczych i prawodawstwa wtórnego</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C1EE2F"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DB6A6C"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8E99E8"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B34FF8"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00FAC24" w14:textId="77777777" w:rsidR="004C6421" w:rsidRDefault="009D1962">
            <w:pPr>
              <w:pStyle w:val="P68B1DB1-Normal4"/>
              <w:jc w:val="center"/>
              <w:rPr>
                <w:rFonts w:cs="Arial"/>
                <w:noProof/>
              </w:rPr>
            </w:pPr>
            <w:r>
              <w:rPr>
                <w:noProof/>
              </w:rPr>
              <w:t>2023</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44BD31E" w14:textId="77777777" w:rsidR="004C6421" w:rsidRDefault="009D1962">
            <w:pPr>
              <w:pStyle w:val="P68B1DB1-Normal4"/>
              <w:spacing w:before="100" w:beforeAutospacing="1" w:after="120"/>
              <w:rPr>
                <w:rFonts w:cs="Arial"/>
                <w:noProof/>
              </w:rPr>
            </w:pPr>
            <w:r>
              <w:rPr>
                <w:noProof/>
              </w:rPr>
              <w:t>Wejście w życie wszystkich niezbędnych środków wykonawczych i prawodawstwa wtórnego dotyczących reformy/uproszczenia systemu zamówień publicznych (wynikających również ze zmiany kodeksu zamówień publicznych).</w:t>
            </w:r>
          </w:p>
        </w:tc>
      </w:tr>
      <w:tr w:rsidR="004C6421" w14:paraId="7A3760E4"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D766912" w14:textId="77777777" w:rsidR="004C6421" w:rsidRDefault="009D1962">
            <w:pPr>
              <w:pStyle w:val="P68B1DB1-Normal4"/>
              <w:spacing w:line="256" w:lineRule="auto"/>
              <w:jc w:val="center"/>
              <w:rPr>
                <w:rFonts w:eastAsia="Arial Narrow" w:cs="Arial Narrow"/>
                <w:noProof/>
              </w:rPr>
            </w:pPr>
            <w:r>
              <w:rPr>
                <w:noProof/>
              </w:rPr>
              <w:t>M1C1-73bis</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A9ABAF" w14:textId="77777777" w:rsidR="004C6421" w:rsidRDefault="009D1962">
            <w:pPr>
              <w:pStyle w:val="P68B1DB1-Normal4"/>
              <w:spacing w:line="256" w:lineRule="auto"/>
              <w:jc w:val="center"/>
              <w:rPr>
                <w:rFonts w:eastAsia="Arial Narrow" w:cs="Arial Narrow"/>
                <w:noProof/>
              </w:rPr>
            </w:pPr>
            <w:r>
              <w:rPr>
                <w:noProof/>
              </w:rPr>
              <w:t>Reforma 1.10: Reforma ram prawnych dotyczących zamówień publicznych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2C31BE" w14:textId="677088D5" w:rsidR="004C6421" w:rsidRDefault="00CC179E">
            <w:pPr>
              <w:pStyle w:val="P68B1DB1-Normal4"/>
              <w:spacing w:line="256" w:lineRule="auto"/>
              <w:jc w:val="center"/>
              <w:rPr>
                <w:rFonts w:eastAsia="Arial Narrow" w:cs="Arial Narrow"/>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47CFF59" w14:textId="5B563E80" w:rsidR="004C6421" w:rsidRDefault="009D1962">
            <w:pPr>
              <w:pStyle w:val="P68B1DB1-Normal4"/>
              <w:spacing w:beforeAutospacing="1" w:after="120" w:line="256" w:lineRule="auto"/>
              <w:jc w:val="center"/>
              <w:rPr>
                <w:rFonts w:eastAsia="Arial Narrow" w:cs="Arial Narrow"/>
                <w:noProof/>
              </w:rPr>
            </w:pPr>
            <w:r>
              <w:rPr>
                <w:noProof/>
              </w:rPr>
              <w:t>Przyjęcie okólnika zawierającego wytyczne dotyczące systemu kwalifikowania dla instytucji zamawiających</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A5CAB16" w14:textId="56C8BEB2" w:rsidR="004C6421" w:rsidRDefault="009D1962">
            <w:pPr>
              <w:pStyle w:val="P68B1DB1-Normal4"/>
              <w:spacing w:beforeAutospacing="1" w:after="120" w:line="256" w:lineRule="auto"/>
              <w:jc w:val="center"/>
              <w:rPr>
                <w:rFonts w:eastAsia="Arial Narrow" w:cs="Arial Narrow"/>
                <w:noProof/>
              </w:rPr>
            </w:pPr>
            <w:r>
              <w:rPr>
                <w:noProof/>
              </w:rPr>
              <w:t>Przyjęcie okólnika zawierającego wytyczne dotyczące systemu kwalifikowania dla instytucji zamawiających</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1C35D8" w14:textId="77777777" w:rsidR="004C6421" w:rsidRDefault="009D1962">
            <w:pPr>
              <w:pStyle w:val="P68B1DB1-Normal4"/>
              <w:spacing w:line="256" w:lineRule="auto"/>
              <w:jc w:val="center"/>
              <w:rPr>
                <w:rFonts w:eastAsia="Arial Narrow" w:cs="Arial Narrow"/>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4A8AEB" w14:textId="77777777" w:rsidR="004C6421" w:rsidRDefault="009D1962">
            <w:pPr>
              <w:pStyle w:val="P68B1DB1-Normal4"/>
              <w:spacing w:line="256" w:lineRule="auto"/>
              <w:jc w:val="center"/>
              <w:rPr>
                <w:rFonts w:eastAsia="Arial Narrow" w:cs="Arial Narrow"/>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C01F22" w14:textId="77777777" w:rsidR="004C6421" w:rsidRDefault="009D1962">
            <w:pPr>
              <w:pStyle w:val="P68B1DB1-Normal4"/>
              <w:spacing w:line="256" w:lineRule="auto"/>
              <w:jc w:val="center"/>
              <w:rPr>
                <w:rFonts w:eastAsia="Arial Narrow" w:cs="Arial Narrow"/>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07712F3" w14:textId="77777777" w:rsidR="004C6421" w:rsidRDefault="009D1962">
            <w:pPr>
              <w:pStyle w:val="P68B1DB1-Normal4"/>
              <w:spacing w:line="256" w:lineRule="auto"/>
              <w:jc w:val="center"/>
              <w:rPr>
                <w:rFonts w:eastAsia="Arial Narrow" w:cs="Arial Narrow"/>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31EC593" w14:textId="77777777" w:rsidR="004C6421" w:rsidRDefault="009D1962">
            <w:pPr>
              <w:pStyle w:val="P68B1DB1-Normal4"/>
              <w:spacing w:line="256" w:lineRule="auto"/>
              <w:jc w:val="center"/>
              <w:rPr>
                <w:rFonts w:eastAsia="Arial Narrow" w:cs="Arial Narrow"/>
                <w:noProof/>
              </w:rPr>
            </w:pPr>
            <w:r>
              <w:rPr>
                <w:noProof/>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E8E7550" w14:textId="4855E959" w:rsidR="004C6421" w:rsidRDefault="009D1962">
            <w:pPr>
              <w:pStyle w:val="P68B1DB1-Normal4"/>
              <w:spacing w:beforeAutospacing="1" w:after="120" w:line="256" w:lineRule="auto"/>
              <w:rPr>
                <w:rFonts w:eastAsia="Arial Narrow" w:cs="Arial Narrow"/>
                <w:noProof/>
              </w:rPr>
            </w:pPr>
            <w:r>
              <w:rPr>
                <w:noProof/>
              </w:rPr>
              <w:t xml:space="preserve">Przyjęcie, po konsultacji z ANAC, okólnika zawierającego wytyczne dotyczące obowiązujących przepisów dotyczących kwalifikacji i centralizacji w celu wyjaśnienia, że kwalifikacja lub korzystanie z centralnych jednostek zakupujących również w przypadku udzielania zamówień poniżej progów jest możliwe i wskazane. </w:t>
            </w:r>
          </w:p>
        </w:tc>
      </w:tr>
      <w:tr w:rsidR="004C6421" w14:paraId="002CCE21"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98CFB12" w14:textId="77777777" w:rsidR="004C6421" w:rsidRDefault="009D1962">
            <w:pPr>
              <w:pStyle w:val="P68B1DB1-Normal4"/>
              <w:jc w:val="center"/>
              <w:rPr>
                <w:rFonts w:cs="Arial"/>
                <w:noProof/>
              </w:rPr>
            </w:pPr>
            <w:r>
              <w:rPr>
                <w:noProof/>
              </w:rPr>
              <w:t>M1C1-73ter</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88BF46" w14:textId="77777777" w:rsidR="004C6421" w:rsidRDefault="009D1962">
            <w:pPr>
              <w:pStyle w:val="P68B1DB1-Normal4"/>
              <w:jc w:val="center"/>
              <w:rPr>
                <w:rFonts w:cs="Arial"/>
                <w:noProof/>
              </w:rPr>
            </w:pPr>
            <w:r>
              <w:rPr>
                <w:noProof/>
              </w:rPr>
              <w:t>Reforma 1.10: Reforma ram prawnych dotyczących zamówień publicznych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91EC32F" w14:textId="633E2F8A" w:rsidR="004C6421" w:rsidRDefault="00CC179E">
            <w:pPr>
              <w:pStyle w:val="P68B1DB1-Normal4"/>
              <w:spacing w:before="100" w:beforeAutospacing="1" w:after="120"/>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C32CB80" w14:textId="77777777" w:rsidR="004C6421" w:rsidRDefault="009D1962">
            <w:pPr>
              <w:pStyle w:val="P68B1DB1-Normal4"/>
              <w:spacing w:before="100" w:beforeAutospacing="1" w:after="120"/>
              <w:jc w:val="center"/>
              <w:rPr>
                <w:rFonts w:cs="Arial"/>
                <w:noProof/>
              </w:rPr>
            </w:pPr>
            <w:r>
              <w:rPr>
                <w:noProof/>
              </w:rPr>
              <w:t>Zachęty do kwalifikacji i profesjonalizacji instytucji zamawiających.</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3B5B6C9" w14:textId="77777777" w:rsidR="004C6421" w:rsidRDefault="009D1962">
            <w:pPr>
              <w:pStyle w:val="P68B1DB1-Normal4"/>
              <w:spacing w:before="100" w:beforeAutospacing="1" w:after="120"/>
              <w:jc w:val="center"/>
              <w:rPr>
                <w:rFonts w:cs="Arial"/>
                <w:noProof/>
              </w:rPr>
            </w:pPr>
            <w:r>
              <w:rPr>
                <w:noProof/>
              </w:rPr>
              <w:t>Przyjęcie środków wykonawczych i przepisów ustawy wskazujących na wejście w życie ustawodawstwa.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D31E2DB"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DD8E159"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49DB7C"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076212D" w14:textId="63B2AB01"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E3A25F" w14:textId="77777777" w:rsidR="004C6421" w:rsidRDefault="009D1962">
            <w:pPr>
              <w:pStyle w:val="P68B1DB1-Normal4"/>
              <w:jc w:val="center"/>
              <w:rPr>
                <w:rFonts w:cs="Arial"/>
                <w:noProof/>
              </w:rPr>
            </w:pPr>
            <w:r>
              <w:rPr>
                <w:noProof/>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DD90D59" w14:textId="77777777" w:rsidR="004C6421" w:rsidRDefault="009D1962">
            <w:pPr>
              <w:pStyle w:val="P68B1DB1-Normal4"/>
              <w:spacing w:before="100" w:beforeAutospacing="1" w:after="120"/>
              <w:rPr>
                <w:rFonts w:cs="Arial"/>
                <w:noProof/>
              </w:rPr>
            </w:pPr>
            <w:r>
              <w:rPr>
                <w:noProof/>
              </w:rPr>
              <w:t xml:space="preserve">Ocena przez Cabina di Regia ex art. 221 kodeksu zamówień publicznych, po konsultacji z ANAC, wpływu wdrożenia kodeksu zamówień publicznych na: </w:t>
            </w:r>
          </w:p>
          <w:p w14:paraId="6AE1EC51" w14:textId="77777777" w:rsidR="004C6421" w:rsidRDefault="009D1962">
            <w:pPr>
              <w:pStyle w:val="P68B1DB1-ListParagraph5"/>
              <w:numPr>
                <w:ilvl w:val="0"/>
                <w:numId w:val="133"/>
              </w:numPr>
              <w:spacing w:before="100" w:beforeAutospacing="1"/>
              <w:jc w:val="left"/>
              <w:rPr>
                <w:rFonts w:cs="Arial"/>
                <w:noProof/>
              </w:rPr>
            </w:pPr>
            <w:r>
              <w:rPr>
                <w:noProof/>
              </w:rPr>
              <w:t xml:space="preserve">liczbę kwalifikujących się instytucji zamawiających i scentralizowanych jednostek zakupujących; </w:t>
            </w:r>
          </w:p>
          <w:p w14:paraId="7833C939" w14:textId="77777777" w:rsidR="004C6421" w:rsidRDefault="009D1962">
            <w:pPr>
              <w:pStyle w:val="P68B1DB1-ListParagraph5"/>
              <w:numPr>
                <w:ilvl w:val="0"/>
                <w:numId w:val="133"/>
              </w:numPr>
              <w:spacing w:before="100" w:beforeAutospacing="1"/>
              <w:jc w:val="left"/>
              <w:rPr>
                <w:rFonts w:cs="Arial"/>
                <w:noProof/>
              </w:rPr>
            </w:pPr>
            <w:r>
              <w:rPr>
                <w:noProof/>
              </w:rPr>
              <w:t xml:space="preserve">liczbę i wartość zamówień publicznych, którymi zarządzają we własnym imieniu i w imieniu podmiotów niekwalifikowanych; </w:t>
            </w:r>
          </w:p>
          <w:p w14:paraId="75BB7BD3" w14:textId="77777777" w:rsidR="004C6421" w:rsidRDefault="009D1962">
            <w:pPr>
              <w:pStyle w:val="P68B1DB1-ListParagraph5"/>
              <w:numPr>
                <w:ilvl w:val="0"/>
                <w:numId w:val="133"/>
              </w:numPr>
              <w:spacing w:before="100" w:beforeAutospacing="1"/>
              <w:jc w:val="left"/>
              <w:rPr>
                <w:rFonts w:cs="Arial"/>
                <w:noProof/>
              </w:rPr>
            </w:pPr>
            <w:r>
              <w:rPr>
                <w:noProof/>
              </w:rPr>
              <w:t xml:space="preserve">wpływ systemu na terminy udzielania i realizacji zamówień publicznych.  </w:t>
            </w:r>
          </w:p>
          <w:p w14:paraId="348A520D" w14:textId="77777777" w:rsidR="004C6421" w:rsidRDefault="009D1962">
            <w:pPr>
              <w:pStyle w:val="P68B1DB1-Normal4"/>
              <w:spacing w:before="100" w:beforeAutospacing="1" w:after="120"/>
              <w:rPr>
                <w:rFonts w:cs="Arial"/>
                <w:noProof/>
              </w:rPr>
            </w:pPr>
            <w:r>
              <w:rPr>
                <w:noProof/>
              </w:rPr>
              <w:t xml:space="preserve">Publikacja wyników przyporządkowania udziału podmiotów niekwalifikowanych w działaniach w zakresie budowania zdolności. </w:t>
            </w:r>
          </w:p>
          <w:p w14:paraId="397A9510" w14:textId="77777777" w:rsidR="004C6421" w:rsidRDefault="009D1962">
            <w:pPr>
              <w:pStyle w:val="P68B1DB1-Normal4"/>
              <w:spacing w:before="100" w:beforeAutospacing="1" w:after="120"/>
              <w:rPr>
                <w:rFonts w:cs="Arial"/>
                <w:noProof/>
              </w:rPr>
            </w:pPr>
            <w:r>
              <w:rPr>
                <w:noProof/>
              </w:rPr>
              <w:t>Po konsultacji z ANAC należy przyjąć dalsze inicjatywy mające na celu zachęcanie do kwalifikacji instytucji zamawiających, ograniczenie fragmentacji i profesjonalizację podmiotów niekwalifikowanych.</w:t>
            </w:r>
          </w:p>
          <w:p w14:paraId="2EB56692" w14:textId="77777777" w:rsidR="004C6421" w:rsidRDefault="009D1962">
            <w:pPr>
              <w:pStyle w:val="P68B1DB1-Normal4"/>
              <w:spacing w:before="100" w:beforeAutospacing="1" w:after="120"/>
              <w:rPr>
                <w:rFonts w:cs="Arial"/>
                <w:noProof/>
              </w:rPr>
            </w:pPr>
            <w:r>
              <w:rPr>
                <w:noProof/>
              </w:rPr>
              <w:t>W przypadku gdy centralizacja nie jest dostępna lub wykonalna, należy przyjąć i uruchomić dalsze instrumenty wsparcia technicznego/administracyjnego dla lokalnych lub niekwalifikowanych instytucji zamawiających.</w:t>
            </w:r>
          </w:p>
        </w:tc>
      </w:tr>
      <w:tr w:rsidR="004C6421" w14:paraId="50482B2C"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EC685B" w14:textId="77777777" w:rsidR="004C6421" w:rsidRDefault="009D1962">
            <w:pPr>
              <w:pStyle w:val="P68B1DB1-Normal4"/>
              <w:jc w:val="center"/>
              <w:rPr>
                <w:rFonts w:cs="Arial"/>
                <w:noProof/>
              </w:rPr>
            </w:pPr>
            <w:r>
              <w:rPr>
                <w:noProof/>
              </w:rPr>
              <w:t>M1C1-73quater</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56C56E1" w14:textId="77777777" w:rsidR="004C6421" w:rsidRDefault="009D1962">
            <w:pPr>
              <w:pStyle w:val="P68B1DB1-Normal4"/>
              <w:jc w:val="center"/>
              <w:rPr>
                <w:rFonts w:cs="Arial"/>
                <w:noProof/>
              </w:rPr>
            </w:pPr>
            <w:r>
              <w:rPr>
                <w:noProof/>
              </w:rPr>
              <w:t>Reforma 1.10: Reforma ram prawnych dotyczących zamówień publicznych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4DEC93" w14:textId="58573874"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079A08A" w14:textId="77777777" w:rsidR="004C6421" w:rsidRDefault="009D1962">
            <w:pPr>
              <w:pStyle w:val="P68B1DB1-Normal4"/>
              <w:spacing w:before="100" w:beforeAutospacing="1" w:after="120"/>
              <w:jc w:val="center"/>
              <w:rPr>
                <w:rFonts w:cs="Arial"/>
                <w:noProof/>
              </w:rPr>
            </w:pPr>
            <w:r>
              <w:rPr>
                <w:noProof/>
              </w:rPr>
              <w:t>Wejście w życie wytycznych dotyczących zamówień poniżej progu UE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5109F82" w14:textId="77777777" w:rsidR="004C6421" w:rsidRDefault="009D1962">
            <w:pPr>
              <w:pStyle w:val="P68B1DB1-Normal4"/>
              <w:spacing w:before="100" w:beforeAutospacing="1" w:after="120"/>
              <w:jc w:val="center"/>
              <w:rPr>
                <w:rFonts w:cs="Arial"/>
                <w:noProof/>
              </w:rPr>
            </w:pPr>
            <w:r>
              <w:rPr>
                <w:noProof/>
              </w:rPr>
              <w:t>Wejście w życie wytycznych dotyczących zamówień poniżej progu UE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9C3FBBE"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E9D86BC"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46A48C"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D238F49" w14:textId="251D93FB"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83CCA40" w14:textId="77777777" w:rsidR="004C6421" w:rsidRDefault="009D1962">
            <w:pPr>
              <w:pStyle w:val="P68B1DB1-Normal4"/>
              <w:jc w:val="center"/>
              <w:rPr>
                <w:rFonts w:cs="Arial"/>
                <w:noProof/>
              </w:rPr>
            </w:pPr>
            <w:r>
              <w:rPr>
                <w:noProof/>
              </w:rPr>
              <w:t>2023</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27ADED" w14:textId="77777777" w:rsidR="004C6421" w:rsidRDefault="009D1962">
            <w:pPr>
              <w:pStyle w:val="P68B1DB1-Normal4"/>
              <w:spacing w:before="100" w:beforeAutospacing="1" w:after="120"/>
              <w:rPr>
                <w:rFonts w:cs="Arial"/>
                <w:noProof/>
              </w:rPr>
            </w:pPr>
            <w:r>
              <w:rPr>
                <w:noProof/>
              </w:rPr>
              <w:t>Okólnik w sprawie zamówień poniżej progu UE przyjęty i opublikowany we włoskim Dzienniku Urzędowym. W okólniku wyjaśnia się, że instytucje zamawiające mogą stosować procedury otwarte i ograniczone w odniesieniu do zamówień poniżej progu UE.</w:t>
            </w:r>
          </w:p>
        </w:tc>
      </w:tr>
      <w:tr w:rsidR="004C6421" w14:paraId="37A39D00"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BAD1B29" w14:textId="77777777" w:rsidR="004C6421" w:rsidRDefault="009D1962">
            <w:pPr>
              <w:pStyle w:val="P68B1DB1-Normal4"/>
              <w:jc w:val="center"/>
              <w:rPr>
                <w:rFonts w:cs="Arial"/>
                <w:noProof/>
              </w:rPr>
            </w:pPr>
            <w:r>
              <w:rPr>
                <w:noProof/>
              </w:rPr>
              <w:t>M1C1-73quinquies</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AF7EE7A" w14:textId="77777777" w:rsidR="004C6421" w:rsidRDefault="009D1962">
            <w:pPr>
              <w:pStyle w:val="P68B1DB1-Normal4"/>
              <w:jc w:val="center"/>
              <w:rPr>
                <w:rFonts w:cs="Arial"/>
                <w:noProof/>
              </w:rPr>
            </w:pPr>
            <w:r>
              <w:rPr>
                <w:noProof/>
              </w:rPr>
              <w:t>Reforma 1.10: Reforma ram prawnych dotyczących zamówień publicznych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4849E74" w14:textId="7AC2D5DA"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BFA3B3" w14:textId="77777777" w:rsidR="004C6421" w:rsidRDefault="009D1962">
            <w:pPr>
              <w:pStyle w:val="P68B1DB1-Normal4"/>
              <w:spacing w:before="100" w:beforeAutospacing="1" w:after="120"/>
              <w:jc w:val="center"/>
              <w:rPr>
                <w:rFonts w:cs="Arial"/>
                <w:noProof/>
              </w:rPr>
            </w:pPr>
            <w:r>
              <w:rPr>
                <w:noProof/>
              </w:rPr>
              <w:t>Wejście w życie nowych przepisów prawnych dotyczących finansowania projektów</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8F808E2" w14:textId="77777777" w:rsidR="004C6421" w:rsidRDefault="009D1962">
            <w:pPr>
              <w:pStyle w:val="P68B1DB1-Normal4"/>
              <w:spacing w:before="100" w:beforeAutospacing="1" w:after="120"/>
              <w:jc w:val="center"/>
              <w:rPr>
                <w:rFonts w:cs="Arial"/>
                <w:noProof/>
              </w:rPr>
            </w:pPr>
            <w:r>
              <w:rPr>
                <w:noProof/>
              </w:rPr>
              <w:t>Przepis prawa wskazujący na wejście w życie nowych przepisów prawnych</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798D81"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836920A"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8D4CFF"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CF916D" w14:textId="1F930BF3"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10AE4AF" w14:textId="77777777" w:rsidR="004C6421" w:rsidRDefault="009D1962">
            <w:pPr>
              <w:pStyle w:val="P68B1DB1-Normal4"/>
              <w:jc w:val="center"/>
              <w:rPr>
                <w:rFonts w:cs="Arial"/>
                <w:noProof/>
              </w:rPr>
            </w:pPr>
            <w:r>
              <w:rPr>
                <w:noProof/>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9F3C39A" w14:textId="77777777" w:rsidR="004C6421" w:rsidRDefault="009D1962">
            <w:pPr>
              <w:pStyle w:val="P68B1DB1-Normal4"/>
              <w:spacing w:before="100" w:beforeAutospacing="1" w:after="120"/>
              <w:rPr>
                <w:rFonts w:cs="Arial"/>
                <w:noProof/>
              </w:rPr>
            </w:pPr>
            <w:r>
              <w:rPr>
                <w:noProof/>
              </w:rPr>
              <w:t>Wejście w życie nowych przepisów prawnych dotyczących finansowania projektów mających na celu zwiększenie wydajności i konkurencji, w szczególności zwiększenie kontestowalności koncesji.</w:t>
            </w:r>
          </w:p>
        </w:tc>
      </w:tr>
      <w:tr w:rsidR="004C6421" w14:paraId="2FE698F7"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ACAD4DE" w14:textId="77777777" w:rsidR="004C6421" w:rsidRDefault="009D1962">
            <w:pPr>
              <w:pStyle w:val="P68B1DB1-Normal4"/>
              <w:jc w:val="center"/>
              <w:rPr>
                <w:rFonts w:cs="Arial"/>
                <w:noProof/>
              </w:rPr>
            </w:pPr>
            <w:r>
              <w:rPr>
                <w:noProof/>
              </w:rPr>
              <w:t>M1C1-75</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2550BEE" w14:textId="77777777" w:rsidR="004C6421" w:rsidRDefault="009D1962">
            <w:pPr>
              <w:pStyle w:val="P68B1DB1-Normal4"/>
              <w:jc w:val="center"/>
              <w:rPr>
                <w:rFonts w:cs="Arial"/>
                <w:noProof/>
              </w:rPr>
            </w:pPr>
            <w:r>
              <w:rPr>
                <w:noProof/>
              </w:rPr>
              <w:t>Reforma 1.10: Reforma ram prawnych dotyczących zamówień publicznych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3B7AE02" w14:textId="673E3793"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9B6900" w14:textId="77777777" w:rsidR="004C6421" w:rsidRDefault="009D1962">
            <w:pPr>
              <w:pStyle w:val="P68B1DB1-Normal4"/>
              <w:jc w:val="center"/>
              <w:rPr>
                <w:rFonts w:cs="Arial"/>
                <w:noProof/>
              </w:rPr>
            </w:pPr>
            <w:r>
              <w:rPr>
                <w:noProof/>
              </w:rPr>
              <w:t>Pełne funkcjonowanie krajowego systemu e-zamówień</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D1822E0" w14:textId="77777777" w:rsidR="004C6421" w:rsidRDefault="009D1962">
            <w:pPr>
              <w:pStyle w:val="P68B1DB1-Normal4"/>
              <w:jc w:val="center"/>
              <w:rPr>
                <w:rFonts w:cs="Arial"/>
                <w:noProof/>
              </w:rPr>
            </w:pPr>
            <w:r>
              <w:rPr>
                <w:noProof/>
              </w:rPr>
              <w:t>Dostępność funkcji określonych w studium wykonalności (do opracowania jako zadanie projektu 1)</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FEF193"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C86542A"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57BF33"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94EEF9A" w14:textId="58E6FB7C"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4ACC40" w14:textId="77777777" w:rsidR="004C6421" w:rsidRDefault="009D1962">
            <w:pPr>
              <w:pStyle w:val="P68B1DB1-Normal4"/>
              <w:jc w:val="center"/>
              <w:rPr>
                <w:rFonts w:cs="Arial"/>
                <w:noProof/>
              </w:rPr>
            </w:pPr>
            <w:r>
              <w:rPr>
                <w:noProof/>
              </w:rPr>
              <w:t>2023</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8A7CE7" w14:textId="77777777" w:rsidR="004C6421" w:rsidRDefault="009D1962">
            <w:pPr>
              <w:pStyle w:val="P68B1DB1-Normal4"/>
              <w:spacing w:before="100" w:beforeAutospacing="1" w:after="120"/>
              <w:rPr>
                <w:rFonts w:cs="Arial"/>
                <w:noProof/>
              </w:rPr>
            </w:pPr>
            <w:r>
              <w:rPr>
                <w:noProof/>
              </w:rPr>
              <w:t>Krajowy system e-zamówień musi być operacyjny i w pełni zgodny z dyrektywami UE w sprawie zamówień publicznych oraz obejmować pełną cyfryzację procedur aż do wykonania zamówienia (inteligentne zamówienia), musi być interoperacyjny z systemami zarządzania administracji publicznej, obejmować cyfrową habilitację organizacji producentów, sesje aukcyjne, uczenie się maszyn w celu wykrywania tendencji, CRM z chatbotami, zaangażowanie cyfrowe i łańcuch statusu.</w:t>
            </w:r>
          </w:p>
        </w:tc>
      </w:tr>
      <w:tr w:rsidR="004C6421" w14:paraId="03151CB9"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C86F68D" w14:textId="77777777" w:rsidR="004C6421" w:rsidRDefault="009D1962">
            <w:pPr>
              <w:pStyle w:val="P68B1DB1-Normal4"/>
              <w:jc w:val="center"/>
              <w:rPr>
                <w:rFonts w:cs="Arial"/>
                <w:noProof/>
              </w:rPr>
            </w:pPr>
            <w:r>
              <w:rPr>
                <w:noProof/>
              </w:rPr>
              <w:t>M1C1-75bis</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AD4941" w14:textId="77777777" w:rsidR="004C6421" w:rsidRDefault="009D1962">
            <w:pPr>
              <w:pStyle w:val="P68B1DB1-Normal4"/>
              <w:jc w:val="center"/>
              <w:rPr>
                <w:rFonts w:cs="Arial"/>
                <w:noProof/>
              </w:rPr>
            </w:pPr>
            <w:r>
              <w:rPr>
                <w:noProof/>
              </w:rPr>
              <w:t>Inwestycja 1.10: Wsparcie na rzecz kwalifikacji i e-zamówień</w:t>
            </w:r>
          </w:p>
          <w:p w14:paraId="32E007C6" w14:textId="77777777" w:rsidR="004C6421" w:rsidRDefault="004C6421">
            <w:pPr>
              <w:jc w:val="center"/>
              <w:rPr>
                <w:rFonts w:ascii="Arial Narrow" w:hAnsi="Arial Narrow" w:cs="Arial"/>
                <w:noProof/>
                <w:color w:val="006100"/>
                <w:sz w:val="20"/>
              </w:rPr>
            </w:pP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970381" w14:textId="304AB245"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6E5E21" w14:textId="77777777" w:rsidR="004C6421" w:rsidRDefault="009D1962">
            <w:pPr>
              <w:pStyle w:val="P68B1DB1-Normal4"/>
              <w:jc w:val="center"/>
              <w:rPr>
                <w:rFonts w:cs="Arial"/>
                <w:noProof/>
              </w:rPr>
            </w:pPr>
            <w:r>
              <w:rPr>
                <w:noProof/>
              </w:rPr>
              <w:t>Wsparcie na rzecz kwalifikacji i e-zamówień</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01DF1E7" w14:textId="77777777" w:rsidR="004C6421" w:rsidRDefault="009D1962">
            <w:pPr>
              <w:pStyle w:val="P68B1DB1-Normal4"/>
              <w:jc w:val="center"/>
              <w:rPr>
                <w:rFonts w:cs="Arial"/>
                <w:noProof/>
              </w:rPr>
            </w:pPr>
            <w:r>
              <w:rPr>
                <w:noProof/>
              </w:rPr>
              <w:t xml:space="preserve">Oddanie do użytku funkcji wspierającej zamówienia </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D6038F"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8535A38"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0B8E4F2"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033E026" w14:textId="3CA5BBF6"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12AC92E" w14:textId="77777777" w:rsidR="004C6421" w:rsidRDefault="009D1962">
            <w:pPr>
              <w:pStyle w:val="P68B1DB1-Normal4"/>
              <w:jc w:val="center"/>
              <w:rPr>
                <w:rFonts w:cs="Arial"/>
                <w:noProof/>
              </w:rPr>
            </w:pPr>
            <w:r>
              <w:rPr>
                <w:noProof/>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74A61A" w14:textId="77777777" w:rsidR="004C6421" w:rsidRDefault="009D1962">
            <w:pPr>
              <w:pStyle w:val="P68B1DB1-Normal4"/>
              <w:spacing w:before="100" w:beforeAutospacing="1" w:after="120"/>
              <w:rPr>
                <w:rFonts w:cs="Arial"/>
                <w:noProof/>
              </w:rPr>
            </w:pPr>
            <w:r>
              <w:rPr>
                <w:noProof/>
              </w:rPr>
              <w:t>W ramach strategii profesjonalizacji nabywców publicznych ustanawia się funkcję wspierającą zamówienia publiczne. Funkcja wspierająca zamówienia jest przeznaczona dla instytucji zamawiających w celu spełnienia wymogów określonych w załączniku II.4 do kodeksu zamówień publicznych oraz wspierania ich w procesie e-zamówień, wspierania nabywania umiejętności cyfrowych i zapewniania wsparcia technicznego w przyjmowaniu cyfryzacji zamówień publicznych, w tym w korzystaniu z dynamicznych systemów zakupów.</w:t>
            </w:r>
          </w:p>
        </w:tc>
      </w:tr>
      <w:tr w:rsidR="004C6421" w14:paraId="38CC81A6"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FBA08D" w14:textId="77777777" w:rsidR="004C6421" w:rsidRDefault="009D1962">
            <w:pPr>
              <w:pStyle w:val="P68B1DB1-Normal4"/>
              <w:jc w:val="center"/>
              <w:rPr>
                <w:rFonts w:cs="Arial"/>
                <w:noProof/>
              </w:rPr>
            </w:pPr>
            <w:r>
              <w:rPr>
                <w:noProof/>
              </w:rPr>
              <w:t>M1C1-76</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F4B15AB" w14:textId="77777777" w:rsidR="004C6421" w:rsidRDefault="009D1962">
            <w:pPr>
              <w:pStyle w:val="P68B1DB1-Normal4"/>
              <w:jc w:val="center"/>
              <w:rPr>
                <w:rFonts w:cs="Arial"/>
                <w:noProof/>
              </w:rPr>
            </w:pPr>
            <w:r>
              <w:rPr>
                <w:noProof/>
              </w:rPr>
              <w:t>Reforma 1.11: Zmniejszenie opóźnień w płatnościach dokonywanych przez organy administracji publicznej i służby zdrowia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8B26CC"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5C4C9C" w14:textId="77777777" w:rsidR="004C6421" w:rsidRDefault="009D1962">
            <w:pPr>
              <w:pStyle w:val="P68B1DB1-Normal4"/>
              <w:jc w:val="center"/>
              <w:rPr>
                <w:rFonts w:cs="Arial"/>
                <w:noProof/>
              </w:rPr>
            </w:pPr>
            <w:r>
              <w:rPr>
                <w:noProof/>
              </w:rPr>
              <w:t>Średnia liczba dni, w których centralne organy administracji publicznej mogą płacić przedsiębiorstwom, została zmniejszona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EF3B0BF"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D07272" w14:textId="77777777" w:rsidR="004C6421" w:rsidRDefault="009D1962">
            <w:pPr>
              <w:pStyle w:val="P68B1DB1-Normal4"/>
              <w:jc w:val="center"/>
              <w:rPr>
                <w:rFonts w:cs="Arial"/>
                <w:noProof/>
              </w:rPr>
            </w:pPr>
            <w:r>
              <w:rPr>
                <w:noProof/>
              </w:rPr>
              <w:t>Średni ważony czas płatności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8C337D6"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41DDF8" w14:textId="77777777" w:rsidR="004C6421" w:rsidRDefault="009D1962">
            <w:pPr>
              <w:pStyle w:val="P68B1DB1-Normal4"/>
              <w:jc w:val="center"/>
              <w:rPr>
                <w:rFonts w:cs="Arial"/>
                <w:noProof/>
              </w:rPr>
            </w:pPr>
            <w:r>
              <w:rPr>
                <w:noProof/>
              </w:rPr>
              <w:t>30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DED22AC" w14:textId="3D289D5D" w:rsidR="004C6421" w:rsidRDefault="00CC179E">
            <w:pPr>
              <w:pStyle w:val="P68B1DB1-Normal4"/>
              <w:jc w:val="center"/>
              <w:rPr>
                <w:rFonts w:cs="Arial"/>
                <w:noProof/>
              </w:rPr>
            </w:pPr>
            <w:r>
              <w:rPr>
                <w:noProof/>
              </w:rPr>
              <w:t>KW. 1</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D580770" w14:textId="77777777" w:rsidR="004C6421" w:rsidRDefault="009D1962">
            <w:pPr>
              <w:pStyle w:val="P68B1DB1-Normal4"/>
              <w:jc w:val="center"/>
              <w:rPr>
                <w:rFonts w:cs="Arial"/>
                <w:noProof/>
              </w:rPr>
            </w:pPr>
            <w:r>
              <w:rPr>
                <w:noProof/>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5221D57" w14:textId="77777777" w:rsidR="004C6421" w:rsidRDefault="009D1962">
            <w:pPr>
              <w:pStyle w:val="P68B1DB1-Normal4"/>
              <w:spacing w:before="100" w:beforeAutospacing="1" w:after="120"/>
              <w:rPr>
                <w:rFonts w:cs="Arial"/>
                <w:noProof/>
              </w:rPr>
            </w:pPr>
            <w:r>
              <w:rPr>
                <w:noProof/>
              </w:rPr>
              <w:t>W oparciu o platformę kredytów komercyjnych średni ważony czas płatności („tempo di pagamento”) centralnych organów publicznych (</w:t>
            </w:r>
            <w:r>
              <w:rPr>
                <w:i/>
                <w:noProof/>
              </w:rPr>
              <w:t>Amministrazioni dello Stato, enti pubblici nazionali e altri enti enti</w:t>
            </w:r>
            <w:r>
              <w:rPr>
                <w:noProof/>
              </w:rPr>
              <w:t>) na rzecz przedsiębiorstw nie przekracza 30 dni.</w:t>
            </w:r>
          </w:p>
        </w:tc>
      </w:tr>
      <w:tr w:rsidR="004C6421" w14:paraId="6D509E2A"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8969EA4" w14:textId="77777777" w:rsidR="004C6421" w:rsidRDefault="009D1962">
            <w:pPr>
              <w:pStyle w:val="P68B1DB1-Normal4"/>
              <w:jc w:val="center"/>
              <w:rPr>
                <w:rFonts w:cs="Arial"/>
                <w:noProof/>
              </w:rPr>
            </w:pPr>
            <w:r>
              <w:rPr>
                <w:noProof/>
              </w:rPr>
              <w:t>M1C1-77</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50AB2E" w14:textId="77777777" w:rsidR="004C6421" w:rsidRDefault="009D1962">
            <w:pPr>
              <w:pStyle w:val="P68B1DB1-Normal4"/>
              <w:jc w:val="center"/>
              <w:rPr>
                <w:rFonts w:cs="Arial"/>
                <w:noProof/>
              </w:rPr>
            </w:pPr>
            <w:r>
              <w:rPr>
                <w:noProof/>
              </w:rPr>
              <w:t>Reforma 1.11: Zmniejszenie opóźnień w płatnościach dokonywanych przez organy administracji publicznej i służby zdrowia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C3E6FD"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0816B9A" w14:textId="77777777" w:rsidR="004C6421" w:rsidRDefault="009D1962">
            <w:pPr>
              <w:pStyle w:val="P68B1DB1-Normal4"/>
              <w:jc w:val="center"/>
              <w:rPr>
                <w:rFonts w:cs="Arial"/>
                <w:noProof/>
              </w:rPr>
            </w:pPr>
            <w:r>
              <w:rPr>
                <w:noProof/>
              </w:rPr>
              <w:t>Średnia liczba dni, w których regionalne organy administracji publicznej mogą płacić przedsiębiorstwom, została zmniejszona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009B7CE"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DD30E8" w14:textId="77777777" w:rsidR="004C6421" w:rsidRDefault="009D1962">
            <w:pPr>
              <w:pStyle w:val="P68B1DB1-Normal4"/>
              <w:jc w:val="center"/>
              <w:rPr>
                <w:rFonts w:cs="Arial"/>
                <w:noProof/>
              </w:rPr>
            </w:pPr>
            <w:r>
              <w:rPr>
                <w:noProof/>
              </w:rPr>
              <w:t>Średni ważony czas płatności (w dniach)</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3A9EA4F"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8E8AC1" w14:textId="77777777" w:rsidR="004C6421" w:rsidRDefault="009D1962">
            <w:pPr>
              <w:pStyle w:val="P68B1DB1-Normal4"/>
              <w:jc w:val="center"/>
              <w:rPr>
                <w:rFonts w:cs="Arial"/>
                <w:noProof/>
              </w:rPr>
            </w:pPr>
            <w:r>
              <w:rPr>
                <w:noProof/>
              </w:rPr>
              <w:t>30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6DCE79" w14:textId="5A29E02F" w:rsidR="004C6421" w:rsidRDefault="00CC179E">
            <w:pPr>
              <w:pStyle w:val="P68B1DB1-Normal4"/>
              <w:jc w:val="center"/>
              <w:rPr>
                <w:rFonts w:cs="Arial"/>
                <w:noProof/>
              </w:rPr>
            </w:pPr>
            <w:r>
              <w:rPr>
                <w:noProof/>
              </w:rPr>
              <w:t>KW. 1</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296F949" w14:textId="77777777" w:rsidR="004C6421" w:rsidRDefault="009D1962">
            <w:pPr>
              <w:pStyle w:val="P68B1DB1-Normal4"/>
              <w:jc w:val="center"/>
              <w:rPr>
                <w:rFonts w:cs="Arial"/>
                <w:noProof/>
              </w:rPr>
            </w:pPr>
            <w:r>
              <w:rPr>
                <w:noProof/>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E62CC6" w14:textId="77777777" w:rsidR="004C6421" w:rsidRDefault="009D1962">
            <w:pPr>
              <w:pStyle w:val="P68B1DB1-Normal4"/>
              <w:spacing w:before="100" w:beforeAutospacing="1" w:after="120"/>
              <w:rPr>
                <w:rFonts w:cs="Arial"/>
                <w:noProof/>
              </w:rPr>
            </w:pPr>
            <w:r>
              <w:rPr>
                <w:noProof/>
              </w:rPr>
              <w:t>Na podstawie platformy kredytów komercyjnych (PCC) średni ważony czas płatności („tempo di pagamento”) regionalnych organów publicznych</w:t>
            </w:r>
            <w:r>
              <w:rPr>
                <w:i/>
                <w:noProof/>
              </w:rPr>
              <w:t>(regioni i prowincja Autonome</w:t>
            </w:r>
            <w:r>
              <w:rPr>
                <w:noProof/>
              </w:rPr>
              <w:t>) na rzecz przedsiębiorstw nie przekracza 30 dni.</w:t>
            </w:r>
          </w:p>
        </w:tc>
      </w:tr>
      <w:tr w:rsidR="004C6421" w14:paraId="4799736F"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8D0A339" w14:textId="77777777" w:rsidR="004C6421" w:rsidRDefault="009D1962">
            <w:pPr>
              <w:pStyle w:val="P68B1DB1-Normal4"/>
              <w:jc w:val="center"/>
              <w:rPr>
                <w:rFonts w:cs="Arial"/>
                <w:noProof/>
              </w:rPr>
            </w:pPr>
            <w:r>
              <w:rPr>
                <w:noProof/>
              </w:rPr>
              <w:t>M1C1-78</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712A631" w14:textId="77777777" w:rsidR="004C6421" w:rsidRDefault="009D1962">
            <w:pPr>
              <w:pStyle w:val="P68B1DB1-Normal4"/>
              <w:jc w:val="center"/>
              <w:rPr>
                <w:rFonts w:cs="Arial"/>
                <w:noProof/>
              </w:rPr>
            </w:pPr>
            <w:r>
              <w:rPr>
                <w:noProof/>
              </w:rPr>
              <w:t>Reforma 1.11: Zmniejszenie opóźnień w płatnościach dokonywanych przez organy administracji publicznej i służby zdrowia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7E492A"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4C9C646" w14:textId="77777777" w:rsidR="004C6421" w:rsidRDefault="009D1962">
            <w:pPr>
              <w:pStyle w:val="P68B1DB1-Normal4"/>
              <w:jc w:val="center"/>
              <w:rPr>
                <w:rFonts w:cs="Arial"/>
                <w:noProof/>
              </w:rPr>
            </w:pPr>
            <w:r>
              <w:rPr>
                <w:noProof/>
              </w:rPr>
              <w:t>Średnia liczba dni, w których lokalne organy administracji publicznej mogą płacić przedsiębiorstwom, została zmniejszona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C82234"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7D4F643" w14:textId="77777777" w:rsidR="004C6421" w:rsidRDefault="009D1962">
            <w:pPr>
              <w:pStyle w:val="P68B1DB1-Normal4"/>
              <w:jc w:val="center"/>
              <w:rPr>
                <w:rFonts w:eastAsiaTheme="minorEastAsia" w:cs="Arial"/>
                <w:noProof/>
              </w:rPr>
            </w:pPr>
            <w:r>
              <w:rPr>
                <w:noProof/>
              </w:rPr>
              <w:t>Średni ważony czas płatności</w:t>
            </w:r>
          </w:p>
          <w:p w14:paraId="6FF84C37" w14:textId="77777777" w:rsidR="004C6421" w:rsidRDefault="009D1962">
            <w:pPr>
              <w:pStyle w:val="P68B1DB1-Normal4"/>
              <w:jc w:val="center"/>
              <w:rPr>
                <w:rFonts w:cs="Arial"/>
                <w:noProof/>
              </w:rPr>
            </w:pPr>
            <w:r>
              <w:rPr>
                <w:noProof/>
              </w:rPr>
              <w:t>(w dniach)</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390DF0E"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7C9E658" w14:textId="77777777" w:rsidR="004C6421" w:rsidRDefault="009D1962">
            <w:pPr>
              <w:pStyle w:val="P68B1DB1-Normal4"/>
              <w:jc w:val="center"/>
              <w:rPr>
                <w:rFonts w:cs="Arial"/>
                <w:noProof/>
              </w:rPr>
            </w:pPr>
            <w:r>
              <w:rPr>
                <w:noProof/>
              </w:rPr>
              <w:t>30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79671AB" w14:textId="138A5E64" w:rsidR="004C6421" w:rsidRDefault="00CC179E">
            <w:pPr>
              <w:pStyle w:val="P68B1DB1-Normal4"/>
              <w:jc w:val="center"/>
              <w:rPr>
                <w:rFonts w:cs="Arial"/>
                <w:noProof/>
              </w:rPr>
            </w:pPr>
            <w:r>
              <w:rPr>
                <w:noProof/>
              </w:rPr>
              <w:t>KW. 1</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9393B3" w14:textId="77777777" w:rsidR="004C6421" w:rsidRDefault="009D1962">
            <w:pPr>
              <w:pStyle w:val="P68B1DB1-Normal4"/>
              <w:jc w:val="center"/>
              <w:rPr>
                <w:rFonts w:cs="Arial"/>
                <w:noProof/>
              </w:rPr>
            </w:pPr>
            <w:r>
              <w:rPr>
                <w:noProof/>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96070D" w14:textId="77777777" w:rsidR="004C6421" w:rsidRDefault="009D1962">
            <w:pPr>
              <w:pStyle w:val="P68B1DB1-Normal4"/>
              <w:spacing w:before="100" w:beforeAutospacing="1" w:after="120"/>
              <w:rPr>
                <w:rFonts w:cs="Arial"/>
                <w:noProof/>
              </w:rPr>
            </w:pPr>
            <w:r>
              <w:rPr>
                <w:noProof/>
              </w:rPr>
              <w:t>W oparciu o platformę kredytów komercyjnych średni ważony czas płatności („tempo di pagamento”) lokalnych organów publicznych (</w:t>
            </w:r>
            <w:r>
              <w:rPr>
                <w:i/>
                <w:noProof/>
              </w:rPr>
              <w:t>enti locali</w:t>
            </w:r>
            <w:r>
              <w:rPr>
                <w:noProof/>
              </w:rPr>
              <w:t>) na rzecz przedsiębiorstw nie może przekraczać 30 dni.</w:t>
            </w:r>
          </w:p>
        </w:tc>
      </w:tr>
      <w:tr w:rsidR="004C6421" w14:paraId="0540111D"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EE50E0" w14:textId="77777777" w:rsidR="004C6421" w:rsidRDefault="009D1962">
            <w:pPr>
              <w:pStyle w:val="P68B1DB1-Normal4"/>
              <w:jc w:val="center"/>
              <w:rPr>
                <w:rFonts w:cs="Arial"/>
                <w:noProof/>
              </w:rPr>
            </w:pPr>
            <w:r>
              <w:rPr>
                <w:noProof/>
              </w:rPr>
              <w:t>M1C1-79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A17C44" w14:textId="77777777" w:rsidR="004C6421" w:rsidRDefault="009D1962">
            <w:pPr>
              <w:pStyle w:val="P68B1DB1-Normal4"/>
              <w:jc w:val="center"/>
              <w:rPr>
                <w:rFonts w:cs="Arial"/>
                <w:noProof/>
              </w:rPr>
            </w:pPr>
            <w:r>
              <w:rPr>
                <w:noProof/>
              </w:rPr>
              <w:t>Reforma 1.11: Zmniejszenie opóźnień w płatnościach dokonywanych przez organy administracji publicznej i służby zdrowia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28FCD8"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78B087" w14:textId="77777777" w:rsidR="004C6421" w:rsidRDefault="009D1962">
            <w:pPr>
              <w:pStyle w:val="P68B1DB1-Normal4"/>
              <w:jc w:val="center"/>
              <w:rPr>
                <w:rFonts w:cs="Arial"/>
                <w:noProof/>
              </w:rPr>
            </w:pPr>
            <w:r>
              <w:rPr>
                <w:noProof/>
              </w:rPr>
              <w:t>Zmniejszono średnią liczbę dni, w których administracje zdrowia publicznego mogą płacić przedsiębiorstwom</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B18FE84"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E8CEC4" w14:textId="77777777" w:rsidR="004C6421" w:rsidRDefault="009D1962">
            <w:pPr>
              <w:pStyle w:val="P68B1DB1-Normal4"/>
              <w:jc w:val="center"/>
              <w:rPr>
                <w:rFonts w:eastAsiaTheme="minorEastAsia" w:cs="Arial"/>
                <w:noProof/>
              </w:rPr>
            </w:pPr>
            <w:r>
              <w:rPr>
                <w:noProof/>
              </w:rPr>
              <w:t>Średni ważony czas płatności</w:t>
            </w:r>
          </w:p>
          <w:p w14:paraId="7651139C" w14:textId="77777777" w:rsidR="004C6421" w:rsidRDefault="009D1962">
            <w:pPr>
              <w:pStyle w:val="P68B1DB1-Normal4"/>
              <w:jc w:val="center"/>
              <w:rPr>
                <w:rFonts w:cs="Arial"/>
                <w:noProof/>
              </w:rPr>
            </w:pPr>
            <w:r>
              <w:rPr>
                <w:noProof/>
              </w:rPr>
              <w:t>(w dniach)</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6A42C8"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90B6EA" w14:textId="77777777" w:rsidR="004C6421" w:rsidRDefault="009D1962">
            <w:pPr>
              <w:pStyle w:val="P68B1DB1-Normal4"/>
              <w:jc w:val="center"/>
              <w:rPr>
                <w:rFonts w:cs="Arial"/>
                <w:noProof/>
              </w:rPr>
            </w:pPr>
            <w:r>
              <w:rPr>
                <w:noProof/>
              </w:rPr>
              <w:t>60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CC61B0E" w14:textId="3E53EAB6" w:rsidR="004C6421" w:rsidRDefault="00CC179E">
            <w:pPr>
              <w:pStyle w:val="P68B1DB1-Normal4"/>
              <w:jc w:val="center"/>
              <w:rPr>
                <w:rFonts w:cs="Arial"/>
                <w:noProof/>
              </w:rPr>
            </w:pPr>
            <w:r>
              <w:rPr>
                <w:noProof/>
              </w:rPr>
              <w:t>KW. 1</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08BF14" w14:textId="77777777" w:rsidR="004C6421" w:rsidRDefault="009D1962">
            <w:pPr>
              <w:pStyle w:val="P68B1DB1-Normal4"/>
              <w:jc w:val="center"/>
              <w:rPr>
                <w:rFonts w:cs="Arial"/>
                <w:noProof/>
              </w:rPr>
            </w:pPr>
            <w:r>
              <w:rPr>
                <w:noProof/>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9737AF" w14:textId="77777777" w:rsidR="004C6421" w:rsidRDefault="009D1962">
            <w:pPr>
              <w:pStyle w:val="P68B1DB1-Normal4"/>
              <w:spacing w:before="100" w:beforeAutospacing="1" w:after="120"/>
              <w:rPr>
                <w:rFonts w:cs="Arial"/>
                <w:noProof/>
              </w:rPr>
            </w:pPr>
            <w:r>
              <w:rPr>
                <w:noProof/>
              </w:rPr>
              <w:t>Na podstawie platformy kredytów komercyjnych (PCC) średni ważony czas płatności („tempo di pagamento”) organów ds. zdrowia publicznego (</w:t>
            </w:r>
            <w:r>
              <w:rPr>
                <w:i/>
                <w:noProof/>
              </w:rPr>
              <w:t>enti del Servizio sanitario nazionale</w:t>
            </w:r>
            <w:r>
              <w:rPr>
                <w:noProof/>
              </w:rPr>
              <w:t>) na rzecz przedsiębiorstw nie przekracza 60 dni.</w:t>
            </w:r>
          </w:p>
        </w:tc>
      </w:tr>
      <w:tr w:rsidR="004C6421" w14:paraId="6881823E"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DD4587" w14:textId="77777777" w:rsidR="004C6421" w:rsidRDefault="009D1962">
            <w:pPr>
              <w:pStyle w:val="P68B1DB1-Normal4"/>
              <w:jc w:val="center"/>
              <w:rPr>
                <w:rFonts w:cs="Arial"/>
                <w:noProof/>
              </w:rPr>
            </w:pPr>
            <w:r>
              <w:rPr>
                <w:noProof/>
              </w:rPr>
              <w:t>M1C1-80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4C1042B" w14:textId="77777777" w:rsidR="004C6421" w:rsidRDefault="009D1962">
            <w:pPr>
              <w:pStyle w:val="P68B1DB1-Normal4"/>
              <w:jc w:val="center"/>
              <w:rPr>
                <w:rFonts w:cs="Arial"/>
                <w:noProof/>
              </w:rPr>
            </w:pPr>
            <w:r>
              <w:rPr>
                <w:noProof/>
              </w:rPr>
              <w:t>Reforma 1.11: Zmniejszenie opóźnień w płatnościach dokonywanych przez organy administracji publicznej i służby zdrowia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BC99AF8"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04B0286" w14:textId="77777777" w:rsidR="004C6421" w:rsidRDefault="009D1962">
            <w:pPr>
              <w:pStyle w:val="P68B1DB1-Normal4"/>
              <w:jc w:val="center"/>
              <w:rPr>
                <w:rFonts w:cs="Arial"/>
                <w:noProof/>
              </w:rPr>
            </w:pPr>
            <w:r>
              <w:rPr>
                <w:noProof/>
              </w:rPr>
              <w:t>Średnia liczba dni opóźnienia w płatnościach przedsiębiorstw przez centralną administrację publiczną zostaje zmniejszona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AC8DC5"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C79627" w14:textId="77777777" w:rsidR="004C6421" w:rsidRDefault="009D1962">
            <w:pPr>
              <w:pStyle w:val="P68B1DB1-Normal4"/>
              <w:jc w:val="center"/>
              <w:rPr>
                <w:rFonts w:eastAsiaTheme="minorEastAsia" w:cs="Arial"/>
                <w:noProof/>
              </w:rPr>
            </w:pPr>
            <w:r>
              <w:rPr>
                <w:noProof/>
              </w:rPr>
              <w:t>Średnie ważone opóźnienie płatności</w:t>
            </w:r>
          </w:p>
          <w:p w14:paraId="49D86355" w14:textId="77777777" w:rsidR="004C6421" w:rsidRDefault="009D1962">
            <w:pPr>
              <w:pStyle w:val="P68B1DB1-Normal4"/>
              <w:jc w:val="center"/>
              <w:rPr>
                <w:rFonts w:eastAsiaTheme="minorEastAsia" w:cs="Arial"/>
                <w:noProof/>
              </w:rPr>
            </w:pPr>
            <w:r>
              <w:rPr>
                <w:noProof/>
              </w:rPr>
              <w:t>(w dniach)</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6795D0"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EB0F8C" w14:textId="77777777" w:rsidR="004C6421" w:rsidRDefault="009D1962">
            <w:pPr>
              <w:pStyle w:val="P68B1DB1-Normal4"/>
              <w:jc w:val="center"/>
              <w:rPr>
                <w:rFonts w:cs="Arial"/>
                <w:noProof/>
              </w:rPr>
            </w:pPr>
            <w:r>
              <w:rPr>
                <w:noProof/>
              </w:rPr>
              <w:t>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C05689" w14:textId="34600D6D" w:rsidR="004C6421" w:rsidRDefault="00CC179E">
            <w:pPr>
              <w:pStyle w:val="P68B1DB1-Normal4"/>
              <w:jc w:val="center"/>
              <w:rPr>
                <w:rFonts w:cs="Arial"/>
                <w:noProof/>
              </w:rPr>
            </w:pPr>
            <w:r>
              <w:rPr>
                <w:noProof/>
              </w:rPr>
              <w:t>KW. 1</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2C49618" w14:textId="77777777" w:rsidR="004C6421" w:rsidRDefault="009D1962">
            <w:pPr>
              <w:pStyle w:val="P68B1DB1-Normal4"/>
              <w:jc w:val="center"/>
              <w:rPr>
                <w:rFonts w:cs="Arial"/>
                <w:noProof/>
              </w:rPr>
            </w:pPr>
            <w:r>
              <w:rPr>
                <w:noProof/>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ABEE5C4" w14:textId="77777777" w:rsidR="004C6421" w:rsidRDefault="009D1962">
            <w:pPr>
              <w:pStyle w:val="P68B1DB1-Normal4"/>
              <w:spacing w:before="100" w:beforeAutospacing="1" w:after="120"/>
              <w:rPr>
                <w:rFonts w:eastAsiaTheme="minorEastAsia" w:cs="Arial"/>
                <w:noProof/>
              </w:rPr>
            </w:pPr>
            <w:r>
              <w:rPr>
                <w:noProof/>
              </w:rPr>
              <w:t>W oparciu o platformę kredytów komercyjnych średni ważony termin płatności („tempo di ritardo”) organów centralnych (</w:t>
            </w:r>
            <w:r>
              <w:rPr>
                <w:i/>
                <w:noProof/>
              </w:rPr>
              <w:t>Amministrazioni dello Stato, enti pubblici nazionali e altri enti enti</w:t>
            </w:r>
            <w:r>
              <w:rPr>
                <w:noProof/>
              </w:rPr>
              <w:t>) na rzecz przedsiębiorstw wynosi maksymalnie 0 dni.</w:t>
            </w:r>
          </w:p>
        </w:tc>
      </w:tr>
      <w:tr w:rsidR="004C6421" w14:paraId="0F4FB6C9"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B6E6FE5" w14:textId="77777777" w:rsidR="004C6421" w:rsidRDefault="009D1962">
            <w:pPr>
              <w:pStyle w:val="P68B1DB1-Normal4"/>
              <w:jc w:val="center"/>
              <w:rPr>
                <w:rFonts w:cs="Arial"/>
                <w:noProof/>
              </w:rPr>
            </w:pPr>
            <w:r>
              <w:rPr>
                <w:noProof/>
              </w:rPr>
              <w:t>M1C1-81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6C78931" w14:textId="77777777" w:rsidR="004C6421" w:rsidRDefault="009D1962">
            <w:pPr>
              <w:pStyle w:val="P68B1DB1-Normal4"/>
              <w:jc w:val="center"/>
              <w:rPr>
                <w:rFonts w:cs="Arial"/>
                <w:noProof/>
              </w:rPr>
            </w:pPr>
            <w:r>
              <w:rPr>
                <w:noProof/>
              </w:rPr>
              <w:t>Reforma 1.11: Zmniejszenie opóźnień w płatnościach dokonywanych przez organy administracji publicznej i służby zdrowia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FE71750"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F760ADD" w14:textId="77777777" w:rsidR="004C6421" w:rsidRDefault="009D1962">
            <w:pPr>
              <w:pStyle w:val="P68B1DB1-Normal4"/>
              <w:jc w:val="center"/>
              <w:rPr>
                <w:rFonts w:cs="Arial"/>
                <w:noProof/>
              </w:rPr>
            </w:pPr>
            <w:r>
              <w:rPr>
                <w:noProof/>
              </w:rPr>
              <w:t>Zmniejsza się średnią liczbę dni zwłoki regionalnych organów administracji publicznej w płaceniu przedsiębiorstwom</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8B9FF8"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D84C536" w14:textId="77777777" w:rsidR="004C6421" w:rsidRDefault="009D1962">
            <w:pPr>
              <w:pStyle w:val="P68B1DB1-Normal4"/>
              <w:jc w:val="center"/>
              <w:rPr>
                <w:rFonts w:eastAsiaTheme="minorEastAsia" w:cs="Arial"/>
                <w:noProof/>
              </w:rPr>
            </w:pPr>
            <w:r>
              <w:rPr>
                <w:noProof/>
              </w:rPr>
              <w:t>Średnie ważone opóźnienie płatności</w:t>
            </w:r>
          </w:p>
          <w:p w14:paraId="598E7378" w14:textId="77777777" w:rsidR="004C6421" w:rsidRDefault="009D1962">
            <w:pPr>
              <w:pStyle w:val="P68B1DB1-Normal4"/>
              <w:jc w:val="center"/>
              <w:rPr>
                <w:rFonts w:eastAsiaTheme="minorEastAsia" w:cs="Arial"/>
                <w:noProof/>
              </w:rPr>
            </w:pPr>
            <w:r>
              <w:rPr>
                <w:noProof/>
              </w:rPr>
              <w:t>(w dniach)</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8F0AE0A"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451A19B" w14:textId="77777777" w:rsidR="004C6421" w:rsidRDefault="009D1962">
            <w:pPr>
              <w:pStyle w:val="P68B1DB1-Normal4"/>
              <w:jc w:val="center"/>
              <w:rPr>
                <w:rFonts w:cs="Arial"/>
                <w:noProof/>
              </w:rPr>
            </w:pPr>
            <w:r>
              <w:rPr>
                <w:noProof/>
              </w:rPr>
              <w:t>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AB18755" w14:textId="63EFE91C" w:rsidR="004C6421" w:rsidRDefault="00CC179E">
            <w:pPr>
              <w:pStyle w:val="P68B1DB1-Normal4"/>
              <w:jc w:val="center"/>
              <w:rPr>
                <w:rFonts w:cs="Arial"/>
                <w:noProof/>
              </w:rPr>
            </w:pPr>
            <w:r>
              <w:rPr>
                <w:noProof/>
              </w:rPr>
              <w:t>KW. 1</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7A1A16B" w14:textId="77777777" w:rsidR="004C6421" w:rsidRDefault="009D1962">
            <w:pPr>
              <w:pStyle w:val="P68B1DB1-Normal4"/>
              <w:jc w:val="center"/>
              <w:rPr>
                <w:rFonts w:cs="Arial"/>
                <w:noProof/>
              </w:rPr>
            </w:pPr>
            <w:r>
              <w:rPr>
                <w:noProof/>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EBA6209" w14:textId="77777777" w:rsidR="004C6421" w:rsidRDefault="009D1962">
            <w:pPr>
              <w:pStyle w:val="P68B1DB1-Normal4"/>
              <w:spacing w:before="100" w:beforeAutospacing="1" w:after="120"/>
              <w:rPr>
                <w:rFonts w:eastAsiaTheme="minorEastAsia" w:cs="Arial"/>
                <w:noProof/>
              </w:rPr>
            </w:pPr>
            <w:r>
              <w:rPr>
                <w:noProof/>
              </w:rPr>
              <w:t>W oparciu o platformę kredytów komercyjnych średni ważony termin płatności („tempo di ritardo”) władz regionalnych (regioni</w:t>
            </w:r>
            <w:r>
              <w:rPr>
                <w:i/>
                <w:noProof/>
              </w:rPr>
              <w:t>i prowincji Autonome</w:t>
            </w:r>
            <w:r>
              <w:rPr>
                <w:noProof/>
              </w:rPr>
              <w:t>) na rzecz przedsiębiorstw wynosi maksymalnie 0 dni.</w:t>
            </w:r>
          </w:p>
        </w:tc>
      </w:tr>
      <w:tr w:rsidR="004C6421" w14:paraId="1959AB9A"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23E363" w14:textId="77777777" w:rsidR="004C6421" w:rsidRDefault="009D1962">
            <w:pPr>
              <w:pStyle w:val="P68B1DB1-Normal4"/>
              <w:jc w:val="center"/>
              <w:rPr>
                <w:rFonts w:cs="Arial"/>
                <w:noProof/>
              </w:rPr>
            </w:pPr>
            <w:r>
              <w:rPr>
                <w:noProof/>
              </w:rPr>
              <w:t>M1C1-82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BD70070" w14:textId="77777777" w:rsidR="004C6421" w:rsidRDefault="009D1962">
            <w:pPr>
              <w:pStyle w:val="P68B1DB1-Normal4"/>
              <w:jc w:val="center"/>
              <w:rPr>
                <w:rFonts w:cs="Arial"/>
                <w:noProof/>
              </w:rPr>
            </w:pPr>
            <w:r>
              <w:rPr>
                <w:noProof/>
              </w:rPr>
              <w:t>Reforma 1.11: Zmniejszenie opóźnień w płatnościach dokonywanych przez organy administracji publicznej i służby zdrowia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238C0BA"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64660FB" w14:textId="77777777" w:rsidR="004C6421" w:rsidRDefault="009D1962">
            <w:pPr>
              <w:pStyle w:val="P68B1DB1-Normal4"/>
              <w:jc w:val="center"/>
              <w:rPr>
                <w:rFonts w:cs="Arial"/>
                <w:noProof/>
              </w:rPr>
            </w:pPr>
            <w:r>
              <w:rPr>
                <w:noProof/>
              </w:rPr>
              <w:t>Zmniejszono średnią liczbę dni opóźnień w płatnościach dla lokalnych organów administracji publicznej</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036CFA"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F78A3F6" w14:textId="77777777" w:rsidR="004C6421" w:rsidRDefault="009D1962">
            <w:pPr>
              <w:pStyle w:val="P68B1DB1-Normal4"/>
              <w:jc w:val="center"/>
              <w:rPr>
                <w:rFonts w:eastAsiaTheme="minorEastAsia" w:cs="Arial"/>
                <w:noProof/>
              </w:rPr>
            </w:pPr>
            <w:r>
              <w:rPr>
                <w:noProof/>
              </w:rPr>
              <w:t>Średnie ważone opóźnienie płatności</w:t>
            </w:r>
          </w:p>
          <w:p w14:paraId="6236F8D8" w14:textId="77777777" w:rsidR="004C6421" w:rsidRDefault="009D1962">
            <w:pPr>
              <w:pStyle w:val="P68B1DB1-Normal4"/>
              <w:jc w:val="center"/>
              <w:rPr>
                <w:rFonts w:eastAsiaTheme="minorEastAsia" w:cs="Arial"/>
                <w:noProof/>
              </w:rPr>
            </w:pPr>
            <w:r>
              <w:rPr>
                <w:noProof/>
              </w:rPr>
              <w:t>(w dniach)</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F5668F"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6C71F5" w14:textId="77777777" w:rsidR="004C6421" w:rsidRDefault="009D1962">
            <w:pPr>
              <w:pStyle w:val="P68B1DB1-Normal4"/>
              <w:jc w:val="center"/>
              <w:rPr>
                <w:rFonts w:cs="Arial"/>
                <w:noProof/>
              </w:rPr>
            </w:pPr>
            <w:r>
              <w:rPr>
                <w:noProof/>
              </w:rPr>
              <w:t>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5CC781" w14:textId="05CEC133" w:rsidR="004C6421" w:rsidRDefault="00CC179E">
            <w:pPr>
              <w:pStyle w:val="P68B1DB1-Normal4"/>
              <w:jc w:val="center"/>
              <w:rPr>
                <w:rFonts w:cs="Arial"/>
                <w:noProof/>
              </w:rPr>
            </w:pPr>
            <w:r>
              <w:rPr>
                <w:noProof/>
              </w:rPr>
              <w:t>KW. 1</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F5E714F" w14:textId="77777777" w:rsidR="004C6421" w:rsidRDefault="009D1962">
            <w:pPr>
              <w:pStyle w:val="P68B1DB1-Normal4"/>
              <w:jc w:val="center"/>
              <w:rPr>
                <w:rFonts w:cs="Arial"/>
                <w:noProof/>
              </w:rPr>
            </w:pPr>
            <w:r>
              <w:rPr>
                <w:noProof/>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52DCE8D" w14:textId="77777777" w:rsidR="004C6421" w:rsidRDefault="009D1962">
            <w:pPr>
              <w:pStyle w:val="P68B1DB1-Normal4"/>
              <w:spacing w:before="100" w:beforeAutospacing="1" w:after="120"/>
              <w:rPr>
                <w:rFonts w:eastAsiaTheme="minorEastAsia" w:cs="Arial"/>
                <w:noProof/>
              </w:rPr>
            </w:pPr>
            <w:r>
              <w:rPr>
                <w:noProof/>
              </w:rPr>
              <w:t>W oparciu o platformę kredytów komercyjnych średni ważony termin płatności („tempo di ritardo”) władz lokalnych (</w:t>
            </w:r>
            <w:r>
              <w:rPr>
                <w:i/>
                <w:noProof/>
              </w:rPr>
              <w:t>enti locali</w:t>
            </w:r>
            <w:r>
              <w:rPr>
                <w:noProof/>
              </w:rPr>
              <w:t>) na rzecz przedsiębiorstw wynosi maksymalnie 0 dni.</w:t>
            </w:r>
          </w:p>
        </w:tc>
      </w:tr>
      <w:tr w:rsidR="004C6421" w14:paraId="70239B56"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18E526" w14:textId="77777777" w:rsidR="004C6421" w:rsidRDefault="009D1962">
            <w:pPr>
              <w:pStyle w:val="P68B1DB1-Normal4"/>
              <w:jc w:val="center"/>
              <w:rPr>
                <w:rFonts w:cs="Arial"/>
                <w:noProof/>
              </w:rPr>
            </w:pPr>
            <w:r>
              <w:rPr>
                <w:noProof/>
              </w:rPr>
              <w:t>M1C1-83</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1BB11A" w14:textId="77777777" w:rsidR="004C6421" w:rsidRDefault="009D1962">
            <w:pPr>
              <w:pStyle w:val="P68B1DB1-Normal4"/>
              <w:jc w:val="center"/>
              <w:rPr>
                <w:rFonts w:cs="Arial"/>
                <w:noProof/>
              </w:rPr>
            </w:pPr>
            <w:r>
              <w:rPr>
                <w:noProof/>
              </w:rPr>
              <w:t>Reforma 1.11: Zmniejszenie opóźnień w płatnościach dokonywanych przez organy administracji publicznej i służby zdrowia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662B88"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DA0C844" w14:textId="77777777" w:rsidR="004C6421" w:rsidRDefault="009D1962">
            <w:pPr>
              <w:pStyle w:val="P68B1DB1-Normal4"/>
              <w:jc w:val="center"/>
              <w:rPr>
                <w:rFonts w:cs="Arial"/>
                <w:noProof/>
              </w:rPr>
            </w:pPr>
            <w:r>
              <w:rPr>
                <w:noProof/>
              </w:rPr>
              <w:t>Zmniejszono średnią liczbę dni zwłoki w płatnościach dla administracji publicznej w dziedzinie zdrowia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C2F939A"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83E2595" w14:textId="77777777" w:rsidR="004C6421" w:rsidRDefault="009D1962">
            <w:pPr>
              <w:pStyle w:val="P68B1DB1-Normal4"/>
              <w:jc w:val="center"/>
              <w:rPr>
                <w:rFonts w:eastAsiaTheme="minorEastAsia" w:cs="Arial"/>
                <w:noProof/>
              </w:rPr>
            </w:pPr>
            <w:r>
              <w:rPr>
                <w:noProof/>
              </w:rPr>
              <w:t>Średnie ważone opóźnienie płatności</w:t>
            </w:r>
          </w:p>
          <w:p w14:paraId="2334862B" w14:textId="77777777" w:rsidR="004C6421" w:rsidRDefault="009D1962">
            <w:pPr>
              <w:pStyle w:val="P68B1DB1-Normal4"/>
              <w:jc w:val="center"/>
              <w:rPr>
                <w:rFonts w:eastAsiaTheme="minorEastAsia" w:cs="Arial"/>
                <w:noProof/>
              </w:rPr>
            </w:pPr>
            <w:r>
              <w:rPr>
                <w:noProof/>
              </w:rPr>
              <w:t>(w dniach)</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10BEC93"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17F8BC9" w14:textId="77777777" w:rsidR="004C6421" w:rsidRDefault="009D1962">
            <w:pPr>
              <w:pStyle w:val="P68B1DB1-Normal4"/>
              <w:jc w:val="center"/>
              <w:rPr>
                <w:rFonts w:cs="Arial"/>
                <w:noProof/>
              </w:rPr>
            </w:pPr>
            <w:r>
              <w:rPr>
                <w:noProof/>
              </w:rPr>
              <w:t>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226355" w14:textId="67D675D3" w:rsidR="004C6421" w:rsidRDefault="00CC179E">
            <w:pPr>
              <w:pStyle w:val="P68B1DB1-Normal4"/>
              <w:jc w:val="center"/>
              <w:rPr>
                <w:rFonts w:cs="Arial"/>
                <w:noProof/>
              </w:rPr>
            </w:pPr>
            <w:r>
              <w:rPr>
                <w:noProof/>
              </w:rPr>
              <w:t>KW. 1</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3496808" w14:textId="77777777" w:rsidR="004C6421" w:rsidRDefault="009D1962">
            <w:pPr>
              <w:pStyle w:val="P68B1DB1-Normal4"/>
              <w:jc w:val="center"/>
              <w:rPr>
                <w:rFonts w:cs="Arial"/>
                <w:noProof/>
              </w:rPr>
            </w:pPr>
            <w:r>
              <w:rPr>
                <w:noProof/>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228BE92" w14:textId="77777777" w:rsidR="004C6421" w:rsidRDefault="009D1962">
            <w:pPr>
              <w:pStyle w:val="P68B1DB1-Normal4"/>
              <w:spacing w:before="100" w:beforeAutospacing="1" w:after="120"/>
              <w:rPr>
                <w:rFonts w:eastAsiaTheme="minorEastAsia" w:cs="Arial"/>
                <w:noProof/>
              </w:rPr>
            </w:pPr>
            <w:r>
              <w:rPr>
                <w:noProof/>
              </w:rPr>
              <w:t>W oparciu o platformę kredytów komercyjnych średni ważony termin płatności („tempo di ritardo”) organów ds. zdrowia publicznego (</w:t>
            </w:r>
            <w:r>
              <w:rPr>
                <w:i/>
                <w:noProof/>
              </w:rPr>
              <w:t>enti del Servizio sanitario nazionale</w:t>
            </w:r>
            <w:r>
              <w:rPr>
                <w:noProof/>
              </w:rPr>
              <w:t>) na rzecz przedsiębiorstw wynosi maksymalnie 0 dni.</w:t>
            </w:r>
          </w:p>
        </w:tc>
      </w:tr>
      <w:tr w:rsidR="004C6421" w14:paraId="515862DE"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0B2A35" w14:textId="77777777" w:rsidR="004C6421" w:rsidRDefault="009D1962">
            <w:pPr>
              <w:pStyle w:val="P68B1DB1-Normal4"/>
              <w:jc w:val="center"/>
              <w:rPr>
                <w:rFonts w:cs="Arial"/>
                <w:noProof/>
              </w:rPr>
            </w:pPr>
            <w:r>
              <w:rPr>
                <w:noProof/>
              </w:rPr>
              <w:t>M1C1-84</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5EF651" w14:textId="77777777" w:rsidR="004C6421" w:rsidRDefault="009D1962">
            <w:pPr>
              <w:pStyle w:val="P68B1DB1-Normal4"/>
              <w:jc w:val="center"/>
              <w:rPr>
                <w:rFonts w:cs="Arial"/>
                <w:noProof/>
              </w:rPr>
            </w:pPr>
            <w:r>
              <w:rPr>
                <w:noProof/>
              </w:rPr>
              <w:t>Reforma 1.10: Reforma ram prawnych dotyczących zamówień publicznych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A1C4AB6"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A6ACDF4" w14:textId="77777777" w:rsidR="004C6421" w:rsidRDefault="009D1962">
            <w:pPr>
              <w:pStyle w:val="P68B1DB1-Normal4"/>
              <w:jc w:val="center"/>
              <w:rPr>
                <w:rFonts w:cs="Arial"/>
                <w:noProof/>
              </w:rPr>
            </w:pPr>
            <w:r>
              <w:rPr>
                <w:noProof/>
              </w:rPr>
              <w:t>Średni czas między publikacją a udzieleniem zamówienia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6BFF6D"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032E71E" w14:textId="77777777" w:rsidR="004C6421" w:rsidRDefault="009D1962">
            <w:pPr>
              <w:pStyle w:val="P68B1DB1-Normal4"/>
              <w:jc w:val="center"/>
              <w:rPr>
                <w:rFonts w:cs="Arial"/>
                <w:noProof/>
              </w:rPr>
            </w:pPr>
            <w:r>
              <w:rPr>
                <w:noProof/>
              </w:rPr>
              <w:t>Numer</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BD940BD" w14:textId="77777777" w:rsidR="004C6421" w:rsidRDefault="009D1962">
            <w:pPr>
              <w:pStyle w:val="P68B1DB1-Normal4"/>
              <w:jc w:val="center"/>
              <w:rPr>
                <w:rFonts w:cs="Arial"/>
                <w:noProof/>
              </w:rPr>
            </w:pPr>
            <w:r>
              <w:rPr>
                <w:noProof/>
              </w:rPr>
              <w:t>139</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958081" w14:textId="77777777" w:rsidR="004C6421" w:rsidRDefault="009D1962">
            <w:pPr>
              <w:pStyle w:val="P68B1DB1-Normal4"/>
              <w:jc w:val="center"/>
              <w:rPr>
                <w:rFonts w:cs="Arial"/>
                <w:noProof/>
              </w:rPr>
            </w:pPr>
            <w:r>
              <w:rPr>
                <w:noProof/>
              </w:rPr>
              <w:t>100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A6FB9CA" w14:textId="2973179D"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B376DED" w14:textId="77777777" w:rsidR="004C6421" w:rsidRDefault="009D1962">
            <w:pPr>
              <w:pStyle w:val="P68B1DB1-Normal4"/>
              <w:jc w:val="center"/>
              <w:rPr>
                <w:rFonts w:cs="Arial"/>
                <w:noProof/>
              </w:rPr>
            </w:pPr>
            <w:r>
              <w:rPr>
                <w:noProof/>
              </w:rPr>
              <w:t>2023</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880D42C" w14:textId="77777777" w:rsidR="004C6421" w:rsidRDefault="009D1962">
            <w:pPr>
              <w:pStyle w:val="P68B1DB1-Normal4"/>
              <w:spacing w:before="100" w:beforeAutospacing="1" w:after="120"/>
              <w:rPr>
                <w:rFonts w:cs="Arial"/>
                <w:noProof/>
              </w:rPr>
            </w:pPr>
            <w:r>
              <w:rPr>
                <w:noProof/>
              </w:rPr>
              <w:t xml:space="preserve">W oparciu o metody przyjęte w Dzienniku Urzędowym UE (baza danych TED), wykorzystując dane z informatycznej krajowej bazy danych o zamówieniach publicznych (BDNCP), zarządzanej przez ANAC, średni czas między terminem składania ofert a udzieleniem zamówienia zostaje skrócony do mniej niż 100 dni w przypadku zamówień przekraczających progi określone w dyrektywach UE w sprawie zamówień publicznych. </w:t>
            </w:r>
          </w:p>
        </w:tc>
      </w:tr>
      <w:tr w:rsidR="004C6421" w14:paraId="2DE60862"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D5B20B" w14:textId="77777777" w:rsidR="004C6421" w:rsidRDefault="009D1962">
            <w:pPr>
              <w:pStyle w:val="P68B1DB1-Normal4"/>
              <w:jc w:val="center"/>
              <w:rPr>
                <w:rFonts w:cs="Arial"/>
                <w:noProof/>
              </w:rPr>
            </w:pPr>
            <w:r>
              <w:rPr>
                <w:noProof/>
              </w:rPr>
              <w:t>M1C1-84bis</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F1C3035" w14:textId="77777777" w:rsidR="004C6421" w:rsidRDefault="009D1962">
            <w:pPr>
              <w:pStyle w:val="P68B1DB1-Normal4"/>
              <w:jc w:val="center"/>
              <w:rPr>
                <w:rFonts w:cs="Arial"/>
                <w:noProof/>
              </w:rPr>
            </w:pPr>
            <w:r>
              <w:rPr>
                <w:noProof/>
              </w:rPr>
              <w:t>Reforma 1.10: Reforma ram prawnych dotyczących zamówień publicznych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721D6C" w14:textId="3F5DB475"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DF8C9A" w14:textId="77777777" w:rsidR="004C6421" w:rsidRDefault="009D1962">
            <w:pPr>
              <w:pStyle w:val="P68B1DB1-Normal4"/>
              <w:jc w:val="center"/>
              <w:rPr>
                <w:rFonts w:cs="Arial"/>
                <w:noProof/>
              </w:rPr>
            </w:pPr>
            <w:r>
              <w:rPr>
                <w:noProof/>
              </w:rPr>
              <w:t>Środki mające na celu poprawę szybkości podejmowania decyzji w sprawie udzielania zamówień przez instytucje zamawiające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E21DE04" w14:textId="77777777" w:rsidR="004C6421" w:rsidRDefault="009D1962">
            <w:pPr>
              <w:pStyle w:val="P68B1DB1-Normal4"/>
              <w:jc w:val="center"/>
              <w:rPr>
                <w:rFonts w:cs="Arial"/>
                <w:noProof/>
              </w:rPr>
            </w:pPr>
            <w:r>
              <w:rPr>
                <w:noProof/>
              </w:rPr>
              <w:t>Przyjęcie środków wykonawczych</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44F12D9"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92EF0A"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E9352B"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8A960A0" w14:textId="08E0BEDB"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ECC832" w14:textId="77777777" w:rsidR="004C6421" w:rsidRDefault="009D1962">
            <w:pPr>
              <w:pStyle w:val="P68B1DB1-Normal4"/>
              <w:jc w:val="center"/>
              <w:rPr>
                <w:rFonts w:cs="Arial"/>
                <w:noProof/>
              </w:rPr>
            </w:pPr>
            <w:r>
              <w:rPr>
                <w:noProof/>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C8F97C" w14:textId="77777777" w:rsidR="004C6421" w:rsidRDefault="009D1962">
            <w:pPr>
              <w:pStyle w:val="P68B1DB1-Normal4"/>
              <w:spacing w:before="100" w:beforeAutospacing="1" w:after="120"/>
              <w:rPr>
                <w:rFonts w:cs="Arial"/>
                <w:noProof/>
              </w:rPr>
            </w:pPr>
            <w:r>
              <w:rPr>
                <w:noProof/>
              </w:rPr>
              <w:t>Aby zwiększyć tempo podejmowania decyzji w sprawie udzielania zamówień i przyspieszyć proces zapoczątkowany reformą kodeksu zamówień publicznych poprzez cyfryzację zamówień publicznych i profesjonalizację instytucji zamawiających, Cabina di regia, dawny art. 221 kodeksu zamówień publicznych, po konsultacji z ANAC, realizuje:</w:t>
            </w:r>
          </w:p>
          <w:p w14:paraId="1B17E34A" w14:textId="77777777" w:rsidR="004C6421" w:rsidRDefault="009D1962">
            <w:pPr>
              <w:pStyle w:val="P68B1DB1-Normal4"/>
              <w:spacing w:before="100" w:beforeAutospacing="1" w:after="120"/>
              <w:rPr>
                <w:rFonts w:cs="Arial"/>
                <w:noProof/>
              </w:rPr>
            </w:pPr>
            <w:r>
              <w:rPr>
                <w:noProof/>
              </w:rPr>
              <w:t>—analiza wpływu e-zamówień na termin udzielenia zamówienia do czasu zawarcia umowy;</w:t>
            </w:r>
          </w:p>
          <w:p w14:paraId="7E774E2B" w14:textId="77777777" w:rsidR="004C6421" w:rsidRDefault="009D1962">
            <w:pPr>
              <w:pStyle w:val="P68B1DB1-Normal4"/>
              <w:spacing w:before="100" w:beforeAutospacing="1" w:after="120"/>
              <w:rPr>
                <w:rFonts w:cs="Arial"/>
                <w:noProof/>
              </w:rPr>
            </w:pPr>
            <w:r>
              <w:rPr>
                <w:noProof/>
              </w:rPr>
              <w:t xml:space="preserve">—ocena szybkości podejmowania decyzji zgodnie z aktualnym stanem wiedzy; </w:t>
            </w:r>
          </w:p>
          <w:p w14:paraId="41FEC1FB" w14:textId="77777777" w:rsidR="004C6421" w:rsidRDefault="009D1962">
            <w:pPr>
              <w:pStyle w:val="P68B1DB1-Normal4"/>
              <w:spacing w:before="100" w:beforeAutospacing="1" w:after="120"/>
              <w:rPr>
                <w:rFonts w:cs="Arial"/>
                <w:noProof/>
              </w:rPr>
            </w:pPr>
            <w:r>
              <w:rPr>
                <w:noProof/>
              </w:rPr>
              <w:t xml:space="preserve">— monitorowanie najlepszych praktyk instytucji zamawiających mających na celu skrócenie czasu udzielania zamówień; </w:t>
            </w:r>
          </w:p>
          <w:p w14:paraId="6564857C" w14:textId="77777777" w:rsidR="004C6421" w:rsidRDefault="009D1962">
            <w:pPr>
              <w:pStyle w:val="P68B1DB1-Normal4"/>
              <w:spacing w:before="100" w:beforeAutospacing="1" w:after="120"/>
              <w:rPr>
                <w:rFonts w:cs="Arial"/>
                <w:noProof/>
              </w:rPr>
            </w:pPr>
            <w:r>
              <w:rPr>
                <w:noProof/>
              </w:rPr>
              <w:t>—analiza ram prawnych mająca na celu zidentyfikowanie wszelkich krytycznych kwestii w procedurach udzielania zamówień oraz, w oparciu o analizę, sugestię sfinalizowanych inicjatyw mających na celu skrócenie czasu podejmowania decyzji.</w:t>
            </w:r>
          </w:p>
          <w:p w14:paraId="5C61D4F0" w14:textId="77777777" w:rsidR="004C6421" w:rsidRDefault="009D1962">
            <w:pPr>
              <w:pStyle w:val="P68B1DB1-Normal4"/>
              <w:spacing w:before="100" w:beforeAutospacing="1" w:after="120"/>
              <w:rPr>
                <w:rFonts w:cs="Arial"/>
                <w:noProof/>
              </w:rPr>
            </w:pPr>
            <w:r>
              <w:rPr>
                <w:noProof/>
              </w:rPr>
              <w:t xml:space="preserve">Począwszy od danych z 2024 r. ANAC co roku monitoruje średnią szybkość podejmowania decyzji przez instytucje zamawiające na podstawie uprawnień przyznanych mu na mocy art. 222 kodeksu zamówień publicznych. </w:t>
            </w:r>
          </w:p>
          <w:p w14:paraId="3032F4CC" w14:textId="77777777" w:rsidR="004C6421" w:rsidRDefault="009D1962">
            <w:pPr>
              <w:pStyle w:val="P68B1DB1-Normal4"/>
              <w:spacing w:before="100" w:beforeAutospacing="1" w:after="120"/>
              <w:rPr>
                <w:rFonts w:cs="Arial"/>
                <w:noProof/>
              </w:rPr>
            </w:pPr>
            <w:r>
              <w:rPr>
                <w:noProof/>
              </w:rPr>
              <w:t>Instytucje zamawiające, których średnia szybkość podejmowania decyzji w TED jest większa niż 160 dni, są zobowiązane do udziału w ćwiczeniu w zakresie kwalifikacji i profesjonalizacji.</w:t>
            </w:r>
          </w:p>
        </w:tc>
      </w:tr>
      <w:tr w:rsidR="004C6421" w14:paraId="7E560A4F"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DC5C02" w14:textId="77777777" w:rsidR="004C6421" w:rsidRDefault="009D1962">
            <w:pPr>
              <w:pStyle w:val="P68B1DB1-Normal4"/>
              <w:jc w:val="center"/>
              <w:rPr>
                <w:rFonts w:cs="Arial"/>
                <w:noProof/>
              </w:rPr>
            </w:pPr>
            <w:r>
              <w:rPr>
                <w:noProof/>
              </w:rPr>
              <w:t>M1C1-85</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C2B2B5" w14:textId="77777777" w:rsidR="004C6421" w:rsidRDefault="009D1962">
            <w:pPr>
              <w:pStyle w:val="P68B1DB1-Normal4"/>
              <w:jc w:val="center"/>
              <w:rPr>
                <w:rFonts w:cs="Arial"/>
                <w:noProof/>
              </w:rPr>
            </w:pPr>
            <w:r>
              <w:rPr>
                <w:noProof/>
              </w:rPr>
              <w:t>Reforma 1.10: Reforma ram prawnych dotyczących zamówień publicznych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44EBEDE"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BFD20D1" w14:textId="77777777" w:rsidR="004C6421" w:rsidRDefault="009D1962">
            <w:pPr>
              <w:pStyle w:val="P68B1DB1-Normal4"/>
              <w:jc w:val="center"/>
              <w:rPr>
                <w:rFonts w:cs="Arial"/>
                <w:noProof/>
              </w:rPr>
            </w:pPr>
            <w:r>
              <w:rPr>
                <w:noProof/>
              </w:rPr>
              <w:t>Średni czas między udzieleniem zamówienia a realizacją infrastruktury</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8E0C76B"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24F3760" w14:textId="77777777" w:rsidR="004C6421" w:rsidRDefault="009D1962">
            <w:pPr>
              <w:pStyle w:val="P68B1DB1-Normal4"/>
              <w:jc w:val="center"/>
              <w:rPr>
                <w:rFonts w:cs="Arial"/>
                <w:noProof/>
              </w:rPr>
            </w:pPr>
            <w:r>
              <w:rPr>
                <w:noProof/>
              </w:rPr>
              <w:t>Procent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0C401B" w14:textId="77777777" w:rsidR="004C6421" w:rsidRDefault="009D1962">
            <w:pPr>
              <w:pStyle w:val="P68B1DB1-Normal4"/>
              <w:jc w:val="center"/>
              <w:rPr>
                <w:rFonts w:cs="Arial"/>
                <w:noProof/>
              </w:rPr>
            </w:pPr>
            <w:r>
              <w:rPr>
                <w:noProof/>
              </w:rPr>
              <w:t>100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5042ABE" w14:textId="77777777" w:rsidR="004C6421" w:rsidRDefault="009D1962">
            <w:pPr>
              <w:pStyle w:val="P68B1DB1-Normal4"/>
              <w:jc w:val="center"/>
              <w:rPr>
                <w:rFonts w:cs="Arial"/>
                <w:noProof/>
              </w:rPr>
            </w:pPr>
            <w:r>
              <w:rPr>
                <w:noProof/>
              </w:rPr>
              <w:t>90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BE89A2F" w14:textId="1F1F329E"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6FCAC7" w14:textId="0AE59598" w:rsidR="004C6421" w:rsidRDefault="009D1962">
            <w:pPr>
              <w:pStyle w:val="P68B1DB1-Normal4"/>
              <w:jc w:val="center"/>
              <w:rPr>
                <w:rFonts w:cs="Arial"/>
                <w:noProof/>
              </w:rPr>
            </w:pPr>
            <w:r>
              <w:rPr>
                <w:noProof/>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CC2F5A2" w14:textId="60731D6A" w:rsidR="004C6421" w:rsidRDefault="009D1962">
            <w:pPr>
              <w:pStyle w:val="P68B1DB1-Normal4"/>
              <w:spacing w:before="100" w:beforeAutospacing="1" w:after="120"/>
              <w:rPr>
                <w:rFonts w:cs="Arial"/>
                <w:noProof/>
              </w:rPr>
            </w:pPr>
            <w:r>
              <w:rPr>
                <w:noProof/>
              </w:rPr>
              <w:t>Średni czas między udzieleniem zamówienia a realizacją infrastruktury („etap wykonawczy”) skraca się o co najmniej 10 % na podstawie porównania (i) robót budowlanych udzielonych w okresie od dnia 1 stycznia do dnia 31 grudnia 2019 r. i zakończonych do dnia 30 czerwca 2021 r. oraz (ii) robót budowlanych udzielonych w okresie od dnia 1 lipca 2021 r. do dnia 30 czerwca 2022 r. i zakończonych do dnia 31 grudnia 2023 r.</w:t>
            </w:r>
          </w:p>
        </w:tc>
      </w:tr>
      <w:tr w:rsidR="004C6421" w14:paraId="6AFA3177"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5D67D53" w14:textId="77777777" w:rsidR="004C6421" w:rsidRDefault="009D1962">
            <w:pPr>
              <w:pStyle w:val="P68B1DB1-Normal4"/>
              <w:jc w:val="center"/>
              <w:rPr>
                <w:noProof/>
              </w:rPr>
            </w:pPr>
            <w:r>
              <w:rPr>
                <w:noProof/>
              </w:rPr>
              <w:t>M1C1-86</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092A01C" w14:textId="77777777" w:rsidR="004C6421" w:rsidRDefault="009D1962">
            <w:pPr>
              <w:pStyle w:val="P68B1DB1-Normal4"/>
              <w:jc w:val="center"/>
              <w:rPr>
                <w:noProof/>
              </w:rPr>
            </w:pPr>
            <w:r>
              <w:rPr>
                <w:noProof/>
              </w:rPr>
              <w:t>Reforma 1.10: Reforma ram prawnych dotyczących zamówień publicznych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152C8A" w14:textId="77777777" w:rsidR="004C6421" w:rsidRDefault="009D1962">
            <w:pPr>
              <w:pStyle w:val="P68B1DB1-Normal4"/>
              <w:jc w:val="center"/>
              <w:rPr>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5A5FDB" w14:textId="77777777" w:rsidR="004C6421" w:rsidRDefault="009D1962">
            <w:pPr>
              <w:pStyle w:val="P68B1DB1-Normal4"/>
              <w:jc w:val="center"/>
              <w:rPr>
                <w:noProof/>
              </w:rPr>
            </w:pPr>
            <w:r>
              <w:rPr>
                <w:noProof/>
              </w:rPr>
              <w:t>Urzędnicy służby cywilnej przeszkoleni w ramach strategii na rzecz profesjonalizacji nabywców publicznych</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1C3777" w14:textId="77777777" w:rsidR="004C6421" w:rsidRDefault="009D1962">
            <w:pPr>
              <w:pStyle w:val="P68B1DB1-Normal4"/>
              <w:jc w:val="center"/>
              <w:rPr>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688A115" w14:textId="77777777" w:rsidR="004C6421" w:rsidRDefault="009D1962">
            <w:pPr>
              <w:pStyle w:val="P68B1DB1-Normal4"/>
              <w:jc w:val="center"/>
              <w:rPr>
                <w:noProof/>
              </w:rPr>
            </w:pPr>
            <w:r>
              <w:rPr>
                <w:noProof/>
              </w:rPr>
              <w:t>Numer</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29855BC" w14:textId="77777777" w:rsidR="004C6421" w:rsidRDefault="009D1962">
            <w:pPr>
              <w:pStyle w:val="P68B1DB1-Normal4"/>
              <w:jc w:val="center"/>
              <w:rPr>
                <w:noProof/>
              </w:rPr>
            </w:pPr>
            <w:r>
              <w:rPr>
                <w:noProof/>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91DBC20" w14:textId="382DB7F2" w:rsidR="004C6421" w:rsidRDefault="009D1962">
            <w:pPr>
              <w:pStyle w:val="P68B1DB1-Normal4"/>
              <w:jc w:val="center"/>
              <w:rPr>
                <w:noProof/>
              </w:rPr>
            </w:pPr>
            <w:r>
              <w:rPr>
                <w:noProof/>
              </w:rPr>
              <w:t>20 000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C705A0" w14:textId="31067C93" w:rsidR="004C6421" w:rsidRDefault="00CC179E">
            <w:pPr>
              <w:pStyle w:val="P68B1DB1-Normal4"/>
              <w:jc w:val="center"/>
              <w:rPr>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2F711D" w14:textId="77777777" w:rsidR="004C6421" w:rsidRDefault="009D1962">
            <w:pPr>
              <w:pStyle w:val="P68B1DB1-Normal4"/>
              <w:jc w:val="center"/>
              <w:rPr>
                <w:noProof/>
              </w:rPr>
            </w:pPr>
            <w:r>
              <w:rPr>
                <w:noProof/>
              </w:rPr>
              <w:t>2023</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1342E5" w14:textId="6FB0A925" w:rsidR="004C6421" w:rsidRDefault="009D1962">
            <w:pPr>
              <w:pStyle w:val="P68B1DB1-Normal4"/>
              <w:spacing w:before="100" w:beforeAutospacing="1" w:after="120"/>
              <w:rPr>
                <w:noProof/>
              </w:rPr>
            </w:pPr>
            <w:r>
              <w:rPr>
                <w:noProof/>
              </w:rPr>
              <w:t xml:space="preserve">W ramach strategii profesjonalizacji nabywców publicznych przeszkolono co najmniej 20000 urzędników służby cywilnej. </w:t>
            </w:r>
          </w:p>
        </w:tc>
      </w:tr>
      <w:tr w:rsidR="004C6421" w14:paraId="373B018F"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48A01D" w14:textId="77777777" w:rsidR="004C6421" w:rsidRDefault="009D1962">
            <w:pPr>
              <w:pStyle w:val="P68B1DB1-Normal4"/>
              <w:jc w:val="center"/>
              <w:rPr>
                <w:rFonts w:cs="Arial"/>
                <w:noProof/>
              </w:rPr>
            </w:pPr>
            <w:r>
              <w:rPr>
                <w:noProof/>
              </w:rPr>
              <w:t>M1C1-87</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C333201" w14:textId="77777777" w:rsidR="004C6421" w:rsidRDefault="009D1962">
            <w:pPr>
              <w:pStyle w:val="P68B1DB1-Normal4"/>
              <w:jc w:val="center"/>
              <w:rPr>
                <w:rFonts w:cs="Arial"/>
                <w:noProof/>
              </w:rPr>
            </w:pPr>
            <w:r>
              <w:rPr>
                <w:noProof/>
              </w:rPr>
              <w:t>Reforma 1.10: Reforma ram prawnych dotyczących zamówień publicznych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312366A"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CBE697B" w14:textId="77777777" w:rsidR="004C6421" w:rsidRDefault="009D1962">
            <w:pPr>
              <w:pStyle w:val="P68B1DB1-Normal4"/>
              <w:jc w:val="center"/>
              <w:rPr>
                <w:rFonts w:cs="Arial"/>
                <w:noProof/>
              </w:rPr>
            </w:pPr>
            <w:r>
              <w:rPr>
                <w:noProof/>
              </w:rPr>
              <w:t>Instytucje zamawiające stosujące dynamiczne systemy zakupów</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E17FE1"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8F3BFAB" w14:textId="77777777" w:rsidR="004C6421" w:rsidRDefault="009D1962">
            <w:pPr>
              <w:pStyle w:val="P68B1DB1-Normal4"/>
              <w:jc w:val="center"/>
              <w:rPr>
                <w:rFonts w:cs="Arial"/>
                <w:noProof/>
              </w:rPr>
            </w:pPr>
            <w:r>
              <w:rPr>
                <w:noProof/>
              </w:rPr>
              <w:t>Procent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0CD04C" w14:textId="77777777" w:rsidR="004C6421" w:rsidRDefault="009D1962">
            <w:pPr>
              <w:pStyle w:val="P68B1DB1-Normal4"/>
              <w:jc w:val="center"/>
              <w:rPr>
                <w:rFonts w:cs="Arial"/>
                <w:noProof/>
              </w:rPr>
            </w:pPr>
            <w:r>
              <w:rPr>
                <w:noProof/>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89FD0E5" w14:textId="77777777" w:rsidR="004C6421" w:rsidRDefault="009D1962">
            <w:pPr>
              <w:pStyle w:val="P68B1DB1-Normal4"/>
              <w:jc w:val="center"/>
              <w:rPr>
                <w:rFonts w:cs="Arial"/>
                <w:noProof/>
              </w:rPr>
            </w:pPr>
            <w:r>
              <w:rPr>
                <w:noProof/>
              </w:rPr>
              <w:t>15</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61DC080" w14:textId="60E5E2E6"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E6ECA23" w14:textId="77777777" w:rsidR="004C6421" w:rsidRDefault="009D1962">
            <w:pPr>
              <w:pStyle w:val="P68B1DB1-Normal4"/>
              <w:jc w:val="center"/>
              <w:rPr>
                <w:rFonts w:cs="Arial"/>
                <w:noProof/>
              </w:rPr>
            </w:pPr>
            <w:r>
              <w:rPr>
                <w:noProof/>
              </w:rPr>
              <w:t>2023</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B4D802D" w14:textId="77777777" w:rsidR="004C6421" w:rsidRDefault="009D1962">
            <w:pPr>
              <w:pStyle w:val="P68B1DB1-Normal4"/>
              <w:spacing w:before="100" w:beforeAutospacing="1" w:after="120"/>
              <w:rPr>
                <w:rFonts w:cs="Arial"/>
                <w:noProof/>
              </w:rPr>
            </w:pPr>
            <w:r>
              <w:rPr>
                <w:noProof/>
              </w:rPr>
              <w:t>Co najmniej 15 % instytucji zamawiających korzysta z dynamicznych systemów zakupów zgodnie z dyrektywą UE 2014/24 (dwa lata obserwacji i biorąc pod uwagę, że we Włoszech korzystanie z dynamicznego systemu zakupów jest ukierunkowane głównie na zakupy powyżej progu, biorąc pod uwagę, że systemy poniżej progu przeprowadza się głównie za pośrednictwem platform elektronicznych). Wartość docelowa odnosi się do instytucji zamawiających rządu centralnego (250 płatności zarejestrowanych na dzień 30 kwietnia 2021 r. do krajowego systemu e-zamówień zarządzanego przez Consip w imieniu MEF).</w:t>
            </w:r>
          </w:p>
        </w:tc>
      </w:tr>
      <w:tr w:rsidR="004C6421" w14:paraId="03F8F0EC"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DB7A22A" w14:textId="77777777" w:rsidR="004C6421" w:rsidRDefault="009D1962">
            <w:pPr>
              <w:pStyle w:val="P68B1DB1-Normal4"/>
              <w:jc w:val="center"/>
              <w:rPr>
                <w:rFonts w:cs="Arial"/>
                <w:noProof/>
              </w:rPr>
            </w:pPr>
            <w:r>
              <w:rPr>
                <w:noProof/>
              </w:rPr>
              <w:t>M1C1-88</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8D50F95" w14:textId="77777777" w:rsidR="004C6421" w:rsidRDefault="009D1962">
            <w:pPr>
              <w:pStyle w:val="P68B1DB1-Normal4"/>
              <w:jc w:val="center"/>
              <w:rPr>
                <w:rFonts w:cs="Arial"/>
                <w:noProof/>
              </w:rPr>
            </w:pPr>
            <w:r>
              <w:rPr>
                <w:noProof/>
              </w:rPr>
              <w:t>Reforma 1.11: Zmniejszenie opóźnień w płatnościach dokonywanych przez organy administracji publicznej i służby zdrowia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0C39760"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932C52" w14:textId="77777777" w:rsidR="004C6421" w:rsidRDefault="009D1962">
            <w:pPr>
              <w:pStyle w:val="P68B1DB1-Normal4"/>
              <w:jc w:val="center"/>
              <w:rPr>
                <w:rFonts w:cs="Arial"/>
                <w:noProof/>
              </w:rPr>
            </w:pPr>
            <w:r>
              <w:rPr>
                <w:noProof/>
              </w:rPr>
              <w:t>Średnia liczba dni, w których centralne organy administracji publicznej mogą płacić przedsiębiorstwom, została zmniejszona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B181597"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601067E" w14:textId="77777777" w:rsidR="004C6421" w:rsidRDefault="009D1962">
            <w:pPr>
              <w:pStyle w:val="P68B1DB1-Normal4"/>
              <w:jc w:val="center"/>
              <w:rPr>
                <w:rFonts w:cs="Arial"/>
                <w:noProof/>
              </w:rPr>
            </w:pPr>
            <w:r>
              <w:rPr>
                <w:noProof/>
              </w:rPr>
              <w:t>Średni ważony czas płatności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062D1EF" w14:textId="77777777" w:rsidR="004C6421" w:rsidRDefault="009D1962">
            <w:pPr>
              <w:pStyle w:val="P68B1DB1-Normal4"/>
              <w:jc w:val="center"/>
              <w:rPr>
                <w:rFonts w:cs="Arial"/>
                <w:noProof/>
              </w:rPr>
            </w:pPr>
            <w:r>
              <w:rPr>
                <w:noProof/>
              </w:rPr>
              <w:t>30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1CA693" w14:textId="77777777" w:rsidR="004C6421" w:rsidRDefault="009D1962">
            <w:pPr>
              <w:pStyle w:val="P68B1DB1-Normal4"/>
              <w:jc w:val="center"/>
              <w:rPr>
                <w:rFonts w:cs="Arial"/>
                <w:noProof/>
              </w:rPr>
            </w:pPr>
            <w:r>
              <w:rPr>
                <w:noProof/>
              </w:rPr>
              <w:t>30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82F2CB2" w14:textId="6E3E870A" w:rsidR="004C6421" w:rsidRDefault="00CC179E">
            <w:pPr>
              <w:pStyle w:val="P68B1DB1-Normal4"/>
              <w:jc w:val="center"/>
              <w:rPr>
                <w:rFonts w:cs="Arial"/>
                <w:noProof/>
              </w:rPr>
            </w:pPr>
            <w:r>
              <w:rPr>
                <w:noProof/>
              </w:rPr>
              <w:t>KW. 1</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4D27397" w14:textId="77777777" w:rsidR="004C6421" w:rsidRDefault="009D1962">
            <w:pPr>
              <w:pStyle w:val="P68B1DB1-Normal4"/>
              <w:jc w:val="center"/>
              <w:rPr>
                <w:rFonts w:cs="Arial"/>
                <w:noProof/>
              </w:rPr>
            </w:pPr>
            <w:r>
              <w:rPr>
                <w:noProof/>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A95A46" w14:textId="77777777" w:rsidR="004C6421" w:rsidRDefault="009D1962">
            <w:pPr>
              <w:pStyle w:val="P68B1DB1-Normal4"/>
              <w:spacing w:before="100" w:beforeAutospacing="1" w:after="120"/>
              <w:rPr>
                <w:rFonts w:cs="Arial"/>
                <w:noProof/>
              </w:rPr>
            </w:pPr>
            <w:r>
              <w:rPr>
                <w:noProof/>
              </w:rPr>
              <w:t>W oparciu o platformę kredytów komercyjnych średni ważony czas płatności („tempo di pagamento”) centralnych organów publicznych (</w:t>
            </w:r>
            <w:r>
              <w:rPr>
                <w:i/>
                <w:noProof/>
              </w:rPr>
              <w:t>Amministrazioni dello Stato, enti pubblici nazionali e altri enti enti</w:t>
            </w:r>
            <w:r>
              <w:rPr>
                <w:noProof/>
              </w:rPr>
              <w:t>) na rzecz przedsiębiorstw nie przekracza 30 dni.</w:t>
            </w:r>
          </w:p>
        </w:tc>
      </w:tr>
      <w:tr w:rsidR="004C6421" w14:paraId="5F3A6724"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3F37C6" w14:textId="77777777" w:rsidR="004C6421" w:rsidRDefault="009D1962">
            <w:pPr>
              <w:pStyle w:val="P68B1DB1-Normal4"/>
              <w:jc w:val="center"/>
              <w:rPr>
                <w:rFonts w:cs="Arial"/>
                <w:noProof/>
              </w:rPr>
            </w:pPr>
            <w:r>
              <w:rPr>
                <w:noProof/>
              </w:rPr>
              <w:t>M1C1-89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44B5696" w14:textId="77777777" w:rsidR="004C6421" w:rsidRDefault="009D1962">
            <w:pPr>
              <w:pStyle w:val="P68B1DB1-Normal4"/>
              <w:jc w:val="center"/>
              <w:rPr>
                <w:rFonts w:cs="Arial"/>
                <w:noProof/>
              </w:rPr>
            </w:pPr>
            <w:r>
              <w:rPr>
                <w:noProof/>
              </w:rPr>
              <w:t>Reforma 1.11: Zmniejszenie opóźnień w płatnościach dokonywanych przez organy administracji publicznej i służby zdrowia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45800D"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A4E4679" w14:textId="77777777" w:rsidR="004C6421" w:rsidRDefault="009D1962">
            <w:pPr>
              <w:pStyle w:val="P68B1DB1-Normal4"/>
              <w:jc w:val="center"/>
              <w:rPr>
                <w:rFonts w:cs="Arial"/>
                <w:noProof/>
              </w:rPr>
            </w:pPr>
            <w:r>
              <w:rPr>
                <w:noProof/>
              </w:rPr>
              <w:t>Średnia liczba dni, w których regionalne organy administracji publicznej mogą płacić przedsiębiorstwom, została zmniejszona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F27482"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B6C964B" w14:textId="77777777" w:rsidR="004C6421" w:rsidRDefault="009D1962">
            <w:pPr>
              <w:pStyle w:val="P68B1DB1-Normal4"/>
              <w:jc w:val="center"/>
              <w:rPr>
                <w:rFonts w:cs="Arial"/>
                <w:noProof/>
              </w:rPr>
            </w:pPr>
            <w:r>
              <w:rPr>
                <w:noProof/>
              </w:rPr>
              <w:t>Średni ważony czas płatności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FCE6069" w14:textId="77777777" w:rsidR="004C6421" w:rsidRDefault="009D1962">
            <w:pPr>
              <w:pStyle w:val="P68B1DB1-Normal4"/>
              <w:jc w:val="center"/>
              <w:rPr>
                <w:rFonts w:cs="Arial"/>
                <w:noProof/>
              </w:rPr>
            </w:pPr>
            <w:r>
              <w:rPr>
                <w:noProof/>
              </w:rPr>
              <w:t>30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B557995" w14:textId="77777777" w:rsidR="004C6421" w:rsidRDefault="009D1962">
            <w:pPr>
              <w:pStyle w:val="P68B1DB1-Normal4"/>
              <w:jc w:val="center"/>
              <w:rPr>
                <w:rFonts w:cs="Arial"/>
                <w:noProof/>
              </w:rPr>
            </w:pPr>
            <w:r>
              <w:rPr>
                <w:noProof/>
              </w:rPr>
              <w:t>30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261002" w14:textId="6FCF83A4" w:rsidR="004C6421" w:rsidRDefault="00CC179E">
            <w:pPr>
              <w:pStyle w:val="P68B1DB1-Normal4"/>
              <w:jc w:val="center"/>
              <w:rPr>
                <w:rFonts w:cs="Arial"/>
                <w:noProof/>
              </w:rPr>
            </w:pPr>
            <w:r>
              <w:rPr>
                <w:noProof/>
              </w:rPr>
              <w:t>KW. 1</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41167B" w14:textId="77777777" w:rsidR="004C6421" w:rsidRDefault="009D1962">
            <w:pPr>
              <w:pStyle w:val="P68B1DB1-Normal4"/>
              <w:jc w:val="center"/>
              <w:rPr>
                <w:rFonts w:cs="Arial"/>
                <w:noProof/>
              </w:rPr>
            </w:pPr>
            <w:r>
              <w:rPr>
                <w:noProof/>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087342" w14:textId="77777777" w:rsidR="004C6421" w:rsidRDefault="009D1962">
            <w:pPr>
              <w:pStyle w:val="P68B1DB1-Normal4"/>
              <w:spacing w:before="100" w:beforeAutospacing="1" w:after="120"/>
              <w:rPr>
                <w:rFonts w:cs="Arial"/>
                <w:noProof/>
              </w:rPr>
            </w:pPr>
            <w:r>
              <w:rPr>
                <w:noProof/>
              </w:rPr>
              <w:t>Na podstawie platformy kredytów komercyjnych (PCC) średni ważony czas płatności („tempo di pagamento”) regionalnych organów publicznych</w:t>
            </w:r>
            <w:r>
              <w:rPr>
                <w:i/>
                <w:noProof/>
              </w:rPr>
              <w:t>(regioni i prowincja Autonome</w:t>
            </w:r>
            <w:r>
              <w:rPr>
                <w:noProof/>
              </w:rPr>
              <w:t>) na rzecz przedsiębiorstw nie przekracza 30 dni.</w:t>
            </w:r>
          </w:p>
        </w:tc>
      </w:tr>
      <w:tr w:rsidR="004C6421" w14:paraId="3D3E56CF"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93CACF" w14:textId="77777777" w:rsidR="004C6421" w:rsidRDefault="009D1962">
            <w:pPr>
              <w:pStyle w:val="P68B1DB1-Normal4"/>
              <w:jc w:val="center"/>
              <w:rPr>
                <w:rFonts w:cs="Arial"/>
                <w:noProof/>
              </w:rPr>
            </w:pPr>
            <w:r>
              <w:rPr>
                <w:noProof/>
              </w:rPr>
              <w:t>M1C1-90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6D862E7" w14:textId="77777777" w:rsidR="004C6421" w:rsidRDefault="009D1962">
            <w:pPr>
              <w:pStyle w:val="P68B1DB1-Normal4"/>
              <w:jc w:val="center"/>
              <w:rPr>
                <w:rFonts w:cs="Arial"/>
                <w:noProof/>
              </w:rPr>
            </w:pPr>
            <w:r>
              <w:rPr>
                <w:noProof/>
              </w:rPr>
              <w:t>Reforma 1.11: Zmniejszenie opóźnień w płatnościach dokonywanych przez organy administracji publicznej i służby zdrowia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65733DA"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A6CF64F" w14:textId="77777777" w:rsidR="004C6421" w:rsidRDefault="009D1962">
            <w:pPr>
              <w:pStyle w:val="P68B1DB1-Normal4"/>
              <w:jc w:val="center"/>
              <w:rPr>
                <w:rFonts w:cs="Arial"/>
                <w:noProof/>
              </w:rPr>
            </w:pPr>
            <w:r>
              <w:rPr>
                <w:noProof/>
              </w:rPr>
              <w:t>Średnia liczba dni, w których lokalne organy administracji publicznej mogą płacić przedsiębiorstwom, została zmniejszona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131EC72"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348B0A5" w14:textId="77777777" w:rsidR="004C6421" w:rsidRDefault="009D1962">
            <w:pPr>
              <w:pStyle w:val="P68B1DB1-Normal4"/>
              <w:jc w:val="center"/>
              <w:rPr>
                <w:rFonts w:cs="Arial"/>
                <w:noProof/>
              </w:rPr>
            </w:pPr>
            <w:r>
              <w:rPr>
                <w:noProof/>
              </w:rPr>
              <w:t>Średni ważony czas płatności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ADA4F8" w14:textId="77777777" w:rsidR="004C6421" w:rsidRDefault="009D1962">
            <w:pPr>
              <w:pStyle w:val="P68B1DB1-Normal4"/>
              <w:jc w:val="center"/>
              <w:rPr>
                <w:rFonts w:cs="Arial"/>
                <w:noProof/>
              </w:rPr>
            </w:pPr>
            <w:r>
              <w:rPr>
                <w:noProof/>
              </w:rPr>
              <w:t>30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9EC809" w14:textId="77777777" w:rsidR="004C6421" w:rsidRDefault="009D1962">
            <w:pPr>
              <w:pStyle w:val="P68B1DB1-Normal4"/>
              <w:jc w:val="center"/>
              <w:rPr>
                <w:rFonts w:cs="Arial"/>
                <w:noProof/>
              </w:rPr>
            </w:pPr>
            <w:r>
              <w:rPr>
                <w:noProof/>
              </w:rPr>
              <w:t>30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C6CEA8C" w14:textId="06FA11E8" w:rsidR="004C6421" w:rsidRDefault="00CC179E">
            <w:pPr>
              <w:pStyle w:val="P68B1DB1-Normal4"/>
              <w:jc w:val="center"/>
              <w:rPr>
                <w:rFonts w:cs="Arial"/>
                <w:noProof/>
              </w:rPr>
            </w:pPr>
            <w:r>
              <w:rPr>
                <w:noProof/>
              </w:rPr>
              <w:t>KW. 1</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6EB846" w14:textId="77777777" w:rsidR="004C6421" w:rsidRDefault="009D1962">
            <w:pPr>
              <w:pStyle w:val="P68B1DB1-Normal4"/>
              <w:jc w:val="center"/>
              <w:rPr>
                <w:rFonts w:cs="Arial"/>
                <w:noProof/>
              </w:rPr>
            </w:pPr>
            <w:r>
              <w:rPr>
                <w:noProof/>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A05734" w14:textId="77777777" w:rsidR="004C6421" w:rsidRDefault="009D1962">
            <w:pPr>
              <w:pStyle w:val="P68B1DB1-Normal4"/>
              <w:spacing w:before="100" w:beforeAutospacing="1" w:after="120"/>
              <w:rPr>
                <w:rFonts w:cs="Arial"/>
                <w:noProof/>
              </w:rPr>
            </w:pPr>
            <w:r>
              <w:rPr>
                <w:noProof/>
              </w:rPr>
              <w:t>W oparciu o platformę kredytów komercyjnych średni ważony czas płatności („tempo di pagamento”) lokalnych organów publicznych (</w:t>
            </w:r>
            <w:r>
              <w:rPr>
                <w:i/>
                <w:noProof/>
              </w:rPr>
              <w:t>enti locali</w:t>
            </w:r>
            <w:r>
              <w:rPr>
                <w:noProof/>
              </w:rPr>
              <w:t>) na rzecz przedsiębiorstw nie może przekraczać 30 dni.</w:t>
            </w:r>
          </w:p>
        </w:tc>
      </w:tr>
      <w:tr w:rsidR="004C6421" w14:paraId="53724888"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9512C7" w14:textId="77777777" w:rsidR="004C6421" w:rsidRDefault="009D1962">
            <w:pPr>
              <w:pStyle w:val="P68B1DB1-Normal4"/>
              <w:jc w:val="center"/>
              <w:rPr>
                <w:rFonts w:cs="Arial"/>
                <w:noProof/>
              </w:rPr>
            </w:pPr>
            <w:r>
              <w:rPr>
                <w:noProof/>
              </w:rPr>
              <w:t>M1C1-91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0FE0C06" w14:textId="77777777" w:rsidR="004C6421" w:rsidRDefault="009D1962">
            <w:pPr>
              <w:pStyle w:val="P68B1DB1-Normal4"/>
              <w:jc w:val="center"/>
              <w:rPr>
                <w:rFonts w:cs="Arial"/>
                <w:noProof/>
              </w:rPr>
            </w:pPr>
            <w:r>
              <w:rPr>
                <w:noProof/>
              </w:rPr>
              <w:t>Reforma 1.11: Zmniejszenie opóźnień w płatnościach dokonywanych przez organy administracji publicznej i służby zdrowia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D2010B4"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22DB105" w14:textId="77777777" w:rsidR="004C6421" w:rsidRDefault="009D1962">
            <w:pPr>
              <w:pStyle w:val="P68B1DB1-Normal4"/>
              <w:jc w:val="center"/>
              <w:rPr>
                <w:rFonts w:cs="Arial"/>
                <w:noProof/>
              </w:rPr>
            </w:pPr>
            <w:r>
              <w:rPr>
                <w:noProof/>
              </w:rPr>
              <w:t>Zmniejszono średnią liczbę dni, w których administracje zdrowia publicznego mogą płacić przedsiębiorstwom</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DECC863"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FD040F3" w14:textId="77777777" w:rsidR="004C6421" w:rsidRDefault="009D1962">
            <w:pPr>
              <w:pStyle w:val="P68B1DB1-Normal4"/>
              <w:jc w:val="center"/>
              <w:rPr>
                <w:rFonts w:cs="Arial"/>
                <w:noProof/>
              </w:rPr>
            </w:pPr>
            <w:r>
              <w:rPr>
                <w:noProof/>
              </w:rPr>
              <w:t>Średni ważony czas płatności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358A9F5" w14:textId="77777777" w:rsidR="004C6421" w:rsidRDefault="009D1962">
            <w:pPr>
              <w:pStyle w:val="P68B1DB1-Normal4"/>
              <w:jc w:val="center"/>
              <w:rPr>
                <w:rFonts w:cs="Arial"/>
                <w:noProof/>
              </w:rPr>
            </w:pPr>
            <w:r>
              <w:rPr>
                <w:noProof/>
              </w:rPr>
              <w:t>60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7CE343" w14:textId="77777777" w:rsidR="004C6421" w:rsidRDefault="009D1962">
            <w:pPr>
              <w:pStyle w:val="P68B1DB1-Normal4"/>
              <w:jc w:val="center"/>
              <w:rPr>
                <w:rFonts w:cs="Arial"/>
                <w:noProof/>
              </w:rPr>
            </w:pPr>
            <w:r>
              <w:rPr>
                <w:noProof/>
              </w:rPr>
              <w:t>60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275137" w14:textId="428DB757" w:rsidR="004C6421" w:rsidRDefault="00CC179E">
            <w:pPr>
              <w:pStyle w:val="P68B1DB1-Normal4"/>
              <w:jc w:val="center"/>
              <w:rPr>
                <w:rFonts w:cs="Arial"/>
                <w:noProof/>
              </w:rPr>
            </w:pPr>
            <w:r>
              <w:rPr>
                <w:noProof/>
              </w:rPr>
              <w:t>KW. 1</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C637694" w14:textId="77777777" w:rsidR="004C6421" w:rsidRDefault="009D1962">
            <w:pPr>
              <w:pStyle w:val="P68B1DB1-Normal4"/>
              <w:jc w:val="center"/>
              <w:rPr>
                <w:rFonts w:cs="Arial"/>
                <w:noProof/>
              </w:rPr>
            </w:pPr>
            <w:r>
              <w:rPr>
                <w:noProof/>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C91689" w14:textId="77777777" w:rsidR="004C6421" w:rsidRDefault="009D1962">
            <w:pPr>
              <w:pStyle w:val="P68B1DB1-Normal4"/>
              <w:spacing w:before="100" w:beforeAutospacing="1" w:after="120"/>
              <w:rPr>
                <w:rFonts w:cs="Arial"/>
                <w:noProof/>
              </w:rPr>
            </w:pPr>
            <w:r>
              <w:rPr>
                <w:noProof/>
              </w:rPr>
              <w:t>Na podstawie platformy kredytów komercyjnych (PCC) średni ważony czas płatności („tempo di pagamento”) organów ds. zdrowia publicznego (</w:t>
            </w:r>
            <w:r>
              <w:rPr>
                <w:i/>
                <w:noProof/>
              </w:rPr>
              <w:t>enti del Servizio sanitario nazionale</w:t>
            </w:r>
            <w:r>
              <w:rPr>
                <w:noProof/>
              </w:rPr>
              <w:t>) na rzecz przedsiębiorstw nie przekracza 60 dni.</w:t>
            </w:r>
          </w:p>
        </w:tc>
      </w:tr>
      <w:tr w:rsidR="004C6421" w14:paraId="3D40E725"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555D2D" w14:textId="77777777" w:rsidR="004C6421" w:rsidRDefault="009D1962">
            <w:pPr>
              <w:pStyle w:val="P68B1DB1-Normal4"/>
              <w:jc w:val="center"/>
              <w:rPr>
                <w:rFonts w:cs="Arial"/>
                <w:noProof/>
              </w:rPr>
            </w:pPr>
            <w:r>
              <w:rPr>
                <w:noProof/>
              </w:rPr>
              <w:t>M1C1-92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E46408" w14:textId="77777777" w:rsidR="004C6421" w:rsidRDefault="009D1962">
            <w:pPr>
              <w:pStyle w:val="P68B1DB1-Normal4"/>
              <w:jc w:val="center"/>
              <w:rPr>
                <w:rFonts w:cs="Arial"/>
                <w:noProof/>
              </w:rPr>
            </w:pPr>
            <w:r>
              <w:rPr>
                <w:noProof/>
              </w:rPr>
              <w:t>Reforma 1.11: Zmniejszenie opóźnień w płatnościach dokonywanych przez organy administracji publicznej i służby zdrowia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7DE7B31"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D290368" w14:textId="77777777" w:rsidR="004C6421" w:rsidRDefault="009D1962">
            <w:pPr>
              <w:pStyle w:val="P68B1DB1-Normal4"/>
              <w:jc w:val="center"/>
              <w:rPr>
                <w:rFonts w:cs="Arial"/>
                <w:noProof/>
              </w:rPr>
            </w:pPr>
            <w:r>
              <w:rPr>
                <w:noProof/>
              </w:rPr>
              <w:t>Średnia liczba dni opóźnienia w płatnościach przedsiębiorstw przez centralną administrację publiczną zostaje zmniejszona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9748952"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6C4CEC8" w14:textId="77777777" w:rsidR="004C6421" w:rsidRDefault="009D1962">
            <w:pPr>
              <w:pStyle w:val="P68B1DB1-Normal4"/>
              <w:jc w:val="center"/>
              <w:rPr>
                <w:rFonts w:eastAsiaTheme="minorEastAsia" w:cs="Arial"/>
                <w:noProof/>
              </w:rPr>
            </w:pPr>
            <w:r>
              <w:rPr>
                <w:noProof/>
              </w:rPr>
              <w:t>Średnie ważone opóźnienie płatności</w:t>
            </w:r>
          </w:p>
          <w:p w14:paraId="673D86C7" w14:textId="77777777" w:rsidR="004C6421" w:rsidRDefault="009D1962">
            <w:pPr>
              <w:pStyle w:val="P68B1DB1-Normal4"/>
              <w:jc w:val="center"/>
              <w:rPr>
                <w:rFonts w:cs="Arial"/>
                <w:noProof/>
              </w:rPr>
            </w:pPr>
            <w:r>
              <w:rPr>
                <w:noProof/>
              </w:rPr>
              <w:t>(w dniach)</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E685C01" w14:textId="77777777" w:rsidR="004C6421" w:rsidRDefault="009D1962">
            <w:pPr>
              <w:pStyle w:val="P68B1DB1-Normal4"/>
              <w:jc w:val="center"/>
              <w:rPr>
                <w:rFonts w:cs="Arial"/>
                <w:noProof/>
              </w:rPr>
            </w:pPr>
            <w:r>
              <w:rPr>
                <w:noProof/>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9E78CA" w14:textId="77777777" w:rsidR="004C6421" w:rsidRDefault="009D1962">
            <w:pPr>
              <w:pStyle w:val="P68B1DB1-Normal4"/>
              <w:jc w:val="center"/>
              <w:rPr>
                <w:rFonts w:cs="Arial"/>
                <w:noProof/>
              </w:rPr>
            </w:pPr>
            <w:r>
              <w:rPr>
                <w:noProof/>
              </w:rPr>
              <w:t>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8CC2D7" w14:textId="51BF5813" w:rsidR="004C6421" w:rsidRDefault="00CC179E">
            <w:pPr>
              <w:pStyle w:val="P68B1DB1-Normal4"/>
              <w:jc w:val="center"/>
              <w:rPr>
                <w:rFonts w:cs="Arial"/>
                <w:noProof/>
              </w:rPr>
            </w:pPr>
            <w:r>
              <w:rPr>
                <w:noProof/>
              </w:rPr>
              <w:t>KW. 1</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91B6355" w14:textId="77777777" w:rsidR="004C6421" w:rsidRDefault="009D1962">
            <w:pPr>
              <w:pStyle w:val="P68B1DB1-Normal4"/>
              <w:jc w:val="center"/>
              <w:rPr>
                <w:rFonts w:cs="Arial"/>
                <w:noProof/>
              </w:rPr>
            </w:pPr>
            <w:r>
              <w:rPr>
                <w:noProof/>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ABE9AAE" w14:textId="77777777" w:rsidR="004C6421" w:rsidRDefault="009D1962">
            <w:pPr>
              <w:pStyle w:val="P68B1DB1-Normal4"/>
              <w:spacing w:before="100" w:beforeAutospacing="1" w:after="120"/>
              <w:rPr>
                <w:rFonts w:cs="Arial"/>
                <w:noProof/>
              </w:rPr>
            </w:pPr>
            <w:r>
              <w:rPr>
                <w:noProof/>
              </w:rPr>
              <w:t>W oparciu o platformę kredytów komercyjnych (PCC) średni ważony termin płatności („tempo di ritardo”) organów centralnych (Amministrazioni dello Stato, enti pubblici nazionali e altri enti) wynosi maksymalnie 0 dni.</w:t>
            </w:r>
          </w:p>
        </w:tc>
      </w:tr>
      <w:tr w:rsidR="004C6421" w14:paraId="625AB925"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DF0396D" w14:textId="77777777" w:rsidR="004C6421" w:rsidRDefault="009D1962">
            <w:pPr>
              <w:pStyle w:val="P68B1DB1-Normal4"/>
              <w:jc w:val="center"/>
              <w:rPr>
                <w:rFonts w:cs="Arial"/>
                <w:noProof/>
              </w:rPr>
            </w:pPr>
            <w:r>
              <w:rPr>
                <w:noProof/>
              </w:rPr>
              <w:t>M1C1-93</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3D7F347" w14:textId="77777777" w:rsidR="004C6421" w:rsidRDefault="009D1962">
            <w:pPr>
              <w:pStyle w:val="P68B1DB1-Normal4"/>
              <w:jc w:val="center"/>
              <w:rPr>
                <w:rFonts w:cs="Arial"/>
                <w:noProof/>
              </w:rPr>
            </w:pPr>
            <w:r>
              <w:rPr>
                <w:noProof/>
              </w:rPr>
              <w:t>Reforma 1.11: Zmniejszenie opóźnień w płatnościach dokonywanych przez organy administracji publicznej i służby zdrowia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9C94D5"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065F09" w14:textId="77777777" w:rsidR="004C6421" w:rsidRDefault="009D1962">
            <w:pPr>
              <w:pStyle w:val="P68B1DB1-Normal4"/>
              <w:jc w:val="center"/>
              <w:rPr>
                <w:rFonts w:cs="Arial"/>
                <w:noProof/>
              </w:rPr>
            </w:pPr>
            <w:r>
              <w:rPr>
                <w:noProof/>
              </w:rPr>
              <w:t>Zmniejsza się średnią liczbę dni zwłoki regionalnych organów administracji publicznej w płaceniu przedsiębiorstwom</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78A3D4"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A31C167" w14:textId="77777777" w:rsidR="004C6421" w:rsidRDefault="009D1962">
            <w:pPr>
              <w:pStyle w:val="P68B1DB1-Normal4"/>
              <w:jc w:val="center"/>
              <w:rPr>
                <w:rFonts w:eastAsiaTheme="minorEastAsia" w:cs="Arial"/>
                <w:noProof/>
              </w:rPr>
            </w:pPr>
            <w:r>
              <w:rPr>
                <w:noProof/>
              </w:rPr>
              <w:t>Średnie ważone opóźnienie płatności</w:t>
            </w:r>
          </w:p>
          <w:p w14:paraId="31D5478A" w14:textId="77777777" w:rsidR="004C6421" w:rsidRDefault="009D1962">
            <w:pPr>
              <w:pStyle w:val="P68B1DB1-Normal4"/>
              <w:jc w:val="center"/>
              <w:rPr>
                <w:rFonts w:cs="Arial"/>
                <w:noProof/>
              </w:rPr>
            </w:pPr>
            <w:r>
              <w:rPr>
                <w:noProof/>
              </w:rPr>
              <w:t>(w dniach)</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2638AC" w14:textId="77777777" w:rsidR="004C6421" w:rsidRDefault="009D1962">
            <w:pPr>
              <w:pStyle w:val="P68B1DB1-Normal4"/>
              <w:jc w:val="center"/>
              <w:rPr>
                <w:rFonts w:cs="Arial"/>
                <w:noProof/>
              </w:rPr>
            </w:pPr>
            <w:r>
              <w:rPr>
                <w:noProof/>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B58F985" w14:textId="77777777" w:rsidR="004C6421" w:rsidRDefault="009D1962">
            <w:pPr>
              <w:pStyle w:val="P68B1DB1-Normal4"/>
              <w:jc w:val="center"/>
              <w:rPr>
                <w:rFonts w:cs="Arial"/>
                <w:noProof/>
              </w:rPr>
            </w:pPr>
            <w:r>
              <w:rPr>
                <w:noProof/>
              </w:rPr>
              <w:t>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6957C2" w14:textId="34A2B814" w:rsidR="004C6421" w:rsidRDefault="00CC179E">
            <w:pPr>
              <w:pStyle w:val="P68B1DB1-Normal4"/>
              <w:jc w:val="center"/>
              <w:rPr>
                <w:rFonts w:cs="Arial"/>
                <w:noProof/>
              </w:rPr>
            </w:pPr>
            <w:r>
              <w:rPr>
                <w:noProof/>
              </w:rPr>
              <w:t>KW. 1</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7586B72" w14:textId="77777777" w:rsidR="004C6421" w:rsidRDefault="009D1962">
            <w:pPr>
              <w:pStyle w:val="P68B1DB1-Normal4"/>
              <w:jc w:val="center"/>
              <w:rPr>
                <w:rFonts w:cs="Arial"/>
                <w:noProof/>
              </w:rPr>
            </w:pPr>
            <w:r>
              <w:rPr>
                <w:noProof/>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61EB036" w14:textId="77777777" w:rsidR="004C6421" w:rsidRDefault="009D1962">
            <w:pPr>
              <w:pStyle w:val="P68B1DB1-Normal4"/>
              <w:spacing w:before="100" w:beforeAutospacing="1" w:after="120"/>
              <w:rPr>
                <w:rFonts w:cs="Arial"/>
                <w:noProof/>
              </w:rPr>
            </w:pPr>
            <w:r>
              <w:rPr>
                <w:noProof/>
              </w:rPr>
              <w:t>W oparciu o platformę kredytów komercyjnych (PCC) średni ważony termin płatności („tempo di ritardo”) władz regionalnych (Regioni i Autonome Prowincji) dla przedsiębiorstw wynosi maksymalnie 0 dni.</w:t>
            </w:r>
          </w:p>
        </w:tc>
      </w:tr>
      <w:tr w:rsidR="004C6421" w14:paraId="08CD543E"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D7D9CC1" w14:textId="77777777" w:rsidR="004C6421" w:rsidRDefault="009D1962">
            <w:pPr>
              <w:pStyle w:val="P68B1DB1-Normal4"/>
              <w:jc w:val="center"/>
              <w:rPr>
                <w:rFonts w:cs="Arial"/>
                <w:noProof/>
              </w:rPr>
            </w:pPr>
            <w:r>
              <w:rPr>
                <w:noProof/>
              </w:rPr>
              <w:t>M1C1-94</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6F3698F" w14:textId="77777777" w:rsidR="004C6421" w:rsidRDefault="009D1962">
            <w:pPr>
              <w:pStyle w:val="P68B1DB1-Normal4"/>
              <w:jc w:val="center"/>
              <w:rPr>
                <w:rFonts w:cs="Arial"/>
                <w:noProof/>
              </w:rPr>
            </w:pPr>
            <w:r>
              <w:rPr>
                <w:noProof/>
              </w:rPr>
              <w:t>Reforma 1.11: Zmniejszenie opóźnień w płatnościach dokonywanych przez organy administracji publicznej i służby zdrowia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3257DCD"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57D5B2" w14:textId="77777777" w:rsidR="004C6421" w:rsidRDefault="009D1962">
            <w:pPr>
              <w:pStyle w:val="P68B1DB1-Normal4"/>
              <w:jc w:val="center"/>
              <w:rPr>
                <w:rFonts w:cs="Arial"/>
                <w:noProof/>
              </w:rPr>
            </w:pPr>
            <w:r>
              <w:rPr>
                <w:noProof/>
              </w:rPr>
              <w:t>Zmniejszono średnią liczbę dni opóźnień w płatnościach dla lokalnych organów administracji publicznej</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ADFEA7"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20F4993" w14:textId="77777777" w:rsidR="004C6421" w:rsidRDefault="009D1962">
            <w:pPr>
              <w:pStyle w:val="P68B1DB1-Normal4"/>
              <w:jc w:val="center"/>
              <w:rPr>
                <w:rFonts w:eastAsiaTheme="minorEastAsia" w:cs="Arial"/>
                <w:noProof/>
              </w:rPr>
            </w:pPr>
            <w:r>
              <w:rPr>
                <w:noProof/>
              </w:rPr>
              <w:t>Średnie ważone opóźnienie płatności</w:t>
            </w:r>
          </w:p>
          <w:p w14:paraId="2F865E73" w14:textId="77777777" w:rsidR="004C6421" w:rsidRDefault="009D1962">
            <w:pPr>
              <w:pStyle w:val="P68B1DB1-Normal4"/>
              <w:jc w:val="center"/>
              <w:rPr>
                <w:rFonts w:cs="Arial"/>
                <w:noProof/>
              </w:rPr>
            </w:pPr>
            <w:r>
              <w:rPr>
                <w:noProof/>
              </w:rPr>
              <w:t>(w dniach)</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0E237A5" w14:textId="77777777" w:rsidR="004C6421" w:rsidRDefault="009D1962">
            <w:pPr>
              <w:pStyle w:val="P68B1DB1-Normal4"/>
              <w:jc w:val="center"/>
              <w:rPr>
                <w:rFonts w:cs="Arial"/>
                <w:noProof/>
              </w:rPr>
            </w:pPr>
            <w:r>
              <w:rPr>
                <w:noProof/>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7D94ED" w14:textId="77777777" w:rsidR="004C6421" w:rsidRDefault="009D1962">
            <w:pPr>
              <w:pStyle w:val="P68B1DB1-Normal4"/>
              <w:jc w:val="center"/>
              <w:rPr>
                <w:rFonts w:cs="Arial"/>
                <w:noProof/>
              </w:rPr>
            </w:pPr>
            <w:r>
              <w:rPr>
                <w:noProof/>
              </w:rPr>
              <w:t>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9C715BA" w14:textId="617CB5AC" w:rsidR="004C6421" w:rsidRDefault="00CC179E">
            <w:pPr>
              <w:pStyle w:val="P68B1DB1-Normal4"/>
              <w:jc w:val="center"/>
              <w:rPr>
                <w:rFonts w:cs="Arial"/>
                <w:noProof/>
              </w:rPr>
            </w:pPr>
            <w:r>
              <w:rPr>
                <w:noProof/>
              </w:rPr>
              <w:t>KW. 1</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993AF1" w14:textId="77777777" w:rsidR="004C6421" w:rsidRDefault="009D1962">
            <w:pPr>
              <w:pStyle w:val="P68B1DB1-Normal4"/>
              <w:jc w:val="center"/>
              <w:rPr>
                <w:rFonts w:cs="Arial"/>
                <w:noProof/>
              </w:rPr>
            </w:pPr>
            <w:r>
              <w:rPr>
                <w:noProof/>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76F622" w14:textId="77777777" w:rsidR="004C6421" w:rsidRDefault="009D1962">
            <w:pPr>
              <w:pStyle w:val="P68B1DB1-Normal4"/>
              <w:spacing w:before="100" w:beforeAutospacing="1" w:after="120"/>
              <w:rPr>
                <w:rFonts w:cs="Arial"/>
                <w:noProof/>
              </w:rPr>
            </w:pPr>
            <w:r>
              <w:rPr>
                <w:noProof/>
              </w:rPr>
              <w:t>W oparciu o platformę kredytów komercyjnych (PCC) średni ważony termin płatności („tempo di ritardo”) władz lokalnych (enti locali) dla przedsiębiorstw wynosi nie więcej niż 0 dni.</w:t>
            </w:r>
          </w:p>
        </w:tc>
      </w:tr>
      <w:tr w:rsidR="004C6421" w14:paraId="6BF69FA2"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825727D" w14:textId="77777777" w:rsidR="004C6421" w:rsidRDefault="009D1962">
            <w:pPr>
              <w:pStyle w:val="P68B1DB1-Normal4"/>
              <w:jc w:val="center"/>
              <w:rPr>
                <w:rFonts w:cs="Arial"/>
                <w:noProof/>
              </w:rPr>
            </w:pPr>
            <w:r>
              <w:rPr>
                <w:noProof/>
              </w:rPr>
              <w:t>M1C1-95</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FA60671" w14:textId="77777777" w:rsidR="004C6421" w:rsidRDefault="009D1962">
            <w:pPr>
              <w:pStyle w:val="P68B1DB1-Normal4"/>
              <w:jc w:val="center"/>
              <w:rPr>
                <w:rFonts w:cs="Arial"/>
                <w:noProof/>
              </w:rPr>
            </w:pPr>
            <w:r>
              <w:rPr>
                <w:noProof/>
              </w:rPr>
              <w:t>Reforma 1.11: Zmniejszenie opóźnień w płatnościach dokonywanych przez organy administracji publicznej i służby zdrowia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51FF81"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7C3EBA2" w14:textId="77777777" w:rsidR="004C6421" w:rsidRDefault="009D1962">
            <w:pPr>
              <w:pStyle w:val="P68B1DB1-Normal4"/>
              <w:jc w:val="center"/>
              <w:rPr>
                <w:rFonts w:cs="Arial"/>
                <w:noProof/>
              </w:rPr>
            </w:pPr>
            <w:r>
              <w:rPr>
                <w:noProof/>
              </w:rPr>
              <w:t>Zmniejszono średnią liczbę dni zwłoki w płatnościach dla administracji publicznej w dziedzinie zdrowia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2334B65"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E0153F" w14:textId="77777777" w:rsidR="004C6421" w:rsidRDefault="009D1962">
            <w:pPr>
              <w:pStyle w:val="P68B1DB1-Normal4"/>
              <w:jc w:val="center"/>
              <w:rPr>
                <w:rFonts w:eastAsiaTheme="minorEastAsia" w:cs="Arial"/>
                <w:noProof/>
              </w:rPr>
            </w:pPr>
            <w:r>
              <w:rPr>
                <w:noProof/>
              </w:rPr>
              <w:t>Średnie ważone opóźnienie płatności</w:t>
            </w:r>
          </w:p>
          <w:p w14:paraId="239BC42B" w14:textId="77777777" w:rsidR="004C6421" w:rsidRDefault="009D1962">
            <w:pPr>
              <w:pStyle w:val="P68B1DB1-Normal4"/>
              <w:jc w:val="center"/>
              <w:rPr>
                <w:rFonts w:cs="Arial"/>
                <w:noProof/>
              </w:rPr>
            </w:pPr>
            <w:r>
              <w:rPr>
                <w:noProof/>
              </w:rPr>
              <w:t>(w dniach)</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C16B86" w14:textId="77777777" w:rsidR="004C6421" w:rsidRDefault="009D1962">
            <w:pPr>
              <w:pStyle w:val="P68B1DB1-Normal4"/>
              <w:jc w:val="center"/>
              <w:rPr>
                <w:rFonts w:cs="Arial"/>
                <w:noProof/>
              </w:rPr>
            </w:pPr>
            <w:r>
              <w:rPr>
                <w:noProof/>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C46A9F6" w14:textId="77777777" w:rsidR="004C6421" w:rsidRDefault="009D1962">
            <w:pPr>
              <w:pStyle w:val="P68B1DB1-Normal4"/>
              <w:jc w:val="center"/>
              <w:rPr>
                <w:rFonts w:cs="Arial"/>
                <w:noProof/>
              </w:rPr>
            </w:pPr>
            <w:r>
              <w:rPr>
                <w:noProof/>
              </w:rPr>
              <w:t>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DF3465B" w14:textId="08528298" w:rsidR="004C6421" w:rsidRDefault="00CC179E">
            <w:pPr>
              <w:pStyle w:val="P68B1DB1-Normal4"/>
              <w:jc w:val="center"/>
              <w:rPr>
                <w:rFonts w:cs="Arial"/>
                <w:noProof/>
              </w:rPr>
            </w:pPr>
            <w:r>
              <w:rPr>
                <w:noProof/>
              </w:rPr>
              <w:t>KW. 1</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8DED638" w14:textId="77777777" w:rsidR="004C6421" w:rsidRDefault="009D1962">
            <w:pPr>
              <w:pStyle w:val="P68B1DB1-Normal4"/>
              <w:jc w:val="center"/>
              <w:rPr>
                <w:rFonts w:cs="Arial"/>
                <w:noProof/>
              </w:rPr>
            </w:pPr>
            <w:r>
              <w:rPr>
                <w:noProof/>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CCEEEB" w14:textId="77777777" w:rsidR="004C6421" w:rsidRDefault="009D1962">
            <w:pPr>
              <w:pStyle w:val="P68B1DB1-Normal4"/>
              <w:spacing w:before="100" w:beforeAutospacing="1" w:after="120"/>
              <w:rPr>
                <w:rFonts w:cs="Arial"/>
                <w:noProof/>
              </w:rPr>
            </w:pPr>
            <w:r>
              <w:rPr>
                <w:noProof/>
              </w:rPr>
              <w:t>W oparciu o platformę kredytów komercyjnych (PCC) średni ważony termin płatności („tempo di ritardo”) organów ds. zdrowia publicznego (enti del Servizio sanitario nazionale) dla przedsiębiorstw wynosi nie więcej niż 0 dni.</w:t>
            </w:r>
          </w:p>
        </w:tc>
      </w:tr>
      <w:tr w:rsidR="004C6421" w14:paraId="700088F2"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F570A20" w14:textId="77777777" w:rsidR="004C6421" w:rsidRDefault="009D1962">
            <w:pPr>
              <w:pStyle w:val="P68B1DB1-Normal4"/>
              <w:jc w:val="center"/>
              <w:rPr>
                <w:rFonts w:cs="Arial"/>
                <w:noProof/>
              </w:rPr>
            </w:pPr>
            <w:r>
              <w:rPr>
                <w:noProof/>
              </w:rPr>
              <w:t>M1C1-96</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92C6CA0" w14:textId="77777777" w:rsidR="004C6421" w:rsidRDefault="009D1962">
            <w:pPr>
              <w:pStyle w:val="P68B1DB1-Normal4"/>
              <w:jc w:val="center"/>
              <w:rPr>
                <w:rFonts w:cs="Arial"/>
                <w:noProof/>
              </w:rPr>
            </w:pPr>
            <w:r>
              <w:rPr>
                <w:noProof/>
              </w:rPr>
              <w:t>Reforma 1.10: Reforma ram prawnych dotyczących zamówień publicznych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85031D5"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7948E05" w14:textId="77777777" w:rsidR="004C6421" w:rsidRDefault="009D1962">
            <w:pPr>
              <w:pStyle w:val="P68B1DB1-Normal4"/>
              <w:jc w:val="center"/>
              <w:rPr>
                <w:rFonts w:cs="Arial"/>
                <w:noProof/>
              </w:rPr>
            </w:pPr>
            <w:r>
              <w:rPr>
                <w:noProof/>
              </w:rPr>
              <w:t>Średni czas między publikacją a udzieleniem zamówienia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9194743"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9CF891D" w14:textId="77777777" w:rsidR="004C6421" w:rsidRDefault="009D1962">
            <w:pPr>
              <w:pStyle w:val="P68B1DB1-Normal4"/>
              <w:jc w:val="center"/>
              <w:rPr>
                <w:rFonts w:cs="Arial"/>
                <w:noProof/>
              </w:rPr>
            </w:pPr>
            <w:r>
              <w:rPr>
                <w:noProof/>
              </w:rPr>
              <w:t>Numer</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CC0B15" w14:textId="77777777" w:rsidR="004C6421" w:rsidRDefault="009D1962">
            <w:pPr>
              <w:pStyle w:val="P68B1DB1-Normal4"/>
              <w:jc w:val="center"/>
              <w:rPr>
                <w:rFonts w:cs="Arial"/>
                <w:noProof/>
              </w:rPr>
            </w:pPr>
            <w:r>
              <w:rPr>
                <w:noProof/>
              </w:rPr>
              <w:t>193</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3D1EDB0" w14:textId="77777777" w:rsidR="004C6421" w:rsidRDefault="009D1962">
            <w:pPr>
              <w:pStyle w:val="P68B1DB1-Normal4"/>
              <w:jc w:val="center"/>
              <w:rPr>
                <w:rFonts w:cs="Arial"/>
                <w:noProof/>
              </w:rPr>
            </w:pPr>
            <w:r>
              <w:rPr>
                <w:noProof/>
              </w:rPr>
              <w:t>115</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798303B" w14:textId="6068C567"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7F4996" w14:textId="77777777" w:rsidR="004C6421" w:rsidRDefault="009D1962">
            <w:pPr>
              <w:pStyle w:val="P68B1DB1-Normal4"/>
              <w:jc w:val="center"/>
              <w:rPr>
                <w:rFonts w:cs="Arial"/>
                <w:noProof/>
              </w:rPr>
            </w:pPr>
            <w:r>
              <w:rPr>
                <w:noProof/>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236C699" w14:textId="77777777" w:rsidR="004C6421" w:rsidRDefault="009D1962">
            <w:pPr>
              <w:pStyle w:val="P68B1DB1-Normal4"/>
              <w:spacing w:before="100" w:beforeAutospacing="1" w:after="120"/>
              <w:rPr>
                <w:rFonts w:cs="Arial"/>
                <w:noProof/>
              </w:rPr>
            </w:pPr>
            <w:r>
              <w:rPr>
                <w:noProof/>
              </w:rPr>
              <w:t>Na podstawie danych z Dziennika Urzędowego UE (baza danych TED) średni czas między terminem składania ofert a datą podpisania umowy skraca się do nie więcej niż 115 dni w przypadku zamówień przekraczających progi określone w dyrektywach UE w sprawie zamówień publicznych.</w:t>
            </w:r>
          </w:p>
          <w:p w14:paraId="4A6DC3E2" w14:textId="77777777" w:rsidR="004C6421" w:rsidRDefault="009D1962">
            <w:pPr>
              <w:pStyle w:val="P68B1DB1-Normal4"/>
              <w:spacing w:before="100" w:beforeAutospacing="1" w:after="120"/>
              <w:rPr>
                <w:rFonts w:cs="Arial"/>
                <w:noProof/>
              </w:rPr>
            </w:pPr>
            <w:r>
              <w:rPr>
                <w:noProof/>
              </w:rPr>
              <w:t>Zapewnienie pełnej spójności i braku luki czasowej między publikacją danych dotyczących zawarcia umowy w TED a BDNCP (ANAC).</w:t>
            </w:r>
          </w:p>
        </w:tc>
      </w:tr>
      <w:tr w:rsidR="004C6421" w14:paraId="1A768D78"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F928F91" w14:textId="77777777" w:rsidR="004C6421" w:rsidRDefault="009D1962">
            <w:pPr>
              <w:pStyle w:val="P68B1DB1-Normal4"/>
              <w:jc w:val="center"/>
              <w:rPr>
                <w:rFonts w:cs="Arial"/>
                <w:noProof/>
              </w:rPr>
            </w:pPr>
            <w:r>
              <w:rPr>
                <w:noProof/>
              </w:rPr>
              <w:t>M1C1-97</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49A9DFF" w14:textId="77777777" w:rsidR="004C6421" w:rsidRDefault="009D1962">
            <w:pPr>
              <w:pStyle w:val="P68B1DB1-Normal4"/>
              <w:jc w:val="center"/>
              <w:rPr>
                <w:rFonts w:cs="Arial"/>
                <w:noProof/>
              </w:rPr>
            </w:pPr>
            <w:r>
              <w:rPr>
                <w:noProof/>
              </w:rPr>
              <w:t>Reforma 1.10: Reforma ram prawnych dotyczących zamówień publicznych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AABFDD5"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3357EB8" w14:textId="77777777" w:rsidR="004C6421" w:rsidRDefault="009D1962">
            <w:pPr>
              <w:pStyle w:val="P68B1DB1-Normal4"/>
              <w:jc w:val="center"/>
              <w:rPr>
                <w:rFonts w:cs="Arial"/>
                <w:noProof/>
              </w:rPr>
            </w:pPr>
            <w:r>
              <w:rPr>
                <w:noProof/>
              </w:rPr>
              <w:t>Średni czas między udzieleniem zamówienia a realizacją infrastruktury</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64AFE02"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5FF7029" w14:textId="77777777" w:rsidR="004C6421" w:rsidRDefault="009D1962">
            <w:pPr>
              <w:pStyle w:val="P68B1DB1-Normal4"/>
              <w:jc w:val="center"/>
              <w:rPr>
                <w:rFonts w:cs="Arial"/>
                <w:noProof/>
              </w:rPr>
            </w:pPr>
            <w:r>
              <w:rPr>
                <w:noProof/>
              </w:rPr>
              <w:t>Procent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37ED924" w14:textId="77777777" w:rsidR="004C6421" w:rsidRDefault="009D1962">
            <w:pPr>
              <w:pStyle w:val="P68B1DB1-Normal4"/>
              <w:jc w:val="center"/>
              <w:rPr>
                <w:rFonts w:cs="Arial"/>
                <w:noProof/>
              </w:rPr>
            </w:pPr>
            <w:r>
              <w:rPr>
                <w:noProof/>
              </w:rPr>
              <w:t>100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45D2AD9" w14:textId="77777777" w:rsidR="004C6421" w:rsidRDefault="009D1962">
            <w:pPr>
              <w:pStyle w:val="P68B1DB1-Normal4"/>
              <w:jc w:val="center"/>
              <w:rPr>
                <w:rFonts w:cs="Arial"/>
                <w:noProof/>
              </w:rPr>
            </w:pPr>
            <w:r>
              <w:rPr>
                <w:noProof/>
              </w:rPr>
              <w:t>88</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5418878" w14:textId="3B3C45DF"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E1D41EE" w14:textId="1251581A" w:rsidR="004C6421" w:rsidRDefault="009D1962">
            <w:pPr>
              <w:pStyle w:val="P68B1DB1-Normal4"/>
              <w:jc w:val="center"/>
              <w:rPr>
                <w:rFonts w:cs="Arial"/>
                <w:noProof/>
              </w:rPr>
            </w:pPr>
            <w:r>
              <w:rPr>
                <w:noProof/>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77153C" w14:textId="1D896264" w:rsidR="004C6421" w:rsidRDefault="009D1962">
            <w:pPr>
              <w:pStyle w:val="P68B1DB1-Normal4"/>
              <w:spacing w:before="100" w:beforeAutospacing="1" w:after="120"/>
              <w:rPr>
                <w:rFonts w:cs="Arial"/>
                <w:noProof/>
              </w:rPr>
            </w:pPr>
            <w:r>
              <w:rPr>
                <w:noProof/>
              </w:rPr>
              <w:t>Średni czas między udzieleniem zamówienia a realizacją infrastruktury (etap wykonawczy) skraca się o co najmniej 12 % na podstawie porównania (i) robót budowlanych udzielonych w okresie od dnia 1 stycznia do dnia 31 grudnia 2019 r. i zakończonych do dnia 30 czerwca 2021 r. oraz (ii) robót budowlanych udzielonych w okresie od dnia 1 lipca 2022 r. do dnia 30 czerwca 2023 r. i zakończonych do dnia 31 grudnia 2024 r.</w:t>
            </w:r>
          </w:p>
        </w:tc>
      </w:tr>
      <w:tr w:rsidR="004C6421" w14:paraId="3488E2F5"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1DF2EF" w14:textId="77777777" w:rsidR="004C6421" w:rsidRDefault="009D1962">
            <w:pPr>
              <w:pStyle w:val="P68B1DB1-Normal4"/>
              <w:jc w:val="center"/>
              <w:rPr>
                <w:rFonts w:cs="Arial"/>
                <w:noProof/>
              </w:rPr>
            </w:pPr>
            <w:r>
              <w:rPr>
                <w:noProof/>
              </w:rPr>
              <w:t>M1C1-97bis</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FD9976" w14:textId="77777777" w:rsidR="004C6421" w:rsidRDefault="009D1962">
            <w:pPr>
              <w:pStyle w:val="P68B1DB1-Normal4"/>
              <w:jc w:val="center"/>
              <w:rPr>
                <w:rFonts w:cs="Arial"/>
                <w:noProof/>
              </w:rPr>
            </w:pPr>
            <w:r>
              <w:rPr>
                <w:noProof/>
              </w:rPr>
              <w:t>Reforma 1.10: Reforma ram prawnych dotyczących zamówień publicznych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FF50728"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20415A" w14:textId="77777777" w:rsidR="004C6421" w:rsidRDefault="009D1962">
            <w:pPr>
              <w:pStyle w:val="P68B1DB1-Normal4"/>
              <w:jc w:val="center"/>
              <w:rPr>
                <w:rFonts w:cs="Arial"/>
                <w:noProof/>
              </w:rPr>
            </w:pPr>
            <w:r>
              <w:rPr>
                <w:noProof/>
              </w:rPr>
              <w:t>Średni czas między udzieleniem zamówienia a realizacją infrastruktury</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77FFE5"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CA0EB1A" w14:textId="77777777" w:rsidR="004C6421" w:rsidRDefault="009D1962">
            <w:pPr>
              <w:pStyle w:val="P68B1DB1-Normal4"/>
              <w:jc w:val="center"/>
              <w:rPr>
                <w:rFonts w:cs="Arial"/>
                <w:noProof/>
              </w:rPr>
            </w:pPr>
            <w:r>
              <w:rPr>
                <w:noProof/>
              </w:rPr>
              <w:t>Procent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682867" w14:textId="77777777" w:rsidR="004C6421" w:rsidRDefault="009D1962">
            <w:pPr>
              <w:pStyle w:val="P68B1DB1-Normal4"/>
              <w:jc w:val="center"/>
              <w:rPr>
                <w:rFonts w:cs="Arial"/>
                <w:noProof/>
              </w:rPr>
            </w:pPr>
            <w:r>
              <w:rPr>
                <w:noProof/>
              </w:rPr>
              <w:t>100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AE2B6BC" w14:textId="77777777" w:rsidR="004C6421" w:rsidRDefault="009D1962">
            <w:pPr>
              <w:pStyle w:val="P68B1DB1-Normal4"/>
              <w:jc w:val="center"/>
              <w:rPr>
                <w:rFonts w:cs="Arial"/>
                <w:noProof/>
              </w:rPr>
            </w:pPr>
            <w:r>
              <w:rPr>
                <w:noProof/>
              </w:rPr>
              <w:t>85</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689106E" w14:textId="3A904F33"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3482666" w14:textId="4D3B2C32" w:rsidR="004C6421" w:rsidRDefault="009D1962">
            <w:pPr>
              <w:pStyle w:val="P68B1DB1-Normal4"/>
              <w:jc w:val="center"/>
              <w:rPr>
                <w:rFonts w:cs="Arial"/>
                <w:noProof/>
              </w:rPr>
            </w:pPr>
            <w:r>
              <w:rPr>
                <w:noProof/>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1F5FA1C" w14:textId="4BCF0472" w:rsidR="004C6421" w:rsidRDefault="009D1962">
            <w:pPr>
              <w:pStyle w:val="P68B1DB1-Normal4"/>
              <w:spacing w:before="100" w:beforeAutospacing="1" w:after="120"/>
              <w:rPr>
                <w:rFonts w:cs="Arial"/>
                <w:noProof/>
              </w:rPr>
            </w:pPr>
            <w:r>
              <w:rPr>
                <w:noProof/>
              </w:rPr>
              <w:t>Średni czas między udzieleniem zamówienia a realizacją infrastruktury („etap wykonawczy”) skraca się o co najmniej 15 % na podstawie porównania (i) robót budowlanych udzielonych w okresie od dnia 1 stycznia do dnia 31 grudnia 2019 r. i zakończonych do dnia 30 czerwca 2021 r. oraz (ii) robót budowlanych udzielonych w okresie od dnia 1 lipca 2023 r. do dnia 30 czerwca 2024 r. i zakończonych do dnia 31 grudnia 2025 r.</w:t>
            </w:r>
          </w:p>
        </w:tc>
      </w:tr>
      <w:tr w:rsidR="004C6421" w14:paraId="1BD65918"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277A23B" w14:textId="77777777" w:rsidR="004C6421" w:rsidRDefault="009D1962">
            <w:pPr>
              <w:pStyle w:val="P68B1DB1-Normal4"/>
              <w:jc w:val="center"/>
              <w:rPr>
                <w:rFonts w:cs="Arial"/>
                <w:noProof/>
              </w:rPr>
            </w:pPr>
            <w:r>
              <w:rPr>
                <w:noProof/>
              </w:rPr>
              <w:t>M1C1-98</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2976103" w14:textId="77777777" w:rsidR="004C6421" w:rsidRDefault="009D1962">
            <w:pPr>
              <w:pStyle w:val="P68B1DB1-Normal4"/>
              <w:jc w:val="center"/>
              <w:rPr>
                <w:rFonts w:cs="Arial"/>
                <w:noProof/>
              </w:rPr>
            </w:pPr>
            <w:r>
              <w:rPr>
                <w:noProof/>
              </w:rPr>
              <w:t>Reforma 1.10: Reforma ram prawnych dotyczących zamówień publicznych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71970B"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4BC6181" w14:textId="77777777" w:rsidR="004C6421" w:rsidRDefault="009D1962">
            <w:pPr>
              <w:pStyle w:val="P68B1DB1-Normal4"/>
              <w:jc w:val="center"/>
              <w:rPr>
                <w:rFonts w:cs="Arial"/>
                <w:noProof/>
              </w:rPr>
            </w:pPr>
            <w:r>
              <w:rPr>
                <w:noProof/>
              </w:rPr>
              <w:t>Urzędnicy służby cywilnej przeszkoleni w ramach strategii na rzecz profesjonalizacji nabywców publicznych</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F569E7"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6ECAD2B" w14:textId="77777777" w:rsidR="004C6421" w:rsidRDefault="009D1962">
            <w:pPr>
              <w:pStyle w:val="P68B1DB1-Normal4"/>
              <w:jc w:val="center"/>
              <w:rPr>
                <w:rFonts w:cs="Arial"/>
                <w:noProof/>
              </w:rPr>
            </w:pPr>
            <w:r>
              <w:rPr>
                <w:noProof/>
              </w:rPr>
              <w:t>Procent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BC13D4" w14:textId="77777777" w:rsidR="004C6421" w:rsidRDefault="009D1962">
            <w:pPr>
              <w:pStyle w:val="P68B1DB1-Normal4"/>
              <w:jc w:val="center"/>
              <w:rPr>
                <w:rFonts w:cs="Arial"/>
                <w:noProof/>
              </w:rPr>
            </w:pPr>
            <w:r>
              <w:rPr>
                <w:noProof/>
              </w:rPr>
              <w:t>20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A517140" w14:textId="77777777" w:rsidR="004C6421" w:rsidRDefault="009D1962">
            <w:pPr>
              <w:pStyle w:val="P68B1DB1-Normal4"/>
              <w:jc w:val="center"/>
              <w:rPr>
                <w:rFonts w:cs="Arial"/>
                <w:noProof/>
              </w:rPr>
            </w:pPr>
            <w:r>
              <w:rPr>
                <w:noProof/>
              </w:rPr>
              <w:t>40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17277CB" w14:textId="2E69E57F"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6A94E3" w14:textId="77777777" w:rsidR="004C6421" w:rsidRDefault="009D1962">
            <w:pPr>
              <w:pStyle w:val="P68B1DB1-Normal4"/>
              <w:jc w:val="center"/>
              <w:rPr>
                <w:rFonts w:cs="Arial"/>
                <w:noProof/>
              </w:rPr>
            </w:pPr>
            <w:r>
              <w:rPr>
                <w:noProof/>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6DEC91E" w14:textId="77777777" w:rsidR="004C6421" w:rsidRDefault="009D1962">
            <w:pPr>
              <w:pStyle w:val="P68B1DB1-Normal6"/>
              <w:spacing w:before="100" w:beforeAutospacing="1" w:after="120"/>
              <w:rPr>
                <w:rFonts w:cs="Arial"/>
                <w:noProof/>
                <w:color w:val="006100"/>
              </w:rPr>
            </w:pPr>
            <w:r>
              <w:rPr>
                <w:noProof/>
                <w:color w:val="006100"/>
              </w:rPr>
              <w:t>Co najmniej 40 % urzędników służby cywilnej zostało przeszkolonych w ramach strategii profesjonalizacji nabywców</w:t>
            </w:r>
            <w:r>
              <w:rPr>
                <w:noProof/>
              </w:rPr>
              <w:t xml:space="preserve"> publicznych w </w:t>
            </w:r>
            <w:r>
              <w:rPr>
                <w:noProof/>
                <w:color w:val="006100"/>
              </w:rPr>
              <w:t>celu uzyskania kwalifikacji. Odsetek ten uwzględnia całkowitą liczbę urzędników służby cywilnej aktywnie zaangażowanych w zamówienia publiczne, tj. 100000 nabywców publicznych zarejestrowanych na dzień 30 kwietnia 2021 r. w krajowym systemie e-zamówień zarządzanym przez Consip w imieniu MEF.</w:t>
            </w:r>
          </w:p>
        </w:tc>
      </w:tr>
      <w:tr w:rsidR="004C6421" w14:paraId="553F67EC"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924B55B" w14:textId="77777777" w:rsidR="004C6421" w:rsidRDefault="009D1962">
            <w:pPr>
              <w:pStyle w:val="P68B1DB1-Normal4"/>
              <w:jc w:val="center"/>
              <w:rPr>
                <w:rFonts w:cs="Arial"/>
                <w:noProof/>
              </w:rPr>
            </w:pPr>
            <w:r>
              <w:rPr>
                <w:noProof/>
              </w:rPr>
              <w:t>M1C1-98bis</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04E0A0C" w14:textId="77777777" w:rsidR="004C6421" w:rsidRDefault="009D1962">
            <w:pPr>
              <w:pStyle w:val="P68B1DB1-Normal4"/>
              <w:jc w:val="center"/>
              <w:rPr>
                <w:rFonts w:cs="Arial"/>
                <w:noProof/>
              </w:rPr>
            </w:pPr>
            <w:r>
              <w:rPr>
                <w:noProof/>
              </w:rPr>
              <w:t>Reforma 1.10: Reforma ram prawnych dotyczących zamówień publicznych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CE44BB9"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D39B81F" w14:textId="77777777" w:rsidR="004C6421" w:rsidRDefault="009D1962">
            <w:pPr>
              <w:pStyle w:val="P68B1DB1-Normal4"/>
              <w:jc w:val="center"/>
              <w:rPr>
                <w:rFonts w:cs="Arial"/>
                <w:noProof/>
              </w:rPr>
            </w:pPr>
            <w:r>
              <w:rPr>
                <w:noProof/>
              </w:rPr>
              <w:t>Urzędnicy służby cywilnej przeszkoleni w ramach strategii na rzecz profesjonalizacji nabywców publicznych</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A5954C7"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0163621" w14:textId="77777777" w:rsidR="004C6421" w:rsidRDefault="009D1962">
            <w:pPr>
              <w:pStyle w:val="P68B1DB1-Normal4"/>
              <w:jc w:val="center"/>
              <w:rPr>
                <w:rFonts w:cs="Arial"/>
                <w:noProof/>
              </w:rPr>
            </w:pPr>
            <w:r>
              <w:rPr>
                <w:noProof/>
              </w:rPr>
              <w:t>Procent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274FAD" w14:textId="77777777" w:rsidR="004C6421" w:rsidRDefault="009D1962">
            <w:pPr>
              <w:pStyle w:val="P68B1DB1-Normal4"/>
              <w:jc w:val="center"/>
              <w:rPr>
                <w:rFonts w:cs="Arial"/>
                <w:noProof/>
              </w:rPr>
            </w:pPr>
            <w:r>
              <w:rPr>
                <w:noProof/>
              </w:rPr>
              <w:t>20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2888D2" w14:textId="77777777" w:rsidR="004C6421" w:rsidRDefault="009D1962">
            <w:pPr>
              <w:pStyle w:val="P68B1DB1-Normal4"/>
              <w:jc w:val="center"/>
              <w:rPr>
                <w:rFonts w:cs="Arial"/>
                <w:noProof/>
              </w:rPr>
            </w:pPr>
            <w:r>
              <w:rPr>
                <w:noProof/>
              </w:rPr>
              <w:t>60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815CC7C" w14:textId="2F961440"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75295FB" w14:textId="77777777" w:rsidR="004C6421" w:rsidRDefault="009D1962">
            <w:pPr>
              <w:pStyle w:val="P68B1DB1-Normal4"/>
              <w:jc w:val="center"/>
              <w:rPr>
                <w:rFonts w:cs="Arial"/>
                <w:noProof/>
              </w:rPr>
            </w:pPr>
            <w:r>
              <w:rPr>
                <w:noProof/>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6506500" w14:textId="77777777" w:rsidR="004C6421" w:rsidRDefault="009D1962">
            <w:pPr>
              <w:pStyle w:val="P68B1DB1-Normal4"/>
              <w:spacing w:before="100" w:beforeAutospacing="1" w:after="120"/>
              <w:rPr>
                <w:rFonts w:cs="Arial"/>
                <w:noProof/>
              </w:rPr>
            </w:pPr>
            <w:r>
              <w:rPr>
                <w:noProof/>
              </w:rPr>
              <w:t>Co najmniej 60 % urzędników służby cywilnej zostało przeszkolonych w ramach strategii profesjonalizacji nabywców publicznych w celu uzyskania kwalifikacji. Odsetek ten uwzględnia całkowitą liczbę urzędników służby cywilnej aktywnie zaangażowanych w zamówienia publiczne, tj. 100000 nabywców publicznych zarejestrowanych na dzień 30 kwietnia 2021 r. w krajowym systemie e-zamówień zarządzanym przez Consip w imieniu MEF.</w:t>
            </w:r>
          </w:p>
        </w:tc>
      </w:tr>
      <w:tr w:rsidR="004C6421" w14:paraId="4184483C"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C82A80A" w14:textId="77777777" w:rsidR="004C6421" w:rsidRDefault="009D1962">
            <w:pPr>
              <w:pStyle w:val="P68B1DB1-Normal4"/>
              <w:jc w:val="center"/>
              <w:rPr>
                <w:rFonts w:cs="Arial"/>
                <w:noProof/>
              </w:rPr>
            </w:pPr>
            <w:r>
              <w:rPr>
                <w:noProof/>
              </w:rPr>
              <w:t>M1C1-99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B7589A2" w14:textId="77777777" w:rsidR="004C6421" w:rsidRDefault="009D1962">
            <w:pPr>
              <w:pStyle w:val="P68B1DB1-Normal4"/>
              <w:jc w:val="center"/>
              <w:rPr>
                <w:rFonts w:cs="Arial"/>
                <w:noProof/>
              </w:rPr>
            </w:pPr>
            <w:r>
              <w:rPr>
                <w:noProof/>
              </w:rPr>
              <w:t>Reforma 1.10: Reforma ram prawnych dotyczących zamówień publicznych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72DEB63"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7ABFF25" w14:textId="77777777" w:rsidR="004C6421" w:rsidRDefault="009D1962">
            <w:pPr>
              <w:pStyle w:val="P68B1DB1-Normal4"/>
              <w:jc w:val="center"/>
              <w:rPr>
                <w:rFonts w:cs="Arial"/>
                <w:noProof/>
              </w:rPr>
            </w:pPr>
            <w:r>
              <w:rPr>
                <w:noProof/>
              </w:rPr>
              <w:t>Instytucje zamawiające stosujące dynamiczne systemy zakupów</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C68018A" w14:textId="77777777" w:rsidR="004C6421" w:rsidRDefault="009D1962">
            <w:pPr>
              <w:pStyle w:val="P68B1DB1-Normal4"/>
              <w:jc w:val="center"/>
              <w:rPr>
                <w:rFonts w:cs="Arial"/>
                <w:noProof/>
              </w:rPr>
            </w:pPr>
            <w:r>
              <w:rPr>
                <w:noProof/>
              </w:rPr>
              <w:t>Odsetek instytucji zamawiających rządu centralnego korzystających z dynamicznych systemów zakupów zgodnie z dyrektywą UE 2014/24</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0FCF79" w14:textId="77777777" w:rsidR="004C6421" w:rsidRDefault="009D1962">
            <w:pPr>
              <w:pStyle w:val="P68B1DB1-Normal4"/>
              <w:jc w:val="center"/>
              <w:rPr>
                <w:rFonts w:cs="Arial"/>
                <w:noProof/>
              </w:rPr>
            </w:pPr>
            <w:r>
              <w:rPr>
                <w:noProof/>
              </w:rPr>
              <w:t>Procent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296FB3F" w14:textId="77777777" w:rsidR="004C6421" w:rsidRDefault="009D1962">
            <w:pPr>
              <w:pStyle w:val="P68B1DB1-Normal4"/>
              <w:jc w:val="center"/>
              <w:rPr>
                <w:rFonts w:cs="Arial"/>
                <w:noProof/>
              </w:rPr>
            </w:pPr>
            <w:r>
              <w:rPr>
                <w:noProof/>
              </w:rPr>
              <w:t>15</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3172C1" w14:textId="77777777" w:rsidR="004C6421" w:rsidRDefault="009D1962">
            <w:pPr>
              <w:pStyle w:val="P68B1DB1-Normal4"/>
              <w:jc w:val="center"/>
              <w:rPr>
                <w:rFonts w:cs="Arial"/>
                <w:noProof/>
              </w:rPr>
            </w:pPr>
            <w:r>
              <w:rPr>
                <w:noProof/>
              </w:rPr>
              <w:t>20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0C5245" w14:textId="5FEA61FA" w:rsidR="004C6421" w:rsidRDefault="009D1962">
            <w:pPr>
              <w:pStyle w:val="P68B1DB1-Normal4"/>
              <w:jc w:val="center"/>
              <w:rPr>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4BCFA15" w14:textId="77777777" w:rsidR="004C6421" w:rsidRDefault="009D1962">
            <w:pPr>
              <w:pStyle w:val="P68B1DB1-Normal4"/>
              <w:jc w:val="center"/>
              <w:rPr>
                <w:rFonts w:cs="Arial"/>
                <w:noProof/>
              </w:rPr>
            </w:pPr>
            <w:r>
              <w:rPr>
                <w:noProof/>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0D2C960" w14:textId="3A2B613A" w:rsidR="004C6421" w:rsidRDefault="009D1962">
            <w:pPr>
              <w:pStyle w:val="P68B1DB1-Normal4"/>
              <w:spacing w:before="100" w:beforeAutospacing="1" w:after="120"/>
              <w:rPr>
                <w:rFonts w:cs="Arial"/>
                <w:noProof/>
              </w:rPr>
            </w:pPr>
            <w:r>
              <w:rPr>
                <w:noProof/>
              </w:rPr>
              <w:t>Co najmniej 20 % instytucji zamawiających korzysta z dynamicznych systemów zakupów zgodnie z dyrektywą 2014/24 (termin obserwacji rozpoczynający się 1 stycznia 2022 r.). Instytucjami zamawiającymi rządu centralnego jest 250 administracji publicznych (zgodnie z rejestracją na dzień 30 kwietnia 2021 r. w krajowym systemie e-zamówień zarządzanym przez Consip w imieniu MEF).</w:t>
            </w:r>
          </w:p>
        </w:tc>
      </w:tr>
      <w:tr w:rsidR="004C6421" w14:paraId="649F1C9C"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AD3EFE8" w14:textId="77777777" w:rsidR="004C6421" w:rsidRDefault="009D1962">
            <w:pPr>
              <w:pStyle w:val="P68B1DB1-Normal4"/>
              <w:jc w:val="center"/>
              <w:rPr>
                <w:rFonts w:cs="Arial"/>
                <w:noProof/>
              </w:rPr>
            </w:pPr>
            <w:r>
              <w:rPr>
                <w:noProof/>
              </w:rPr>
              <w:t>M1C1-99bis</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A73D0B" w14:textId="77777777" w:rsidR="004C6421" w:rsidRDefault="009D1962">
            <w:pPr>
              <w:pStyle w:val="P68B1DB1-Normal4"/>
              <w:jc w:val="center"/>
              <w:rPr>
                <w:rFonts w:cs="Arial"/>
                <w:noProof/>
              </w:rPr>
            </w:pPr>
            <w:r>
              <w:rPr>
                <w:noProof/>
              </w:rPr>
              <w:t>Reforma 1.10: Reforma ram prawnych dotyczących zamówień publicznych</w:t>
            </w:r>
          </w:p>
          <w:p w14:paraId="4DDDBDD1" w14:textId="77777777" w:rsidR="004C6421" w:rsidRDefault="004C6421">
            <w:pPr>
              <w:jc w:val="center"/>
              <w:rPr>
                <w:rFonts w:ascii="Arial Narrow" w:hAnsi="Arial Narrow" w:cs="Arial"/>
                <w:noProof/>
                <w:color w:val="006100"/>
                <w:sz w:val="20"/>
              </w:rPr>
            </w:pPr>
          </w:p>
          <w:p w14:paraId="4EC7C747" w14:textId="77777777" w:rsidR="004C6421" w:rsidRDefault="009D1962">
            <w:pPr>
              <w:pStyle w:val="P68B1DB1-Normal4"/>
              <w:jc w:val="center"/>
              <w:rPr>
                <w:rFonts w:cs="Arial"/>
                <w:noProof/>
              </w:rPr>
            </w:pPr>
            <w:r>
              <w:rPr>
                <w:noProof/>
              </w:rPr>
              <w:t>Inwestycja 1.10: Wsparcie na rzecz kwalifikacji i e-zamówień</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134CC27"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188DA72" w14:textId="77777777" w:rsidR="004C6421" w:rsidRDefault="009D1962">
            <w:pPr>
              <w:pStyle w:val="P68B1DB1-Normal4"/>
              <w:jc w:val="center"/>
              <w:rPr>
                <w:rFonts w:cs="Arial"/>
                <w:noProof/>
              </w:rPr>
            </w:pPr>
            <w:r>
              <w:rPr>
                <w:noProof/>
              </w:rPr>
              <w:t xml:space="preserve">Kompetencje cyfrowe instytucji zamawiających </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A311EEE" w14:textId="77777777" w:rsidR="004C6421" w:rsidRDefault="009D1962">
            <w:pPr>
              <w:pStyle w:val="P68B1DB1-Normal4"/>
              <w:jc w:val="center"/>
              <w:rPr>
                <w:rFonts w:cs="Arial"/>
                <w:noProof/>
              </w:rPr>
            </w:pPr>
            <w:r>
              <w:rPr>
                <w:noProof/>
              </w:rPr>
              <w:t>Odsetek instytucji zamawiających samorządów lokalnych właściwych cyfrowo</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97C704C" w14:textId="77777777" w:rsidR="004C6421" w:rsidRDefault="009D1962">
            <w:pPr>
              <w:pStyle w:val="P68B1DB1-Normal4"/>
              <w:jc w:val="center"/>
              <w:rPr>
                <w:rFonts w:cs="Arial"/>
                <w:noProof/>
              </w:rPr>
            </w:pPr>
            <w:r>
              <w:rPr>
                <w:noProof/>
              </w:rPr>
              <w:t>Procent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ECD34D" w14:textId="77777777" w:rsidR="004C6421" w:rsidRDefault="009D1962">
            <w:pPr>
              <w:pStyle w:val="P68B1DB1-Normal4"/>
              <w:jc w:val="center"/>
              <w:rPr>
                <w:rFonts w:cs="Arial"/>
                <w:noProof/>
              </w:rPr>
            </w:pPr>
            <w:r>
              <w:rPr>
                <w:noProof/>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72F395" w14:textId="77777777" w:rsidR="004C6421" w:rsidRDefault="009D1962">
            <w:pPr>
              <w:pStyle w:val="P68B1DB1-Normal4"/>
              <w:jc w:val="center"/>
              <w:rPr>
                <w:rFonts w:cs="Arial"/>
                <w:noProof/>
              </w:rPr>
            </w:pPr>
            <w:r>
              <w:rPr>
                <w:noProof/>
              </w:rPr>
              <w:t>50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9F78752" w14:textId="2B93B04C"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0F6015" w14:textId="77777777" w:rsidR="004C6421" w:rsidRDefault="009D1962">
            <w:pPr>
              <w:pStyle w:val="P68B1DB1-Normal4"/>
              <w:jc w:val="center"/>
              <w:rPr>
                <w:rFonts w:cs="Arial"/>
                <w:noProof/>
              </w:rPr>
            </w:pPr>
            <w:r>
              <w:rPr>
                <w:noProof/>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E5D2E1" w14:textId="77777777" w:rsidR="004C6421" w:rsidRDefault="009D1962">
            <w:pPr>
              <w:pStyle w:val="P68B1DB1-Normal4"/>
              <w:spacing w:before="100" w:beforeAutospacing="1" w:after="120"/>
              <w:rPr>
                <w:rFonts w:cs="Arial"/>
                <w:noProof/>
              </w:rPr>
            </w:pPr>
            <w:r>
              <w:rPr>
                <w:noProof/>
              </w:rPr>
              <w:t>Co najmniej 50 % lokalnych instytucji zamawiających posiada kompetencje cyfrowe wymagane w ramach kwalifikacji.</w:t>
            </w:r>
          </w:p>
          <w:p w14:paraId="3BD7E5FE" w14:textId="77777777" w:rsidR="004C6421" w:rsidRDefault="009D1962">
            <w:pPr>
              <w:pStyle w:val="P68B1DB1-Normal4"/>
              <w:spacing w:before="100" w:beforeAutospacing="1" w:after="120"/>
              <w:rPr>
                <w:rFonts w:cs="Arial"/>
                <w:noProof/>
              </w:rPr>
            </w:pPr>
            <w:r>
              <w:rPr>
                <w:noProof/>
              </w:rPr>
              <w:t>Instytucje zamawiające, które spełniają te same wymogi za pośrednictwem scentralizowanych jednostek zakupujących, są również uwzględniane do celów osiągnięcia celu.</w:t>
            </w:r>
          </w:p>
        </w:tc>
      </w:tr>
      <w:tr w:rsidR="004C6421" w14:paraId="7FAEB8CD"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19769F" w14:textId="77777777" w:rsidR="004C6421" w:rsidRDefault="009D1962">
            <w:pPr>
              <w:pStyle w:val="P68B1DB1-Normal4"/>
              <w:jc w:val="center"/>
              <w:rPr>
                <w:rFonts w:cs="Arial"/>
                <w:noProof/>
              </w:rPr>
            </w:pPr>
            <w:r>
              <w:rPr>
                <w:noProof/>
              </w:rPr>
              <w:t>M1C1-100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6E88575" w14:textId="77777777" w:rsidR="004C6421" w:rsidRDefault="009D1962">
            <w:pPr>
              <w:pStyle w:val="P68B1DB1-Normal4"/>
              <w:jc w:val="center"/>
              <w:rPr>
                <w:rFonts w:cs="Arial"/>
                <w:noProof/>
              </w:rPr>
            </w:pPr>
            <w:r>
              <w:rPr>
                <w:noProof/>
              </w:rPr>
              <w:t>Reforma 1.13: Reforma ram przeglądu wydatków</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54AF3A" w14:textId="5BDF0D4E"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D2EFC0" w14:textId="77777777" w:rsidR="004C6421" w:rsidRDefault="009D1962">
            <w:pPr>
              <w:pStyle w:val="P68B1DB1-Normal4"/>
              <w:jc w:val="center"/>
              <w:rPr>
                <w:rFonts w:cs="Arial"/>
                <w:noProof/>
              </w:rPr>
            </w:pPr>
            <w:r>
              <w:rPr>
                <w:noProof/>
              </w:rPr>
              <w:t>Wejście w życie przepisów prawnych zwiększających skuteczność przeglądu wydatków – wzmocnienie Ministerstwa Finansów</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F4494FB" w14:textId="77777777" w:rsidR="004C6421" w:rsidRDefault="009D1962">
            <w:pPr>
              <w:pStyle w:val="P68B1DB1-Normal4"/>
              <w:jc w:val="center"/>
              <w:rPr>
                <w:rFonts w:cs="Arial"/>
                <w:noProof/>
              </w:rPr>
            </w:pPr>
            <w:r>
              <w:rPr>
                <w:noProof/>
              </w:rPr>
              <w:t>Przepis ustawy wskazujący na wejście w życie ustawy</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5144152"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51A9BFD"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DF1167"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0AB63C1" w14:textId="170E3DEF"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A1E9398" w14:textId="77777777" w:rsidR="004C6421" w:rsidRDefault="009D1962">
            <w:pPr>
              <w:pStyle w:val="P68B1DB1-Normal4"/>
              <w:jc w:val="center"/>
              <w:rPr>
                <w:rFonts w:cs="Arial"/>
                <w:noProof/>
              </w:rPr>
            </w:pPr>
            <w:r>
              <w:rPr>
                <w:noProof/>
              </w:rPr>
              <w:t>2021</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10F5B4" w14:textId="77777777" w:rsidR="004C6421" w:rsidRDefault="009D1962">
            <w:pPr>
              <w:pStyle w:val="P68B1DB1-Normal4"/>
              <w:spacing w:before="100" w:beforeAutospacing="1" w:after="120"/>
              <w:rPr>
                <w:rFonts w:cs="Arial"/>
                <w:noProof/>
              </w:rPr>
            </w:pPr>
            <w:r>
              <w:rPr>
                <w:noProof/>
              </w:rPr>
              <w:t>Zmienione ramy przeglądów wydatków w centralnej administracji państwowej (ministerstwach) poprawią ich skuteczność poprzez wzmocnienie roli Ministerstwa Gospodarki i Finansów. W szczególności przewiduje on wzmocnienie roli Ministerstwa Gospodarki i Finansów w ocenie ex ante, procesach monitorowania i ocenie ex post, co pozwoli na wyegzekwowanie dokładnego wykonania przeglądów i osiągnięcia zamierzonych celów.</w:t>
            </w:r>
          </w:p>
        </w:tc>
      </w:tr>
      <w:tr w:rsidR="004C6421" w14:paraId="12882204"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F49C70" w14:textId="77777777" w:rsidR="004C6421" w:rsidRDefault="009D1962">
            <w:pPr>
              <w:pStyle w:val="P68B1DB1-Normal4"/>
              <w:jc w:val="center"/>
              <w:rPr>
                <w:rFonts w:cs="Arial"/>
                <w:noProof/>
              </w:rPr>
            </w:pPr>
            <w:r>
              <w:rPr>
                <w:noProof/>
              </w:rPr>
              <w:t>M1C1-101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225A36" w14:textId="77777777" w:rsidR="004C6421" w:rsidRDefault="009D1962">
            <w:pPr>
              <w:pStyle w:val="P68B1DB1-Normal4"/>
              <w:jc w:val="center"/>
              <w:rPr>
                <w:rFonts w:cs="Arial"/>
                <w:noProof/>
              </w:rPr>
            </w:pPr>
            <w:r>
              <w:rPr>
                <w:noProof/>
              </w:rPr>
              <w:t>Reforma 1.12:</w:t>
            </w:r>
          </w:p>
          <w:p w14:paraId="63EBCE9D" w14:textId="77777777" w:rsidR="004C6421" w:rsidRDefault="009D1962">
            <w:pPr>
              <w:pStyle w:val="P68B1DB1-Normal4"/>
              <w:jc w:val="center"/>
              <w:rPr>
                <w:rFonts w:cs="Arial"/>
                <w:noProof/>
              </w:rPr>
            </w:pPr>
            <w:r>
              <w:rPr>
                <w:noProof/>
              </w:rPr>
              <w:t>Reforma administracji podatkowej</w:t>
            </w:r>
          </w:p>
          <w:p w14:paraId="686246C2" w14:textId="77777777" w:rsidR="004C6421" w:rsidRDefault="004C6421">
            <w:pPr>
              <w:jc w:val="center"/>
              <w:rPr>
                <w:rFonts w:ascii="Arial Narrow" w:hAnsi="Arial Narrow" w:cs="Arial"/>
                <w:noProof/>
                <w:color w:val="006100"/>
                <w:sz w:val="20"/>
              </w:rPr>
            </w:pP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D4165A2" w14:textId="186AB013"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E4B391" w14:textId="77777777" w:rsidR="004C6421" w:rsidRDefault="009D1962">
            <w:pPr>
              <w:pStyle w:val="P68B1DB1-Normal4"/>
              <w:jc w:val="center"/>
              <w:rPr>
                <w:rFonts w:cs="Arial"/>
                <w:noProof/>
              </w:rPr>
            </w:pPr>
            <w:r>
              <w:rPr>
                <w:noProof/>
              </w:rPr>
              <w:t>Przyjęcie przeglądu możliwych działań mających na celu ograniczenie uchylania się od opodatkowania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0C9B8F7" w14:textId="77777777" w:rsidR="004C6421" w:rsidRDefault="009D1962">
            <w:pPr>
              <w:pStyle w:val="P68B1DB1-Normal4"/>
              <w:jc w:val="center"/>
              <w:rPr>
                <w:rFonts w:cs="Arial"/>
                <w:noProof/>
              </w:rPr>
            </w:pPr>
            <w:r>
              <w:rPr>
                <w:noProof/>
              </w:rPr>
              <w:t>Publikacja przeglądu 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C995CD"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184AA8C"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98F84DE"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1E9017B" w14:textId="4FF18FDC"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2EA9470" w14:textId="77777777" w:rsidR="004C6421" w:rsidRDefault="009D1962">
            <w:pPr>
              <w:pStyle w:val="P68B1DB1-Normal4"/>
              <w:jc w:val="center"/>
              <w:rPr>
                <w:rFonts w:cs="Arial"/>
                <w:noProof/>
              </w:rPr>
            </w:pPr>
            <w:r>
              <w:rPr>
                <w:noProof/>
              </w:rPr>
              <w:t>2021</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C4D74D7" w14:textId="77777777" w:rsidR="004C6421" w:rsidRDefault="009D1962">
            <w:pPr>
              <w:pStyle w:val="P68B1DB1-Normal4"/>
              <w:spacing w:before="100" w:beforeAutospacing="1" w:after="120"/>
              <w:rPr>
                <w:rFonts w:cs="Arial"/>
                <w:noProof/>
              </w:rPr>
            </w:pPr>
            <w:r>
              <w:rPr>
                <w:noProof/>
              </w:rPr>
              <w:t>Przyjęcie sprawozdania informującego o działaniach rządu mających na celu ograniczenie uchylania się od opodatkowania w związku z pominięciem fakturowania, zwłaszcza w sektorach najbardziej narażonych na uchylanie się od opodatkowania, w tym poprzez ukierunkowane zachęty dla konsumentów.</w:t>
            </w:r>
          </w:p>
        </w:tc>
      </w:tr>
      <w:tr w:rsidR="004C6421" w14:paraId="307B392F"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B8DB8FD" w14:textId="77777777" w:rsidR="004C6421" w:rsidRDefault="009D1962">
            <w:pPr>
              <w:pStyle w:val="P68B1DB1-Normal4"/>
              <w:jc w:val="center"/>
              <w:rPr>
                <w:rFonts w:cs="Arial"/>
                <w:noProof/>
              </w:rPr>
            </w:pPr>
            <w:r>
              <w:rPr>
                <w:noProof/>
              </w:rPr>
              <w:t>M1C1-102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6FE8AF7" w14:textId="77777777" w:rsidR="004C6421" w:rsidRDefault="009D1962">
            <w:pPr>
              <w:pStyle w:val="P68B1DB1-Normal4"/>
              <w:jc w:val="center"/>
              <w:rPr>
                <w:rFonts w:cs="Arial"/>
                <w:noProof/>
              </w:rPr>
            </w:pPr>
            <w:r>
              <w:rPr>
                <w:noProof/>
              </w:rPr>
              <w:t>Reforma 1.13: Reforma ram przeglądu wydatków</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260363" w14:textId="0128C54A"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35CEF1E" w14:textId="77777777" w:rsidR="004C6421" w:rsidRDefault="009D1962">
            <w:pPr>
              <w:pStyle w:val="P68B1DB1-Normal4"/>
              <w:jc w:val="center"/>
              <w:rPr>
                <w:rFonts w:cs="Arial"/>
                <w:noProof/>
              </w:rPr>
            </w:pPr>
            <w:r>
              <w:rPr>
                <w:noProof/>
              </w:rPr>
              <w:t>Przyjęcie sprawozdania w sprawie skuteczności praktyk stosowanych przez wybrane organy administracji publicznej przy formułowaniu i wdrażaniu planów oszczędnościowych</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F4E1901" w14:textId="77777777" w:rsidR="004C6421" w:rsidRDefault="009D1962">
            <w:pPr>
              <w:pStyle w:val="P68B1DB1-Normal4"/>
              <w:jc w:val="center"/>
              <w:rPr>
                <w:rFonts w:cs="Arial"/>
                <w:noProof/>
              </w:rPr>
            </w:pPr>
            <w:r>
              <w:rPr>
                <w:noProof/>
              </w:rPr>
              <w:t>Publikacja sprawozdania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2223AA"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2BF049B"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5206B9A"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7CCBCC1" w14:textId="14255D9C"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471E85E" w14:textId="77777777" w:rsidR="004C6421" w:rsidRDefault="009D1962">
            <w:pPr>
              <w:pStyle w:val="P68B1DB1-Normal4"/>
              <w:jc w:val="center"/>
              <w:rPr>
                <w:rFonts w:cs="Arial"/>
                <w:noProof/>
              </w:rPr>
            </w:pPr>
            <w:r>
              <w:rPr>
                <w:noProof/>
              </w:rPr>
              <w:t>2022</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EC3717" w14:textId="77777777" w:rsidR="004C6421" w:rsidRDefault="009D1962">
            <w:pPr>
              <w:pStyle w:val="P68B1DB1-Normal4"/>
              <w:spacing w:before="100" w:beforeAutospacing="1" w:after="120"/>
              <w:rPr>
                <w:rFonts w:cs="Arial"/>
                <w:noProof/>
              </w:rPr>
            </w:pPr>
            <w:r>
              <w:rPr>
                <w:noProof/>
              </w:rPr>
              <w:t>Raport sporządza Departament Rachunkowości Ministerstwa Finansów we współpracy z wybranymi administracjami w celu:</w:t>
            </w:r>
          </w:p>
          <w:p w14:paraId="710A3822" w14:textId="77777777" w:rsidR="004C6421" w:rsidRDefault="009D1962">
            <w:pPr>
              <w:pStyle w:val="P68B1DB1-ListParagraph5"/>
              <w:numPr>
                <w:ilvl w:val="0"/>
                <w:numId w:val="81"/>
              </w:numPr>
              <w:ind w:left="324" w:hanging="283"/>
              <w:jc w:val="left"/>
              <w:rPr>
                <w:rFonts w:cs="Arial"/>
                <w:noProof/>
              </w:rPr>
            </w:pPr>
            <w:r>
              <w:rPr>
                <w:noProof/>
              </w:rPr>
              <w:t>Oceniają swoje praktyki w zakresie formułowania i wdrażania planów oszczędnościowych.</w:t>
            </w:r>
          </w:p>
          <w:p w14:paraId="301854D5" w14:textId="77777777" w:rsidR="004C6421" w:rsidRDefault="009D1962">
            <w:pPr>
              <w:pStyle w:val="P68B1DB1-ListParagraph5"/>
              <w:numPr>
                <w:ilvl w:val="0"/>
                <w:numId w:val="81"/>
              </w:numPr>
              <w:ind w:left="324" w:hanging="283"/>
              <w:jc w:val="left"/>
              <w:rPr>
                <w:rFonts w:cs="Arial"/>
                <w:noProof/>
              </w:rPr>
            </w:pPr>
            <w:r>
              <w:rPr>
                <w:noProof/>
              </w:rPr>
              <w:t>Określenie wytycznych dla wszystkich organów administracji publicznej.</w:t>
            </w:r>
          </w:p>
        </w:tc>
      </w:tr>
      <w:tr w:rsidR="004C6421" w14:paraId="609EC7BB"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24D96B2" w14:textId="77777777" w:rsidR="004C6421" w:rsidRDefault="009D1962">
            <w:pPr>
              <w:pStyle w:val="P68B1DB1-Normal4"/>
              <w:jc w:val="center"/>
              <w:rPr>
                <w:rFonts w:cs="Arial"/>
                <w:noProof/>
              </w:rPr>
            </w:pPr>
            <w:r>
              <w:rPr>
                <w:noProof/>
              </w:rPr>
              <w:t>M1C1-103</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59ADD3D" w14:textId="77777777" w:rsidR="004C6421" w:rsidRDefault="009D1962">
            <w:pPr>
              <w:pStyle w:val="P68B1DB1-Normal4"/>
              <w:jc w:val="center"/>
              <w:rPr>
                <w:rFonts w:cs="Arial"/>
                <w:noProof/>
              </w:rPr>
            </w:pPr>
            <w:r>
              <w:rPr>
                <w:noProof/>
              </w:rPr>
              <w:t>Reforma 1.12: Reforma administracji podatkowej</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265E4E" w14:textId="7884E636"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FCAB87" w14:textId="77777777" w:rsidR="004C6421" w:rsidRDefault="009D1962">
            <w:pPr>
              <w:pStyle w:val="P68B1DB1-Normal4"/>
              <w:jc w:val="center"/>
              <w:rPr>
                <w:rFonts w:cs="Arial"/>
                <w:noProof/>
              </w:rPr>
            </w:pPr>
            <w:r>
              <w:rPr>
                <w:noProof/>
              </w:rPr>
              <w:t>Wejście w życie prawa pierwotnego i wtórnego oraz przepisów wykonawczych oraz zakończenie procedur administracyjnych mających na celu zachęcanie do przestrzegania przepisów podatkowych oraz usprawnienie audytów i kontroli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34D480A" w14:textId="77777777" w:rsidR="004C6421" w:rsidRDefault="009D1962">
            <w:pPr>
              <w:pStyle w:val="P68B1DB1-Normal4"/>
              <w:jc w:val="center"/>
              <w:rPr>
                <w:rFonts w:cs="Arial"/>
                <w:noProof/>
              </w:rPr>
            </w:pPr>
            <w:r>
              <w:rPr>
                <w:noProof/>
              </w:rPr>
              <w:t>Przepisy ustawowe i wykonawcze wskazujące na wejście w życie 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6D173FD"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C5B67E9"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9AE158F"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67DE677"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6FF4311" w14:textId="77777777" w:rsidR="004C6421" w:rsidRDefault="009D1962">
            <w:pPr>
              <w:pStyle w:val="P68B1DB1-Normal4"/>
              <w:jc w:val="center"/>
              <w:rPr>
                <w:rFonts w:cs="Arial"/>
                <w:noProof/>
              </w:rPr>
            </w:pPr>
            <w:r>
              <w:rPr>
                <w:noProof/>
              </w:rPr>
              <w:t>2022</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BCA2DD" w14:textId="77777777" w:rsidR="004C6421" w:rsidRDefault="009D1962">
            <w:pPr>
              <w:pStyle w:val="P68B1DB1-Normal4"/>
              <w:spacing w:after="120"/>
              <w:rPr>
                <w:rFonts w:cs="Arial"/>
                <w:noProof/>
              </w:rPr>
            </w:pPr>
            <w:r>
              <w:rPr>
                <w:noProof/>
              </w:rPr>
              <w:t>Przepisy te obejmują:</w:t>
            </w:r>
          </w:p>
          <w:p w14:paraId="34C0E143" w14:textId="77777777" w:rsidR="004C6421" w:rsidRDefault="009D1962">
            <w:pPr>
              <w:pStyle w:val="P68B1DB1-Normal4"/>
              <w:spacing w:after="120"/>
              <w:rPr>
                <w:rFonts w:cs="Arial"/>
                <w:noProof/>
              </w:rPr>
            </w:pPr>
            <w:r>
              <w:rPr>
                <w:noProof/>
              </w:rPr>
              <w:t>pełne uruchomienie bazy danych i dedykowanej infrastruktury informatycznej do wydawania wcześniej zapełnionych deklaracji podatkowych VAT, zgodnie z art. 4 ust. 1 dekretu ustawodawczego nr 127/2015.</w:t>
            </w:r>
          </w:p>
          <w:p w14:paraId="668E8D2C" w14:textId="77777777" w:rsidR="004C6421" w:rsidRDefault="009D1962">
            <w:pPr>
              <w:pStyle w:val="P68B1DB1-Normal4"/>
              <w:spacing w:after="120"/>
              <w:rPr>
                <w:rFonts w:cs="Arial"/>
                <w:noProof/>
              </w:rPr>
            </w:pPr>
            <w:r>
              <w:rPr>
                <w:noProof/>
              </w:rPr>
              <w:t>(II) ulepszono bazę danych wykorzystywaną na potrzeby „pismów o zgodności” (dostarczających wczesnych informacji podatnikom, w przypadku których wykryto nieprawidłowości) w celu ograniczenia występowania fałszywie dodatnich i zwiększenia liczby powiadomień kierowanych do podatników.</w:t>
            </w:r>
          </w:p>
          <w:p w14:paraId="05CAB5EB" w14:textId="77777777" w:rsidR="004C6421" w:rsidRDefault="009D1962">
            <w:pPr>
              <w:pStyle w:val="P68B1DB1-Normal4"/>
              <w:spacing w:after="120"/>
              <w:rPr>
                <w:rFonts w:cs="Arial"/>
                <w:noProof/>
              </w:rPr>
            </w:pPr>
            <w:r>
              <w:rPr>
                <w:noProof/>
              </w:rPr>
              <w:t>(III) wejście w życie zreformowanych przepisów w celu zapewnienia skutecznych sankcji administracyjnych w przypadku odmowy przyjęcia płatności elektronicznych przez prywatnych dostawców (pierwotny art. 23 dekretu z mocą ustawy 124/2019, który został uchylony po przekształceniu w ustawę, stanowi odniesienie).</w:t>
            </w:r>
          </w:p>
          <w:p w14:paraId="4CB19F2F" w14:textId="77777777" w:rsidR="004C6421" w:rsidRDefault="009D1962">
            <w:pPr>
              <w:pStyle w:val="P68B1DB1-Normal4"/>
              <w:spacing w:after="120"/>
              <w:rPr>
                <w:rFonts w:cs="Arial"/>
                <w:noProof/>
              </w:rPr>
            </w:pPr>
            <w:r>
              <w:rPr>
                <w:noProof/>
              </w:rPr>
              <w:t>(IV) Zakończenie procesu pseudonimizacji danych przewidzianego w art. 1 ust. 681–686 ustawy nr 160/2019 oraz utworzenie infrastruktury cyfrowej do analizy dużych zbiorów danych generowanych dzięki interoperacyjności baz danych w pełni spseudonimizowanych w celu zwiększenia skuteczności analizy ryzyka leżącej u podstaw procesu wyboru.</w:t>
            </w:r>
          </w:p>
          <w:p w14:paraId="5534AB5C" w14:textId="77777777" w:rsidR="004C6421" w:rsidRDefault="009D1962">
            <w:pPr>
              <w:pStyle w:val="P68B1DB1-Normal4"/>
              <w:spacing w:after="120"/>
              <w:rPr>
                <w:rFonts w:cs="Arial"/>
                <w:noProof/>
              </w:rPr>
            </w:pPr>
            <w:r>
              <w:rPr>
                <w:noProof/>
              </w:rPr>
              <w:t>(v) Wejście w życie prawa pierwotnego i wtórnego wdrażającego dodatkowe skuteczne działania w oparciu o wyniki przeglądu możliwych środków mających na celu ograniczenie uchylania się od opodatkowania w związku z pominięciem fakturowania.</w:t>
            </w:r>
          </w:p>
        </w:tc>
      </w:tr>
      <w:tr w:rsidR="004C6421" w14:paraId="52719522"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612C92" w14:textId="77777777" w:rsidR="004C6421" w:rsidRDefault="009D1962">
            <w:pPr>
              <w:pStyle w:val="P68B1DB1-Normal4"/>
              <w:jc w:val="center"/>
              <w:rPr>
                <w:rFonts w:cs="Arial"/>
                <w:noProof/>
              </w:rPr>
            </w:pPr>
            <w:r>
              <w:rPr>
                <w:noProof/>
              </w:rPr>
              <w:t>M1C1-104</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8F7BC80" w14:textId="77777777" w:rsidR="004C6421" w:rsidRDefault="009D1962">
            <w:pPr>
              <w:pStyle w:val="P68B1DB1-Normal4"/>
              <w:jc w:val="center"/>
              <w:rPr>
                <w:rFonts w:cs="Arial"/>
                <w:noProof/>
              </w:rPr>
            </w:pPr>
            <w:r>
              <w:rPr>
                <w:noProof/>
              </w:rPr>
              <w:t>Reforma 1.13: Reforma ram przeglądu wydatków</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3073DB5" w14:textId="1D80A855"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7D74655" w14:textId="77777777" w:rsidR="004C6421" w:rsidRDefault="009D1962">
            <w:pPr>
              <w:pStyle w:val="P68B1DB1-Normal4"/>
              <w:jc w:val="center"/>
              <w:rPr>
                <w:rFonts w:cs="Arial"/>
                <w:noProof/>
              </w:rPr>
            </w:pPr>
            <w:r>
              <w:rPr>
                <w:noProof/>
              </w:rPr>
              <w:t>Przyjęcie celów w zakresie oszczędności na potrzeby przeglądów wydatków na lata 2023–2025</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8B21534" w14:textId="77777777" w:rsidR="004C6421" w:rsidRDefault="009D1962">
            <w:pPr>
              <w:pStyle w:val="P68B1DB1-Normal4"/>
              <w:jc w:val="center"/>
              <w:rPr>
                <w:rFonts w:cs="Arial"/>
                <w:noProof/>
              </w:rPr>
            </w:pPr>
            <w:r>
              <w:rPr>
                <w:noProof/>
              </w:rPr>
              <w:t>Ilościowy cel oszczędnościowy dla zagregowanych centralnych administracji państwowych określonych w dokumencie dotyczącym gospodarki i finansów – w euro</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2E43C25"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8E3F92A"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CDA69B2"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215AD4B"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A5E675" w14:textId="77777777" w:rsidR="004C6421" w:rsidRDefault="009D1962">
            <w:pPr>
              <w:pStyle w:val="P68B1DB1-Normal4"/>
              <w:jc w:val="center"/>
              <w:rPr>
                <w:rFonts w:cs="Arial"/>
                <w:noProof/>
              </w:rPr>
            </w:pPr>
            <w:r>
              <w:rPr>
                <w:noProof/>
              </w:rPr>
              <w:t>2022</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B86EE53" w14:textId="77777777" w:rsidR="004C6421" w:rsidRDefault="009D1962">
            <w:pPr>
              <w:pStyle w:val="P68B1DB1-Normal4"/>
              <w:spacing w:before="100" w:beforeAutospacing="1" w:after="120"/>
              <w:rPr>
                <w:rFonts w:cs="Arial"/>
                <w:noProof/>
              </w:rPr>
            </w:pPr>
            <w:r>
              <w:rPr>
                <w:noProof/>
              </w:rPr>
              <w:t>Na podstawie dekretów z mocą ustawy nr 90 i 93 z 2016 r. oraz ustawy nr 163/2016 w dokumencie gospodarczo-finansowym określono cele dotyczące rocznych przeglądów wydatków w odniesieniu do zagregowanych centralnych administracji państwowych na lata 2023, 2024 i 2025. Cele w zakresie oszczędności muszą odzwierciedlać odpowiedni poziom ambicji.</w:t>
            </w:r>
          </w:p>
        </w:tc>
      </w:tr>
      <w:tr w:rsidR="004C6421" w14:paraId="34791442"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A730EEB" w14:textId="77777777" w:rsidR="004C6421" w:rsidRDefault="009D1962">
            <w:pPr>
              <w:pStyle w:val="P68B1DB1-Normal4"/>
              <w:jc w:val="center"/>
              <w:rPr>
                <w:rFonts w:cs="Arial"/>
                <w:noProof/>
              </w:rPr>
            </w:pPr>
            <w:r>
              <w:rPr>
                <w:noProof/>
              </w:rPr>
              <w:t>M1C1-105</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1037D8" w14:textId="77777777" w:rsidR="004C6421" w:rsidRDefault="009D1962">
            <w:pPr>
              <w:pStyle w:val="P68B1DB1-Normal4"/>
              <w:jc w:val="center"/>
              <w:rPr>
                <w:rFonts w:cs="Arial"/>
                <w:noProof/>
              </w:rPr>
            </w:pPr>
            <w:r>
              <w:rPr>
                <w:noProof/>
              </w:rPr>
              <w:t>Reforma 1.12: Reforma administracji podatkowej</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83B3795"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2D00800" w14:textId="77777777" w:rsidR="004C6421" w:rsidRDefault="009D1962">
            <w:pPr>
              <w:pStyle w:val="P68B1DB1-Normal4"/>
              <w:jc w:val="center"/>
              <w:rPr>
                <w:rFonts w:cs="Arial"/>
                <w:noProof/>
              </w:rPr>
            </w:pPr>
            <w:r>
              <w:rPr>
                <w:noProof/>
              </w:rPr>
              <w:t>Większa liczba „oznaczeń zgodności”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CFBCAB"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985CFB3" w14:textId="77777777" w:rsidR="004C6421" w:rsidRDefault="009D1962">
            <w:pPr>
              <w:pStyle w:val="P68B1DB1-Normal4"/>
              <w:jc w:val="center"/>
              <w:rPr>
                <w:rFonts w:cs="Arial"/>
                <w:noProof/>
              </w:rPr>
            </w:pPr>
            <w:r>
              <w:rPr>
                <w:noProof/>
              </w:rPr>
              <w:t>Numer</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D7DEF4E" w14:textId="77777777" w:rsidR="004C6421" w:rsidRDefault="009D1962">
            <w:pPr>
              <w:pStyle w:val="P68B1DB1-Normal4"/>
              <w:jc w:val="center"/>
              <w:rPr>
                <w:rFonts w:cs="Arial"/>
                <w:noProof/>
              </w:rPr>
            </w:pPr>
            <w:r>
              <w:rPr>
                <w:noProof/>
              </w:rPr>
              <w:t>2 150 908</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523EAE" w14:textId="77777777" w:rsidR="004C6421" w:rsidRDefault="009D1962">
            <w:pPr>
              <w:pStyle w:val="P68B1DB1-Normal4"/>
              <w:jc w:val="center"/>
              <w:rPr>
                <w:rFonts w:cs="Arial"/>
                <w:noProof/>
              </w:rPr>
            </w:pPr>
            <w:r>
              <w:rPr>
                <w:noProof/>
              </w:rPr>
              <w:t>2 581 090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53B6DA8" w14:textId="6BC686BD"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3EA94B5" w14:textId="77777777" w:rsidR="004C6421" w:rsidRDefault="009D1962">
            <w:pPr>
              <w:pStyle w:val="P68B1DB1-Normal4"/>
              <w:jc w:val="center"/>
              <w:rPr>
                <w:rFonts w:cs="Arial"/>
                <w:noProof/>
              </w:rPr>
            </w:pPr>
            <w:r>
              <w:rPr>
                <w:noProof/>
              </w:rPr>
              <w:t>2022</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957B2F3" w14:textId="77777777" w:rsidR="004C6421" w:rsidRDefault="009D1962">
            <w:pPr>
              <w:pStyle w:val="P68B1DB1-Normal4"/>
              <w:spacing w:before="100" w:beforeAutospacing="1" w:after="120"/>
              <w:rPr>
                <w:rFonts w:cs="Arial"/>
                <w:noProof/>
              </w:rPr>
            </w:pPr>
            <w:r>
              <w:rPr>
                <w:noProof/>
              </w:rPr>
              <w:t>Liczba „oznaczeń dotyczących zgodności”, które umożliwiają wczesne przekazywanie informacji podatnikom, w przypadku których wykryto nieprawidłowości, zostanie zwiększona o co najmniej 20 % w porównaniu z 2019 r.</w:t>
            </w:r>
          </w:p>
        </w:tc>
      </w:tr>
      <w:tr w:rsidR="004C6421" w14:paraId="1AAE0AC4"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0AE4BF" w14:textId="77777777" w:rsidR="004C6421" w:rsidRDefault="009D1962">
            <w:pPr>
              <w:pStyle w:val="P68B1DB1-Normal4"/>
              <w:jc w:val="center"/>
              <w:rPr>
                <w:rFonts w:cs="Arial"/>
                <w:noProof/>
              </w:rPr>
            </w:pPr>
            <w:r>
              <w:rPr>
                <w:noProof/>
              </w:rPr>
              <w:t>M1C1-106</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0F632C6" w14:textId="77777777" w:rsidR="004C6421" w:rsidRDefault="009D1962">
            <w:pPr>
              <w:pStyle w:val="P68B1DB1-Normal4"/>
              <w:jc w:val="center"/>
              <w:rPr>
                <w:rFonts w:cs="Arial"/>
                <w:noProof/>
              </w:rPr>
            </w:pPr>
            <w:r>
              <w:rPr>
                <w:noProof/>
              </w:rPr>
              <w:t>Reforma 1.12: Reforma administracji podatkowej</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006C966"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F68FE02" w14:textId="77777777" w:rsidR="004C6421" w:rsidRDefault="009D1962">
            <w:pPr>
              <w:pStyle w:val="P68B1DB1-Normal4"/>
              <w:jc w:val="center"/>
              <w:rPr>
                <w:rFonts w:cs="Arial"/>
                <w:noProof/>
              </w:rPr>
            </w:pPr>
            <w:r>
              <w:rPr>
                <w:noProof/>
              </w:rPr>
              <w:t>Zmniejszenie liczby fałszywie pozytywnych „oznaczeń zgodności”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E57628"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F2B7DE" w14:textId="77777777" w:rsidR="004C6421" w:rsidRDefault="009D1962">
            <w:pPr>
              <w:pStyle w:val="P68B1DB1-Normal4"/>
              <w:jc w:val="center"/>
              <w:rPr>
                <w:rFonts w:cs="Arial"/>
                <w:noProof/>
              </w:rPr>
            </w:pPr>
            <w:r>
              <w:rPr>
                <w:noProof/>
              </w:rPr>
              <w:t>Numer</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484A99A" w14:textId="77777777" w:rsidR="004C6421" w:rsidRDefault="009D1962">
            <w:pPr>
              <w:pStyle w:val="P68B1DB1-Normal4"/>
              <w:jc w:val="center"/>
              <w:rPr>
                <w:rFonts w:cs="Arial"/>
                <w:noProof/>
              </w:rPr>
            </w:pPr>
            <w:r>
              <w:rPr>
                <w:noProof/>
              </w:rPr>
              <w:t>126 500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06B2647" w14:textId="77777777" w:rsidR="004C6421" w:rsidRDefault="009D1962">
            <w:pPr>
              <w:pStyle w:val="P68B1DB1-Normal4"/>
              <w:jc w:val="center"/>
              <w:rPr>
                <w:rFonts w:cs="Arial"/>
                <w:noProof/>
              </w:rPr>
            </w:pPr>
            <w:r>
              <w:rPr>
                <w:noProof/>
              </w:rPr>
              <w:t>132 825</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A84782" w14:textId="3A2BF3E7"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7CC3EA2" w14:textId="77777777" w:rsidR="004C6421" w:rsidRDefault="009D1962">
            <w:pPr>
              <w:pStyle w:val="P68B1DB1-Normal4"/>
              <w:jc w:val="center"/>
              <w:rPr>
                <w:rFonts w:cs="Arial"/>
                <w:noProof/>
              </w:rPr>
            </w:pPr>
            <w:r>
              <w:rPr>
                <w:noProof/>
              </w:rPr>
              <w:t>2022</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8BC914" w14:textId="77777777" w:rsidR="004C6421" w:rsidRDefault="009D1962">
            <w:pPr>
              <w:pStyle w:val="P68B1DB1-Normal4"/>
              <w:spacing w:before="100" w:beforeAutospacing="1" w:after="120"/>
              <w:rPr>
                <w:rFonts w:cs="Arial"/>
                <w:noProof/>
              </w:rPr>
            </w:pPr>
            <w:r>
              <w:rPr>
                <w:noProof/>
              </w:rPr>
              <w:t>Liczba fałszywych pozytywnych „oznaczeń dotyczących zgodności” (zapewniających wczesne powiadomienie podatników, w przypadku których wykryto nieprawidłowości, ale w przypadku których nie wykryto żadnych nadużyć finansowych ex post) zostanie zmniejszona o co najmniej 5 % w stosunku do 2019 r.</w:t>
            </w:r>
          </w:p>
        </w:tc>
      </w:tr>
      <w:tr w:rsidR="004C6421" w14:paraId="2DAF9A31"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DFB67B" w14:textId="77777777" w:rsidR="004C6421" w:rsidRDefault="009D1962">
            <w:pPr>
              <w:pStyle w:val="P68B1DB1-Normal4"/>
              <w:jc w:val="center"/>
              <w:rPr>
                <w:rFonts w:cs="Arial"/>
                <w:noProof/>
              </w:rPr>
            </w:pPr>
            <w:r>
              <w:rPr>
                <w:noProof/>
              </w:rPr>
              <w:t>M1C1-107</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6845C8" w14:textId="77777777" w:rsidR="004C6421" w:rsidRDefault="009D1962">
            <w:pPr>
              <w:pStyle w:val="P68B1DB1-Normal4"/>
              <w:jc w:val="center"/>
              <w:rPr>
                <w:rFonts w:cs="Arial"/>
                <w:noProof/>
              </w:rPr>
            </w:pPr>
            <w:r>
              <w:rPr>
                <w:noProof/>
              </w:rPr>
              <w:t>Reforma 1.12: Reforma administracji podatkowej</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49CCDE"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74537DE" w14:textId="77777777" w:rsidR="004C6421" w:rsidRDefault="009D1962">
            <w:pPr>
              <w:pStyle w:val="P68B1DB1-Normal4"/>
              <w:jc w:val="center"/>
              <w:rPr>
                <w:rFonts w:cs="Arial"/>
                <w:noProof/>
              </w:rPr>
            </w:pPr>
            <w:r>
              <w:rPr>
                <w:noProof/>
              </w:rPr>
              <w:t>Wzrost dochodów podatkowych generowany przez „pismo w sprawie zgodności”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7D039C"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80047D8" w14:textId="77777777" w:rsidR="004C6421" w:rsidRDefault="009D1962">
            <w:pPr>
              <w:pStyle w:val="P68B1DB1-Normal4"/>
              <w:jc w:val="center"/>
              <w:rPr>
                <w:rFonts w:cs="Arial"/>
                <w:noProof/>
              </w:rPr>
            </w:pPr>
            <w:r>
              <w:rPr>
                <w:noProof/>
              </w:rPr>
              <w:t>Euro</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DD110F2" w14:textId="77777777" w:rsidR="004C6421" w:rsidRDefault="009D1962">
            <w:pPr>
              <w:pStyle w:val="P68B1DB1-Normal4"/>
              <w:jc w:val="center"/>
              <w:rPr>
                <w:rFonts w:cs="Arial"/>
                <w:noProof/>
              </w:rPr>
            </w:pPr>
            <w:r>
              <w:rPr>
                <w:noProof/>
              </w:rPr>
              <w:t>2 130 000 000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883E7D5" w14:textId="77777777" w:rsidR="004C6421" w:rsidRDefault="009D1962">
            <w:pPr>
              <w:pStyle w:val="P68B1DB1-Normal4"/>
              <w:jc w:val="center"/>
              <w:rPr>
                <w:rFonts w:cs="Arial"/>
                <w:noProof/>
              </w:rPr>
            </w:pPr>
            <w:r>
              <w:rPr>
                <w:noProof/>
              </w:rPr>
              <w:t>2 449 500 000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761C101" w14:textId="4338A67B"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36090B" w14:textId="77777777" w:rsidR="004C6421" w:rsidRDefault="009D1962">
            <w:pPr>
              <w:pStyle w:val="P68B1DB1-Normal4"/>
              <w:jc w:val="center"/>
              <w:rPr>
                <w:rFonts w:cs="Arial"/>
                <w:noProof/>
              </w:rPr>
            </w:pPr>
            <w:r>
              <w:rPr>
                <w:noProof/>
              </w:rPr>
              <w:t>2022</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05E859" w14:textId="77777777" w:rsidR="004C6421" w:rsidRDefault="009D1962">
            <w:pPr>
              <w:pStyle w:val="P68B1DB1-Normal4"/>
              <w:spacing w:before="100" w:beforeAutospacing="1" w:after="120"/>
              <w:rPr>
                <w:rFonts w:cs="Arial"/>
                <w:noProof/>
              </w:rPr>
            </w:pPr>
            <w:r>
              <w:rPr>
                <w:noProof/>
              </w:rPr>
              <w:t>Dochody podatkowe generowane przez „pismo w sprawie zgodności” wzrosną o 15 % w stosunku do 2019 r.</w:t>
            </w:r>
          </w:p>
        </w:tc>
      </w:tr>
      <w:tr w:rsidR="004C6421" w14:paraId="33F96F01"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BB0704" w14:textId="77777777" w:rsidR="004C6421" w:rsidRDefault="009D1962">
            <w:pPr>
              <w:pStyle w:val="P68B1DB1-Normal4"/>
              <w:jc w:val="center"/>
              <w:rPr>
                <w:rFonts w:cs="Arial"/>
                <w:noProof/>
              </w:rPr>
            </w:pPr>
            <w:r>
              <w:rPr>
                <w:noProof/>
              </w:rPr>
              <w:t>M1C1-108</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6090DA7" w14:textId="77777777" w:rsidR="004C6421" w:rsidRDefault="009D1962">
            <w:pPr>
              <w:pStyle w:val="P68B1DB1-Normal4"/>
              <w:jc w:val="center"/>
              <w:rPr>
                <w:rFonts w:cs="Arial"/>
                <w:noProof/>
              </w:rPr>
            </w:pPr>
            <w:r>
              <w:rPr>
                <w:noProof/>
              </w:rPr>
              <w:t>Reforma 1.15: Reforma zasad rachunkowości publicznej</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45D9A68" w14:textId="6F57940C"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F9605A" w14:textId="77777777" w:rsidR="004C6421" w:rsidRDefault="009D1962">
            <w:pPr>
              <w:pStyle w:val="P68B1DB1-Normal4"/>
              <w:jc w:val="center"/>
              <w:rPr>
                <w:rFonts w:cs="Arial"/>
                <w:noProof/>
              </w:rPr>
            </w:pPr>
            <w:r>
              <w:rPr>
                <w:noProof/>
              </w:rPr>
              <w:t>Zatwierdzenie ram koncepcyjnych, zbioru standardów rachunkowości memoriałowej oraz wielowymiarowego schematu kont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F204A2" w14:textId="77777777" w:rsidR="004C6421" w:rsidRDefault="009D1962">
            <w:pPr>
              <w:pStyle w:val="P68B1DB1-Normal4"/>
              <w:jc w:val="center"/>
              <w:rPr>
                <w:rFonts w:cs="Arial"/>
                <w:noProof/>
              </w:rPr>
            </w:pPr>
            <w:r>
              <w:rPr>
                <w:noProof/>
              </w:rPr>
              <w:t>Uchwała Departamentu Rachunkowości Ministerstwa Finansów zatwierdzająca strukturę zarządzania rachunkowością memoriałową</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1A88D93"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A4C0841"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E5AD3C"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333A7F1"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BEBDE4" w14:textId="77777777" w:rsidR="004C6421" w:rsidRDefault="009D1962">
            <w:pPr>
              <w:pStyle w:val="P68B1DB1-Normal4"/>
              <w:jc w:val="center"/>
              <w:rPr>
                <w:rFonts w:cs="Arial"/>
                <w:noProof/>
              </w:rPr>
            </w:pPr>
            <w:r>
              <w:rPr>
                <w:noProof/>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38798AF" w14:textId="2AC586C9" w:rsidR="004C6421" w:rsidRDefault="009D1962">
            <w:pPr>
              <w:spacing w:before="100" w:beforeAutospacing="1" w:after="120"/>
              <w:rPr>
                <w:rFonts w:ascii="Arial Narrow" w:hAnsi="Arial Narrow" w:cs="Arial"/>
                <w:noProof/>
                <w:color w:val="006100"/>
                <w:sz w:val="20"/>
              </w:rPr>
            </w:pPr>
            <w:r>
              <w:rPr>
                <w:rFonts w:ascii="Arial Narrow" w:hAnsi="Arial Narrow"/>
                <w:noProof/>
                <w:color w:val="006100"/>
                <w:sz w:val="20"/>
              </w:rPr>
              <w:t>Ukończenie koncepcyjnych ram odniesienia dla systemu rachunkowości memoriałowej zgodnie z cechami jakościowymi określonymi przez Eurostat (grupa robocza ds. EPSAS);</w:t>
            </w:r>
            <w:r>
              <w:rPr>
                <w:rFonts w:ascii="Arial Narrow" w:hAnsi="Arial Narrow"/>
                <w:noProof/>
                <w:sz w:val="20"/>
              </w:rPr>
              <w:t xml:space="preserve"> </w:t>
            </w:r>
            <w:r>
              <w:rPr>
                <w:noProof/>
              </w:rPr>
              <w:t xml:space="preserve">  </w:t>
            </w:r>
            <w:r>
              <w:rPr>
                <w:noProof/>
              </w:rPr>
              <w:br/>
            </w:r>
            <w:r>
              <w:rPr>
                <w:rFonts w:ascii="Arial Narrow" w:hAnsi="Arial Narrow"/>
                <w:noProof/>
                <w:color w:val="006100"/>
                <w:sz w:val="20"/>
              </w:rPr>
              <w:t xml:space="preserve"> Ustanowienie standardów rachunkowości memoriałowej na podstawie MSRSP; Opracowanie wielowymiarowego i wielopoziomowego planu kont.</w:t>
            </w:r>
          </w:p>
        </w:tc>
      </w:tr>
      <w:tr w:rsidR="004C6421" w14:paraId="3CB8C980"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32455E7" w14:textId="77777777" w:rsidR="004C6421" w:rsidRDefault="009D1962">
            <w:pPr>
              <w:pStyle w:val="P68B1DB1-Normal4"/>
              <w:jc w:val="center"/>
              <w:rPr>
                <w:rFonts w:cs="Arial"/>
                <w:noProof/>
              </w:rPr>
            </w:pPr>
            <w:r>
              <w:rPr>
                <w:noProof/>
              </w:rPr>
              <w:t>M1C1-109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003EE9" w14:textId="77777777" w:rsidR="004C6421" w:rsidRDefault="009D1962">
            <w:pPr>
              <w:pStyle w:val="P68B1DB1-Normal4"/>
              <w:jc w:val="center"/>
              <w:rPr>
                <w:rFonts w:cs="Arial"/>
                <w:noProof/>
              </w:rPr>
            </w:pPr>
            <w:r>
              <w:rPr>
                <w:noProof/>
              </w:rPr>
              <w:t>Reforma 1.12: Reforma administracji podatkowej</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87A28C5"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17AD9EB" w14:textId="77777777" w:rsidR="004C6421" w:rsidRDefault="009D1962">
            <w:pPr>
              <w:pStyle w:val="P68B1DB1-Normal4"/>
              <w:jc w:val="center"/>
              <w:rPr>
                <w:rFonts w:cs="Arial"/>
                <w:noProof/>
              </w:rPr>
            </w:pPr>
            <w:r>
              <w:rPr>
                <w:noProof/>
              </w:rPr>
              <w:t>Wysyłanie pierwszych uprzednio wypełnionych deklaracji podatkowych VAT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06E9BC"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419137" w14:textId="77777777" w:rsidR="004C6421" w:rsidRDefault="009D1962">
            <w:pPr>
              <w:pStyle w:val="P68B1DB1-Normal4"/>
              <w:jc w:val="center"/>
              <w:rPr>
                <w:rFonts w:cs="Arial"/>
                <w:noProof/>
              </w:rPr>
            </w:pPr>
            <w:r>
              <w:rPr>
                <w:noProof/>
              </w:rPr>
              <w:t>Numer</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6C9C22" w14:textId="77777777" w:rsidR="004C6421" w:rsidRDefault="009D1962">
            <w:pPr>
              <w:pStyle w:val="P68B1DB1-Normal4"/>
              <w:jc w:val="center"/>
              <w:rPr>
                <w:rFonts w:cs="Arial"/>
                <w:noProof/>
              </w:rPr>
            </w:pPr>
            <w:r>
              <w:rPr>
                <w:noProof/>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0AEA42F" w14:textId="77777777" w:rsidR="004C6421" w:rsidRDefault="009D1962">
            <w:pPr>
              <w:pStyle w:val="P68B1DB1-Normal4"/>
              <w:jc w:val="center"/>
              <w:rPr>
                <w:rFonts w:cs="Arial"/>
                <w:noProof/>
              </w:rPr>
            </w:pPr>
            <w:r>
              <w:rPr>
                <w:noProof/>
              </w:rPr>
              <w:t>2 300 000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6DD8535"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B4BE578" w14:textId="77777777" w:rsidR="004C6421" w:rsidRDefault="009D1962">
            <w:pPr>
              <w:pStyle w:val="P68B1DB1-Normal4"/>
              <w:jc w:val="center"/>
              <w:rPr>
                <w:rFonts w:cs="Arial"/>
                <w:noProof/>
              </w:rPr>
            </w:pPr>
            <w:r>
              <w:rPr>
                <w:noProof/>
              </w:rPr>
              <w:t>2023</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AF14AC" w14:textId="77777777" w:rsidR="004C6421" w:rsidRDefault="009D1962">
            <w:pPr>
              <w:pStyle w:val="P68B1DB1-Normal4"/>
              <w:spacing w:before="100" w:beforeAutospacing="1" w:after="120"/>
              <w:rPr>
                <w:rFonts w:cs="Arial"/>
                <w:noProof/>
              </w:rPr>
            </w:pPr>
            <w:r>
              <w:rPr>
                <w:noProof/>
              </w:rPr>
              <w:t>2 Co najmniej 2300000 podatników otrzymuje uprzednio zapełnione deklaracje podatkowe VAT za rok podatkowy 2022.</w:t>
            </w:r>
          </w:p>
        </w:tc>
      </w:tr>
      <w:tr w:rsidR="004C6421" w14:paraId="403E4BFA"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8170420" w14:textId="77777777" w:rsidR="004C6421" w:rsidRDefault="009D1962">
            <w:pPr>
              <w:pStyle w:val="P68B1DB1-Normal4"/>
              <w:jc w:val="center"/>
              <w:rPr>
                <w:rFonts w:cs="Arial"/>
                <w:noProof/>
              </w:rPr>
            </w:pPr>
            <w:r>
              <w:rPr>
                <w:noProof/>
              </w:rPr>
              <w:t>M1C1-110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06042F" w14:textId="77777777" w:rsidR="004C6421" w:rsidRDefault="009D1962">
            <w:pPr>
              <w:pStyle w:val="P68B1DB1-Normal4"/>
              <w:jc w:val="center"/>
              <w:rPr>
                <w:rFonts w:cs="Arial"/>
                <w:noProof/>
              </w:rPr>
            </w:pPr>
            <w:r>
              <w:rPr>
                <w:noProof/>
              </w:rPr>
              <w:t>Reforma 1.13: Reforma ram przeglądu wydatków</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FDB60A1" w14:textId="0DD7889F"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E16ED5C" w14:textId="77777777" w:rsidR="004C6421" w:rsidRDefault="009D1962">
            <w:pPr>
              <w:pStyle w:val="P68B1DB1-Normal4"/>
              <w:jc w:val="center"/>
              <w:rPr>
                <w:rFonts w:cs="Arial"/>
                <w:noProof/>
              </w:rPr>
            </w:pPr>
            <w:r>
              <w:rPr>
                <w:noProof/>
              </w:rPr>
              <w:t>Zmiana klasyfikacji ogólnego budżetu państwa w odniesieniu do wydatków na ochronę środowiska oraz wydatków promujących równość płci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09CB969" w14:textId="77777777" w:rsidR="004C6421" w:rsidRDefault="009D1962">
            <w:pPr>
              <w:pStyle w:val="P68B1DB1-Normal4"/>
              <w:jc w:val="center"/>
              <w:rPr>
                <w:rFonts w:cs="Arial"/>
                <w:noProof/>
              </w:rPr>
            </w:pPr>
            <w:r>
              <w:rPr>
                <w:noProof/>
              </w:rPr>
              <w:t>Włączenie zmiany klasyfikacji ogólnego budżetu państwa w odniesieniu do wydatków na ochronę środowiska oraz wydatków promujących równouprawnienie płci w ustawie budżetowej na 2024 r. 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781ECEC"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E6B1CA2"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365946"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60BDE40" w14:textId="20A103C5"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059EEA2" w14:textId="77777777" w:rsidR="004C6421" w:rsidRDefault="009D1962">
            <w:pPr>
              <w:pStyle w:val="P68B1DB1-Normal4"/>
              <w:jc w:val="center"/>
              <w:rPr>
                <w:rFonts w:cs="Arial"/>
                <w:noProof/>
              </w:rPr>
            </w:pPr>
            <w:r>
              <w:rPr>
                <w:noProof/>
              </w:rPr>
              <w:t>2023</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2464DD" w14:textId="77777777" w:rsidR="004C6421" w:rsidRDefault="009D1962">
            <w:pPr>
              <w:pStyle w:val="P68B1DB1-Normal4"/>
              <w:spacing w:before="100" w:beforeAutospacing="1" w:after="120"/>
              <w:rPr>
                <w:rFonts w:cs="Arial"/>
                <w:noProof/>
              </w:rPr>
            </w:pPr>
            <w:r>
              <w:rPr>
                <w:noProof/>
              </w:rPr>
              <w:t>Ustawa budżetowa na 2024 r. zapewnia parlamentowi budżet na rzecz zrównoważonego rozwoju obejmujący klasyfikację ogólnego budżetu państwa w odniesieniu do wydatków na ochronę środowiska oraz wydatków promujących równouprawnienie płci. Klasyfikacja ta musi być spójna z kryteriami stanowiącymi podstawę definicji celów zrównoważonego rozwoju i celów Agendy 2030.</w:t>
            </w:r>
          </w:p>
        </w:tc>
      </w:tr>
      <w:tr w:rsidR="004C6421" w14:paraId="54867E16"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F5798F" w14:textId="77777777" w:rsidR="004C6421" w:rsidRDefault="009D1962">
            <w:pPr>
              <w:pStyle w:val="P68B1DB1-Normal4"/>
              <w:jc w:val="center"/>
              <w:rPr>
                <w:rFonts w:cs="Arial"/>
                <w:noProof/>
              </w:rPr>
            </w:pPr>
            <w:r>
              <w:rPr>
                <w:noProof/>
              </w:rPr>
              <w:t>M1C1-111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4451E37" w14:textId="77777777" w:rsidR="004C6421" w:rsidRDefault="009D1962">
            <w:pPr>
              <w:pStyle w:val="P68B1DB1-Normal4"/>
              <w:jc w:val="center"/>
              <w:rPr>
                <w:rFonts w:cs="Arial"/>
                <w:noProof/>
              </w:rPr>
            </w:pPr>
            <w:r>
              <w:rPr>
                <w:noProof/>
              </w:rPr>
              <w:t>Reforma 1.13: Reforma ram przeglądu wydatków</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AA517D1" w14:textId="5C1A6565"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A8FA616" w14:textId="77777777" w:rsidR="004C6421" w:rsidRDefault="009D1962">
            <w:pPr>
              <w:pStyle w:val="P68B1DB1-Normal4"/>
              <w:jc w:val="center"/>
              <w:rPr>
                <w:rFonts w:cs="Arial"/>
                <w:noProof/>
              </w:rPr>
            </w:pPr>
            <w:r>
              <w:rPr>
                <w:noProof/>
              </w:rPr>
              <w:t>Zakończenie rocznego przeglądu wydatków na 2023 r. w odniesieniu do celu w zakresie oszczędności określonego w 2022 r. na 2023 r.</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3E368E4" w14:textId="77777777" w:rsidR="004C6421" w:rsidRDefault="009D1962">
            <w:pPr>
              <w:pStyle w:val="P68B1DB1-Normal4"/>
              <w:jc w:val="center"/>
              <w:rPr>
                <w:rFonts w:cs="Arial"/>
                <w:noProof/>
              </w:rPr>
            </w:pPr>
            <w:r>
              <w:rPr>
                <w:noProof/>
              </w:rPr>
              <w:t>Przyjęcie sprawozdania Ministerstwa Finansów z przeglądu wydatków w 2023 r., poświadczającego zakończenie procesu i osiągnięcie celu. 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63BD6EF"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0B15C13"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F262929"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05BEB8"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7274DB" w14:textId="77777777" w:rsidR="004C6421" w:rsidRDefault="009D1962">
            <w:pPr>
              <w:pStyle w:val="P68B1DB1-Normal4"/>
              <w:jc w:val="center"/>
              <w:rPr>
                <w:rFonts w:cs="Arial"/>
                <w:noProof/>
              </w:rPr>
            </w:pPr>
            <w:r>
              <w:rPr>
                <w:noProof/>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2F9D17E" w14:textId="77777777" w:rsidR="004C6421" w:rsidRDefault="009D1962">
            <w:pPr>
              <w:pStyle w:val="P68B1DB1-Normal4"/>
              <w:spacing w:after="120"/>
              <w:rPr>
                <w:rFonts w:cs="Arial"/>
                <w:noProof/>
              </w:rPr>
            </w:pPr>
            <w:r>
              <w:rPr>
                <w:noProof/>
              </w:rPr>
              <w:t>Sprawozdanie Ministerstwa Finansów przekazywane Radzie Ministrów zgodnie z dekretami z mocą ustawy nr 90 i 93 z 2016 r. oraz ustawą 163/2016:</w:t>
            </w:r>
          </w:p>
          <w:p w14:paraId="74E6CA1A" w14:textId="77777777" w:rsidR="004C6421" w:rsidRDefault="009D1962">
            <w:pPr>
              <w:pStyle w:val="P68B1DB1-Normal4"/>
              <w:spacing w:after="120"/>
              <w:rPr>
                <w:rFonts w:cs="Arial"/>
                <w:noProof/>
              </w:rPr>
            </w:pPr>
            <w:r>
              <w:rPr>
                <w:noProof/>
              </w:rPr>
              <w:t>—certyfikowanie zakończenia procesu przeglądu wydatków na 2023 r. w odniesieniu do przepisów dotyczących ram przeglądu wydatków.</w:t>
            </w:r>
          </w:p>
          <w:p w14:paraId="54E4470C" w14:textId="77777777" w:rsidR="004C6421" w:rsidRDefault="009D1962">
            <w:pPr>
              <w:pStyle w:val="P68B1DB1-Normal4"/>
              <w:spacing w:after="120"/>
              <w:rPr>
                <w:rFonts w:cs="Arial"/>
                <w:noProof/>
              </w:rPr>
            </w:pPr>
            <w:r>
              <w:rPr>
                <w:noProof/>
              </w:rPr>
              <w:t>—certyfikowanie osiągnięcia celu wyznaczonego w 2022 r.</w:t>
            </w:r>
          </w:p>
        </w:tc>
      </w:tr>
      <w:tr w:rsidR="004C6421" w14:paraId="744809CB"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9FECF4" w14:textId="77777777" w:rsidR="004C6421" w:rsidRDefault="009D1962">
            <w:pPr>
              <w:pStyle w:val="P68B1DB1-Normal4"/>
              <w:jc w:val="center"/>
              <w:rPr>
                <w:rFonts w:cs="Arial"/>
                <w:noProof/>
              </w:rPr>
            </w:pPr>
            <w:r>
              <w:rPr>
                <w:noProof/>
              </w:rPr>
              <w:t>M1C1-112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523A1D" w14:textId="77777777" w:rsidR="004C6421" w:rsidRDefault="009D1962">
            <w:pPr>
              <w:pStyle w:val="P68B1DB1-Normal4"/>
              <w:jc w:val="center"/>
              <w:rPr>
                <w:rFonts w:cs="Arial"/>
                <w:noProof/>
              </w:rPr>
            </w:pPr>
            <w:r>
              <w:rPr>
                <w:noProof/>
              </w:rPr>
              <w:t>Reforma 1.12: Reforma administracji podatkowej</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D8C2C78"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92F1CE" w14:textId="76D098C5" w:rsidR="004C6421" w:rsidRDefault="009D1962">
            <w:pPr>
              <w:pStyle w:val="P68B1DB1-Normal4"/>
              <w:jc w:val="center"/>
              <w:rPr>
                <w:rFonts w:cs="Arial"/>
                <w:noProof/>
              </w:rPr>
            </w:pPr>
            <w:r>
              <w:rPr>
                <w:noProof/>
              </w:rPr>
              <w:t>Poprawa zdolności operacyjnej administracji podatkowej zgodnie z celami dotyczącymi zatrudnienia określonymi w „Planie wykonania na lata 2021–2023” Agencji Skarbowej</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1533796"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08867D5" w14:textId="77777777" w:rsidR="004C6421" w:rsidRDefault="009D1962">
            <w:pPr>
              <w:pStyle w:val="P68B1DB1-Normal4"/>
              <w:jc w:val="center"/>
              <w:rPr>
                <w:rFonts w:cs="Arial"/>
                <w:noProof/>
              </w:rPr>
            </w:pPr>
            <w:r>
              <w:rPr>
                <w:noProof/>
              </w:rPr>
              <w:t>Liczba zatrudnionych pracowników</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C043744" w14:textId="77777777" w:rsidR="004C6421" w:rsidRDefault="009D1962">
            <w:pPr>
              <w:pStyle w:val="P68B1DB1-Normal4"/>
              <w:jc w:val="center"/>
              <w:rPr>
                <w:rFonts w:cs="Arial"/>
                <w:noProof/>
              </w:rPr>
            </w:pPr>
            <w:r>
              <w:rPr>
                <w:noProof/>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8C8D9DB" w14:textId="77777777" w:rsidR="004C6421" w:rsidRDefault="009D1962">
            <w:pPr>
              <w:pStyle w:val="P68B1DB1-Normal4"/>
              <w:jc w:val="center"/>
              <w:rPr>
                <w:rFonts w:cs="Arial"/>
                <w:noProof/>
              </w:rPr>
            </w:pPr>
            <w:r>
              <w:rPr>
                <w:noProof/>
              </w:rPr>
              <w:t>4 113</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C5AA290"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C1B5FC1" w14:textId="77777777" w:rsidR="004C6421" w:rsidRDefault="009D1962">
            <w:pPr>
              <w:pStyle w:val="P68B1DB1-Normal4"/>
              <w:jc w:val="center"/>
              <w:rPr>
                <w:rFonts w:cs="Arial"/>
                <w:noProof/>
              </w:rPr>
            </w:pPr>
            <w:r>
              <w:rPr>
                <w:noProof/>
              </w:rPr>
              <w:t>2024</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1354942" w14:textId="6D42A838" w:rsidR="004C6421" w:rsidRDefault="009D1962">
            <w:pPr>
              <w:pStyle w:val="P68B1DB1-Normal4"/>
              <w:spacing w:before="100" w:beforeAutospacing="1" w:after="120"/>
              <w:rPr>
                <w:rFonts w:cs="Arial"/>
                <w:noProof/>
              </w:rPr>
            </w:pPr>
            <w:r>
              <w:rPr>
                <w:noProof/>
              </w:rPr>
              <w:t>4113 nowych jednostek personalnych jest zatrudnianych przez Agencję Skarbową zgodnie z celami zatrudnienia określonymi w „Planie wykonania na lata 2021–2023”.</w:t>
            </w:r>
          </w:p>
        </w:tc>
      </w:tr>
      <w:tr w:rsidR="004C6421" w14:paraId="2BF5D9DF"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AACA005" w14:textId="77777777" w:rsidR="004C6421" w:rsidRDefault="009D1962">
            <w:pPr>
              <w:pStyle w:val="P68B1DB1-Normal4"/>
              <w:jc w:val="center"/>
              <w:rPr>
                <w:rFonts w:cs="Arial"/>
                <w:noProof/>
              </w:rPr>
            </w:pPr>
            <w:r>
              <w:rPr>
                <w:noProof/>
              </w:rPr>
              <w:t>M1C1-113</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8394CB" w14:textId="77777777" w:rsidR="004C6421" w:rsidRDefault="009D1962">
            <w:pPr>
              <w:pStyle w:val="P68B1DB1-Normal4"/>
              <w:jc w:val="center"/>
              <w:rPr>
                <w:rFonts w:cs="Arial"/>
                <w:noProof/>
              </w:rPr>
            </w:pPr>
            <w:r>
              <w:rPr>
                <w:noProof/>
              </w:rPr>
              <w:t>Reforma 1.12: Reforma administracji podatkowej</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EFF355"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56D794" w14:textId="77777777" w:rsidR="004C6421" w:rsidRDefault="009D1962">
            <w:pPr>
              <w:pStyle w:val="P68B1DB1-Normal4"/>
              <w:jc w:val="center"/>
              <w:rPr>
                <w:rFonts w:cs="Arial"/>
                <w:noProof/>
              </w:rPr>
            </w:pPr>
            <w:r>
              <w:rPr>
                <w:noProof/>
              </w:rPr>
              <w:t>Większa liczba „oznaczeń zgodności”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98F81F"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738F4F" w14:textId="77777777" w:rsidR="004C6421" w:rsidRDefault="009D1962">
            <w:pPr>
              <w:pStyle w:val="P68B1DB1-Normal4"/>
              <w:jc w:val="center"/>
              <w:rPr>
                <w:rFonts w:cs="Arial"/>
                <w:noProof/>
              </w:rPr>
            </w:pPr>
            <w:r>
              <w:rPr>
                <w:noProof/>
              </w:rPr>
              <w:t>Numer</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4D9F91" w14:textId="77777777" w:rsidR="004C6421" w:rsidRDefault="009D1962">
            <w:pPr>
              <w:pStyle w:val="P68B1DB1-Normal4"/>
              <w:jc w:val="center"/>
              <w:rPr>
                <w:rFonts w:cs="Arial"/>
                <w:noProof/>
              </w:rPr>
            </w:pPr>
            <w:r>
              <w:rPr>
                <w:noProof/>
              </w:rPr>
              <w:t>2 150 908</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AEF5DA9" w14:textId="77777777" w:rsidR="004C6421" w:rsidRDefault="009D1962">
            <w:pPr>
              <w:pStyle w:val="P68B1DB1-Normal4"/>
              <w:jc w:val="center"/>
              <w:rPr>
                <w:rFonts w:cs="Arial"/>
                <w:noProof/>
              </w:rPr>
            </w:pPr>
            <w:r>
              <w:rPr>
                <w:noProof/>
              </w:rPr>
              <w:t>3 011 271</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BE8EA05" w14:textId="7BB0C2CF" w:rsidR="004C6421" w:rsidRDefault="009D1962">
            <w:pPr>
              <w:pStyle w:val="P68B1DB1-Normal4"/>
              <w:jc w:val="center"/>
              <w:rPr>
                <w:rFonts w:cs="Arial"/>
                <w:noProof/>
              </w:rPr>
            </w:pPr>
            <w:r>
              <w:rPr>
                <w:noProof/>
              </w:rPr>
              <w:t xml:space="preserve"> </w:t>
            </w:r>
            <w:r w:rsidR="00CC179E">
              <w:rPr>
                <w:noProof/>
              </w:rPr>
              <w:t>KW.</w:t>
            </w:r>
            <w:r>
              <w:rPr>
                <w:noProof/>
              </w:rPr>
              <w:t xml:space="preserve">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66A28C" w14:textId="77777777" w:rsidR="004C6421" w:rsidRDefault="009D1962">
            <w:pPr>
              <w:pStyle w:val="P68B1DB1-Normal4"/>
              <w:jc w:val="center"/>
              <w:rPr>
                <w:rFonts w:cs="Arial"/>
                <w:noProof/>
              </w:rPr>
            </w:pPr>
            <w:r>
              <w:rPr>
                <w:noProof/>
              </w:rPr>
              <w:t>2023</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976C1CF" w14:textId="77777777" w:rsidR="004C6421" w:rsidRDefault="009D1962">
            <w:pPr>
              <w:pStyle w:val="P68B1DB1-Normal4"/>
              <w:spacing w:before="100" w:beforeAutospacing="1" w:after="120"/>
              <w:rPr>
                <w:rFonts w:cs="Arial"/>
                <w:noProof/>
              </w:rPr>
            </w:pPr>
            <w:r>
              <w:rPr>
                <w:noProof/>
              </w:rPr>
              <w:t>Liczba „oznaczeń dotyczących zgodności”, które umożliwiają wczesne przekazywanie informacji podatnikom, w przypadku których wykryto nieprawidłowości, zostanie zwiększona o co najmniej 40 % w porównaniu z 2019 r.</w:t>
            </w:r>
          </w:p>
        </w:tc>
      </w:tr>
      <w:tr w:rsidR="004C6421" w14:paraId="62373232"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B41848" w14:textId="77777777" w:rsidR="004C6421" w:rsidRDefault="009D1962">
            <w:pPr>
              <w:pStyle w:val="P68B1DB1-Normal4"/>
              <w:jc w:val="center"/>
              <w:rPr>
                <w:rFonts w:cs="Arial"/>
                <w:noProof/>
              </w:rPr>
            </w:pPr>
            <w:r>
              <w:rPr>
                <w:noProof/>
              </w:rPr>
              <w:t>M1C1-114</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5143495" w14:textId="77777777" w:rsidR="004C6421" w:rsidRDefault="009D1962">
            <w:pPr>
              <w:pStyle w:val="P68B1DB1-Normal4"/>
              <w:jc w:val="center"/>
              <w:rPr>
                <w:rFonts w:cs="Arial"/>
                <w:noProof/>
              </w:rPr>
            </w:pPr>
            <w:r>
              <w:rPr>
                <w:noProof/>
              </w:rPr>
              <w:t>Reforma 1.12: Reforma administracji podatkowej</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3321B56"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4F789A" w14:textId="77777777" w:rsidR="004C6421" w:rsidRDefault="009D1962">
            <w:pPr>
              <w:pStyle w:val="P68B1DB1-Normal4"/>
              <w:jc w:val="center"/>
              <w:rPr>
                <w:rFonts w:cs="Arial"/>
                <w:noProof/>
              </w:rPr>
            </w:pPr>
            <w:r>
              <w:rPr>
                <w:noProof/>
              </w:rPr>
              <w:t>Wzrost dochodów podatkowych generowany przez „pismo w sprawie zgodności”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D274EE"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DC7EC9" w14:textId="77777777" w:rsidR="004C6421" w:rsidRDefault="009D1962">
            <w:pPr>
              <w:pStyle w:val="P68B1DB1-Normal4"/>
              <w:jc w:val="center"/>
              <w:rPr>
                <w:rFonts w:cs="Arial"/>
                <w:noProof/>
              </w:rPr>
            </w:pPr>
            <w:r>
              <w:rPr>
                <w:noProof/>
              </w:rPr>
              <w:t>Euro</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8F8EB4A" w14:textId="77777777" w:rsidR="004C6421" w:rsidRDefault="009D1962">
            <w:pPr>
              <w:pStyle w:val="P68B1DB1-Normal4"/>
              <w:jc w:val="center"/>
              <w:rPr>
                <w:rFonts w:cs="Arial"/>
                <w:noProof/>
              </w:rPr>
            </w:pPr>
            <w:r>
              <w:rPr>
                <w:noProof/>
              </w:rPr>
              <w:t>2 130 000 000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06762E8" w14:textId="77777777" w:rsidR="004C6421" w:rsidRDefault="009D1962">
            <w:pPr>
              <w:pStyle w:val="P68B1DB1-Normal4"/>
              <w:jc w:val="center"/>
              <w:rPr>
                <w:rFonts w:cs="Arial"/>
                <w:noProof/>
              </w:rPr>
            </w:pPr>
            <w:r>
              <w:rPr>
                <w:noProof/>
              </w:rPr>
              <w:t>2 769 000 000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4A1CC5" w14:textId="472E6759" w:rsidR="004C6421" w:rsidRDefault="009D1962">
            <w:pPr>
              <w:pStyle w:val="P68B1DB1-Normal4"/>
              <w:jc w:val="center"/>
              <w:rPr>
                <w:rFonts w:cs="Arial"/>
                <w:noProof/>
              </w:rPr>
            </w:pPr>
            <w:r>
              <w:rPr>
                <w:noProof/>
              </w:rPr>
              <w:t xml:space="preserve"> </w:t>
            </w:r>
            <w:r w:rsidR="00CC179E">
              <w:rPr>
                <w:noProof/>
              </w:rPr>
              <w:t>KW.</w:t>
            </w:r>
            <w:r>
              <w:rPr>
                <w:noProof/>
              </w:rPr>
              <w:t xml:space="preserve">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3E9E23" w14:textId="77777777" w:rsidR="004C6421" w:rsidRDefault="009D1962">
            <w:pPr>
              <w:pStyle w:val="P68B1DB1-Normal4"/>
              <w:jc w:val="center"/>
              <w:rPr>
                <w:rFonts w:cs="Arial"/>
                <w:noProof/>
              </w:rPr>
            </w:pPr>
            <w:r>
              <w:rPr>
                <w:noProof/>
              </w:rPr>
              <w:t>2023</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C458620" w14:textId="77777777" w:rsidR="004C6421" w:rsidRDefault="009D1962">
            <w:pPr>
              <w:pStyle w:val="P68B1DB1-Normal4"/>
              <w:spacing w:before="100" w:beforeAutospacing="1" w:after="120"/>
              <w:rPr>
                <w:rFonts w:cs="Arial"/>
                <w:noProof/>
              </w:rPr>
            </w:pPr>
            <w:r>
              <w:rPr>
                <w:noProof/>
              </w:rPr>
              <w:t>Dochody podatkowe generowane przez „pismo w sprawie zgodności” wzrosną o 30 % w stosunku do 2019 r.</w:t>
            </w:r>
          </w:p>
        </w:tc>
      </w:tr>
      <w:tr w:rsidR="004C6421" w14:paraId="3B299605"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A8D8752" w14:textId="77777777" w:rsidR="004C6421" w:rsidRDefault="009D1962">
            <w:pPr>
              <w:pStyle w:val="P68B1DB1-Normal4"/>
              <w:jc w:val="center"/>
              <w:rPr>
                <w:rFonts w:cs="Arial"/>
                <w:noProof/>
              </w:rPr>
            </w:pPr>
            <w:r>
              <w:rPr>
                <w:noProof/>
              </w:rPr>
              <w:t>M1C1-115</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8D48DB" w14:textId="77777777" w:rsidR="004C6421" w:rsidRDefault="009D1962">
            <w:pPr>
              <w:pStyle w:val="P68B1DB1-Normal4"/>
              <w:jc w:val="center"/>
              <w:rPr>
                <w:rFonts w:cs="Arial"/>
                <w:noProof/>
              </w:rPr>
            </w:pPr>
            <w:r>
              <w:rPr>
                <w:noProof/>
              </w:rPr>
              <w:t>Reforma 1.13: Reforma ram przeglądu wydatków</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30BAF9" w14:textId="5A3FADC1"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81ABE3" w14:textId="77777777" w:rsidR="004C6421" w:rsidRDefault="009D1962">
            <w:pPr>
              <w:pStyle w:val="P68B1DB1-Normal4"/>
              <w:jc w:val="center"/>
              <w:rPr>
                <w:rFonts w:cs="Arial"/>
                <w:noProof/>
              </w:rPr>
            </w:pPr>
            <w:r>
              <w:rPr>
                <w:noProof/>
              </w:rPr>
              <w:t>Zakończenie rocznego przeglądu wydatków na 2024 r. w odniesieniu do celu w zakresie oszczędności ustalonego na lata 2022 i 2023 na 2024 r.</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AABFD9B" w14:textId="77777777" w:rsidR="004C6421" w:rsidRDefault="009D1962">
            <w:pPr>
              <w:pStyle w:val="P68B1DB1-Normal4"/>
              <w:jc w:val="center"/>
              <w:rPr>
                <w:rFonts w:cs="Arial"/>
                <w:noProof/>
              </w:rPr>
            </w:pPr>
            <w:r>
              <w:rPr>
                <w:noProof/>
              </w:rPr>
              <w:t>Przyjęcie sprawozdania Ministerstwa Finansów z przeglądu wydatków w 2024 r., poświadczającego zakończenie procesu i osiągnięcie celu. 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32CEA7D"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D2CACAE"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5E95F02"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EEBAB9"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7E33BC" w14:textId="77777777" w:rsidR="004C6421" w:rsidRDefault="009D1962">
            <w:pPr>
              <w:pStyle w:val="P68B1DB1-Normal4"/>
              <w:jc w:val="center"/>
              <w:rPr>
                <w:rFonts w:cs="Arial"/>
                <w:noProof/>
              </w:rPr>
            </w:pPr>
            <w:r>
              <w:rPr>
                <w:noProof/>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59375C2" w14:textId="77777777" w:rsidR="004C6421" w:rsidRDefault="009D1962">
            <w:pPr>
              <w:pStyle w:val="P68B1DB1-Normal4"/>
              <w:spacing w:after="120"/>
              <w:rPr>
                <w:rFonts w:cs="Arial"/>
                <w:noProof/>
              </w:rPr>
            </w:pPr>
            <w:r>
              <w:rPr>
                <w:noProof/>
              </w:rPr>
              <w:t>Sprawozdanie Ministerstwa Finansów przekazywane Radzie Ministrów zgodnie z dekretami z mocą ustawy nr 90 i 93 z 2016 r. oraz ustawą 163/2016:</w:t>
            </w:r>
          </w:p>
          <w:p w14:paraId="151971BD" w14:textId="77777777" w:rsidR="004C6421" w:rsidRDefault="009D1962">
            <w:pPr>
              <w:pStyle w:val="P68B1DB1-Normal4"/>
              <w:spacing w:after="120"/>
              <w:rPr>
                <w:rFonts w:cs="Arial"/>
                <w:noProof/>
              </w:rPr>
            </w:pPr>
            <w:r>
              <w:rPr>
                <w:noProof/>
              </w:rPr>
              <w:t>— poświadczenie zakończenia procesu przeglądu wydatków za 2024 r. w odniesieniu do przepisu dotyczącego ram przeglądu wydatków.</w:t>
            </w:r>
          </w:p>
          <w:p w14:paraId="0C2D2679" w14:textId="77777777" w:rsidR="004C6421" w:rsidRDefault="009D1962">
            <w:pPr>
              <w:pStyle w:val="P68B1DB1-Normal4"/>
              <w:spacing w:after="120"/>
              <w:rPr>
                <w:rFonts w:cs="Arial"/>
                <w:noProof/>
              </w:rPr>
            </w:pPr>
            <w:r>
              <w:rPr>
                <w:noProof/>
              </w:rPr>
              <w:t>— poświadczenie osiągnięcia celu wyznaczonego w latach 2022 i 2023.</w:t>
            </w:r>
          </w:p>
        </w:tc>
      </w:tr>
      <w:tr w:rsidR="004C6421" w14:paraId="69C818F0"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56D2225" w14:textId="77777777" w:rsidR="004C6421" w:rsidRDefault="009D1962">
            <w:pPr>
              <w:pStyle w:val="P68B1DB1-Normal4"/>
              <w:jc w:val="center"/>
              <w:rPr>
                <w:rFonts w:cs="Arial"/>
                <w:noProof/>
              </w:rPr>
            </w:pPr>
            <w:r>
              <w:rPr>
                <w:noProof/>
              </w:rPr>
              <w:t>M1C1-116</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6C3C79A" w14:textId="77777777" w:rsidR="004C6421" w:rsidRDefault="009D1962">
            <w:pPr>
              <w:pStyle w:val="P68B1DB1-Normal4"/>
              <w:jc w:val="center"/>
              <w:rPr>
                <w:rFonts w:cs="Arial"/>
                <w:noProof/>
              </w:rPr>
            </w:pPr>
            <w:r>
              <w:rPr>
                <w:noProof/>
              </w:rPr>
              <w:t>Reforma 1.12: Reforma administracji podatkowej</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CD107A"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8FDCE45" w14:textId="77777777" w:rsidR="004C6421" w:rsidRDefault="009D1962">
            <w:pPr>
              <w:pStyle w:val="P68B1DB1-Normal4"/>
              <w:jc w:val="center"/>
              <w:rPr>
                <w:rFonts w:cs="Arial"/>
                <w:noProof/>
              </w:rPr>
            </w:pPr>
            <w:r>
              <w:rPr>
                <w:noProof/>
              </w:rPr>
              <w:t>Ograniczenie uchylania się od opodatkowania zgodnie ze wskaźnikiem „możność uchylania się od opodatkowania”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DEFE83"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4D6D271" w14:textId="77777777" w:rsidR="004C6421" w:rsidRDefault="009D1962">
            <w:pPr>
              <w:pStyle w:val="P68B1DB1-Normal4"/>
              <w:jc w:val="center"/>
              <w:rPr>
                <w:rFonts w:cs="Arial"/>
                <w:noProof/>
              </w:rPr>
            </w:pPr>
            <w:r>
              <w:rPr>
                <w:noProof/>
              </w:rPr>
              <w:t>Procent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053ED47" w14:textId="77777777" w:rsidR="004C6421" w:rsidRDefault="009D1962">
            <w:pPr>
              <w:pStyle w:val="P68B1DB1-Normal4"/>
              <w:jc w:val="center"/>
              <w:rPr>
                <w:rFonts w:cs="Arial"/>
                <w:noProof/>
              </w:rPr>
            </w:pPr>
            <w:r>
              <w:rPr>
                <w:noProof/>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C2876B" w14:textId="77777777" w:rsidR="004C6421" w:rsidRDefault="009D1962">
            <w:pPr>
              <w:pStyle w:val="P68B1DB1-Normal4"/>
              <w:jc w:val="center"/>
              <w:rPr>
                <w:rFonts w:cs="Arial"/>
                <w:noProof/>
              </w:rPr>
            </w:pPr>
            <w:r>
              <w:rPr>
                <w:noProof/>
              </w:rPr>
              <w:t>—5</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7D210C8" w14:textId="57F99895" w:rsidR="004C6421" w:rsidRDefault="00CC179E">
            <w:pPr>
              <w:pStyle w:val="P68B1DB1-Normal4"/>
              <w:jc w:val="center"/>
              <w:rPr>
                <w:rFonts w:cs="Arial"/>
                <w:noProof/>
              </w:rPr>
            </w:pPr>
            <w:r>
              <w:rPr>
                <w:noProof/>
              </w:rPr>
              <w:t>KW. 4</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DA7457" w14:textId="77777777" w:rsidR="004C6421" w:rsidRDefault="009D1962">
            <w:pPr>
              <w:pStyle w:val="P68B1DB1-Normal4"/>
              <w:jc w:val="center"/>
              <w:rPr>
                <w:rFonts w:cs="Arial"/>
                <w:noProof/>
              </w:rPr>
            </w:pPr>
            <w:r>
              <w:rPr>
                <w:noProof/>
              </w:rPr>
              <w:t>2025</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7AE0378" w14:textId="77777777" w:rsidR="004C6421" w:rsidRDefault="009D1962">
            <w:pPr>
              <w:pStyle w:val="P68B1DB1-Normal4"/>
              <w:spacing w:before="100" w:beforeAutospacing="1" w:after="120"/>
              <w:rPr>
                <w:rFonts w:cs="Arial"/>
                <w:noProof/>
              </w:rPr>
            </w:pPr>
            <w:r>
              <w:rPr>
                <w:noProof/>
              </w:rPr>
              <w:t>„Prawność do uchylania się od opodatkowania” we wszystkich podatkach z wyłączeniem podatków od nieruchomości (Imposta Municipale Unica) i akcyzy będzie niższa w 2023 r. w porównaniu z 2019 r. o 5 % poziomu bazowego z 2019 r. Szacunki na 2019 r. zostaną uwzględnione w zaktualizowanym sprawozdaniu rządowym na temat szarej strefy, które ma zostać opublikowane w listopadzie 2021 r. zgodnie z przepisami art. 2 dekretu ustawodawczego nr 160/2015. Obniżkę o 5 % stosuje się w odniesieniu do szacunków zawartych w zaktualizowanym roczniku tego samego sprawozdania, które ma zostać opublikowane w listopadzie 2025 r. na podstawie danych za rok podatkowy 2023.</w:t>
            </w:r>
          </w:p>
        </w:tc>
      </w:tr>
      <w:tr w:rsidR="004C6421" w14:paraId="0C728DB2"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C71A341" w14:textId="77777777" w:rsidR="004C6421" w:rsidRDefault="009D1962">
            <w:pPr>
              <w:pStyle w:val="P68B1DB1-Normal4"/>
              <w:jc w:val="center"/>
              <w:rPr>
                <w:rFonts w:cs="Arial"/>
                <w:noProof/>
              </w:rPr>
            </w:pPr>
            <w:r>
              <w:rPr>
                <w:noProof/>
              </w:rPr>
              <w:t>M1C1-117</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90B5F3" w14:textId="77777777" w:rsidR="004C6421" w:rsidRDefault="009D1962">
            <w:pPr>
              <w:pStyle w:val="P68B1DB1-Normal4"/>
              <w:spacing w:line="276" w:lineRule="auto"/>
              <w:jc w:val="center"/>
              <w:rPr>
                <w:rFonts w:cs="Arial"/>
                <w:noProof/>
              </w:rPr>
            </w:pPr>
            <w:r>
              <w:rPr>
                <w:noProof/>
              </w:rPr>
              <w:t>Reforma 1.15:</w:t>
            </w:r>
          </w:p>
          <w:p w14:paraId="40A1141A" w14:textId="77777777" w:rsidR="004C6421" w:rsidRDefault="009D1962">
            <w:pPr>
              <w:pStyle w:val="P68B1DB1-Normal4"/>
              <w:spacing w:line="276" w:lineRule="auto"/>
              <w:jc w:val="center"/>
              <w:rPr>
                <w:rFonts w:cs="Arial"/>
                <w:noProof/>
              </w:rPr>
            </w:pPr>
            <w:r>
              <w:rPr>
                <w:noProof/>
              </w:rPr>
              <w:t>Reforma zasad rachunkowości publicznej</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8D07C7"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3705170" w14:textId="77777777" w:rsidR="004C6421" w:rsidRDefault="009D1962">
            <w:pPr>
              <w:pStyle w:val="P68B1DB1-Normal4"/>
              <w:jc w:val="center"/>
              <w:rPr>
                <w:rFonts w:cs="Arial"/>
                <w:noProof/>
              </w:rPr>
            </w:pPr>
            <w:r>
              <w:rPr>
                <w:noProof/>
              </w:rPr>
              <w:t>Przedstawiciele podmiotów publicznych przeszkoleni w zakresie przejścia na nowy system rachunkowości memoriałowej</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6F0D7C9"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092DFEE" w14:textId="77777777" w:rsidR="004C6421" w:rsidRDefault="009D1962">
            <w:pPr>
              <w:pStyle w:val="P68B1DB1-Normal4"/>
              <w:jc w:val="center"/>
              <w:rPr>
                <w:rFonts w:cs="Arial"/>
                <w:noProof/>
              </w:rPr>
            </w:pPr>
            <w:r>
              <w:rPr>
                <w:noProof/>
              </w:rPr>
              <w:t xml:space="preserve">Procent </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DA5AA37" w14:textId="77777777" w:rsidR="004C6421" w:rsidRDefault="009D1962">
            <w:pPr>
              <w:pStyle w:val="P68B1DB1-Normal4"/>
              <w:jc w:val="center"/>
              <w:rPr>
                <w:rFonts w:cs="Arial"/>
                <w:noProof/>
              </w:rPr>
            </w:pPr>
            <w:r>
              <w:rPr>
                <w:noProof/>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7FEA61" w14:textId="77777777" w:rsidR="004C6421" w:rsidRDefault="009D1962">
            <w:pPr>
              <w:pStyle w:val="P68B1DB1-Normal4"/>
              <w:jc w:val="center"/>
              <w:rPr>
                <w:rFonts w:cs="Arial"/>
                <w:noProof/>
              </w:rPr>
            </w:pPr>
            <w:r>
              <w:rPr>
                <w:noProof/>
              </w:rPr>
              <w:t>90</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14F6261" w14:textId="1D5F734F" w:rsidR="004C6421" w:rsidRDefault="00CC179E">
            <w:pPr>
              <w:pStyle w:val="P68B1DB1-Normal4"/>
              <w:jc w:val="center"/>
              <w:rPr>
                <w:rFonts w:cs="Arial"/>
                <w:noProof/>
              </w:rPr>
            </w:pPr>
            <w:r>
              <w:rPr>
                <w:noProof/>
              </w:rPr>
              <w:t>KW. 1</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D7E0698" w14:textId="77777777" w:rsidR="004C6421" w:rsidRDefault="009D1962">
            <w:pPr>
              <w:pStyle w:val="P68B1DB1-Normal4"/>
              <w:jc w:val="center"/>
              <w:rPr>
                <w:rFonts w:cs="Arial"/>
                <w:noProof/>
              </w:rPr>
            </w:pPr>
            <w:r>
              <w:rPr>
                <w:noProof/>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6CFC984" w14:textId="77777777" w:rsidR="004C6421" w:rsidRDefault="009D1962">
            <w:pPr>
              <w:pStyle w:val="P68B1DB1-Normal4"/>
              <w:rPr>
                <w:rFonts w:cs="Arial"/>
                <w:noProof/>
              </w:rPr>
            </w:pPr>
            <w:r>
              <w:rPr>
                <w:noProof/>
              </w:rPr>
              <w:t>Zakończenie pierwszej rundy szkoleń na potrzeby przejścia na nowy system rachunkowości memoriałowej dla przedstawicieli podmiotów sektora publicznego pokrywających co najmniej 90 % wydatków pierwotnych całego sektora publicznego.</w:t>
            </w:r>
          </w:p>
        </w:tc>
      </w:tr>
      <w:tr w:rsidR="004C6421" w14:paraId="07B7C2E2"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B296BF" w14:textId="77777777" w:rsidR="004C6421" w:rsidRDefault="009D1962">
            <w:pPr>
              <w:pStyle w:val="P68B1DB1-Normal4"/>
              <w:jc w:val="center"/>
              <w:rPr>
                <w:rFonts w:cs="Arial"/>
                <w:noProof/>
              </w:rPr>
            </w:pPr>
            <w:r>
              <w:rPr>
                <w:noProof/>
              </w:rPr>
              <w:t>M1C1-118</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4DCFE3" w14:textId="77777777" w:rsidR="004C6421" w:rsidRDefault="009D1962">
            <w:pPr>
              <w:pStyle w:val="P68B1DB1-Normal4"/>
              <w:spacing w:line="276" w:lineRule="auto"/>
              <w:jc w:val="center"/>
              <w:rPr>
                <w:rFonts w:cs="Arial"/>
                <w:noProof/>
              </w:rPr>
            </w:pPr>
            <w:bookmarkStart w:id="6" w:name="_Hlk160472732"/>
            <w:r>
              <w:rPr>
                <w:noProof/>
              </w:rPr>
              <w:t>Reforma 1.15:</w:t>
            </w:r>
          </w:p>
          <w:p w14:paraId="532D21A3" w14:textId="77777777" w:rsidR="004C6421" w:rsidRDefault="009D1962">
            <w:pPr>
              <w:pStyle w:val="P68B1DB1-Normal4"/>
              <w:spacing w:line="276" w:lineRule="auto"/>
              <w:jc w:val="center"/>
              <w:rPr>
                <w:rFonts w:cs="Arial"/>
                <w:noProof/>
              </w:rPr>
            </w:pPr>
            <w:r>
              <w:rPr>
                <w:noProof/>
              </w:rPr>
              <w:t>Reforma zasad rachunkowości publicznej</w:t>
            </w:r>
            <w:bookmarkEnd w:id="6"/>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7052D2" w14:textId="71D755BE"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125E548" w14:textId="77777777" w:rsidR="004C6421" w:rsidRDefault="009D1962">
            <w:pPr>
              <w:pStyle w:val="P68B1DB1-Normal4"/>
              <w:jc w:val="center"/>
              <w:rPr>
                <w:rFonts w:cs="Arial"/>
                <w:noProof/>
              </w:rPr>
            </w:pPr>
            <w:r>
              <w:rPr>
                <w:noProof/>
              </w:rPr>
              <w:t xml:space="preserve">Wystawianie sprawozdań finansowych i wejście w życie aktu ustawodawczego dotyczącego rachunkowości memoriałowej dla podmiotów sektora publicznego pokrywających co najmniej 90 % wydatków pierwotnych całego sektora publicznego. </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D9CE53" w14:textId="77777777" w:rsidR="004C6421" w:rsidRDefault="009D1962">
            <w:pPr>
              <w:pStyle w:val="P68B1DB1-Normal4"/>
              <w:jc w:val="center"/>
              <w:rPr>
                <w:rFonts w:cs="Arial"/>
                <w:noProof/>
              </w:rPr>
            </w:pPr>
            <w:r>
              <w:rPr>
                <w:noProof/>
              </w:rPr>
              <w:t>Przepis aktu ustawodawczego wskazujący na wejście w życie aktu ustawodawczego. Wejście w życie wszystkich środków wykonawczych (w tym wytycznych, podręczników operacyjnych i programów szkoleniowych) rachunkowości memoriałowej dla podmiotów sektora publicznego pokrywających co najmniej 90 % wydatków pierwotnych całego sektora publicznego.</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FCD37D1"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EE33BD2"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7ABA88"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52EC0B"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9362667" w14:textId="77777777" w:rsidR="004C6421" w:rsidRDefault="009D1962">
            <w:pPr>
              <w:pStyle w:val="P68B1DB1-Normal4"/>
              <w:jc w:val="center"/>
              <w:rPr>
                <w:rFonts w:cs="Arial"/>
                <w:noProof/>
              </w:rPr>
            </w:pPr>
            <w:r>
              <w:rPr>
                <w:noProof/>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D6C3767" w14:textId="77777777" w:rsidR="004C6421" w:rsidRDefault="009D1962">
            <w:pPr>
              <w:pStyle w:val="P68B1DB1-Normal4"/>
              <w:spacing w:after="120"/>
              <w:rPr>
                <w:rFonts w:cs="Arial"/>
                <w:noProof/>
              </w:rPr>
            </w:pPr>
            <w:r>
              <w:rPr>
                <w:noProof/>
              </w:rPr>
              <w:t>W ramach fazy pilotażowej aktu ustawodawczego dotyczącego zasad rachunkowości publicznej sporządza się sprawozdania finansowe administracji publicznej dla podmiotów sektora publicznego obejmujące co najmniej 90 % wydatków pierwotnych całego sektora publicznego.</w:t>
            </w:r>
          </w:p>
          <w:p w14:paraId="2B96392B" w14:textId="77777777" w:rsidR="004C6421" w:rsidRDefault="009D1962">
            <w:pPr>
              <w:spacing w:after="120"/>
              <w:rPr>
                <w:rFonts w:ascii="Arial Narrow" w:hAnsi="Arial Narrow" w:cs="Arial"/>
                <w:noProof/>
                <w:color w:val="006100"/>
                <w:sz w:val="20"/>
              </w:rPr>
            </w:pPr>
            <w:r>
              <w:rPr>
                <w:rFonts w:ascii="Arial Narrow" w:hAnsi="Arial Narrow"/>
                <w:noProof/>
                <w:color w:val="006100"/>
                <w:sz w:val="20"/>
              </w:rPr>
              <w:t>Ponadto wejdzie w życie akt ustawodawczy przewidujący wprowadzenie nowego systemu rachunkowości memoriałowej dla podmiotów sektora publicznego pokrywających co najmniej 90 % wydatków pierwotnych całego sektora publicznego od 2027 r.</w:t>
            </w:r>
            <w:r>
              <w:rPr>
                <w:noProof/>
              </w:rPr>
              <w:t xml:space="preserve">  </w:t>
            </w:r>
            <w:r>
              <w:rPr>
                <w:noProof/>
              </w:rPr>
              <w:br/>
            </w:r>
          </w:p>
          <w:p w14:paraId="3D1BFCCA" w14:textId="77777777" w:rsidR="004C6421" w:rsidRDefault="009D1962">
            <w:pPr>
              <w:pStyle w:val="P68B1DB1-Normal4"/>
              <w:spacing w:after="120"/>
              <w:rPr>
                <w:rFonts w:cs="Arial"/>
                <w:noProof/>
              </w:rPr>
            </w:pPr>
            <w:r>
              <w:rPr>
                <w:noProof/>
              </w:rPr>
              <w:t xml:space="preserve">Ponadto wchodzą w życie następujące środki wykonawcze: </w:t>
            </w:r>
          </w:p>
          <w:p w14:paraId="75BDA6DF" w14:textId="77777777" w:rsidR="004C6421" w:rsidRDefault="009D1962">
            <w:pPr>
              <w:spacing w:after="120"/>
              <w:rPr>
                <w:rFonts w:ascii="Arial Narrow" w:hAnsi="Arial Narrow" w:cs="Arial"/>
                <w:noProof/>
                <w:color w:val="006100"/>
                <w:sz w:val="20"/>
              </w:rPr>
            </w:pPr>
            <w:r>
              <w:rPr>
                <w:rFonts w:ascii="Arial Narrow" w:hAnsi="Arial Narrow"/>
                <w:noProof/>
                <w:color w:val="006100"/>
                <w:sz w:val="20"/>
              </w:rPr>
              <w:t xml:space="preserve">(1) Wytyczne i podręczniki operacyjne dotyczące stosowania standardów rachunkowości wraz z przykładami i praktycznymi oświadczeniami wspierającymi operatorów; oraz </w:t>
            </w:r>
            <w:r>
              <w:rPr>
                <w:noProof/>
              </w:rPr>
              <w:t xml:space="preserve">  </w:t>
            </w:r>
            <w:r>
              <w:rPr>
                <w:noProof/>
              </w:rPr>
              <w:br/>
            </w:r>
            <w:r>
              <w:rPr>
                <w:rFonts w:ascii="Arial Narrow" w:hAnsi="Arial Narrow"/>
                <w:noProof/>
                <w:color w:val="006100"/>
                <w:sz w:val="20"/>
              </w:rPr>
              <w:t>2) Program szkoleń: ustanowienie programów szkoleniowych w celu przejścia na nowy system rachunkowości memoriałowej.</w:t>
            </w:r>
          </w:p>
        </w:tc>
      </w:tr>
      <w:tr w:rsidR="004C6421" w14:paraId="63F97D05"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FBC13F8" w14:textId="77777777" w:rsidR="004C6421" w:rsidRDefault="009D1962">
            <w:pPr>
              <w:pStyle w:val="P68B1DB1-Normal4"/>
              <w:jc w:val="center"/>
              <w:rPr>
                <w:rFonts w:cs="Arial"/>
                <w:noProof/>
              </w:rPr>
            </w:pPr>
            <w:r>
              <w:rPr>
                <w:noProof/>
              </w:rPr>
              <w:t>M1C1-119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D56EFF4" w14:textId="77777777" w:rsidR="004C6421" w:rsidRDefault="009D1962">
            <w:pPr>
              <w:pStyle w:val="P68B1DB1-Normal4"/>
              <w:spacing w:line="276" w:lineRule="auto"/>
              <w:jc w:val="center"/>
              <w:rPr>
                <w:rFonts w:cs="Arial"/>
                <w:noProof/>
              </w:rPr>
            </w:pPr>
            <w:r>
              <w:rPr>
                <w:noProof/>
              </w:rPr>
              <w:t>Reforma 1.14:</w:t>
            </w:r>
          </w:p>
          <w:p w14:paraId="6B403BD4" w14:textId="77777777" w:rsidR="004C6421" w:rsidRDefault="009D1962">
            <w:pPr>
              <w:pStyle w:val="P68B1DB1-Normal4"/>
              <w:spacing w:line="276" w:lineRule="auto"/>
              <w:jc w:val="center"/>
              <w:rPr>
                <w:rFonts w:cs="Arial"/>
                <w:noProof/>
              </w:rPr>
            </w:pPr>
            <w:r>
              <w:rPr>
                <w:noProof/>
              </w:rPr>
              <w:t>Reforma ram budżetowych na szczeblu niższym niż krajowy</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A442C34" w14:textId="6D015521"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6087DA" w14:textId="77777777" w:rsidR="004C6421" w:rsidRDefault="009D1962">
            <w:pPr>
              <w:pStyle w:val="P68B1DB1-Normal4"/>
              <w:jc w:val="center"/>
              <w:rPr>
                <w:rFonts w:cs="Arial"/>
                <w:noProof/>
              </w:rPr>
            </w:pPr>
            <w:r>
              <w:rPr>
                <w:noProof/>
              </w:rPr>
              <w:t>Wejście w życie prawa pierwotnego i wtórnego w celu wdrożenia regionalnego federalizmu podatkowego</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48A28B" w14:textId="77777777" w:rsidR="004C6421" w:rsidRDefault="009D1962">
            <w:pPr>
              <w:pStyle w:val="P68B1DB1-Normal4"/>
              <w:jc w:val="center"/>
              <w:rPr>
                <w:rFonts w:cs="Arial"/>
                <w:noProof/>
              </w:rPr>
            </w:pPr>
            <w:r>
              <w:rPr>
                <w:noProof/>
              </w:rPr>
              <w:t>Przepis ustawy wskazujący na wejście w życie federalizmu fiskalnego w odniesieniu do regionów o zwykłym statusie.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907AFF"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CB73F0"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82B75DC"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55512F" w14:textId="672BBD9C" w:rsidR="004C6421" w:rsidRDefault="00CC179E">
            <w:pPr>
              <w:pStyle w:val="P68B1DB1-Normal4"/>
              <w:jc w:val="center"/>
              <w:rPr>
                <w:rFonts w:cs="Arial"/>
                <w:noProof/>
              </w:rPr>
            </w:pPr>
            <w:r>
              <w:rPr>
                <w:noProof/>
              </w:rPr>
              <w:t>KW. 1</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218773A" w14:textId="77777777" w:rsidR="004C6421" w:rsidRDefault="009D1962">
            <w:pPr>
              <w:pStyle w:val="P68B1DB1-Normal4"/>
              <w:jc w:val="center"/>
              <w:rPr>
                <w:rFonts w:cs="Arial"/>
                <w:noProof/>
              </w:rPr>
            </w:pPr>
            <w:r>
              <w:rPr>
                <w:noProof/>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A2CF5A" w14:textId="77777777" w:rsidR="004C6421" w:rsidRDefault="009D1962">
            <w:pPr>
              <w:pStyle w:val="P68B1DB1-Normal4"/>
              <w:spacing w:after="120"/>
              <w:rPr>
                <w:rFonts w:cs="Arial"/>
                <w:noProof/>
              </w:rPr>
            </w:pPr>
            <w:r>
              <w:rPr>
                <w:noProof/>
              </w:rPr>
              <w:t>Wejście w życie ram regulacyjnych federalizmu fiskalnego („Federalismo fiscale”) przewidzianych w obowiązującej ustawie o delegowaniu zadań 42/2009. W szczególności prawo pierwotne i wtórne określa odpowiednie parametry wdrażania federalizmu fiskalnego dla regionów o statusie zwykłym, zgodnie z definicją zawartą w dekrecie z mocą ustawy 68/2011 (art. 1–15), ostatnio zmienionym ustawą 176/2020 (art. 31-exties).</w:t>
            </w:r>
          </w:p>
        </w:tc>
      </w:tr>
      <w:tr w:rsidR="004C6421" w14:paraId="16780251"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53E1409" w14:textId="77777777" w:rsidR="004C6421" w:rsidRDefault="009D1962">
            <w:pPr>
              <w:pStyle w:val="P68B1DB1-Normal4"/>
              <w:jc w:val="center"/>
              <w:rPr>
                <w:rFonts w:cs="Arial"/>
                <w:noProof/>
              </w:rPr>
            </w:pPr>
            <w:r>
              <w:rPr>
                <w:noProof/>
              </w:rPr>
              <w:t>M1C1-120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939AB3" w14:textId="77777777" w:rsidR="004C6421" w:rsidRDefault="009D1962">
            <w:pPr>
              <w:pStyle w:val="P68B1DB1-Normal4"/>
              <w:spacing w:line="276" w:lineRule="auto"/>
              <w:jc w:val="center"/>
              <w:rPr>
                <w:rFonts w:cs="Arial"/>
                <w:noProof/>
              </w:rPr>
            </w:pPr>
            <w:r>
              <w:rPr>
                <w:noProof/>
              </w:rPr>
              <w:t>Reforma 1.14:</w:t>
            </w:r>
          </w:p>
          <w:p w14:paraId="5EA2A190" w14:textId="77777777" w:rsidR="004C6421" w:rsidRDefault="009D1962">
            <w:pPr>
              <w:pStyle w:val="P68B1DB1-Normal4"/>
              <w:spacing w:line="276" w:lineRule="auto"/>
              <w:jc w:val="center"/>
              <w:rPr>
                <w:rFonts w:cs="Arial"/>
                <w:noProof/>
              </w:rPr>
            </w:pPr>
            <w:r>
              <w:rPr>
                <w:noProof/>
              </w:rPr>
              <w:t>Reforma ram budżetowych na szczeblu niższym niż krajowy</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1CF7AB" w14:textId="1415F5CC"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256133F" w14:textId="77777777" w:rsidR="004C6421" w:rsidRDefault="009D1962">
            <w:pPr>
              <w:pStyle w:val="P68B1DB1-Normal4"/>
              <w:jc w:val="center"/>
              <w:rPr>
                <w:rFonts w:cs="Arial"/>
                <w:noProof/>
              </w:rPr>
            </w:pPr>
            <w:r>
              <w:rPr>
                <w:noProof/>
              </w:rPr>
              <w:t>Wejście w życie prawa pierwotnego i wtórnego w celu wdrożenia regionalnego federalizmu podatkowego</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B2D0D3D" w14:textId="77777777" w:rsidR="004C6421" w:rsidRDefault="009D1962">
            <w:pPr>
              <w:pStyle w:val="P68B1DB1-Normal4"/>
              <w:jc w:val="center"/>
              <w:rPr>
                <w:rFonts w:cs="Arial"/>
                <w:noProof/>
              </w:rPr>
            </w:pPr>
            <w:r>
              <w:rPr>
                <w:noProof/>
              </w:rPr>
              <w:t>Przepis ustawy wskazujący na wejście w życie federalizmu podatkowego w prowincjach i miastach metropolitalnych. 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A619D39"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DD97928"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B09F17C"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8208EC" w14:textId="29834AB5" w:rsidR="004C6421" w:rsidRDefault="00CC179E">
            <w:pPr>
              <w:pStyle w:val="P68B1DB1-Normal4"/>
              <w:jc w:val="center"/>
              <w:rPr>
                <w:rFonts w:cs="Arial"/>
                <w:noProof/>
              </w:rPr>
            </w:pPr>
            <w:r>
              <w:rPr>
                <w:noProof/>
              </w:rPr>
              <w:t>KW. 1</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29D2EA3" w14:textId="77777777" w:rsidR="004C6421" w:rsidRDefault="009D1962">
            <w:pPr>
              <w:pStyle w:val="P68B1DB1-Normal4"/>
              <w:jc w:val="center"/>
              <w:rPr>
                <w:rFonts w:cs="Arial"/>
                <w:noProof/>
              </w:rPr>
            </w:pPr>
            <w:r>
              <w:rPr>
                <w:noProof/>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12E214" w14:textId="77777777" w:rsidR="004C6421" w:rsidRDefault="009D1962">
            <w:pPr>
              <w:pStyle w:val="P68B1DB1-Normal4"/>
              <w:rPr>
                <w:rFonts w:cs="Arial"/>
                <w:noProof/>
              </w:rPr>
            </w:pPr>
            <w:r>
              <w:rPr>
                <w:noProof/>
              </w:rPr>
              <w:t>Wejście w życie ram regulacyjnych federalizmu fiskalnego („Federalismo fiscale”) przewidzianych w obowiązującej ustawie o delegowaniu zadań 42/2009. W szczególności prawo pierwotne i wtórne określa odpowiednie parametry w celu wdrożenia, w stosownych przypadkach, federalizmu podatkowego w prowincjach i miastach metropolitalnych, zgodnie z definicją zawartą w dekrecie z mocą ustawy 68/2011 (art. 1–15), ostatnio zmienionym ustawą 178/2020 (art. 1, przecinek 783).</w:t>
            </w:r>
          </w:p>
        </w:tc>
      </w:tr>
      <w:tr w:rsidR="004C6421" w14:paraId="7B542374"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4FDAA3B" w14:textId="77777777" w:rsidR="004C6421" w:rsidRDefault="009D1962">
            <w:pPr>
              <w:pStyle w:val="P68B1DB1-Normal4"/>
              <w:jc w:val="center"/>
              <w:rPr>
                <w:rFonts w:cs="Arial"/>
                <w:noProof/>
              </w:rPr>
            </w:pPr>
            <w:r>
              <w:rPr>
                <w:noProof/>
              </w:rPr>
              <w:t>M1C1-121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7853E0" w14:textId="77777777" w:rsidR="004C6421" w:rsidRDefault="009D1962">
            <w:pPr>
              <w:pStyle w:val="P68B1DB1-Normal4"/>
              <w:spacing w:line="276" w:lineRule="auto"/>
              <w:jc w:val="center"/>
              <w:rPr>
                <w:rFonts w:cs="Arial"/>
                <w:noProof/>
              </w:rPr>
            </w:pPr>
            <w:r>
              <w:rPr>
                <w:noProof/>
              </w:rPr>
              <w:t>Reforma 1.12:</w:t>
            </w:r>
          </w:p>
          <w:p w14:paraId="3D36AC4A" w14:textId="77777777" w:rsidR="004C6421" w:rsidRDefault="009D1962">
            <w:pPr>
              <w:pStyle w:val="P68B1DB1-Normal4"/>
              <w:spacing w:line="276" w:lineRule="auto"/>
              <w:jc w:val="center"/>
              <w:rPr>
                <w:rFonts w:cs="Arial"/>
                <w:noProof/>
              </w:rPr>
            </w:pPr>
            <w:r>
              <w:rPr>
                <w:noProof/>
              </w:rPr>
              <w:t>Reforma administracji podatkowej</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57C6CA5" w14:textId="77777777" w:rsidR="004C6421" w:rsidRDefault="009D1962">
            <w:pPr>
              <w:pStyle w:val="P68B1DB1-Normal4"/>
              <w:jc w:val="center"/>
              <w:rPr>
                <w:rFonts w:cs="Arial"/>
                <w:noProof/>
              </w:rPr>
            </w:pPr>
            <w:r>
              <w:rPr>
                <w:noProof/>
              </w:rPr>
              <w:t>Cel</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160E702" w14:textId="77777777" w:rsidR="004C6421" w:rsidRDefault="009D1962">
            <w:pPr>
              <w:pStyle w:val="P68B1DB1-Normal4"/>
              <w:jc w:val="center"/>
              <w:rPr>
                <w:rFonts w:cs="Arial"/>
                <w:noProof/>
              </w:rPr>
            </w:pPr>
            <w:r>
              <w:rPr>
                <w:noProof/>
              </w:rPr>
              <w:t>Ograniczenie uchylania się od opodatkowania zgodnie ze wskaźnikiem „możność uchylania się od opodatkowania”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D8B1550" w14:textId="77777777" w:rsidR="004C6421" w:rsidRDefault="009D1962">
            <w:pPr>
              <w:pStyle w:val="P68B1DB1-Normal4"/>
              <w:jc w:val="center"/>
              <w:rPr>
                <w:rFonts w:cs="Arial"/>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BD72E2" w14:textId="77777777" w:rsidR="004C6421" w:rsidRDefault="009D1962">
            <w:pPr>
              <w:pStyle w:val="P68B1DB1-Normal4"/>
              <w:jc w:val="center"/>
              <w:rPr>
                <w:rFonts w:cs="Arial"/>
                <w:noProof/>
              </w:rPr>
            </w:pPr>
            <w:r>
              <w:rPr>
                <w:noProof/>
              </w:rPr>
              <w:t>Procent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DED1341" w14:textId="77777777" w:rsidR="004C6421" w:rsidRDefault="009D1962">
            <w:pPr>
              <w:pStyle w:val="P68B1DB1-Normal4"/>
              <w:jc w:val="center"/>
              <w:rPr>
                <w:rFonts w:cs="Arial"/>
                <w:noProof/>
              </w:rPr>
            </w:pPr>
            <w:r>
              <w:rPr>
                <w:noProof/>
              </w:rPr>
              <w:t>0</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088593" w14:textId="77777777" w:rsidR="004C6421" w:rsidRDefault="009D1962">
            <w:pPr>
              <w:pStyle w:val="P68B1DB1-Normal4"/>
              <w:jc w:val="center"/>
              <w:rPr>
                <w:rFonts w:cs="Arial"/>
                <w:noProof/>
              </w:rPr>
            </w:pPr>
            <w:r>
              <w:rPr>
                <w:noProof/>
              </w:rPr>
              <w:t>—15</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F90D87"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D88C590" w14:textId="77777777" w:rsidR="004C6421" w:rsidRDefault="009D1962">
            <w:pPr>
              <w:pStyle w:val="P68B1DB1-Normal4"/>
              <w:jc w:val="center"/>
              <w:rPr>
                <w:rFonts w:cs="Arial"/>
                <w:noProof/>
              </w:rPr>
            </w:pPr>
            <w:r>
              <w:rPr>
                <w:noProof/>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3101720" w14:textId="77777777" w:rsidR="004C6421" w:rsidRDefault="009D1962">
            <w:pPr>
              <w:pStyle w:val="P68B1DB1-Normal4"/>
              <w:spacing w:after="120"/>
              <w:rPr>
                <w:rFonts w:cs="Arial"/>
                <w:noProof/>
              </w:rPr>
            </w:pPr>
            <w:r>
              <w:rPr>
                <w:noProof/>
              </w:rPr>
              <w:t>„Prawność do uchylania się od opodatkowania” we wszystkich podatkach z wyłączeniem podatków od nieruchomości (Imposta Municipale Unica) i akcyzy będzie niższa w 2024 r. w porównaniu z 2019 r. o 15 % poziomu bazowego z 2019 r. Szacunki na 2019 r. zostaną uwzględnione w zaktualizowanym sprawozdaniu rządowym na temat szarej strefy, które ma zostać opublikowane w listopadzie 2021 r. zgodnie z przepisami art. 2 dekretu ustawodawczego nr 160/2015. Zmniejszenie o 15 % stosuje się w odniesieniu do oszacowania za rok podatkowy 2024 zawartego w specjalnym sprawozdaniu, które ma zostać przygotowane przez Ministerstwo Finansów do czerwca 2026 r. w oparciu o tę samą metodykę, którą stosuje się do sprawozdania wymaganego na mocy art. 2 dekretu ustawodawczego nr 160/2015.</w:t>
            </w:r>
          </w:p>
        </w:tc>
      </w:tr>
      <w:tr w:rsidR="004C6421" w14:paraId="4E1C8501"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E10A81" w14:textId="77777777" w:rsidR="004C6421" w:rsidRDefault="009D1962">
            <w:pPr>
              <w:pStyle w:val="P68B1DB1-Normal4"/>
              <w:jc w:val="center"/>
              <w:rPr>
                <w:rFonts w:cs="Arial"/>
                <w:noProof/>
              </w:rPr>
            </w:pPr>
            <w:r>
              <w:rPr>
                <w:noProof/>
              </w:rPr>
              <w:t>M1C1-122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5CF053" w14:textId="77777777" w:rsidR="004C6421" w:rsidRDefault="009D1962">
            <w:pPr>
              <w:pStyle w:val="P68B1DB1-Normal4"/>
              <w:spacing w:line="276" w:lineRule="auto"/>
              <w:jc w:val="center"/>
              <w:rPr>
                <w:rFonts w:cs="Arial"/>
                <w:noProof/>
              </w:rPr>
            </w:pPr>
            <w:r>
              <w:rPr>
                <w:noProof/>
              </w:rPr>
              <w:t>Reforma 1.13: Reforma ram przeglądu wydatków</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7C647C" w14:textId="2CD5D30D" w:rsidR="004C6421" w:rsidRDefault="00CC179E">
            <w:pPr>
              <w:pStyle w:val="P68B1DB1-Normal4"/>
              <w:jc w:val="center"/>
              <w:rPr>
                <w:rFonts w:cs="Arial"/>
                <w:noProof/>
              </w:rPr>
            </w:pPr>
            <w:r>
              <w:rPr>
                <w:noProof/>
              </w:rPr>
              <w:t>Milowy</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427DC11" w14:textId="77777777" w:rsidR="004C6421" w:rsidRDefault="009D1962">
            <w:pPr>
              <w:pStyle w:val="P68B1DB1-Normal4"/>
              <w:jc w:val="center"/>
              <w:rPr>
                <w:rFonts w:cs="Arial"/>
                <w:noProof/>
              </w:rPr>
            </w:pPr>
            <w:r>
              <w:rPr>
                <w:noProof/>
              </w:rPr>
              <w:t>Zakończenie rocznego przeglądu wydatków na 2025 r. w odniesieniu do celu w zakresie oszczędności ustalonego na lata 2022, 2023 i 2024 na 2025 r.</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3224AF" w14:textId="77777777" w:rsidR="004C6421" w:rsidRDefault="009D1962">
            <w:pPr>
              <w:pStyle w:val="P68B1DB1-Normal4"/>
              <w:jc w:val="center"/>
              <w:rPr>
                <w:rFonts w:cs="Arial"/>
                <w:noProof/>
              </w:rPr>
            </w:pPr>
            <w:r>
              <w:rPr>
                <w:noProof/>
              </w:rPr>
              <w:t>Przyjęcie sprawozdania Ministerstwa Finansów z przeglądu wydatków w 2025 r., poświadczającego zakończenie procesu i osiągnięcie celu. 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6B6235F" w14:textId="77777777" w:rsidR="004C6421" w:rsidRDefault="009D1962">
            <w:pPr>
              <w:pStyle w:val="P68B1DB1-Normal4"/>
              <w:jc w:val="center"/>
              <w:rPr>
                <w:rFonts w:cs="Arial"/>
                <w:noProof/>
              </w:rPr>
            </w:pPr>
            <w:r>
              <w:rPr>
                <w:noProof/>
              </w:rPr>
              <w:t>NIE DOT.</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77A629" w14:textId="77777777" w:rsidR="004C6421" w:rsidRDefault="009D1962">
            <w:pPr>
              <w:pStyle w:val="P68B1DB1-Normal4"/>
              <w:jc w:val="center"/>
              <w:rPr>
                <w:rFonts w:cs="Arial"/>
                <w:noProof/>
              </w:rPr>
            </w:pPr>
            <w:r>
              <w:rPr>
                <w:noProof/>
              </w:rPr>
              <w:t>NIE DOT.</w:t>
            </w:r>
          </w:p>
        </w:tc>
        <w:tc>
          <w:tcPr>
            <w:tcW w:w="14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D2E6B01" w14:textId="77777777" w:rsidR="004C6421" w:rsidRDefault="009D1962">
            <w:pPr>
              <w:pStyle w:val="P68B1DB1-Normal4"/>
              <w:jc w:val="center"/>
              <w:rPr>
                <w:rFonts w:cs="Arial"/>
                <w:noProof/>
              </w:rPr>
            </w:pPr>
            <w:r>
              <w:rPr>
                <w:noProof/>
              </w:rPr>
              <w:t>NIE DOT.</w:t>
            </w:r>
          </w:p>
        </w:tc>
        <w:tc>
          <w:tcPr>
            <w:tcW w:w="84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CBE5B8" w14:textId="77777777" w:rsidR="004C6421" w:rsidRDefault="009D1962">
            <w:pPr>
              <w:pStyle w:val="P68B1DB1-Normal4"/>
              <w:jc w:val="center"/>
              <w:rPr>
                <w:rFonts w:cs="Arial"/>
                <w:noProof/>
              </w:rPr>
            </w:pPr>
            <w:r>
              <w:rPr>
                <w:noProof/>
              </w:rPr>
              <w:t>II KW.</w:t>
            </w:r>
          </w:p>
        </w:tc>
        <w:tc>
          <w:tcPr>
            <w:tcW w:w="56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38B450" w14:textId="77777777" w:rsidR="004C6421" w:rsidRDefault="009D1962">
            <w:pPr>
              <w:pStyle w:val="P68B1DB1-Normal4"/>
              <w:jc w:val="center"/>
              <w:rPr>
                <w:rFonts w:cs="Arial"/>
                <w:noProof/>
              </w:rPr>
            </w:pPr>
            <w:r>
              <w:rPr>
                <w:noProof/>
              </w:rPr>
              <w:t>2026</w:t>
            </w:r>
          </w:p>
        </w:tc>
        <w:tc>
          <w:tcPr>
            <w:tcW w:w="297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6A2D31" w14:textId="77777777" w:rsidR="004C6421" w:rsidRDefault="009D1962">
            <w:pPr>
              <w:pStyle w:val="P68B1DB1-Normal4"/>
              <w:spacing w:after="120"/>
              <w:rPr>
                <w:rFonts w:cs="Arial"/>
                <w:noProof/>
              </w:rPr>
            </w:pPr>
            <w:r>
              <w:rPr>
                <w:noProof/>
              </w:rPr>
              <w:t>Sprawozdanie Ministerstwa Finansów przekazywane Radzie Ministrów zgodnie z dekretami z mocą ustawy nr 90 i 93 z 2016 r. oraz ustawą 163/2016:</w:t>
            </w:r>
          </w:p>
          <w:p w14:paraId="5F547941" w14:textId="77777777" w:rsidR="004C6421" w:rsidRDefault="009D1962">
            <w:pPr>
              <w:pStyle w:val="P68B1DB1-Normal4"/>
              <w:spacing w:after="120"/>
              <w:rPr>
                <w:rFonts w:cs="Arial"/>
                <w:noProof/>
              </w:rPr>
            </w:pPr>
            <w:r>
              <w:rPr>
                <w:noProof/>
              </w:rPr>
              <w:t>— poświadczenie zakończenia procesu przeglądu wydatków na 2025 r. w odniesieniu do przepisu dotyczącego ram przeglądu wydatków.</w:t>
            </w:r>
          </w:p>
          <w:p w14:paraId="46BCA541" w14:textId="77777777" w:rsidR="004C6421" w:rsidRDefault="009D1962">
            <w:pPr>
              <w:pStyle w:val="P68B1DB1-Normal4"/>
              <w:spacing w:after="120"/>
              <w:rPr>
                <w:rFonts w:cs="Arial"/>
                <w:noProof/>
              </w:rPr>
            </w:pPr>
            <w:r>
              <w:rPr>
                <w:noProof/>
              </w:rPr>
              <w:t>—poświadczyć osiągnięcie celu wyznaczonego w latach 2022, 2023 i 2024.</w:t>
            </w:r>
          </w:p>
        </w:tc>
      </w:tr>
    </w:tbl>
    <w:p w14:paraId="372761C3" w14:textId="77777777" w:rsidR="004C6421" w:rsidRDefault="004C6421">
      <w:pPr>
        <w:tabs>
          <w:tab w:val="left" w:pos="4252"/>
        </w:tabs>
        <w:rPr>
          <w:i/>
          <w:noProof/>
        </w:rPr>
        <w:sectPr w:rsidR="004C6421" w:rsidSect="00797973">
          <w:headerReference w:type="even" r:id="rId24"/>
          <w:headerReference w:type="default" r:id="rId25"/>
          <w:footerReference w:type="even" r:id="rId26"/>
          <w:footerReference w:type="default" r:id="rId27"/>
          <w:headerReference w:type="first" r:id="rId28"/>
          <w:footerReference w:type="first" r:id="rId29"/>
          <w:pgSz w:w="16838" w:h="11906" w:orient="landscape" w:code="9"/>
          <w:pgMar w:top="1134" w:right="1134" w:bottom="1134" w:left="1134" w:header="567" w:footer="567" w:gutter="0"/>
          <w:cols w:space="720"/>
          <w:docGrid w:linePitch="360"/>
        </w:sectPr>
      </w:pPr>
    </w:p>
    <w:p w14:paraId="7CDE4CFA" w14:textId="77777777" w:rsidR="004C6421" w:rsidRDefault="009D1962">
      <w:pPr>
        <w:pStyle w:val="Heading3"/>
        <w:numPr>
          <w:ilvl w:val="0"/>
          <w:numId w:val="0"/>
        </w:numPr>
        <w:ind w:left="850" w:hanging="850"/>
        <w:rPr>
          <w:b/>
          <w:i w:val="0"/>
          <w:noProof/>
          <w:u w:val="single"/>
        </w:rPr>
      </w:pPr>
      <w:r>
        <w:rPr>
          <w:b/>
          <w:i w:val="0"/>
          <w:noProof/>
          <w:u w:val="single"/>
        </w:rPr>
        <w:t xml:space="preserve">A.3. </w:t>
      </w:r>
      <w:r>
        <w:rPr>
          <w:noProof/>
        </w:rPr>
        <w:t xml:space="preserve"> </w:t>
      </w:r>
      <w:r>
        <w:rPr>
          <w:b/>
          <w:i w:val="0"/>
          <w:noProof/>
          <w:u w:val="single"/>
        </w:rPr>
        <w:t xml:space="preserve">Opis reform i inwestycji związanych z pożyczką </w:t>
      </w:r>
    </w:p>
    <w:p w14:paraId="773C1C89" w14:textId="77777777" w:rsidR="004C6421" w:rsidRDefault="004C6421">
      <w:pPr>
        <w:spacing w:before="120" w:after="120"/>
        <w:jc w:val="both"/>
        <w:rPr>
          <w:rFonts w:eastAsiaTheme="minorHAnsi"/>
          <w:b/>
          <w:noProof/>
        </w:rPr>
      </w:pPr>
    </w:p>
    <w:p w14:paraId="581FAE93" w14:textId="77777777" w:rsidR="004C6421" w:rsidRDefault="009D1962">
      <w:pPr>
        <w:pStyle w:val="P68B1DB1-Normal2"/>
        <w:spacing w:before="120" w:after="120"/>
        <w:jc w:val="both"/>
        <w:rPr>
          <w:rFonts w:eastAsiaTheme="minorHAnsi"/>
          <w:noProof/>
        </w:rPr>
      </w:pPr>
      <w:r>
        <w:rPr>
          <w:noProof/>
        </w:rPr>
        <w:t>Inwestycje 1.2 – Umożliwienie chmury dla lokalnych AP</w:t>
      </w:r>
    </w:p>
    <w:p w14:paraId="52793284" w14:textId="77777777" w:rsidR="004C6421" w:rsidRDefault="009D1962">
      <w:pPr>
        <w:pStyle w:val="Descriptiontitle"/>
        <w:ind w:left="0"/>
        <w:rPr>
          <w:noProof/>
        </w:rPr>
      </w:pPr>
      <w:r>
        <w:rPr>
          <w:noProof/>
        </w:rPr>
        <w:t xml:space="preserve">Celem tej inwestycji jest migracja zbiorów danych i zastosowań znacznej części lokalnej administracji publicznej do bezpiecznej infrastruktury chmury obliczeniowej, umożliwiając każdej administracji swobodę wyboru w ramach zbioru certyfikowanych publicznych środowisk chmury obliczeniowej. </w:t>
      </w:r>
    </w:p>
    <w:p w14:paraId="0E93C820" w14:textId="77777777" w:rsidR="004C6421" w:rsidRDefault="009D1962">
      <w:pPr>
        <w:pStyle w:val="Descriptiontitle"/>
        <w:ind w:left="0"/>
        <w:rPr>
          <w:noProof/>
        </w:rPr>
      </w:pPr>
      <w:r>
        <w:rPr>
          <w:noProof/>
        </w:rPr>
        <w:t>Środek przewiduje również pakiet wsparcia dla administracji „migracja jako usługa”, który obejmuje: (i) ocenę wstępną, (ii) wsparcie proceduralne/administracyjne niezbędne do rozpoczęcia wysiłków, (iii) negocjacje w sprawie niezbędnego wsparcia zewnętrznego oraz (iv) ogólne zarządzanie projektem w trakcie realizacji. Oczekuje się, że zespół nadzorowany przez Ministerstwo Innowacji Technologicznych i Transformacji Cyfrowej (MITD) określi i poświadczy szeroki wykaz wykwalifikowanych dostawców oraz wynegocjuje zestaw standardowych pakietów wsparcia dostosowanych do wielkości administracji i usług związanych z migracją.</w:t>
      </w:r>
    </w:p>
    <w:p w14:paraId="567122C1" w14:textId="77777777" w:rsidR="004C6421" w:rsidRDefault="009D1962">
      <w:pPr>
        <w:pStyle w:val="P68B1DB1-Normal2"/>
        <w:spacing w:before="120" w:after="120"/>
        <w:jc w:val="both"/>
        <w:rPr>
          <w:rFonts w:eastAsiaTheme="minorHAnsi"/>
          <w:noProof/>
        </w:rPr>
      </w:pPr>
      <w:r>
        <w:rPr>
          <w:noProof/>
        </w:rPr>
        <w:t>Inwestycje 1.4 – Usługi cyfrowe i doświadczenia obywateli</w:t>
      </w:r>
    </w:p>
    <w:p w14:paraId="4D4F299E" w14:textId="77777777" w:rsidR="004C6421" w:rsidRDefault="009D1962">
      <w:pPr>
        <w:pStyle w:val="Descriptiontitle"/>
        <w:ind w:left="0"/>
        <w:rPr>
          <w:noProof/>
        </w:rPr>
      </w:pPr>
      <w:r>
        <w:rPr>
          <w:noProof/>
        </w:rPr>
        <w:t xml:space="preserve">Celem tej inwestycji jest opracowanie zintegrowanej i zharmonizowanej oferty najnowocześniejszych usług cyfrowych zorientowanych na obywateli, zapewnienie ich powszechnego przyjęcia zarówno w administracji centralnej, jak i lokalnej oraz zwiększenie doświadczenia użytkowników. </w:t>
      </w:r>
    </w:p>
    <w:p w14:paraId="70FC74A0" w14:textId="77777777" w:rsidR="004C6421" w:rsidRDefault="009D1962">
      <w:pPr>
        <w:pStyle w:val="Descriptiontitle"/>
        <w:ind w:left="0"/>
        <w:rPr>
          <w:noProof/>
        </w:rPr>
      </w:pPr>
      <w:r>
        <w:rPr>
          <w:noProof/>
        </w:rPr>
        <w:t xml:space="preserve">Środek: </w:t>
      </w:r>
    </w:p>
    <w:p w14:paraId="2013235A" w14:textId="77777777" w:rsidR="004C6421" w:rsidRDefault="009D1962">
      <w:pPr>
        <w:pStyle w:val="Descriptiontitle"/>
        <w:numPr>
          <w:ilvl w:val="0"/>
          <w:numId w:val="87"/>
        </w:numPr>
        <w:ind w:left="578" w:hanging="578"/>
        <w:rPr>
          <w:noProof/>
        </w:rPr>
      </w:pPr>
      <w:r>
        <w:rPr>
          <w:noProof/>
        </w:rPr>
        <w:t>zwiększenie doświadczenia cyfrowych usług publicznych poprzez zdefiniowanie modeli świadczenia usług wielokrotnego użytku zapewniających pełne wymogi dostępności (inwestycja 1.4.1 – Doświadczenia obywateli – Poprawa jakości i użyteczności cyfrowych usług publicznych);</w:t>
      </w:r>
    </w:p>
    <w:p w14:paraId="193FE5AD" w14:textId="77777777" w:rsidR="004C6421" w:rsidRDefault="009D1962">
      <w:pPr>
        <w:pStyle w:val="Descriptiontitle"/>
        <w:numPr>
          <w:ilvl w:val="0"/>
          <w:numId w:val="87"/>
        </w:numPr>
        <w:ind w:left="578" w:hanging="578"/>
        <w:rPr>
          <w:noProof/>
        </w:rPr>
      </w:pPr>
      <w:r>
        <w:rPr>
          <w:noProof/>
        </w:rPr>
        <w:t>poprawa dostępności cyfrowych usług publicznych (inwestycja 1.4.2 – Integracja obywatelska: Poprawa dostępności cyfrowych usług publicznych);</w:t>
      </w:r>
    </w:p>
    <w:p w14:paraId="435AD73E" w14:textId="77777777" w:rsidR="004C6421" w:rsidRDefault="009D1962">
      <w:pPr>
        <w:pStyle w:val="Descriptiontitle"/>
        <w:numPr>
          <w:ilvl w:val="0"/>
          <w:numId w:val="87"/>
        </w:numPr>
        <w:ind w:left="578" w:hanging="578"/>
        <w:rPr>
          <w:noProof/>
        </w:rPr>
      </w:pPr>
      <w:r>
        <w:rPr>
          <w:noProof/>
        </w:rPr>
        <w:t>wspieranie przyjęcia cyfrowej aplikacji do płatności między obywatelami a administracjami publicznymi (PagoPa) oraz przyjęcia aplikacji „IO” jako kluczowego cyfrowego punktu kontaktowego między obywatelami a administracją w odniesieniu do szerokiego zakresu usług (w tym powiadomień) zgodnie z logiką punktu kompleksowej obsługi (inwestycja 1.4.3 – Przyjęcie większej skali usług platformowych PagoPA i aplikacji „IO”);</w:t>
      </w:r>
    </w:p>
    <w:p w14:paraId="0F00449C" w14:textId="77777777" w:rsidR="004C6421" w:rsidRDefault="009D1962">
      <w:pPr>
        <w:pStyle w:val="Descriptiontitle"/>
        <w:numPr>
          <w:ilvl w:val="0"/>
          <w:numId w:val="87"/>
        </w:numPr>
        <w:ind w:left="578" w:hanging="578"/>
        <w:rPr>
          <w:noProof/>
        </w:rPr>
      </w:pPr>
      <w:r>
        <w:rPr>
          <w:noProof/>
        </w:rPr>
        <w:t>wspieranie przyjęcia krajowych platform tożsamości cyfrowej (Sistema Pubblico di Identità Digitale, SPID i Carta d’Identità Elettronica, CIE) oraz krajowego rejestru (Anagrafe nazionale della popolazione residente, ANPR) (inwestycja 1.4.4 – Przyjęcie większej skali krajowych platform tożsamości cyfrowej (SPID, CIE) i rejestru krajowego (ANPR));</w:t>
      </w:r>
    </w:p>
    <w:p w14:paraId="1854DB68" w14:textId="77777777" w:rsidR="004C6421" w:rsidRDefault="009D1962">
      <w:pPr>
        <w:pStyle w:val="Descriptiontitle"/>
        <w:numPr>
          <w:ilvl w:val="0"/>
          <w:numId w:val="87"/>
        </w:numPr>
        <w:ind w:left="578" w:hanging="578"/>
        <w:rPr>
          <w:noProof/>
        </w:rPr>
      </w:pPr>
      <w:r>
        <w:rPr>
          <w:noProof/>
        </w:rPr>
        <w:t>opracowanie jednolitej platformy powiadomień (inwestycja 1.4.5 – Cyfryzacja ogłoszeń publicznych);</w:t>
      </w:r>
    </w:p>
    <w:p w14:paraId="0A71EA3E" w14:textId="77777777" w:rsidR="004C6421" w:rsidRDefault="009D1962">
      <w:pPr>
        <w:pStyle w:val="Descriptiontitle"/>
        <w:numPr>
          <w:ilvl w:val="0"/>
          <w:numId w:val="87"/>
        </w:numPr>
        <w:ind w:left="578" w:hanging="578"/>
        <w:rPr>
          <w:noProof/>
        </w:rPr>
      </w:pPr>
      <w:r>
        <w:rPr>
          <w:noProof/>
        </w:rPr>
        <w:t>wspieranie przyjęcia modelu mobilności jako usługi (MaaS) w miastach metropolitalnych w celu cyfryzacji transportu lokalnego i zapewnienia użytkownikom zintegrowanego doświadczenia w zakresie mobilności od planowania podróży po płatności w różnych rodzajach transportu (inwestycja 1.4.6 – Mobilność jako usługa dla Włoch, przy czym ten ostatni środek jest finansowany na podstawie bezzwrotnego wsparcia finansowego).</w:t>
      </w:r>
    </w:p>
    <w:p w14:paraId="4F340E9C" w14:textId="77777777" w:rsidR="004C6421" w:rsidRDefault="004C6421">
      <w:pPr>
        <w:spacing w:before="120" w:after="120"/>
        <w:jc w:val="both"/>
        <w:rPr>
          <w:rFonts w:eastAsiaTheme="minorHAnsi"/>
          <w:b/>
          <w:noProof/>
        </w:rPr>
      </w:pPr>
    </w:p>
    <w:p w14:paraId="1B215875" w14:textId="77777777" w:rsidR="004C6421" w:rsidRDefault="009D1962">
      <w:pPr>
        <w:pStyle w:val="P68B1DB1-Normal2"/>
        <w:spacing w:before="120" w:after="120"/>
        <w:jc w:val="both"/>
        <w:rPr>
          <w:rFonts w:eastAsiaTheme="minorHAnsi"/>
          <w:noProof/>
        </w:rPr>
      </w:pPr>
      <w:r>
        <w:rPr>
          <w:noProof/>
        </w:rPr>
        <w:t>Inwestycje 1.6 – Transformacja cyfrowa dużych administracji centralnych</w:t>
      </w:r>
    </w:p>
    <w:p w14:paraId="694B358D" w14:textId="77777777" w:rsidR="004C6421" w:rsidRDefault="009D1962">
      <w:pPr>
        <w:pStyle w:val="Descriptiontitle"/>
        <w:ind w:left="0"/>
        <w:rPr>
          <w:noProof/>
        </w:rPr>
      </w:pPr>
      <w:r>
        <w:rPr>
          <w:noProof/>
        </w:rPr>
        <w:t>Celem tej inwestycji jest przeprojektowanie i cyfryzacja zestawu priorytetowych procesów, działań i usług w ramach głównych administracji centralnych w celu zwiększenia wydajności tych administracji i uproszczenia procedur. Do odpowiednich organów administracji centralnej należą: (i) Krajowy Instytut Zabezpieczenia Społecznego (INPS) i Krajowy Instytut Ubezpieczeń od Wypadków przy pracy (INAIL), (ii) system sądowy, (iii) Ministerstwo Obrony, (iv) Ministerstwo Spraw Wewnętrznych, (v) Policja Finansowa.</w:t>
      </w:r>
    </w:p>
    <w:p w14:paraId="05525325" w14:textId="77777777" w:rsidR="004C6421" w:rsidRDefault="009D1962">
      <w:pPr>
        <w:pStyle w:val="Descriptiontitle"/>
        <w:ind w:left="0"/>
        <w:rPr>
          <w:noProof/>
        </w:rPr>
      </w:pPr>
      <w:r>
        <w:rPr>
          <w:noProof/>
        </w:rPr>
        <w:t>Jeżeli chodzi o Ministerstwo Spraw Wewnętrznych, projekt przewiduje (i) cyfryzację usług dla obywateli oraz przeprojektowanie podstawowych procesów wewnętrznych; (II) opracowanie wewnętrznych aplikacji i systemów zarządzania w celu opracowania wewnętrznego scentralizowanego systemu weryfikacji tożsamości fizycznej i cyfrowej oraz powiązanych atrybutów, umożliwiającego funkcjonariuszom publicznym (np. policji) przeprowadzanie w czasie rzeczywistym zdalnej weryfikacji dokumentów osobistych i praw jazdy (np. karty zdrowia, prawa jazdy itp.) będących własnością obywateli i powiązanych z ewaluacją wpływu opartą na metodach kontrfaktycznych; (III) podnoszenie kwalifikacji personelu w celu wzmocnienia zdolności cyfrowych (1.6.1 – Cyfryzacja Ministerstwa Spraw Wewnętrznych).</w:t>
      </w:r>
    </w:p>
    <w:p w14:paraId="424C5BA7" w14:textId="77777777" w:rsidR="004C6421" w:rsidRDefault="009D1962">
      <w:pPr>
        <w:pStyle w:val="Descriptiontitle"/>
        <w:ind w:left="0"/>
        <w:rPr>
          <w:noProof/>
        </w:rPr>
      </w:pPr>
      <w:r>
        <w:rPr>
          <w:noProof/>
        </w:rPr>
        <w:t>Jeżeli chodzi o system wymiaru sprawiedliwości, projekt przewiduje (i) digitalizację w ciągu ostatnich dwudziestu lat (01/01/2006 – 30/06/2026) archiwów (7750000 akt sądowych) związanych z postępowaniami cywilnymi przed sądami niższej instancji (Tribunali ordinari), sądami apelacyjnymi oraz aktami sądowymi Sądu Najwyższego, sędziami pokoju w stolicach rejonowych, biurami ds. nieletnich, wydziałami karnymi sądów i sądów apelacyjnych oraz prokuraturami; (II) utworzenie warstwy oprogramowania „Data Lake” (warstwy oprogramowania) pełniącej funkcję pojedynczego punktu dostępu do całego zbioru surowych danych generowanych przez system sądowy. Informacje przechowywane w jeziorze danych wykorzystuje się poprzez wdrażanie rozwiązań w zakresie sztucznej inteligencji w celu: anonimizacji wyroków cywilnych i karnych; automatyczną identyfikację stosunku ofiara-przestępca w przepisach prawnych; (III) zarządza wcześniejszymi aktami prawnymi dotyczącymi spraw, analizuje je i organizuje w celu ułatwienia konsultowania się z sędziami cywilnymi i prokuratorami; (IV) przeprowadzać zaawansowaną analizę statystyczną wydajności i skuteczności systemu sądowego; (v) zarządzanie czasem przetwarzania czynności wykonywanych przez urzędy sądowe i ich monitorowanie (Inwestycje 1.6.2 – Cyfryzacja Ministerstwa Sprawiedliwości i 1.6.5 – Cyfryzacja Rady Stanu, finansowana z bezzwrotnego wsparcia finansowego).</w:t>
      </w:r>
    </w:p>
    <w:p w14:paraId="0664EBC4" w14:textId="77777777" w:rsidR="004C6421" w:rsidRDefault="009D1962">
      <w:pPr>
        <w:pStyle w:val="Descriptiontitle"/>
        <w:ind w:left="0"/>
        <w:rPr>
          <w:noProof/>
        </w:rPr>
      </w:pPr>
      <w:r>
        <w:rPr>
          <w:noProof/>
        </w:rPr>
        <w:t>Jeżeli chodzi o INPS i INAIL, projekt obejmuje gruntowny przegląd ich wewnętrznych systemów i procedur, a także rozwój ich cyfrowych punktów kontaktowych z mieszkańcami, przedsiębiorstwami i innymi administracjami publicznymi, aby zapewnić użytkownikom płynne doświadczenie cyfrowe (1.6.3 – Cyfryzacja Krajowego Instytutu Zabezpieczenia Społecznego (INPS) i Narodowego Instytutu Ubezpieczeń od Wypadków przy Pracy (INAIL)).</w:t>
      </w:r>
    </w:p>
    <w:p w14:paraId="68B5665D" w14:textId="77777777" w:rsidR="004C6421" w:rsidRDefault="009D1962">
      <w:pPr>
        <w:pStyle w:val="Descriptiontitle"/>
        <w:ind w:left="0"/>
        <w:rPr>
          <w:noProof/>
        </w:rPr>
      </w:pPr>
      <w:r>
        <w:rPr>
          <w:noProof/>
        </w:rPr>
        <w:t>Jeżeli chodzi o Ministerstwo Obrony, projekt obejmuje (i) zwiększenie bezpieczeństwa trzech podstawowych zbiorów informacji (personel, dokumentacja administracyjna, komunikacja wewnętrzna i zewnętrzna) oraz (ii) migrację wszystkich systemów i aplikacji do modelu otwartego, zgodnego z polityką bezpieczeństwa określoną w referencyjnych ramach regulacyjnych (inwestycja 1.6.4 – Cyfryzacja Ministerstwa Obrony).</w:t>
      </w:r>
    </w:p>
    <w:p w14:paraId="1224E56A" w14:textId="77777777" w:rsidR="004C6421" w:rsidRDefault="009D1962">
      <w:pPr>
        <w:pStyle w:val="Descriptiontitle"/>
        <w:ind w:left="0"/>
        <w:rPr>
          <w:noProof/>
        </w:rPr>
      </w:pPr>
      <w:r>
        <w:rPr>
          <w:noProof/>
        </w:rPr>
        <w:t>Jeżeli chodzi o policję finansową, projekt ma na celu przede wszystkim (i) reorganizację baz danych; (II) wprowadzenie nauki o danych do procesów operacyjnych i decyzyjnych (inwestycja 1.6.6 – Cyfryzacja policji finansowej, finansowana z bezzwrotnego wsparcia finansowego).</w:t>
      </w:r>
    </w:p>
    <w:p w14:paraId="2C81CF01" w14:textId="77777777" w:rsidR="004C6421" w:rsidRDefault="004C6421">
      <w:pPr>
        <w:jc w:val="both"/>
        <w:rPr>
          <w:noProof/>
        </w:rPr>
      </w:pPr>
    </w:p>
    <w:p w14:paraId="0AEF1562" w14:textId="77777777" w:rsidR="004C6421" w:rsidRDefault="004C6421">
      <w:pPr>
        <w:spacing w:before="120" w:after="120"/>
        <w:ind w:left="709"/>
        <w:jc w:val="both"/>
        <w:rPr>
          <w:b/>
          <w:i/>
          <w:noProof/>
          <w:color w:val="4472C4" w:themeColor="accent1"/>
        </w:rPr>
      </w:pPr>
    </w:p>
    <w:p w14:paraId="1114170A" w14:textId="77777777" w:rsidR="004C6421" w:rsidRDefault="004C6421">
      <w:pPr>
        <w:spacing w:before="120" w:after="120"/>
        <w:ind w:left="709"/>
        <w:jc w:val="both"/>
        <w:rPr>
          <w:b/>
          <w:i/>
          <w:noProof/>
          <w:color w:val="4472C4" w:themeColor="accent1"/>
        </w:rPr>
        <w:sectPr w:rsidR="004C6421" w:rsidSect="00797973">
          <w:headerReference w:type="even" r:id="rId30"/>
          <w:headerReference w:type="default" r:id="rId31"/>
          <w:footerReference w:type="even" r:id="rId32"/>
          <w:footerReference w:type="default" r:id="rId33"/>
          <w:headerReference w:type="first" r:id="rId34"/>
          <w:footerReference w:type="first" r:id="rId35"/>
          <w:pgSz w:w="11906" w:h="16838" w:code="12"/>
          <w:pgMar w:top="1134" w:right="1134" w:bottom="1134" w:left="1134" w:header="567" w:footer="567" w:gutter="0"/>
          <w:cols w:space="720"/>
          <w:docGrid w:linePitch="360"/>
        </w:sectPr>
      </w:pPr>
    </w:p>
    <w:p w14:paraId="4AC48438" w14:textId="77777777" w:rsidR="004C6421" w:rsidRDefault="009D1962">
      <w:pPr>
        <w:pStyle w:val="Heading3"/>
        <w:numPr>
          <w:ilvl w:val="0"/>
          <w:numId w:val="0"/>
        </w:numPr>
        <w:ind w:left="850" w:hanging="850"/>
        <w:rPr>
          <w:b/>
          <w:i w:val="0"/>
          <w:noProof/>
          <w:u w:val="single"/>
        </w:rPr>
      </w:pPr>
      <w:r>
        <w:rPr>
          <w:b/>
          <w:i w:val="0"/>
          <w:noProof/>
          <w:u w:val="single"/>
        </w:rPr>
        <w:t xml:space="preserve">A.4. </w:t>
      </w:r>
      <w:r>
        <w:rPr>
          <w:noProof/>
        </w:rPr>
        <w:t xml:space="preserve"> </w:t>
      </w:r>
      <w:r>
        <w:rPr>
          <w:b/>
          <w:i w:val="0"/>
          <w:noProof/>
          <w:u w:val="single"/>
        </w:rPr>
        <w:t xml:space="preserve">Cele pośrednie, wartości docelowe, wskaźniki i harmonogram monitorowania i realizacji pożyczki </w:t>
      </w:r>
    </w:p>
    <w:tbl>
      <w:tblPr>
        <w:tblW w:w="15678"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284"/>
        <w:gridCol w:w="1746"/>
        <w:gridCol w:w="992"/>
        <w:gridCol w:w="2126"/>
        <w:gridCol w:w="1701"/>
        <w:gridCol w:w="1134"/>
        <w:gridCol w:w="1276"/>
        <w:gridCol w:w="1417"/>
        <w:gridCol w:w="793"/>
        <w:gridCol w:w="625"/>
        <w:gridCol w:w="2584"/>
      </w:tblGrid>
      <w:tr w:rsidR="004C6421" w14:paraId="135BFBE7" w14:textId="77777777">
        <w:trPr>
          <w:trHeight w:val="774"/>
          <w:tblHeader/>
        </w:trPr>
        <w:tc>
          <w:tcPr>
            <w:tcW w:w="1284" w:type="dxa"/>
            <w:vMerge w:val="restart"/>
            <w:shd w:val="clear" w:color="auto" w:fill="BDD7EE"/>
            <w:vAlign w:val="center"/>
            <w:hideMark/>
          </w:tcPr>
          <w:p w14:paraId="70112AEA" w14:textId="77777777" w:rsidR="004C6421" w:rsidRDefault="009D1962">
            <w:pPr>
              <w:pStyle w:val="P68B1DB1-Normal3"/>
              <w:jc w:val="center"/>
              <w:rPr>
                <w:noProof/>
              </w:rPr>
            </w:pPr>
            <w:r>
              <w:rPr>
                <w:noProof/>
              </w:rPr>
              <w:t>Numer porządkowy</w:t>
            </w:r>
          </w:p>
        </w:tc>
        <w:tc>
          <w:tcPr>
            <w:tcW w:w="1746" w:type="dxa"/>
            <w:vMerge w:val="restart"/>
            <w:shd w:val="clear" w:color="auto" w:fill="BDD7EE"/>
            <w:vAlign w:val="center"/>
            <w:hideMark/>
          </w:tcPr>
          <w:p w14:paraId="5DA8334A" w14:textId="77777777" w:rsidR="004C6421" w:rsidRDefault="009D1962">
            <w:pPr>
              <w:pStyle w:val="P68B1DB1-Normal3"/>
              <w:jc w:val="center"/>
              <w:rPr>
                <w:noProof/>
              </w:rPr>
            </w:pPr>
            <w:r>
              <w:rPr>
                <w:noProof/>
              </w:rPr>
              <w:t>Powiązane działanie (reforma lub inwestycja)</w:t>
            </w:r>
          </w:p>
        </w:tc>
        <w:tc>
          <w:tcPr>
            <w:tcW w:w="992" w:type="dxa"/>
            <w:vMerge w:val="restart"/>
            <w:shd w:val="clear" w:color="auto" w:fill="BDD7EE"/>
            <w:vAlign w:val="center"/>
            <w:hideMark/>
          </w:tcPr>
          <w:p w14:paraId="18C48776" w14:textId="08621578" w:rsidR="004C6421" w:rsidRDefault="00CC179E">
            <w:pPr>
              <w:pStyle w:val="P68B1DB1-Normal3"/>
              <w:jc w:val="center"/>
              <w:rPr>
                <w:noProof/>
              </w:rPr>
            </w:pPr>
            <w:r>
              <w:rPr>
                <w:noProof/>
              </w:rPr>
              <w:t>Milowy</w:t>
            </w:r>
          </w:p>
          <w:p w14:paraId="468D6AB8" w14:textId="77777777" w:rsidR="004C6421" w:rsidRDefault="009D1962">
            <w:pPr>
              <w:pStyle w:val="P68B1DB1-Normal3"/>
              <w:jc w:val="center"/>
              <w:rPr>
                <w:noProof/>
              </w:rPr>
            </w:pPr>
            <w:r>
              <w:rPr>
                <w:noProof/>
              </w:rPr>
              <w:t>/Cel</w:t>
            </w:r>
          </w:p>
        </w:tc>
        <w:tc>
          <w:tcPr>
            <w:tcW w:w="2126" w:type="dxa"/>
            <w:vMerge w:val="restart"/>
            <w:shd w:val="clear" w:color="auto" w:fill="BDD7EE"/>
            <w:vAlign w:val="center"/>
            <w:hideMark/>
          </w:tcPr>
          <w:p w14:paraId="3A43FF2B" w14:textId="77777777" w:rsidR="004C6421" w:rsidRDefault="009D1962">
            <w:pPr>
              <w:pStyle w:val="P68B1DB1-Normal3"/>
              <w:jc w:val="center"/>
              <w:rPr>
                <w:noProof/>
              </w:rPr>
            </w:pPr>
            <w:r>
              <w:rPr>
                <w:noProof/>
              </w:rPr>
              <w:t>Nazwa</w:t>
            </w:r>
          </w:p>
        </w:tc>
        <w:tc>
          <w:tcPr>
            <w:tcW w:w="1701" w:type="dxa"/>
            <w:vMerge w:val="restart"/>
            <w:shd w:val="clear" w:color="auto" w:fill="BDD7EE"/>
            <w:vAlign w:val="center"/>
            <w:hideMark/>
          </w:tcPr>
          <w:p w14:paraId="5DA0E4CB" w14:textId="77777777" w:rsidR="004C6421" w:rsidRDefault="009D1962">
            <w:pPr>
              <w:jc w:val="center"/>
              <w:rPr>
                <w:rFonts w:ascii="Arial Narrow" w:hAnsi="Arial Narrow"/>
                <w:b/>
                <w:noProof/>
                <w:sz w:val="20"/>
              </w:rPr>
            </w:pPr>
            <w:r>
              <w:rPr>
                <w:rFonts w:ascii="Arial Narrow" w:hAnsi="Arial Narrow"/>
                <w:b/>
                <w:noProof/>
                <w:sz w:val="20"/>
              </w:rPr>
              <w:t xml:space="preserve">Wskaźniki jakościowe </w:t>
            </w:r>
            <w:r>
              <w:rPr>
                <w:rFonts w:ascii="Arial Narrow" w:hAnsi="Arial Narrow"/>
                <w:noProof/>
              </w:rPr>
              <w:t xml:space="preserve"> </w:t>
            </w:r>
            <w:r>
              <w:rPr>
                <w:noProof/>
              </w:rPr>
              <w:t xml:space="preserve">  </w:t>
            </w:r>
            <w:r>
              <w:rPr>
                <w:noProof/>
              </w:rPr>
              <w:br/>
            </w:r>
            <w:r>
              <w:rPr>
                <w:rFonts w:ascii="Arial Narrow" w:hAnsi="Arial Narrow"/>
                <w:b/>
                <w:noProof/>
                <w:sz w:val="20"/>
              </w:rPr>
              <w:t>(dla kamieni milowych)</w:t>
            </w:r>
          </w:p>
        </w:tc>
        <w:tc>
          <w:tcPr>
            <w:tcW w:w="3827" w:type="dxa"/>
            <w:gridSpan w:val="3"/>
            <w:shd w:val="clear" w:color="auto" w:fill="BDD7EE"/>
            <w:vAlign w:val="center"/>
            <w:hideMark/>
          </w:tcPr>
          <w:p w14:paraId="0076273A" w14:textId="77777777" w:rsidR="004C6421" w:rsidRDefault="009D1962">
            <w:pPr>
              <w:jc w:val="center"/>
              <w:rPr>
                <w:rFonts w:ascii="Arial Narrow" w:hAnsi="Arial Narrow"/>
                <w:b/>
                <w:noProof/>
                <w:sz w:val="20"/>
              </w:rPr>
            </w:pPr>
            <w:r>
              <w:rPr>
                <w:rFonts w:ascii="Arial Narrow" w:hAnsi="Arial Narrow"/>
                <w:b/>
                <w:noProof/>
                <w:sz w:val="20"/>
              </w:rPr>
              <w:t xml:space="preserve">Wskaźniki ilościowe </w:t>
            </w:r>
            <w:r>
              <w:rPr>
                <w:rFonts w:ascii="Arial Narrow" w:hAnsi="Arial Narrow"/>
                <w:noProof/>
              </w:rPr>
              <w:t xml:space="preserve"> </w:t>
            </w:r>
            <w:r>
              <w:rPr>
                <w:noProof/>
              </w:rPr>
              <w:t xml:space="preserve">  </w:t>
            </w:r>
            <w:r>
              <w:rPr>
                <w:noProof/>
              </w:rPr>
              <w:br/>
            </w:r>
            <w:r>
              <w:rPr>
                <w:rFonts w:ascii="Arial Narrow" w:hAnsi="Arial Narrow"/>
                <w:b/>
                <w:noProof/>
                <w:sz w:val="20"/>
              </w:rPr>
              <w:t>(dla wartości docelowych)</w:t>
            </w:r>
          </w:p>
        </w:tc>
        <w:tc>
          <w:tcPr>
            <w:tcW w:w="1418" w:type="dxa"/>
            <w:gridSpan w:val="2"/>
            <w:shd w:val="clear" w:color="auto" w:fill="BDD7EE"/>
            <w:vAlign w:val="center"/>
            <w:hideMark/>
          </w:tcPr>
          <w:p w14:paraId="4FCB89A0" w14:textId="77777777" w:rsidR="004C6421" w:rsidRDefault="009D1962">
            <w:pPr>
              <w:pStyle w:val="P68B1DB1-Normal3"/>
              <w:jc w:val="center"/>
              <w:rPr>
                <w:noProof/>
              </w:rPr>
            </w:pPr>
            <w:r>
              <w:rPr>
                <w:noProof/>
              </w:rPr>
              <w:t>Orientacyjny harmonogram zakończenia działania</w:t>
            </w:r>
          </w:p>
        </w:tc>
        <w:tc>
          <w:tcPr>
            <w:tcW w:w="2584" w:type="dxa"/>
            <w:vMerge w:val="restart"/>
            <w:shd w:val="clear" w:color="auto" w:fill="BDD7EE"/>
            <w:vAlign w:val="center"/>
            <w:hideMark/>
          </w:tcPr>
          <w:p w14:paraId="4E6BA9C0" w14:textId="77777777" w:rsidR="004C6421" w:rsidRDefault="009D1962">
            <w:pPr>
              <w:pStyle w:val="P68B1DB1-Normal3"/>
              <w:jc w:val="center"/>
              <w:rPr>
                <w:noProof/>
              </w:rPr>
            </w:pPr>
            <w:r>
              <w:rPr>
                <w:noProof/>
              </w:rPr>
              <w:t>Opis każdego kamienia milowego i każdej wartości docelowej</w:t>
            </w:r>
          </w:p>
        </w:tc>
      </w:tr>
      <w:tr w:rsidR="004C6421" w14:paraId="270B44B6" w14:textId="77777777">
        <w:trPr>
          <w:trHeight w:val="686"/>
          <w:tblHeader/>
        </w:trPr>
        <w:tc>
          <w:tcPr>
            <w:tcW w:w="1284" w:type="dxa"/>
            <w:vMerge/>
            <w:vAlign w:val="center"/>
            <w:hideMark/>
          </w:tcPr>
          <w:p w14:paraId="4ADB7587" w14:textId="77777777" w:rsidR="004C6421" w:rsidRDefault="004C6421">
            <w:pPr>
              <w:jc w:val="center"/>
              <w:rPr>
                <w:rFonts w:ascii="Arial Narrow" w:hAnsi="Arial Narrow"/>
                <w:b/>
                <w:noProof/>
                <w:sz w:val="20"/>
              </w:rPr>
            </w:pPr>
          </w:p>
        </w:tc>
        <w:tc>
          <w:tcPr>
            <w:tcW w:w="1746" w:type="dxa"/>
            <w:vMerge/>
            <w:vAlign w:val="center"/>
            <w:hideMark/>
          </w:tcPr>
          <w:p w14:paraId="6038A71D" w14:textId="77777777" w:rsidR="004C6421" w:rsidRDefault="004C6421">
            <w:pPr>
              <w:jc w:val="center"/>
              <w:rPr>
                <w:rFonts w:ascii="Arial Narrow" w:hAnsi="Arial Narrow"/>
                <w:b/>
                <w:noProof/>
                <w:sz w:val="20"/>
              </w:rPr>
            </w:pPr>
          </w:p>
        </w:tc>
        <w:tc>
          <w:tcPr>
            <w:tcW w:w="992" w:type="dxa"/>
            <w:vMerge/>
            <w:vAlign w:val="center"/>
            <w:hideMark/>
          </w:tcPr>
          <w:p w14:paraId="786FF306" w14:textId="77777777" w:rsidR="004C6421" w:rsidRDefault="004C6421">
            <w:pPr>
              <w:jc w:val="center"/>
              <w:rPr>
                <w:rFonts w:ascii="Arial Narrow" w:hAnsi="Arial Narrow"/>
                <w:b/>
                <w:noProof/>
                <w:sz w:val="20"/>
              </w:rPr>
            </w:pPr>
          </w:p>
        </w:tc>
        <w:tc>
          <w:tcPr>
            <w:tcW w:w="2126" w:type="dxa"/>
            <w:vMerge/>
            <w:vAlign w:val="center"/>
            <w:hideMark/>
          </w:tcPr>
          <w:p w14:paraId="79CB382B" w14:textId="77777777" w:rsidR="004C6421" w:rsidRDefault="004C6421">
            <w:pPr>
              <w:jc w:val="center"/>
              <w:rPr>
                <w:rFonts w:ascii="Arial Narrow" w:hAnsi="Arial Narrow"/>
                <w:b/>
                <w:noProof/>
                <w:sz w:val="20"/>
              </w:rPr>
            </w:pPr>
          </w:p>
        </w:tc>
        <w:tc>
          <w:tcPr>
            <w:tcW w:w="1701" w:type="dxa"/>
            <w:vMerge/>
            <w:vAlign w:val="center"/>
            <w:hideMark/>
          </w:tcPr>
          <w:p w14:paraId="0436C7BB" w14:textId="77777777" w:rsidR="004C6421" w:rsidRDefault="004C6421">
            <w:pPr>
              <w:jc w:val="center"/>
              <w:rPr>
                <w:rFonts w:ascii="Arial Narrow" w:hAnsi="Arial Narrow"/>
                <w:b/>
                <w:noProof/>
                <w:sz w:val="20"/>
              </w:rPr>
            </w:pPr>
          </w:p>
        </w:tc>
        <w:tc>
          <w:tcPr>
            <w:tcW w:w="1134" w:type="dxa"/>
            <w:shd w:val="clear" w:color="auto" w:fill="BDD7EE"/>
            <w:vAlign w:val="center"/>
            <w:hideMark/>
          </w:tcPr>
          <w:p w14:paraId="4498F905" w14:textId="77777777" w:rsidR="004C6421" w:rsidRDefault="009D1962">
            <w:pPr>
              <w:pStyle w:val="P68B1DB1-Normal3"/>
              <w:jc w:val="center"/>
              <w:rPr>
                <w:noProof/>
              </w:rPr>
            </w:pPr>
            <w:r>
              <w:rPr>
                <w:noProof/>
              </w:rPr>
              <w:t>Jednostka</w:t>
            </w:r>
          </w:p>
          <w:p w14:paraId="3B961579" w14:textId="77777777" w:rsidR="004C6421" w:rsidRDefault="009D1962">
            <w:pPr>
              <w:pStyle w:val="P68B1DB1-Normal3"/>
              <w:jc w:val="center"/>
              <w:rPr>
                <w:noProof/>
              </w:rPr>
            </w:pPr>
            <w:r>
              <w:rPr>
                <w:noProof/>
              </w:rPr>
              <w:t>miara</w:t>
            </w:r>
          </w:p>
        </w:tc>
        <w:tc>
          <w:tcPr>
            <w:tcW w:w="1276" w:type="dxa"/>
            <w:shd w:val="clear" w:color="auto" w:fill="BDD7EE"/>
            <w:vAlign w:val="center"/>
            <w:hideMark/>
          </w:tcPr>
          <w:p w14:paraId="07C2A8F0" w14:textId="77777777" w:rsidR="004C6421" w:rsidRDefault="009D1962">
            <w:pPr>
              <w:pStyle w:val="P68B1DB1-Normal3"/>
              <w:jc w:val="center"/>
              <w:rPr>
                <w:noProof/>
              </w:rPr>
            </w:pPr>
            <w:r>
              <w:rPr>
                <w:noProof/>
              </w:rPr>
              <w:t>Bazowy</w:t>
            </w:r>
          </w:p>
        </w:tc>
        <w:tc>
          <w:tcPr>
            <w:tcW w:w="1417" w:type="dxa"/>
            <w:shd w:val="clear" w:color="auto" w:fill="BDD7EE"/>
            <w:vAlign w:val="center"/>
            <w:hideMark/>
          </w:tcPr>
          <w:p w14:paraId="51D7BAD4" w14:textId="77777777" w:rsidR="004C6421" w:rsidRDefault="009D1962">
            <w:pPr>
              <w:pStyle w:val="P68B1DB1-Normal3"/>
              <w:jc w:val="center"/>
              <w:rPr>
                <w:noProof/>
              </w:rPr>
            </w:pPr>
            <w:r>
              <w:rPr>
                <w:noProof/>
              </w:rPr>
              <w:t>Cel</w:t>
            </w:r>
          </w:p>
        </w:tc>
        <w:tc>
          <w:tcPr>
            <w:tcW w:w="793" w:type="dxa"/>
            <w:shd w:val="clear" w:color="auto" w:fill="BDD7EE"/>
            <w:vAlign w:val="center"/>
            <w:hideMark/>
          </w:tcPr>
          <w:p w14:paraId="5C274755" w14:textId="77777777" w:rsidR="004C6421" w:rsidRDefault="009D1962">
            <w:pPr>
              <w:pStyle w:val="P68B1DB1-Normal3"/>
              <w:jc w:val="center"/>
              <w:rPr>
                <w:noProof/>
              </w:rPr>
            </w:pPr>
            <w:r>
              <w:rPr>
                <w:noProof/>
              </w:rPr>
              <w:t>Kwartał</w:t>
            </w:r>
          </w:p>
        </w:tc>
        <w:tc>
          <w:tcPr>
            <w:tcW w:w="625" w:type="dxa"/>
            <w:shd w:val="clear" w:color="auto" w:fill="BDD7EE"/>
            <w:vAlign w:val="center"/>
            <w:hideMark/>
          </w:tcPr>
          <w:p w14:paraId="69E86C6E" w14:textId="77777777" w:rsidR="004C6421" w:rsidRDefault="009D1962">
            <w:pPr>
              <w:pStyle w:val="P68B1DB1-Normal3"/>
              <w:jc w:val="center"/>
              <w:rPr>
                <w:noProof/>
              </w:rPr>
            </w:pPr>
            <w:r>
              <w:rPr>
                <w:noProof/>
              </w:rPr>
              <w:t>Rok</w:t>
            </w:r>
          </w:p>
        </w:tc>
        <w:tc>
          <w:tcPr>
            <w:tcW w:w="2584" w:type="dxa"/>
            <w:vMerge/>
            <w:vAlign w:val="center"/>
            <w:hideMark/>
          </w:tcPr>
          <w:p w14:paraId="1494AF06" w14:textId="77777777" w:rsidR="004C6421" w:rsidRDefault="004C6421">
            <w:pPr>
              <w:rPr>
                <w:rFonts w:ascii="Arial Narrow" w:hAnsi="Arial Narrow"/>
                <w:b/>
                <w:noProof/>
                <w:sz w:val="20"/>
              </w:rPr>
            </w:pPr>
          </w:p>
        </w:tc>
      </w:tr>
      <w:tr w:rsidR="004C6421" w14:paraId="11374AA8" w14:textId="77777777">
        <w:trPr>
          <w:trHeight w:val="81"/>
        </w:trPr>
        <w:tc>
          <w:tcPr>
            <w:tcW w:w="128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57B130" w14:textId="77777777" w:rsidR="004C6421" w:rsidRDefault="009D1962">
            <w:pPr>
              <w:pStyle w:val="P68B1DB1-Normal4"/>
              <w:jc w:val="center"/>
              <w:rPr>
                <w:noProof/>
              </w:rPr>
            </w:pPr>
            <w:r>
              <w:rPr>
                <w:noProof/>
              </w:rPr>
              <w:t>M1C1-14</w:t>
            </w:r>
          </w:p>
        </w:tc>
        <w:tc>
          <w:tcPr>
            <w:tcW w:w="174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D356BAF" w14:textId="77777777" w:rsidR="004C6421" w:rsidRDefault="009D1962">
            <w:pPr>
              <w:pStyle w:val="P68B1DB1-Normal4"/>
              <w:jc w:val="center"/>
              <w:rPr>
                <w:noProof/>
              </w:rPr>
            </w:pPr>
            <w:r>
              <w:rPr>
                <w:noProof/>
              </w:rPr>
              <w:t>Inwestycje 1.6.5: Cyfryzacja Rady Stanu</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70EC1F" w14:textId="77777777" w:rsidR="004C6421" w:rsidRDefault="009D1962">
            <w:pPr>
              <w:pStyle w:val="P68B1DB1-Normal4"/>
              <w:jc w:val="center"/>
              <w:rPr>
                <w:noProof/>
              </w:rPr>
            </w:pPr>
            <w:r>
              <w:rPr>
                <w:noProof/>
              </w:rPr>
              <w:t>Cel</w:t>
            </w:r>
          </w:p>
        </w:tc>
        <w:tc>
          <w:tcPr>
            <w:tcW w:w="212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1F290A" w14:textId="77777777" w:rsidR="004C6421" w:rsidRDefault="009D1962">
            <w:pPr>
              <w:pStyle w:val="P68B1DB1-Normal4"/>
              <w:jc w:val="center"/>
              <w:rPr>
                <w:noProof/>
              </w:rPr>
            </w:pPr>
            <w:r>
              <w:rPr>
                <w:noProof/>
              </w:rPr>
              <w:t>Rada Stanu – dokumenty sądowe dostępne do analizy w hurtowni danych T1</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766548" w14:textId="77777777" w:rsidR="004C6421" w:rsidRDefault="009D1962">
            <w:pPr>
              <w:pStyle w:val="P68B1DB1-Normal4"/>
              <w:jc w:val="center"/>
              <w:rPr>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1876B6" w14:textId="77777777" w:rsidR="004C6421" w:rsidRDefault="009D1962">
            <w:pPr>
              <w:pStyle w:val="P68B1DB1-Normal4"/>
              <w:jc w:val="center"/>
              <w:rPr>
                <w:noProof/>
              </w:rPr>
            </w:pPr>
            <w:r>
              <w:rPr>
                <w:noProof/>
              </w:rPr>
              <w:t>Numer</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88F121C" w14:textId="77777777" w:rsidR="004C6421" w:rsidRDefault="009D1962">
            <w:pPr>
              <w:pStyle w:val="P68B1DB1-Normal4"/>
              <w:jc w:val="center"/>
              <w:rPr>
                <w:noProof/>
              </w:rPr>
            </w:pPr>
            <w:r>
              <w:rPr>
                <w:noProof/>
              </w:rPr>
              <w:t>0</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B6AEE3" w14:textId="77777777" w:rsidR="004C6421" w:rsidRDefault="009D1962">
            <w:pPr>
              <w:pStyle w:val="P68B1DB1-Normal4"/>
              <w:jc w:val="center"/>
              <w:rPr>
                <w:noProof/>
              </w:rPr>
            </w:pPr>
            <w:r>
              <w:rPr>
                <w:noProof/>
              </w:rPr>
              <w:t>800 000</w:t>
            </w:r>
          </w:p>
        </w:tc>
        <w:tc>
          <w:tcPr>
            <w:tcW w:w="79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6017D4" w14:textId="35DE485A" w:rsidR="004C6421" w:rsidRDefault="00CC179E">
            <w:pPr>
              <w:pStyle w:val="P68B1DB1-Normal4"/>
              <w:jc w:val="center"/>
              <w:rPr>
                <w:noProof/>
              </w:rPr>
            </w:pPr>
            <w:r>
              <w:rPr>
                <w:noProof/>
              </w:rPr>
              <w:t>KW. 4</w:t>
            </w:r>
          </w:p>
        </w:tc>
        <w:tc>
          <w:tcPr>
            <w:tcW w:w="6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7EDFEE" w14:textId="77777777" w:rsidR="004C6421" w:rsidRDefault="009D1962">
            <w:pPr>
              <w:pStyle w:val="P68B1DB1-Normal4"/>
              <w:jc w:val="center"/>
              <w:rPr>
                <w:noProof/>
              </w:rPr>
            </w:pPr>
            <w:r>
              <w:rPr>
                <w:noProof/>
              </w:rPr>
              <w:t>2023</w:t>
            </w:r>
          </w:p>
        </w:tc>
        <w:tc>
          <w:tcPr>
            <w:tcW w:w="258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D6184FB" w14:textId="77777777" w:rsidR="004C6421" w:rsidRDefault="009D1962">
            <w:pPr>
              <w:pStyle w:val="P68B1DB1-Normal4"/>
              <w:spacing w:after="120"/>
              <w:rPr>
                <w:noProof/>
              </w:rPr>
            </w:pPr>
            <w:r>
              <w:rPr>
                <w:noProof/>
              </w:rPr>
              <w:t>Liczba dokumentów sądowych związanych z systemem sądownictwa administracyjnego (takich jak wyroki, opinie i orzeczenia), w przypadku których metadane są w pełni dostępne w magazynie danych.</w:t>
            </w:r>
          </w:p>
        </w:tc>
      </w:tr>
      <w:tr w:rsidR="004C6421" w14:paraId="4F48FCDB" w14:textId="77777777">
        <w:trPr>
          <w:trHeight w:val="81"/>
        </w:trPr>
        <w:tc>
          <w:tcPr>
            <w:tcW w:w="128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37CEB9" w14:textId="77777777" w:rsidR="004C6421" w:rsidRDefault="009D1962">
            <w:pPr>
              <w:pStyle w:val="P68B1DB1-Normal4"/>
              <w:jc w:val="center"/>
              <w:rPr>
                <w:noProof/>
              </w:rPr>
            </w:pPr>
            <w:r>
              <w:rPr>
                <w:noProof/>
              </w:rPr>
              <w:t>M1C1-16</w:t>
            </w:r>
          </w:p>
        </w:tc>
        <w:tc>
          <w:tcPr>
            <w:tcW w:w="174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0251D2" w14:textId="77777777" w:rsidR="004C6421" w:rsidRDefault="009D1962">
            <w:pPr>
              <w:pStyle w:val="P68B1DB1-Normal4"/>
              <w:jc w:val="center"/>
              <w:rPr>
                <w:noProof/>
              </w:rPr>
            </w:pPr>
            <w:r>
              <w:rPr>
                <w:noProof/>
              </w:rPr>
              <w:t>Inwestycje 1.6.5: Cyfryzacja Rady Stanu</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09AB1F" w14:textId="77777777" w:rsidR="004C6421" w:rsidRDefault="009D1962">
            <w:pPr>
              <w:pStyle w:val="P68B1DB1-Normal4"/>
              <w:jc w:val="center"/>
              <w:rPr>
                <w:noProof/>
              </w:rPr>
            </w:pPr>
            <w:r>
              <w:rPr>
                <w:noProof/>
              </w:rPr>
              <w:t>Cel</w:t>
            </w:r>
          </w:p>
        </w:tc>
        <w:tc>
          <w:tcPr>
            <w:tcW w:w="212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EF6A931" w14:textId="77777777" w:rsidR="004C6421" w:rsidRDefault="009D1962">
            <w:pPr>
              <w:pStyle w:val="P68B1DB1-Normal4"/>
              <w:jc w:val="center"/>
              <w:rPr>
                <w:noProof/>
              </w:rPr>
            </w:pPr>
            <w:r>
              <w:rPr>
                <w:noProof/>
              </w:rPr>
              <w:t>Rada Stanu – dokumenty sądowe dostępne do analizy w hurtowni danych T2</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C589FB" w14:textId="77777777" w:rsidR="004C6421" w:rsidRDefault="009D1962">
            <w:pPr>
              <w:pStyle w:val="P68B1DB1-Normal4"/>
              <w:jc w:val="center"/>
              <w:rPr>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04B191C" w14:textId="77777777" w:rsidR="004C6421" w:rsidRDefault="009D1962">
            <w:pPr>
              <w:pStyle w:val="P68B1DB1-Normal4"/>
              <w:jc w:val="center"/>
              <w:rPr>
                <w:noProof/>
              </w:rPr>
            </w:pPr>
            <w:r>
              <w:rPr>
                <w:noProof/>
              </w:rPr>
              <w:t>Numer</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C0F001E" w14:textId="77777777" w:rsidR="004C6421" w:rsidRDefault="009D1962">
            <w:pPr>
              <w:pStyle w:val="P68B1DB1-Normal4"/>
              <w:jc w:val="center"/>
              <w:rPr>
                <w:noProof/>
              </w:rPr>
            </w:pPr>
            <w:r>
              <w:rPr>
                <w:noProof/>
              </w:rPr>
              <w:t>800 000</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6845A89" w14:textId="77777777" w:rsidR="004C6421" w:rsidRDefault="009D1962">
            <w:pPr>
              <w:pStyle w:val="P68B1DB1-Normal4"/>
              <w:jc w:val="center"/>
              <w:rPr>
                <w:noProof/>
              </w:rPr>
            </w:pPr>
            <w:r>
              <w:rPr>
                <w:noProof/>
              </w:rPr>
              <w:t>2 500 000</w:t>
            </w:r>
          </w:p>
        </w:tc>
        <w:tc>
          <w:tcPr>
            <w:tcW w:w="79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E92193B" w14:textId="2B8A8188" w:rsidR="004C6421" w:rsidRDefault="00CC179E">
            <w:pPr>
              <w:pStyle w:val="P68B1DB1-Normal4"/>
              <w:jc w:val="center"/>
              <w:rPr>
                <w:noProof/>
              </w:rPr>
            </w:pPr>
            <w:r>
              <w:rPr>
                <w:noProof/>
              </w:rPr>
              <w:t>KW. 4</w:t>
            </w:r>
          </w:p>
        </w:tc>
        <w:tc>
          <w:tcPr>
            <w:tcW w:w="6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DEAFA5" w14:textId="77777777" w:rsidR="004C6421" w:rsidRDefault="009D1962">
            <w:pPr>
              <w:pStyle w:val="P68B1DB1-Normal4"/>
              <w:jc w:val="center"/>
              <w:rPr>
                <w:noProof/>
              </w:rPr>
            </w:pPr>
            <w:r>
              <w:rPr>
                <w:noProof/>
              </w:rPr>
              <w:t>2023</w:t>
            </w:r>
          </w:p>
        </w:tc>
        <w:tc>
          <w:tcPr>
            <w:tcW w:w="258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B052429" w14:textId="77777777" w:rsidR="004C6421" w:rsidRDefault="009D1962">
            <w:pPr>
              <w:pStyle w:val="P68B1DB1-Normal4"/>
              <w:spacing w:after="120"/>
              <w:rPr>
                <w:noProof/>
              </w:rPr>
            </w:pPr>
            <w:r>
              <w:rPr>
                <w:noProof/>
              </w:rPr>
              <w:t>Liczba dokumentów sądowych związanych z systemem sądownictwa administracyjnego (takich jak wyroki, opinie i zarządzenia), w przypadku których metadane są w pełni dostępne w magazynie danych.</w:t>
            </w:r>
          </w:p>
        </w:tc>
      </w:tr>
      <w:tr w:rsidR="004C6421" w14:paraId="6F16AD50" w14:textId="77777777">
        <w:trPr>
          <w:trHeight w:val="81"/>
        </w:trPr>
        <w:tc>
          <w:tcPr>
            <w:tcW w:w="128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E192DBB" w14:textId="77777777" w:rsidR="004C6421" w:rsidRDefault="009D1962">
            <w:pPr>
              <w:pStyle w:val="P68B1DB1-Normal4"/>
              <w:jc w:val="center"/>
              <w:rPr>
                <w:noProof/>
              </w:rPr>
            </w:pPr>
            <w:r>
              <w:rPr>
                <w:noProof/>
              </w:rPr>
              <w:t>M1C1-123</w:t>
            </w:r>
          </w:p>
        </w:tc>
        <w:tc>
          <w:tcPr>
            <w:tcW w:w="174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6FC4668" w14:textId="77777777" w:rsidR="004C6421" w:rsidRDefault="009D1962">
            <w:pPr>
              <w:pStyle w:val="P68B1DB1-Normal4"/>
              <w:jc w:val="center"/>
              <w:rPr>
                <w:noProof/>
              </w:rPr>
            </w:pPr>
            <w:r>
              <w:rPr>
                <w:noProof/>
              </w:rPr>
              <w:t>Inwestycje 1.6.3 – Cyfryzacja Krajowego Instytutu Zabezpieczenia Społecznego (INPS) i Krajowego Instytutu Ubezpieczeń od Wypadków przy Pracy (INAIL)</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725FE10" w14:textId="77777777" w:rsidR="004C6421" w:rsidRDefault="009D1962">
            <w:pPr>
              <w:pStyle w:val="P68B1DB1-Normal4"/>
              <w:jc w:val="center"/>
              <w:rPr>
                <w:noProof/>
              </w:rPr>
            </w:pPr>
            <w:r>
              <w:rPr>
                <w:noProof/>
              </w:rPr>
              <w:t>Cel</w:t>
            </w:r>
          </w:p>
        </w:tc>
        <w:tc>
          <w:tcPr>
            <w:tcW w:w="212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7909670" w14:textId="77777777" w:rsidR="004C6421" w:rsidRDefault="009D1962">
            <w:pPr>
              <w:pStyle w:val="P68B1DB1-Normal4"/>
              <w:jc w:val="center"/>
              <w:rPr>
                <w:noProof/>
              </w:rPr>
            </w:pPr>
            <w:r>
              <w:rPr>
                <w:noProof/>
              </w:rPr>
              <w:t>INPS – usługi/treść T1 „Jedne kliknięcie na etapie projektowania”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0E80C72" w14:textId="77777777" w:rsidR="004C6421" w:rsidRDefault="009D1962">
            <w:pPr>
              <w:pStyle w:val="P68B1DB1-Normal4"/>
              <w:jc w:val="center"/>
              <w:rPr>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324F5F" w14:textId="77777777" w:rsidR="004C6421" w:rsidRDefault="009D1962">
            <w:pPr>
              <w:pStyle w:val="P68B1DB1-Normal4"/>
              <w:jc w:val="center"/>
              <w:rPr>
                <w:noProof/>
              </w:rPr>
            </w:pPr>
            <w:r>
              <w:rPr>
                <w:noProof/>
              </w:rPr>
              <w:t>Numer</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21BE72C" w14:textId="77777777" w:rsidR="004C6421" w:rsidRDefault="009D1962">
            <w:pPr>
              <w:pStyle w:val="P68B1DB1-Normal4"/>
              <w:jc w:val="center"/>
              <w:rPr>
                <w:noProof/>
              </w:rPr>
            </w:pPr>
            <w:r>
              <w:rPr>
                <w:noProof/>
              </w:rPr>
              <w:t>0</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3805FF8" w14:textId="77777777" w:rsidR="004C6421" w:rsidRDefault="009D1962">
            <w:pPr>
              <w:pStyle w:val="P68B1DB1-Normal4"/>
              <w:jc w:val="center"/>
              <w:rPr>
                <w:noProof/>
              </w:rPr>
            </w:pPr>
            <w:r>
              <w:rPr>
                <w:noProof/>
              </w:rPr>
              <w:t>35</w:t>
            </w:r>
          </w:p>
        </w:tc>
        <w:tc>
          <w:tcPr>
            <w:tcW w:w="79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EE96E5" w14:textId="7B981A44" w:rsidR="004C6421" w:rsidRDefault="00CC179E">
            <w:pPr>
              <w:pStyle w:val="P68B1DB1-Normal4"/>
              <w:jc w:val="center"/>
              <w:rPr>
                <w:noProof/>
              </w:rPr>
            </w:pPr>
            <w:r>
              <w:rPr>
                <w:noProof/>
              </w:rPr>
              <w:t>KW. 4</w:t>
            </w:r>
          </w:p>
        </w:tc>
        <w:tc>
          <w:tcPr>
            <w:tcW w:w="6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21F94F3" w14:textId="77777777" w:rsidR="004C6421" w:rsidRDefault="009D1962">
            <w:pPr>
              <w:pStyle w:val="P68B1DB1-Normal4"/>
              <w:jc w:val="center"/>
              <w:rPr>
                <w:noProof/>
              </w:rPr>
            </w:pPr>
            <w:r>
              <w:rPr>
                <w:noProof/>
              </w:rPr>
              <w:t>2022</w:t>
            </w:r>
          </w:p>
        </w:tc>
        <w:tc>
          <w:tcPr>
            <w:tcW w:w="258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0A20C3D" w14:textId="41629301" w:rsidR="004C6421" w:rsidRDefault="009D1962">
            <w:pPr>
              <w:spacing w:after="120"/>
              <w:rPr>
                <w:rFonts w:ascii="Arial Narrow" w:hAnsi="Arial Narrow"/>
                <w:noProof/>
                <w:color w:val="006100"/>
                <w:sz w:val="20"/>
              </w:rPr>
            </w:pPr>
            <w:r>
              <w:rPr>
                <w:rFonts w:ascii="Arial Narrow" w:hAnsi="Arial Narrow"/>
                <w:noProof/>
                <w:color w:val="006100"/>
                <w:sz w:val="20"/>
              </w:rPr>
              <w:t>35 dodatkowych usług świadczonych na instytucjonalnej stronie internetowej INPs (</w:t>
            </w:r>
            <w:hyperlink r:id="rId36" w:history="1">
              <w:r>
                <w:rPr>
                  <w:rStyle w:val="Hyperlink"/>
                  <w:noProof/>
                </w:rPr>
                <w:t>portale Inps – Home</w:t>
              </w:r>
            </w:hyperlink>
            <w:r>
              <w:rPr>
                <w:rFonts w:ascii="Arial Narrow" w:hAnsi="Arial Narrow"/>
                <w:noProof/>
                <w:color w:val="006100"/>
                <w:sz w:val="20"/>
              </w:rPr>
              <w:t>)</w:t>
            </w:r>
          </w:p>
          <w:p w14:paraId="73BC5174" w14:textId="77777777" w:rsidR="004C6421" w:rsidRDefault="009D1962">
            <w:pPr>
              <w:pStyle w:val="P68B1DB1-Normal4"/>
              <w:spacing w:after="120"/>
              <w:rPr>
                <w:noProof/>
              </w:rPr>
            </w:pPr>
            <w:r>
              <w:rPr>
                <w:noProof/>
              </w:rPr>
              <w:t>Usługi te są dostępne na stronie instytucjonalnej za pomocą odpowiedniej logiki profilowania (system sugeruje usługi potencjalnie interesujące w oparciu o wiek, charakterystykę pracy, postrzegane korzyści i historię użytkowników).</w:t>
            </w:r>
          </w:p>
          <w:p w14:paraId="1A8DD26B" w14:textId="77777777" w:rsidR="004C6421" w:rsidRDefault="009D1962">
            <w:pPr>
              <w:pStyle w:val="P68B1DB1-Normal4"/>
              <w:spacing w:after="120"/>
              <w:rPr>
                <w:noProof/>
              </w:rPr>
            </w:pPr>
            <w:r>
              <w:rPr>
                <w:noProof/>
              </w:rPr>
              <w:t>35 usług jest związanych z następującymi obszarami instytucjonalnymi INPS:</w:t>
            </w:r>
          </w:p>
          <w:p w14:paraId="4DCE0F56" w14:textId="77777777" w:rsidR="004C6421" w:rsidRDefault="009D1962">
            <w:pPr>
              <w:pStyle w:val="P68B1DB1-Normal4"/>
              <w:spacing w:after="120"/>
              <w:contextualSpacing/>
              <w:rPr>
                <w:noProof/>
              </w:rPr>
            </w:pPr>
            <w:r>
              <w:rPr>
                <w:noProof/>
              </w:rPr>
              <w:t>•Świadczenia emerytalno-rentowe</w:t>
            </w:r>
          </w:p>
          <w:p w14:paraId="752F467B" w14:textId="77777777" w:rsidR="004C6421" w:rsidRDefault="009D1962">
            <w:pPr>
              <w:pStyle w:val="P68B1DB1-Normal4"/>
              <w:spacing w:after="120"/>
              <w:contextualSpacing/>
              <w:rPr>
                <w:noProof/>
              </w:rPr>
            </w:pPr>
            <w:r>
              <w:rPr>
                <w:noProof/>
              </w:rPr>
              <w:t>•Społeczne amortyzatory</w:t>
            </w:r>
          </w:p>
          <w:p w14:paraId="31AFE0A2" w14:textId="77777777" w:rsidR="004C6421" w:rsidRDefault="009D1962">
            <w:pPr>
              <w:pStyle w:val="P68B1DB1-Normal4"/>
              <w:spacing w:after="120"/>
              <w:contextualSpacing/>
              <w:rPr>
                <w:noProof/>
              </w:rPr>
            </w:pPr>
            <w:r>
              <w:rPr>
                <w:noProof/>
              </w:rPr>
              <w:t>•Zasiłki dla bezrobotnych</w:t>
            </w:r>
          </w:p>
          <w:p w14:paraId="43497BBF" w14:textId="77777777" w:rsidR="004C6421" w:rsidRDefault="009D1962">
            <w:pPr>
              <w:pStyle w:val="P68B1DB1-Normal4"/>
              <w:spacing w:after="120"/>
              <w:contextualSpacing/>
              <w:rPr>
                <w:noProof/>
              </w:rPr>
            </w:pPr>
            <w:r>
              <w:rPr>
                <w:noProof/>
              </w:rPr>
              <w:t>•Świadczenia z tytułu niepełnosprawności</w:t>
            </w:r>
          </w:p>
          <w:p w14:paraId="751D2081" w14:textId="77777777" w:rsidR="004C6421" w:rsidRDefault="009D1962">
            <w:pPr>
              <w:pStyle w:val="P68B1DB1-Normal4"/>
              <w:spacing w:after="120"/>
              <w:contextualSpacing/>
              <w:rPr>
                <w:noProof/>
              </w:rPr>
            </w:pPr>
            <w:r>
              <w:rPr>
                <w:noProof/>
              </w:rPr>
              <w:t>•Zwolnienia</w:t>
            </w:r>
          </w:p>
          <w:p w14:paraId="7974F80F" w14:textId="77777777" w:rsidR="004C6421" w:rsidRDefault="009D1962">
            <w:pPr>
              <w:pStyle w:val="P68B1DB1-Normal4"/>
              <w:spacing w:after="120"/>
              <w:contextualSpacing/>
              <w:rPr>
                <w:noProof/>
              </w:rPr>
            </w:pPr>
            <w:r>
              <w:rPr>
                <w:noProof/>
              </w:rPr>
              <w:t>•Pobieranie wkładu przez przedsiębiorstwa</w:t>
            </w:r>
          </w:p>
          <w:p w14:paraId="175D59C1" w14:textId="77777777" w:rsidR="004C6421" w:rsidRDefault="009D1962">
            <w:pPr>
              <w:pStyle w:val="P68B1DB1-Normal4"/>
              <w:spacing w:after="120"/>
              <w:contextualSpacing/>
              <w:rPr>
                <w:noProof/>
              </w:rPr>
            </w:pPr>
            <w:r>
              <w:rPr>
                <w:noProof/>
              </w:rPr>
              <w:t>•Usługi pracowników rolnych</w:t>
            </w:r>
          </w:p>
          <w:p w14:paraId="7348EFCA" w14:textId="77777777" w:rsidR="004C6421" w:rsidRDefault="009D1962">
            <w:pPr>
              <w:pStyle w:val="P68B1DB1-Normal4"/>
              <w:spacing w:after="120"/>
              <w:rPr>
                <w:noProof/>
              </w:rPr>
            </w:pPr>
            <w:r>
              <w:rPr>
                <w:noProof/>
              </w:rPr>
              <w:t>•Usługi w zakresie zwalczania nadużyć finansowych, korupcji i przejrzystości</w:t>
            </w:r>
          </w:p>
          <w:p w14:paraId="50241ECE" w14:textId="77777777" w:rsidR="004C6421" w:rsidRDefault="009D1962">
            <w:pPr>
              <w:pStyle w:val="P68B1DB1-Normal4"/>
              <w:spacing w:before="120" w:after="120"/>
              <w:rPr>
                <w:noProof/>
              </w:rPr>
            </w:pPr>
            <w:r>
              <w:rPr>
                <w:noProof/>
              </w:rPr>
              <w:t>W wymienionych obszarach instytucjonalnych usługi, które mają zostać wdrożone, będą dotyczyły cyfrowego składania wniosków o usługi, sprawdzania wymogów dotyczących korzyści, monitorowania statusu praktyki przez użytkowników, proaktywnego proponowania usług w oparciu o potrzeby użytkownika, automatycznego przedłużania korzyści bez konieczności składania nowych aplikacji.</w:t>
            </w:r>
          </w:p>
          <w:p w14:paraId="14BE9995" w14:textId="77777777" w:rsidR="004C6421" w:rsidRDefault="009D1962">
            <w:pPr>
              <w:pStyle w:val="P68B1DB1-Normal4"/>
              <w:spacing w:after="120"/>
              <w:rPr>
                <w:noProof/>
              </w:rPr>
            </w:pPr>
            <w:r>
              <w:rPr>
                <w:noProof/>
              </w:rPr>
              <w:t>Ponadto powinny istnieć tabele wskaźników monitorowania, które umożliwią zarówno monitorowanie przez INPS korzyści, jak i oparte na danych wsparcie dla decyzji decydentów politycznych.</w:t>
            </w:r>
          </w:p>
        </w:tc>
      </w:tr>
      <w:tr w:rsidR="004C6421" w14:paraId="43B5952E" w14:textId="77777777">
        <w:trPr>
          <w:trHeight w:val="309"/>
        </w:trPr>
        <w:tc>
          <w:tcPr>
            <w:tcW w:w="1284" w:type="dxa"/>
            <w:shd w:val="clear" w:color="auto" w:fill="C6EFCE"/>
            <w:noWrap/>
            <w:vAlign w:val="center"/>
          </w:tcPr>
          <w:p w14:paraId="5403BB24" w14:textId="77777777" w:rsidR="004C6421" w:rsidRDefault="009D1962">
            <w:pPr>
              <w:pStyle w:val="P68B1DB1-Normal4"/>
              <w:jc w:val="center"/>
              <w:rPr>
                <w:noProof/>
              </w:rPr>
            </w:pPr>
            <w:r>
              <w:rPr>
                <w:noProof/>
              </w:rPr>
              <w:t>M1C1-124</w:t>
            </w:r>
          </w:p>
        </w:tc>
        <w:tc>
          <w:tcPr>
            <w:tcW w:w="1746" w:type="dxa"/>
            <w:shd w:val="clear" w:color="auto" w:fill="C6EFCE"/>
            <w:noWrap/>
            <w:vAlign w:val="center"/>
          </w:tcPr>
          <w:p w14:paraId="2E2F2F44" w14:textId="77777777" w:rsidR="004C6421" w:rsidRDefault="009D1962">
            <w:pPr>
              <w:pStyle w:val="P68B1DB1-Normal4"/>
              <w:jc w:val="center"/>
              <w:rPr>
                <w:noProof/>
              </w:rPr>
            </w:pPr>
            <w:r>
              <w:rPr>
                <w:noProof/>
              </w:rPr>
              <w:t>Inwestycje 1.6.3 – Cyfryzacja Krajowego Instytutu Zabezpieczenia Społecznego (INPS) i Krajowego Instytutu Ubezpieczeń od Wypadków przy Pracy (INAIL)</w:t>
            </w:r>
          </w:p>
        </w:tc>
        <w:tc>
          <w:tcPr>
            <w:tcW w:w="992" w:type="dxa"/>
            <w:shd w:val="clear" w:color="auto" w:fill="C6EFCE"/>
            <w:noWrap/>
            <w:vAlign w:val="center"/>
          </w:tcPr>
          <w:p w14:paraId="63351FB7" w14:textId="77777777" w:rsidR="004C6421" w:rsidRDefault="009D1962">
            <w:pPr>
              <w:pStyle w:val="P68B1DB1-Normal4"/>
              <w:jc w:val="center"/>
              <w:rPr>
                <w:noProof/>
              </w:rPr>
            </w:pPr>
            <w:r>
              <w:rPr>
                <w:noProof/>
              </w:rPr>
              <w:t>Cel</w:t>
            </w:r>
          </w:p>
        </w:tc>
        <w:tc>
          <w:tcPr>
            <w:tcW w:w="2126" w:type="dxa"/>
            <w:shd w:val="clear" w:color="auto" w:fill="C6EFCE"/>
            <w:noWrap/>
            <w:vAlign w:val="center"/>
          </w:tcPr>
          <w:p w14:paraId="080E8B6C" w14:textId="77777777" w:rsidR="004C6421" w:rsidRDefault="009D1962">
            <w:pPr>
              <w:pStyle w:val="P68B1DB1-Normal4"/>
              <w:jc w:val="center"/>
              <w:rPr>
                <w:noProof/>
              </w:rPr>
            </w:pPr>
            <w:r>
              <w:rPr>
                <w:noProof/>
              </w:rPr>
              <w:t>INPS – Pracownicy posiadający lepsze umiejętności w zakresie technologii informacyjno-komunikacyjnych (ICT) T1</w:t>
            </w:r>
          </w:p>
        </w:tc>
        <w:tc>
          <w:tcPr>
            <w:tcW w:w="1701" w:type="dxa"/>
            <w:shd w:val="clear" w:color="auto" w:fill="C6EFCE"/>
            <w:noWrap/>
            <w:vAlign w:val="center"/>
          </w:tcPr>
          <w:p w14:paraId="31075CD7"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02817D33" w14:textId="77777777" w:rsidR="004C6421" w:rsidRDefault="009D1962">
            <w:pPr>
              <w:pStyle w:val="P68B1DB1-Normal4"/>
              <w:jc w:val="center"/>
              <w:rPr>
                <w:noProof/>
              </w:rPr>
            </w:pPr>
            <w:r>
              <w:rPr>
                <w:noProof/>
              </w:rPr>
              <w:t>Numer</w:t>
            </w:r>
          </w:p>
        </w:tc>
        <w:tc>
          <w:tcPr>
            <w:tcW w:w="1276" w:type="dxa"/>
            <w:shd w:val="clear" w:color="auto" w:fill="C6EFCE"/>
            <w:noWrap/>
            <w:vAlign w:val="center"/>
          </w:tcPr>
          <w:p w14:paraId="3CACBFE1" w14:textId="77777777" w:rsidR="004C6421" w:rsidRDefault="009D1962">
            <w:pPr>
              <w:pStyle w:val="P68B1DB1-Normal4"/>
              <w:jc w:val="center"/>
              <w:rPr>
                <w:noProof/>
              </w:rPr>
            </w:pPr>
            <w:r>
              <w:rPr>
                <w:noProof/>
              </w:rPr>
              <w:t>0</w:t>
            </w:r>
          </w:p>
        </w:tc>
        <w:tc>
          <w:tcPr>
            <w:tcW w:w="1417" w:type="dxa"/>
            <w:shd w:val="clear" w:color="auto" w:fill="C6EFCE"/>
            <w:noWrap/>
            <w:vAlign w:val="center"/>
          </w:tcPr>
          <w:p w14:paraId="4A49F6FA" w14:textId="77777777" w:rsidR="004C6421" w:rsidRDefault="009D1962">
            <w:pPr>
              <w:pStyle w:val="P68B1DB1-Normal4"/>
              <w:jc w:val="center"/>
              <w:rPr>
                <w:noProof/>
              </w:rPr>
            </w:pPr>
            <w:r>
              <w:rPr>
                <w:noProof/>
              </w:rPr>
              <w:t>4 250</w:t>
            </w:r>
          </w:p>
        </w:tc>
        <w:tc>
          <w:tcPr>
            <w:tcW w:w="793" w:type="dxa"/>
            <w:shd w:val="clear" w:color="auto" w:fill="C6EFCE"/>
            <w:noWrap/>
            <w:vAlign w:val="center"/>
          </w:tcPr>
          <w:p w14:paraId="1294B64E" w14:textId="15349712" w:rsidR="004C6421" w:rsidRDefault="00CC179E">
            <w:pPr>
              <w:pStyle w:val="P68B1DB1-Normal4"/>
              <w:jc w:val="center"/>
              <w:rPr>
                <w:noProof/>
              </w:rPr>
            </w:pPr>
            <w:r>
              <w:rPr>
                <w:noProof/>
              </w:rPr>
              <w:t>KW. 4</w:t>
            </w:r>
          </w:p>
        </w:tc>
        <w:tc>
          <w:tcPr>
            <w:tcW w:w="625" w:type="dxa"/>
            <w:shd w:val="clear" w:color="auto" w:fill="C6EFCE"/>
            <w:noWrap/>
            <w:vAlign w:val="center"/>
          </w:tcPr>
          <w:p w14:paraId="6E228DDF" w14:textId="77777777" w:rsidR="004C6421" w:rsidRDefault="009D1962">
            <w:pPr>
              <w:pStyle w:val="P68B1DB1-Normal4"/>
              <w:jc w:val="center"/>
              <w:rPr>
                <w:noProof/>
              </w:rPr>
            </w:pPr>
            <w:r>
              <w:rPr>
                <w:noProof/>
              </w:rPr>
              <w:t>2022</w:t>
            </w:r>
          </w:p>
        </w:tc>
        <w:tc>
          <w:tcPr>
            <w:tcW w:w="2584" w:type="dxa"/>
            <w:shd w:val="clear" w:color="auto" w:fill="C6EFCE"/>
            <w:noWrap/>
            <w:vAlign w:val="center"/>
          </w:tcPr>
          <w:p w14:paraId="3EA9A56A" w14:textId="77777777" w:rsidR="004C6421" w:rsidRDefault="009D1962">
            <w:pPr>
              <w:pStyle w:val="P68B1DB1-Normal4"/>
              <w:spacing w:after="120"/>
              <w:rPr>
                <w:noProof/>
              </w:rPr>
            </w:pPr>
            <w:r>
              <w:rPr>
                <w:noProof/>
              </w:rPr>
              <w:t>4 Co najmniej 4250 pracowników INPS ocenionych pod kątem ich informacji oraz posiadających poświadczone lepsze umiejętności w następujących obszarach europejskich ram e-kompetencji: (i) plan; (II) budowane; (III) Run (iv) Uruchomienie; zarządzanie.</w:t>
            </w:r>
          </w:p>
          <w:p w14:paraId="0D3BA1A9" w14:textId="77777777" w:rsidR="004C6421" w:rsidRDefault="009D1962">
            <w:pPr>
              <w:pStyle w:val="P68B1DB1-Normal4"/>
              <w:spacing w:after="120"/>
              <w:rPr>
                <w:noProof/>
              </w:rPr>
            </w:pPr>
            <w:r>
              <w:rPr>
                <w:noProof/>
              </w:rPr>
              <w:t>Obszary wymagające poprawy kompetencji zostaną określone w zależności od grupy docelowej osób uczących się.</w:t>
            </w:r>
          </w:p>
        </w:tc>
      </w:tr>
      <w:tr w:rsidR="004C6421" w14:paraId="28871F3E" w14:textId="77777777">
        <w:trPr>
          <w:trHeight w:val="309"/>
        </w:trPr>
        <w:tc>
          <w:tcPr>
            <w:tcW w:w="1284" w:type="dxa"/>
            <w:shd w:val="clear" w:color="auto" w:fill="C6EFCE"/>
            <w:noWrap/>
            <w:vAlign w:val="center"/>
          </w:tcPr>
          <w:p w14:paraId="2828D5D0" w14:textId="77777777" w:rsidR="004C6421" w:rsidRDefault="009D1962">
            <w:pPr>
              <w:pStyle w:val="P68B1DB1-Normal4"/>
              <w:jc w:val="center"/>
              <w:rPr>
                <w:noProof/>
              </w:rPr>
            </w:pPr>
            <w:r>
              <w:rPr>
                <w:noProof/>
              </w:rPr>
              <w:t>M1C1-125</w:t>
            </w:r>
          </w:p>
        </w:tc>
        <w:tc>
          <w:tcPr>
            <w:tcW w:w="1746" w:type="dxa"/>
            <w:shd w:val="clear" w:color="auto" w:fill="C6EFCE"/>
            <w:noWrap/>
            <w:vAlign w:val="center"/>
          </w:tcPr>
          <w:p w14:paraId="419F46B5" w14:textId="77777777" w:rsidR="004C6421" w:rsidRDefault="009D1962">
            <w:pPr>
              <w:pStyle w:val="P68B1DB1-Normal4"/>
              <w:jc w:val="center"/>
              <w:rPr>
                <w:noProof/>
              </w:rPr>
            </w:pPr>
            <w:r>
              <w:rPr>
                <w:noProof/>
              </w:rPr>
              <w:t>Inwestycje 1.2 – Umożliwienie chmury dla lokalnych AP</w:t>
            </w:r>
          </w:p>
        </w:tc>
        <w:tc>
          <w:tcPr>
            <w:tcW w:w="992" w:type="dxa"/>
            <w:shd w:val="clear" w:color="auto" w:fill="C6EFCE"/>
            <w:noWrap/>
            <w:vAlign w:val="center"/>
          </w:tcPr>
          <w:p w14:paraId="166865CC" w14:textId="1D944477" w:rsidR="004C6421" w:rsidRDefault="00CC179E">
            <w:pPr>
              <w:pStyle w:val="P68B1DB1-Normal4"/>
              <w:jc w:val="center"/>
              <w:rPr>
                <w:noProof/>
              </w:rPr>
            </w:pPr>
            <w:r>
              <w:rPr>
                <w:noProof/>
              </w:rPr>
              <w:t>Milowy</w:t>
            </w:r>
          </w:p>
        </w:tc>
        <w:tc>
          <w:tcPr>
            <w:tcW w:w="2126" w:type="dxa"/>
            <w:shd w:val="clear" w:color="auto" w:fill="C6EFCE"/>
            <w:noWrap/>
            <w:vAlign w:val="center"/>
          </w:tcPr>
          <w:p w14:paraId="3E1606FF" w14:textId="77777777" w:rsidR="004C6421" w:rsidRDefault="009D1962">
            <w:pPr>
              <w:pStyle w:val="P68B1DB1-Normal4"/>
              <w:jc w:val="center"/>
              <w:rPr>
                <w:noProof/>
              </w:rPr>
            </w:pPr>
            <w:r>
              <w:rPr>
                <w:noProof/>
              </w:rPr>
              <w:t>Udzielanie zamówień publicznych (wszystkich) zaproszeń do składania ofert przez lokalną administrację publiczną</w:t>
            </w:r>
          </w:p>
        </w:tc>
        <w:tc>
          <w:tcPr>
            <w:tcW w:w="1701" w:type="dxa"/>
            <w:shd w:val="clear" w:color="auto" w:fill="C6EFCE"/>
            <w:noWrap/>
            <w:vAlign w:val="center"/>
          </w:tcPr>
          <w:p w14:paraId="6E172DD7" w14:textId="77777777" w:rsidR="004C6421" w:rsidRDefault="009D1962">
            <w:pPr>
              <w:pStyle w:val="P68B1DB1-Normal4"/>
              <w:jc w:val="center"/>
              <w:rPr>
                <w:noProof/>
              </w:rPr>
            </w:pPr>
            <w:r>
              <w:rPr>
                <w:noProof/>
              </w:rPr>
              <w:t>Powiadomienie o udzieleniu (wszystkich) zamówień publicznych w celu umożliwienia korzystania z chmury obliczeniowej na potrzeby przetargów na lokalną administrację publiczną</w:t>
            </w:r>
          </w:p>
        </w:tc>
        <w:tc>
          <w:tcPr>
            <w:tcW w:w="1134" w:type="dxa"/>
            <w:shd w:val="clear" w:color="auto" w:fill="C6EFCE"/>
            <w:noWrap/>
            <w:vAlign w:val="center"/>
          </w:tcPr>
          <w:p w14:paraId="0A467CB5" w14:textId="77777777" w:rsidR="004C6421" w:rsidRDefault="009D1962">
            <w:pPr>
              <w:pStyle w:val="P68B1DB1-Normal4"/>
              <w:jc w:val="center"/>
              <w:rPr>
                <w:noProof/>
              </w:rPr>
            </w:pPr>
            <w:r>
              <w:rPr>
                <w:noProof/>
              </w:rPr>
              <w:t>NIE DOT.</w:t>
            </w:r>
          </w:p>
        </w:tc>
        <w:tc>
          <w:tcPr>
            <w:tcW w:w="1276" w:type="dxa"/>
            <w:shd w:val="clear" w:color="auto" w:fill="C6EFCE"/>
            <w:noWrap/>
            <w:vAlign w:val="center"/>
          </w:tcPr>
          <w:p w14:paraId="4D2AD8EF" w14:textId="77777777" w:rsidR="004C6421" w:rsidRDefault="009D1962">
            <w:pPr>
              <w:pStyle w:val="P68B1DB1-Normal4"/>
              <w:jc w:val="center"/>
              <w:rPr>
                <w:noProof/>
              </w:rPr>
            </w:pPr>
            <w:r>
              <w:rPr>
                <w:noProof/>
              </w:rPr>
              <w:t>NIE DOT.</w:t>
            </w:r>
          </w:p>
        </w:tc>
        <w:tc>
          <w:tcPr>
            <w:tcW w:w="1417" w:type="dxa"/>
            <w:shd w:val="clear" w:color="auto" w:fill="C6EFCE"/>
            <w:noWrap/>
            <w:vAlign w:val="center"/>
          </w:tcPr>
          <w:p w14:paraId="7FD136F7" w14:textId="77777777" w:rsidR="004C6421" w:rsidRDefault="009D1962">
            <w:pPr>
              <w:pStyle w:val="P68B1DB1-Normal4"/>
              <w:jc w:val="center"/>
              <w:rPr>
                <w:noProof/>
              </w:rPr>
            </w:pPr>
            <w:r>
              <w:rPr>
                <w:noProof/>
              </w:rPr>
              <w:t>NIE DOT.</w:t>
            </w:r>
          </w:p>
        </w:tc>
        <w:tc>
          <w:tcPr>
            <w:tcW w:w="793" w:type="dxa"/>
            <w:shd w:val="clear" w:color="auto" w:fill="C6EFCE"/>
            <w:noWrap/>
            <w:vAlign w:val="center"/>
          </w:tcPr>
          <w:p w14:paraId="1836A263" w14:textId="5C13422D" w:rsidR="004C6421" w:rsidRDefault="00CC179E">
            <w:pPr>
              <w:pStyle w:val="P68B1DB1-Normal4"/>
              <w:jc w:val="center"/>
              <w:rPr>
                <w:noProof/>
              </w:rPr>
            </w:pPr>
            <w:r>
              <w:rPr>
                <w:noProof/>
              </w:rPr>
              <w:t>KW. 1</w:t>
            </w:r>
          </w:p>
        </w:tc>
        <w:tc>
          <w:tcPr>
            <w:tcW w:w="625" w:type="dxa"/>
            <w:shd w:val="clear" w:color="auto" w:fill="C6EFCE"/>
            <w:noWrap/>
            <w:vAlign w:val="center"/>
          </w:tcPr>
          <w:p w14:paraId="03005ECD" w14:textId="77777777" w:rsidR="004C6421" w:rsidRDefault="009D1962">
            <w:pPr>
              <w:pStyle w:val="P68B1DB1-Normal4"/>
              <w:jc w:val="center"/>
              <w:rPr>
                <w:noProof/>
              </w:rPr>
            </w:pPr>
            <w:r>
              <w:rPr>
                <w:noProof/>
              </w:rPr>
              <w:t>2023</w:t>
            </w:r>
          </w:p>
        </w:tc>
        <w:tc>
          <w:tcPr>
            <w:tcW w:w="2584" w:type="dxa"/>
            <w:shd w:val="clear" w:color="auto" w:fill="C6EFCE"/>
            <w:noWrap/>
            <w:vAlign w:val="center"/>
          </w:tcPr>
          <w:p w14:paraId="40417FBE" w14:textId="77777777" w:rsidR="004C6421" w:rsidRDefault="009D1962">
            <w:pPr>
              <w:pStyle w:val="P68B1DB1-Normal4"/>
              <w:spacing w:after="120"/>
              <w:rPr>
                <w:noProof/>
              </w:rPr>
            </w:pPr>
            <w:r>
              <w:rPr>
                <w:noProof/>
              </w:rPr>
              <w:t>Powiadomienie o przyznaniu (wszystkich) zaproszeń publicznych dla każdego rodzaju administracji publicznej (gminy, szkoły, lokalne agencje opieki zdrowotnej) w celu zebrania i oceny planów migracji. Wydanie trzech specjalnych zaproszeń do składania wniosków umożliwi Ministerstwu Innowacji Technologicznych i Transformacji Cyfrowej ocenę bardzo szczególnych potrzeb każdego rodzaju zaangażowanej administracji publicznej.</w:t>
            </w:r>
          </w:p>
          <w:p w14:paraId="2BCE6861" w14:textId="77777777" w:rsidR="004C6421" w:rsidRDefault="009D1962">
            <w:pPr>
              <w:pStyle w:val="P68B1DB1-Normal4"/>
              <w:spacing w:after="120"/>
              <w:rPr>
                <w:noProof/>
              </w:rPr>
            </w:pPr>
            <w:r>
              <w:rPr>
                <w:noProof/>
              </w:rPr>
              <w:t>Udzielone oferty (tj. publikacja wykazu organów administracji publicznej dopuszczonych do otrzymania finansowania) dotyczyły trzech publicznych zaproszeń do składania wniosków, odpowiednio dla gmin, szkół i lokalnych agencji opieki zdrowotnej, w celu gromadzenia i oceny planów migracji, zgodnie z wytycznymi technicznymi dotyczącymi zasady „nie czyń poważnych szkód” (2021/C58/01) poprzez wykorzystanie wykazu wykluczenia i wymóg zgodności z odpowiednimi unijnymi i krajowymi przepisami w zakresie ochrony środowiska.</w:t>
            </w:r>
          </w:p>
        </w:tc>
      </w:tr>
      <w:tr w:rsidR="004C6421" w14:paraId="681A98F8" w14:textId="77777777">
        <w:trPr>
          <w:trHeight w:val="309"/>
        </w:trPr>
        <w:tc>
          <w:tcPr>
            <w:tcW w:w="1284" w:type="dxa"/>
            <w:shd w:val="clear" w:color="auto" w:fill="C6EFCE"/>
            <w:noWrap/>
            <w:vAlign w:val="center"/>
          </w:tcPr>
          <w:p w14:paraId="62C6445F" w14:textId="77777777" w:rsidR="004C6421" w:rsidRDefault="009D1962">
            <w:pPr>
              <w:pStyle w:val="P68B1DB1-Normal4"/>
              <w:jc w:val="center"/>
              <w:rPr>
                <w:noProof/>
              </w:rPr>
            </w:pPr>
            <w:r>
              <w:rPr>
                <w:noProof/>
              </w:rPr>
              <w:t>M1C1-126</w:t>
            </w:r>
          </w:p>
        </w:tc>
        <w:tc>
          <w:tcPr>
            <w:tcW w:w="1746" w:type="dxa"/>
            <w:shd w:val="clear" w:color="auto" w:fill="C6EFCE"/>
            <w:noWrap/>
            <w:vAlign w:val="center"/>
          </w:tcPr>
          <w:p w14:paraId="6B39C8DA" w14:textId="77777777" w:rsidR="004C6421" w:rsidRDefault="009D1962">
            <w:pPr>
              <w:pStyle w:val="P68B1DB1-Normal4"/>
              <w:jc w:val="center"/>
              <w:rPr>
                <w:noProof/>
              </w:rPr>
            </w:pPr>
            <w:r>
              <w:rPr>
                <w:noProof/>
              </w:rPr>
              <w:t>Inwestycja 1.4.3 – Wzmocnienie usług platformy PagoPA i aplikacji „IO”</w:t>
            </w:r>
          </w:p>
        </w:tc>
        <w:tc>
          <w:tcPr>
            <w:tcW w:w="992" w:type="dxa"/>
            <w:shd w:val="clear" w:color="auto" w:fill="C6EFCE"/>
            <w:noWrap/>
            <w:vAlign w:val="center"/>
          </w:tcPr>
          <w:p w14:paraId="22DB32F5" w14:textId="77777777" w:rsidR="004C6421" w:rsidRDefault="009D1962">
            <w:pPr>
              <w:pStyle w:val="P68B1DB1-Normal4"/>
              <w:jc w:val="center"/>
              <w:rPr>
                <w:noProof/>
              </w:rPr>
            </w:pPr>
            <w:r>
              <w:rPr>
                <w:noProof/>
              </w:rPr>
              <w:t>Cel</w:t>
            </w:r>
          </w:p>
        </w:tc>
        <w:tc>
          <w:tcPr>
            <w:tcW w:w="2126" w:type="dxa"/>
            <w:shd w:val="clear" w:color="auto" w:fill="C6EFCE"/>
            <w:noWrap/>
            <w:vAlign w:val="center"/>
          </w:tcPr>
          <w:p w14:paraId="4E3E99E0" w14:textId="77777777" w:rsidR="004C6421" w:rsidRDefault="009D1962">
            <w:pPr>
              <w:pStyle w:val="P68B1DB1-Normal4"/>
              <w:jc w:val="center"/>
              <w:rPr>
                <w:noProof/>
              </w:rPr>
            </w:pPr>
            <w:r>
              <w:rPr>
                <w:noProof/>
              </w:rPr>
              <w:t>Zwiększenie skali przyjęcia usług platformowych PagoPA T1</w:t>
            </w:r>
          </w:p>
        </w:tc>
        <w:tc>
          <w:tcPr>
            <w:tcW w:w="1701" w:type="dxa"/>
            <w:shd w:val="clear" w:color="auto" w:fill="C6EFCE"/>
            <w:noWrap/>
            <w:vAlign w:val="center"/>
          </w:tcPr>
          <w:p w14:paraId="52A1FB0B"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2B28B894" w14:textId="77777777" w:rsidR="004C6421" w:rsidRDefault="009D1962">
            <w:pPr>
              <w:pStyle w:val="P68B1DB1-Normal4"/>
              <w:jc w:val="center"/>
              <w:rPr>
                <w:noProof/>
              </w:rPr>
            </w:pPr>
            <w:r>
              <w:rPr>
                <w:noProof/>
              </w:rPr>
              <w:t>Numer</w:t>
            </w:r>
          </w:p>
        </w:tc>
        <w:tc>
          <w:tcPr>
            <w:tcW w:w="1276" w:type="dxa"/>
            <w:shd w:val="clear" w:color="auto" w:fill="C6EFCE"/>
            <w:noWrap/>
            <w:vAlign w:val="center"/>
          </w:tcPr>
          <w:p w14:paraId="543DC89A" w14:textId="77777777" w:rsidR="004C6421" w:rsidRDefault="009D1962">
            <w:pPr>
              <w:pStyle w:val="P68B1DB1-Normal4"/>
              <w:jc w:val="center"/>
              <w:rPr>
                <w:noProof/>
              </w:rPr>
            </w:pPr>
            <w:r>
              <w:rPr>
                <w:noProof/>
              </w:rPr>
              <w:t>9 000</w:t>
            </w:r>
          </w:p>
        </w:tc>
        <w:tc>
          <w:tcPr>
            <w:tcW w:w="1417" w:type="dxa"/>
            <w:shd w:val="clear" w:color="auto" w:fill="C6EFCE"/>
            <w:noWrap/>
            <w:vAlign w:val="center"/>
          </w:tcPr>
          <w:p w14:paraId="614596AF" w14:textId="77777777" w:rsidR="004C6421" w:rsidRDefault="009D1962">
            <w:pPr>
              <w:pStyle w:val="P68B1DB1-Normal4"/>
              <w:jc w:val="center"/>
              <w:rPr>
                <w:noProof/>
              </w:rPr>
            </w:pPr>
            <w:r>
              <w:rPr>
                <w:noProof/>
              </w:rPr>
              <w:t xml:space="preserve">11 450 </w:t>
            </w:r>
          </w:p>
        </w:tc>
        <w:tc>
          <w:tcPr>
            <w:tcW w:w="793" w:type="dxa"/>
            <w:shd w:val="clear" w:color="auto" w:fill="C6EFCE"/>
            <w:noWrap/>
            <w:vAlign w:val="center"/>
          </w:tcPr>
          <w:p w14:paraId="45B29024" w14:textId="69DE93FC" w:rsidR="004C6421" w:rsidRDefault="00CC179E">
            <w:pPr>
              <w:pStyle w:val="P68B1DB1-Normal4"/>
              <w:jc w:val="center"/>
              <w:rPr>
                <w:noProof/>
              </w:rPr>
            </w:pPr>
            <w:r>
              <w:rPr>
                <w:noProof/>
              </w:rPr>
              <w:t>KW. 4</w:t>
            </w:r>
          </w:p>
        </w:tc>
        <w:tc>
          <w:tcPr>
            <w:tcW w:w="625" w:type="dxa"/>
            <w:shd w:val="clear" w:color="auto" w:fill="C6EFCE"/>
            <w:noWrap/>
            <w:vAlign w:val="center"/>
          </w:tcPr>
          <w:p w14:paraId="6E508360" w14:textId="77777777" w:rsidR="004C6421" w:rsidRDefault="009D1962">
            <w:pPr>
              <w:pStyle w:val="P68B1DB1-Normal4"/>
              <w:jc w:val="center"/>
              <w:rPr>
                <w:noProof/>
              </w:rPr>
            </w:pPr>
            <w:r>
              <w:rPr>
                <w:noProof/>
              </w:rPr>
              <w:t>2023</w:t>
            </w:r>
          </w:p>
        </w:tc>
        <w:tc>
          <w:tcPr>
            <w:tcW w:w="2584" w:type="dxa"/>
            <w:shd w:val="clear" w:color="auto" w:fill="C6EFCE"/>
            <w:noWrap/>
            <w:vAlign w:val="center"/>
          </w:tcPr>
          <w:p w14:paraId="21CCF2F6" w14:textId="77777777" w:rsidR="004C6421" w:rsidRDefault="009D1962">
            <w:pPr>
              <w:pStyle w:val="P68B1DB1-Normal4"/>
              <w:spacing w:after="120"/>
              <w:rPr>
                <w:noProof/>
              </w:rPr>
            </w:pPr>
            <w:r>
              <w:rPr>
                <w:noProof/>
              </w:rPr>
              <w:t>Zwiększenie skali przyjęcia usług platformowych PagoPA T2</w:t>
            </w:r>
          </w:p>
          <w:p w14:paraId="4E918F39" w14:textId="77777777" w:rsidR="004C6421" w:rsidRDefault="009D1962">
            <w:pPr>
              <w:pStyle w:val="P68B1DB1-Normal4"/>
              <w:rPr>
                <w:noProof/>
              </w:rPr>
            </w:pPr>
            <w:r>
              <w:rPr>
                <w:noProof/>
              </w:rPr>
              <w:t>— administracje publiczne już w scenariuszu odniesienia (9000 podmiotów)</w:t>
            </w:r>
          </w:p>
          <w:p w14:paraId="41305EF7" w14:textId="77777777" w:rsidR="004C6421" w:rsidRDefault="009D1962">
            <w:pPr>
              <w:pStyle w:val="P68B1DB1-Normal4"/>
              <w:spacing w:after="120"/>
              <w:rPr>
                <w:noProof/>
              </w:rPr>
            </w:pPr>
            <w:r>
              <w:rPr>
                <w:noProof/>
              </w:rPr>
              <w:t>— nowe organy administracji publicznej przystępujące do platformy (2450 nowych podmiotów).</w:t>
            </w:r>
          </w:p>
          <w:p w14:paraId="77B7FABA" w14:textId="77777777" w:rsidR="004C6421" w:rsidRDefault="009D1962">
            <w:pPr>
              <w:pStyle w:val="P68B1DB1-Normal4"/>
              <w:spacing w:before="120" w:after="120"/>
              <w:rPr>
                <w:noProof/>
              </w:rPr>
            </w:pPr>
            <w:r>
              <w:rPr>
                <w:noProof/>
              </w:rPr>
              <w:t>W obu przypadkach łączna liczba usług świadczonych przez administracje publiczne przystępujące do platformy musi wzrosnąć o co najmniej 20 % w porównaniu z poziomem bazowym usług z 2021 r. (31.3.2021 r.). Liczba usług, które zostaną zintegrowane, zależy od rodzaju administracji (ostatecznym celem na 2026 r. jest zapewnienie średnio 35 usług dla gmin, 15 usług dla regionów, 15 usług dla organów ds. zdrowia, 8 usług dla szkół i uniwersytetów).</w:t>
            </w:r>
          </w:p>
        </w:tc>
      </w:tr>
      <w:tr w:rsidR="004C6421" w14:paraId="7A6FF97B" w14:textId="77777777">
        <w:trPr>
          <w:trHeight w:val="309"/>
        </w:trPr>
        <w:tc>
          <w:tcPr>
            <w:tcW w:w="1284" w:type="dxa"/>
            <w:shd w:val="clear" w:color="auto" w:fill="C6EFCE"/>
            <w:noWrap/>
            <w:vAlign w:val="center"/>
          </w:tcPr>
          <w:p w14:paraId="5F6B5568" w14:textId="77777777" w:rsidR="004C6421" w:rsidRDefault="009D1962">
            <w:pPr>
              <w:pStyle w:val="P68B1DB1-Normal4"/>
              <w:jc w:val="center"/>
              <w:rPr>
                <w:noProof/>
              </w:rPr>
            </w:pPr>
            <w:r>
              <w:rPr>
                <w:noProof/>
              </w:rPr>
              <w:t>M1C1-127</w:t>
            </w:r>
          </w:p>
        </w:tc>
        <w:tc>
          <w:tcPr>
            <w:tcW w:w="1746" w:type="dxa"/>
            <w:shd w:val="clear" w:color="auto" w:fill="C6EFCE"/>
            <w:noWrap/>
            <w:vAlign w:val="center"/>
          </w:tcPr>
          <w:p w14:paraId="33B86587" w14:textId="77777777" w:rsidR="004C6421" w:rsidRDefault="009D1962">
            <w:pPr>
              <w:pStyle w:val="P68B1DB1-Normal4"/>
              <w:jc w:val="center"/>
              <w:rPr>
                <w:noProof/>
              </w:rPr>
            </w:pPr>
            <w:r>
              <w:rPr>
                <w:noProof/>
              </w:rPr>
              <w:t>Inwestycja 1.4.3 – Wzmocnienie usług platformy PagoPA i aplikacji „IO”</w:t>
            </w:r>
          </w:p>
        </w:tc>
        <w:tc>
          <w:tcPr>
            <w:tcW w:w="992" w:type="dxa"/>
            <w:shd w:val="clear" w:color="auto" w:fill="C6EFCE"/>
            <w:noWrap/>
            <w:vAlign w:val="center"/>
          </w:tcPr>
          <w:p w14:paraId="441BB15A" w14:textId="77777777" w:rsidR="004C6421" w:rsidRDefault="009D1962">
            <w:pPr>
              <w:pStyle w:val="P68B1DB1-Normal4"/>
              <w:jc w:val="center"/>
              <w:rPr>
                <w:noProof/>
              </w:rPr>
            </w:pPr>
            <w:r>
              <w:rPr>
                <w:noProof/>
              </w:rPr>
              <w:t>Cel</w:t>
            </w:r>
          </w:p>
        </w:tc>
        <w:tc>
          <w:tcPr>
            <w:tcW w:w="2126" w:type="dxa"/>
            <w:shd w:val="clear" w:color="auto" w:fill="C6EFCE"/>
            <w:noWrap/>
            <w:vAlign w:val="center"/>
          </w:tcPr>
          <w:p w14:paraId="756FA435" w14:textId="77777777" w:rsidR="004C6421" w:rsidRDefault="009D1962">
            <w:pPr>
              <w:pStyle w:val="P68B1DB1-Normal4"/>
              <w:jc w:val="center"/>
              <w:rPr>
                <w:noProof/>
              </w:rPr>
            </w:pPr>
            <w:r>
              <w:rPr>
                <w:noProof/>
              </w:rPr>
              <w:t>Zwiększenie skali przyjęcia aplikacji T1 „IO”</w:t>
            </w:r>
          </w:p>
        </w:tc>
        <w:tc>
          <w:tcPr>
            <w:tcW w:w="1701" w:type="dxa"/>
            <w:shd w:val="clear" w:color="auto" w:fill="C6EFCE"/>
            <w:noWrap/>
            <w:vAlign w:val="center"/>
          </w:tcPr>
          <w:p w14:paraId="56FB6F47"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06E8D189" w14:textId="77777777" w:rsidR="004C6421" w:rsidRDefault="009D1962">
            <w:pPr>
              <w:pStyle w:val="P68B1DB1-Normal4"/>
              <w:jc w:val="center"/>
              <w:rPr>
                <w:noProof/>
              </w:rPr>
            </w:pPr>
            <w:r>
              <w:rPr>
                <w:noProof/>
              </w:rPr>
              <w:t>Numer</w:t>
            </w:r>
          </w:p>
        </w:tc>
        <w:tc>
          <w:tcPr>
            <w:tcW w:w="1276" w:type="dxa"/>
            <w:shd w:val="clear" w:color="auto" w:fill="C6EFCE"/>
            <w:noWrap/>
            <w:vAlign w:val="center"/>
          </w:tcPr>
          <w:p w14:paraId="2CBB26F9" w14:textId="77777777" w:rsidR="004C6421" w:rsidRDefault="009D1962">
            <w:pPr>
              <w:pStyle w:val="P68B1DB1-Normal4"/>
              <w:jc w:val="center"/>
              <w:rPr>
                <w:noProof/>
              </w:rPr>
            </w:pPr>
            <w:r>
              <w:rPr>
                <w:noProof/>
              </w:rPr>
              <w:t>2 700</w:t>
            </w:r>
          </w:p>
        </w:tc>
        <w:tc>
          <w:tcPr>
            <w:tcW w:w="1417" w:type="dxa"/>
            <w:shd w:val="clear" w:color="auto" w:fill="C6EFCE"/>
            <w:noWrap/>
            <w:vAlign w:val="center"/>
          </w:tcPr>
          <w:p w14:paraId="22D2ECC2" w14:textId="77777777" w:rsidR="004C6421" w:rsidRDefault="009D1962">
            <w:pPr>
              <w:pStyle w:val="P68B1DB1-Normal4"/>
              <w:jc w:val="center"/>
              <w:rPr>
                <w:noProof/>
              </w:rPr>
            </w:pPr>
            <w:r>
              <w:rPr>
                <w:noProof/>
              </w:rPr>
              <w:t>7 000</w:t>
            </w:r>
          </w:p>
        </w:tc>
        <w:tc>
          <w:tcPr>
            <w:tcW w:w="793" w:type="dxa"/>
            <w:shd w:val="clear" w:color="auto" w:fill="C6EFCE"/>
            <w:noWrap/>
            <w:vAlign w:val="center"/>
          </w:tcPr>
          <w:p w14:paraId="10D1A133" w14:textId="1AE00A02" w:rsidR="004C6421" w:rsidRDefault="00CC179E">
            <w:pPr>
              <w:pStyle w:val="P68B1DB1-Normal4"/>
              <w:jc w:val="center"/>
              <w:rPr>
                <w:noProof/>
              </w:rPr>
            </w:pPr>
            <w:r>
              <w:rPr>
                <w:noProof/>
              </w:rPr>
              <w:t>KW. 4</w:t>
            </w:r>
          </w:p>
        </w:tc>
        <w:tc>
          <w:tcPr>
            <w:tcW w:w="625" w:type="dxa"/>
            <w:shd w:val="clear" w:color="auto" w:fill="C6EFCE"/>
            <w:noWrap/>
            <w:vAlign w:val="center"/>
          </w:tcPr>
          <w:p w14:paraId="5521E962" w14:textId="77777777" w:rsidR="004C6421" w:rsidRDefault="009D1962">
            <w:pPr>
              <w:pStyle w:val="P68B1DB1-Normal4"/>
              <w:jc w:val="center"/>
              <w:rPr>
                <w:noProof/>
              </w:rPr>
            </w:pPr>
            <w:r>
              <w:rPr>
                <w:noProof/>
              </w:rPr>
              <w:t>2023</w:t>
            </w:r>
          </w:p>
        </w:tc>
        <w:tc>
          <w:tcPr>
            <w:tcW w:w="2584" w:type="dxa"/>
            <w:shd w:val="clear" w:color="auto" w:fill="C6EFCE"/>
            <w:noWrap/>
            <w:vAlign w:val="center"/>
          </w:tcPr>
          <w:p w14:paraId="110335DD" w14:textId="77777777" w:rsidR="004C6421" w:rsidRDefault="009D1962">
            <w:pPr>
              <w:pStyle w:val="P68B1DB1-Normal4"/>
              <w:spacing w:after="120"/>
              <w:rPr>
                <w:noProof/>
              </w:rPr>
            </w:pPr>
            <w:r>
              <w:rPr>
                <w:noProof/>
              </w:rPr>
              <w:t>Zapewnienie zwiększenia liczby usług włączonych do dokumentu „IO „Aplikacja do:</w:t>
            </w:r>
          </w:p>
          <w:p w14:paraId="433609EB" w14:textId="77777777" w:rsidR="004C6421" w:rsidRDefault="009D1962">
            <w:pPr>
              <w:pStyle w:val="P68B1DB1-Normal4"/>
              <w:spacing w:before="120" w:after="120"/>
              <w:rPr>
                <w:noProof/>
              </w:rPr>
            </w:pPr>
            <w:r>
              <w:rPr>
                <w:noProof/>
              </w:rPr>
              <w:t>— administracje publiczne już w scenariuszu odniesienia (2700 podmiotów)</w:t>
            </w:r>
          </w:p>
          <w:p w14:paraId="0B2763C7" w14:textId="77777777" w:rsidR="004C6421" w:rsidRDefault="009D1962">
            <w:pPr>
              <w:pStyle w:val="P68B1DB1-Normal4"/>
              <w:spacing w:before="120" w:after="120"/>
              <w:rPr>
                <w:noProof/>
              </w:rPr>
            </w:pPr>
            <w:r>
              <w:rPr>
                <w:noProof/>
              </w:rPr>
              <w:t>— nowe organy administracji publicznej przystępujące do platformy (4300 nowych podmiotów).</w:t>
            </w:r>
          </w:p>
          <w:p w14:paraId="012B6FE3" w14:textId="77777777" w:rsidR="004C6421" w:rsidRDefault="009D1962">
            <w:pPr>
              <w:pStyle w:val="P68B1DB1-Normal4"/>
              <w:spacing w:before="120" w:after="120"/>
              <w:rPr>
                <w:noProof/>
              </w:rPr>
            </w:pPr>
            <w:r>
              <w:rPr>
                <w:noProof/>
              </w:rPr>
              <w:t>W obu przypadkach łączna liczba usług świadczonych przez administracje publiczne przystępujące do platformy musi wzrosnąć o co najmniej 20 % w porównaniu z poziomem bazowym usług z 2021 r. (31.3.2021 r.). Liczba usług, które zostaną zintegrowane, zależy od rodzaju administracji (ostatecznym celem na 2026 r. jest zapewnienie średnio 35 usług dla gmin, 15 usług dla regionów, 15 usług dla organów ds. zdrowia, 8 usług dla szkół i uniwersytetów).</w:t>
            </w:r>
          </w:p>
        </w:tc>
      </w:tr>
      <w:tr w:rsidR="004C6421" w14:paraId="2518C72F" w14:textId="77777777">
        <w:trPr>
          <w:trHeight w:val="309"/>
        </w:trPr>
        <w:tc>
          <w:tcPr>
            <w:tcW w:w="1284" w:type="dxa"/>
            <w:shd w:val="clear" w:color="auto" w:fill="C6EFCE"/>
            <w:noWrap/>
            <w:vAlign w:val="center"/>
          </w:tcPr>
          <w:p w14:paraId="34C2CF5C" w14:textId="77777777" w:rsidR="004C6421" w:rsidRDefault="009D1962">
            <w:pPr>
              <w:pStyle w:val="P68B1DB1-Normal4"/>
              <w:jc w:val="center"/>
              <w:rPr>
                <w:noProof/>
              </w:rPr>
            </w:pPr>
            <w:r>
              <w:rPr>
                <w:noProof/>
              </w:rPr>
              <w:t>M1C1-128</w:t>
            </w:r>
          </w:p>
        </w:tc>
        <w:tc>
          <w:tcPr>
            <w:tcW w:w="1746" w:type="dxa"/>
            <w:shd w:val="clear" w:color="auto" w:fill="C6EFCE"/>
            <w:noWrap/>
            <w:vAlign w:val="center"/>
          </w:tcPr>
          <w:p w14:paraId="3099BC30" w14:textId="77777777" w:rsidR="004C6421" w:rsidRDefault="009D1962">
            <w:pPr>
              <w:pStyle w:val="P68B1DB1-Normal4"/>
              <w:jc w:val="center"/>
              <w:rPr>
                <w:noProof/>
              </w:rPr>
            </w:pPr>
            <w:r>
              <w:rPr>
                <w:noProof/>
              </w:rPr>
              <w:t>Inwestycje 1.4.5 – Cyfryzacja ogłoszeń publicznych</w:t>
            </w:r>
          </w:p>
        </w:tc>
        <w:tc>
          <w:tcPr>
            <w:tcW w:w="992" w:type="dxa"/>
            <w:shd w:val="clear" w:color="auto" w:fill="C6EFCE"/>
            <w:noWrap/>
            <w:vAlign w:val="center"/>
          </w:tcPr>
          <w:p w14:paraId="14D54705" w14:textId="77777777" w:rsidR="004C6421" w:rsidRDefault="009D1962">
            <w:pPr>
              <w:pStyle w:val="P68B1DB1-Normal4"/>
              <w:jc w:val="center"/>
              <w:rPr>
                <w:noProof/>
              </w:rPr>
            </w:pPr>
            <w:r>
              <w:rPr>
                <w:noProof/>
              </w:rPr>
              <w:t>Cel</w:t>
            </w:r>
          </w:p>
        </w:tc>
        <w:tc>
          <w:tcPr>
            <w:tcW w:w="2126" w:type="dxa"/>
            <w:shd w:val="clear" w:color="auto" w:fill="C6EFCE"/>
            <w:noWrap/>
            <w:vAlign w:val="center"/>
          </w:tcPr>
          <w:p w14:paraId="55124C87" w14:textId="77777777" w:rsidR="004C6421" w:rsidRDefault="009D1962">
            <w:pPr>
              <w:pStyle w:val="P68B1DB1-Normal4"/>
              <w:jc w:val="center"/>
              <w:rPr>
                <w:noProof/>
              </w:rPr>
            </w:pPr>
            <w:r>
              <w:rPr>
                <w:noProof/>
              </w:rPr>
              <w:t>Zwiększenie skali przyjmowania cyfrowych ogłoszeń publicznych T1</w:t>
            </w:r>
          </w:p>
        </w:tc>
        <w:tc>
          <w:tcPr>
            <w:tcW w:w="1701" w:type="dxa"/>
            <w:shd w:val="clear" w:color="auto" w:fill="C6EFCE"/>
            <w:noWrap/>
            <w:vAlign w:val="center"/>
          </w:tcPr>
          <w:p w14:paraId="3A0EBC59"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625C6BFC" w14:textId="77777777" w:rsidR="004C6421" w:rsidRDefault="009D1962">
            <w:pPr>
              <w:pStyle w:val="P68B1DB1-Normal4"/>
              <w:jc w:val="center"/>
              <w:rPr>
                <w:noProof/>
              </w:rPr>
            </w:pPr>
            <w:r>
              <w:rPr>
                <w:noProof/>
              </w:rPr>
              <w:t>Numer</w:t>
            </w:r>
          </w:p>
        </w:tc>
        <w:tc>
          <w:tcPr>
            <w:tcW w:w="1276" w:type="dxa"/>
            <w:shd w:val="clear" w:color="auto" w:fill="C6EFCE"/>
            <w:noWrap/>
            <w:vAlign w:val="center"/>
          </w:tcPr>
          <w:p w14:paraId="0EA79198" w14:textId="77777777" w:rsidR="004C6421" w:rsidRDefault="009D1962">
            <w:pPr>
              <w:pStyle w:val="P68B1DB1-Normal4"/>
              <w:jc w:val="center"/>
              <w:rPr>
                <w:noProof/>
              </w:rPr>
            </w:pPr>
            <w:r>
              <w:rPr>
                <w:noProof/>
              </w:rPr>
              <w:t>0</w:t>
            </w:r>
          </w:p>
        </w:tc>
        <w:tc>
          <w:tcPr>
            <w:tcW w:w="1417" w:type="dxa"/>
            <w:shd w:val="clear" w:color="auto" w:fill="C6EFCE"/>
            <w:noWrap/>
            <w:vAlign w:val="center"/>
          </w:tcPr>
          <w:p w14:paraId="4D892F09" w14:textId="77777777" w:rsidR="004C6421" w:rsidRDefault="009D1962">
            <w:pPr>
              <w:pStyle w:val="P68B1DB1-Normal4"/>
              <w:jc w:val="center"/>
              <w:rPr>
                <w:noProof/>
              </w:rPr>
            </w:pPr>
            <w:r>
              <w:rPr>
                <w:noProof/>
              </w:rPr>
              <w:t>800</w:t>
            </w:r>
          </w:p>
        </w:tc>
        <w:tc>
          <w:tcPr>
            <w:tcW w:w="793" w:type="dxa"/>
            <w:shd w:val="clear" w:color="auto" w:fill="C6EFCE"/>
            <w:noWrap/>
            <w:vAlign w:val="center"/>
          </w:tcPr>
          <w:p w14:paraId="22DE5CAA" w14:textId="1FECB1F1" w:rsidR="004C6421" w:rsidRDefault="00CC179E">
            <w:pPr>
              <w:pStyle w:val="P68B1DB1-Normal4"/>
              <w:jc w:val="center"/>
              <w:rPr>
                <w:noProof/>
              </w:rPr>
            </w:pPr>
            <w:r>
              <w:rPr>
                <w:noProof/>
              </w:rPr>
              <w:t>KW. 4</w:t>
            </w:r>
          </w:p>
        </w:tc>
        <w:tc>
          <w:tcPr>
            <w:tcW w:w="625" w:type="dxa"/>
            <w:shd w:val="clear" w:color="auto" w:fill="C6EFCE"/>
            <w:noWrap/>
            <w:vAlign w:val="center"/>
          </w:tcPr>
          <w:p w14:paraId="4795AAEB" w14:textId="77777777" w:rsidR="004C6421" w:rsidRDefault="009D1962">
            <w:pPr>
              <w:pStyle w:val="P68B1DB1-Normal4"/>
              <w:jc w:val="center"/>
              <w:rPr>
                <w:noProof/>
              </w:rPr>
            </w:pPr>
            <w:r>
              <w:rPr>
                <w:noProof/>
              </w:rPr>
              <w:t>2023</w:t>
            </w:r>
          </w:p>
        </w:tc>
        <w:tc>
          <w:tcPr>
            <w:tcW w:w="2584" w:type="dxa"/>
            <w:shd w:val="clear" w:color="auto" w:fill="C6EFCE"/>
            <w:noWrap/>
            <w:vAlign w:val="center"/>
          </w:tcPr>
          <w:p w14:paraId="53CAC5F2" w14:textId="77777777" w:rsidR="004C6421" w:rsidRDefault="009D1962">
            <w:pPr>
              <w:pStyle w:val="P68B1DB1-Normal4"/>
              <w:spacing w:after="120"/>
              <w:rPr>
                <w:noProof/>
              </w:rPr>
            </w:pPr>
            <w:r>
              <w:rPr>
                <w:noProof/>
              </w:rPr>
              <w:t>Co najmniej 800 centralnych administracji publicznych i gmin, w odniesieniu do platformy powiadomień cyfrowych, dostarcza obywatelom, podmiotom prawnym, stowarzyszeniom i wszelkim innym podmiotom publicznym lub prywatnym prawnie wiążące zawiadomienia cyfrowe.</w:t>
            </w:r>
          </w:p>
        </w:tc>
      </w:tr>
      <w:tr w:rsidR="004C6421" w14:paraId="29566D0C" w14:textId="77777777">
        <w:trPr>
          <w:trHeight w:val="309"/>
        </w:trPr>
        <w:tc>
          <w:tcPr>
            <w:tcW w:w="1284" w:type="dxa"/>
            <w:shd w:val="clear" w:color="auto" w:fill="C6EFCE"/>
            <w:noWrap/>
            <w:vAlign w:val="center"/>
          </w:tcPr>
          <w:p w14:paraId="429E09A0" w14:textId="77777777" w:rsidR="004C6421" w:rsidRDefault="009D1962">
            <w:pPr>
              <w:pStyle w:val="P68B1DB1-Normal4"/>
              <w:jc w:val="center"/>
              <w:rPr>
                <w:noProof/>
              </w:rPr>
            </w:pPr>
            <w:r>
              <w:rPr>
                <w:noProof/>
              </w:rPr>
              <w:t>M1C1-129</w:t>
            </w:r>
          </w:p>
        </w:tc>
        <w:tc>
          <w:tcPr>
            <w:tcW w:w="1746" w:type="dxa"/>
            <w:shd w:val="clear" w:color="auto" w:fill="C6EFCE"/>
            <w:noWrap/>
            <w:vAlign w:val="center"/>
          </w:tcPr>
          <w:p w14:paraId="43E417C4" w14:textId="77777777" w:rsidR="004C6421" w:rsidRDefault="009D1962">
            <w:pPr>
              <w:pStyle w:val="P68B1DB1-Normal4"/>
              <w:jc w:val="center"/>
              <w:rPr>
                <w:noProof/>
              </w:rPr>
            </w:pPr>
            <w:r>
              <w:rPr>
                <w:noProof/>
              </w:rPr>
              <w:t>Inwestycja 1.6.1 – Cyfryzacja Ministerstwa Spraw Wewnętrznych</w:t>
            </w:r>
          </w:p>
        </w:tc>
        <w:tc>
          <w:tcPr>
            <w:tcW w:w="992" w:type="dxa"/>
            <w:shd w:val="clear" w:color="auto" w:fill="C6EFCE"/>
            <w:noWrap/>
            <w:vAlign w:val="center"/>
          </w:tcPr>
          <w:p w14:paraId="20708F79" w14:textId="77777777" w:rsidR="004C6421" w:rsidRDefault="009D1962">
            <w:pPr>
              <w:pStyle w:val="P68B1DB1-Normal4"/>
              <w:jc w:val="center"/>
              <w:rPr>
                <w:noProof/>
              </w:rPr>
            </w:pPr>
            <w:r>
              <w:rPr>
                <w:noProof/>
              </w:rPr>
              <w:t>Cel</w:t>
            </w:r>
          </w:p>
        </w:tc>
        <w:tc>
          <w:tcPr>
            <w:tcW w:w="2126" w:type="dxa"/>
            <w:shd w:val="clear" w:color="auto" w:fill="C6EFCE"/>
            <w:noWrap/>
            <w:vAlign w:val="center"/>
          </w:tcPr>
          <w:p w14:paraId="193CE38F" w14:textId="77777777" w:rsidR="004C6421" w:rsidRDefault="009D1962">
            <w:pPr>
              <w:pStyle w:val="P68B1DB1-Normal4"/>
              <w:jc w:val="center"/>
              <w:rPr>
                <w:noProof/>
              </w:rPr>
            </w:pPr>
            <w:r>
              <w:rPr>
                <w:noProof/>
              </w:rPr>
              <w:t>Ministerstwo Spraw Wewnętrznych – w pełni przeprojektowane i zdigitalizowane procesy T1</w:t>
            </w:r>
          </w:p>
        </w:tc>
        <w:tc>
          <w:tcPr>
            <w:tcW w:w="1701" w:type="dxa"/>
            <w:shd w:val="clear" w:color="auto" w:fill="C6EFCE"/>
            <w:noWrap/>
            <w:vAlign w:val="center"/>
          </w:tcPr>
          <w:p w14:paraId="4FF2AD2E"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2BEA9B73" w14:textId="77777777" w:rsidR="004C6421" w:rsidRDefault="009D1962">
            <w:pPr>
              <w:pStyle w:val="P68B1DB1-Normal4"/>
              <w:jc w:val="center"/>
              <w:rPr>
                <w:noProof/>
              </w:rPr>
            </w:pPr>
            <w:r>
              <w:rPr>
                <w:noProof/>
              </w:rPr>
              <w:t>Numer</w:t>
            </w:r>
          </w:p>
        </w:tc>
        <w:tc>
          <w:tcPr>
            <w:tcW w:w="1276" w:type="dxa"/>
            <w:shd w:val="clear" w:color="auto" w:fill="C6EFCE"/>
            <w:noWrap/>
            <w:vAlign w:val="center"/>
          </w:tcPr>
          <w:p w14:paraId="625A472B" w14:textId="77777777" w:rsidR="004C6421" w:rsidRDefault="009D1962">
            <w:pPr>
              <w:pStyle w:val="P68B1DB1-Normal4"/>
              <w:jc w:val="center"/>
              <w:rPr>
                <w:noProof/>
              </w:rPr>
            </w:pPr>
            <w:r>
              <w:rPr>
                <w:noProof/>
              </w:rPr>
              <w:t>0</w:t>
            </w:r>
          </w:p>
        </w:tc>
        <w:tc>
          <w:tcPr>
            <w:tcW w:w="1417" w:type="dxa"/>
            <w:shd w:val="clear" w:color="auto" w:fill="C6EFCE"/>
            <w:noWrap/>
            <w:vAlign w:val="center"/>
          </w:tcPr>
          <w:p w14:paraId="3C6925E5" w14:textId="77777777" w:rsidR="004C6421" w:rsidRDefault="009D1962">
            <w:pPr>
              <w:pStyle w:val="P68B1DB1-Normal4"/>
              <w:jc w:val="center"/>
              <w:rPr>
                <w:noProof/>
              </w:rPr>
            </w:pPr>
            <w:r>
              <w:rPr>
                <w:noProof/>
              </w:rPr>
              <w:t>7</w:t>
            </w:r>
          </w:p>
        </w:tc>
        <w:tc>
          <w:tcPr>
            <w:tcW w:w="793" w:type="dxa"/>
            <w:shd w:val="clear" w:color="auto" w:fill="C6EFCE"/>
            <w:noWrap/>
            <w:vAlign w:val="center"/>
          </w:tcPr>
          <w:p w14:paraId="28DFA3E6" w14:textId="56731B67" w:rsidR="004C6421" w:rsidRDefault="00CC179E">
            <w:pPr>
              <w:pStyle w:val="P68B1DB1-Normal4"/>
              <w:jc w:val="center"/>
              <w:rPr>
                <w:noProof/>
              </w:rPr>
            </w:pPr>
            <w:r>
              <w:rPr>
                <w:noProof/>
              </w:rPr>
              <w:t>KW. 4</w:t>
            </w:r>
          </w:p>
        </w:tc>
        <w:tc>
          <w:tcPr>
            <w:tcW w:w="625" w:type="dxa"/>
            <w:shd w:val="clear" w:color="auto" w:fill="C6EFCE"/>
            <w:noWrap/>
            <w:vAlign w:val="center"/>
          </w:tcPr>
          <w:p w14:paraId="269F8300" w14:textId="77777777" w:rsidR="004C6421" w:rsidRDefault="009D1962">
            <w:pPr>
              <w:pStyle w:val="P68B1DB1-Normal4"/>
              <w:jc w:val="center"/>
              <w:rPr>
                <w:noProof/>
              </w:rPr>
            </w:pPr>
            <w:r>
              <w:rPr>
                <w:noProof/>
              </w:rPr>
              <w:t>2023</w:t>
            </w:r>
          </w:p>
        </w:tc>
        <w:tc>
          <w:tcPr>
            <w:tcW w:w="2584" w:type="dxa"/>
            <w:shd w:val="clear" w:color="auto" w:fill="C6EFCE"/>
            <w:noWrap/>
            <w:vAlign w:val="center"/>
          </w:tcPr>
          <w:p w14:paraId="507165AD" w14:textId="77777777" w:rsidR="004C6421" w:rsidRDefault="009D1962">
            <w:pPr>
              <w:pStyle w:val="P68B1DB1-Normal4"/>
              <w:spacing w:after="120"/>
              <w:rPr>
                <w:noProof/>
              </w:rPr>
            </w:pPr>
            <w:r>
              <w:rPr>
                <w:noProof/>
              </w:rPr>
              <w:t>Wewnętrzne procedury i procesy w pełni przeprojektowane (7 procesów łącznie do 31 grudnia 2023 r.) i które można całkowicie zakończyć online (takie jak automatyzacja biur, usługi w zakresie mobilności i e-uczenie się).</w:t>
            </w:r>
          </w:p>
        </w:tc>
      </w:tr>
      <w:tr w:rsidR="004C6421" w14:paraId="6D64A73E" w14:textId="77777777">
        <w:trPr>
          <w:trHeight w:val="309"/>
        </w:trPr>
        <w:tc>
          <w:tcPr>
            <w:tcW w:w="1284" w:type="dxa"/>
            <w:shd w:val="clear" w:color="auto" w:fill="C6EFCE"/>
            <w:noWrap/>
            <w:vAlign w:val="center"/>
          </w:tcPr>
          <w:p w14:paraId="73A23EF9" w14:textId="77777777" w:rsidR="004C6421" w:rsidRDefault="009D1962">
            <w:pPr>
              <w:pStyle w:val="P68B1DB1-Normal4"/>
              <w:jc w:val="center"/>
              <w:rPr>
                <w:noProof/>
              </w:rPr>
            </w:pPr>
            <w:r>
              <w:rPr>
                <w:noProof/>
              </w:rPr>
              <w:t>M1C1-130</w:t>
            </w:r>
          </w:p>
        </w:tc>
        <w:tc>
          <w:tcPr>
            <w:tcW w:w="1746" w:type="dxa"/>
            <w:shd w:val="clear" w:color="auto" w:fill="C6EFCE"/>
            <w:noWrap/>
            <w:vAlign w:val="center"/>
          </w:tcPr>
          <w:p w14:paraId="3256B997" w14:textId="77777777" w:rsidR="004C6421" w:rsidRDefault="009D1962">
            <w:pPr>
              <w:pStyle w:val="P68B1DB1-Normal4"/>
              <w:jc w:val="center"/>
              <w:rPr>
                <w:noProof/>
              </w:rPr>
            </w:pPr>
            <w:r>
              <w:rPr>
                <w:noProof/>
              </w:rPr>
              <w:t>Inwestycje 1.6.2 – Cyfryzacja Ministerstwa Sprawiedliwości</w:t>
            </w:r>
          </w:p>
        </w:tc>
        <w:tc>
          <w:tcPr>
            <w:tcW w:w="992" w:type="dxa"/>
            <w:shd w:val="clear" w:color="auto" w:fill="C6EFCE"/>
            <w:noWrap/>
            <w:vAlign w:val="center"/>
          </w:tcPr>
          <w:p w14:paraId="441A9552" w14:textId="77777777" w:rsidR="004C6421" w:rsidRDefault="009D1962">
            <w:pPr>
              <w:pStyle w:val="P68B1DB1-Normal4"/>
              <w:jc w:val="center"/>
              <w:rPr>
                <w:noProof/>
              </w:rPr>
            </w:pPr>
            <w:r>
              <w:rPr>
                <w:noProof/>
              </w:rPr>
              <w:t>Cel</w:t>
            </w:r>
          </w:p>
        </w:tc>
        <w:tc>
          <w:tcPr>
            <w:tcW w:w="2126" w:type="dxa"/>
            <w:shd w:val="clear" w:color="auto" w:fill="C6EFCE"/>
            <w:noWrap/>
            <w:vAlign w:val="center"/>
          </w:tcPr>
          <w:p w14:paraId="4ADF3EDC" w14:textId="77777777" w:rsidR="004C6421" w:rsidRDefault="009D1962">
            <w:pPr>
              <w:pStyle w:val="P68B1DB1-Normal4"/>
              <w:jc w:val="center"/>
              <w:rPr>
                <w:noProof/>
              </w:rPr>
            </w:pPr>
            <w:r>
              <w:rPr>
                <w:noProof/>
              </w:rPr>
              <w:t>Cyfrowe akta sądowe T1</w:t>
            </w:r>
          </w:p>
        </w:tc>
        <w:tc>
          <w:tcPr>
            <w:tcW w:w="1701" w:type="dxa"/>
            <w:shd w:val="clear" w:color="auto" w:fill="C6EFCE"/>
            <w:noWrap/>
            <w:vAlign w:val="center"/>
          </w:tcPr>
          <w:p w14:paraId="717B501E"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22BD72B4" w14:textId="77777777" w:rsidR="004C6421" w:rsidRDefault="009D1962">
            <w:pPr>
              <w:pStyle w:val="P68B1DB1-Normal4"/>
              <w:jc w:val="center"/>
              <w:rPr>
                <w:noProof/>
              </w:rPr>
            </w:pPr>
            <w:r>
              <w:rPr>
                <w:noProof/>
              </w:rPr>
              <w:t>Numer</w:t>
            </w:r>
          </w:p>
        </w:tc>
        <w:tc>
          <w:tcPr>
            <w:tcW w:w="1276" w:type="dxa"/>
            <w:shd w:val="clear" w:color="auto" w:fill="C6EFCE"/>
            <w:noWrap/>
            <w:vAlign w:val="center"/>
          </w:tcPr>
          <w:p w14:paraId="58E63B21" w14:textId="77777777" w:rsidR="004C6421" w:rsidRDefault="009D1962">
            <w:pPr>
              <w:pStyle w:val="P68B1DB1-Normal4"/>
              <w:jc w:val="center"/>
              <w:rPr>
                <w:noProof/>
              </w:rPr>
            </w:pPr>
            <w:r>
              <w:rPr>
                <w:noProof/>
              </w:rPr>
              <w:t>0</w:t>
            </w:r>
          </w:p>
        </w:tc>
        <w:tc>
          <w:tcPr>
            <w:tcW w:w="1417" w:type="dxa"/>
            <w:shd w:val="clear" w:color="auto" w:fill="C6EFCE"/>
            <w:noWrap/>
            <w:vAlign w:val="center"/>
          </w:tcPr>
          <w:p w14:paraId="137755BB" w14:textId="77777777" w:rsidR="004C6421" w:rsidRDefault="009D1962">
            <w:pPr>
              <w:pStyle w:val="P68B1DB1-Normal8"/>
              <w:jc w:val="center"/>
              <w:rPr>
                <w:rFonts w:ascii="Arial Narrow" w:hAnsi="Arial Narrow"/>
                <w:noProof/>
              </w:rPr>
            </w:pPr>
            <w:r>
              <w:rPr>
                <w:rFonts w:ascii="Arial Narrow" w:hAnsi="Arial Narrow"/>
                <w:noProof/>
              </w:rPr>
              <w:t>3 500</w:t>
            </w:r>
            <w:r>
              <w:rPr>
                <w:noProof/>
              </w:rPr>
              <w:t xml:space="preserve"> </w:t>
            </w:r>
            <w:r>
              <w:rPr>
                <w:rFonts w:ascii="Arial Narrow" w:hAnsi="Arial Narrow"/>
                <w:noProof/>
              </w:rPr>
              <w:t>000</w:t>
            </w:r>
          </w:p>
        </w:tc>
        <w:tc>
          <w:tcPr>
            <w:tcW w:w="793" w:type="dxa"/>
            <w:shd w:val="clear" w:color="auto" w:fill="C6EFCE"/>
            <w:noWrap/>
            <w:vAlign w:val="center"/>
          </w:tcPr>
          <w:p w14:paraId="64209A42" w14:textId="18EF28BE" w:rsidR="004C6421" w:rsidRDefault="00CC179E">
            <w:pPr>
              <w:pStyle w:val="P68B1DB1-Normal4"/>
              <w:jc w:val="center"/>
              <w:rPr>
                <w:noProof/>
              </w:rPr>
            </w:pPr>
            <w:r>
              <w:rPr>
                <w:noProof/>
              </w:rPr>
              <w:t>KW. 4</w:t>
            </w:r>
          </w:p>
        </w:tc>
        <w:tc>
          <w:tcPr>
            <w:tcW w:w="625" w:type="dxa"/>
            <w:shd w:val="clear" w:color="auto" w:fill="C6EFCE"/>
            <w:noWrap/>
            <w:vAlign w:val="center"/>
          </w:tcPr>
          <w:p w14:paraId="51CAC013" w14:textId="77777777" w:rsidR="004C6421" w:rsidRDefault="009D1962">
            <w:pPr>
              <w:pStyle w:val="P68B1DB1-Normal4"/>
              <w:jc w:val="center"/>
              <w:rPr>
                <w:noProof/>
              </w:rPr>
            </w:pPr>
            <w:r>
              <w:rPr>
                <w:noProof/>
              </w:rPr>
              <w:t>2023</w:t>
            </w:r>
          </w:p>
        </w:tc>
        <w:tc>
          <w:tcPr>
            <w:tcW w:w="2584" w:type="dxa"/>
            <w:shd w:val="clear" w:color="auto" w:fill="C6EFCE"/>
            <w:noWrap/>
            <w:vAlign w:val="center"/>
          </w:tcPr>
          <w:p w14:paraId="6A377A88" w14:textId="77777777" w:rsidR="004C6421" w:rsidRDefault="009D1962">
            <w:pPr>
              <w:pStyle w:val="P68B1DB1-Normal8"/>
              <w:spacing w:after="120"/>
              <w:rPr>
                <w:rFonts w:ascii="Arial Narrow" w:hAnsi="Arial Narrow"/>
                <w:noProof/>
              </w:rPr>
            </w:pPr>
            <w:r>
              <w:rPr>
                <w:rFonts w:ascii="Arial Narrow" w:hAnsi="Arial Narrow"/>
                <w:noProof/>
              </w:rPr>
              <w:t>Cyfryzacja 3500000</w:t>
            </w:r>
            <w:r>
              <w:rPr>
                <w:noProof/>
              </w:rPr>
              <w:t xml:space="preserve"> </w:t>
            </w:r>
            <w:r>
              <w:rPr>
                <w:rFonts w:ascii="Arial Narrow" w:hAnsi="Arial Narrow"/>
                <w:noProof/>
              </w:rPr>
              <w:t>akt</w:t>
            </w:r>
            <w:r>
              <w:rPr>
                <w:noProof/>
              </w:rPr>
              <w:t xml:space="preserve"> </w:t>
            </w:r>
            <w:r>
              <w:rPr>
                <w:rFonts w:ascii="Arial Narrow" w:hAnsi="Arial Narrow"/>
                <w:noProof/>
              </w:rPr>
              <w:t>sądowych dotyczących ostatnich 20 lat (01/01/2006 – 30/06/2026) związanych z zakończonymi lub toczącymi się procesami sądowymi.</w:t>
            </w:r>
          </w:p>
        </w:tc>
      </w:tr>
      <w:tr w:rsidR="004C6421" w14:paraId="285803C6" w14:textId="77777777">
        <w:trPr>
          <w:trHeight w:val="309"/>
        </w:trPr>
        <w:tc>
          <w:tcPr>
            <w:tcW w:w="1284" w:type="dxa"/>
            <w:shd w:val="clear" w:color="auto" w:fill="C6EFCE"/>
            <w:noWrap/>
            <w:vAlign w:val="center"/>
          </w:tcPr>
          <w:p w14:paraId="4970EEAF" w14:textId="77777777" w:rsidR="004C6421" w:rsidRDefault="009D1962">
            <w:pPr>
              <w:pStyle w:val="P68B1DB1-Normal4"/>
              <w:jc w:val="center"/>
              <w:rPr>
                <w:noProof/>
              </w:rPr>
            </w:pPr>
            <w:r>
              <w:rPr>
                <w:noProof/>
              </w:rPr>
              <w:t>M1C1-131</w:t>
            </w:r>
          </w:p>
        </w:tc>
        <w:tc>
          <w:tcPr>
            <w:tcW w:w="1746" w:type="dxa"/>
            <w:shd w:val="clear" w:color="auto" w:fill="C6EFCE"/>
            <w:noWrap/>
            <w:vAlign w:val="center"/>
          </w:tcPr>
          <w:p w14:paraId="0C817E7A" w14:textId="77777777" w:rsidR="004C6421" w:rsidRDefault="009D1962">
            <w:pPr>
              <w:pStyle w:val="P68B1DB1-Normal4"/>
              <w:jc w:val="center"/>
              <w:rPr>
                <w:noProof/>
              </w:rPr>
            </w:pPr>
            <w:r>
              <w:rPr>
                <w:noProof/>
              </w:rPr>
              <w:t>Inwestycje 1.6.2 – Cyfryzacja Ministerstwa Sprawiedliwości</w:t>
            </w:r>
          </w:p>
        </w:tc>
        <w:tc>
          <w:tcPr>
            <w:tcW w:w="992" w:type="dxa"/>
            <w:shd w:val="clear" w:color="auto" w:fill="C6EFCE"/>
            <w:noWrap/>
            <w:vAlign w:val="center"/>
          </w:tcPr>
          <w:p w14:paraId="5EDDCC0F" w14:textId="29FAD133" w:rsidR="004C6421" w:rsidRDefault="00CC179E">
            <w:pPr>
              <w:pStyle w:val="P68B1DB1-Normal4"/>
              <w:jc w:val="center"/>
              <w:rPr>
                <w:noProof/>
              </w:rPr>
            </w:pPr>
            <w:r>
              <w:rPr>
                <w:noProof/>
              </w:rPr>
              <w:t>Milowy</w:t>
            </w:r>
          </w:p>
        </w:tc>
        <w:tc>
          <w:tcPr>
            <w:tcW w:w="2126" w:type="dxa"/>
            <w:shd w:val="clear" w:color="auto" w:fill="C6EFCE"/>
            <w:noWrap/>
            <w:vAlign w:val="center"/>
          </w:tcPr>
          <w:p w14:paraId="7DEA4F0F" w14:textId="77777777" w:rsidR="004C6421" w:rsidRDefault="009D1962">
            <w:pPr>
              <w:pStyle w:val="P68B1DB1-Normal4"/>
              <w:jc w:val="center"/>
              <w:rPr>
                <w:noProof/>
              </w:rPr>
            </w:pPr>
            <w:r>
              <w:rPr>
                <w:noProof/>
              </w:rPr>
              <w:t>Systemy wiedzy o jeziorach danych dotyczących wymiaru sprawiedliwości T1</w:t>
            </w:r>
          </w:p>
        </w:tc>
        <w:tc>
          <w:tcPr>
            <w:tcW w:w="1701" w:type="dxa"/>
            <w:shd w:val="clear" w:color="auto" w:fill="C6EFCE"/>
            <w:noWrap/>
            <w:vAlign w:val="center"/>
          </w:tcPr>
          <w:p w14:paraId="20E7FD12" w14:textId="77777777" w:rsidR="004C6421" w:rsidRDefault="009D1962">
            <w:pPr>
              <w:pStyle w:val="P68B1DB1-Normal4"/>
              <w:jc w:val="center"/>
              <w:rPr>
                <w:noProof/>
              </w:rPr>
            </w:pPr>
            <w:r>
              <w:rPr>
                <w:noProof/>
              </w:rPr>
              <w:t>Sprawozdanie potwierdzające rozpoczęcie realizacji zamówienia</w:t>
            </w:r>
          </w:p>
        </w:tc>
        <w:tc>
          <w:tcPr>
            <w:tcW w:w="1134" w:type="dxa"/>
            <w:shd w:val="clear" w:color="auto" w:fill="C6EFCE"/>
            <w:noWrap/>
            <w:vAlign w:val="center"/>
          </w:tcPr>
          <w:p w14:paraId="7EE45083" w14:textId="77777777" w:rsidR="004C6421" w:rsidRDefault="009D1962">
            <w:pPr>
              <w:pStyle w:val="P68B1DB1-Normal4"/>
              <w:jc w:val="center"/>
              <w:rPr>
                <w:noProof/>
              </w:rPr>
            </w:pPr>
            <w:r>
              <w:rPr>
                <w:noProof/>
              </w:rPr>
              <w:t>NIE DOT.</w:t>
            </w:r>
          </w:p>
        </w:tc>
        <w:tc>
          <w:tcPr>
            <w:tcW w:w="1276" w:type="dxa"/>
            <w:shd w:val="clear" w:color="auto" w:fill="C6EFCE"/>
            <w:noWrap/>
            <w:vAlign w:val="center"/>
          </w:tcPr>
          <w:p w14:paraId="17F19B8B" w14:textId="77777777" w:rsidR="004C6421" w:rsidRDefault="009D1962">
            <w:pPr>
              <w:pStyle w:val="P68B1DB1-Normal4"/>
              <w:jc w:val="center"/>
              <w:rPr>
                <w:noProof/>
              </w:rPr>
            </w:pPr>
            <w:r>
              <w:rPr>
                <w:noProof/>
              </w:rPr>
              <w:t>NIE DOT.</w:t>
            </w:r>
          </w:p>
        </w:tc>
        <w:tc>
          <w:tcPr>
            <w:tcW w:w="1417" w:type="dxa"/>
            <w:shd w:val="clear" w:color="auto" w:fill="C6EFCE"/>
            <w:noWrap/>
            <w:vAlign w:val="center"/>
          </w:tcPr>
          <w:p w14:paraId="2AE8D0FB" w14:textId="77777777" w:rsidR="004C6421" w:rsidRDefault="009D1962">
            <w:pPr>
              <w:pStyle w:val="P68B1DB1-Normal4"/>
              <w:jc w:val="center"/>
              <w:rPr>
                <w:noProof/>
              </w:rPr>
            </w:pPr>
            <w:r>
              <w:rPr>
                <w:noProof/>
              </w:rPr>
              <w:t>NIE DOT.</w:t>
            </w:r>
          </w:p>
        </w:tc>
        <w:tc>
          <w:tcPr>
            <w:tcW w:w="793" w:type="dxa"/>
            <w:shd w:val="clear" w:color="auto" w:fill="C6EFCE"/>
            <w:noWrap/>
            <w:vAlign w:val="center"/>
          </w:tcPr>
          <w:p w14:paraId="40A5EA7A" w14:textId="163852A5" w:rsidR="004C6421" w:rsidRDefault="00CC179E">
            <w:pPr>
              <w:pStyle w:val="P68B1DB1-Normal4"/>
              <w:jc w:val="center"/>
              <w:rPr>
                <w:noProof/>
              </w:rPr>
            </w:pPr>
            <w:r>
              <w:rPr>
                <w:noProof/>
              </w:rPr>
              <w:t>KW. 4</w:t>
            </w:r>
          </w:p>
        </w:tc>
        <w:tc>
          <w:tcPr>
            <w:tcW w:w="625" w:type="dxa"/>
            <w:shd w:val="clear" w:color="auto" w:fill="C6EFCE"/>
            <w:noWrap/>
            <w:vAlign w:val="center"/>
          </w:tcPr>
          <w:p w14:paraId="38211420" w14:textId="77777777" w:rsidR="004C6421" w:rsidRDefault="009D1962">
            <w:pPr>
              <w:pStyle w:val="P68B1DB1-Normal4"/>
              <w:jc w:val="center"/>
              <w:rPr>
                <w:noProof/>
              </w:rPr>
            </w:pPr>
            <w:r>
              <w:rPr>
                <w:noProof/>
              </w:rPr>
              <w:t>2023</w:t>
            </w:r>
          </w:p>
        </w:tc>
        <w:tc>
          <w:tcPr>
            <w:tcW w:w="2584" w:type="dxa"/>
            <w:shd w:val="clear" w:color="auto" w:fill="C6EFCE"/>
            <w:noWrap/>
            <w:vAlign w:val="center"/>
          </w:tcPr>
          <w:p w14:paraId="680DE63D" w14:textId="77777777" w:rsidR="004C6421" w:rsidRDefault="009D1962">
            <w:pPr>
              <w:pStyle w:val="P68B1DB1-Normal4"/>
              <w:spacing w:after="120"/>
              <w:rPr>
                <w:noProof/>
              </w:rPr>
            </w:pPr>
            <w:r>
              <w:rPr>
                <w:noProof/>
              </w:rPr>
              <w:t>Rozpoczęcie realizacji zamówienia na realizację sześciu nowych systemów wiedzy o jeziorach danych:</w:t>
            </w:r>
          </w:p>
          <w:p w14:paraId="7846B176" w14:textId="77777777" w:rsidR="004C6421" w:rsidRDefault="009D1962">
            <w:pPr>
              <w:pStyle w:val="P68B1DB1-ListParagraph5"/>
              <w:numPr>
                <w:ilvl w:val="0"/>
                <w:numId w:val="84"/>
              </w:numPr>
              <w:spacing w:before="0"/>
              <w:ind w:left="357" w:hanging="357"/>
              <w:jc w:val="left"/>
              <w:rPr>
                <w:noProof/>
              </w:rPr>
            </w:pPr>
            <w:r>
              <w:rPr>
                <w:noProof/>
              </w:rPr>
              <w:t>System anonimizacji wyroków cywilnych i karnych</w:t>
            </w:r>
          </w:p>
          <w:p w14:paraId="4B12ED02" w14:textId="77777777" w:rsidR="004C6421" w:rsidRDefault="009D1962">
            <w:pPr>
              <w:pStyle w:val="P68B1DB1-ListParagraph5"/>
              <w:numPr>
                <w:ilvl w:val="0"/>
                <w:numId w:val="84"/>
              </w:numPr>
              <w:spacing w:before="0"/>
              <w:ind w:left="357" w:hanging="357"/>
              <w:jc w:val="left"/>
              <w:rPr>
                <w:noProof/>
              </w:rPr>
            </w:pPr>
            <w:r>
              <w:rPr>
                <w:noProof/>
              </w:rPr>
              <w:t>Zintegrowany system zarządzania</w:t>
            </w:r>
          </w:p>
          <w:p w14:paraId="301B4A5B" w14:textId="77777777" w:rsidR="004C6421" w:rsidRDefault="009D1962">
            <w:pPr>
              <w:pStyle w:val="P68B1DB1-ListParagraph5"/>
              <w:numPr>
                <w:ilvl w:val="0"/>
                <w:numId w:val="84"/>
              </w:numPr>
              <w:spacing w:before="0"/>
              <w:ind w:left="357" w:hanging="357"/>
              <w:jc w:val="left"/>
              <w:rPr>
                <w:noProof/>
              </w:rPr>
            </w:pPr>
            <w:r>
              <w:rPr>
                <w:noProof/>
              </w:rPr>
              <w:t>System zarządzania i analizy procesów cywilnych</w:t>
            </w:r>
          </w:p>
          <w:p w14:paraId="22005CBA" w14:textId="77777777" w:rsidR="004C6421" w:rsidRDefault="009D1962">
            <w:pPr>
              <w:pStyle w:val="P68B1DB1-ListParagraph5"/>
              <w:numPr>
                <w:ilvl w:val="0"/>
                <w:numId w:val="84"/>
              </w:numPr>
              <w:spacing w:before="0"/>
              <w:ind w:left="357" w:hanging="357"/>
              <w:jc w:val="left"/>
              <w:rPr>
                <w:noProof/>
              </w:rPr>
            </w:pPr>
            <w:r>
              <w:rPr>
                <w:noProof/>
              </w:rPr>
              <w:t>System zarządzania i analizy procesów karnych</w:t>
            </w:r>
          </w:p>
          <w:p w14:paraId="02F212FB" w14:textId="77777777" w:rsidR="004C6421" w:rsidRDefault="009D1962">
            <w:pPr>
              <w:pStyle w:val="P68B1DB1-ListParagraph5"/>
              <w:numPr>
                <w:ilvl w:val="0"/>
                <w:numId w:val="84"/>
              </w:numPr>
              <w:spacing w:before="0"/>
              <w:ind w:left="357" w:hanging="357"/>
              <w:jc w:val="left"/>
              <w:rPr>
                <w:noProof/>
              </w:rPr>
            </w:pPr>
            <w:r>
              <w:rPr>
                <w:noProof/>
              </w:rPr>
              <w:t>Zaawansowany system statystyczny dotyczący procesów cywilnych i karnych</w:t>
            </w:r>
          </w:p>
          <w:p w14:paraId="1BCEDEA2" w14:textId="77777777" w:rsidR="004C6421" w:rsidRDefault="009D1962">
            <w:pPr>
              <w:pStyle w:val="P68B1DB1-ListParagraph5"/>
              <w:numPr>
                <w:ilvl w:val="0"/>
                <w:numId w:val="84"/>
              </w:numPr>
              <w:spacing w:before="0"/>
              <w:ind w:left="357" w:hanging="357"/>
              <w:jc w:val="left"/>
              <w:rPr>
                <w:noProof/>
              </w:rPr>
            </w:pPr>
            <w:r>
              <w:rPr>
                <w:noProof/>
              </w:rPr>
              <w:t xml:space="preserve">Zautomatyzowany system identyfikacji relacji ofiara-wina. </w:t>
            </w:r>
          </w:p>
          <w:p w14:paraId="6A3FB036" w14:textId="77777777" w:rsidR="004C6421" w:rsidRDefault="009D1962">
            <w:pPr>
              <w:pStyle w:val="P68B1DB1-Normal4"/>
              <w:spacing w:after="120"/>
              <w:rPr>
                <w:noProof/>
              </w:rPr>
            </w:pPr>
            <w:r>
              <w:rPr>
                <w:noProof/>
              </w:rPr>
              <w:t>Wykonanie każdego zamówienia publicznego rozpoczyna się szczególnym aktem administracyjnym osoby odpowiedzialnej za postępowanie, zwanym „rozpoczęcie realizacji”.</w:t>
            </w:r>
          </w:p>
        </w:tc>
      </w:tr>
      <w:tr w:rsidR="004C6421" w14:paraId="077D32CF" w14:textId="77777777">
        <w:trPr>
          <w:trHeight w:val="309"/>
        </w:trPr>
        <w:tc>
          <w:tcPr>
            <w:tcW w:w="1284" w:type="dxa"/>
            <w:shd w:val="clear" w:color="auto" w:fill="C6EFCE"/>
            <w:noWrap/>
            <w:vAlign w:val="center"/>
          </w:tcPr>
          <w:p w14:paraId="53959BF2" w14:textId="77777777" w:rsidR="004C6421" w:rsidRDefault="009D1962">
            <w:pPr>
              <w:pStyle w:val="P68B1DB1-Normal4"/>
              <w:jc w:val="center"/>
              <w:rPr>
                <w:noProof/>
              </w:rPr>
            </w:pPr>
            <w:r>
              <w:rPr>
                <w:noProof/>
              </w:rPr>
              <w:t>M1C1-132</w:t>
            </w:r>
          </w:p>
        </w:tc>
        <w:tc>
          <w:tcPr>
            <w:tcW w:w="1746" w:type="dxa"/>
            <w:shd w:val="clear" w:color="auto" w:fill="C6EFCE"/>
            <w:noWrap/>
            <w:vAlign w:val="center"/>
          </w:tcPr>
          <w:p w14:paraId="2D8C64AA" w14:textId="77777777" w:rsidR="004C6421" w:rsidRDefault="009D1962">
            <w:pPr>
              <w:pStyle w:val="P68B1DB1-Normal4"/>
              <w:jc w:val="center"/>
              <w:rPr>
                <w:noProof/>
              </w:rPr>
            </w:pPr>
            <w:r>
              <w:rPr>
                <w:noProof/>
              </w:rPr>
              <w:t>Inwestycje 1.6.3 – Cyfryzacja Krajowego Instytutu Zabezpieczenia Społecznego (INPS) i Krajowego Instytutu Ubezpieczeń od Wypadków przy Pracy (INAIL)</w:t>
            </w:r>
          </w:p>
        </w:tc>
        <w:tc>
          <w:tcPr>
            <w:tcW w:w="992" w:type="dxa"/>
            <w:shd w:val="clear" w:color="auto" w:fill="C6EFCE"/>
            <w:noWrap/>
            <w:vAlign w:val="center"/>
          </w:tcPr>
          <w:p w14:paraId="7DFE87C0" w14:textId="77777777" w:rsidR="004C6421" w:rsidRDefault="009D1962">
            <w:pPr>
              <w:pStyle w:val="P68B1DB1-Normal4"/>
              <w:jc w:val="center"/>
              <w:rPr>
                <w:noProof/>
              </w:rPr>
            </w:pPr>
            <w:r>
              <w:rPr>
                <w:noProof/>
              </w:rPr>
              <w:t>Cel</w:t>
            </w:r>
          </w:p>
        </w:tc>
        <w:tc>
          <w:tcPr>
            <w:tcW w:w="2126" w:type="dxa"/>
            <w:shd w:val="clear" w:color="auto" w:fill="C6EFCE"/>
            <w:noWrap/>
            <w:vAlign w:val="center"/>
          </w:tcPr>
          <w:p w14:paraId="28AAC138" w14:textId="77777777" w:rsidR="004C6421" w:rsidRDefault="009D1962">
            <w:pPr>
              <w:pStyle w:val="P68B1DB1-Normal4"/>
              <w:jc w:val="center"/>
              <w:rPr>
                <w:noProof/>
              </w:rPr>
            </w:pPr>
            <w:r>
              <w:rPr>
                <w:noProof/>
              </w:rPr>
              <w:t>INPS – usługi/treść T2 „Jedne kliknięcie na etapie projektowania”</w:t>
            </w:r>
          </w:p>
        </w:tc>
        <w:tc>
          <w:tcPr>
            <w:tcW w:w="1701" w:type="dxa"/>
            <w:shd w:val="clear" w:color="auto" w:fill="C6EFCE"/>
            <w:noWrap/>
            <w:vAlign w:val="center"/>
          </w:tcPr>
          <w:p w14:paraId="39C34D8C"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1482C349" w14:textId="77777777" w:rsidR="004C6421" w:rsidRDefault="009D1962">
            <w:pPr>
              <w:pStyle w:val="P68B1DB1-Normal4"/>
              <w:jc w:val="center"/>
              <w:rPr>
                <w:noProof/>
              </w:rPr>
            </w:pPr>
            <w:r>
              <w:rPr>
                <w:noProof/>
              </w:rPr>
              <w:t>Numer</w:t>
            </w:r>
          </w:p>
        </w:tc>
        <w:tc>
          <w:tcPr>
            <w:tcW w:w="1276" w:type="dxa"/>
            <w:shd w:val="clear" w:color="auto" w:fill="C6EFCE"/>
            <w:noWrap/>
            <w:vAlign w:val="center"/>
          </w:tcPr>
          <w:p w14:paraId="778A8FAC" w14:textId="77777777" w:rsidR="004C6421" w:rsidRDefault="009D1962">
            <w:pPr>
              <w:pStyle w:val="P68B1DB1-Normal4"/>
              <w:jc w:val="center"/>
              <w:rPr>
                <w:noProof/>
              </w:rPr>
            </w:pPr>
            <w:r>
              <w:rPr>
                <w:noProof/>
              </w:rPr>
              <w:t>35</w:t>
            </w:r>
          </w:p>
        </w:tc>
        <w:tc>
          <w:tcPr>
            <w:tcW w:w="1417" w:type="dxa"/>
            <w:shd w:val="clear" w:color="auto" w:fill="C6EFCE"/>
            <w:noWrap/>
            <w:vAlign w:val="center"/>
          </w:tcPr>
          <w:p w14:paraId="19B6B69E" w14:textId="77777777" w:rsidR="004C6421" w:rsidRDefault="009D1962">
            <w:pPr>
              <w:pStyle w:val="P68B1DB1-Normal4"/>
              <w:jc w:val="center"/>
              <w:rPr>
                <w:noProof/>
              </w:rPr>
            </w:pPr>
            <w:r>
              <w:rPr>
                <w:noProof/>
              </w:rPr>
              <w:t>70</w:t>
            </w:r>
          </w:p>
        </w:tc>
        <w:tc>
          <w:tcPr>
            <w:tcW w:w="793" w:type="dxa"/>
            <w:shd w:val="clear" w:color="auto" w:fill="C6EFCE"/>
            <w:noWrap/>
            <w:vAlign w:val="center"/>
          </w:tcPr>
          <w:p w14:paraId="11888C11" w14:textId="09C73180" w:rsidR="004C6421" w:rsidRDefault="00CC179E">
            <w:pPr>
              <w:pStyle w:val="P68B1DB1-Normal4"/>
              <w:jc w:val="center"/>
              <w:rPr>
                <w:noProof/>
              </w:rPr>
            </w:pPr>
            <w:r>
              <w:rPr>
                <w:noProof/>
              </w:rPr>
              <w:t>KW. 4</w:t>
            </w:r>
          </w:p>
        </w:tc>
        <w:tc>
          <w:tcPr>
            <w:tcW w:w="625" w:type="dxa"/>
            <w:shd w:val="clear" w:color="auto" w:fill="C6EFCE"/>
            <w:noWrap/>
            <w:vAlign w:val="center"/>
          </w:tcPr>
          <w:p w14:paraId="3E721249" w14:textId="77777777" w:rsidR="004C6421" w:rsidRDefault="009D1962">
            <w:pPr>
              <w:pStyle w:val="P68B1DB1-Normal4"/>
              <w:jc w:val="center"/>
              <w:rPr>
                <w:noProof/>
              </w:rPr>
            </w:pPr>
            <w:r>
              <w:rPr>
                <w:noProof/>
              </w:rPr>
              <w:t>2023</w:t>
            </w:r>
          </w:p>
        </w:tc>
        <w:tc>
          <w:tcPr>
            <w:tcW w:w="2584" w:type="dxa"/>
            <w:shd w:val="clear" w:color="auto" w:fill="C6EFCE"/>
            <w:noWrap/>
            <w:vAlign w:val="center"/>
          </w:tcPr>
          <w:p w14:paraId="39345782" w14:textId="0D1BF634" w:rsidR="004C6421" w:rsidRDefault="009D1962">
            <w:pPr>
              <w:spacing w:after="120"/>
              <w:rPr>
                <w:rFonts w:ascii="Arial Narrow" w:hAnsi="Arial Narrow"/>
                <w:noProof/>
                <w:color w:val="006100"/>
                <w:sz w:val="20"/>
              </w:rPr>
            </w:pPr>
            <w:r>
              <w:rPr>
                <w:rFonts w:ascii="Arial Narrow" w:hAnsi="Arial Narrow"/>
                <w:noProof/>
                <w:color w:val="006100"/>
                <w:sz w:val="20"/>
              </w:rPr>
              <w:t>35 dodatkowych usług świadczonych na instytucjonalnej stronie internetowej Inps (</w:t>
            </w:r>
            <w:hyperlink r:id="rId37" w:history="1">
              <w:r>
                <w:rPr>
                  <w:noProof/>
                  <w:color w:val="0000FF"/>
                  <w:u w:val="single"/>
                </w:rPr>
                <w:t>portale Inps – Home</w:t>
              </w:r>
            </w:hyperlink>
            <w:r>
              <w:rPr>
                <w:rFonts w:ascii="Arial Narrow" w:hAnsi="Arial Narrow"/>
                <w:noProof/>
                <w:color w:val="006100"/>
                <w:sz w:val="20"/>
              </w:rPr>
              <w:t>)</w:t>
            </w:r>
          </w:p>
          <w:p w14:paraId="280DD9AA" w14:textId="77777777" w:rsidR="004C6421" w:rsidRDefault="009D1962">
            <w:pPr>
              <w:pStyle w:val="P68B1DB1-Normal4"/>
              <w:rPr>
                <w:noProof/>
              </w:rPr>
            </w:pPr>
            <w:r>
              <w:rPr>
                <w:noProof/>
              </w:rPr>
              <w:t>Usługi te są dostępne na stronie instytucjonalnej za pomocą odpowiedniej logiki profilowania (system sugeruje usługi potencjalnie interesujące w oparciu o wiek, charakterystykę pracy, postrzegane korzyści i historię użytkowników).</w:t>
            </w:r>
          </w:p>
          <w:p w14:paraId="36641484" w14:textId="77777777" w:rsidR="004C6421" w:rsidRDefault="009D1962">
            <w:pPr>
              <w:pStyle w:val="P68B1DB1-Normal4"/>
              <w:spacing w:before="120"/>
              <w:rPr>
                <w:noProof/>
              </w:rPr>
            </w:pPr>
            <w:r>
              <w:rPr>
                <w:noProof/>
              </w:rPr>
              <w:t>35 usług jest związanych z następującymi obszarami instytucjonalnymi INPS:</w:t>
            </w:r>
          </w:p>
          <w:p w14:paraId="3873E9EA" w14:textId="77777777" w:rsidR="004C6421" w:rsidRDefault="009D1962">
            <w:pPr>
              <w:pStyle w:val="P68B1DB1-Normal4"/>
              <w:ind w:left="292" w:hanging="76"/>
              <w:rPr>
                <w:noProof/>
              </w:rPr>
            </w:pPr>
            <w:r>
              <w:rPr>
                <w:noProof/>
              </w:rPr>
              <w:t>•Świadczenia emerytalno-rentowe</w:t>
            </w:r>
          </w:p>
          <w:p w14:paraId="51E1874E" w14:textId="77777777" w:rsidR="004C6421" w:rsidRDefault="009D1962">
            <w:pPr>
              <w:pStyle w:val="P68B1DB1-Normal4"/>
              <w:ind w:left="292" w:hanging="76"/>
              <w:rPr>
                <w:noProof/>
              </w:rPr>
            </w:pPr>
            <w:r>
              <w:rPr>
                <w:noProof/>
              </w:rPr>
              <w:t>•Społeczne amortyzatory</w:t>
            </w:r>
          </w:p>
          <w:p w14:paraId="5410983F" w14:textId="77777777" w:rsidR="004C6421" w:rsidRDefault="009D1962">
            <w:pPr>
              <w:pStyle w:val="P68B1DB1-Normal4"/>
              <w:ind w:left="292" w:hanging="76"/>
              <w:rPr>
                <w:noProof/>
              </w:rPr>
            </w:pPr>
            <w:r>
              <w:rPr>
                <w:noProof/>
              </w:rPr>
              <w:t>•Zasiłki dla bezrobotnych</w:t>
            </w:r>
          </w:p>
          <w:p w14:paraId="1BAD8BB8" w14:textId="77777777" w:rsidR="004C6421" w:rsidRDefault="009D1962">
            <w:pPr>
              <w:pStyle w:val="P68B1DB1-Normal4"/>
              <w:ind w:left="292" w:hanging="76"/>
              <w:rPr>
                <w:noProof/>
              </w:rPr>
            </w:pPr>
            <w:r>
              <w:rPr>
                <w:noProof/>
              </w:rPr>
              <w:t>•Świadczenia z tytułu niepełnosprawności</w:t>
            </w:r>
          </w:p>
          <w:p w14:paraId="6BD5DBB8" w14:textId="77777777" w:rsidR="004C6421" w:rsidRDefault="009D1962">
            <w:pPr>
              <w:pStyle w:val="P68B1DB1-Normal4"/>
              <w:ind w:left="292" w:hanging="76"/>
              <w:rPr>
                <w:noProof/>
              </w:rPr>
            </w:pPr>
            <w:r>
              <w:rPr>
                <w:noProof/>
              </w:rPr>
              <w:t>•Zwolnienia</w:t>
            </w:r>
          </w:p>
          <w:p w14:paraId="065B25CC" w14:textId="77777777" w:rsidR="004C6421" w:rsidRDefault="009D1962">
            <w:pPr>
              <w:pStyle w:val="P68B1DB1-Normal4"/>
              <w:ind w:left="292" w:hanging="76"/>
              <w:rPr>
                <w:noProof/>
              </w:rPr>
            </w:pPr>
            <w:r>
              <w:rPr>
                <w:noProof/>
              </w:rPr>
              <w:t>•Pobieranie wkładu przez przedsiębiorstwa</w:t>
            </w:r>
          </w:p>
          <w:p w14:paraId="71C5B1A3" w14:textId="77777777" w:rsidR="004C6421" w:rsidRDefault="009D1962">
            <w:pPr>
              <w:pStyle w:val="P68B1DB1-Normal4"/>
              <w:ind w:left="292" w:hanging="76"/>
              <w:rPr>
                <w:noProof/>
              </w:rPr>
            </w:pPr>
            <w:r>
              <w:rPr>
                <w:noProof/>
              </w:rPr>
              <w:t>•Usługi pracowników rolnych</w:t>
            </w:r>
          </w:p>
          <w:p w14:paraId="483CB2B3" w14:textId="77777777" w:rsidR="004C6421" w:rsidRDefault="009D1962">
            <w:pPr>
              <w:pStyle w:val="P68B1DB1-Normal4"/>
              <w:ind w:left="292" w:hanging="76"/>
              <w:rPr>
                <w:noProof/>
              </w:rPr>
            </w:pPr>
            <w:r>
              <w:rPr>
                <w:noProof/>
              </w:rPr>
              <w:t>•Usługi w zakresie zwalczania nadużyć finansowych, korupcji i przejrzystości</w:t>
            </w:r>
          </w:p>
          <w:p w14:paraId="5BA059DD" w14:textId="77777777" w:rsidR="004C6421" w:rsidRDefault="009D1962">
            <w:pPr>
              <w:pStyle w:val="P68B1DB1-Normal4"/>
              <w:spacing w:before="120"/>
              <w:rPr>
                <w:noProof/>
              </w:rPr>
            </w:pPr>
            <w:r>
              <w:rPr>
                <w:noProof/>
              </w:rPr>
              <w:t>W wymienionych obszarach instytucjonalnych usługi, które mają zostać wdrożone, dotyczą cyfrowego składania wniosków o usługi, sprawdzania wymogów dotyczących korzyści, monitorowania statusu praktyki przez użytkowników, proaktywnego proponowania usług w oparciu o potrzeby użytkownika, automatycznego przedłużania korzyści bez konieczności składania nowych aplikacji.</w:t>
            </w:r>
          </w:p>
          <w:p w14:paraId="31A44F26" w14:textId="77777777" w:rsidR="004C6421" w:rsidRDefault="009D1962">
            <w:pPr>
              <w:pStyle w:val="P68B1DB1-Normal4"/>
              <w:spacing w:before="120" w:after="120"/>
              <w:rPr>
                <w:noProof/>
              </w:rPr>
            </w:pPr>
            <w:r>
              <w:rPr>
                <w:noProof/>
              </w:rPr>
              <w:t>Ponadto powinny istnieć tabele wskaźników monitorowania, które umożliwią zarówno monitorowanie przez INPS korzyści, jak i oparte na danych wsparcie dla decyzji decydentów politycznych.</w:t>
            </w:r>
          </w:p>
        </w:tc>
      </w:tr>
      <w:tr w:rsidR="004C6421" w14:paraId="05DC0745" w14:textId="77777777">
        <w:trPr>
          <w:trHeight w:val="4119"/>
        </w:trPr>
        <w:tc>
          <w:tcPr>
            <w:tcW w:w="1284" w:type="dxa"/>
            <w:shd w:val="clear" w:color="auto" w:fill="C6EFCE"/>
            <w:noWrap/>
            <w:vAlign w:val="center"/>
          </w:tcPr>
          <w:p w14:paraId="6912E60B" w14:textId="77777777" w:rsidR="004C6421" w:rsidRDefault="009D1962">
            <w:pPr>
              <w:pStyle w:val="P68B1DB1-Normal4"/>
              <w:jc w:val="center"/>
              <w:rPr>
                <w:noProof/>
              </w:rPr>
            </w:pPr>
            <w:r>
              <w:rPr>
                <w:noProof/>
              </w:rPr>
              <w:t>M1C1-133</w:t>
            </w:r>
          </w:p>
        </w:tc>
        <w:tc>
          <w:tcPr>
            <w:tcW w:w="1746" w:type="dxa"/>
            <w:shd w:val="clear" w:color="auto" w:fill="C6EFCE"/>
            <w:noWrap/>
            <w:vAlign w:val="center"/>
          </w:tcPr>
          <w:p w14:paraId="151032B4" w14:textId="77777777" w:rsidR="004C6421" w:rsidRDefault="009D1962">
            <w:pPr>
              <w:pStyle w:val="P68B1DB1-Normal4"/>
              <w:jc w:val="center"/>
              <w:rPr>
                <w:noProof/>
              </w:rPr>
            </w:pPr>
            <w:r>
              <w:rPr>
                <w:noProof/>
              </w:rPr>
              <w:t>Inwestycje 1.6.3 – Cyfryzacja Krajowego Instytutu Zabezpieczenia Społecznego (INPS) i Krajowego Instytutu Ubezpieczeń od Wypadków przy Pracy (INAIL)</w:t>
            </w:r>
          </w:p>
        </w:tc>
        <w:tc>
          <w:tcPr>
            <w:tcW w:w="992" w:type="dxa"/>
            <w:shd w:val="clear" w:color="auto" w:fill="C6EFCE"/>
            <w:noWrap/>
            <w:vAlign w:val="center"/>
          </w:tcPr>
          <w:p w14:paraId="2975DCCA" w14:textId="77777777" w:rsidR="004C6421" w:rsidRDefault="009D1962">
            <w:pPr>
              <w:pStyle w:val="P68B1DB1-Normal4"/>
              <w:jc w:val="center"/>
              <w:rPr>
                <w:noProof/>
              </w:rPr>
            </w:pPr>
            <w:r>
              <w:rPr>
                <w:noProof/>
              </w:rPr>
              <w:t>Cel</w:t>
            </w:r>
          </w:p>
        </w:tc>
        <w:tc>
          <w:tcPr>
            <w:tcW w:w="2126" w:type="dxa"/>
            <w:shd w:val="clear" w:color="auto" w:fill="C6EFCE"/>
            <w:noWrap/>
            <w:vAlign w:val="center"/>
          </w:tcPr>
          <w:p w14:paraId="29A3EA1B" w14:textId="77777777" w:rsidR="004C6421" w:rsidRDefault="009D1962">
            <w:pPr>
              <w:pStyle w:val="P68B1DB1-Normal4"/>
              <w:jc w:val="center"/>
              <w:rPr>
                <w:noProof/>
              </w:rPr>
            </w:pPr>
            <w:r>
              <w:rPr>
                <w:noProof/>
              </w:rPr>
              <w:t>INPS – Pracownicy posiadający lepsze umiejętności w zakresie technologii informacyjno-komunikacyjnych (ICT) T2</w:t>
            </w:r>
          </w:p>
        </w:tc>
        <w:tc>
          <w:tcPr>
            <w:tcW w:w="1701" w:type="dxa"/>
            <w:shd w:val="clear" w:color="auto" w:fill="C6EFCE"/>
            <w:noWrap/>
            <w:vAlign w:val="center"/>
          </w:tcPr>
          <w:p w14:paraId="1058D48B"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3ADE9DF5" w14:textId="77777777" w:rsidR="004C6421" w:rsidRDefault="009D1962">
            <w:pPr>
              <w:pStyle w:val="P68B1DB1-Normal4"/>
              <w:jc w:val="center"/>
              <w:rPr>
                <w:noProof/>
              </w:rPr>
            </w:pPr>
            <w:r>
              <w:rPr>
                <w:noProof/>
              </w:rPr>
              <w:t>Numer</w:t>
            </w:r>
          </w:p>
        </w:tc>
        <w:tc>
          <w:tcPr>
            <w:tcW w:w="1276" w:type="dxa"/>
            <w:shd w:val="clear" w:color="auto" w:fill="C6EFCE"/>
            <w:noWrap/>
            <w:vAlign w:val="center"/>
          </w:tcPr>
          <w:p w14:paraId="095E8218" w14:textId="77777777" w:rsidR="004C6421" w:rsidRDefault="009D1962">
            <w:pPr>
              <w:pStyle w:val="P68B1DB1-Normal4"/>
              <w:jc w:val="center"/>
              <w:rPr>
                <w:noProof/>
              </w:rPr>
            </w:pPr>
            <w:r>
              <w:rPr>
                <w:noProof/>
              </w:rPr>
              <w:t>4 250</w:t>
            </w:r>
          </w:p>
        </w:tc>
        <w:tc>
          <w:tcPr>
            <w:tcW w:w="1417" w:type="dxa"/>
            <w:shd w:val="clear" w:color="auto" w:fill="C6EFCE"/>
            <w:noWrap/>
            <w:vAlign w:val="center"/>
          </w:tcPr>
          <w:p w14:paraId="09B18E24" w14:textId="77777777" w:rsidR="004C6421" w:rsidRDefault="009D1962">
            <w:pPr>
              <w:pStyle w:val="P68B1DB1-Normal4"/>
              <w:jc w:val="center"/>
              <w:rPr>
                <w:noProof/>
              </w:rPr>
            </w:pPr>
            <w:r>
              <w:rPr>
                <w:noProof/>
              </w:rPr>
              <w:t>8 500</w:t>
            </w:r>
          </w:p>
        </w:tc>
        <w:tc>
          <w:tcPr>
            <w:tcW w:w="793" w:type="dxa"/>
            <w:shd w:val="clear" w:color="auto" w:fill="C6EFCE"/>
            <w:noWrap/>
            <w:vAlign w:val="center"/>
          </w:tcPr>
          <w:p w14:paraId="7BA6B020" w14:textId="39C2BFC3" w:rsidR="004C6421" w:rsidRDefault="00CC179E">
            <w:pPr>
              <w:pStyle w:val="P68B1DB1-Normal4"/>
              <w:jc w:val="center"/>
              <w:rPr>
                <w:noProof/>
              </w:rPr>
            </w:pPr>
            <w:r>
              <w:rPr>
                <w:noProof/>
              </w:rPr>
              <w:t>KW. 4</w:t>
            </w:r>
          </w:p>
        </w:tc>
        <w:tc>
          <w:tcPr>
            <w:tcW w:w="625" w:type="dxa"/>
            <w:shd w:val="clear" w:color="auto" w:fill="C6EFCE"/>
            <w:noWrap/>
            <w:vAlign w:val="center"/>
          </w:tcPr>
          <w:p w14:paraId="44BFAC8B" w14:textId="77777777" w:rsidR="004C6421" w:rsidRDefault="009D1962">
            <w:pPr>
              <w:pStyle w:val="P68B1DB1-Normal4"/>
              <w:jc w:val="center"/>
              <w:rPr>
                <w:noProof/>
              </w:rPr>
            </w:pPr>
            <w:r>
              <w:rPr>
                <w:noProof/>
              </w:rPr>
              <w:t>2023</w:t>
            </w:r>
          </w:p>
        </w:tc>
        <w:tc>
          <w:tcPr>
            <w:tcW w:w="2584" w:type="dxa"/>
            <w:shd w:val="clear" w:color="auto" w:fill="C6EFCE"/>
            <w:noWrap/>
            <w:vAlign w:val="center"/>
          </w:tcPr>
          <w:p w14:paraId="084B2026" w14:textId="77777777" w:rsidR="004C6421" w:rsidRDefault="009D1962">
            <w:pPr>
              <w:pStyle w:val="P68B1DB1-Normal4"/>
              <w:spacing w:after="120"/>
              <w:rPr>
                <w:noProof/>
              </w:rPr>
            </w:pPr>
            <w:r>
              <w:rPr>
                <w:noProof/>
              </w:rPr>
              <w:t>4 Dodatkowych 4250 pracowników INPS ocenionych z certyfikowanymi wyższymi umiejętnościami w następujących obszarach europejskich ram e-kompetencji: (i) plan; (II) budowane; (III) Run (iv) Uruchomienie; zarządzanie.</w:t>
            </w:r>
          </w:p>
          <w:p w14:paraId="451D0881" w14:textId="77777777" w:rsidR="004C6421" w:rsidRDefault="009D1962">
            <w:pPr>
              <w:pStyle w:val="P68B1DB1-Normal4"/>
              <w:spacing w:after="120"/>
              <w:rPr>
                <w:noProof/>
              </w:rPr>
            </w:pPr>
            <w:r>
              <w:rPr>
                <w:noProof/>
              </w:rPr>
              <w:t>Obszary wymagające poprawy kompetencji określa się w zależności od grupy docelowej osób uczących się.</w:t>
            </w:r>
          </w:p>
        </w:tc>
      </w:tr>
      <w:tr w:rsidR="004C6421" w14:paraId="29AF897A" w14:textId="77777777">
        <w:trPr>
          <w:trHeight w:val="3086"/>
        </w:trPr>
        <w:tc>
          <w:tcPr>
            <w:tcW w:w="128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0FA3B4" w14:textId="77777777" w:rsidR="004C6421" w:rsidRDefault="009D1962">
            <w:pPr>
              <w:pStyle w:val="P68B1DB1-Normal4"/>
              <w:jc w:val="center"/>
              <w:rPr>
                <w:noProof/>
              </w:rPr>
            </w:pPr>
            <w:r>
              <w:rPr>
                <w:noProof/>
              </w:rPr>
              <w:t>M1C1-134</w:t>
            </w:r>
          </w:p>
        </w:tc>
        <w:tc>
          <w:tcPr>
            <w:tcW w:w="174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080EBA" w14:textId="77777777" w:rsidR="004C6421" w:rsidRDefault="009D1962">
            <w:pPr>
              <w:pStyle w:val="P68B1DB1-Normal4"/>
              <w:jc w:val="center"/>
              <w:rPr>
                <w:noProof/>
              </w:rPr>
            </w:pPr>
            <w:r>
              <w:rPr>
                <w:noProof/>
              </w:rPr>
              <w:t>Inwestycje 1.6.3 – Cyfryzacja Krajowego Instytutu Zabezpieczenia Społecznego (INPS) i Krajowego Instytutu Ubezpieczeń od Wypadków przy Pracy (INAIL)</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29C358" w14:textId="77777777" w:rsidR="004C6421" w:rsidRDefault="009D1962">
            <w:pPr>
              <w:pStyle w:val="P68B1DB1-Normal4"/>
              <w:jc w:val="center"/>
              <w:rPr>
                <w:noProof/>
              </w:rPr>
            </w:pPr>
            <w:r>
              <w:rPr>
                <w:noProof/>
              </w:rPr>
              <w:t>Cel</w:t>
            </w:r>
          </w:p>
        </w:tc>
        <w:tc>
          <w:tcPr>
            <w:tcW w:w="212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137F5A4" w14:textId="77777777" w:rsidR="004C6421" w:rsidRDefault="009D1962">
            <w:pPr>
              <w:pStyle w:val="P68B1DB1-Normal4"/>
              <w:jc w:val="center"/>
              <w:rPr>
                <w:noProof/>
              </w:rPr>
            </w:pPr>
            <w:r>
              <w:rPr>
                <w:noProof/>
              </w:rPr>
              <w:t>INAIL – w pełni przeprojektowane i zdigitalizowane procesy/usługi T1</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D752EB" w14:textId="77777777" w:rsidR="004C6421" w:rsidRDefault="009D1962">
            <w:pPr>
              <w:pStyle w:val="P68B1DB1-Normal4"/>
              <w:jc w:val="center"/>
              <w:rPr>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194E001" w14:textId="77777777" w:rsidR="004C6421" w:rsidRDefault="009D1962">
            <w:pPr>
              <w:pStyle w:val="P68B1DB1-Normal4"/>
              <w:jc w:val="center"/>
              <w:rPr>
                <w:noProof/>
              </w:rPr>
            </w:pPr>
            <w:r>
              <w:rPr>
                <w:noProof/>
              </w:rPr>
              <w:t>Numer</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7627004" w14:textId="77777777" w:rsidR="004C6421" w:rsidRDefault="009D1962">
            <w:pPr>
              <w:pStyle w:val="P68B1DB1-Normal4"/>
              <w:jc w:val="center"/>
              <w:rPr>
                <w:noProof/>
              </w:rPr>
            </w:pPr>
            <w:r>
              <w:rPr>
                <w:noProof/>
              </w:rPr>
              <w:t>29</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6700146" w14:textId="77777777" w:rsidR="004C6421" w:rsidRDefault="009D1962">
            <w:pPr>
              <w:pStyle w:val="P68B1DB1-Normal4"/>
              <w:jc w:val="center"/>
              <w:rPr>
                <w:noProof/>
              </w:rPr>
            </w:pPr>
            <w:r>
              <w:rPr>
                <w:noProof/>
              </w:rPr>
              <w:t>53</w:t>
            </w:r>
          </w:p>
        </w:tc>
        <w:tc>
          <w:tcPr>
            <w:tcW w:w="79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EDC0A1" w14:textId="7F436185" w:rsidR="004C6421" w:rsidRDefault="00CC179E">
            <w:pPr>
              <w:pStyle w:val="P68B1DB1-Normal4"/>
              <w:jc w:val="center"/>
              <w:rPr>
                <w:noProof/>
              </w:rPr>
            </w:pPr>
            <w:r>
              <w:rPr>
                <w:noProof/>
              </w:rPr>
              <w:t>KW. 4</w:t>
            </w:r>
          </w:p>
        </w:tc>
        <w:tc>
          <w:tcPr>
            <w:tcW w:w="6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903D766" w14:textId="77777777" w:rsidR="004C6421" w:rsidRDefault="009D1962">
            <w:pPr>
              <w:pStyle w:val="P68B1DB1-Normal4"/>
              <w:jc w:val="center"/>
              <w:rPr>
                <w:noProof/>
              </w:rPr>
            </w:pPr>
            <w:r>
              <w:rPr>
                <w:noProof/>
              </w:rPr>
              <w:t>2023</w:t>
            </w:r>
          </w:p>
        </w:tc>
        <w:tc>
          <w:tcPr>
            <w:tcW w:w="258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36B4816" w14:textId="77777777" w:rsidR="004C6421" w:rsidRDefault="009D1962">
            <w:pPr>
              <w:pStyle w:val="P68B1DB1-Normal4"/>
              <w:spacing w:after="120"/>
              <w:rPr>
                <w:noProof/>
              </w:rPr>
            </w:pPr>
            <w:r>
              <w:rPr>
                <w:noProof/>
              </w:rPr>
              <w:t xml:space="preserve">Celem jest osiągnięcie 53 (52 %) przekształconych procesów i usług instytucjonalnych w celu zapewnienia ich pełnej cyfryzacji. </w:t>
            </w:r>
          </w:p>
          <w:p w14:paraId="35B93A47" w14:textId="77777777" w:rsidR="004C6421" w:rsidRDefault="009D1962">
            <w:pPr>
              <w:pStyle w:val="P68B1DB1-Normal4"/>
              <w:spacing w:after="120"/>
              <w:rPr>
                <w:noProof/>
              </w:rPr>
            </w:pPr>
            <w:r>
              <w:rPr>
                <w:noProof/>
              </w:rPr>
              <w:t>Zaangażowane obszary INAIL to: Ubezpieczenia, usługi społeczne i zdrowotne, profilaktyka i bezpieczeństwo pracy, certyfikacja i weryfikacja.</w:t>
            </w:r>
          </w:p>
          <w:p w14:paraId="1DFD77CF" w14:textId="77777777" w:rsidR="004C6421" w:rsidRDefault="009D1962">
            <w:pPr>
              <w:pStyle w:val="P68B1DB1-Normal4"/>
              <w:spacing w:after="120"/>
              <w:rPr>
                <w:noProof/>
              </w:rPr>
            </w:pPr>
            <w:r>
              <w:rPr>
                <w:noProof/>
              </w:rPr>
              <w:t xml:space="preserve">W szczególności oczekiwana wartość docelowa dla każdego obszaru została określona powyżej: </w:t>
            </w:r>
          </w:p>
          <w:p w14:paraId="1FE9F4A7" w14:textId="77777777" w:rsidR="004C6421" w:rsidRDefault="009D1962">
            <w:pPr>
              <w:pStyle w:val="P68B1DB1-ListParagraph5"/>
              <w:numPr>
                <w:ilvl w:val="0"/>
                <w:numId w:val="89"/>
              </w:numPr>
              <w:ind w:left="377" w:hanging="283"/>
              <w:jc w:val="left"/>
              <w:rPr>
                <w:noProof/>
              </w:rPr>
            </w:pPr>
            <w:r>
              <w:rPr>
                <w:noProof/>
              </w:rPr>
              <w:t xml:space="preserve">Ubezpieczenia: 8 (25 %); </w:t>
            </w:r>
          </w:p>
          <w:p w14:paraId="6D5B63D6" w14:textId="77777777" w:rsidR="004C6421" w:rsidRDefault="009D1962">
            <w:pPr>
              <w:pStyle w:val="P68B1DB1-ListParagraph5"/>
              <w:numPr>
                <w:ilvl w:val="0"/>
                <w:numId w:val="89"/>
              </w:numPr>
              <w:ind w:left="377" w:hanging="283"/>
              <w:jc w:val="left"/>
              <w:rPr>
                <w:noProof/>
              </w:rPr>
            </w:pPr>
            <w:r>
              <w:rPr>
                <w:noProof/>
              </w:rPr>
              <w:t>Usługi społeczne i zdrowotne: 18 (50 %);</w:t>
            </w:r>
          </w:p>
          <w:p w14:paraId="6611F948" w14:textId="77777777" w:rsidR="004C6421" w:rsidRDefault="009D1962">
            <w:pPr>
              <w:pStyle w:val="P68B1DB1-ListParagraph5"/>
              <w:numPr>
                <w:ilvl w:val="0"/>
                <w:numId w:val="89"/>
              </w:numPr>
              <w:ind w:left="377" w:hanging="283"/>
              <w:jc w:val="left"/>
              <w:rPr>
                <w:noProof/>
              </w:rPr>
            </w:pPr>
            <w:r>
              <w:rPr>
                <w:noProof/>
              </w:rPr>
              <w:t>Zapobieganie i bezpieczeństwo: 9 (80 %);</w:t>
            </w:r>
          </w:p>
          <w:p w14:paraId="5A9538C3" w14:textId="77777777" w:rsidR="004C6421" w:rsidRDefault="009D1962">
            <w:pPr>
              <w:pStyle w:val="P68B1DB1-ListParagraph5"/>
              <w:numPr>
                <w:ilvl w:val="0"/>
                <w:numId w:val="89"/>
              </w:numPr>
              <w:ind w:left="377" w:hanging="283"/>
              <w:jc w:val="left"/>
              <w:rPr>
                <w:noProof/>
              </w:rPr>
            </w:pPr>
            <w:r>
              <w:rPr>
                <w:noProof/>
              </w:rPr>
              <w:t>Certyfikaty i weryfikacje: 18 (80 %).</w:t>
            </w:r>
          </w:p>
        </w:tc>
      </w:tr>
      <w:tr w:rsidR="004C6421" w14:paraId="2FB609B0" w14:textId="77777777">
        <w:trPr>
          <w:trHeight w:val="309"/>
        </w:trPr>
        <w:tc>
          <w:tcPr>
            <w:tcW w:w="1284" w:type="dxa"/>
            <w:shd w:val="clear" w:color="auto" w:fill="C6EFCE"/>
            <w:noWrap/>
            <w:vAlign w:val="center"/>
          </w:tcPr>
          <w:p w14:paraId="4E39D1BB" w14:textId="77777777" w:rsidR="004C6421" w:rsidRDefault="009D1962">
            <w:pPr>
              <w:pStyle w:val="P68B1DB1-Normal4"/>
              <w:jc w:val="center"/>
              <w:rPr>
                <w:noProof/>
              </w:rPr>
            </w:pPr>
            <w:r>
              <w:rPr>
                <w:noProof/>
              </w:rPr>
              <w:t>M1C1-135</w:t>
            </w:r>
          </w:p>
        </w:tc>
        <w:tc>
          <w:tcPr>
            <w:tcW w:w="1746" w:type="dxa"/>
            <w:shd w:val="clear" w:color="auto" w:fill="C6EFCE"/>
            <w:noWrap/>
            <w:vAlign w:val="center"/>
          </w:tcPr>
          <w:p w14:paraId="1B2FC68E" w14:textId="77777777" w:rsidR="004C6421" w:rsidRDefault="009D1962">
            <w:pPr>
              <w:pStyle w:val="P68B1DB1-Normal4"/>
              <w:jc w:val="center"/>
              <w:rPr>
                <w:noProof/>
              </w:rPr>
            </w:pPr>
            <w:r>
              <w:rPr>
                <w:noProof/>
              </w:rPr>
              <w:t>Inwestycje 1.6.4 – Cyfryzacja Ministerstwa Obrony</w:t>
            </w:r>
          </w:p>
        </w:tc>
        <w:tc>
          <w:tcPr>
            <w:tcW w:w="992" w:type="dxa"/>
            <w:shd w:val="clear" w:color="auto" w:fill="C6EFCE"/>
            <w:noWrap/>
            <w:vAlign w:val="center"/>
          </w:tcPr>
          <w:p w14:paraId="12E10457" w14:textId="77777777" w:rsidR="004C6421" w:rsidRDefault="009D1962">
            <w:pPr>
              <w:pStyle w:val="P68B1DB1-Normal4"/>
              <w:jc w:val="center"/>
              <w:rPr>
                <w:noProof/>
              </w:rPr>
            </w:pPr>
            <w:r>
              <w:rPr>
                <w:noProof/>
              </w:rPr>
              <w:t>Cel</w:t>
            </w:r>
          </w:p>
        </w:tc>
        <w:tc>
          <w:tcPr>
            <w:tcW w:w="2126" w:type="dxa"/>
            <w:shd w:val="clear" w:color="auto" w:fill="C6EFCE"/>
            <w:noWrap/>
            <w:vAlign w:val="center"/>
          </w:tcPr>
          <w:p w14:paraId="5D702D69" w14:textId="77777777" w:rsidR="004C6421" w:rsidRDefault="009D1962">
            <w:pPr>
              <w:pStyle w:val="P68B1DB1-Normal4"/>
              <w:jc w:val="center"/>
              <w:rPr>
                <w:noProof/>
              </w:rPr>
            </w:pPr>
            <w:r>
              <w:rPr>
                <w:noProof/>
              </w:rPr>
              <w:t>Ministerstwo Obrony – Cyfryzacja procedur T1</w:t>
            </w:r>
          </w:p>
        </w:tc>
        <w:tc>
          <w:tcPr>
            <w:tcW w:w="1701" w:type="dxa"/>
            <w:shd w:val="clear" w:color="auto" w:fill="C6EFCE"/>
            <w:noWrap/>
            <w:vAlign w:val="center"/>
          </w:tcPr>
          <w:p w14:paraId="338AEAA4"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735852B8" w14:textId="77777777" w:rsidR="004C6421" w:rsidRDefault="009D1962">
            <w:pPr>
              <w:pStyle w:val="P68B1DB1-Normal4"/>
              <w:jc w:val="center"/>
              <w:rPr>
                <w:noProof/>
              </w:rPr>
            </w:pPr>
            <w:r>
              <w:rPr>
                <w:noProof/>
              </w:rPr>
              <w:t>Numer</w:t>
            </w:r>
          </w:p>
        </w:tc>
        <w:tc>
          <w:tcPr>
            <w:tcW w:w="1276" w:type="dxa"/>
            <w:shd w:val="clear" w:color="auto" w:fill="C6EFCE"/>
            <w:noWrap/>
            <w:vAlign w:val="center"/>
          </w:tcPr>
          <w:p w14:paraId="1E6A3F14" w14:textId="77777777" w:rsidR="004C6421" w:rsidRDefault="009D1962">
            <w:pPr>
              <w:pStyle w:val="P68B1DB1-Normal4"/>
              <w:jc w:val="center"/>
              <w:rPr>
                <w:noProof/>
              </w:rPr>
            </w:pPr>
            <w:r>
              <w:rPr>
                <w:noProof/>
              </w:rPr>
              <w:t>4</w:t>
            </w:r>
          </w:p>
        </w:tc>
        <w:tc>
          <w:tcPr>
            <w:tcW w:w="1417" w:type="dxa"/>
            <w:shd w:val="clear" w:color="auto" w:fill="C6EFCE"/>
            <w:noWrap/>
            <w:vAlign w:val="center"/>
          </w:tcPr>
          <w:p w14:paraId="6D029AD6" w14:textId="77777777" w:rsidR="004C6421" w:rsidRDefault="009D1962">
            <w:pPr>
              <w:pStyle w:val="P68B1DB1-Normal4"/>
              <w:jc w:val="center"/>
              <w:rPr>
                <w:noProof/>
              </w:rPr>
            </w:pPr>
            <w:r>
              <w:rPr>
                <w:noProof/>
              </w:rPr>
              <w:t>15</w:t>
            </w:r>
          </w:p>
        </w:tc>
        <w:tc>
          <w:tcPr>
            <w:tcW w:w="793" w:type="dxa"/>
            <w:shd w:val="clear" w:color="auto" w:fill="C6EFCE"/>
            <w:noWrap/>
            <w:vAlign w:val="center"/>
          </w:tcPr>
          <w:p w14:paraId="17FAE2E7" w14:textId="570128AC" w:rsidR="004C6421" w:rsidRDefault="00CC179E">
            <w:pPr>
              <w:pStyle w:val="P68B1DB1-Normal4"/>
              <w:jc w:val="center"/>
              <w:rPr>
                <w:noProof/>
              </w:rPr>
            </w:pPr>
            <w:r>
              <w:rPr>
                <w:noProof/>
              </w:rPr>
              <w:t>KW. 4</w:t>
            </w:r>
          </w:p>
        </w:tc>
        <w:tc>
          <w:tcPr>
            <w:tcW w:w="625" w:type="dxa"/>
            <w:shd w:val="clear" w:color="auto" w:fill="C6EFCE"/>
            <w:noWrap/>
            <w:vAlign w:val="center"/>
          </w:tcPr>
          <w:p w14:paraId="0EDF85C6" w14:textId="77777777" w:rsidR="004C6421" w:rsidRDefault="009D1962">
            <w:pPr>
              <w:pStyle w:val="P68B1DB1-Normal4"/>
              <w:jc w:val="center"/>
              <w:rPr>
                <w:noProof/>
              </w:rPr>
            </w:pPr>
            <w:r>
              <w:rPr>
                <w:noProof/>
              </w:rPr>
              <w:t>2023</w:t>
            </w:r>
          </w:p>
        </w:tc>
        <w:tc>
          <w:tcPr>
            <w:tcW w:w="2584" w:type="dxa"/>
            <w:shd w:val="clear" w:color="auto" w:fill="C6EFCE"/>
            <w:noWrap/>
            <w:vAlign w:val="center"/>
          </w:tcPr>
          <w:p w14:paraId="301BA5D8" w14:textId="77777777" w:rsidR="004C6421" w:rsidRDefault="009D1962">
            <w:pPr>
              <w:pStyle w:val="P68B1DB1-Normal4"/>
              <w:spacing w:after="120"/>
              <w:rPr>
                <w:noProof/>
              </w:rPr>
            </w:pPr>
            <w:r>
              <w:rPr>
                <w:noProof/>
              </w:rPr>
              <w:t>Cyfryzacja, przegląd i automatyzacja 15 procedur związanych z zarządzaniem personelem obrony (takich jak rekrutacja, zatrudnienie i emerytura, zdrowie pracowników), począwszy od poziomu bazowego czterech już zdigitalizowanych procedur.</w:t>
            </w:r>
          </w:p>
        </w:tc>
      </w:tr>
      <w:tr w:rsidR="004C6421" w14:paraId="76D1727A" w14:textId="77777777">
        <w:trPr>
          <w:trHeight w:val="309"/>
        </w:trPr>
        <w:tc>
          <w:tcPr>
            <w:tcW w:w="1284" w:type="dxa"/>
            <w:shd w:val="clear" w:color="auto" w:fill="C6EFCE"/>
            <w:noWrap/>
            <w:vAlign w:val="center"/>
          </w:tcPr>
          <w:p w14:paraId="759E83F2" w14:textId="77777777" w:rsidR="004C6421" w:rsidRDefault="009D1962">
            <w:pPr>
              <w:pStyle w:val="P68B1DB1-Normal4"/>
              <w:jc w:val="center"/>
              <w:rPr>
                <w:noProof/>
              </w:rPr>
            </w:pPr>
            <w:r>
              <w:rPr>
                <w:noProof/>
              </w:rPr>
              <w:t>M1C1-136</w:t>
            </w:r>
          </w:p>
        </w:tc>
        <w:tc>
          <w:tcPr>
            <w:tcW w:w="1746" w:type="dxa"/>
            <w:shd w:val="clear" w:color="auto" w:fill="C6EFCE"/>
            <w:noWrap/>
            <w:vAlign w:val="center"/>
          </w:tcPr>
          <w:p w14:paraId="5D38C10A" w14:textId="77777777" w:rsidR="004C6421" w:rsidRDefault="009D1962">
            <w:pPr>
              <w:pStyle w:val="P68B1DB1-Normal4"/>
              <w:jc w:val="center"/>
              <w:rPr>
                <w:noProof/>
              </w:rPr>
            </w:pPr>
            <w:r>
              <w:rPr>
                <w:noProof/>
              </w:rPr>
              <w:t>Inwestycje 1.6.4 – Cyfryzacja Ministerstwa Obrony</w:t>
            </w:r>
          </w:p>
        </w:tc>
        <w:tc>
          <w:tcPr>
            <w:tcW w:w="992" w:type="dxa"/>
            <w:shd w:val="clear" w:color="auto" w:fill="C6EFCE"/>
            <w:noWrap/>
            <w:vAlign w:val="center"/>
          </w:tcPr>
          <w:p w14:paraId="65528CA6" w14:textId="77777777" w:rsidR="004C6421" w:rsidRDefault="009D1962">
            <w:pPr>
              <w:pStyle w:val="P68B1DB1-Normal4"/>
              <w:jc w:val="center"/>
              <w:rPr>
                <w:noProof/>
              </w:rPr>
            </w:pPr>
            <w:r>
              <w:rPr>
                <w:noProof/>
              </w:rPr>
              <w:t>Cel</w:t>
            </w:r>
          </w:p>
        </w:tc>
        <w:tc>
          <w:tcPr>
            <w:tcW w:w="2126" w:type="dxa"/>
            <w:shd w:val="clear" w:color="auto" w:fill="C6EFCE"/>
            <w:noWrap/>
            <w:vAlign w:val="center"/>
          </w:tcPr>
          <w:p w14:paraId="2AEAAB5A" w14:textId="77777777" w:rsidR="004C6421" w:rsidRDefault="009D1962">
            <w:pPr>
              <w:pStyle w:val="P68B1DB1-Normal4"/>
              <w:jc w:val="center"/>
              <w:rPr>
                <w:noProof/>
              </w:rPr>
            </w:pPr>
            <w:r>
              <w:rPr>
                <w:noProof/>
              </w:rPr>
              <w:t>Ministerstwo Obrony – Cyfryzacja certyfikatów T1</w:t>
            </w:r>
          </w:p>
        </w:tc>
        <w:tc>
          <w:tcPr>
            <w:tcW w:w="1701" w:type="dxa"/>
            <w:shd w:val="clear" w:color="auto" w:fill="C6EFCE"/>
            <w:noWrap/>
            <w:vAlign w:val="center"/>
          </w:tcPr>
          <w:p w14:paraId="07BC5685"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5F4FCFFB" w14:textId="77777777" w:rsidR="004C6421" w:rsidRDefault="009D1962">
            <w:pPr>
              <w:pStyle w:val="P68B1DB1-Normal4"/>
              <w:jc w:val="center"/>
              <w:rPr>
                <w:noProof/>
              </w:rPr>
            </w:pPr>
            <w:r>
              <w:rPr>
                <w:noProof/>
              </w:rPr>
              <w:t>Liczba zdigitalizowanych certyfikatów</w:t>
            </w:r>
          </w:p>
        </w:tc>
        <w:tc>
          <w:tcPr>
            <w:tcW w:w="1276" w:type="dxa"/>
            <w:shd w:val="clear" w:color="auto" w:fill="C6EFCE"/>
            <w:noWrap/>
            <w:vAlign w:val="center"/>
          </w:tcPr>
          <w:p w14:paraId="13EABBB5" w14:textId="77777777" w:rsidR="004C6421" w:rsidRDefault="009D1962">
            <w:pPr>
              <w:pStyle w:val="P68B1DB1-Normal4"/>
              <w:jc w:val="center"/>
              <w:rPr>
                <w:noProof/>
              </w:rPr>
            </w:pPr>
            <w:r>
              <w:rPr>
                <w:noProof/>
              </w:rPr>
              <w:t>190 000</w:t>
            </w:r>
          </w:p>
        </w:tc>
        <w:tc>
          <w:tcPr>
            <w:tcW w:w="1417" w:type="dxa"/>
            <w:shd w:val="clear" w:color="auto" w:fill="C6EFCE"/>
            <w:noWrap/>
            <w:vAlign w:val="center"/>
          </w:tcPr>
          <w:p w14:paraId="2F2FDB55" w14:textId="77777777" w:rsidR="004C6421" w:rsidRDefault="009D1962">
            <w:pPr>
              <w:pStyle w:val="P68B1DB1-Normal4"/>
              <w:jc w:val="center"/>
              <w:rPr>
                <w:noProof/>
              </w:rPr>
            </w:pPr>
            <w:r>
              <w:rPr>
                <w:noProof/>
              </w:rPr>
              <w:t>450 000</w:t>
            </w:r>
          </w:p>
        </w:tc>
        <w:tc>
          <w:tcPr>
            <w:tcW w:w="793" w:type="dxa"/>
            <w:shd w:val="clear" w:color="auto" w:fill="C6EFCE"/>
            <w:noWrap/>
            <w:vAlign w:val="center"/>
          </w:tcPr>
          <w:p w14:paraId="59FE17C8" w14:textId="628223FA" w:rsidR="004C6421" w:rsidRDefault="00CC179E">
            <w:pPr>
              <w:pStyle w:val="P68B1DB1-Normal4"/>
              <w:jc w:val="center"/>
              <w:rPr>
                <w:noProof/>
              </w:rPr>
            </w:pPr>
            <w:r>
              <w:rPr>
                <w:noProof/>
              </w:rPr>
              <w:t>KW. 4</w:t>
            </w:r>
          </w:p>
        </w:tc>
        <w:tc>
          <w:tcPr>
            <w:tcW w:w="625" w:type="dxa"/>
            <w:shd w:val="clear" w:color="auto" w:fill="C6EFCE"/>
            <w:noWrap/>
            <w:vAlign w:val="center"/>
          </w:tcPr>
          <w:p w14:paraId="03E32D93" w14:textId="77777777" w:rsidR="004C6421" w:rsidRDefault="009D1962">
            <w:pPr>
              <w:pStyle w:val="P68B1DB1-Normal4"/>
              <w:jc w:val="center"/>
              <w:rPr>
                <w:noProof/>
              </w:rPr>
            </w:pPr>
            <w:r>
              <w:rPr>
                <w:noProof/>
              </w:rPr>
              <w:t>2023</w:t>
            </w:r>
          </w:p>
        </w:tc>
        <w:tc>
          <w:tcPr>
            <w:tcW w:w="2584" w:type="dxa"/>
            <w:shd w:val="clear" w:color="auto" w:fill="C6EFCE"/>
            <w:noWrap/>
            <w:vAlign w:val="center"/>
          </w:tcPr>
          <w:p w14:paraId="3D5812AE" w14:textId="77777777" w:rsidR="004C6421" w:rsidRDefault="009D1962">
            <w:pPr>
              <w:pStyle w:val="P68B1DB1-Normal4"/>
              <w:spacing w:after="120"/>
              <w:rPr>
                <w:noProof/>
              </w:rPr>
            </w:pPr>
            <w:r>
              <w:rPr>
                <w:noProof/>
              </w:rPr>
              <w:t>Liczba cyfrowych zaświadczeń tożsamości (450000) wydanych przez Ministerstwo Obrony i znajdujących się w infrastrukturze, uzupełnionych o miejsce przywrócenia gotowości do pracy po wystąpieniu sytuacji nadzwyczajnej, począwszy od poziomu bazowego 190000 już zdigitalizowanych zaświadczeń.</w:t>
            </w:r>
          </w:p>
        </w:tc>
      </w:tr>
      <w:tr w:rsidR="004C6421" w14:paraId="77FD6621" w14:textId="77777777">
        <w:trPr>
          <w:trHeight w:val="309"/>
        </w:trPr>
        <w:tc>
          <w:tcPr>
            <w:tcW w:w="1284" w:type="dxa"/>
            <w:shd w:val="clear" w:color="auto" w:fill="C6EFCE"/>
            <w:noWrap/>
            <w:vAlign w:val="center"/>
          </w:tcPr>
          <w:p w14:paraId="5C21A748" w14:textId="77777777" w:rsidR="004C6421" w:rsidRDefault="009D1962">
            <w:pPr>
              <w:pStyle w:val="P68B1DB1-Normal4"/>
              <w:jc w:val="center"/>
              <w:rPr>
                <w:noProof/>
              </w:rPr>
            </w:pPr>
            <w:r>
              <w:rPr>
                <w:noProof/>
              </w:rPr>
              <w:t>M1C1-137</w:t>
            </w:r>
          </w:p>
        </w:tc>
        <w:tc>
          <w:tcPr>
            <w:tcW w:w="1746" w:type="dxa"/>
            <w:shd w:val="clear" w:color="auto" w:fill="C6EFCE"/>
            <w:noWrap/>
            <w:vAlign w:val="center"/>
          </w:tcPr>
          <w:p w14:paraId="121B63D4" w14:textId="77777777" w:rsidR="004C6421" w:rsidRDefault="009D1962">
            <w:pPr>
              <w:pStyle w:val="P68B1DB1-Normal4"/>
              <w:jc w:val="center"/>
              <w:rPr>
                <w:noProof/>
              </w:rPr>
            </w:pPr>
            <w:r>
              <w:rPr>
                <w:noProof/>
              </w:rPr>
              <w:t>Inwestycje 1.6.4 – Cyfryzacja Ministerstwa Obrony</w:t>
            </w:r>
          </w:p>
        </w:tc>
        <w:tc>
          <w:tcPr>
            <w:tcW w:w="992" w:type="dxa"/>
            <w:shd w:val="clear" w:color="auto" w:fill="C6EFCE"/>
            <w:noWrap/>
            <w:vAlign w:val="center"/>
          </w:tcPr>
          <w:p w14:paraId="3FD17A5B" w14:textId="35AB1153" w:rsidR="004C6421" w:rsidRDefault="00CC179E">
            <w:pPr>
              <w:pStyle w:val="P68B1DB1-Normal4"/>
              <w:jc w:val="center"/>
              <w:rPr>
                <w:noProof/>
              </w:rPr>
            </w:pPr>
            <w:r>
              <w:rPr>
                <w:noProof/>
              </w:rPr>
              <w:t>Milowy</w:t>
            </w:r>
          </w:p>
        </w:tc>
        <w:tc>
          <w:tcPr>
            <w:tcW w:w="2126" w:type="dxa"/>
            <w:shd w:val="clear" w:color="auto" w:fill="C6EFCE"/>
            <w:noWrap/>
            <w:vAlign w:val="center"/>
          </w:tcPr>
          <w:p w14:paraId="624FD3B1" w14:textId="77777777" w:rsidR="004C6421" w:rsidRDefault="009D1962">
            <w:pPr>
              <w:pStyle w:val="P68B1DB1-Normal4"/>
              <w:jc w:val="center"/>
              <w:rPr>
                <w:noProof/>
              </w:rPr>
            </w:pPr>
            <w:r>
              <w:rPr>
                <w:noProof/>
              </w:rPr>
              <w:t>Ministerstwo Obrony – Komisowanie instytucjonalnych portali internetowych i intranetowych</w:t>
            </w:r>
          </w:p>
        </w:tc>
        <w:tc>
          <w:tcPr>
            <w:tcW w:w="1701" w:type="dxa"/>
            <w:shd w:val="clear" w:color="auto" w:fill="C6EFCE"/>
            <w:noWrap/>
            <w:vAlign w:val="center"/>
          </w:tcPr>
          <w:p w14:paraId="2B7916F4" w14:textId="77777777" w:rsidR="004C6421" w:rsidRDefault="009D1962">
            <w:pPr>
              <w:pStyle w:val="P68B1DB1-Normal4"/>
              <w:jc w:val="center"/>
              <w:rPr>
                <w:noProof/>
              </w:rPr>
            </w:pPr>
            <w:r>
              <w:rPr>
                <w:noProof/>
              </w:rPr>
              <w:t>Instytucjonalne portale internetowe i intranetowe w pełni operacyjne</w:t>
            </w:r>
          </w:p>
        </w:tc>
        <w:tc>
          <w:tcPr>
            <w:tcW w:w="1134" w:type="dxa"/>
            <w:shd w:val="clear" w:color="auto" w:fill="C6EFCE"/>
            <w:noWrap/>
            <w:vAlign w:val="center"/>
          </w:tcPr>
          <w:p w14:paraId="5F724676" w14:textId="77777777" w:rsidR="004C6421" w:rsidRDefault="009D1962">
            <w:pPr>
              <w:pStyle w:val="P68B1DB1-Normal4"/>
              <w:jc w:val="center"/>
              <w:rPr>
                <w:noProof/>
              </w:rPr>
            </w:pPr>
            <w:r>
              <w:rPr>
                <w:noProof/>
              </w:rPr>
              <w:t>NIE DOT.</w:t>
            </w:r>
          </w:p>
        </w:tc>
        <w:tc>
          <w:tcPr>
            <w:tcW w:w="1276" w:type="dxa"/>
            <w:shd w:val="clear" w:color="auto" w:fill="C6EFCE"/>
            <w:noWrap/>
            <w:vAlign w:val="center"/>
          </w:tcPr>
          <w:p w14:paraId="3E060312" w14:textId="77777777" w:rsidR="004C6421" w:rsidRDefault="009D1962">
            <w:pPr>
              <w:pStyle w:val="P68B1DB1-Normal4"/>
              <w:jc w:val="center"/>
              <w:rPr>
                <w:noProof/>
              </w:rPr>
            </w:pPr>
            <w:r>
              <w:rPr>
                <w:noProof/>
              </w:rPr>
              <w:t>NIE DOT.</w:t>
            </w:r>
          </w:p>
        </w:tc>
        <w:tc>
          <w:tcPr>
            <w:tcW w:w="1417" w:type="dxa"/>
            <w:shd w:val="clear" w:color="auto" w:fill="C6EFCE"/>
            <w:noWrap/>
            <w:vAlign w:val="center"/>
          </w:tcPr>
          <w:p w14:paraId="07B09A17" w14:textId="77777777" w:rsidR="004C6421" w:rsidRDefault="009D1962">
            <w:pPr>
              <w:pStyle w:val="P68B1DB1-Normal4"/>
              <w:jc w:val="center"/>
              <w:rPr>
                <w:noProof/>
              </w:rPr>
            </w:pPr>
            <w:r>
              <w:rPr>
                <w:noProof/>
              </w:rPr>
              <w:t>NIE DOT.</w:t>
            </w:r>
          </w:p>
        </w:tc>
        <w:tc>
          <w:tcPr>
            <w:tcW w:w="793" w:type="dxa"/>
            <w:shd w:val="clear" w:color="auto" w:fill="C6EFCE"/>
            <w:noWrap/>
            <w:vAlign w:val="center"/>
          </w:tcPr>
          <w:p w14:paraId="1D1421F3" w14:textId="7EC47F61" w:rsidR="004C6421" w:rsidRDefault="00CC179E">
            <w:pPr>
              <w:pStyle w:val="P68B1DB1-Normal4"/>
              <w:jc w:val="center"/>
              <w:rPr>
                <w:noProof/>
              </w:rPr>
            </w:pPr>
            <w:r>
              <w:rPr>
                <w:noProof/>
              </w:rPr>
              <w:t>KW. 4</w:t>
            </w:r>
          </w:p>
        </w:tc>
        <w:tc>
          <w:tcPr>
            <w:tcW w:w="625" w:type="dxa"/>
            <w:shd w:val="clear" w:color="auto" w:fill="C6EFCE"/>
            <w:noWrap/>
            <w:vAlign w:val="center"/>
          </w:tcPr>
          <w:p w14:paraId="28672698" w14:textId="77777777" w:rsidR="004C6421" w:rsidRDefault="009D1962">
            <w:pPr>
              <w:pStyle w:val="P68B1DB1-Normal4"/>
              <w:jc w:val="center"/>
              <w:rPr>
                <w:noProof/>
              </w:rPr>
            </w:pPr>
            <w:r>
              <w:rPr>
                <w:noProof/>
              </w:rPr>
              <w:t>2023</w:t>
            </w:r>
          </w:p>
        </w:tc>
        <w:tc>
          <w:tcPr>
            <w:tcW w:w="2584" w:type="dxa"/>
            <w:shd w:val="clear" w:color="auto" w:fill="C6EFCE"/>
            <w:noWrap/>
            <w:vAlign w:val="center"/>
          </w:tcPr>
          <w:p w14:paraId="18405B5B" w14:textId="77777777" w:rsidR="004C6421" w:rsidRDefault="009D1962">
            <w:pPr>
              <w:pStyle w:val="P68B1DB1-Normal4"/>
              <w:spacing w:after="120"/>
              <w:rPr>
                <w:noProof/>
              </w:rPr>
            </w:pPr>
            <w:r>
              <w:rPr>
                <w:noProof/>
              </w:rPr>
              <w:t>Opracowanie i wdrożenie (i) instytucjonalnych portali internetowych oraz (ii) portali intranetowych na potrzeby komunikacji wewnętrznej.</w:t>
            </w:r>
          </w:p>
        </w:tc>
      </w:tr>
      <w:tr w:rsidR="004C6421" w14:paraId="21018294" w14:textId="77777777">
        <w:trPr>
          <w:trHeight w:val="309"/>
        </w:trPr>
        <w:tc>
          <w:tcPr>
            <w:tcW w:w="1284" w:type="dxa"/>
            <w:shd w:val="clear" w:color="auto" w:fill="C6EFCE"/>
            <w:noWrap/>
            <w:vAlign w:val="center"/>
          </w:tcPr>
          <w:p w14:paraId="4F440968" w14:textId="77777777" w:rsidR="004C6421" w:rsidRDefault="009D1962">
            <w:pPr>
              <w:pStyle w:val="P68B1DB1-Normal4"/>
              <w:jc w:val="center"/>
              <w:rPr>
                <w:noProof/>
              </w:rPr>
            </w:pPr>
            <w:r>
              <w:rPr>
                <w:noProof/>
              </w:rPr>
              <w:t>M1C1-138</w:t>
            </w:r>
          </w:p>
        </w:tc>
        <w:tc>
          <w:tcPr>
            <w:tcW w:w="1746" w:type="dxa"/>
            <w:shd w:val="clear" w:color="auto" w:fill="C6EFCE"/>
            <w:noWrap/>
            <w:vAlign w:val="center"/>
          </w:tcPr>
          <w:p w14:paraId="0029B9B8" w14:textId="77777777" w:rsidR="004C6421" w:rsidRDefault="009D1962">
            <w:pPr>
              <w:pStyle w:val="P68B1DB1-Normal4"/>
              <w:jc w:val="center"/>
              <w:rPr>
                <w:noProof/>
              </w:rPr>
            </w:pPr>
            <w:r>
              <w:rPr>
                <w:noProof/>
              </w:rPr>
              <w:t>Inwestycje 1.6.4 – Cyfryzacja Ministerstwa Obrony</w:t>
            </w:r>
          </w:p>
        </w:tc>
        <w:tc>
          <w:tcPr>
            <w:tcW w:w="992" w:type="dxa"/>
            <w:shd w:val="clear" w:color="auto" w:fill="C6EFCE"/>
            <w:noWrap/>
            <w:vAlign w:val="center"/>
          </w:tcPr>
          <w:p w14:paraId="5BC680A3" w14:textId="77777777" w:rsidR="004C6421" w:rsidRDefault="009D1962">
            <w:pPr>
              <w:pStyle w:val="P68B1DB1-Normal4"/>
              <w:jc w:val="center"/>
              <w:rPr>
                <w:noProof/>
              </w:rPr>
            </w:pPr>
            <w:r>
              <w:rPr>
                <w:noProof/>
              </w:rPr>
              <w:t>Cel</w:t>
            </w:r>
          </w:p>
        </w:tc>
        <w:tc>
          <w:tcPr>
            <w:tcW w:w="2126" w:type="dxa"/>
            <w:shd w:val="clear" w:color="auto" w:fill="C6EFCE"/>
            <w:noWrap/>
            <w:vAlign w:val="center"/>
          </w:tcPr>
          <w:p w14:paraId="6941E147" w14:textId="77777777" w:rsidR="004C6421" w:rsidRDefault="009D1962">
            <w:pPr>
              <w:pStyle w:val="P68B1DB1-Normal4"/>
              <w:jc w:val="center"/>
              <w:rPr>
                <w:noProof/>
              </w:rPr>
            </w:pPr>
            <w:r>
              <w:rPr>
                <w:noProof/>
              </w:rPr>
              <w:t>Ministerstwo Obrony – Migracja aplikacji o krytycznym znaczeniu niezwiązanych z misją do rozwiązania w zakresie pełnej ochrony informacji przez otwarcie infrastruktury (S.C.I.P.I.O.) T1</w:t>
            </w:r>
          </w:p>
        </w:tc>
        <w:tc>
          <w:tcPr>
            <w:tcW w:w="1701" w:type="dxa"/>
            <w:shd w:val="clear" w:color="auto" w:fill="C6EFCE"/>
            <w:noWrap/>
            <w:vAlign w:val="center"/>
          </w:tcPr>
          <w:p w14:paraId="1F6C56E2"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1A4DD9C5" w14:textId="77777777" w:rsidR="004C6421" w:rsidRDefault="009D1962">
            <w:pPr>
              <w:pStyle w:val="P68B1DB1-Normal4"/>
              <w:jc w:val="center"/>
              <w:rPr>
                <w:noProof/>
              </w:rPr>
            </w:pPr>
            <w:r>
              <w:rPr>
                <w:noProof/>
              </w:rPr>
              <w:t>Numer</w:t>
            </w:r>
          </w:p>
        </w:tc>
        <w:tc>
          <w:tcPr>
            <w:tcW w:w="1276" w:type="dxa"/>
            <w:shd w:val="clear" w:color="auto" w:fill="C6EFCE"/>
            <w:noWrap/>
            <w:vAlign w:val="center"/>
          </w:tcPr>
          <w:p w14:paraId="37A820DA" w14:textId="77777777" w:rsidR="004C6421" w:rsidRDefault="009D1962">
            <w:pPr>
              <w:pStyle w:val="P68B1DB1-Normal4"/>
              <w:jc w:val="center"/>
              <w:rPr>
                <w:noProof/>
              </w:rPr>
            </w:pPr>
            <w:r>
              <w:rPr>
                <w:noProof/>
              </w:rPr>
              <w:t>0</w:t>
            </w:r>
          </w:p>
        </w:tc>
        <w:tc>
          <w:tcPr>
            <w:tcW w:w="1417" w:type="dxa"/>
            <w:shd w:val="clear" w:color="auto" w:fill="C6EFCE"/>
            <w:noWrap/>
            <w:vAlign w:val="center"/>
          </w:tcPr>
          <w:p w14:paraId="48010D35" w14:textId="77777777" w:rsidR="004C6421" w:rsidRDefault="009D1962">
            <w:pPr>
              <w:pStyle w:val="P68B1DB1-Normal4"/>
              <w:jc w:val="center"/>
              <w:rPr>
                <w:noProof/>
              </w:rPr>
            </w:pPr>
            <w:r>
              <w:rPr>
                <w:noProof/>
              </w:rPr>
              <w:t>10</w:t>
            </w:r>
          </w:p>
        </w:tc>
        <w:tc>
          <w:tcPr>
            <w:tcW w:w="793" w:type="dxa"/>
            <w:shd w:val="clear" w:color="auto" w:fill="C6EFCE"/>
            <w:noWrap/>
            <w:vAlign w:val="center"/>
          </w:tcPr>
          <w:p w14:paraId="6B648511" w14:textId="5357B176" w:rsidR="004C6421" w:rsidRDefault="00CC179E">
            <w:pPr>
              <w:pStyle w:val="P68B1DB1-Normal4"/>
              <w:jc w:val="center"/>
              <w:rPr>
                <w:noProof/>
              </w:rPr>
            </w:pPr>
            <w:r>
              <w:rPr>
                <w:noProof/>
              </w:rPr>
              <w:t>KW. 4</w:t>
            </w:r>
          </w:p>
        </w:tc>
        <w:tc>
          <w:tcPr>
            <w:tcW w:w="625" w:type="dxa"/>
            <w:shd w:val="clear" w:color="auto" w:fill="C6EFCE"/>
            <w:noWrap/>
            <w:vAlign w:val="center"/>
          </w:tcPr>
          <w:p w14:paraId="0A51BCB7" w14:textId="77777777" w:rsidR="004C6421" w:rsidRDefault="009D1962">
            <w:pPr>
              <w:pStyle w:val="P68B1DB1-Normal4"/>
              <w:jc w:val="center"/>
              <w:rPr>
                <w:noProof/>
              </w:rPr>
            </w:pPr>
            <w:r>
              <w:rPr>
                <w:noProof/>
              </w:rPr>
              <w:t>2023</w:t>
            </w:r>
          </w:p>
        </w:tc>
        <w:tc>
          <w:tcPr>
            <w:tcW w:w="2584" w:type="dxa"/>
            <w:shd w:val="clear" w:color="auto" w:fill="C6EFCE"/>
            <w:noWrap/>
            <w:vAlign w:val="center"/>
          </w:tcPr>
          <w:p w14:paraId="7CC15C5E" w14:textId="77777777" w:rsidR="004C6421" w:rsidRDefault="009D1962">
            <w:pPr>
              <w:pStyle w:val="P68B1DB1-Normal4"/>
              <w:spacing w:after="120"/>
              <w:rPr>
                <w:noProof/>
              </w:rPr>
            </w:pPr>
            <w:r>
              <w:rPr>
                <w:noProof/>
              </w:rPr>
              <w:t>Początkowa migracja i dostępność operacyjna zastosowań o krytycznym znaczeniu niezwiązanych z misjami do nowej infrastruktury otwartego oprogramowania. Obejmuje to wdrażanie środowiska sprzętowego, instalację elementów oprogramowania pośredniczącego typu open source oraz przeprojektowanie aplikacji.</w:t>
            </w:r>
          </w:p>
        </w:tc>
      </w:tr>
      <w:tr w:rsidR="004C6421" w14:paraId="54111FE2" w14:textId="77777777">
        <w:trPr>
          <w:trHeight w:val="309"/>
        </w:trPr>
        <w:tc>
          <w:tcPr>
            <w:tcW w:w="1284" w:type="dxa"/>
            <w:shd w:val="clear" w:color="auto" w:fill="C6EFCE"/>
            <w:noWrap/>
            <w:vAlign w:val="center"/>
          </w:tcPr>
          <w:p w14:paraId="51FB2821" w14:textId="77777777" w:rsidR="004C6421" w:rsidRDefault="009D1962">
            <w:pPr>
              <w:pStyle w:val="P68B1DB1-Normal4"/>
              <w:jc w:val="center"/>
              <w:rPr>
                <w:noProof/>
              </w:rPr>
            </w:pPr>
            <w:r>
              <w:rPr>
                <w:noProof/>
              </w:rPr>
              <w:t>M1C1-139</w:t>
            </w:r>
          </w:p>
        </w:tc>
        <w:tc>
          <w:tcPr>
            <w:tcW w:w="1746" w:type="dxa"/>
            <w:shd w:val="clear" w:color="auto" w:fill="C6EFCE"/>
            <w:noWrap/>
            <w:vAlign w:val="center"/>
          </w:tcPr>
          <w:p w14:paraId="2B3F54F4" w14:textId="77777777" w:rsidR="004C6421" w:rsidRDefault="009D1962">
            <w:pPr>
              <w:pStyle w:val="P68B1DB1-Normal4"/>
              <w:jc w:val="center"/>
              <w:rPr>
                <w:noProof/>
              </w:rPr>
            </w:pPr>
            <w:r>
              <w:rPr>
                <w:noProof/>
              </w:rPr>
              <w:t>Inwestycje 1.2 – Umożliwienie chmury dla lokalnych AP</w:t>
            </w:r>
          </w:p>
        </w:tc>
        <w:tc>
          <w:tcPr>
            <w:tcW w:w="992" w:type="dxa"/>
            <w:shd w:val="clear" w:color="auto" w:fill="C6EFCE"/>
            <w:noWrap/>
            <w:vAlign w:val="center"/>
          </w:tcPr>
          <w:p w14:paraId="37AADBC0" w14:textId="77777777" w:rsidR="004C6421" w:rsidRDefault="009D1962">
            <w:pPr>
              <w:pStyle w:val="P68B1DB1-Normal4"/>
              <w:jc w:val="center"/>
              <w:rPr>
                <w:noProof/>
              </w:rPr>
            </w:pPr>
            <w:r>
              <w:rPr>
                <w:noProof/>
              </w:rPr>
              <w:t>Cel</w:t>
            </w:r>
          </w:p>
        </w:tc>
        <w:tc>
          <w:tcPr>
            <w:tcW w:w="2126" w:type="dxa"/>
            <w:shd w:val="clear" w:color="auto" w:fill="C6EFCE"/>
            <w:noWrap/>
            <w:vAlign w:val="center"/>
          </w:tcPr>
          <w:p w14:paraId="30BD16B0" w14:textId="77777777" w:rsidR="004C6421" w:rsidRDefault="009D1962">
            <w:pPr>
              <w:pStyle w:val="P68B1DB1-Normal4"/>
              <w:jc w:val="center"/>
              <w:rPr>
                <w:noProof/>
              </w:rPr>
            </w:pPr>
            <w:r>
              <w:rPr>
                <w:noProof/>
              </w:rPr>
              <w:t>Umożliwienie korzystania z chmury dla lokalnej administracji publicznej T1</w:t>
            </w:r>
          </w:p>
        </w:tc>
        <w:tc>
          <w:tcPr>
            <w:tcW w:w="1701" w:type="dxa"/>
            <w:shd w:val="clear" w:color="auto" w:fill="C6EFCE"/>
            <w:noWrap/>
            <w:vAlign w:val="center"/>
          </w:tcPr>
          <w:p w14:paraId="611C31C8"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11AEA950" w14:textId="77777777" w:rsidR="004C6421" w:rsidRDefault="009D1962">
            <w:pPr>
              <w:pStyle w:val="P68B1DB1-Normal4"/>
              <w:jc w:val="center"/>
              <w:rPr>
                <w:noProof/>
              </w:rPr>
            </w:pPr>
            <w:r>
              <w:rPr>
                <w:noProof/>
              </w:rPr>
              <w:t>Numer</w:t>
            </w:r>
          </w:p>
        </w:tc>
        <w:tc>
          <w:tcPr>
            <w:tcW w:w="1276" w:type="dxa"/>
            <w:shd w:val="clear" w:color="auto" w:fill="C6EFCE"/>
            <w:noWrap/>
            <w:vAlign w:val="center"/>
          </w:tcPr>
          <w:p w14:paraId="74A22BDD" w14:textId="77777777" w:rsidR="004C6421" w:rsidRDefault="009D1962">
            <w:pPr>
              <w:pStyle w:val="P68B1DB1-Normal4"/>
              <w:jc w:val="center"/>
              <w:rPr>
                <w:noProof/>
              </w:rPr>
            </w:pPr>
            <w:r>
              <w:rPr>
                <w:noProof/>
              </w:rPr>
              <w:t>0</w:t>
            </w:r>
          </w:p>
        </w:tc>
        <w:tc>
          <w:tcPr>
            <w:tcW w:w="1417" w:type="dxa"/>
            <w:shd w:val="clear" w:color="auto" w:fill="C6EFCE"/>
            <w:noWrap/>
            <w:vAlign w:val="center"/>
          </w:tcPr>
          <w:p w14:paraId="0C79BA45" w14:textId="77777777" w:rsidR="004C6421" w:rsidRDefault="009D1962">
            <w:pPr>
              <w:pStyle w:val="P68B1DB1-Normal4"/>
              <w:jc w:val="center"/>
              <w:rPr>
                <w:noProof/>
              </w:rPr>
            </w:pPr>
            <w:r>
              <w:rPr>
                <w:noProof/>
              </w:rPr>
              <w:t>4 083</w:t>
            </w:r>
          </w:p>
        </w:tc>
        <w:tc>
          <w:tcPr>
            <w:tcW w:w="793" w:type="dxa"/>
            <w:shd w:val="clear" w:color="auto" w:fill="C6EFCE"/>
            <w:noWrap/>
            <w:vAlign w:val="center"/>
          </w:tcPr>
          <w:p w14:paraId="34EB9BA5" w14:textId="77777777" w:rsidR="004C6421" w:rsidRDefault="009D1962">
            <w:pPr>
              <w:pStyle w:val="P68B1DB1-Normal4"/>
              <w:jc w:val="center"/>
              <w:rPr>
                <w:noProof/>
              </w:rPr>
            </w:pPr>
            <w:r>
              <w:rPr>
                <w:noProof/>
              </w:rPr>
              <w:t>III KW.</w:t>
            </w:r>
          </w:p>
        </w:tc>
        <w:tc>
          <w:tcPr>
            <w:tcW w:w="625" w:type="dxa"/>
            <w:shd w:val="clear" w:color="auto" w:fill="C6EFCE"/>
            <w:noWrap/>
            <w:vAlign w:val="center"/>
          </w:tcPr>
          <w:p w14:paraId="4DBED3B8" w14:textId="77777777" w:rsidR="004C6421" w:rsidRDefault="009D1962">
            <w:pPr>
              <w:pStyle w:val="P68B1DB1-Normal4"/>
              <w:jc w:val="center"/>
              <w:rPr>
                <w:noProof/>
              </w:rPr>
            </w:pPr>
            <w:r>
              <w:rPr>
                <w:noProof/>
              </w:rPr>
              <w:t>2024</w:t>
            </w:r>
          </w:p>
        </w:tc>
        <w:tc>
          <w:tcPr>
            <w:tcW w:w="2584" w:type="dxa"/>
            <w:shd w:val="clear" w:color="auto" w:fill="C6EFCE"/>
            <w:noWrap/>
            <w:vAlign w:val="center"/>
          </w:tcPr>
          <w:p w14:paraId="2CCD1E53" w14:textId="77777777" w:rsidR="004C6421" w:rsidRDefault="009D1962">
            <w:pPr>
              <w:pStyle w:val="P68B1DB1-Normal8"/>
              <w:spacing w:after="120"/>
              <w:rPr>
                <w:rFonts w:ascii="Arial Narrow" w:hAnsi="Arial Narrow"/>
                <w:noProof/>
              </w:rPr>
            </w:pPr>
            <w:r>
              <w:rPr>
                <w:rFonts w:ascii="Arial Narrow" w:hAnsi="Arial Narrow"/>
                <w:noProof/>
              </w:rPr>
              <w:t>Migrację 4083 lokalnych</w:t>
            </w:r>
            <w:r>
              <w:rPr>
                <w:noProof/>
              </w:rPr>
              <w:t xml:space="preserve"> </w:t>
            </w:r>
            <w:r>
              <w:rPr>
                <w:rFonts w:ascii="Arial Narrow" w:hAnsi="Arial Narrow"/>
                <w:noProof/>
              </w:rPr>
              <w:t>administracjipublicznych do certyfikowanych środowisk chmur obliczeniowych uwzględnia się, jeżeli testowanie wszystkich systemów, zbiorów danych i migracji aplikacji uwzględnionych w każdym planie migracji zakończy się sukcesem.</w:t>
            </w:r>
          </w:p>
        </w:tc>
      </w:tr>
      <w:tr w:rsidR="004C6421" w14:paraId="6D2D29EF" w14:textId="77777777">
        <w:trPr>
          <w:trHeight w:val="309"/>
        </w:trPr>
        <w:tc>
          <w:tcPr>
            <w:tcW w:w="1284" w:type="dxa"/>
            <w:shd w:val="clear" w:color="auto" w:fill="C6EFCE"/>
            <w:noWrap/>
            <w:vAlign w:val="center"/>
          </w:tcPr>
          <w:p w14:paraId="3000F0C0" w14:textId="77777777" w:rsidR="004C6421" w:rsidRDefault="009D1962">
            <w:pPr>
              <w:pStyle w:val="P68B1DB1-Normal4"/>
              <w:jc w:val="center"/>
              <w:rPr>
                <w:noProof/>
              </w:rPr>
            </w:pPr>
            <w:r>
              <w:rPr>
                <w:noProof/>
              </w:rPr>
              <w:t>M1C1-140</w:t>
            </w:r>
          </w:p>
        </w:tc>
        <w:tc>
          <w:tcPr>
            <w:tcW w:w="1746" w:type="dxa"/>
            <w:shd w:val="clear" w:color="auto" w:fill="C6EFCE"/>
            <w:noWrap/>
            <w:vAlign w:val="center"/>
          </w:tcPr>
          <w:p w14:paraId="2F20D2D0" w14:textId="77777777" w:rsidR="004C6421" w:rsidRDefault="009D1962">
            <w:pPr>
              <w:pStyle w:val="P68B1DB1-Normal4"/>
              <w:jc w:val="center"/>
              <w:rPr>
                <w:noProof/>
              </w:rPr>
            </w:pPr>
            <w:r>
              <w:rPr>
                <w:noProof/>
              </w:rPr>
              <w:t>Inwestycje 1.4.1 – Doświadczenia obywatelskie – Poprawa jakości i użyteczności cyfrowych usług publicznych</w:t>
            </w:r>
          </w:p>
        </w:tc>
        <w:tc>
          <w:tcPr>
            <w:tcW w:w="992" w:type="dxa"/>
            <w:shd w:val="clear" w:color="auto" w:fill="C6EFCE"/>
            <w:noWrap/>
            <w:vAlign w:val="center"/>
          </w:tcPr>
          <w:p w14:paraId="19443FF8" w14:textId="77777777" w:rsidR="004C6421" w:rsidRDefault="009D1962">
            <w:pPr>
              <w:pStyle w:val="P68B1DB1-Normal4"/>
              <w:jc w:val="center"/>
              <w:rPr>
                <w:noProof/>
              </w:rPr>
            </w:pPr>
            <w:r>
              <w:rPr>
                <w:noProof/>
              </w:rPr>
              <w:t>Cel</w:t>
            </w:r>
          </w:p>
        </w:tc>
        <w:tc>
          <w:tcPr>
            <w:tcW w:w="2126" w:type="dxa"/>
            <w:shd w:val="clear" w:color="auto" w:fill="C6EFCE"/>
            <w:noWrap/>
            <w:vAlign w:val="center"/>
          </w:tcPr>
          <w:p w14:paraId="6A56CEBB" w14:textId="77777777" w:rsidR="004C6421" w:rsidRDefault="009D1962">
            <w:pPr>
              <w:pStyle w:val="P68B1DB1-Normal4"/>
              <w:jc w:val="center"/>
              <w:rPr>
                <w:noProof/>
              </w:rPr>
            </w:pPr>
            <w:r>
              <w:rPr>
                <w:noProof/>
              </w:rPr>
              <w:t>Poprawa jakości i użyteczności cyfrowych usług publicznych T1</w:t>
            </w:r>
          </w:p>
        </w:tc>
        <w:tc>
          <w:tcPr>
            <w:tcW w:w="1701" w:type="dxa"/>
            <w:shd w:val="clear" w:color="auto" w:fill="C6EFCE"/>
            <w:noWrap/>
            <w:vAlign w:val="center"/>
          </w:tcPr>
          <w:p w14:paraId="1F45BA45"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5107B6D7" w14:textId="77777777" w:rsidR="004C6421" w:rsidRDefault="009D1962">
            <w:pPr>
              <w:pStyle w:val="P68B1DB1-Normal4"/>
              <w:jc w:val="center"/>
              <w:rPr>
                <w:noProof/>
              </w:rPr>
            </w:pPr>
            <w:r>
              <w:rPr>
                <w:noProof/>
              </w:rPr>
              <w:t>Procent</w:t>
            </w:r>
          </w:p>
        </w:tc>
        <w:tc>
          <w:tcPr>
            <w:tcW w:w="1276" w:type="dxa"/>
            <w:shd w:val="clear" w:color="auto" w:fill="C6EFCE"/>
            <w:noWrap/>
            <w:vAlign w:val="center"/>
          </w:tcPr>
          <w:p w14:paraId="2FFE44C7" w14:textId="77777777" w:rsidR="004C6421" w:rsidRDefault="009D1962">
            <w:pPr>
              <w:pStyle w:val="P68B1DB1-Normal4"/>
              <w:jc w:val="center"/>
              <w:rPr>
                <w:noProof/>
              </w:rPr>
            </w:pPr>
            <w:r>
              <w:rPr>
                <w:noProof/>
              </w:rPr>
              <w:t>0.1</w:t>
            </w:r>
          </w:p>
        </w:tc>
        <w:tc>
          <w:tcPr>
            <w:tcW w:w="1417" w:type="dxa"/>
            <w:shd w:val="clear" w:color="auto" w:fill="C6EFCE"/>
            <w:noWrap/>
            <w:vAlign w:val="center"/>
          </w:tcPr>
          <w:p w14:paraId="48A144A2" w14:textId="77777777" w:rsidR="004C6421" w:rsidRDefault="009D1962">
            <w:pPr>
              <w:pStyle w:val="P68B1DB1-Normal4"/>
              <w:jc w:val="center"/>
              <w:rPr>
                <w:noProof/>
              </w:rPr>
            </w:pPr>
            <w:r>
              <w:rPr>
                <w:noProof/>
              </w:rPr>
              <w:t>40</w:t>
            </w:r>
          </w:p>
        </w:tc>
        <w:tc>
          <w:tcPr>
            <w:tcW w:w="793" w:type="dxa"/>
            <w:shd w:val="clear" w:color="auto" w:fill="C6EFCE"/>
            <w:noWrap/>
            <w:vAlign w:val="center"/>
          </w:tcPr>
          <w:p w14:paraId="6DD2D97C" w14:textId="663FD435" w:rsidR="004C6421" w:rsidRDefault="00CC179E">
            <w:pPr>
              <w:pStyle w:val="P68B1DB1-Normal4"/>
              <w:jc w:val="center"/>
              <w:rPr>
                <w:noProof/>
              </w:rPr>
            </w:pPr>
            <w:r>
              <w:rPr>
                <w:noProof/>
              </w:rPr>
              <w:t>KW. 4</w:t>
            </w:r>
          </w:p>
        </w:tc>
        <w:tc>
          <w:tcPr>
            <w:tcW w:w="625" w:type="dxa"/>
            <w:shd w:val="clear" w:color="auto" w:fill="C6EFCE"/>
            <w:noWrap/>
            <w:vAlign w:val="center"/>
          </w:tcPr>
          <w:p w14:paraId="4CEE53B2" w14:textId="77777777" w:rsidR="004C6421" w:rsidRDefault="009D1962">
            <w:pPr>
              <w:pStyle w:val="P68B1DB1-Normal4"/>
              <w:jc w:val="center"/>
              <w:rPr>
                <w:noProof/>
              </w:rPr>
            </w:pPr>
            <w:r>
              <w:rPr>
                <w:noProof/>
              </w:rPr>
              <w:t>2024</w:t>
            </w:r>
          </w:p>
        </w:tc>
        <w:tc>
          <w:tcPr>
            <w:tcW w:w="2584" w:type="dxa"/>
            <w:shd w:val="clear" w:color="auto" w:fill="C6EFCE"/>
            <w:noWrap/>
            <w:vAlign w:val="center"/>
          </w:tcPr>
          <w:p w14:paraId="6E0DB1FF" w14:textId="77777777" w:rsidR="004C6421" w:rsidRDefault="009D1962">
            <w:pPr>
              <w:pStyle w:val="P68B1DB1-Normal4"/>
              <w:spacing w:after="120"/>
              <w:rPr>
                <w:noProof/>
              </w:rPr>
            </w:pPr>
            <w:r>
              <w:rPr>
                <w:noProof/>
              </w:rPr>
              <w:t xml:space="preserve">2 Administracje (gminy, szkoły podstawowe i średnie instytucji edukacyjnych pierwszeji drugiej klasy oraz konkretne pilotażowe podmioty zajmujące się opieką zdrowotną i dziedzictwem kulturowym) stosujący się do wspólnego modelu i systemu projektowania, upraszczając interakcję użytkowników i ułatwiając utrzymanie w nadchodzących latach. </w:t>
            </w:r>
          </w:p>
          <w:p w14:paraId="1E7277C7" w14:textId="77777777" w:rsidR="004C6421" w:rsidRDefault="009D1962">
            <w:pPr>
              <w:pStyle w:val="P68B1DB1-Normal4"/>
              <w:spacing w:after="120"/>
              <w:rPr>
                <w:noProof/>
              </w:rPr>
            </w:pPr>
            <w:r>
              <w:rPr>
                <w:noProof/>
              </w:rPr>
              <w:t xml:space="preserve">Zgodność ze wspólnym projektem/modelem części składowych stron internetowych/usług obejmuje: </w:t>
            </w:r>
          </w:p>
          <w:p w14:paraId="2869D5C0" w14:textId="77777777" w:rsidR="004C6421" w:rsidRDefault="009D1962">
            <w:pPr>
              <w:pStyle w:val="P68B1DB1-Normal4"/>
              <w:spacing w:after="120"/>
              <w:rPr>
                <w:noProof/>
              </w:rPr>
            </w:pPr>
            <w:r>
              <w:rPr>
                <w:noProof/>
              </w:rPr>
              <w:t>(1) Ocena przedłożonych projektów;</w:t>
            </w:r>
          </w:p>
          <w:p w14:paraId="7F39F306" w14:textId="77777777" w:rsidR="004C6421" w:rsidRDefault="009D1962">
            <w:pPr>
              <w:pStyle w:val="P68B1DB1-Normal4"/>
              <w:spacing w:after="120"/>
              <w:rPr>
                <w:noProof/>
              </w:rPr>
            </w:pPr>
            <w:r>
              <w:rPr>
                <w:noProof/>
              </w:rPr>
              <w:t>(2) Ocena ukończenia projektu pod kątem kluczowych wskaźników użyteczności (wskaźniki wykorzystania cyfrowego) za pośrednictwem specjalnej platformy, która jest już dostępna.</w:t>
            </w:r>
          </w:p>
        </w:tc>
      </w:tr>
      <w:tr w:rsidR="004C6421" w14:paraId="6FCBBED6" w14:textId="77777777">
        <w:trPr>
          <w:trHeight w:val="309"/>
        </w:trPr>
        <w:tc>
          <w:tcPr>
            <w:tcW w:w="1284" w:type="dxa"/>
            <w:shd w:val="clear" w:color="auto" w:fill="C6EFCE"/>
            <w:noWrap/>
            <w:vAlign w:val="center"/>
          </w:tcPr>
          <w:p w14:paraId="78AEA04B" w14:textId="77777777" w:rsidR="004C6421" w:rsidRDefault="009D1962">
            <w:pPr>
              <w:pStyle w:val="P68B1DB1-Normal4"/>
              <w:jc w:val="center"/>
              <w:rPr>
                <w:noProof/>
              </w:rPr>
            </w:pPr>
            <w:r>
              <w:rPr>
                <w:noProof/>
              </w:rPr>
              <w:t>M1C1-141</w:t>
            </w:r>
          </w:p>
        </w:tc>
        <w:tc>
          <w:tcPr>
            <w:tcW w:w="1746" w:type="dxa"/>
            <w:shd w:val="clear" w:color="auto" w:fill="C6EFCE"/>
            <w:noWrap/>
            <w:vAlign w:val="center"/>
          </w:tcPr>
          <w:p w14:paraId="5E4861CB" w14:textId="77777777" w:rsidR="004C6421" w:rsidRDefault="009D1962">
            <w:pPr>
              <w:pStyle w:val="P68B1DB1-Normal4"/>
              <w:jc w:val="center"/>
              <w:rPr>
                <w:noProof/>
              </w:rPr>
            </w:pPr>
            <w:r>
              <w:rPr>
                <w:noProof/>
              </w:rPr>
              <w:t>Inwestycje 1.6.4 – Cyfryzacja Ministerstwa Obrony</w:t>
            </w:r>
          </w:p>
        </w:tc>
        <w:tc>
          <w:tcPr>
            <w:tcW w:w="992" w:type="dxa"/>
            <w:shd w:val="clear" w:color="auto" w:fill="C6EFCE"/>
            <w:noWrap/>
            <w:vAlign w:val="center"/>
          </w:tcPr>
          <w:p w14:paraId="19DC8F07" w14:textId="77777777" w:rsidR="004C6421" w:rsidRDefault="009D1962">
            <w:pPr>
              <w:pStyle w:val="P68B1DB1-Normal4"/>
              <w:jc w:val="center"/>
              <w:rPr>
                <w:noProof/>
              </w:rPr>
            </w:pPr>
            <w:r>
              <w:rPr>
                <w:noProof/>
              </w:rPr>
              <w:t>Cel</w:t>
            </w:r>
          </w:p>
        </w:tc>
        <w:tc>
          <w:tcPr>
            <w:tcW w:w="2126" w:type="dxa"/>
            <w:shd w:val="clear" w:color="auto" w:fill="C6EFCE"/>
            <w:noWrap/>
            <w:vAlign w:val="center"/>
          </w:tcPr>
          <w:p w14:paraId="3D67B0B2" w14:textId="77777777" w:rsidR="004C6421" w:rsidRDefault="009D1962">
            <w:pPr>
              <w:pStyle w:val="P68B1DB1-Normal4"/>
              <w:jc w:val="center"/>
              <w:rPr>
                <w:noProof/>
              </w:rPr>
            </w:pPr>
            <w:r>
              <w:rPr>
                <w:noProof/>
              </w:rPr>
              <w:t>Cyfryzacja procedur Ministerstwa Obrony T2</w:t>
            </w:r>
          </w:p>
        </w:tc>
        <w:tc>
          <w:tcPr>
            <w:tcW w:w="1701" w:type="dxa"/>
            <w:shd w:val="clear" w:color="auto" w:fill="C6EFCE"/>
            <w:noWrap/>
            <w:vAlign w:val="center"/>
          </w:tcPr>
          <w:p w14:paraId="4DF27C7F"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6A9EFA30" w14:textId="77777777" w:rsidR="004C6421" w:rsidRDefault="009D1962">
            <w:pPr>
              <w:pStyle w:val="P68B1DB1-Normal4"/>
              <w:jc w:val="center"/>
              <w:rPr>
                <w:noProof/>
              </w:rPr>
            </w:pPr>
            <w:r>
              <w:rPr>
                <w:noProof/>
              </w:rPr>
              <w:t>Numer</w:t>
            </w:r>
          </w:p>
        </w:tc>
        <w:tc>
          <w:tcPr>
            <w:tcW w:w="1276" w:type="dxa"/>
            <w:shd w:val="clear" w:color="auto" w:fill="C6EFCE"/>
            <w:noWrap/>
            <w:vAlign w:val="center"/>
          </w:tcPr>
          <w:p w14:paraId="6FF0EC69" w14:textId="77777777" w:rsidR="004C6421" w:rsidRDefault="009D1962">
            <w:pPr>
              <w:pStyle w:val="P68B1DB1-Normal4"/>
              <w:jc w:val="center"/>
              <w:rPr>
                <w:noProof/>
              </w:rPr>
            </w:pPr>
            <w:r>
              <w:rPr>
                <w:noProof/>
              </w:rPr>
              <w:t>15</w:t>
            </w:r>
          </w:p>
        </w:tc>
        <w:tc>
          <w:tcPr>
            <w:tcW w:w="1417" w:type="dxa"/>
            <w:shd w:val="clear" w:color="auto" w:fill="C6EFCE"/>
            <w:noWrap/>
            <w:vAlign w:val="center"/>
          </w:tcPr>
          <w:p w14:paraId="08AA6458" w14:textId="77777777" w:rsidR="004C6421" w:rsidRDefault="009D1962">
            <w:pPr>
              <w:pStyle w:val="P68B1DB1-Normal4"/>
              <w:jc w:val="center"/>
              <w:rPr>
                <w:noProof/>
              </w:rPr>
            </w:pPr>
            <w:r>
              <w:rPr>
                <w:noProof/>
              </w:rPr>
              <w:t>20</w:t>
            </w:r>
          </w:p>
        </w:tc>
        <w:tc>
          <w:tcPr>
            <w:tcW w:w="793" w:type="dxa"/>
            <w:shd w:val="clear" w:color="auto" w:fill="C6EFCE"/>
            <w:noWrap/>
            <w:vAlign w:val="center"/>
          </w:tcPr>
          <w:p w14:paraId="0BD8428A" w14:textId="39BCD503" w:rsidR="004C6421" w:rsidRDefault="00CC179E">
            <w:pPr>
              <w:pStyle w:val="P68B1DB1-Normal4"/>
              <w:jc w:val="center"/>
              <w:rPr>
                <w:noProof/>
              </w:rPr>
            </w:pPr>
            <w:r>
              <w:rPr>
                <w:noProof/>
              </w:rPr>
              <w:t>KW. 4</w:t>
            </w:r>
          </w:p>
        </w:tc>
        <w:tc>
          <w:tcPr>
            <w:tcW w:w="625" w:type="dxa"/>
            <w:shd w:val="clear" w:color="auto" w:fill="C6EFCE"/>
            <w:noWrap/>
            <w:vAlign w:val="center"/>
          </w:tcPr>
          <w:p w14:paraId="027D4EF3" w14:textId="77777777" w:rsidR="004C6421" w:rsidRDefault="009D1962">
            <w:pPr>
              <w:pStyle w:val="P68B1DB1-Normal4"/>
              <w:jc w:val="center"/>
              <w:rPr>
                <w:noProof/>
              </w:rPr>
            </w:pPr>
            <w:r>
              <w:rPr>
                <w:noProof/>
              </w:rPr>
              <w:t>2024</w:t>
            </w:r>
          </w:p>
        </w:tc>
        <w:tc>
          <w:tcPr>
            <w:tcW w:w="2584" w:type="dxa"/>
            <w:shd w:val="clear" w:color="auto" w:fill="C6EFCE"/>
            <w:noWrap/>
            <w:vAlign w:val="center"/>
          </w:tcPr>
          <w:p w14:paraId="1C4A7734" w14:textId="77777777" w:rsidR="004C6421" w:rsidRDefault="009D1962">
            <w:pPr>
              <w:pStyle w:val="P68B1DB1-Normal4"/>
              <w:spacing w:after="120"/>
              <w:rPr>
                <w:noProof/>
              </w:rPr>
            </w:pPr>
            <w:r>
              <w:rPr>
                <w:noProof/>
              </w:rPr>
              <w:t>Cyfryzacja, przegląd i automatyzacja 20 procedur związanych z zarządzaniem personelem obrony (takich jak rekrutacja, zatrudnienie i emerytura, zdrowie pracowników), począwszy od poziomu bazowego piętnastu już zdigitalizowanych procedur z celem 1.</w:t>
            </w:r>
          </w:p>
        </w:tc>
      </w:tr>
      <w:tr w:rsidR="004C6421" w14:paraId="273DDF64" w14:textId="77777777">
        <w:trPr>
          <w:trHeight w:val="309"/>
        </w:trPr>
        <w:tc>
          <w:tcPr>
            <w:tcW w:w="1284" w:type="dxa"/>
            <w:shd w:val="clear" w:color="auto" w:fill="C6EFCE"/>
            <w:noWrap/>
            <w:vAlign w:val="center"/>
          </w:tcPr>
          <w:p w14:paraId="76650A61" w14:textId="77777777" w:rsidR="004C6421" w:rsidRDefault="009D1962">
            <w:pPr>
              <w:pStyle w:val="P68B1DB1-Normal4"/>
              <w:jc w:val="center"/>
              <w:rPr>
                <w:noProof/>
              </w:rPr>
            </w:pPr>
            <w:r>
              <w:rPr>
                <w:noProof/>
              </w:rPr>
              <w:t>M1C1-142</w:t>
            </w:r>
          </w:p>
        </w:tc>
        <w:tc>
          <w:tcPr>
            <w:tcW w:w="1746" w:type="dxa"/>
            <w:shd w:val="clear" w:color="auto" w:fill="C6EFCE"/>
            <w:noWrap/>
            <w:vAlign w:val="center"/>
          </w:tcPr>
          <w:p w14:paraId="1D4C2825" w14:textId="77777777" w:rsidR="004C6421" w:rsidRDefault="009D1962">
            <w:pPr>
              <w:pStyle w:val="P68B1DB1-Normal4"/>
              <w:jc w:val="center"/>
              <w:rPr>
                <w:noProof/>
              </w:rPr>
            </w:pPr>
            <w:r>
              <w:rPr>
                <w:noProof/>
              </w:rPr>
              <w:t>Inwestycje 1.6.4 – Cyfryzacja Ministerstwa Obrony</w:t>
            </w:r>
          </w:p>
        </w:tc>
        <w:tc>
          <w:tcPr>
            <w:tcW w:w="992" w:type="dxa"/>
            <w:shd w:val="clear" w:color="auto" w:fill="C6EFCE"/>
            <w:noWrap/>
            <w:vAlign w:val="center"/>
          </w:tcPr>
          <w:p w14:paraId="0DACE57E" w14:textId="77777777" w:rsidR="004C6421" w:rsidRDefault="009D1962">
            <w:pPr>
              <w:pStyle w:val="P68B1DB1-Normal4"/>
              <w:jc w:val="center"/>
              <w:rPr>
                <w:noProof/>
              </w:rPr>
            </w:pPr>
            <w:r>
              <w:rPr>
                <w:noProof/>
              </w:rPr>
              <w:t>Cel</w:t>
            </w:r>
          </w:p>
        </w:tc>
        <w:tc>
          <w:tcPr>
            <w:tcW w:w="2126" w:type="dxa"/>
            <w:shd w:val="clear" w:color="auto" w:fill="C6EFCE"/>
            <w:noWrap/>
            <w:vAlign w:val="center"/>
          </w:tcPr>
          <w:p w14:paraId="3CECC247" w14:textId="77777777" w:rsidR="004C6421" w:rsidRDefault="009D1962">
            <w:pPr>
              <w:pStyle w:val="P68B1DB1-Normal4"/>
              <w:jc w:val="center"/>
              <w:rPr>
                <w:noProof/>
              </w:rPr>
            </w:pPr>
            <w:r>
              <w:rPr>
                <w:noProof/>
              </w:rPr>
              <w:t>Cyfryzacja certyfikatów Ministerstwa Obrony T2</w:t>
            </w:r>
          </w:p>
        </w:tc>
        <w:tc>
          <w:tcPr>
            <w:tcW w:w="1701" w:type="dxa"/>
            <w:shd w:val="clear" w:color="auto" w:fill="C6EFCE"/>
            <w:noWrap/>
            <w:vAlign w:val="center"/>
          </w:tcPr>
          <w:p w14:paraId="61E5FDC6"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4F4588EB" w14:textId="77777777" w:rsidR="004C6421" w:rsidRDefault="009D1962">
            <w:pPr>
              <w:pStyle w:val="P68B1DB1-Normal4"/>
              <w:jc w:val="center"/>
              <w:rPr>
                <w:noProof/>
              </w:rPr>
            </w:pPr>
            <w:r>
              <w:rPr>
                <w:noProof/>
              </w:rPr>
              <w:t>Liczba zdigitalizowanych certyfikatów</w:t>
            </w:r>
          </w:p>
        </w:tc>
        <w:tc>
          <w:tcPr>
            <w:tcW w:w="1276" w:type="dxa"/>
            <w:shd w:val="clear" w:color="auto" w:fill="C6EFCE"/>
            <w:noWrap/>
            <w:vAlign w:val="center"/>
          </w:tcPr>
          <w:p w14:paraId="39A2801B" w14:textId="77777777" w:rsidR="004C6421" w:rsidRDefault="009D1962">
            <w:pPr>
              <w:pStyle w:val="P68B1DB1-Normal4"/>
              <w:jc w:val="center"/>
              <w:rPr>
                <w:noProof/>
              </w:rPr>
            </w:pPr>
            <w:r>
              <w:rPr>
                <w:noProof/>
              </w:rPr>
              <w:t>450 000</w:t>
            </w:r>
          </w:p>
        </w:tc>
        <w:tc>
          <w:tcPr>
            <w:tcW w:w="1417" w:type="dxa"/>
            <w:shd w:val="clear" w:color="auto" w:fill="C6EFCE"/>
            <w:noWrap/>
            <w:vAlign w:val="center"/>
          </w:tcPr>
          <w:p w14:paraId="2A195265" w14:textId="77777777" w:rsidR="004C6421" w:rsidRDefault="009D1962">
            <w:pPr>
              <w:pStyle w:val="P68B1DB1-Normal4"/>
              <w:jc w:val="center"/>
              <w:rPr>
                <w:noProof/>
              </w:rPr>
            </w:pPr>
            <w:r>
              <w:rPr>
                <w:noProof/>
              </w:rPr>
              <w:t>750 000</w:t>
            </w:r>
          </w:p>
        </w:tc>
        <w:tc>
          <w:tcPr>
            <w:tcW w:w="793" w:type="dxa"/>
            <w:shd w:val="clear" w:color="auto" w:fill="C6EFCE"/>
            <w:noWrap/>
            <w:vAlign w:val="center"/>
          </w:tcPr>
          <w:p w14:paraId="287AA437" w14:textId="1C44B32D" w:rsidR="004C6421" w:rsidRDefault="00CC179E">
            <w:pPr>
              <w:pStyle w:val="P68B1DB1-Normal4"/>
              <w:jc w:val="center"/>
              <w:rPr>
                <w:noProof/>
              </w:rPr>
            </w:pPr>
            <w:r>
              <w:rPr>
                <w:noProof/>
              </w:rPr>
              <w:t>KW. 4</w:t>
            </w:r>
          </w:p>
        </w:tc>
        <w:tc>
          <w:tcPr>
            <w:tcW w:w="625" w:type="dxa"/>
            <w:shd w:val="clear" w:color="auto" w:fill="C6EFCE"/>
            <w:noWrap/>
            <w:vAlign w:val="center"/>
          </w:tcPr>
          <w:p w14:paraId="03FA9C50" w14:textId="77777777" w:rsidR="004C6421" w:rsidRDefault="009D1962">
            <w:pPr>
              <w:pStyle w:val="P68B1DB1-Normal4"/>
              <w:jc w:val="center"/>
              <w:rPr>
                <w:noProof/>
              </w:rPr>
            </w:pPr>
            <w:r>
              <w:rPr>
                <w:noProof/>
              </w:rPr>
              <w:t>2024</w:t>
            </w:r>
          </w:p>
        </w:tc>
        <w:tc>
          <w:tcPr>
            <w:tcW w:w="2584" w:type="dxa"/>
            <w:shd w:val="clear" w:color="auto" w:fill="C6EFCE"/>
            <w:noWrap/>
            <w:vAlign w:val="center"/>
          </w:tcPr>
          <w:p w14:paraId="404B63BB" w14:textId="77777777" w:rsidR="004C6421" w:rsidRDefault="009D1962">
            <w:pPr>
              <w:pStyle w:val="P68B1DB1-Normal4"/>
              <w:spacing w:after="120"/>
              <w:rPr>
                <w:noProof/>
              </w:rPr>
            </w:pPr>
            <w:r>
              <w:rPr>
                <w:noProof/>
              </w:rPr>
              <w:t>Liczba cyfrowych zaświadczeń tożsamości (750000) wydanych przez Ministerstwo Obrony i znajdujących się na terenie infrastruktury, uzupełnionych o punkt przywrócenia gotowości do pracy po wystąpieniu sytuacji nadzwyczajnej, począwszy od poziomu bazowego 450000 już zdigitalizowanych zaświadczeń o celu 1.</w:t>
            </w:r>
          </w:p>
        </w:tc>
      </w:tr>
      <w:tr w:rsidR="004C6421" w14:paraId="4553B2E6" w14:textId="77777777">
        <w:trPr>
          <w:trHeight w:val="309"/>
        </w:trPr>
        <w:tc>
          <w:tcPr>
            <w:tcW w:w="1284" w:type="dxa"/>
            <w:shd w:val="clear" w:color="auto" w:fill="C6EFCE"/>
            <w:noWrap/>
            <w:vAlign w:val="center"/>
          </w:tcPr>
          <w:p w14:paraId="0BAFCCBC" w14:textId="77777777" w:rsidR="004C6421" w:rsidRDefault="009D1962">
            <w:pPr>
              <w:pStyle w:val="P68B1DB1-Normal4"/>
              <w:jc w:val="center"/>
              <w:rPr>
                <w:noProof/>
              </w:rPr>
            </w:pPr>
            <w:r>
              <w:rPr>
                <w:noProof/>
              </w:rPr>
              <w:t>M1C1-143</w:t>
            </w:r>
          </w:p>
        </w:tc>
        <w:tc>
          <w:tcPr>
            <w:tcW w:w="1746" w:type="dxa"/>
            <w:shd w:val="clear" w:color="auto" w:fill="C6EFCE"/>
            <w:noWrap/>
            <w:vAlign w:val="center"/>
          </w:tcPr>
          <w:p w14:paraId="724DEDC2" w14:textId="77777777" w:rsidR="004C6421" w:rsidRDefault="009D1962">
            <w:pPr>
              <w:pStyle w:val="P68B1DB1-Normal4"/>
              <w:jc w:val="center"/>
              <w:rPr>
                <w:noProof/>
              </w:rPr>
            </w:pPr>
            <w:r>
              <w:rPr>
                <w:noProof/>
              </w:rPr>
              <w:t>Inwestycje 1.6.4 – Cyfryzacja Ministerstwa Obrony</w:t>
            </w:r>
          </w:p>
        </w:tc>
        <w:tc>
          <w:tcPr>
            <w:tcW w:w="992" w:type="dxa"/>
            <w:shd w:val="clear" w:color="auto" w:fill="C6EFCE"/>
            <w:noWrap/>
            <w:vAlign w:val="center"/>
          </w:tcPr>
          <w:p w14:paraId="32A724C9" w14:textId="77777777" w:rsidR="004C6421" w:rsidRDefault="009D1962">
            <w:pPr>
              <w:pStyle w:val="P68B1DB1-Normal4"/>
              <w:jc w:val="center"/>
              <w:rPr>
                <w:noProof/>
              </w:rPr>
            </w:pPr>
            <w:r>
              <w:rPr>
                <w:noProof/>
              </w:rPr>
              <w:t>Cel</w:t>
            </w:r>
          </w:p>
        </w:tc>
        <w:tc>
          <w:tcPr>
            <w:tcW w:w="2126" w:type="dxa"/>
            <w:shd w:val="clear" w:color="auto" w:fill="C6EFCE"/>
            <w:noWrap/>
            <w:vAlign w:val="center"/>
          </w:tcPr>
          <w:p w14:paraId="513B0FDB" w14:textId="77777777" w:rsidR="004C6421" w:rsidRDefault="009D1962">
            <w:pPr>
              <w:pStyle w:val="P68B1DB1-Normal4"/>
              <w:jc w:val="center"/>
              <w:rPr>
                <w:noProof/>
              </w:rPr>
            </w:pPr>
            <w:r>
              <w:rPr>
                <w:noProof/>
              </w:rPr>
              <w:t>Ministerstwo Obrony – Migracja aplikacji o krytycznym znaczeniu niezwiązanych z misją do rozwiązania w zakresie pełnej ochrony informacji przez otwarcie infrastruktury (S.C.I.P.I.O.) T2</w:t>
            </w:r>
          </w:p>
        </w:tc>
        <w:tc>
          <w:tcPr>
            <w:tcW w:w="1701" w:type="dxa"/>
            <w:shd w:val="clear" w:color="auto" w:fill="C6EFCE"/>
            <w:noWrap/>
            <w:vAlign w:val="center"/>
          </w:tcPr>
          <w:p w14:paraId="61DC206B"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54D49D3C" w14:textId="77777777" w:rsidR="004C6421" w:rsidRDefault="009D1962">
            <w:pPr>
              <w:pStyle w:val="P68B1DB1-Normal4"/>
              <w:jc w:val="center"/>
              <w:rPr>
                <w:noProof/>
              </w:rPr>
            </w:pPr>
            <w:r>
              <w:rPr>
                <w:noProof/>
              </w:rPr>
              <w:t>Numer</w:t>
            </w:r>
          </w:p>
        </w:tc>
        <w:tc>
          <w:tcPr>
            <w:tcW w:w="1276" w:type="dxa"/>
            <w:shd w:val="clear" w:color="auto" w:fill="C6EFCE"/>
            <w:noWrap/>
            <w:vAlign w:val="center"/>
          </w:tcPr>
          <w:p w14:paraId="7BA0E401" w14:textId="77777777" w:rsidR="004C6421" w:rsidRDefault="009D1962">
            <w:pPr>
              <w:pStyle w:val="P68B1DB1-Normal4"/>
              <w:jc w:val="center"/>
              <w:rPr>
                <w:noProof/>
              </w:rPr>
            </w:pPr>
            <w:r>
              <w:rPr>
                <w:noProof/>
              </w:rPr>
              <w:t>10</w:t>
            </w:r>
          </w:p>
        </w:tc>
        <w:tc>
          <w:tcPr>
            <w:tcW w:w="1417" w:type="dxa"/>
            <w:shd w:val="clear" w:color="auto" w:fill="C6EFCE"/>
            <w:noWrap/>
            <w:vAlign w:val="center"/>
          </w:tcPr>
          <w:p w14:paraId="6657F911" w14:textId="77777777" w:rsidR="004C6421" w:rsidRDefault="009D1962">
            <w:pPr>
              <w:pStyle w:val="P68B1DB1-Normal4"/>
              <w:jc w:val="center"/>
              <w:rPr>
                <w:noProof/>
              </w:rPr>
            </w:pPr>
            <w:r>
              <w:rPr>
                <w:noProof/>
              </w:rPr>
              <w:t>15</w:t>
            </w:r>
          </w:p>
        </w:tc>
        <w:tc>
          <w:tcPr>
            <w:tcW w:w="793" w:type="dxa"/>
            <w:shd w:val="clear" w:color="auto" w:fill="C6EFCE"/>
            <w:noWrap/>
            <w:vAlign w:val="center"/>
          </w:tcPr>
          <w:p w14:paraId="57FAE102" w14:textId="129A8C15" w:rsidR="004C6421" w:rsidRDefault="00CC179E">
            <w:pPr>
              <w:pStyle w:val="P68B1DB1-Normal4"/>
              <w:jc w:val="center"/>
              <w:rPr>
                <w:noProof/>
              </w:rPr>
            </w:pPr>
            <w:r>
              <w:rPr>
                <w:noProof/>
              </w:rPr>
              <w:t>KW. 4</w:t>
            </w:r>
          </w:p>
        </w:tc>
        <w:tc>
          <w:tcPr>
            <w:tcW w:w="625" w:type="dxa"/>
            <w:shd w:val="clear" w:color="auto" w:fill="C6EFCE"/>
            <w:noWrap/>
            <w:vAlign w:val="center"/>
          </w:tcPr>
          <w:p w14:paraId="4E96EFC7" w14:textId="77777777" w:rsidR="004C6421" w:rsidRDefault="009D1962">
            <w:pPr>
              <w:pStyle w:val="P68B1DB1-Normal4"/>
              <w:jc w:val="center"/>
              <w:rPr>
                <w:noProof/>
              </w:rPr>
            </w:pPr>
            <w:r>
              <w:rPr>
                <w:noProof/>
              </w:rPr>
              <w:t>2024</w:t>
            </w:r>
          </w:p>
        </w:tc>
        <w:tc>
          <w:tcPr>
            <w:tcW w:w="2584" w:type="dxa"/>
            <w:shd w:val="clear" w:color="auto" w:fill="C6EFCE"/>
            <w:noWrap/>
            <w:vAlign w:val="center"/>
          </w:tcPr>
          <w:p w14:paraId="0F798E45" w14:textId="77777777" w:rsidR="004C6421" w:rsidRDefault="009D1962">
            <w:pPr>
              <w:pStyle w:val="P68B1DB1-Normal4"/>
              <w:spacing w:after="120"/>
              <w:rPr>
                <w:noProof/>
              </w:rPr>
            </w:pPr>
            <w:r>
              <w:rPr>
                <w:noProof/>
              </w:rPr>
              <w:t>Migracja końcowa czterech kluczowych zastosowań misji i jedenastu zastosowań o krytycznym znaczeniu niezwiązanych z misją do nowej infrastruktury otwartego oprogramowania, obejmujących wdrażanie środowiska sprzętowego, instalację komponentów oprogramowania pośredniczącego typu open source, przeprojektowanie aplikacji, począwszy od poziomu bazowego dziesięciu już migrujących z celem 1.</w:t>
            </w:r>
          </w:p>
        </w:tc>
      </w:tr>
      <w:tr w:rsidR="004C6421" w14:paraId="5D92C9CF" w14:textId="77777777">
        <w:trPr>
          <w:trHeight w:val="309"/>
        </w:trPr>
        <w:tc>
          <w:tcPr>
            <w:tcW w:w="1284" w:type="dxa"/>
            <w:shd w:val="clear" w:color="auto" w:fill="C6EFCE"/>
            <w:noWrap/>
            <w:vAlign w:val="center"/>
          </w:tcPr>
          <w:p w14:paraId="3703067C" w14:textId="77777777" w:rsidR="004C6421" w:rsidRDefault="009D1962">
            <w:pPr>
              <w:pStyle w:val="P68B1DB1-Normal4"/>
              <w:jc w:val="center"/>
              <w:rPr>
                <w:noProof/>
              </w:rPr>
            </w:pPr>
            <w:r>
              <w:rPr>
                <w:noProof/>
              </w:rPr>
              <w:t>M1C1-144</w:t>
            </w:r>
          </w:p>
        </w:tc>
        <w:tc>
          <w:tcPr>
            <w:tcW w:w="1746" w:type="dxa"/>
            <w:shd w:val="clear" w:color="auto" w:fill="C6EFCE"/>
            <w:noWrap/>
            <w:vAlign w:val="center"/>
          </w:tcPr>
          <w:p w14:paraId="0A1C903A" w14:textId="77777777" w:rsidR="004C6421" w:rsidRDefault="009D1962">
            <w:pPr>
              <w:pStyle w:val="P68B1DB1-Normal4"/>
              <w:jc w:val="center"/>
              <w:rPr>
                <w:noProof/>
              </w:rPr>
            </w:pPr>
            <w:r>
              <w:rPr>
                <w:noProof/>
              </w:rPr>
              <w:t>Inwestycje 1.4.2 – Włączenie obywateli – Poprawa dostępności cyfrowych usług publicznych</w:t>
            </w:r>
          </w:p>
        </w:tc>
        <w:tc>
          <w:tcPr>
            <w:tcW w:w="992" w:type="dxa"/>
            <w:shd w:val="clear" w:color="auto" w:fill="C6EFCE"/>
            <w:noWrap/>
            <w:vAlign w:val="center"/>
          </w:tcPr>
          <w:p w14:paraId="04D5B7FF" w14:textId="77777777" w:rsidR="004C6421" w:rsidRDefault="009D1962">
            <w:pPr>
              <w:pStyle w:val="P68B1DB1-Normal4"/>
              <w:jc w:val="center"/>
              <w:rPr>
                <w:noProof/>
              </w:rPr>
            </w:pPr>
            <w:r>
              <w:rPr>
                <w:noProof/>
              </w:rPr>
              <w:t>Cel</w:t>
            </w:r>
          </w:p>
        </w:tc>
        <w:tc>
          <w:tcPr>
            <w:tcW w:w="2126" w:type="dxa"/>
            <w:shd w:val="clear" w:color="auto" w:fill="C6EFCE"/>
            <w:noWrap/>
            <w:vAlign w:val="center"/>
          </w:tcPr>
          <w:p w14:paraId="16006A96" w14:textId="77777777" w:rsidR="004C6421" w:rsidRDefault="009D1962">
            <w:pPr>
              <w:pStyle w:val="P68B1DB1-Normal4"/>
              <w:jc w:val="center"/>
              <w:rPr>
                <w:noProof/>
              </w:rPr>
            </w:pPr>
            <w:r>
              <w:rPr>
                <w:noProof/>
              </w:rPr>
              <w:t>Poprawa dostępności cyfrowych usług publicznych</w:t>
            </w:r>
          </w:p>
        </w:tc>
        <w:tc>
          <w:tcPr>
            <w:tcW w:w="1701" w:type="dxa"/>
            <w:shd w:val="clear" w:color="auto" w:fill="C6EFCE"/>
            <w:noWrap/>
            <w:vAlign w:val="center"/>
          </w:tcPr>
          <w:p w14:paraId="2905B1C5"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5A818BA9" w14:textId="77777777" w:rsidR="004C6421" w:rsidRDefault="009D1962">
            <w:pPr>
              <w:pStyle w:val="P68B1DB1-Normal4"/>
              <w:jc w:val="center"/>
              <w:rPr>
                <w:noProof/>
              </w:rPr>
            </w:pPr>
            <w:r>
              <w:rPr>
                <w:noProof/>
              </w:rPr>
              <w:t>Numer</w:t>
            </w:r>
          </w:p>
        </w:tc>
        <w:tc>
          <w:tcPr>
            <w:tcW w:w="1276" w:type="dxa"/>
            <w:shd w:val="clear" w:color="auto" w:fill="C6EFCE"/>
            <w:noWrap/>
            <w:vAlign w:val="center"/>
          </w:tcPr>
          <w:p w14:paraId="36D7BBF8" w14:textId="77777777" w:rsidR="004C6421" w:rsidRDefault="009D1962">
            <w:pPr>
              <w:pStyle w:val="P68B1DB1-Normal4"/>
              <w:jc w:val="center"/>
              <w:rPr>
                <w:noProof/>
              </w:rPr>
            </w:pPr>
            <w:r>
              <w:rPr>
                <w:noProof/>
              </w:rPr>
              <w:t>0</w:t>
            </w:r>
          </w:p>
        </w:tc>
        <w:tc>
          <w:tcPr>
            <w:tcW w:w="1417" w:type="dxa"/>
            <w:shd w:val="clear" w:color="auto" w:fill="C6EFCE"/>
            <w:noWrap/>
            <w:vAlign w:val="center"/>
          </w:tcPr>
          <w:p w14:paraId="0D52F050" w14:textId="77777777" w:rsidR="004C6421" w:rsidRDefault="009D1962">
            <w:pPr>
              <w:pStyle w:val="P68B1DB1-Normal4"/>
              <w:jc w:val="center"/>
              <w:rPr>
                <w:noProof/>
              </w:rPr>
            </w:pPr>
            <w:r>
              <w:rPr>
                <w:noProof/>
              </w:rPr>
              <w:t>55</w:t>
            </w:r>
          </w:p>
        </w:tc>
        <w:tc>
          <w:tcPr>
            <w:tcW w:w="793" w:type="dxa"/>
            <w:shd w:val="clear" w:color="auto" w:fill="C6EFCE"/>
            <w:noWrap/>
            <w:vAlign w:val="center"/>
          </w:tcPr>
          <w:p w14:paraId="41D9F106" w14:textId="77777777" w:rsidR="004C6421" w:rsidRDefault="009D1962">
            <w:pPr>
              <w:pStyle w:val="P68B1DB1-Normal4"/>
              <w:jc w:val="center"/>
              <w:rPr>
                <w:noProof/>
              </w:rPr>
            </w:pPr>
            <w:r>
              <w:rPr>
                <w:noProof/>
              </w:rPr>
              <w:t>II KW.</w:t>
            </w:r>
          </w:p>
        </w:tc>
        <w:tc>
          <w:tcPr>
            <w:tcW w:w="625" w:type="dxa"/>
            <w:shd w:val="clear" w:color="auto" w:fill="C6EFCE"/>
            <w:noWrap/>
            <w:vAlign w:val="center"/>
          </w:tcPr>
          <w:p w14:paraId="6100435A" w14:textId="77777777" w:rsidR="004C6421" w:rsidRDefault="009D1962">
            <w:pPr>
              <w:pStyle w:val="P68B1DB1-Normal4"/>
              <w:jc w:val="center"/>
              <w:rPr>
                <w:noProof/>
              </w:rPr>
            </w:pPr>
            <w:r>
              <w:rPr>
                <w:noProof/>
              </w:rPr>
              <w:t>2025</w:t>
            </w:r>
          </w:p>
        </w:tc>
        <w:tc>
          <w:tcPr>
            <w:tcW w:w="2584" w:type="dxa"/>
            <w:shd w:val="clear" w:color="auto" w:fill="C6EFCE"/>
            <w:noWrap/>
            <w:vAlign w:val="center"/>
          </w:tcPr>
          <w:p w14:paraId="6224BB2B" w14:textId="77777777" w:rsidR="004C6421" w:rsidRDefault="009D1962">
            <w:pPr>
              <w:pStyle w:val="P68B1DB1-Normal4"/>
              <w:spacing w:after="120"/>
              <w:rPr>
                <w:noProof/>
              </w:rPr>
            </w:pPr>
            <w:r>
              <w:rPr>
                <w:noProof/>
              </w:rPr>
              <w:t>Do Q2–2025 AgID zapewnia wsparcie 55 lokalnej administracji publicznej w celu:</w:t>
            </w:r>
          </w:p>
          <w:p w14:paraId="362D5AE8" w14:textId="77777777" w:rsidR="004C6421" w:rsidRDefault="009D1962">
            <w:pPr>
              <w:pStyle w:val="P68B1DB1-Normal4"/>
              <w:spacing w:after="120"/>
              <w:rPr>
                <w:noProof/>
              </w:rPr>
            </w:pPr>
            <w:r>
              <w:rPr>
                <w:noProof/>
              </w:rPr>
              <w:t>— Dostawa 28 ekspertów technicznych i zawodowych</w:t>
            </w:r>
          </w:p>
          <w:p w14:paraId="05053A8B" w14:textId="77777777" w:rsidR="004C6421" w:rsidRDefault="009D1962">
            <w:pPr>
              <w:pStyle w:val="P68B1DB1-Normal4"/>
              <w:spacing w:after="120"/>
              <w:rPr>
                <w:noProof/>
              </w:rPr>
            </w:pPr>
            <w:r>
              <w:rPr>
                <w:noProof/>
              </w:rPr>
              <w:t>— Zmniejszenie liczby błędów o 50 % w odniesieniu do co najmniej dwóch usług cyfrowych świadczonych przez każdą administrację</w:t>
            </w:r>
          </w:p>
          <w:p w14:paraId="34A3AC2E" w14:textId="77777777" w:rsidR="004C6421" w:rsidRDefault="009D1962">
            <w:pPr>
              <w:pStyle w:val="P68B1DB1-Normal4"/>
              <w:spacing w:after="120"/>
              <w:rPr>
                <w:noProof/>
              </w:rPr>
            </w:pPr>
            <w:r>
              <w:rPr>
                <w:noProof/>
              </w:rPr>
              <w:t>— Rozpowszechnianie i szkolenie co najmniej 3 narzędzi mających na celu przeprojektowanie i rozwój najczęściej używanych usług cyfrowych będących własnością każdej administracji</w:t>
            </w:r>
          </w:p>
          <w:p w14:paraId="061137B5" w14:textId="77777777" w:rsidR="004C6421" w:rsidRDefault="009D1962">
            <w:pPr>
              <w:pStyle w:val="P68B1DB1-Normal4"/>
              <w:spacing w:before="120" w:after="120"/>
              <w:rPr>
                <w:noProof/>
              </w:rPr>
            </w:pPr>
            <w:r>
              <w:rPr>
                <w:noProof/>
              </w:rPr>
              <w:t>— Zapewnienie, aby co najmniej 50 % potrzeb w zakresie technologii wspomagających i oprogramowania było przeznaczone dla pracowników niepełnosprawnych.</w:t>
            </w:r>
          </w:p>
        </w:tc>
      </w:tr>
      <w:tr w:rsidR="004C6421" w14:paraId="6E9FF63E" w14:textId="77777777">
        <w:trPr>
          <w:trHeight w:val="309"/>
        </w:trPr>
        <w:tc>
          <w:tcPr>
            <w:tcW w:w="1284" w:type="dxa"/>
            <w:shd w:val="clear" w:color="auto" w:fill="C6EFCE"/>
            <w:noWrap/>
            <w:vAlign w:val="center"/>
          </w:tcPr>
          <w:p w14:paraId="6354E6BC" w14:textId="77777777" w:rsidR="004C6421" w:rsidRDefault="009D1962">
            <w:pPr>
              <w:pStyle w:val="P68B1DB1-Normal4"/>
              <w:jc w:val="center"/>
              <w:rPr>
                <w:noProof/>
              </w:rPr>
            </w:pPr>
            <w:r>
              <w:rPr>
                <w:noProof/>
              </w:rPr>
              <w:t>M1C1-145</w:t>
            </w:r>
          </w:p>
        </w:tc>
        <w:tc>
          <w:tcPr>
            <w:tcW w:w="1746" w:type="dxa"/>
            <w:shd w:val="clear" w:color="auto" w:fill="C6EFCE"/>
            <w:noWrap/>
            <w:vAlign w:val="center"/>
          </w:tcPr>
          <w:p w14:paraId="4B24A0A6" w14:textId="77777777" w:rsidR="004C6421" w:rsidRDefault="009D1962">
            <w:pPr>
              <w:pStyle w:val="P68B1DB1-Normal4"/>
              <w:jc w:val="center"/>
              <w:rPr>
                <w:noProof/>
              </w:rPr>
            </w:pPr>
            <w:r>
              <w:rPr>
                <w:noProof/>
              </w:rPr>
              <w:t>Inwestycja 1.4.4 – Wzmocnienie krajowych platform tożsamości cyfrowej (SPID, CIE) i rejestru krajowego (ANPR)</w:t>
            </w:r>
          </w:p>
        </w:tc>
        <w:tc>
          <w:tcPr>
            <w:tcW w:w="992" w:type="dxa"/>
            <w:shd w:val="clear" w:color="auto" w:fill="C6EFCE"/>
            <w:noWrap/>
            <w:vAlign w:val="center"/>
          </w:tcPr>
          <w:p w14:paraId="5733DECA" w14:textId="77777777" w:rsidR="004C6421" w:rsidRDefault="009D1962">
            <w:pPr>
              <w:pStyle w:val="P68B1DB1-Normal4"/>
              <w:jc w:val="center"/>
              <w:rPr>
                <w:noProof/>
              </w:rPr>
            </w:pPr>
            <w:r>
              <w:rPr>
                <w:noProof/>
              </w:rPr>
              <w:t>Cel</w:t>
            </w:r>
          </w:p>
        </w:tc>
        <w:tc>
          <w:tcPr>
            <w:tcW w:w="2126" w:type="dxa"/>
            <w:shd w:val="clear" w:color="auto" w:fill="C6EFCE"/>
            <w:noWrap/>
            <w:vAlign w:val="center"/>
          </w:tcPr>
          <w:p w14:paraId="7BF6C717" w14:textId="77777777" w:rsidR="004C6421" w:rsidRDefault="009D1962">
            <w:pPr>
              <w:pStyle w:val="P68B1DB1-Normal4"/>
              <w:jc w:val="center"/>
              <w:rPr>
                <w:noProof/>
              </w:rPr>
            </w:pPr>
            <w:r>
              <w:rPr>
                <w:noProof/>
              </w:rPr>
              <w:t>Krajowe platformy tożsamości cyfrowej (SPID, CIE) i rejestr krajowy (ANPR)</w:t>
            </w:r>
          </w:p>
        </w:tc>
        <w:tc>
          <w:tcPr>
            <w:tcW w:w="1701" w:type="dxa"/>
            <w:shd w:val="clear" w:color="auto" w:fill="C6EFCE"/>
            <w:noWrap/>
            <w:vAlign w:val="center"/>
          </w:tcPr>
          <w:p w14:paraId="4540CA25"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6197D2F8" w14:textId="77777777" w:rsidR="004C6421" w:rsidRDefault="009D1962">
            <w:pPr>
              <w:pStyle w:val="P68B1DB1-Normal4"/>
              <w:jc w:val="center"/>
              <w:rPr>
                <w:noProof/>
              </w:rPr>
            </w:pPr>
            <w:r>
              <w:rPr>
                <w:noProof/>
              </w:rPr>
              <w:t>Liczba obywateli korzystających z identyfikacji elektronicznej</w:t>
            </w:r>
          </w:p>
        </w:tc>
        <w:tc>
          <w:tcPr>
            <w:tcW w:w="1276" w:type="dxa"/>
            <w:shd w:val="clear" w:color="auto" w:fill="C6EFCE"/>
            <w:noWrap/>
            <w:vAlign w:val="center"/>
          </w:tcPr>
          <w:p w14:paraId="188552A8" w14:textId="77777777" w:rsidR="004C6421" w:rsidRDefault="009D1962">
            <w:pPr>
              <w:pStyle w:val="P68B1DB1-Normal4"/>
              <w:jc w:val="center"/>
              <w:rPr>
                <w:noProof/>
              </w:rPr>
            </w:pPr>
            <w:r>
              <w:rPr>
                <w:noProof/>
              </w:rPr>
              <w:t>17 500 000</w:t>
            </w:r>
          </w:p>
        </w:tc>
        <w:tc>
          <w:tcPr>
            <w:tcW w:w="1417" w:type="dxa"/>
            <w:shd w:val="clear" w:color="auto" w:fill="C6EFCE"/>
            <w:noWrap/>
            <w:vAlign w:val="center"/>
          </w:tcPr>
          <w:p w14:paraId="4DC0B359" w14:textId="77777777" w:rsidR="004C6421" w:rsidRDefault="009D1962">
            <w:pPr>
              <w:pStyle w:val="P68B1DB1-Normal4"/>
              <w:jc w:val="center"/>
              <w:rPr>
                <w:noProof/>
              </w:rPr>
            </w:pPr>
            <w:r>
              <w:rPr>
                <w:noProof/>
              </w:rPr>
              <w:t>42 300 000</w:t>
            </w:r>
          </w:p>
        </w:tc>
        <w:tc>
          <w:tcPr>
            <w:tcW w:w="793" w:type="dxa"/>
            <w:shd w:val="clear" w:color="auto" w:fill="C6EFCE"/>
            <w:noWrap/>
            <w:vAlign w:val="center"/>
          </w:tcPr>
          <w:p w14:paraId="74AD3FA3" w14:textId="4DFCC716" w:rsidR="004C6421" w:rsidRDefault="00CC179E">
            <w:pPr>
              <w:pStyle w:val="P68B1DB1-Normal4"/>
              <w:jc w:val="center"/>
              <w:rPr>
                <w:noProof/>
              </w:rPr>
            </w:pPr>
            <w:r>
              <w:rPr>
                <w:noProof/>
              </w:rPr>
              <w:t>KW. 4</w:t>
            </w:r>
          </w:p>
        </w:tc>
        <w:tc>
          <w:tcPr>
            <w:tcW w:w="625" w:type="dxa"/>
            <w:shd w:val="clear" w:color="auto" w:fill="C6EFCE"/>
            <w:noWrap/>
            <w:vAlign w:val="center"/>
          </w:tcPr>
          <w:p w14:paraId="356F360B" w14:textId="77777777" w:rsidR="004C6421" w:rsidRDefault="009D1962">
            <w:pPr>
              <w:pStyle w:val="P68B1DB1-Normal4"/>
              <w:jc w:val="center"/>
              <w:rPr>
                <w:noProof/>
              </w:rPr>
            </w:pPr>
            <w:r>
              <w:rPr>
                <w:noProof/>
              </w:rPr>
              <w:t>2025</w:t>
            </w:r>
          </w:p>
        </w:tc>
        <w:tc>
          <w:tcPr>
            <w:tcW w:w="2584" w:type="dxa"/>
            <w:shd w:val="clear" w:color="auto" w:fill="C6EFCE"/>
            <w:noWrap/>
            <w:vAlign w:val="center"/>
          </w:tcPr>
          <w:p w14:paraId="06791825" w14:textId="77777777" w:rsidR="004C6421" w:rsidRDefault="009D1962">
            <w:pPr>
              <w:pStyle w:val="P68B1DB1-Normal4"/>
              <w:spacing w:after="120"/>
              <w:rPr>
                <w:noProof/>
              </w:rPr>
            </w:pPr>
            <w:r>
              <w:rPr>
                <w:noProof/>
              </w:rPr>
              <w:t>Liczba obywateli włoskich posiadających ważną tożsamość cyfrową na krajowej platformie tożsamości cyfrowej.</w:t>
            </w:r>
          </w:p>
        </w:tc>
      </w:tr>
      <w:tr w:rsidR="004C6421" w14:paraId="2FC2618C" w14:textId="77777777">
        <w:trPr>
          <w:trHeight w:val="309"/>
        </w:trPr>
        <w:tc>
          <w:tcPr>
            <w:tcW w:w="1284" w:type="dxa"/>
            <w:shd w:val="clear" w:color="auto" w:fill="C6EFCE"/>
            <w:noWrap/>
            <w:vAlign w:val="center"/>
          </w:tcPr>
          <w:p w14:paraId="09B68836" w14:textId="77777777" w:rsidR="004C6421" w:rsidRDefault="009D1962">
            <w:pPr>
              <w:pStyle w:val="P68B1DB1-Normal4"/>
              <w:jc w:val="center"/>
              <w:rPr>
                <w:noProof/>
              </w:rPr>
            </w:pPr>
            <w:r>
              <w:rPr>
                <w:noProof/>
              </w:rPr>
              <w:t>M1C1-146</w:t>
            </w:r>
          </w:p>
        </w:tc>
        <w:tc>
          <w:tcPr>
            <w:tcW w:w="1746" w:type="dxa"/>
            <w:shd w:val="clear" w:color="auto" w:fill="C6EFCE"/>
            <w:noWrap/>
            <w:vAlign w:val="center"/>
          </w:tcPr>
          <w:p w14:paraId="3A943172" w14:textId="77777777" w:rsidR="004C6421" w:rsidRDefault="009D1962">
            <w:pPr>
              <w:pStyle w:val="P68B1DB1-Normal4"/>
              <w:jc w:val="center"/>
              <w:rPr>
                <w:noProof/>
              </w:rPr>
            </w:pPr>
            <w:r>
              <w:rPr>
                <w:noProof/>
              </w:rPr>
              <w:t>Inwestycja 1.4.4 – Wzmocnienie krajowych platform tożsamości cyfrowej (SPID, CIE) i rejestru krajowego (ANPR)</w:t>
            </w:r>
          </w:p>
        </w:tc>
        <w:tc>
          <w:tcPr>
            <w:tcW w:w="992" w:type="dxa"/>
            <w:shd w:val="clear" w:color="auto" w:fill="C6EFCE"/>
            <w:noWrap/>
            <w:vAlign w:val="center"/>
          </w:tcPr>
          <w:p w14:paraId="6239B43C" w14:textId="77777777" w:rsidR="004C6421" w:rsidRDefault="009D1962">
            <w:pPr>
              <w:pStyle w:val="P68B1DB1-Normal4"/>
              <w:jc w:val="center"/>
              <w:rPr>
                <w:noProof/>
              </w:rPr>
            </w:pPr>
            <w:r>
              <w:rPr>
                <w:noProof/>
              </w:rPr>
              <w:t>Cel</w:t>
            </w:r>
          </w:p>
        </w:tc>
        <w:tc>
          <w:tcPr>
            <w:tcW w:w="2126" w:type="dxa"/>
            <w:shd w:val="clear" w:color="auto" w:fill="C6EFCE"/>
            <w:noWrap/>
            <w:vAlign w:val="center"/>
          </w:tcPr>
          <w:p w14:paraId="5AC4491F" w14:textId="77777777" w:rsidR="004C6421" w:rsidRDefault="009D1962">
            <w:pPr>
              <w:pStyle w:val="P68B1DB1-Normal4"/>
              <w:jc w:val="center"/>
              <w:rPr>
                <w:noProof/>
              </w:rPr>
            </w:pPr>
            <w:r>
              <w:rPr>
                <w:noProof/>
              </w:rPr>
              <w:t>Krajowe platformy tożsamości cyfrowej (SPID, CIE) i rejestr krajowy (ANPR)</w:t>
            </w:r>
          </w:p>
        </w:tc>
        <w:tc>
          <w:tcPr>
            <w:tcW w:w="1701" w:type="dxa"/>
            <w:shd w:val="clear" w:color="auto" w:fill="C6EFCE"/>
            <w:noWrap/>
            <w:vAlign w:val="center"/>
          </w:tcPr>
          <w:p w14:paraId="3736169C"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310E2B2D" w14:textId="77777777" w:rsidR="004C6421" w:rsidRDefault="009D1962">
            <w:pPr>
              <w:pStyle w:val="P68B1DB1-Normal4"/>
              <w:jc w:val="center"/>
              <w:rPr>
                <w:noProof/>
              </w:rPr>
            </w:pPr>
            <w:r>
              <w:rPr>
                <w:noProof/>
              </w:rPr>
              <w:t>Numer</w:t>
            </w:r>
          </w:p>
        </w:tc>
        <w:tc>
          <w:tcPr>
            <w:tcW w:w="1276" w:type="dxa"/>
            <w:shd w:val="clear" w:color="auto" w:fill="C6EFCE"/>
            <w:noWrap/>
            <w:vAlign w:val="center"/>
          </w:tcPr>
          <w:p w14:paraId="079B2249" w14:textId="77777777" w:rsidR="004C6421" w:rsidRDefault="009D1962">
            <w:pPr>
              <w:pStyle w:val="P68B1DB1-Normal4"/>
              <w:jc w:val="center"/>
              <w:rPr>
                <w:noProof/>
              </w:rPr>
            </w:pPr>
            <w:r>
              <w:rPr>
                <w:noProof/>
              </w:rPr>
              <w:t>6 283</w:t>
            </w:r>
          </w:p>
        </w:tc>
        <w:tc>
          <w:tcPr>
            <w:tcW w:w="1417" w:type="dxa"/>
            <w:shd w:val="clear" w:color="auto" w:fill="C6EFCE"/>
            <w:noWrap/>
            <w:vAlign w:val="center"/>
          </w:tcPr>
          <w:p w14:paraId="657F0230" w14:textId="77777777" w:rsidR="004C6421" w:rsidRDefault="009D1962">
            <w:pPr>
              <w:pStyle w:val="P68B1DB1-Normal4"/>
              <w:jc w:val="center"/>
              <w:rPr>
                <w:noProof/>
              </w:rPr>
            </w:pPr>
            <w:r>
              <w:rPr>
                <w:noProof/>
              </w:rPr>
              <w:t>16 500</w:t>
            </w:r>
          </w:p>
        </w:tc>
        <w:tc>
          <w:tcPr>
            <w:tcW w:w="793" w:type="dxa"/>
            <w:shd w:val="clear" w:color="auto" w:fill="C6EFCE"/>
            <w:noWrap/>
            <w:vAlign w:val="center"/>
          </w:tcPr>
          <w:p w14:paraId="5483EA11" w14:textId="756E7F70" w:rsidR="004C6421" w:rsidRDefault="00CC179E">
            <w:pPr>
              <w:pStyle w:val="P68B1DB1-Normal4"/>
              <w:jc w:val="center"/>
              <w:rPr>
                <w:noProof/>
              </w:rPr>
            </w:pPr>
            <w:r>
              <w:rPr>
                <w:noProof/>
              </w:rPr>
              <w:t>KW. 1</w:t>
            </w:r>
          </w:p>
        </w:tc>
        <w:tc>
          <w:tcPr>
            <w:tcW w:w="625" w:type="dxa"/>
            <w:shd w:val="clear" w:color="auto" w:fill="C6EFCE"/>
            <w:noWrap/>
            <w:vAlign w:val="center"/>
          </w:tcPr>
          <w:p w14:paraId="63B766F7" w14:textId="77777777" w:rsidR="004C6421" w:rsidRDefault="009D1962">
            <w:pPr>
              <w:pStyle w:val="P68B1DB1-Normal4"/>
              <w:jc w:val="center"/>
              <w:rPr>
                <w:noProof/>
              </w:rPr>
            </w:pPr>
            <w:r>
              <w:rPr>
                <w:noProof/>
              </w:rPr>
              <w:t>2026</w:t>
            </w:r>
          </w:p>
        </w:tc>
        <w:tc>
          <w:tcPr>
            <w:tcW w:w="2584" w:type="dxa"/>
            <w:shd w:val="clear" w:color="auto" w:fill="C6EFCE"/>
            <w:noWrap/>
            <w:vAlign w:val="center"/>
          </w:tcPr>
          <w:p w14:paraId="0DF5F4F0" w14:textId="77777777" w:rsidR="004C6421" w:rsidRDefault="009D1962">
            <w:pPr>
              <w:pStyle w:val="P68B1DB1-Normal4"/>
              <w:spacing w:after="120"/>
              <w:rPr>
                <w:noProof/>
              </w:rPr>
            </w:pPr>
            <w:r>
              <w:rPr>
                <w:noProof/>
              </w:rPr>
              <w:t>Liczba administracji publicznych (z łącznej liczby 16500) przyjmujących identyfikację elektroniczną (eID) (SPID lub CIE).</w:t>
            </w:r>
          </w:p>
        </w:tc>
      </w:tr>
      <w:tr w:rsidR="004C6421" w14:paraId="56F12304" w14:textId="77777777">
        <w:trPr>
          <w:trHeight w:val="309"/>
        </w:trPr>
        <w:tc>
          <w:tcPr>
            <w:tcW w:w="1284" w:type="dxa"/>
            <w:shd w:val="clear" w:color="auto" w:fill="C6EFCE"/>
            <w:noWrap/>
            <w:vAlign w:val="center"/>
          </w:tcPr>
          <w:p w14:paraId="4F2500D7" w14:textId="77777777" w:rsidR="004C6421" w:rsidRDefault="009D1962">
            <w:pPr>
              <w:pStyle w:val="P68B1DB1-Normal4"/>
              <w:jc w:val="center"/>
              <w:rPr>
                <w:noProof/>
              </w:rPr>
            </w:pPr>
            <w:r>
              <w:rPr>
                <w:noProof/>
              </w:rPr>
              <w:t>M1C1-147</w:t>
            </w:r>
          </w:p>
        </w:tc>
        <w:tc>
          <w:tcPr>
            <w:tcW w:w="1746" w:type="dxa"/>
            <w:shd w:val="clear" w:color="auto" w:fill="C6EFCE"/>
            <w:noWrap/>
            <w:vAlign w:val="center"/>
          </w:tcPr>
          <w:p w14:paraId="599E0ECC" w14:textId="77777777" w:rsidR="004C6421" w:rsidRDefault="009D1962">
            <w:pPr>
              <w:pStyle w:val="P68B1DB1-Normal4"/>
              <w:jc w:val="center"/>
              <w:rPr>
                <w:noProof/>
              </w:rPr>
            </w:pPr>
            <w:r>
              <w:rPr>
                <w:noProof/>
              </w:rPr>
              <w:t>Inwestycje 1.2 – Umożliwienie chmury dla lokalnych AP</w:t>
            </w:r>
          </w:p>
        </w:tc>
        <w:tc>
          <w:tcPr>
            <w:tcW w:w="992" w:type="dxa"/>
            <w:shd w:val="clear" w:color="auto" w:fill="C6EFCE"/>
            <w:noWrap/>
            <w:vAlign w:val="center"/>
          </w:tcPr>
          <w:p w14:paraId="1FAA8805" w14:textId="77777777" w:rsidR="004C6421" w:rsidRDefault="009D1962">
            <w:pPr>
              <w:pStyle w:val="P68B1DB1-Normal4"/>
              <w:jc w:val="center"/>
              <w:rPr>
                <w:noProof/>
              </w:rPr>
            </w:pPr>
            <w:r>
              <w:rPr>
                <w:noProof/>
              </w:rPr>
              <w:t>Cel</w:t>
            </w:r>
          </w:p>
        </w:tc>
        <w:tc>
          <w:tcPr>
            <w:tcW w:w="2126" w:type="dxa"/>
            <w:shd w:val="clear" w:color="auto" w:fill="C6EFCE"/>
            <w:noWrap/>
            <w:vAlign w:val="center"/>
          </w:tcPr>
          <w:p w14:paraId="6C30EE79" w14:textId="77777777" w:rsidR="004C6421" w:rsidRDefault="009D1962">
            <w:pPr>
              <w:pStyle w:val="P68B1DB1-Normal4"/>
              <w:jc w:val="center"/>
              <w:rPr>
                <w:noProof/>
              </w:rPr>
            </w:pPr>
            <w:r>
              <w:rPr>
                <w:noProof/>
              </w:rPr>
              <w:t>Umożliwienie korzystania z chmury dla lokalnej administracji publicznej T2</w:t>
            </w:r>
          </w:p>
        </w:tc>
        <w:tc>
          <w:tcPr>
            <w:tcW w:w="1701" w:type="dxa"/>
            <w:shd w:val="clear" w:color="auto" w:fill="C6EFCE"/>
            <w:noWrap/>
            <w:vAlign w:val="center"/>
          </w:tcPr>
          <w:p w14:paraId="2C397CD0"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3475FDEC" w14:textId="77777777" w:rsidR="004C6421" w:rsidRDefault="009D1962">
            <w:pPr>
              <w:pStyle w:val="P68B1DB1-Normal4"/>
              <w:jc w:val="center"/>
              <w:rPr>
                <w:noProof/>
              </w:rPr>
            </w:pPr>
            <w:r>
              <w:rPr>
                <w:noProof/>
              </w:rPr>
              <w:t>Numer</w:t>
            </w:r>
          </w:p>
        </w:tc>
        <w:tc>
          <w:tcPr>
            <w:tcW w:w="1276" w:type="dxa"/>
            <w:shd w:val="clear" w:color="auto" w:fill="C6EFCE"/>
            <w:noWrap/>
            <w:vAlign w:val="center"/>
          </w:tcPr>
          <w:p w14:paraId="2D9B0FB7" w14:textId="77777777" w:rsidR="004C6421" w:rsidRDefault="009D1962">
            <w:pPr>
              <w:pStyle w:val="P68B1DB1-Normal4"/>
              <w:jc w:val="center"/>
              <w:rPr>
                <w:noProof/>
              </w:rPr>
            </w:pPr>
            <w:r>
              <w:rPr>
                <w:noProof/>
              </w:rPr>
              <w:t>4 083</w:t>
            </w:r>
          </w:p>
        </w:tc>
        <w:tc>
          <w:tcPr>
            <w:tcW w:w="1417" w:type="dxa"/>
            <w:shd w:val="clear" w:color="auto" w:fill="C6EFCE"/>
            <w:noWrap/>
            <w:vAlign w:val="center"/>
          </w:tcPr>
          <w:p w14:paraId="30B6B62C" w14:textId="77777777" w:rsidR="004C6421" w:rsidRDefault="009D1962">
            <w:pPr>
              <w:pStyle w:val="P68B1DB1-Normal4"/>
              <w:jc w:val="center"/>
              <w:rPr>
                <w:noProof/>
              </w:rPr>
            </w:pPr>
            <w:r>
              <w:rPr>
                <w:noProof/>
              </w:rPr>
              <w:t>12 464</w:t>
            </w:r>
          </w:p>
        </w:tc>
        <w:tc>
          <w:tcPr>
            <w:tcW w:w="793" w:type="dxa"/>
            <w:shd w:val="clear" w:color="auto" w:fill="C6EFCE"/>
            <w:noWrap/>
            <w:vAlign w:val="center"/>
          </w:tcPr>
          <w:p w14:paraId="6C7795E4" w14:textId="77777777" w:rsidR="004C6421" w:rsidRDefault="009D1962">
            <w:pPr>
              <w:pStyle w:val="P68B1DB1-Normal4"/>
              <w:jc w:val="center"/>
              <w:rPr>
                <w:noProof/>
              </w:rPr>
            </w:pPr>
            <w:r>
              <w:rPr>
                <w:noProof/>
              </w:rPr>
              <w:t>II KW.</w:t>
            </w:r>
          </w:p>
        </w:tc>
        <w:tc>
          <w:tcPr>
            <w:tcW w:w="625" w:type="dxa"/>
            <w:shd w:val="clear" w:color="auto" w:fill="C6EFCE"/>
            <w:noWrap/>
            <w:vAlign w:val="center"/>
          </w:tcPr>
          <w:p w14:paraId="42BE38D9" w14:textId="77777777" w:rsidR="004C6421" w:rsidRDefault="009D1962">
            <w:pPr>
              <w:pStyle w:val="P68B1DB1-Normal4"/>
              <w:jc w:val="center"/>
              <w:rPr>
                <w:noProof/>
              </w:rPr>
            </w:pPr>
            <w:r>
              <w:rPr>
                <w:noProof/>
              </w:rPr>
              <w:t>2026</w:t>
            </w:r>
          </w:p>
        </w:tc>
        <w:tc>
          <w:tcPr>
            <w:tcW w:w="2584" w:type="dxa"/>
            <w:shd w:val="clear" w:color="auto" w:fill="C6EFCE"/>
            <w:noWrap/>
            <w:vAlign w:val="center"/>
          </w:tcPr>
          <w:p w14:paraId="1697C1C3" w14:textId="77777777" w:rsidR="004C6421" w:rsidRDefault="009D1962">
            <w:pPr>
              <w:pStyle w:val="P68B1DB1-Normal4"/>
              <w:spacing w:after="120"/>
              <w:rPr>
                <w:noProof/>
              </w:rPr>
            </w:pPr>
            <w:r>
              <w:rPr>
                <w:noProof/>
              </w:rPr>
              <w:t>Migrację 12464 lokalnych administracji publicznych do certyfikowanego środowiska chmury obliczeniowej uznaje się za udaną próbę wszystkich systemów, zbiorów danych i migracji aplikacji zawartych w każdym planie migracji.</w:t>
            </w:r>
          </w:p>
        </w:tc>
      </w:tr>
      <w:tr w:rsidR="004C6421" w14:paraId="6AC4F715" w14:textId="77777777">
        <w:trPr>
          <w:trHeight w:val="309"/>
        </w:trPr>
        <w:tc>
          <w:tcPr>
            <w:tcW w:w="1284" w:type="dxa"/>
            <w:shd w:val="clear" w:color="auto" w:fill="C6EFCE"/>
            <w:noWrap/>
            <w:vAlign w:val="center"/>
          </w:tcPr>
          <w:p w14:paraId="7BD92DBC" w14:textId="77777777" w:rsidR="004C6421" w:rsidRDefault="009D1962">
            <w:pPr>
              <w:pStyle w:val="P68B1DB1-Normal4"/>
              <w:jc w:val="center"/>
              <w:rPr>
                <w:noProof/>
              </w:rPr>
            </w:pPr>
            <w:r>
              <w:rPr>
                <w:noProof/>
              </w:rPr>
              <w:t>M1C1-148</w:t>
            </w:r>
          </w:p>
        </w:tc>
        <w:tc>
          <w:tcPr>
            <w:tcW w:w="1746" w:type="dxa"/>
            <w:shd w:val="clear" w:color="auto" w:fill="C6EFCE"/>
            <w:noWrap/>
            <w:vAlign w:val="center"/>
          </w:tcPr>
          <w:p w14:paraId="55BC8AF8" w14:textId="77777777" w:rsidR="004C6421" w:rsidRDefault="009D1962">
            <w:pPr>
              <w:pStyle w:val="P68B1DB1-Normal4"/>
              <w:jc w:val="center"/>
              <w:rPr>
                <w:noProof/>
              </w:rPr>
            </w:pPr>
            <w:r>
              <w:rPr>
                <w:noProof/>
              </w:rPr>
              <w:t>Inwestycje 1.4.1 – Doświadczenia obywatelskie – Poprawa jakości i użyteczności cyfrowych usług publicznych</w:t>
            </w:r>
          </w:p>
        </w:tc>
        <w:tc>
          <w:tcPr>
            <w:tcW w:w="992" w:type="dxa"/>
            <w:shd w:val="clear" w:color="auto" w:fill="C6EFCE"/>
            <w:noWrap/>
            <w:vAlign w:val="center"/>
          </w:tcPr>
          <w:p w14:paraId="3D2C27BB" w14:textId="77777777" w:rsidR="004C6421" w:rsidRDefault="009D1962">
            <w:pPr>
              <w:pStyle w:val="P68B1DB1-Normal4"/>
              <w:jc w:val="center"/>
              <w:rPr>
                <w:noProof/>
              </w:rPr>
            </w:pPr>
            <w:r>
              <w:rPr>
                <w:noProof/>
              </w:rPr>
              <w:t>Cel</w:t>
            </w:r>
          </w:p>
        </w:tc>
        <w:tc>
          <w:tcPr>
            <w:tcW w:w="2126" w:type="dxa"/>
            <w:shd w:val="clear" w:color="auto" w:fill="C6EFCE"/>
            <w:noWrap/>
            <w:vAlign w:val="center"/>
          </w:tcPr>
          <w:p w14:paraId="61FD1064" w14:textId="77777777" w:rsidR="004C6421" w:rsidRDefault="009D1962">
            <w:pPr>
              <w:pStyle w:val="P68B1DB1-Normal4"/>
              <w:jc w:val="center"/>
              <w:rPr>
                <w:noProof/>
              </w:rPr>
            </w:pPr>
            <w:r>
              <w:rPr>
                <w:noProof/>
              </w:rPr>
              <w:t>Poprawa jakości i użyteczności cyfrowych usług publicznych T2</w:t>
            </w:r>
          </w:p>
        </w:tc>
        <w:tc>
          <w:tcPr>
            <w:tcW w:w="1701" w:type="dxa"/>
            <w:shd w:val="clear" w:color="auto" w:fill="C6EFCE"/>
            <w:noWrap/>
            <w:vAlign w:val="center"/>
          </w:tcPr>
          <w:p w14:paraId="446AB5E7"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4CD13622" w14:textId="77777777" w:rsidR="004C6421" w:rsidRDefault="009D1962">
            <w:pPr>
              <w:pStyle w:val="P68B1DB1-Normal4"/>
              <w:jc w:val="center"/>
              <w:rPr>
                <w:noProof/>
              </w:rPr>
            </w:pPr>
            <w:r>
              <w:rPr>
                <w:noProof/>
              </w:rPr>
              <w:t>Procent</w:t>
            </w:r>
          </w:p>
        </w:tc>
        <w:tc>
          <w:tcPr>
            <w:tcW w:w="1276" w:type="dxa"/>
            <w:shd w:val="clear" w:color="auto" w:fill="C6EFCE"/>
            <w:noWrap/>
            <w:vAlign w:val="center"/>
          </w:tcPr>
          <w:p w14:paraId="1116A0AE" w14:textId="77777777" w:rsidR="004C6421" w:rsidRDefault="009D1962">
            <w:pPr>
              <w:pStyle w:val="P68B1DB1-Normal4"/>
              <w:jc w:val="center"/>
              <w:rPr>
                <w:noProof/>
              </w:rPr>
            </w:pPr>
            <w:r>
              <w:rPr>
                <w:noProof/>
              </w:rPr>
              <w:t>40</w:t>
            </w:r>
          </w:p>
        </w:tc>
        <w:tc>
          <w:tcPr>
            <w:tcW w:w="1417" w:type="dxa"/>
            <w:shd w:val="clear" w:color="auto" w:fill="C6EFCE"/>
            <w:noWrap/>
            <w:vAlign w:val="center"/>
          </w:tcPr>
          <w:p w14:paraId="2C1EDD06" w14:textId="77777777" w:rsidR="004C6421" w:rsidRDefault="009D1962">
            <w:pPr>
              <w:pStyle w:val="P68B1DB1-Normal4"/>
              <w:jc w:val="center"/>
              <w:rPr>
                <w:noProof/>
              </w:rPr>
            </w:pPr>
            <w:r>
              <w:rPr>
                <w:noProof/>
              </w:rPr>
              <w:t>80</w:t>
            </w:r>
          </w:p>
        </w:tc>
        <w:tc>
          <w:tcPr>
            <w:tcW w:w="793" w:type="dxa"/>
            <w:shd w:val="clear" w:color="auto" w:fill="C6EFCE"/>
            <w:noWrap/>
            <w:vAlign w:val="center"/>
          </w:tcPr>
          <w:p w14:paraId="3711F04B" w14:textId="77777777" w:rsidR="004C6421" w:rsidRDefault="009D1962">
            <w:pPr>
              <w:pStyle w:val="P68B1DB1-Normal4"/>
              <w:jc w:val="center"/>
              <w:rPr>
                <w:noProof/>
              </w:rPr>
            </w:pPr>
            <w:r>
              <w:rPr>
                <w:noProof/>
              </w:rPr>
              <w:t>II KW.</w:t>
            </w:r>
          </w:p>
        </w:tc>
        <w:tc>
          <w:tcPr>
            <w:tcW w:w="625" w:type="dxa"/>
            <w:shd w:val="clear" w:color="auto" w:fill="C6EFCE"/>
            <w:noWrap/>
            <w:vAlign w:val="center"/>
          </w:tcPr>
          <w:p w14:paraId="463C412A" w14:textId="77777777" w:rsidR="004C6421" w:rsidRDefault="009D1962">
            <w:pPr>
              <w:pStyle w:val="P68B1DB1-Normal4"/>
              <w:jc w:val="center"/>
              <w:rPr>
                <w:noProof/>
              </w:rPr>
            </w:pPr>
            <w:r>
              <w:rPr>
                <w:noProof/>
              </w:rPr>
              <w:t>2026</w:t>
            </w:r>
          </w:p>
        </w:tc>
        <w:tc>
          <w:tcPr>
            <w:tcW w:w="2584" w:type="dxa"/>
            <w:shd w:val="clear" w:color="auto" w:fill="C6EFCE"/>
            <w:noWrap/>
            <w:vAlign w:val="center"/>
          </w:tcPr>
          <w:p w14:paraId="109CD2E2" w14:textId="77777777" w:rsidR="004C6421" w:rsidRDefault="009D1962">
            <w:pPr>
              <w:pStyle w:val="P68B1DB1-Normal4"/>
              <w:spacing w:after="120"/>
              <w:rPr>
                <w:noProof/>
              </w:rPr>
            </w:pPr>
            <w:r>
              <w:rPr>
                <w:noProof/>
              </w:rPr>
              <w:t>Administracje (gminy, podstawowe i średnie instytucje</w:t>
            </w:r>
            <w:r>
              <w:rPr>
                <w:noProof/>
                <w:vertAlign w:val="superscript"/>
              </w:rPr>
              <w:t>edukacyjne</w:t>
            </w:r>
            <w:r>
              <w:rPr>
                <w:noProof/>
              </w:rPr>
              <w:t xml:space="preserve"> 1 i</w:t>
            </w:r>
            <w:r>
              <w:rPr>
                <w:noProof/>
                <w:vertAlign w:val="superscript"/>
              </w:rPr>
              <w:t>2 stopnia oraz</w:t>
            </w:r>
            <w:r>
              <w:rPr>
                <w:noProof/>
              </w:rPr>
              <w:t xml:space="preserve"> specjalne pilotażowe podmioty zajmujące się opieką zdrowotną i dziedzictwem kulturowym) stosujące wspólny model i system projektowania, upraszczające interakcje z użytkownikami i ułatwiające utrzymanie w nadchodzących latach.</w:t>
            </w:r>
          </w:p>
          <w:p w14:paraId="6B52EDC8" w14:textId="77777777" w:rsidR="004C6421" w:rsidRDefault="009D1962">
            <w:pPr>
              <w:pStyle w:val="P68B1DB1-Normal4"/>
              <w:spacing w:after="120"/>
              <w:rPr>
                <w:noProof/>
              </w:rPr>
            </w:pPr>
            <w:r>
              <w:rPr>
                <w:noProof/>
              </w:rPr>
              <w:t xml:space="preserve">Zgodność ze wspólnym projektem/modelem części składowych stron internetowych/usług obejmuje: </w:t>
            </w:r>
          </w:p>
          <w:p w14:paraId="67790F02" w14:textId="77777777" w:rsidR="004C6421" w:rsidRDefault="009D1962">
            <w:pPr>
              <w:pStyle w:val="P68B1DB1-Normal4"/>
              <w:spacing w:after="120"/>
              <w:rPr>
                <w:noProof/>
              </w:rPr>
            </w:pPr>
            <w:r>
              <w:rPr>
                <w:noProof/>
              </w:rPr>
              <w:t>(1) Ocena przedłożonych projektów;</w:t>
            </w:r>
          </w:p>
          <w:p w14:paraId="2A41BB96" w14:textId="77777777" w:rsidR="004C6421" w:rsidRDefault="009D1962">
            <w:pPr>
              <w:pStyle w:val="P68B1DB1-Normal4"/>
              <w:spacing w:after="120"/>
              <w:rPr>
                <w:noProof/>
              </w:rPr>
            </w:pPr>
            <w:r>
              <w:rPr>
                <w:noProof/>
              </w:rPr>
              <w:t>(2) Ocena ukończenia projektu pod kątem kluczowych wskaźników użyteczności (wskaźniki wykorzystania cyfrowego) za pośrednictwem specjalnej platformy, która jest już dostępna.</w:t>
            </w:r>
          </w:p>
          <w:p w14:paraId="36C626A2" w14:textId="77777777" w:rsidR="004C6421" w:rsidRDefault="009D1962">
            <w:pPr>
              <w:pStyle w:val="P68B1DB1-Normal4"/>
              <w:spacing w:after="120"/>
              <w:rPr>
                <w:noProof/>
              </w:rPr>
            </w:pPr>
            <w:r>
              <w:rPr>
                <w:noProof/>
              </w:rPr>
              <w:t>Gminy muszą zagwarantować zgodność ze wspólnym modelem usług projektowych w odniesieniu do co najmniej 3,5 usługi średnio we wszystkich gminach przyczyniających się do realizacji celu.</w:t>
            </w:r>
          </w:p>
        </w:tc>
      </w:tr>
      <w:tr w:rsidR="004C6421" w14:paraId="4096212C" w14:textId="77777777">
        <w:trPr>
          <w:trHeight w:val="309"/>
        </w:trPr>
        <w:tc>
          <w:tcPr>
            <w:tcW w:w="1284" w:type="dxa"/>
            <w:shd w:val="clear" w:color="auto" w:fill="C6EFCE"/>
            <w:noWrap/>
            <w:vAlign w:val="center"/>
          </w:tcPr>
          <w:p w14:paraId="2147BF7E" w14:textId="77777777" w:rsidR="004C6421" w:rsidRDefault="009D1962">
            <w:pPr>
              <w:pStyle w:val="P68B1DB1-Normal4"/>
              <w:jc w:val="center"/>
              <w:rPr>
                <w:noProof/>
              </w:rPr>
            </w:pPr>
            <w:r>
              <w:rPr>
                <w:noProof/>
              </w:rPr>
              <w:t>M1C1-149</w:t>
            </w:r>
          </w:p>
        </w:tc>
        <w:tc>
          <w:tcPr>
            <w:tcW w:w="1746" w:type="dxa"/>
            <w:shd w:val="clear" w:color="auto" w:fill="C6EFCE"/>
            <w:noWrap/>
            <w:vAlign w:val="center"/>
          </w:tcPr>
          <w:p w14:paraId="5889F6C0" w14:textId="77777777" w:rsidR="004C6421" w:rsidRDefault="009D1962">
            <w:pPr>
              <w:pStyle w:val="P68B1DB1-Normal4"/>
              <w:jc w:val="center"/>
              <w:rPr>
                <w:noProof/>
              </w:rPr>
            </w:pPr>
            <w:r>
              <w:rPr>
                <w:noProof/>
              </w:rPr>
              <w:t>Inwestycja 1.4.3 – Wzmocnienie usług platformy PagoPA i aplikacji „IO”</w:t>
            </w:r>
          </w:p>
        </w:tc>
        <w:tc>
          <w:tcPr>
            <w:tcW w:w="992" w:type="dxa"/>
            <w:shd w:val="clear" w:color="auto" w:fill="C6EFCE"/>
            <w:noWrap/>
            <w:vAlign w:val="center"/>
          </w:tcPr>
          <w:p w14:paraId="3FCC0382" w14:textId="77777777" w:rsidR="004C6421" w:rsidRDefault="009D1962">
            <w:pPr>
              <w:pStyle w:val="P68B1DB1-Normal4"/>
              <w:jc w:val="center"/>
              <w:rPr>
                <w:noProof/>
              </w:rPr>
            </w:pPr>
            <w:r>
              <w:rPr>
                <w:noProof/>
              </w:rPr>
              <w:t>Cel</w:t>
            </w:r>
          </w:p>
        </w:tc>
        <w:tc>
          <w:tcPr>
            <w:tcW w:w="2126" w:type="dxa"/>
            <w:shd w:val="clear" w:color="auto" w:fill="C6EFCE"/>
            <w:noWrap/>
            <w:vAlign w:val="center"/>
          </w:tcPr>
          <w:p w14:paraId="10AF7150" w14:textId="77777777" w:rsidR="004C6421" w:rsidRDefault="009D1962">
            <w:pPr>
              <w:pStyle w:val="P68B1DB1-Normal4"/>
              <w:jc w:val="center"/>
              <w:rPr>
                <w:noProof/>
              </w:rPr>
            </w:pPr>
            <w:r>
              <w:rPr>
                <w:noProof/>
              </w:rPr>
              <w:t>Zwiększenie skali przyjęcia usług platformowych PagoPA T2</w:t>
            </w:r>
          </w:p>
        </w:tc>
        <w:tc>
          <w:tcPr>
            <w:tcW w:w="1701" w:type="dxa"/>
            <w:shd w:val="clear" w:color="auto" w:fill="C6EFCE"/>
            <w:noWrap/>
            <w:vAlign w:val="center"/>
          </w:tcPr>
          <w:p w14:paraId="359AD0CC"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0F48E792" w14:textId="77777777" w:rsidR="004C6421" w:rsidRDefault="009D1962">
            <w:pPr>
              <w:pStyle w:val="P68B1DB1-Normal4"/>
              <w:jc w:val="center"/>
              <w:rPr>
                <w:noProof/>
              </w:rPr>
            </w:pPr>
            <w:r>
              <w:rPr>
                <w:noProof/>
              </w:rPr>
              <w:t>Numer</w:t>
            </w:r>
          </w:p>
        </w:tc>
        <w:tc>
          <w:tcPr>
            <w:tcW w:w="1276" w:type="dxa"/>
            <w:shd w:val="clear" w:color="auto" w:fill="C6EFCE"/>
            <w:noWrap/>
            <w:vAlign w:val="center"/>
          </w:tcPr>
          <w:p w14:paraId="7AE88E1F" w14:textId="77777777" w:rsidR="004C6421" w:rsidRDefault="009D1962">
            <w:pPr>
              <w:pStyle w:val="P68B1DB1-Normal4"/>
              <w:jc w:val="center"/>
              <w:rPr>
                <w:noProof/>
              </w:rPr>
            </w:pPr>
            <w:r>
              <w:rPr>
                <w:noProof/>
              </w:rPr>
              <w:t>11 450</w:t>
            </w:r>
          </w:p>
        </w:tc>
        <w:tc>
          <w:tcPr>
            <w:tcW w:w="1417" w:type="dxa"/>
            <w:shd w:val="clear" w:color="auto" w:fill="C6EFCE"/>
            <w:noWrap/>
            <w:vAlign w:val="center"/>
          </w:tcPr>
          <w:p w14:paraId="46A14368" w14:textId="77777777" w:rsidR="004C6421" w:rsidRDefault="009D1962">
            <w:pPr>
              <w:pStyle w:val="P68B1DB1-Normal4"/>
              <w:jc w:val="center"/>
              <w:rPr>
                <w:noProof/>
              </w:rPr>
            </w:pPr>
            <w:r>
              <w:rPr>
                <w:noProof/>
              </w:rPr>
              <w:t>14 100</w:t>
            </w:r>
          </w:p>
        </w:tc>
        <w:tc>
          <w:tcPr>
            <w:tcW w:w="793" w:type="dxa"/>
            <w:shd w:val="clear" w:color="auto" w:fill="C6EFCE"/>
            <w:noWrap/>
            <w:vAlign w:val="center"/>
          </w:tcPr>
          <w:p w14:paraId="33A3C845" w14:textId="77777777" w:rsidR="004C6421" w:rsidRDefault="009D1962">
            <w:pPr>
              <w:pStyle w:val="P68B1DB1-Normal4"/>
              <w:jc w:val="center"/>
              <w:rPr>
                <w:noProof/>
              </w:rPr>
            </w:pPr>
            <w:r>
              <w:rPr>
                <w:noProof/>
              </w:rPr>
              <w:t>II KW.</w:t>
            </w:r>
          </w:p>
        </w:tc>
        <w:tc>
          <w:tcPr>
            <w:tcW w:w="625" w:type="dxa"/>
            <w:shd w:val="clear" w:color="auto" w:fill="C6EFCE"/>
            <w:noWrap/>
            <w:vAlign w:val="center"/>
          </w:tcPr>
          <w:p w14:paraId="2D46D097" w14:textId="77777777" w:rsidR="004C6421" w:rsidRDefault="009D1962">
            <w:pPr>
              <w:pStyle w:val="P68B1DB1-Normal4"/>
              <w:jc w:val="center"/>
              <w:rPr>
                <w:noProof/>
              </w:rPr>
            </w:pPr>
            <w:r>
              <w:rPr>
                <w:noProof/>
              </w:rPr>
              <w:t>2026</w:t>
            </w:r>
          </w:p>
        </w:tc>
        <w:tc>
          <w:tcPr>
            <w:tcW w:w="2584" w:type="dxa"/>
            <w:shd w:val="clear" w:color="auto" w:fill="C6EFCE"/>
            <w:noWrap/>
            <w:vAlign w:val="center"/>
          </w:tcPr>
          <w:p w14:paraId="10BCFC50" w14:textId="77777777" w:rsidR="004C6421" w:rsidRDefault="009D1962">
            <w:pPr>
              <w:pStyle w:val="P68B1DB1-Normal4"/>
              <w:spacing w:after="120"/>
              <w:rPr>
                <w:noProof/>
              </w:rPr>
            </w:pPr>
            <w:r>
              <w:rPr>
                <w:noProof/>
              </w:rPr>
              <w:t>Zwiększenie skali przyjęcia usług platformowych PagoPA T2</w:t>
            </w:r>
          </w:p>
          <w:p w14:paraId="3D28392B" w14:textId="77777777" w:rsidR="004C6421" w:rsidRDefault="009D1962">
            <w:pPr>
              <w:pStyle w:val="P68B1DB1-Normal4"/>
              <w:spacing w:after="120"/>
              <w:rPr>
                <w:noProof/>
              </w:rPr>
            </w:pPr>
            <w:r>
              <w:rPr>
                <w:noProof/>
              </w:rPr>
              <w:t>— administracja publiczna już dołączająca do platformy (11450 podmiotów);</w:t>
            </w:r>
          </w:p>
          <w:p w14:paraId="4B25F1A0" w14:textId="77777777" w:rsidR="004C6421" w:rsidRDefault="009D1962">
            <w:pPr>
              <w:pStyle w:val="P68B1DB1-Normal4"/>
              <w:spacing w:after="120"/>
              <w:rPr>
                <w:noProof/>
              </w:rPr>
            </w:pPr>
            <w:r>
              <w:rPr>
                <w:noProof/>
              </w:rPr>
              <w:t>— nowe organy administracji publicznej przystępujące do platformy (2650 nowych podmiotów).</w:t>
            </w:r>
          </w:p>
          <w:p w14:paraId="09B35A26" w14:textId="77777777" w:rsidR="004C6421" w:rsidRDefault="009D1962">
            <w:pPr>
              <w:pStyle w:val="P68B1DB1-Normal4"/>
              <w:spacing w:after="120"/>
              <w:rPr>
                <w:noProof/>
              </w:rPr>
            </w:pPr>
            <w:r>
              <w:rPr>
                <w:noProof/>
              </w:rPr>
              <w:t>Liczba usług, które zostaną zintegrowane, zależy od rodzaju administracji (ostatecznym celem jest zapewnienie średnio 35 usług dla gmin, 15 usług dla regionów, 15 usług dla organów służby zdrowia, 8 usług dla szkół i uniwersytetów).</w:t>
            </w:r>
          </w:p>
        </w:tc>
      </w:tr>
      <w:tr w:rsidR="004C6421" w14:paraId="08DFF418" w14:textId="77777777">
        <w:trPr>
          <w:trHeight w:val="309"/>
        </w:trPr>
        <w:tc>
          <w:tcPr>
            <w:tcW w:w="1284" w:type="dxa"/>
            <w:shd w:val="clear" w:color="auto" w:fill="C6EFCE"/>
            <w:noWrap/>
            <w:vAlign w:val="center"/>
          </w:tcPr>
          <w:p w14:paraId="5A8365C1" w14:textId="77777777" w:rsidR="004C6421" w:rsidRDefault="009D1962">
            <w:pPr>
              <w:pStyle w:val="P68B1DB1-Normal4"/>
              <w:jc w:val="center"/>
              <w:rPr>
                <w:noProof/>
              </w:rPr>
            </w:pPr>
            <w:r>
              <w:rPr>
                <w:noProof/>
              </w:rPr>
              <w:t>M1C1-150</w:t>
            </w:r>
          </w:p>
        </w:tc>
        <w:tc>
          <w:tcPr>
            <w:tcW w:w="1746" w:type="dxa"/>
            <w:shd w:val="clear" w:color="auto" w:fill="C6EFCE"/>
            <w:noWrap/>
            <w:vAlign w:val="center"/>
          </w:tcPr>
          <w:p w14:paraId="7DE395F8" w14:textId="77777777" w:rsidR="004C6421" w:rsidRDefault="009D1962">
            <w:pPr>
              <w:pStyle w:val="P68B1DB1-Normal4"/>
              <w:jc w:val="center"/>
              <w:rPr>
                <w:noProof/>
              </w:rPr>
            </w:pPr>
            <w:r>
              <w:rPr>
                <w:noProof/>
              </w:rPr>
              <w:t>Inwestycja 1.4.3 – Wzmocnienie usług platformy PagoPA i aplikacji „IO”</w:t>
            </w:r>
          </w:p>
        </w:tc>
        <w:tc>
          <w:tcPr>
            <w:tcW w:w="992" w:type="dxa"/>
            <w:shd w:val="clear" w:color="auto" w:fill="C6EFCE"/>
            <w:noWrap/>
            <w:vAlign w:val="center"/>
          </w:tcPr>
          <w:p w14:paraId="1EFD4AC6" w14:textId="77777777" w:rsidR="004C6421" w:rsidRDefault="009D1962">
            <w:pPr>
              <w:pStyle w:val="P68B1DB1-Normal4"/>
              <w:jc w:val="center"/>
              <w:rPr>
                <w:noProof/>
              </w:rPr>
            </w:pPr>
            <w:r>
              <w:rPr>
                <w:noProof/>
              </w:rPr>
              <w:t>Cel</w:t>
            </w:r>
          </w:p>
        </w:tc>
        <w:tc>
          <w:tcPr>
            <w:tcW w:w="2126" w:type="dxa"/>
            <w:shd w:val="clear" w:color="auto" w:fill="C6EFCE"/>
            <w:noWrap/>
            <w:vAlign w:val="center"/>
          </w:tcPr>
          <w:p w14:paraId="762A552F" w14:textId="77777777" w:rsidR="004C6421" w:rsidRDefault="009D1962">
            <w:pPr>
              <w:pStyle w:val="P68B1DB1-Normal4"/>
              <w:jc w:val="center"/>
              <w:rPr>
                <w:noProof/>
              </w:rPr>
            </w:pPr>
            <w:r>
              <w:rPr>
                <w:noProof/>
              </w:rPr>
              <w:t>Zwiększenie skali przyjęcia aplikacji T2 „IO”</w:t>
            </w:r>
          </w:p>
        </w:tc>
        <w:tc>
          <w:tcPr>
            <w:tcW w:w="1701" w:type="dxa"/>
            <w:shd w:val="clear" w:color="auto" w:fill="C6EFCE"/>
            <w:noWrap/>
            <w:vAlign w:val="center"/>
          </w:tcPr>
          <w:p w14:paraId="5112E24F"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5C80E2D0" w14:textId="77777777" w:rsidR="004C6421" w:rsidRDefault="009D1962">
            <w:pPr>
              <w:pStyle w:val="P68B1DB1-Normal4"/>
              <w:jc w:val="center"/>
              <w:rPr>
                <w:noProof/>
              </w:rPr>
            </w:pPr>
            <w:r>
              <w:rPr>
                <w:noProof/>
              </w:rPr>
              <w:t>Numer</w:t>
            </w:r>
          </w:p>
        </w:tc>
        <w:tc>
          <w:tcPr>
            <w:tcW w:w="1276" w:type="dxa"/>
            <w:shd w:val="clear" w:color="auto" w:fill="C6EFCE"/>
            <w:noWrap/>
            <w:vAlign w:val="center"/>
          </w:tcPr>
          <w:p w14:paraId="578A37E7" w14:textId="77777777" w:rsidR="004C6421" w:rsidRDefault="009D1962">
            <w:pPr>
              <w:pStyle w:val="P68B1DB1-Normal4"/>
              <w:jc w:val="center"/>
              <w:rPr>
                <w:noProof/>
              </w:rPr>
            </w:pPr>
            <w:r>
              <w:rPr>
                <w:noProof/>
              </w:rPr>
              <w:t>7 000</w:t>
            </w:r>
          </w:p>
        </w:tc>
        <w:tc>
          <w:tcPr>
            <w:tcW w:w="1417" w:type="dxa"/>
            <w:shd w:val="clear" w:color="auto" w:fill="C6EFCE"/>
            <w:noWrap/>
            <w:vAlign w:val="center"/>
          </w:tcPr>
          <w:p w14:paraId="6C8F79CC" w14:textId="77777777" w:rsidR="004C6421" w:rsidRDefault="009D1962">
            <w:pPr>
              <w:pStyle w:val="P68B1DB1-Normal4"/>
              <w:jc w:val="center"/>
              <w:rPr>
                <w:noProof/>
              </w:rPr>
            </w:pPr>
            <w:r>
              <w:rPr>
                <w:noProof/>
              </w:rPr>
              <w:t>14 100</w:t>
            </w:r>
          </w:p>
        </w:tc>
        <w:tc>
          <w:tcPr>
            <w:tcW w:w="793" w:type="dxa"/>
            <w:shd w:val="clear" w:color="auto" w:fill="C6EFCE"/>
            <w:noWrap/>
            <w:vAlign w:val="center"/>
          </w:tcPr>
          <w:p w14:paraId="574081FE" w14:textId="77777777" w:rsidR="004C6421" w:rsidRDefault="009D1962">
            <w:pPr>
              <w:pStyle w:val="P68B1DB1-Normal4"/>
              <w:jc w:val="center"/>
              <w:rPr>
                <w:noProof/>
              </w:rPr>
            </w:pPr>
            <w:r>
              <w:rPr>
                <w:noProof/>
              </w:rPr>
              <w:t>II KW.</w:t>
            </w:r>
          </w:p>
        </w:tc>
        <w:tc>
          <w:tcPr>
            <w:tcW w:w="625" w:type="dxa"/>
            <w:shd w:val="clear" w:color="auto" w:fill="C6EFCE"/>
            <w:noWrap/>
            <w:vAlign w:val="center"/>
          </w:tcPr>
          <w:p w14:paraId="60C7C2EA" w14:textId="77777777" w:rsidR="004C6421" w:rsidRDefault="009D1962">
            <w:pPr>
              <w:pStyle w:val="P68B1DB1-Normal4"/>
              <w:jc w:val="center"/>
              <w:rPr>
                <w:noProof/>
              </w:rPr>
            </w:pPr>
            <w:r>
              <w:rPr>
                <w:noProof/>
              </w:rPr>
              <w:t>2026</w:t>
            </w:r>
          </w:p>
        </w:tc>
        <w:tc>
          <w:tcPr>
            <w:tcW w:w="2584" w:type="dxa"/>
            <w:shd w:val="clear" w:color="auto" w:fill="C6EFCE"/>
            <w:noWrap/>
            <w:vAlign w:val="center"/>
          </w:tcPr>
          <w:p w14:paraId="6A8D7C72" w14:textId="77777777" w:rsidR="004C6421" w:rsidRDefault="009D1962">
            <w:pPr>
              <w:pStyle w:val="P68B1DB1-Normal4"/>
              <w:spacing w:after="120"/>
              <w:rPr>
                <w:noProof/>
              </w:rPr>
            </w:pPr>
            <w:r>
              <w:rPr>
                <w:noProof/>
              </w:rPr>
              <w:t>Zapewnienie zwiększenia liczby usług włączonych do dokumentu „IO „Aplikacja do:</w:t>
            </w:r>
          </w:p>
          <w:p w14:paraId="50EC21C4" w14:textId="77777777" w:rsidR="004C6421" w:rsidRDefault="009D1962">
            <w:pPr>
              <w:pStyle w:val="P68B1DB1-Normal4"/>
              <w:spacing w:after="120"/>
              <w:rPr>
                <w:noProof/>
              </w:rPr>
            </w:pPr>
            <w:r>
              <w:rPr>
                <w:noProof/>
              </w:rPr>
              <w:t>— administracja publiczna wykorzystująca już IO (7000 podmiotów);</w:t>
            </w:r>
          </w:p>
          <w:p w14:paraId="0DD83BD1" w14:textId="77777777" w:rsidR="004C6421" w:rsidRDefault="009D1962">
            <w:pPr>
              <w:pStyle w:val="P68B1DB1-Normal4"/>
              <w:spacing w:after="120"/>
              <w:rPr>
                <w:noProof/>
              </w:rPr>
            </w:pPr>
            <w:r>
              <w:rPr>
                <w:noProof/>
              </w:rPr>
              <w:t>— nowe organy administracji publicznej przystępujące do platformy (około 7100 nowych podmiotów).</w:t>
            </w:r>
          </w:p>
          <w:p w14:paraId="3B7B6BB6" w14:textId="77777777" w:rsidR="004C6421" w:rsidRDefault="009D1962">
            <w:pPr>
              <w:pStyle w:val="P68B1DB1-Normal4"/>
              <w:spacing w:after="120"/>
              <w:rPr>
                <w:noProof/>
              </w:rPr>
            </w:pPr>
            <w:r>
              <w:rPr>
                <w:noProof/>
              </w:rPr>
              <w:t>Liczba usług, które zostaną zintegrowane, zależy od rodzaju administracji (ostatecznym celem jest zapewnienie średnio 35 usług dla gmin, 15 usług dla regionów, 15 usług dla organów służby zdrowia, 8 usług dla szkół i uniwersytetów).</w:t>
            </w:r>
          </w:p>
        </w:tc>
      </w:tr>
      <w:tr w:rsidR="004C6421" w14:paraId="7AD1AF9F" w14:textId="77777777">
        <w:trPr>
          <w:trHeight w:val="309"/>
        </w:trPr>
        <w:tc>
          <w:tcPr>
            <w:tcW w:w="1284" w:type="dxa"/>
            <w:shd w:val="clear" w:color="auto" w:fill="C6EFCE"/>
            <w:noWrap/>
            <w:vAlign w:val="center"/>
          </w:tcPr>
          <w:p w14:paraId="12A4016E" w14:textId="77777777" w:rsidR="004C6421" w:rsidRDefault="009D1962">
            <w:pPr>
              <w:pStyle w:val="P68B1DB1-Normal4"/>
              <w:jc w:val="center"/>
              <w:rPr>
                <w:noProof/>
              </w:rPr>
            </w:pPr>
            <w:r>
              <w:rPr>
                <w:noProof/>
              </w:rPr>
              <w:t>M1C1-151</w:t>
            </w:r>
          </w:p>
        </w:tc>
        <w:tc>
          <w:tcPr>
            <w:tcW w:w="1746" w:type="dxa"/>
            <w:shd w:val="clear" w:color="auto" w:fill="C6EFCE"/>
            <w:noWrap/>
            <w:vAlign w:val="center"/>
          </w:tcPr>
          <w:p w14:paraId="38D7A217" w14:textId="77777777" w:rsidR="004C6421" w:rsidRDefault="009D1962">
            <w:pPr>
              <w:pStyle w:val="P68B1DB1-Normal4"/>
              <w:jc w:val="center"/>
              <w:rPr>
                <w:noProof/>
              </w:rPr>
            </w:pPr>
            <w:r>
              <w:rPr>
                <w:noProof/>
              </w:rPr>
              <w:t>Inwestycje 1.4.5 – Cyfryzacja ogłoszeń publicznych</w:t>
            </w:r>
          </w:p>
        </w:tc>
        <w:tc>
          <w:tcPr>
            <w:tcW w:w="992" w:type="dxa"/>
            <w:shd w:val="clear" w:color="auto" w:fill="C6EFCE"/>
            <w:noWrap/>
            <w:vAlign w:val="center"/>
          </w:tcPr>
          <w:p w14:paraId="437230FC" w14:textId="77777777" w:rsidR="004C6421" w:rsidRDefault="009D1962">
            <w:pPr>
              <w:pStyle w:val="P68B1DB1-Normal4"/>
              <w:jc w:val="center"/>
              <w:rPr>
                <w:noProof/>
              </w:rPr>
            </w:pPr>
            <w:r>
              <w:rPr>
                <w:noProof/>
              </w:rPr>
              <w:t>Cel</w:t>
            </w:r>
          </w:p>
        </w:tc>
        <w:tc>
          <w:tcPr>
            <w:tcW w:w="2126" w:type="dxa"/>
            <w:shd w:val="clear" w:color="auto" w:fill="C6EFCE"/>
            <w:noWrap/>
            <w:vAlign w:val="center"/>
          </w:tcPr>
          <w:p w14:paraId="0ECE0B37" w14:textId="77777777" w:rsidR="004C6421" w:rsidRDefault="009D1962">
            <w:pPr>
              <w:pStyle w:val="P68B1DB1-Normal4"/>
              <w:jc w:val="center"/>
              <w:rPr>
                <w:noProof/>
              </w:rPr>
            </w:pPr>
            <w:r>
              <w:rPr>
                <w:noProof/>
              </w:rPr>
              <w:t>Zwiększenie skali przyjmowania cyfrowych ogłoszeń publicznych T2</w:t>
            </w:r>
          </w:p>
        </w:tc>
        <w:tc>
          <w:tcPr>
            <w:tcW w:w="1701" w:type="dxa"/>
            <w:shd w:val="clear" w:color="auto" w:fill="C6EFCE"/>
            <w:noWrap/>
            <w:vAlign w:val="center"/>
          </w:tcPr>
          <w:p w14:paraId="11910464"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036227C7" w14:textId="77777777" w:rsidR="004C6421" w:rsidRDefault="009D1962">
            <w:pPr>
              <w:pStyle w:val="P68B1DB1-Normal4"/>
              <w:jc w:val="center"/>
              <w:rPr>
                <w:noProof/>
              </w:rPr>
            </w:pPr>
            <w:r>
              <w:rPr>
                <w:noProof/>
              </w:rPr>
              <w:t>Numer</w:t>
            </w:r>
          </w:p>
        </w:tc>
        <w:tc>
          <w:tcPr>
            <w:tcW w:w="1276" w:type="dxa"/>
            <w:shd w:val="clear" w:color="auto" w:fill="C6EFCE"/>
            <w:noWrap/>
            <w:vAlign w:val="center"/>
          </w:tcPr>
          <w:p w14:paraId="679CC0A7" w14:textId="77777777" w:rsidR="004C6421" w:rsidRDefault="009D1962">
            <w:pPr>
              <w:pStyle w:val="P68B1DB1-Normal4"/>
              <w:jc w:val="center"/>
              <w:rPr>
                <w:noProof/>
              </w:rPr>
            </w:pPr>
            <w:r>
              <w:rPr>
                <w:noProof/>
              </w:rPr>
              <w:t>800</w:t>
            </w:r>
          </w:p>
        </w:tc>
        <w:tc>
          <w:tcPr>
            <w:tcW w:w="1417" w:type="dxa"/>
            <w:shd w:val="clear" w:color="auto" w:fill="C6EFCE"/>
            <w:noWrap/>
            <w:vAlign w:val="center"/>
          </w:tcPr>
          <w:p w14:paraId="0397ABD3" w14:textId="77777777" w:rsidR="004C6421" w:rsidRDefault="009D1962">
            <w:pPr>
              <w:pStyle w:val="P68B1DB1-Normal4"/>
              <w:jc w:val="center"/>
              <w:rPr>
                <w:noProof/>
              </w:rPr>
            </w:pPr>
            <w:r>
              <w:rPr>
                <w:noProof/>
              </w:rPr>
              <w:t>6 400</w:t>
            </w:r>
          </w:p>
        </w:tc>
        <w:tc>
          <w:tcPr>
            <w:tcW w:w="793" w:type="dxa"/>
            <w:shd w:val="clear" w:color="auto" w:fill="C6EFCE"/>
            <w:noWrap/>
            <w:vAlign w:val="center"/>
          </w:tcPr>
          <w:p w14:paraId="6CA7795E" w14:textId="77777777" w:rsidR="004C6421" w:rsidRDefault="009D1962">
            <w:pPr>
              <w:pStyle w:val="P68B1DB1-Normal4"/>
              <w:jc w:val="center"/>
              <w:rPr>
                <w:noProof/>
              </w:rPr>
            </w:pPr>
            <w:r>
              <w:rPr>
                <w:noProof/>
              </w:rPr>
              <w:t>II KW.</w:t>
            </w:r>
          </w:p>
        </w:tc>
        <w:tc>
          <w:tcPr>
            <w:tcW w:w="625" w:type="dxa"/>
            <w:shd w:val="clear" w:color="auto" w:fill="C6EFCE"/>
            <w:noWrap/>
            <w:vAlign w:val="center"/>
          </w:tcPr>
          <w:p w14:paraId="6FE8026F" w14:textId="77777777" w:rsidR="004C6421" w:rsidRDefault="009D1962">
            <w:pPr>
              <w:pStyle w:val="P68B1DB1-Normal4"/>
              <w:jc w:val="center"/>
              <w:rPr>
                <w:noProof/>
              </w:rPr>
            </w:pPr>
            <w:r>
              <w:rPr>
                <w:noProof/>
              </w:rPr>
              <w:t>2026</w:t>
            </w:r>
          </w:p>
        </w:tc>
        <w:tc>
          <w:tcPr>
            <w:tcW w:w="2584" w:type="dxa"/>
            <w:shd w:val="clear" w:color="auto" w:fill="C6EFCE"/>
            <w:noWrap/>
            <w:vAlign w:val="center"/>
          </w:tcPr>
          <w:p w14:paraId="32B23CC2" w14:textId="77777777" w:rsidR="004C6421" w:rsidRDefault="009D1962">
            <w:pPr>
              <w:pStyle w:val="P68B1DB1-Normal4"/>
              <w:spacing w:after="120"/>
              <w:rPr>
                <w:noProof/>
              </w:rPr>
            </w:pPr>
            <w:r>
              <w:rPr>
                <w:noProof/>
              </w:rPr>
              <w:t>Co najmniej 6400 centralnych administracji publicznych i gmin, w odniesieniu do platformy powiadomień cyfrowych, przekazuje obywatelom, podmiotom prawnym, stowarzyszeniom i wszelkim innym podmiotom publicznym lub prywatnym prawnie wiążące zawiadomienia cyfrowe.</w:t>
            </w:r>
          </w:p>
        </w:tc>
      </w:tr>
      <w:tr w:rsidR="004C6421" w14:paraId="003AFD10" w14:textId="77777777">
        <w:trPr>
          <w:trHeight w:val="309"/>
        </w:trPr>
        <w:tc>
          <w:tcPr>
            <w:tcW w:w="1284" w:type="dxa"/>
            <w:shd w:val="clear" w:color="auto" w:fill="C6EFCE"/>
            <w:noWrap/>
            <w:vAlign w:val="center"/>
            <w:hideMark/>
          </w:tcPr>
          <w:p w14:paraId="594B5C19" w14:textId="77777777" w:rsidR="004C6421" w:rsidRDefault="009D1962">
            <w:pPr>
              <w:pStyle w:val="P68B1DB1-Normal4"/>
              <w:jc w:val="center"/>
              <w:rPr>
                <w:noProof/>
              </w:rPr>
            </w:pPr>
            <w:r>
              <w:rPr>
                <w:noProof/>
              </w:rPr>
              <w:t>M1C1-152</w:t>
            </w:r>
          </w:p>
        </w:tc>
        <w:tc>
          <w:tcPr>
            <w:tcW w:w="1746" w:type="dxa"/>
            <w:shd w:val="clear" w:color="auto" w:fill="C6EFCE"/>
            <w:noWrap/>
            <w:vAlign w:val="center"/>
            <w:hideMark/>
          </w:tcPr>
          <w:p w14:paraId="3B19164E" w14:textId="77777777" w:rsidR="004C6421" w:rsidRDefault="009D1962">
            <w:pPr>
              <w:pStyle w:val="P68B1DB1-Normal4"/>
              <w:jc w:val="center"/>
              <w:rPr>
                <w:noProof/>
              </w:rPr>
            </w:pPr>
            <w:r>
              <w:rPr>
                <w:noProof/>
              </w:rPr>
              <w:t>Inwestycja 1.6.1 – Cyfryzacja Ministerstwa Spraw Wewnętrznych</w:t>
            </w:r>
          </w:p>
        </w:tc>
        <w:tc>
          <w:tcPr>
            <w:tcW w:w="992" w:type="dxa"/>
            <w:shd w:val="clear" w:color="auto" w:fill="C6EFCE"/>
            <w:noWrap/>
            <w:vAlign w:val="center"/>
            <w:hideMark/>
          </w:tcPr>
          <w:p w14:paraId="4C798567" w14:textId="77777777" w:rsidR="004C6421" w:rsidRDefault="009D1962">
            <w:pPr>
              <w:pStyle w:val="P68B1DB1-Normal4"/>
              <w:jc w:val="center"/>
              <w:rPr>
                <w:noProof/>
              </w:rPr>
            </w:pPr>
            <w:r>
              <w:rPr>
                <w:noProof/>
              </w:rPr>
              <w:t>Cel</w:t>
            </w:r>
          </w:p>
        </w:tc>
        <w:tc>
          <w:tcPr>
            <w:tcW w:w="2126" w:type="dxa"/>
            <w:shd w:val="clear" w:color="auto" w:fill="C6EFCE"/>
            <w:noWrap/>
            <w:vAlign w:val="center"/>
            <w:hideMark/>
          </w:tcPr>
          <w:p w14:paraId="6CFF9CCD" w14:textId="77777777" w:rsidR="004C6421" w:rsidRDefault="009D1962">
            <w:pPr>
              <w:pStyle w:val="P68B1DB1-Normal4"/>
              <w:jc w:val="center"/>
              <w:rPr>
                <w:noProof/>
              </w:rPr>
            </w:pPr>
            <w:r>
              <w:rPr>
                <w:noProof/>
              </w:rPr>
              <w:t>Ministerstwo Spraw Wewnętrznych – w pełni przeprojektowane i zdigitalizowane procesy T2</w:t>
            </w:r>
          </w:p>
        </w:tc>
        <w:tc>
          <w:tcPr>
            <w:tcW w:w="1701" w:type="dxa"/>
            <w:shd w:val="clear" w:color="auto" w:fill="C6EFCE"/>
            <w:noWrap/>
            <w:vAlign w:val="center"/>
            <w:hideMark/>
          </w:tcPr>
          <w:p w14:paraId="252F6341" w14:textId="77777777" w:rsidR="004C6421" w:rsidRDefault="009D1962">
            <w:pPr>
              <w:pStyle w:val="P68B1DB1-Normal4"/>
              <w:jc w:val="center"/>
              <w:rPr>
                <w:noProof/>
              </w:rPr>
            </w:pPr>
            <w:r>
              <w:rPr>
                <w:noProof/>
              </w:rPr>
              <w:t>NIE DOT.</w:t>
            </w:r>
          </w:p>
        </w:tc>
        <w:tc>
          <w:tcPr>
            <w:tcW w:w="1134" w:type="dxa"/>
            <w:shd w:val="clear" w:color="auto" w:fill="C6EFCE"/>
            <w:noWrap/>
            <w:vAlign w:val="center"/>
            <w:hideMark/>
          </w:tcPr>
          <w:p w14:paraId="25FF74FB" w14:textId="77777777" w:rsidR="004C6421" w:rsidRDefault="009D1962">
            <w:pPr>
              <w:pStyle w:val="P68B1DB1-Normal4"/>
              <w:jc w:val="center"/>
              <w:rPr>
                <w:noProof/>
              </w:rPr>
            </w:pPr>
            <w:r>
              <w:rPr>
                <w:noProof/>
              </w:rPr>
              <w:t>Numer</w:t>
            </w:r>
          </w:p>
        </w:tc>
        <w:tc>
          <w:tcPr>
            <w:tcW w:w="1276" w:type="dxa"/>
            <w:shd w:val="clear" w:color="auto" w:fill="C6EFCE"/>
            <w:noWrap/>
            <w:vAlign w:val="center"/>
            <w:hideMark/>
          </w:tcPr>
          <w:p w14:paraId="543775C8" w14:textId="77777777" w:rsidR="004C6421" w:rsidRDefault="009D1962">
            <w:pPr>
              <w:pStyle w:val="P68B1DB1-Normal4"/>
              <w:jc w:val="center"/>
              <w:rPr>
                <w:noProof/>
              </w:rPr>
            </w:pPr>
            <w:r>
              <w:rPr>
                <w:noProof/>
              </w:rPr>
              <w:t>7</w:t>
            </w:r>
          </w:p>
        </w:tc>
        <w:tc>
          <w:tcPr>
            <w:tcW w:w="1417" w:type="dxa"/>
            <w:shd w:val="clear" w:color="auto" w:fill="C6EFCE"/>
            <w:noWrap/>
            <w:vAlign w:val="center"/>
            <w:hideMark/>
          </w:tcPr>
          <w:p w14:paraId="6EAE6720" w14:textId="77777777" w:rsidR="004C6421" w:rsidRDefault="009D1962">
            <w:pPr>
              <w:pStyle w:val="P68B1DB1-Normal4"/>
              <w:jc w:val="center"/>
              <w:rPr>
                <w:noProof/>
              </w:rPr>
            </w:pPr>
            <w:r>
              <w:rPr>
                <w:noProof/>
              </w:rPr>
              <w:t>45</w:t>
            </w:r>
          </w:p>
        </w:tc>
        <w:tc>
          <w:tcPr>
            <w:tcW w:w="793" w:type="dxa"/>
            <w:shd w:val="clear" w:color="auto" w:fill="C6EFCE"/>
            <w:noWrap/>
            <w:vAlign w:val="center"/>
            <w:hideMark/>
          </w:tcPr>
          <w:p w14:paraId="33B71EED" w14:textId="77777777" w:rsidR="004C6421" w:rsidRDefault="009D1962">
            <w:pPr>
              <w:pStyle w:val="P68B1DB1-Normal4"/>
              <w:jc w:val="center"/>
              <w:rPr>
                <w:noProof/>
              </w:rPr>
            </w:pPr>
            <w:r>
              <w:rPr>
                <w:noProof/>
              </w:rPr>
              <w:t>II KW.</w:t>
            </w:r>
          </w:p>
        </w:tc>
        <w:tc>
          <w:tcPr>
            <w:tcW w:w="625" w:type="dxa"/>
            <w:shd w:val="clear" w:color="auto" w:fill="C6EFCE"/>
            <w:noWrap/>
            <w:vAlign w:val="center"/>
            <w:hideMark/>
          </w:tcPr>
          <w:p w14:paraId="132A3DF2" w14:textId="77777777" w:rsidR="004C6421" w:rsidRDefault="009D1962">
            <w:pPr>
              <w:pStyle w:val="P68B1DB1-Normal4"/>
              <w:jc w:val="center"/>
              <w:rPr>
                <w:noProof/>
              </w:rPr>
            </w:pPr>
            <w:r>
              <w:rPr>
                <w:noProof/>
              </w:rPr>
              <w:t>2026</w:t>
            </w:r>
          </w:p>
        </w:tc>
        <w:tc>
          <w:tcPr>
            <w:tcW w:w="2584" w:type="dxa"/>
            <w:shd w:val="clear" w:color="auto" w:fill="C6EFCE"/>
            <w:noWrap/>
            <w:vAlign w:val="center"/>
            <w:hideMark/>
          </w:tcPr>
          <w:p w14:paraId="56972A34" w14:textId="77777777" w:rsidR="004C6421" w:rsidRDefault="009D1962">
            <w:pPr>
              <w:pStyle w:val="P68B1DB1-Normal4"/>
              <w:spacing w:after="120"/>
              <w:rPr>
                <w:noProof/>
              </w:rPr>
            </w:pPr>
            <w:r>
              <w:rPr>
                <w:noProof/>
              </w:rPr>
              <w:t>Wewnętrzne procedury i procesy w pełni przeprojektowane (łącznie 45 procesów do 31 sierpnia 2026 r.), które można całkowicie zakończyć online (takie jak automatyzacja biur, usługi w zakresie mobilności i e-uczenie się).</w:t>
            </w:r>
          </w:p>
        </w:tc>
      </w:tr>
      <w:tr w:rsidR="004C6421" w14:paraId="1BD75187" w14:textId="77777777">
        <w:trPr>
          <w:trHeight w:val="309"/>
        </w:trPr>
        <w:tc>
          <w:tcPr>
            <w:tcW w:w="1284" w:type="dxa"/>
            <w:shd w:val="clear" w:color="auto" w:fill="C6EFCE"/>
            <w:noWrap/>
            <w:vAlign w:val="center"/>
            <w:hideMark/>
          </w:tcPr>
          <w:p w14:paraId="720AFF10" w14:textId="77777777" w:rsidR="004C6421" w:rsidRDefault="009D1962">
            <w:pPr>
              <w:pStyle w:val="P68B1DB1-Normal4"/>
              <w:jc w:val="center"/>
              <w:rPr>
                <w:noProof/>
              </w:rPr>
            </w:pPr>
            <w:r>
              <w:rPr>
                <w:noProof/>
              </w:rPr>
              <w:t>M1C1-153</w:t>
            </w:r>
          </w:p>
        </w:tc>
        <w:tc>
          <w:tcPr>
            <w:tcW w:w="1746" w:type="dxa"/>
            <w:shd w:val="clear" w:color="auto" w:fill="C6EFCE"/>
            <w:noWrap/>
            <w:vAlign w:val="center"/>
            <w:hideMark/>
          </w:tcPr>
          <w:p w14:paraId="2AE8081E" w14:textId="77777777" w:rsidR="004C6421" w:rsidRDefault="009D1962">
            <w:pPr>
              <w:pStyle w:val="P68B1DB1-Normal4"/>
              <w:jc w:val="center"/>
              <w:rPr>
                <w:noProof/>
              </w:rPr>
            </w:pPr>
            <w:r>
              <w:rPr>
                <w:noProof/>
              </w:rPr>
              <w:t>Inwestycje 1.6.2 – Cyfryzacja Ministerstwa Sprawiedliwości</w:t>
            </w:r>
          </w:p>
        </w:tc>
        <w:tc>
          <w:tcPr>
            <w:tcW w:w="992" w:type="dxa"/>
            <w:shd w:val="clear" w:color="auto" w:fill="C6EFCE"/>
            <w:noWrap/>
            <w:vAlign w:val="center"/>
            <w:hideMark/>
          </w:tcPr>
          <w:p w14:paraId="228C4024" w14:textId="77777777" w:rsidR="004C6421" w:rsidRDefault="009D1962">
            <w:pPr>
              <w:pStyle w:val="P68B1DB1-Normal4"/>
              <w:jc w:val="center"/>
              <w:rPr>
                <w:noProof/>
              </w:rPr>
            </w:pPr>
            <w:r>
              <w:rPr>
                <w:noProof/>
              </w:rPr>
              <w:t>Cel</w:t>
            </w:r>
          </w:p>
        </w:tc>
        <w:tc>
          <w:tcPr>
            <w:tcW w:w="2126" w:type="dxa"/>
            <w:shd w:val="clear" w:color="auto" w:fill="C6EFCE"/>
            <w:noWrap/>
            <w:vAlign w:val="center"/>
            <w:hideMark/>
          </w:tcPr>
          <w:p w14:paraId="7985655D" w14:textId="77777777" w:rsidR="004C6421" w:rsidRDefault="009D1962">
            <w:pPr>
              <w:pStyle w:val="P68B1DB1-Normal4"/>
              <w:jc w:val="center"/>
              <w:rPr>
                <w:noProof/>
              </w:rPr>
            </w:pPr>
            <w:r>
              <w:rPr>
                <w:noProof/>
              </w:rPr>
              <w:t>Cyfrowe akta sądowe T2</w:t>
            </w:r>
          </w:p>
        </w:tc>
        <w:tc>
          <w:tcPr>
            <w:tcW w:w="1701" w:type="dxa"/>
            <w:shd w:val="clear" w:color="auto" w:fill="C6EFCE"/>
            <w:noWrap/>
            <w:vAlign w:val="center"/>
            <w:hideMark/>
          </w:tcPr>
          <w:p w14:paraId="0D8E9B25" w14:textId="77777777" w:rsidR="004C6421" w:rsidRDefault="009D1962">
            <w:pPr>
              <w:pStyle w:val="P68B1DB1-Normal4"/>
              <w:jc w:val="center"/>
              <w:rPr>
                <w:noProof/>
              </w:rPr>
            </w:pPr>
            <w:r>
              <w:rPr>
                <w:noProof/>
              </w:rPr>
              <w:t>NIE DOT.</w:t>
            </w:r>
          </w:p>
        </w:tc>
        <w:tc>
          <w:tcPr>
            <w:tcW w:w="1134" w:type="dxa"/>
            <w:shd w:val="clear" w:color="auto" w:fill="C6EFCE"/>
            <w:noWrap/>
            <w:vAlign w:val="center"/>
            <w:hideMark/>
          </w:tcPr>
          <w:p w14:paraId="32E2A5BF" w14:textId="77777777" w:rsidR="004C6421" w:rsidRDefault="009D1962">
            <w:pPr>
              <w:pStyle w:val="P68B1DB1-Normal4"/>
              <w:jc w:val="center"/>
              <w:rPr>
                <w:noProof/>
              </w:rPr>
            </w:pPr>
            <w:r>
              <w:rPr>
                <w:noProof/>
              </w:rPr>
              <w:t>Numer</w:t>
            </w:r>
          </w:p>
        </w:tc>
        <w:tc>
          <w:tcPr>
            <w:tcW w:w="1276" w:type="dxa"/>
            <w:shd w:val="clear" w:color="auto" w:fill="C6EFCE"/>
            <w:noWrap/>
            <w:vAlign w:val="center"/>
            <w:hideMark/>
          </w:tcPr>
          <w:p w14:paraId="3BFD58EB" w14:textId="77777777" w:rsidR="004C6421" w:rsidRDefault="009D1962">
            <w:pPr>
              <w:pStyle w:val="P68B1DB1-Normal4"/>
              <w:jc w:val="center"/>
              <w:rPr>
                <w:noProof/>
              </w:rPr>
            </w:pPr>
            <w:r>
              <w:rPr>
                <w:noProof/>
              </w:rPr>
              <w:t>3 500 000</w:t>
            </w:r>
          </w:p>
        </w:tc>
        <w:tc>
          <w:tcPr>
            <w:tcW w:w="1417" w:type="dxa"/>
            <w:shd w:val="clear" w:color="auto" w:fill="C6EFCE"/>
            <w:noWrap/>
            <w:vAlign w:val="center"/>
            <w:hideMark/>
          </w:tcPr>
          <w:p w14:paraId="0149029F" w14:textId="77777777" w:rsidR="004C6421" w:rsidRDefault="009D1962">
            <w:pPr>
              <w:pStyle w:val="P68B1DB1-Normal4"/>
              <w:jc w:val="center"/>
              <w:rPr>
                <w:noProof/>
              </w:rPr>
            </w:pPr>
            <w:r>
              <w:rPr>
                <w:noProof/>
              </w:rPr>
              <w:t>7 750 000</w:t>
            </w:r>
          </w:p>
        </w:tc>
        <w:tc>
          <w:tcPr>
            <w:tcW w:w="793" w:type="dxa"/>
            <w:shd w:val="clear" w:color="auto" w:fill="C6EFCE"/>
            <w:noWrap/>
            <w:vAlign w:val="center"/>
            <w:hideMark/>
          </w:tcPr>
          <w:p w14:paraId="68F639AB" w14:textId="77777777" w:rsidR="004C6421" w:rsidRDefault="009D1962">
            <w:pPr>
              <w:pStyle w:val="P68B1DB1-Normal4"/>
              <w:jc w:val="center"/>
              <w:rPr>
                <w:noProof/>
              </w:rPr>
            </w:pPr>
            <w:r>
              <w:rPr>
                <w:noProof/>
              </w:rPr>
              <w:t>II KW.</w:t>
            </w:r>
          </w:p>
        </w:tc>
        <w:tc>
          <w:tcPr>
            <w:tcW w:w="625" w:type="dxa"/>
            <w:shd w:val="clear" w:color="auto" w:fill="C6EFCE"/>
            <w:noWrap/>
            <w:vAlign w:val="center"/>
            <w:hideMark/>
          </w:tcPr>
          <w:p w14:paraId="490F3FE5" w14:textId="77777777" w:rsidR="004C6421" w:rsidRDefault="009D1962">
            <w:pPr>
              <w:pStyle w:val="P68B1DB1-Normal4"/>
              <w:jc w:val="center"/>
              <w:rPr>
                <w:noProof/>
              </w:rPr>
            </w:pPr>
            <w:r>
              <w:rPr>
                <w:noProof/>
              </w:rPr>
              <w:t>2026</w:t>
            </w:r>
          </w:p>
        </w:tc>
        <w:tc>
          <w:tcPr>
            <w:tcW w:w="2584" w:type="dxa"/>
            <w:shd w:val="clear" w:color="auto" w:fill="C6EFCE"/>
            <w:noWrap/>
            <w:vAlign w:val="center"/>
            <w:hideMark/>
          </w:tcPr>
          <w:p w14:paraId="69131346" w14:textId="77777777" w:rsidR="004C6421" w:rsidRDefault="009D1962">
            <w:pPr>
              <w:pStyle w:val="P68B1DB1-Normal4"/>
              <w:spacing w:after="120"/>
              <w:rPr>
                <w:noProof/>
              </w:rPr>
            </w:pPr>
            <w:r>
              <w:rPr>
                <w:noProof/>
              </w:rPr>
              <w:t>Cyfryzacja 7750000 akt sądowych z ostatnich 20 lat (01/01/206–30/06/2026) związanych z zakończonymi lub toczącymi się postępowaniami sądowymi.</w:t>
            </w:r>
          </w:p>
        </w:tc>
      </w:tr>
      <w:tr w:rsidR="004C6421" w14:paraId="195299D3" w14:textId="77777777">
        <w:trPr>
          <w:trHeight w:val="309"/>
        </w:trPr>
        <w:tc>
          <w:tcPr>
            <w:tcW w:w="1284" w:type="dxa"/>
            <w:shd w:val="clear" w:color="auto" w:fill="C6EFCE"/>
            <w:noWrap/>
            <w:vAlign w:val="center"/>
          </w:tcPr>
          <w:p w14:paraId="2E5F6D81" w14:textId="77777777" w:rsidR="004C6421" w:rsidRDefault="009D1962">
            <w:pPr>
              <w:pStyle w:val="P68B1DB1-Normal4"/>
              <w:jc w:val="center"/>
              <w:rPr>
                <w:noProof/>
              </w:rPr>
            </w:pPr>
            <w:r>
              <w:rPr>
                <w:noProof/>
              </w:rPr>
              <w:t>M1C1-154</w:t>
            </w:r>
          </w:p>
        </w:tc>
        <w:tc>
          <w:tcPr>
            <w:tcW w:w="1746" w:type="dxa"/>
            <w:shd w:val="clear" w:color="auto" w:fill="C6EFCE"/>
            <w:noWrap/>
            <w:vAlign w:val="center"/>
          </w:tcPr>
          <w:p w14:paraId="1DF8AFF4" w14:textId="77777777" w:rsidR="004C6421" w:rsidRDefault="009D1962">
            <w:pPr>
              <w:pStyle w:val="P68B1DB1-Normal4"/>
              <w:jc w:val="center"/>
              <w:rPr>
                <w:noProof/>
              </w:rPr>
            </w:pPr>
            <w:r>
              <w:rPr>
                <w:noProof/>
              </w:rPr>
              <w:t>Inwestycje 1.6.2 – Cyfryzacja Ministerstwa Sprawiedliwości</w:t>
            </w:r>
          </w:p>
        </w:tc>
        <w:tc>
          <w:tcPr>
            <w:tcW w:w="992" w:type="dxa"/>
            <w:shd w:val="clear" w:color="auto" w:fill="C6EFCE"/>
            <w:noWrap/>
            <w:vAlign w:val="center"/>
          </w:tcPr>
          <w:p w14:paraId="6882DF0E" w14:textId="77777777" w:rsidR="004C6421" w:rsidRDefault="009D1962">
            <w:pPr>
              <w:pStyle w:val="P68B1DB1-Normal4"/>
              <w:jc w:val="center"/>
              <w:rPr>
                <w:noProof/>
              </w:rPr>
            </w:pPr>
            <w:r>
              <w:rPr>
                <w:noProof/>
              </w:rPr>
              <w:t>Cel</w:t>
            </w:r>
          </w:p>
        </w:tc>
        <w:tc>
          <w:tcPr>
            <w:tcW w:w="2126" w:type="dxa"/>
            <w:shd w:val="clear" w:color="auto" w:fill="C6EFCE"/>
            <w:noWrap/>
            <w:vAlign w:val="center"/>
          </w:tcPr>
          <w:p w14:paraId="7FB41DDC" w14:textId="77777777" w:rsidR="004C6421" w:rsidRDefault="009D1962">
            <w:pPr>
              <w:pStyle w:val="P68B1DB1-Normal4"/>
              <w:jc w:val="center"/>
              <w:rPr>
                <w:noProof/>
              </w:rPr>
            </w:pPr>
            <w:r>
              <w:rPr>
                <w:noProof/>
              </w:rPr>
              <w:t>Systemy wiedzy na temat jeziora danych dotyczących wymiaru sprawiedliwości T2</w:t>
            </w:r>
          </w:p>
        </w:tc>
        <w:tc>
          <w:tcPr>
            <w:tcW w:w="1701" w:type="dxa"/>
            <w:shd w:val="clear" w:color="auto" w:fill="C6EFCE"/>
            <w:noWrap/>
            <w:vAlign w:val="center"/>
          </w:tcPr>
          <w:p w14:paraId="3BEA71D7"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2C1E14C1" w14:textId="77777777" w:rsidR="004C6421" w:rsidRDefault="009D1962">
            <w:pPr>
              <w:pStyle w:val="P68B1DB1-Normal4"/>
              <w:jc w:val="center"/>
              <w:rPr>
                <w:noProof/>
              </w:rPr>
            </w:pPr>
            <w:r>
              <w:rPr>
                <w:noProof/>
              </w:rPr>
              <w:t>Numer</w:t>
            </w:r>
          </w:p>
        </w:tc>
        <w:tc>
          <w:tcPr>
            <w:tcW w:w="1276" w:type="dxa"/>
            <w:shd w:val="clear" w:color="auto" w:fill="C6EFCE"/>
            <w:noWrap/>
            <w:vAlign w:val="center"/>
          </w:tcPr>
          <w:p w14:paraId="190F0D2D" w14:textId="77777777" w:rsidR="004C6421" w:rsidRDefault="009D1962">
            <w:pPr>
              <w:pStyle w:val="P68B1DB1-Normal4"/>
              <w:jc w:val="center"/>
              <w:rPr>
                <w:noProof/>
              </w:rPr>
            </w:pPr>
            <w:r>
              <w:rPr>
                <w:noProof/>
              </w:rPr>
              <w:t>0</w:t>
            </w:r>
          </w:p>
        </w:tc>
        <w:tc>
          <w:tcPr>
            <w:tcW w:w="1417" w:type="dxa"/>
            <w:shd w:val="clear" w:color="auto" w:fill="C6EFCE"/>
            <w:noWrap/>
            <w:vAlign w:val="center"/>
          </w:tcPr>
          <w:p w14:paraId="717941C0" w14:textId="77777777" w:rsidR="004C6421" w:rsidRDefault="009D1962">
            <w:pPr>
              <w:pStyle w:val="P68B1DB1-Normal4"/>
              <w:jc w:val="center"/>
              <w:rPr>
                <w:noProof/>
              </w:rPr>
            </w:pPr>
            <w:r>
              <w:rPr>
                <w:noProof/>
              </w:rPr>
              <w:t>6</w:t>
            </w:r>
          </w:p>
        </w:tc>
        <w:tc>
          <w:tcPr>
            <w:tcW w:w="793" w:type="dxa"/>
            <w:shd w:val="clear" w:color="auto" w:fill="C6EFCE"/>
            <w:noWrap/>
            <w:vAlign w:val="center"/>
          </w:tcPr>
          <w:p w14:paraId="53DC4AC0" w14:textId="77777777" w:rsidR="004C6421" w:rsidRDefault="009D1962">
            <w:pPr>
              <w:pStyle w:val="P68B1DB1-Normal4"/>
              <w:jc w:val="center"/>
              <w:rPr>
                <w:noProof/>
              </w:rPr>
            </w:pPr>
            <w:r>
              <w:rPr>
                <w:noProof/>
              </w:rPr>
              <w:t>II KW.</w:t>
            </w:r>
          </w:p>
        </w:tc>
        <w:tc>
          <w:tcPr>
            <w:tcW w:w="625" w:type="dxa"/>
            <w:shd w:val="clear" w:color="auto" w:fill="C6EFCE"/>
            <w:noWrap/>
            <w:vAlign w:val="center"/>
          </w:tcPr>
          <w:p w14:paraId="452C8616" w14:textId="77777777" w:rsidR="004C6421" w:rsidRDefault="009D1962">
            <w:pPr>
              <w:pStyle w:val="P68B1DB1-Normal4"/>
              <w:jc w:val="center"/>
              <w:rPr>
                <w:noProof/>
              </w:rPr>
            </w:pPr>
            <w:r>
              <w:rPr>
                <w:noProof/>
              </w:rPr>
              <w:t>2026</w:t>
            </w:r>
          </w:p>
        </w:tc>
        <w:tc>
          <w:tcPr>
            <w:tcW w:w="2584" w:type="dxa"/>
            <w:shd w:val="clear" w:color="auto" w:fill="C6EFCE"/>
            <w:noWrap/>
            <w:vAlign w:val="center"/>
          </w:tcPr>
          <w:p w14:paraId="5820C7C4" w14:textId="77777777" w:rsidR="004C6421" w:rsidRDefault="009D1962">
            <w:pPr>
              <w:pStyle w:val="P68B1DB1-Normal4"/>
              <w:spacing w:after="120"/>
              <w:rPr>
                <w:noProof/>
              </w:rPr>
            </w:pPr>
            <w:r>
              <w:rPr>
                <w:noProof/>
              </w:rPr>
              <w:t>Wdrożenie sześciu nowych systemów wiedzy o jeziorach danych.</w:t>
            </w:r>
          </w:p>
          <w:p w14:paraId="7C9C98DE" w14:textId="77777777" w:rsidR="004C6421" w:rsidRDefault="009D1962">
            <w:pPr>
              <w:pStyle w:val="P68B1DB1-ListParagraph5"/>
              <w:numPr>
                <w:ilvl w:val="0"/>
                <w:numId w:val="86"/>
              </w:numPr>
              <w:spacing w:before="0" w:after="0"/>
              <w:ind w:left="357" w:hanging="357"/>
              <w:contextualSpacing w:val="0"/>
              <w:jc w:val="left"/>
              <w:rPr>
                <w:noProof/>
              </w:rPr>
            </w:pPr>
            <w:r>
              <w:rPr>
                <w:noProof/>
              </w:rPr>
              <w:t>System anonimizacji wyroków cywilnych i karnych</w:t>
            </w:r>
          </w:p>
          <w:p w14:paraId="1EA187B8" w14:textId="77777777" w:rsidR="004C6421" w:rsidRDefault="009D1962">
            <w:pPr>
              <w:pStyle w:val="P68B1DB1-ListParagraph5"/>
              <w:numPr>
                <w:ilvl w:val="0"/>
                <w:numId w:val="86"/>
              </w:numPr>
              <w:spacing w:before="0" w:after="0"/>
              <w:ind w:left="357" w:hanging="357"/>
              <w:contextualSpacing w:val="0"/>
              <w:jc w:val="left"/>
              <w:rPr>
                <w:noProof/>
              </w:rPr>
            </w:pPr>
            <w:r>
              <w:rPr>
                <w:noProof/>
              </w:rPr>
              <w:t>Zintegrowany system zarządzania</w:t>
            </w:r>
          </w:p>
          <w:p w14:paraId="35E0561E" w14:textId="77777777" w:rsidR="004C6421" w:rsidRDefault="009D1962">
            <w:pPr>
              <w:pStyle w:val="P68B1DB1-ListParagraph5"/>
              <w:numPr>
                <w:ilvl w:val="0"/>
                <w:numId w:val="86"/>
              </w:numPr>
              <w:spacing w:before="0" w:after="0"/>
              <w:ind w:left="357" w:hanging="357"/>
              <w:contextualSpacing w:val="0"/>
              <w:jc w:val="left"/>
              <w:rPr>
                <w:noProof/>
              </w:rPr>
            </w:pPr>
            <w:r>
              <w:rPr>
                <w:noProof/>
              </w:rPr>
              <w:t>System zarządzania i analizy procesów cywilnych</w:t>
            </w:r>
          </w:p>
          <w:p w14:paraId="7A54802E" w14:textId="77777777" w:rsidR="004C6421" w:rsidRDefault="009D1962">
            <w:pPr>
              <w:pStyle w:val="P68B1DB1-ListParagraph5"/>
              <w:numPr>
                <w:ilvl w:val="0"/>
                <w:numId w:val="86"/>
              </w:numPr>
              <w:spacing w:before="0" w:after="0"/>
              <w:ind w:left="357" w:hanging="357"/>
              <w:contextualSpacing w:val="0"/>
              <w:jc w:val="left"/>
              <w:rPr>
                <w:noProof/>
              </w:rPr>
            </w:pPr>
            <w:r>
              <w:rPr>
                <w:noProof/>
              </w:rPr>
              <w:t>System zarządzania i analizy procesów karnych</w:t>
            </w:r>
          </w:p>
          <w:p w14:paraId="16C66943" w14:textId="77777777" w:rsidR="004C6421" w:rsidRDefault="009D1962">
            <w:pPr>
              <w:pStyle w:val="P68B1DB1-ListParagraph5"/>
              <w:numPr>
                <w:ilvl w:val="0"/>
                <w:numId w:val="86"/>
              </w:numPr>
              <w:spacing w:before="0" w:after="0"/>
              <w:ind w:left="357" w:hanging="357"/>
              <w:contextualSpacing w:val="0"/>
              <w:jc w:val="left"/>
              <w:rPr>
                <w:noProof/>
              </w:rPr>
            </w:pPr>
            <w:r>
              <w:rPr>
                <w:noProof/>
              </w:rPr>
              <w:t>Zaawansowany system statystyczny dotyczący procesów cywilnych i karnych</w:t>
            </w:r>
          </w:p>
          <w:p w14:paraId="54C0EF41" w14:textId="77777777" w:rsidR="004C6421" w:rsidRDefault="009D1962">
            <w:pPr>
              <w:pStyle w:val="P68B1DB1-ListParagraph5"/>
              <w:numPr>
                <w:ilvl w:val="0"/>
                <w:numId w:val="86"/>
              </w:numPr>
              <w:spacing w:before="0" w:after="0"/>
              <w:ind w:left="357" w:hanging="357"/>
              <w:contextualSpacing w:val="0"/>
              <w:jc w:val="left"/>
              <w:rPr>
                <w:noProof/>
              </w:rPr>
            </w:pPr>
            <w:r>
              <w:rPr>
                <w:noProof/>
              </w:rPr>
              <w:t xml:space="preserve">Zautomatyzowany system identyfikacji relacji ofiara-wina. </w:t>
            </w:r>
          </w:p>
          <w:p w14:paraId="08A76822" w14:textId="77777777" w:rsidR="004C6421" w:rsidRDefault="009D1962">
            <w:pPr>
              <w:pStyle w:val="P68B1DB1-Normal4"/>
              <w:spacing w:before="120"/>
              <w:rPr>
                <w:noProof/>
              </w:rPr>
            </w:pPr>
            <w:r>
              <w:rPr>
                <w:noProof/>
              </w:rPr>
              <w:t>Sześć pozycji to odrębne systemy wykorzystujące podobne technologie. Ramy systemów są takie same: łączenie danych i dokumentów pochodzących ze źródeł wewnętrznych i zewnętrznych; wzorce systemów różnią się w zależności od użytkowników (np. sędziów cywilnych i karnych) i celów (np. statystyki i orzeczenia).</w:t>
            </w:r>
          </w:p>
        </w:tc>
      </w:tr>
      <w:tr w:rsidR="004C6421" w14:paraId="169C63BF" w14:textId="77777777">
        <w:trPr>
          <w:trHeight w:val="309"/>
        </w:trPr>
        <w:tc>
          <w:tcPr>
            <w:tcW w:w="1284" w:type="dxa"/>
            <w:shd w:val="clear" w:color="auto" w:fill="C6EFCE"/>
            <w:noWrap/>
            <w:vAlign w:val="center"/>
          </w:tcPr>
          <w:p w14:paraId="10E3F358" w14:textId="77777777" w:rsidR="004C6421" w:rsidRDefault="009D1962">
            <w:pPr>
              <w:pStyle w:val="P68B1DB1-Normal4"/>
              <w:jc w:val="center"/>
              <w:rPr>
                <w:noProof/>
              </w:rPr>
            </w:pPr>
            <w:r>
              <w:rPr>
                <w:noProof/>
              </w:rPr>
              <w:t>M1C1-155</w:t>
            </w:r>
          </w:p>
        </w:tc>
        <w:tc>
          <w:tcPr>
            <w:tcW w:w="1746" w:type="dxa"/>
            <w:shd w:val="clear" w:color="auto" w:fill="C6EFCE"/>
            <w:noWrap/>
            <w:vAlign w:val="center"/>
          </w:tcPr>
          <w:p w14:paraId="13FB3995" w14:textId="77777777" w:rsidR="004C6421" w:rsidRDefault="009D1962">
            <w:pPr>
              <w:pStyle w:val="P68B1DB1-Normal4"/>
              <w:jc w:val="center"/>
              <w:rPr>
                <w:noProof/>
              </w:rPr>
            </w:pPr>
            <w:r>
              <w:rPr>
                <w:noProof/>
              </w:rPr>
              <w:t>Inwestycje 1.6.3 – Cyfryzacja Krajowego Instytutu Zabezpieczenia Społecznego (INPS) i Krajowego Instytutu Ubezpieczeń od Wypadków przy Pracy (INAIL)</w:t>
            </w:r>
          </w:p>
        </w:tc>
        <w:tc>
          <w:tcPr>
            <w:tcW w:w="992" w:type="dxa"/>
            <w:shd w:val="clear" w:color="auto" w:fill="C6EFCE"/>
            <w:noWrap/>
            <w:vAlign w:val="center"/>
          </w:tcPr>
          <w:p w14:paraId="27DCCEF7" w14:textId="77777777" w:rsidR="004C6421" w:rsidRDefault="009D1962">
            <w:pPr>
              <w:pStyle w:val="P68B1DB1-Normal4"/>
              <w:jc w:val="center"/>
              <w:rPr>
                <w:noProof/>
              </w:rPr>
            </w:pPr>
            <w:r>
              <w:rPr>
                <w:noProof/>
              </w:rPr>
              <w:t>Cel</w:t>
            </w:r>
          </w:p>
        </w:tc>
        <w:tc>
          <w:tcPr>
            <w:tcW w:w="2126" w:type="dxa"/>
            <w:shd w:val="clear" w:color="auto" w:fill="C6EFCE"/>
            <w:noWrap/>
            <w:vAlign w:val="center"/>
          </w:tcPr>
          <w:p w14:paraId="5CFC984B" w14:textId="77777777" w:rsidR="004C6421" w:rsidRDefault="009D1962">
            <w:pPr>
              <w:pStyle w:val="P68B1DB1-Normal4"/>
              <w:jc w:val="center"/>
              <w:rPr>
                <w:noProof/>
              </w:rPr>
            </w:pPr>
            <w:r>
              <w:rPr>
                <w:noProof/>
              </w:rPr>
              <w:t>INAIL – w pełni przeprojektowane i zdigitalizowane procesy/usługi T2</w:t>
            </w:r>
          </w:p>
        </w:tc>
        <w:tc>
          <w:tcPr>
            <w:tcW w:w="1701" w:type="dxa"/>
            <w:shd w:val="clear" w:color="auto" w:fill="C6EFCE"/>
            <w:noWrap/>
            <w:vAlign w:val="center"/>
          </w:tcPr>
          <w:p w14:paraId="616B68C9"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709FC44D" w14:textId="77777777" w:rsidR="004C6421" w:rsidRDefault="009D1962">
            <w:pPr>
              <w:pStyle w:val="P68B1DB1-Normal4"/>
              <w:jc w:val="center"/>
              <w:rPr>
                <w:noProof/>
              </w:rPr>
            </w:pPr>
            <w:r>
              <w:rPr>
                <w:noProof/>
              </w:rPr>
              <w:t>Numer</w:t>
            </w:r>
          </w:p>
        </w:tc>
        <w:tc>
          <w:tcPr>
            <w:tcW w:w="1276" w:type="dxa"/>
            <w:shd w:val="clear" w:color="auto" w:fill="C6EFCE"/>
            <w:noWrap/>
            <w:vAlign w:val="center"/>
          </w:tcPr>
          <w:p w14:paraId="3C3AC3A5" w14:textId="77777777" w:rsidR="004C6421" w:rsidRDefault="009D1962">
            <w:pPr>
              <w:pStyle w:val="P68B1DB1-Normal4"/>
              <w:jc w:val="center"/>
              <w:rPr>
                <w:noProof/>
              </w:rPr>
            </w:pPr>
            <w:r>
              <w:rPr>
                <w:noProof/>
              </w:rPr>
              <w:t>53</w:t>
            </w:r>
          </w:p>
        </w:tc>
        <w:tc>
          <w:tcPr>
            <w:tcW w:w="1417" w:type="dxa"/>
            <w:shd w:val="clear" w:color="auto" w:fill="C6EFCE"/>
            <w:noWrap/>
            <w:vAlign w:val="center"/>
          </w:tcPr>
          <w:p w14:paraId="35706C94" w14:textId="77777777" w:rsidR="004C6421" w:rsidRDefault="009D1962">
            <w:pPr>
              <w:pStyle w:val="P68B1DB1-Normal4"/>
              <w:jc w:val="center"/>
              <w:rPr>
                <w:noProof/>
              </w:rPr>
            </w:pPr>
            <w:r>
              <w:rPr>
                <w:noProof/>
              </w:rPr>
              <w:t>82</w:t>
            </w:r>
          </w:p>
        </w:tc>
        <w:tc>
          <w:tcPr>
            <w:tcW w:w="793" w:type="dxa"/>
            <w:shd w:val="clear" w:color="auto" w:fill="C6EFCE"/>
            <w:noWrap/>
            <w:vAlign w:val="center"/>
          </w:tcPr>
          <w:p w14:paraId="3502493A" w14:textId="77777777" w:rsidR="004C6421" w:rsidRDefault="009D1962">
            <w:pPr>
              <w:pStyle w:val="P68B1DB1-Normal4"/>
              <w:jc w:val="center"/>
              <w:rPr>
                <w:noProof/>
              </w:rPr>
            </w:pPr>
            <w:r>
              <w:rPr>
                <w:noProof/>
              </w:rPr>
              <w:t>II KW.</w:t>
            </w:r>
          </w:p>
        </w:tc>
        <w:tc>
          <w:tcPr>
            <w:tcW w:w="625" w:type="dxa"/>
            <w:shd w:val="clear" w:color="auto" w:fill="C6EFCE"/>
            <w:noWrap/>
            <w:vAlign w:val="center"/>
          </w:tcPr>
          <w:p w14:paraId="33BFF948" w14:textId="77777777" w:rsidR="004C6421" w:rsidRDefault="009D1962">
            <w:pPr>
              <w:pStyle w:val="P68B1DB1-Normal4"/>
              <w:jc w:val="center"/>
              <w:rPr>
                <w:noProof/>
              </w:rPr>
            </w:pPr>
            <w:r>
              <w:rPr>
                <w:noProof/>
              </w:rPr>
              <w:t>2026</w:t>
            </w:r>
          </w:p>
        </w:tc>
        <w:tc>
          <w:tcPr>
            <w:tcW w:w="2584" w:type="dxa"/>
            <w:shd w:val="clear" w:color="auto" w:fill="C6EFCE"/>
            <w:noWrap/>
            <w:vAlign w:val="center"/>
          </w:tcPr>
          <w:p w14:paraId="66CB165F" w14:textId="77777777" w:rsidR="004C6421" w:rsidRDefault="009D1962">
            <w:pPr>
              <w:pStyle w:val="P68B1DB1-Normal4"/>
              <w:spacing w:after="120"/>
              <w:rPr>
                <w:noProof/>
              </w:rPr>
            </w:pPr>
            <w:r>
              <w:rPr>
                <w:noProof/>
              </w:rPr>
              <w:t>Celem jest osiągnięcie 82 (80 %) przekształconych procesów i usług instytucjonalnych w celu zapewnienia ich pełnej cyfryzacji. Zaangażowane obszary INAIL to: Ubezpieczenia, usługi społeczne i zdrowotne, profilaktyka i bezpieczeństwo pracy, certyfikacja i weryfikacja.</w:t>
            </w:r>
          </w:p>
          <w:p w14:paraId="182624D6" w14:textId="77777777" w:rsidR="004C6421" w:rsidRDefault="009D1962">
            <w:pPr>
              <w:pStyle w:val="P68B1DB1-Normal4"/>
              <w:rPr>
                <w:noProof/>
              </w:rPr>
            </w:pPr>
            <w:r>
              <w:rPr>
                <w:noProof/>
              </w:rPr>
              <w:t xml:space="preserve">W szczególności oczekiwana wartość docelowa dla każdego obszaru została określona powyżej: </w:t>
            </w:r>
          </w:p>
          <w:p w14:paraId="0A5FF5EB" w14:textId="77777777" w:rsidR="004C6421" w:rsidRDefault="009D1962">
            <w:pPr>
              <w:pStyle w:val="P68B1DB1-ListParagraph5"/>
              <w:numPr>
                <w:ilvl w:val="0"/>
                <w:numId w:val="85"/>
              </w:numPr>
              <w:spacing w:after="0"/>
              <w:ind w:left="399" w:hanging="283"/>
              <w:jc w:val="left"/>
              <w:rPr>
                <w:noProof/>
              </w:rPr>
            </w:pPr>
            <w:r>
              <w:rPr>
                <w:noProof/>
              </w:rPr>
              <w:t>Ubezpieczenia: 26 (80 %);</w:t>
            </w:r>
          </w:p>
          <w:p w14:paraId="1E69F97C" w14:textId="77777777" w:rsidR="004C6421" w:rsidRDefault="009D1962">
            <w:pPr>
              <w:pStyle w:val="P68B1DB1-ListParagraph5"/>
              <w:numPr>
                <w:ilvl w:val="0"/>
                <w:numId w:val="85"/>
              </w:numPr>
              <w:spacing w:after="0"/>
              <w:ind w:left="399" w:hanging="283"/>
              <w:jc w:val="left"/>
              <w:rPr>
                <w:noProof/>
              </w:rPr>
            </w:pPr>
            <w:r>
              <w:rPr>
                <w:noProof/>
              </w:rPr>
              <w:t>Usługi społeczne i zdrowotne: 29 (80 %);</w:t>
            </w:r>
          </w:p>
          <w:p w14:paraId="6294DDF7" w14:textId="77777777" w:rsidR="004C6421" w:rsidRDefault="009D1962">
            <w:pPr>
              <w:pStyle w:val="P68B1DB1-ListParagraph5"/>
              <w:numPr>
                <w:ilvl w:val="0"/>
                <w:numId w:val="85"/>
              </w:numPr>
              <w:spacing w:after="0"/>
              <w:ind w:left="399" w:hanging="283"/>
              <w:jc w:val="left"/>
              <w:rPr>
                <w:noProof/>
              </w:rPr>
            </w:pPr>
            <w:r>
              <w:rPr>
                <w:noProof/>
              </w:rPr>
              <w:t>Zapobieganie i bezpieczeństwo: 9 (80 %);</w:t>
            </w:r>
          </w:p>
          <w:p w14:paraId="0414375B" w14:textId="77777777" w:rsidR="004C6421" w:rsidRDefault="009D1962">
            <w:pPr>
              <w:pStyle w:val="P68B1DB1-ListParagraph5"/>
              <w:numPr>
                <w:ilvl w:val="0"/>
                <w:numId w:val="85"/>
              </w:numPr>
              <w:ind w:left="397" w:hanging="284"/>
              <w:jc w:val="left"/>
              <w:rPr>
                <w:noProof/>
              </w:rPr>
            </w:pPr>
            <w:r>
              <w:rPr>
                <w:noProof/>
              </w:rPr>
              <w:t>Certyfikaty i weryfikacje: 18 (80 %).</w:t>
            </w:r>
          </w:p>
        </w:tc>
      </w:tr>
    </w:tbl>
    <w:p w14:paraId="08AB4705" w14:textId="77777777" w:rsidR="004C6421" w:rsidRDefault="004C6421">
      <w:pPr>
        <w:spacing w:before="120" w:after="120"/>
        <w:jc w:val="both"/>
        <w:rPr>
          <w:noProof/>
        </w:rPr>
      </w:pPr>
    </w:p>
    <w:p w14:paraId="2DD039DF" w14:textId="77777777" w:rsidR="004C6421" w:rsidRDefault="004C6421">
      <w:pPr>
        <w:spacing w:before="120" w:after="120"/>
        <w:jc w:val="both"/>
        <w:rPr>
          <w:noProof/>
        </w:rPr>
      </w:pPr>
    </w:p>
    <w:p w14:paraId="2848FC8D" w14:textId="77777777" w:rsidR="004C6421" w:rsidRDefault="004C6421">
      <w:pPr>
        <w:spacing w:before="120" w:after="120"/>
        <w:jc w:val="both"/>
        <w:rPr>
          <w:noProof/>
        </w:rPr>
        <w:sectPr w:rsidR="004C6421" w:rsidSect="00797973">
          <w:headerReference w:type="even" r:id="rId38"/>
          <w:headerReference w:type="default" r:id="rId39"/>
          <w:footerReference w:type="even" r:id="rId40"/>
          <w:footerReference w:type="default" r:id="rId41"/>
          <w:headerReference w:type="first" r:id="rId42"/>
          <w:footerReference w:type="first" r:id="rId43"/>
          <w:pgSz w:w="16839" w:h="11907" w:orient="landscape"/>
          <w:pgMar w:top="1134" w:right="1134" w:bottom="1134" w:left="1134" w:header="567" w:footer="567" w:gutter="0"/>
          <w:cols w:space="720"/>
          <w:docGrid w:linePitch="360"/>
        </w:sectPr>
      </w:pPr>
    </w:p>
    <w:p w14:paraId="130D6D37" w14:textId="77777777" w:rsidR="004C6421" w:rsidRDefault="009D1962">
      <w:pPr>
        <w:pStyle w:val="Heading2"/>
        <w:numPr>
          <w:ilvl w:val="1"/>
          <w:numId w:val="0"/>
        </w:numPr>
        <w:ind w:left="850" w:hanging="850"/>
        <w:rPr>
          <w:noProof/>
        </w:rPr>
      </w:pPr>
      <w:r>
        <w:rPr>
          <w:noProof/>
        </w:rPr>
        <w:t>B. ZADANIE 1 – KOMPONENT 2:</w:t>
      </w:r>
    </w:p>
    <w:p w14:paraId="05238F1B" w14:textId="77777777" w:rsidR="004C6421" w:rsidRDefault="009D1962">
      <w:pPr>
        <w:pStyle w:val="P68B1DB1-Normal9"/>
        <w:spacing w:before="120" w:after="120"/>
        <w:jc w:val="both"/>
        <w:rPr>
          <w:noProof/>
        </w:rPr>
      </w:pPr>
      <w:r>
        <w:rPr>
          <w:noProof/>
        </w:rPr>
        <w:t>Oś 1 – Cyfryzacja, innowacje i konkurencyjność systemu produkcyjnego</w:t>
      </w:r>
    </w:p>
    <w:p w14:paraId="4035B428" w14:textId="77777777" w:rsidR="004C6421" w:rsidRDefault="009D1962">
      <w:pPr>
        <w:spacing w:before="120" w:after="120"/>
        <w:jc w:val="both"/>
        <w:rPr>
          <w:noProof/>
        </w:rPr>
      </w:pPr>
      <w:r>
        <w:rPr>
          <w:noProof/>
        </w:rPr>
        <w:t>Oś 1 misji 1 komponent 2 włoskiego planu odbudowy i zwiększania odporności dotyczy inwestycji i reform mających głównie na celu (i) wspieranie transformacji cyfrowej i innowacji w systemie produkcji poprzez zachęty do inwestowania w technologie, badania, rozwój i innowacje; (II) wdrażanie ultraszybkich sieci szerokopasmowych i 5G w celu zmniejszenia przepaści cyfrowej, a także konstelacji i usług satelitarnych; (III) promowanie rozwoju strategicznych łańcuchów wartości i wspieranie konkurencyjności przedsiębiorstw, ze szczególnym uwzględnieniem MŚP.</w:t>
      </w:r>
    </w:p>
    <w:p w14:paraId="674D48F5" w14:textId="77777777" w:rsidR="004C6421" w:rsidRDefault="009D1962">
      <w:pPr>
        <w:spacing w:before="120" w:after="120"/>
        <w:jc w:val="both"/>
        <w:rPr>
          <w:noProof/>
        </w:rPr>
      </w:pPr>
      <w:r>
        <w:rPr>
          <w:noProof/>
        </w:rPr>
        <w:t>Środki w ramach tego komponentu mają na celu wyeliminowanie luk wynikających z indeksu gospodarki cyfrowej i społeczeństwa cyfrowego (DESI) 2020 w odniesieniu do transformacji cyfrowej przedsiębiorstw i niedociągnięć w łączności, z myślą o wzmocnieniu odporności społecznej i gospodarczej kraju.</w:t>
      </w:r>
    </w:p>
    <w:p w14:paraId="1AF4C476" w14:textId="77777777" w:rsidR="004C6421" w:rsidRDefault="009D1962">
      <w:pPr>
        <w:spacing w:before="120" w:after="120"/>
        <w:jc w:val="both"/>
        <w:rPr>
          <w:noProof/>
        </w:rPr>
      </w:pPr>
      <w:r>
        <w:rPr>
          <w:noProof/>
        </w:rPr>
        <w:t xml:space="preserve">Inwestycje i reformy w ramach tego komponentu przyczyniają się do realizacji zaleceń dla poszczególnych krajów skierowanych do Włoch w latach 2020 i 2019 dotyczących potrzeby „wzmacniania uczenia się na odległość i umiejętności, w tym cyfrowych” (zalecenie dla poszczególnych krajów nr 2, 2020 r.), „promowania inwestycji prywatnych w celu wspierania ożywienia gospodarczego” (zalecenie dla poszczególnych krajów nr 3, 2020), „koncentrowania inwestycji na transformacji ekologicznej i cyfrowej, w szczególności na [...] wzmocnioną infrastrukturę cyfrową w celu zapewnienia świadczenia podstawowych usług” (zalecenie dla poszczególnych krajów nr 3, 2020), „wspieranie podnoszenia kwalifikacji, w tym poprzez wzmacnianie umiejętności cyfrowych (zalecenie dla poszczególnych krajów nr 2 z 2019 r.), „ukierunkowanie inwestycyjnej polityki gospodarczej na badania naukowe i innowacje oraz jakość infrastruktury, z uwzględnieniem również różnic regionalnych” (zalecenie dla poszczególnych krajów nr 3 z 2019 r.) oraz, w pewnym stopniu, „wspieranie dostępu do finansowania dla innowacyjnych i mniejszych przedsiębiorstw pozabankowych” (zalecenie krajowe 5, 2019 r.). </w:t>
      </w:r>
    </w:p>
    <w:p w14:paraId="3B219418" w14:textId="77777777" w:rsidR="004C6421" w:rsidRDefault="009D1962">
      <w:pPr>
        <w:spacing w:before="120" w:after="120"/>
        <w:jc w:val="both"/>
        <w:rPr>
          <w:noProof/>
        </w:rPr>
      </w:pPr>
      <w:r>
        <w:rPr>
          <w:noProof/>
        </w:rPr>
        <w:t>Oczekuje się, że żaden środek w ramach tego komponentu nie spowoduje poważnych szkód dla celów środowiskowych w rozumieniu art. 17 rozporządzenia (UE) 2020/852, biorąc pod uwagę opis środków i działania łagodzące określone w planie odbudowy i zwiększania odporności zgodnie z wytycznymi technicznymi dotyczącymi zasady „nie czyń poważnych szkód” (2021/C58/01).</w:t>
      </w:r>
    </w:p>
    <w:p w14:paraId="123B4386" w14:textId="77777777" w:rsidR="004C6421" w:rsidRDefault="009D1962">
      <w:pPr>
        <w:pStyle w:val="P68B1DB1-Normal9"/>
        <w:spacing w:before="120" w:after="120"/>
        <w:jc w:val="both"/>
        <w:rPr>
          <w:noProof/>
        </w:rPr>
      </w:pPr>
      <w:r>
        <w:rPr>
          <w:noProof/>
        </w:rPr>
        <w:t>Oś 2 – Poprawa otoczenia biznesu i konkurencji</w:t>
      </w:r>
    </w:p>
    <w:p w14:paraId="069A2740" w14:textId="77777777" w:rsidR="004C6421" w:rsidRDefault="009D1962">
      <w:pPr>
        <w:spacing w:before="120" w:after="120"/>
        <w:jc w:val="both"/>
        <w:rPr>
          <w:noProof/>
        </w:rPr>
      </w:pPr>
      <w:r>
        <w:rPr>
          <w:noProof/>
        </w:rPr>
        <w:t xml:space="preserve">Głównym celem osi 2 komponentu 2 misji 1 jest poprawa otoczenia biznesowego w celu ułatwienia przedsiębiorczości oraz stworzenie ramowych warunków konkurencji sprzyjających efektywniejszej alokacji zasobów i zwiększeniu wydajności. Głównym narzędziem służącym osiągnięciu tych celów jest roczna ustawa o konkurencji, która ma być przyjmowana co roku. </w:t>
      </w:r>
    </w:p>
    <w:p w14:paraId="62E0853C" w14:textId="77777777" w:rsidR="004C6421" w:rsidRDefault="009D1962">
      <w:pPr>
        <w:spacing w:before="120" w:after="120"/>
        <w:jc w:val="both"/>
        <w:rPr>
          <w:noProof/>
        </w:rPr>
      </w:pPr>
      <w:r>
        <w:rPr>
          <w:noProof/>
        </w:rPr>
        <w:t>Inwestycje i reformy w ramach tego komponentu przyczynią się do realizacji zaleceń dla poszczególnych krajów skierowanych do Włoch w 2019 r. w sprawie potrzeby „zwalczania ograniczeń konkurencji [...], również za pomocą nowego rocznego prawa konkurencji” (zalecenie dla poszczególnych krajów 3, 2019 r.).</w:t>
      </w:r>
    </w:p>
    <w:p w14:paraId="5A643778" w14:textId="77777777" w:rsidR="004C6421" w:rsidRDefault="009D1962">
      <w:pPr>
        <w:pStyle w:val="Heading3"/>
        <w:numPr>
          <w:ilvl w:val="2"/>
          <w:numId w:val="0"/>
        </w:numPr>
        <w:ind w:left="850" w:hanging="850"/>
        <w:rPr>
          <w:b/>
          <w:i w:val="0"/>
          <w:noProof/>
          <w:u w:val="single"/>
        </w:rPr>
      </w:pPr>
      <w:r>
        <w:rPr>
          <w:b/>
          <w:i w:val="0"/>
          <w:noProof/>
          <w:u w:val="single"/>
        </w:rPr>
        <w:t xml:space="preserve">B.1. </w:t>
      </w:r>
      <w:r>
        <w:rPr>
          <w:noProof/>
        </w:rPr>
        <w:t xml:space="preserve"> </w:t>
      </w:r>
      <w:r>
        <w:rPr>
          <w:b/>
          <w:i w:val="0"/>
          <w:noProof/>
          <w:u w:val="single"/>
        </w:rPr>
        <w:t>Opis reform i inwestycji, które mają być finansowane z bezzwrotnego wsparcia finansowego</w:t>
      </w:r>
    </w:p>
    <w:p w14:paraId="51B0ED48" w14:textId="77777777" w:rsidR="004C6421" w:rsidRDefault="009D1962">
      <w:pPr>
        <w:pStyle w:val="P68B1DB1-Normal10"/>
        <w:spacing w:before="120" w:after="120"/>
        <w:jc w:val="both"/>
        <w:rPr>
          <w:noProof/>
          <w:color w:val="4472C4" w:themeColor="accent1"/>
        </w:rPr>
      </w:pPr>
      <w:r>
        <w:rPr>
          <w:noProof/>
        </w:rPr>
        <w:t xml:space="preserve">Oś 1 – </w:t>
      </w:r>
      <w:r>
        <w:rPr>
          <w:noProof/>
          <w:u w:val="single"/>
        </w:rPr>
        <w:t>Cyfryzacja, innowacje i konkurencyjność systemu produkcyjnego</w:t>
      </w:r>
    </w:p>
    <w:p w14:paraId="0B8BB236" w14:textId="77777777" w:rsidR="004C6421" w:rsidRDefault="009D1962">
      <w:pPr>
        <w:pStyle w:val="P68B1DB1-Normal2"/>
        <w:spacing w:before="120" w:after="120"/>
        <w:jc w:val="both"/>
        <w:rPr>
          <w:i/>
          <w:noProof/>
        </w:rPr>
      </w:pPr>
      <w:r>
        <w:rPr>
          <w:noProof/>
        </w:rPr>
        <w:t>Inwestycja 1: Przejście 4.0</w:t>
      </w:r>
    </w:p>
    <w:p w14:paraId="094066EF" w14:textId="77777777" w:rsidR="004C6421" w:rsidRDefault="009D1962">
      <w:pPr>
        <w:spacing w:before="120" w:after="120"/>
        <w:jc w:val="both"/>
        <w:rPr>
          <w:i/>
          <w:noProof/>
          <w:u w:val="single"/>
        </w:rPr>
      </w:pPr>
      <w:r>
        <w:rPr>
          <w:noProof/>
        </w:rPr>
        <w:t>Celem środka jest wspieranie transformacji cyfrowej przedsiębiorstw poprzez zachęcanie do prywatnych inwestycji w aktywa i działania wspierające cyfryzację. Środek finansowany w ramach włoskiego planu odbudowy i zwiększania odporności jest częścią szerszego planu transformacji 4.0, który obejmuje inne środki wsparcia finansowane na szczeblu krajowym w celu pobudzenia transformacji cyfrowej przedsiębiorstw.</w:t>
      </w:r>
    </w:p>
    <w:p w14:paraId="06B9A3D6" w14:textId="77777777" w:rsidR="004C6421" w:rsidRDefault="009D1962">
      <w:pPr>
        <w:spacing w:before="120" w:after="120"/>
        <w:jc w:val="both"/>
        <w:rPr>
          <w:noProof/>
        </w:rPr>
      </w:pPr>
      <w:r>
        <w:rPr>
          <w:noProof/>
        </w:rPr>
        <w:t xml:space="preserve">Środek ten obejmuje system ulg podatkowych i obejmuje wydatki, które należy zgłosić w deklaracjach podatkowych złożonych w okresie od dnia 1 stycznia 2021 r. do dnia 31 grudnia 2023 r. (30 listopada 2024 r. w przypadku przedsiębiorstw, których rok podatkowy nie odpowiada rokowi kalendarzowemu). Środek obejmuje również definicję kodów ulg podatkowych, które określa się w drodze uchwały Agencji Skarbowej, aby umożliwić beneficjentom korzystanie z ulg podatkowych w modelu płatności F24. </w:t>
      </w:r>
    </w:p>
    <w:p w14:paraId="1ACF0763" w14:textId="77777777" w:rsidR="004C6421" w:rsidRDefault="009D1962">
      <w:pPr>
        <w:spacing w:before="120" w:after="120"/>
        <w:jc w:val="both"/>
        <w:rPr>
          <w:noProof/>
        </w:rPr>
      </w:pPr>
      <w:r>
        <w:rPr>
          <w:noProof/>
        </w:rPr>
        <w:t>Wspierane ulgi podatkowe obejmują następujące aktywa i działania:</w:t>
      </w:r>
    </w:p>
    <w:p w14:paraId="135B0EC0" w14:textId="77777777" w:rsidR="004C6421" w:rsidRDefault="009D1962">
      <w:pPr>
        <w:pStyle w:val="ListParagraph"/>
        <w:numPr>
          <w:ilvl w:val="0"/>
          <w:numId w:val="77"/>
        </w:numPr>
        <w:ind w:left="360"/>
        <w:rPr>
          <w:rFonts w:eastAsiaTheme="minorEastAsia"/>
          <w:noProof/>
        </w:rPr>
      </w:pPr>
      <w:r>
        <w:rPr>
          <w:noProof/>
        </w:rPr>
        <w:t xml:space="preserve">dobra inwestycyjne składające się z: (i) 4.0 (tj. zaawansowane technologicznie) materialne dobra inwestycyjne, takie jak maszyny produkcyjne, których działania są kontrolowane przez systemy komputerowe lub czujniki/napędy, maszyny i systemy stosowane do sterowania produktami lub procesami oraz systemy interaktywne; wszystkie z nich muszą charakteryzować się cechami cyfrowymi, takimi jak zautomatyzowana integracja i interfejs człowiek-maszyna; 4.0 niematerialne dobra inwestycyjne, takie jak modelowanie 3D, systemy komunikacji wewnątrzzakładowej oraz oprogramowanie, systemy, platformy i aplikacje sztucznej inteligencji i uczenia maszynowego; (III) standardowe niematerialne dobra inwestycyjne, takie jak oprogramowanie związane z zarządzaniem przedsiębiorstwem. Obejmuje to ulgi podatkowe przedstawione w deklaracjach podatkowych od dnia 1 stycznia 2021 r. do dnia 31 grudnia 2023 r. (30 listopada 2024 r. w przypadku przedsiębiorstw, których rok podatkowy nie odpowiada rokowi kalendarzowemu). </w:t>
      </w:r>
    </w:p>
    <w:p w14:paraId="27518E8E" w14:textId="77777777" w:rsidR="004C6421" w:rsidRDefault="009D1962">
      <w:pPr>
        <w:pStyle w:val="ListParagraph"/>
        <w:numPr>
          <w:ilvl w:val="0"/>
          <w:numId w:val="77"/>
        </w:numPr>
        <w:ind w:left="360"/>
        <w:rPr>
          <w:rFonts w:eastAsiaTheme="minorEastAsia"/>
          <w:noProof/>
        </w:rPr>
      </w:pPr>
      <w:r>
        <w:rPr>
          <w:noProof/>
        </w:rPr>
        <w:t xml:space="preserve">działania w zakresie badań naukowych, rozwoju i innowacji, obejmujące badania i rozwój, innowacje technologiczne, innowacje ekologiczne i cyfrowe oraz działania w zakresie projektowania. Obejmuje to ulgi podatkowe przedstawione w deklaracjach podatkowych w okresie od 1 stycznia 2022 r. do 31 grudnia 2023 r. (30 listopada 2024 r. w przypadku przedsiębiorstw, których rok podatkowy nie odpowiada rokowi kalendarzowemu). </w:t>
      </w:r>
    </w:p>
    <w:p w14:paraId="7ED696E7" w14:textId="77777777" w:rsidR="004C6421" w:rsidRDefault="009D1962">
      <w:pPr>
        <w:pStyle w:val="ListParagraph"/>
        <w:numPr>
          <w:ilvl w:val="0"/>
          <w:numId w:val="77"/>
        </w:numPr>
        <w:ind w:left="360"/>
        <w:rPr>
          <w:rFonts w:eastAsiaTheme="minorEastAsia"/>
          <w:noProof/>
        </w:rPr>
      </w:pPr>
      <w:r>
        <w:rPr>
          <w:noProof/>
        </w:rPr>
        <w:t xml:space="preserve">działania szkoleniowe prowadzone w celu zdobycia lub konsolidacji wiedzy na temat odpowiednich technologii, takich jak duże zbiory danych i analiza danych, interfejs człowiek-maszyna, internet rzeczy, cyfrowa integracja procesów biznesowych, cyberbezpieczeństwo. Obejmuje to ulgi podatkowe przedstawione w deklaracjach podatkowych w okresie od 1 stycznia 2022 r. do 31 grudnia 2023 r. (30 listopada 2024 r. w przypadku przedsiębiorstw, których rok podatkowy nie odpowiada rokowi kalendarzowemu). </w:t>
      </w:r>
    </w:p>
    <w:p w14:paraId="09681A67" w14:textId="77777777" w:rsidR="004C6421" w:rsidRDefault="009D1962">
      <w:pPr>
        <w:spacing w:before="120" w:after="120"/>
        <w:jc w:val="both"/>
        <w:rPr>
          <w:noProof/>
        </w:rPr>
      </w:pPr>
      <w:r>
        <w:rPr>
          <w:noProof/>
        </w:rPr>
        <w:t>Środek obejmuje utworzenie komitetu naukowego składającego się z ekspertów z Ministerstwa Gospodarki i Finansów, Ministerstwa Rozwoju Gospodarczego i Banku Włoch w celu oceny wpływu programu na gospodarkę.</w:t>
      </w:r>
    </w:p>
    <w:p w14:paraId="79C985E8" w14:textId="77777777" w:rsidR="004C6421" w:rsidRDefault="009D1962">
      <w:pPr>
        <w:pStyle w:val="P68B1DB1-Normal2"/>
        <w:spacing w:before="120" w:after="120"/>
        <w:jc w:val="both"/>
        <w:rPr>
          <w:noProof/>
        </w:rPr>
      </w:pPr>
      <w:r>
        <w:rPr>
          <w:noProof/>
        </w:rPr>
        <w:t xml:space="preserve">Reforma 1: Reforma systemu własności przemysłowej </w:t>
      </w:r>
    </w:p>
    <w:p w14:paraId="432300BB" w14:textId="77777777" w:rsidR="004C6421" w:rsidRDefault="009D1962">
      <w:pPr>
        <w:pStyle w:val="P68B1DB1-Normal11"/>
        <w:spacing w:before="120" w:after="120"/>
        <w:jc w:val="both"/>
        <w:rPr>
          <w:noProof/>
        </w:rPr>
      </w:pPr>
      <w:r>
        <w:rPr>
          <w:noProof/>
        </w:rPr>
        <w:t>Głównym celem reformy jest dostosowanie systemu własności przemysłowej do współczesnych wyzwań i zapewnienie, aby potencjał innowacyjny skutecznie przyczyniał się do odbudowy i odporności kraju. W szczególności ma on na celu osiągnięcie następujących celów: wzmocnienie systemu ochrony własności przemysłowej; zachęcanie do wykorzystywania i rozpowszechniania własności przemysłowej, zwłaszcza przez MŚP; ułatwianie dostępu do wartości niematerialnych i prawnych i dzielenia się nimi, przy jednoczesnym zapewnieniu godziwego zwrotu z inwestycji; zagwarantowanie bardziej rygorystycznego poszanowania własności przemysłowej; oraz wzmocnienie roli Włoch na forach europejskich i międzynarodowych zajmujących się własnością przemysłową.</w:t>
      </w:r>
    </w:p>
    <w:p w14:paraId="30DFCBB1" w14:textId="77777777" w:rsidR="004C6421" w:rsidRDefault="009D1962">
      <w:pPr>
        <w:pStyle w:val="P68B1DB1-Normal11"/>
        <w:spacing w:before="120" w:after="120"/>
        <w:jc w:val="both"/>
        <w:rPr>
          <w:noProof/>
        </w:rPr>
      </w:pPr>
      <w:r>
        <w:rPr>
          <w:noProof/>
        </w:rPr>
        <w:t xml:space="preserve">Środek dotyczy reformy włoskiego kodeksu własności przemysłowej, obejmującego co najmniej następujące obszary: dokonanie przeglądu ram regulacyjnych w celu wzmocnienia ochrony praw własności przemysłowej i uproszczenia procedur, (ii) zwiększenie wsparcia dla przedsiębiorstw i instytucji badawczych, (iii) zwiększenie rozwoju umiejętności i kompetencji, (iv) ułatwienie transferu wiedzy oraz (v) wzmocnienie promocji innowacyjnych usług. </w:t>
      </w:r>
    </w:p>
    <w:p w14:paraId="14962344" w14:textId="77777777" w:rsidR="004C6421" w:rsidRDefault="009D1962">
      <w:pPr>
        <w:pStyle w:val="P68B1DB1-Normal2"/>
        <w:spacing w:before="120" w:after="120"/>
        <w:jc w:val="both"/>
        <w:rPr>
          <w:noProof/>
        </w:rPr>
      </w:pPr>
      <w:r>
        <w:rPr>
          <w:noProof/>
        </w:rPr>
        <w:t>Inwestycja 6: Inwestycje w system własności przemysłowej</w:t>
      </w:r>
    </w:p>
    <w:p w14:paraId="5ED392A3" w14:textId="77777777" w:rsidR="004C6421" w:rsidRDefault="009D1962">
      <w:pPr>
        <w:pStyle w:val="P68B1DB1-Normal11"/>
        <w:spacing w:before="120" w:after="120"/>
        <w:jc w:val="both"/>
        <w:rPr>
          <w:noProof/>
        </w:rPr>
      </w:pPr>
      <w:r>
        <w:rPr>
          <w:noProof/>
        </w:rPr>
        <w:t xml:space="preserve">Celem inwestycji jest wsparcie systemu własności przemysłowej i towarzyszenie jego reformom, jak przewidziano w reformie 1 tego komponentu. Środek obejmuje wsparcie finansowe dla projektów przedsiębiorstw i instytucji badawczych związanych z własnością przemysłową, takich jak środki związane z patentami (Brevetti+), programy weryfikacji poprawności projektu (POC) oraz wzmocnienie biur transferu technologii. </w:t>
      </w:r>
    </w:p>
    <w:p w14:paraId="75AD541F" w14:textId="77777777" w:rsidR="004C6421" w:rsidRDefault="009D1962">
      <w:pPr>
        <w:spacing w:before="120" w:after="120"/>
        <w:jc w:val="both"/>
        <w:rPr>
          <w:noProof/>
        </w:rPr>
      </w:pPr>
      <w:r>
        <w:rPr>
          <w:noProof/>
        </w:rPr>
        <w:t>Aby zapewnić zgodność środka z wytycznymi technicznymi dotyczącymi zasady „nie czyń poważnych szkód” (2021/C58/01), kryteria kwalifikowalności zawarte w zakresie wymagań i obowiązków dla przyszłych zaproszeń do składania projektów wykluczają badania i rozwój poświęcone następującemu wykazowi działań: (i) działalności związanej z paliwami kopalnymi, w tym wykorzystania niższego szczebla</w:t>
      </w:r>
      <w:r>
        <w:rPr>
          <w:rStyle w:val="FootnoteReference"/>
          <w:noProof/>
        </w:rPr>
        <w:footnoteReference w:id="2"/>
      </w:r>
      <w:r>
        <w:rPr>
          <w:noProof/>
        </w:rPr>
        <w:t>; (II) działania w ramach unijnego systemu handlu uprawnieniami do emisji (ETS) prowadzące do osiągnięcia prognozowanych emisji gazów cieplarnianych, które nie są niższe niż odpowiednie wskaźniki referencyjne</w:t>
      </w:r>
      <w:r>
        <w:rPr>
          <w:rStyle w:val="FootnoteReference"/>
          <w:noProof/>
        </w:rPr>
        <w:footnoteReference w:id="3"/>
      </w:r>
      <w:r>
        <w:rPr>
          <w:noProof/>
        </w:rPr>
        <w:t>; (III) działania związane ze składowiskami odpadów, spalarniami</w:t>
      </w:r>
      <w:r>
        <w:rPr>
          <w:rStyle w:val="FootnoteReference"/>
          <w:noProof/>
        </w:rPr>
        <w:footnoteReference w:id="4"/>
      </w:r>
      <w:r>
        <w:rPr>
          <w:noProof/>
        </w:rPr>
        <w:t xml:space="preserve"> i zakładami mechaniczno-biologicznego przetwarzania odpadów</w:t>
      </w:r>
      <w:r>
        <w:rPr>
          <w:rStyle w:val="FootnoteReference"/>
          <w:noProof/>
        </w:rPr>
        <w:footnoteReference w:id="5"/>
      </w:r>
      <w:r>
        <w:rPr>
          <w:noProof/>
        </w:rPr>
        <w:t>; oraz (iv) działań, w przypadku których długoterminowe unieszkodliwianie odpadów może szkodzić środowisku naturalnemu. Zakres uprawnień wymaga ponadto, aby można było wybierać wyłącznie działania zgodne z odpowiednimi przepisami unijnymi i krajowymi w zakresie ochrony środowiska.</w:t>
      </w:r>
    </w:p>
    <w:p w14:paraId="15813275" w14:textId="77777777" w:rsidR="004C6421" w:rsidRDefault="009D1962">
      <w:pPr>
        <w:pStyle w:val="P68B1DB1-Normal12"/>
        <w:spacing w:before="120" w:after="120"/>
        <w:jc w:val="both"/>
        <w:rPr>
          <w:noProof/>
        </w:rPr>
      </w:pPr>
      <w:r>
        <w:rPr>
          <w:noProof/>
        </w:rPr>
        <w:t>Oś 2 – Poprawa otoczenia biznesu i konkurencji</w:t>
      </w:r>
    </w:p>
    <w:p w14:paraId="18797C76" w14:textId="77777777" w:rsidR="004C6421" w:rsidRDefault="009D1962">
      <w:pPr>
        <w:pStyle w:val="P68B1DB1-Normal2"/>
        <w:spacing w:before="120" w:after="120"/>
        <w:jc w:val="both"/>
        <w:rPr>
          <w:noProof/>
        </w:rPr>
      </w:pPr>
      <w:r>
        <w:rPr>
          <w:noProof/>
        </w:rPr>
        <w:t>Reforma nr 2: Roczne ustawy o konkurencji 2021, 2022, 2023 i 2024</w:t>
      </w:r>
    </w:p>
    <w:p w14:paraId="07A87910" w14:textId="77777777" w:rsidR="004C6421" w:rsidRDefault="009D1962">
      <w:pPr>
        <w:spacing w:before="120" w:after="120"/>
        <w:jc w:val="both"/>
        <w:rPr>
          <w:noProof/>
        </w:rPr>
      </w:pPr>
      <w:r>
        <w:rPr>
          <w:noProof/>
        </w:rPr>
        <w:t xml:space="preserve">Co roku przyjmuje się ustawę o konkurencji, zwiększając liczbę konkurencyjnych procedur udzielania zamówień prowadzących do zawarcia umów o świadczenie usług publicznych w zakresie lokalnych usług publicznych (zwłaszcza w zakresie odpadów i transportu publicznego), unikając nieuzasadnionego przedłużania koncesji w portach, autostradach, stacjach ładowania elektrycznego i energii wodnej operatorom zasiedziałym w wielu sektorach, zapewniając odpowiednią regulację umów o świadczenie usług publicznych, zmieniając przepisy dotyczące agregacji i stosując ogólną zasadę proporcjonalności w odniesieniu do długości i właściwej rekompensaty z tytułu umów o świadczenie usług publicznych. Ustawa o konkurencji zwiększy również zachęty dla regionów do ogłaszania przetargów na usługi publiczne w zakresie regionalnych usług kolejowych. Wprowadza się również wyraźny rozdział między funkcjami regulacji/kontroli a zarządzaniem umowami. </w:t>
      </w:r>
    </w:p>
    <w:p w14:paraId="65390525" w14:textId="77777777" w:rsidR="004C6421" w:rsidRDefault="009D1962">
      <w:pPr>
        <w:spacing w:before="120" w:after="120"/>
        <w:jc w:val="both"/>
        <w:rPr>
          <w:noProof/>
        </w:rPr>
      </w:pPr>
      <w:r>
        <w:rPr>
          <w:noProof/>
        </w:rPr>
        <w:t>W odniesieniu do środków sektorowych roczne ustawy o konkurencji obejmują środki w sektorach energii (energia elektryczna, gaz i woda), gospodarki odpadami i transportu (porty, kolej i autostrady), które uzupełniają inwestycje i reformy w ramach misji 2 i 3. Środki towarzyszące mające na celu zapewnienie upowszechnienia konkurencji na rynkach detalicznych energii elektrycznej wejdą w życie najpóźniej 31</w:t>
      </w:r>
      <w:r>
        <w:rPr>
          <w:noProof/>
          <w:vertAlign w:val="superscript"/>
        </w:rPr>
        <w:t>grudnia 2022 r.</w:t>
      </w:r>
      <w:r>
        <w:rPr>
          <w:noProof/>
        </w:rPr>
        <w:t xml:space="preserve"> Roczna ustawa o konkurencji z 2022 r. przyjmie w szczególności plan rozwoju sieci elektroenergetycznej i promuje wdrożenie inteligentnych liczników energii elektrycznej</w:t>
      </w:r>
      <w:r>
        <w:rPr>
          <w:noProof/>
          <w:vertAlign w:val="superscript"/>
        </w:rPr>
        <w:t>drugiej generacji</w:t>
      </w:r>
      <w:r>
        <w:rPr>
          <w:noProof/>
        </w:rPr>
        <w:t>, które na dzień 31</w:t>
      </w:r>
      <w:r>
        <w:rPr>
          <w:noProof/>
          <w:vertAlign w:val="superscript"/>
        </w:rPr>
        <w:t>grudnia</w:t>
      </w:r>
      <w:r>
        <w:rPr>
          <w:noProof/>
        </w:rPr>
        <w:t xml:space="preserve"> 2025 r. osiągną 33 mln jednostek we Włoszech.</w:t>
      </w:r>
    </w:p>
    <w:p w14:paraId="57874E55" w14:textId="77777777" w:rsidR="004C6421" w:rsidRDefault="009D1962">
      <w:pPr>
        <w:spacing w:before="120" w:after="120"/>
        <w:jc w:val="both"/>
        <w:rPr>
          <w:noProof/>
        </w:rPr>
      </w:pPr>
      <w:r>
        <w:rPr>
          <w:noProof/>
        </w:rPr>
        <w:t xml:space="preserve">Ponadto ustawy mają na celu poprawę otoczenia biznesu co najmniej poprzez: (i) dostosowanie przepisów dotyczących kontroli połączeń do prawa UE, (ii) konsolidację, cyfryzację i profesjonalizację organów nadzoru rynku oraz (iii) skrócenie czasu akredytacji na dostarczanie informacji o pracownikach z siedmiu do czterech dni w celu zmniejszenia liczby dni na założenie przedsiębiorstwa.  </w:t>
      </w:r>
    </w:p>
    <w:p w14:paraId="7CD4F050" w14:textId="77777777" w:rsidR="004C6421" w:rsidRDefault="009D1962">
      <w:pPr>
        <w:pStyle w:val="P68B1DB1-Normal2"/>
        <w:spacing w:before="120" w:after="120"/>
        <w:jc w:val="both"/>
        <w:rPr>
          <w:noProof/>
        </w:rPr>
      </w:pPr>
      <w:r>
        <w:rPr>
          <w:noProof/>
        </w:rPr>
        <w:t xml:space="preserve">Reforma 3: Racjonalizacja i uproszczenie zachęt dla przedsiębiorstw. </w:t>
      </w:r>
    </w:p>
    <w:p w14:paraId="10141A50" w14:textId="77777777" w:rsidR="004C6421" w:rsidRDefault="009D1962">
      <w:pPr>
        <w:spacing w:before="120" w:after="120"/>
        <w:jc w:val="both"/>
        <w:rPr>
          <w:noProof/>
        </w:rPr>
      </w:pPr>
      <w:r>
        <w:rPr>
          <w:noProof/>
        </w:rPr>
        <w:t xml:space="preserve">Reforma polega na systematycznym przeglądzie wszystkich krajowych zachęt dla przedsiębiorstw i powiązanych instrumentów. </w:t>
      </w:r>
    </w:p>
    <w:p w14:paraId="6E421C3E" w14:textId="77777777" w:rsidR="004C6421" w:rsidRDefault="009D1962">
      <w:pPr>
        <w:spacing w:before="120" w:after="120"/>
        <w:jc w:val="both"/>
        <w:rPr>
          <w:noProof/>
        </w:rPr>
      </w:pPr>
      <w:r>
        <w:rPr>
          <w:noProof/>
        </w:rPr>
        <w:t>Reforma jest wdrażana w dwóch etapach:</w:t>
      </w:r>
    </w:p>
    <w:p w14:paraId="794264AA" w14:textId="77777777" w:rsidR="004C6421" w:rsidRDefault="009D1962">
      <w:pPr>
        <w:pStyle w:val="ListParagraph"/>
        <w:numPr>
          <w:ilvl w:val="0"/>
          <w:numId w:val="111"/>
        </w:numPr>
        <w:spacing w:before="0" w:after="0"/>
        <w:rPr>
          <w:noProof/>
        </w:rPr>
      </w:pPr>
      <w:r>
        <w:rPr>
          <w:noProof/>
        </w:rPr>
        <w:t xml:space="preserve">Publikacja sprawozdania zawierającego ocenę zachęt dla przedsiębiorstw. W sprawozdaniu zostaną również przedstawione konkretne propozycje uproszczenia i racjonalizacji zachęt dla przedsiębiorstw. </w:t>
      </w:r>
    </w:p>
    <w:p w14:paraId="031CCE90" w14:textId="77777777" w:rsidR="004C6421" w:rsidRDefault="009D1962">
      <w:pPr>
        <w:jc w:val="both"/>
        <w:rPr>
          <w:noProof/>
        </w:rPr>
      </w:pPr>
      <w:r>
        <w:rPr>
          <w:noProof/>
        </w:rPr>
        <w:t xml:space="preserve"> </w:t>
      </w:r>
    </w:p>
    <w:p w14:paraId="032D2715" w14:textId="77777777" w:rsidR="004C6421" w:rsidRDefault="009D1962">
      <w:pPr>
        <w:pStyle w:val="ListParagraph"/>
        <w:numPr>
          <w:ilvl w:val="0"/>
          <w:numId w:val="110"/>
        </w:numPr>
        <w:spacing w:before="0" w:after="0"/>
        <w:rPr>
          <w:noProof/>
        </w:rPr>
      </w:pPr>
      <w:r>
        <w:rPr>
          <w:noProof/>
        </w:rPr>
        <w:t>Wejście w życie aktów ustawodawczych wdrażających ustawę o mandacie „Legge delega Incentivi”.  Akty ustawodawcze mają na celu usprawnienie i racjonalizację zachęt dla przedsiębiorstw.</w:t>
      </w:r>
    </w:p>
    <w:p w14:paraId="76411005" w14:textId="77777777" w:rsidR="004C6421" w:rsidRDefault="009D1962">
      <w:pPr>
        <w:pStyle w:val="P68B1DB1-Normal13"/>
        <w:spacing w:line="276" w:lineRule="auto"/>
        <w:jc w:val="both"/>
        <w:rPr>
          <w:noProof/>
        </w:rPr>
      </w:pPr>
      <w:r>
        <w:rPr>
          <w:noProof/>
        </w:rPr>
        <w:t xml:space="preserve"> </w:t>
      </w:r>
    </w:p>
    <w:p w14:paraId="391073EB" w14:textId="77777777" w:rsidR="004C6421" w:rsidRDefault="009D1962">
      <w:pPr>
        <w:spacing w:line="276" w:lineRule="auto"/>
        <w:jc w:val="both"/>
        <w:rPr>
          <w:noProof/>
        </w:rPr>
      </w:pPr>
      <w:r>
        <w:rPr>
          <w:noProof/>
        </w:rPr>
        <w:t>Reforma obejmuje restrukturyzację i dalsze wdrażanie dwóch kluczowych instrumentów zarządzanych przez Ministerstwo Przedsiębiorstw i Made we Włoszech (MIMIT):</w:t>
      </w:r>
    </w:p>
    <w:p w14:paraId="473BC421" w14:textId="77777777" w:rsidR="004C6421" w:rsidRDefault="009D1962">
      <w:pPr>
        <w:spacing w:line="276" w:lineRule="auto"/>
        <w:jc w:val="both"/>
        <w:rPr>
          <w:noProof/>
        </w:rPr>
      </w:pPr>
      <w:r>
        <w:rPr>
          <w:noProof/>
        </w:rPr>
        <w:t xml:space="preserve"> a) RNA (Krajowy Rejestr Pomocy Państwa) oraz</w:t>
      </w:r>
    </w:p>
    <w:p w14:paraId="5AE003F2" w14:textId="77777777" w:rsidR="004C6421" w:rsidRDefault="009D1962">
      <w:pPr>
        <w:spacing w:line="276" w:lineRule="auto"/>
        <w:jc w:val="both"/>
        <w:rPr>
          <w:noProof/>
        </w:rPr>
      </w:pPr>
      <w:r>
        <w:rPr>
          <w:noProof/>
        </w:rPr>
        <w:t xml:space="preserve"> b) </w:t>
      </w:r>
      <w:r>
        <w:rPr>
          <w:i/>
          <w:noProof/>
        </w:rPr>
        <w:t>platforma</w:t>
      </w:r>
      <w:r>
        <w:rPr>
          <w:noProof/>
        </w:rPr>
        <w:t xml:space="preserve"> incentivi.gov.it.</w:t>
      </w:r>
    </w:p>
    <w:p w14:paraId="5F045293" w14:textId="77777777" w:rsidR="004C6421" w:rsidRDefault="009D1962">
      <w:pPr>
        <w:jc w:val="both"/>
        <w:rPr>
          <w:noProof/>
        </w:rPr>
      </w:pPr>
      <w:r>
        <w:rPr>
          <w:noProof/>
        </w:rPr>
        <w:t xml:space="preserve">  </w:t>
      </w:r>
      <w:r>
        <w:rPr>
          <w:noProof/>
        </w:rPr>
        <w:br/>
      </w:r>
    </w:p>
    <w:p w14:paraId="43E0AE50" w14:textId="77777777" w:rsidR="004C6421" w:rsidRDefault="004C6421">
      <w:pPr>
        <w:spacing w:before="120" w:after="120"/>
        <w:jc w:val="both"/>
        <w:rPr>
          <w:noProof/>
        </w:rPr>
        <w:sectPr w:rsidR="004C6421" w:rsidSect="00797973">
          <w:headerReference w:type="even" r:id="rId44"/>
          <w:headerReference w:type="default" r:id="rId45"/>
          <w:footerReference w:type="even" r:id="rId46"/>
          <w:footerReference w:type="default" r:id="rId47"/>
          <w:headerReference w:type="first" r:id="rId48"/>
          <w:footerReference w:type="first" r:id="rId49"/>
          <w:pgSz w:w="11907" w:h="16839"/>
          <w:pgMar w:top="1440" w:right="1440" w:bottom="1440" w:left="1440" w:header="567" w:footer="567" w:gutter="0"/>
          <w:cols w:space="720"/>
          <w:docGrid w:linePitch="360"/>
        </w:sectPr>
      </w:pPr>
    </w:p>
    <w:p w14:paraId="1D8C15E5" w14:textId="77777777" w:rsidR="004C6421" w:rsidRDefault="009D1962">
      <w:pPr>
        <w:pStyle w:val="Heading3"/>
        <w:numPr>
          <w:ilvl w:val="2"/>
          <w:numId w:val="0"/>
        </w:numPr>
        <w:ind w:left="850" w:hanging="850"/>
        <w:rPr>
          <w:b/>
          <w:i w:val="0"/>
          <w:noProof/>
          <w:u w:val="single"/>
        </w:rPr>
      </w:pPr>
      <w:r>
        <w:rPr>
          <w:b/>
          <w:i w:val="0"/>
          <w:noProof/>
          <w:u w:val="single"/>
        </w:rPr>
        <w:t xml:space="preserve">B.2. </w:t>
      </w:r>
      <w:r>
        <w:rPr>
          <w:noProof/>
        </w:rPr>
        <w:t xml:space="preserve"> </w:t>
      </w:r>
      <w:r>
        <w:rPr>
          <w:b/>
          <w:i w:val="0"/>
          <w:noProof/>
          <w:u w:val="single"/>
        </w:rPr>
        <w:t>Kamienie milowe, wartości docelowe, wskaźniki i harmonogram monitorowania i realizacji na potrzeby bezzwrotnego wsparcia finansowego</w:t>
      </w:r>
    </w:p>
    <w:tbl>
      <w:tblPr>
        <w:tblW w:w="155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134"/>
        <w:gridCol w:w="1134"/>
        <w:gridCol w:w="1701"/>
        <w:gridCol w:w="1456"/>
        <w:gridCol w:w="960"/>
        <w:gridCol w:w="1127"/>
        <w:gridCol w:w="1276"/>
        <w:gridCol w:w="851"/>
        <w:gridCol w:w="708"/>
        <w:gridCol w:w="4094"/>
      </w:tblGrid>
      <w:tr w:rsidR="004C6421" w14:paraId="313DACD1" w14:textId="77777777">
        <w:trPr>
          <w:trHeight w:val="1020"/>
          <w:tblHeader/>
        </w:trPr>
        <w:tc>
          <w:tcPr>
            <w:tcW w:w="1135" w:type="dxa"/>
            <w:vMerge w:val="restart"/>
            <w:shd w:val="clear" w:color="auto" w:fill="BDD7EE"/>
            <w:vAlign w:val="center"/>
          </w:tcPr>
          <w:p w14:paraId="2230BC13" w14:textId="77777777" w:rsidR="004C6421" w:rsidRDefault="009D1962">
            <w:pPr>
              <w:pStyle w:val="P68B1DB1-Normal3"/>
              <w:spacing w:before="120" w:after="120"/>
              <w:jc w:val="center"/>
              <w:rPr>
                <w:noProof/>
              </w:rPr>
            </w:pPr>
            <w:r>
              <w:rPr>
                <w:noProof/>
              </w:rPr>
              <w:t>Numer porządkowy</w:t>
            </w:r>
          </w:p>
        </w:tc>
        <w:tc>
          <w:tcPr>
            <w:tcW w:w="1134" w:type="dxa"/>
            <w:vMerge w:val="restart"/>
            <w:shd w:val="clear" w:color="auto" w:fill="BDD7EE"/>
            <w:vAlign w:val="center"/>
          </w:tcPr>
          <w:p w14:paraId="42ABDC20" w14:textId="77777777" w:rsidR="004C6421" w:rsidRDefault="009D1962">
            <w:pPr>
              <w:pStyle w:val="P68B1DB1-Normal3"/>
              <w:spacing w:before="120" w:after="120"/>
              <w:jc w:val="center"/>
              <w:rPr>
                <w:noProof/>
              </w:rPr>
            </w:pPr>
            <w:r>
              <w:rPr>
                <w:noProof/>
              </w:rPr>
              <w:t>Miara</w:t>
            </w:r>
          </w:p>
        </w:tc>
        <w:tc>
          <w:tcPr>
            <w:tcW w:w="1134" w:type="dxa"/>
            <w:vMerge w:val="restart"/>
            <w:shd w:val="clear" w:color="auto" w:fill="BDD7EE"/>
            <w:vAlign w:val="center"/>
          </w:tcPr>
          <w:p w14:paraId="56288C71" w14:textId="77777777" w:rsidR="004C6421" w:rsidRDefault="009D1962">
            <w:pPr>
              <w:pStyle w:val="P68B1DB1-Normal3"/>
              <w:spacing w:before="120" w:after="120"/>
              <w:jc w:val="center"/>
              <w:rPr>
                <w:noProof/>
              </w:rPr>
            </w:pPr>
            <w:r>
              <w:rPr>
                <w:noProof/>
              </w:rPr>
              <w:t>Kamień milowy/wartość docelowa</w:t>
            </w:r>
          </w:p>
        </w:tc>
        <w:tc>
          <w:tcPr>
            <w:tcW w:w="1701" w:type="dxa"/>
            <w:vMerge w:val="restart"/>
            <w:shd w:val="clear" w:color="auto" w:fill="BDD7EE"/>
            <w:vAlign w:val="center"/>
          </w:tcPr>
          <w:p w14:paraId="6CA0BC91" w14:textId="77777777" w:rsidR="004C6421" w:rsidRDefault="009D1962">
            <w:pPr>
              <w:pStyle w:val="P68B1DB1-Normal3"/>
              <w:spacing w:before="120" w:after="120"/>
              <w:jc w:val="center"/>
              <w:rPr>
                <w:noProof/>
              </w:rPr>
            </w:pPr>
            <w:r>
              <w:rPr>
                <w:noProof/>
              </w:rPr>
              <w:t>Nazwa</w:t>
            </w:r>
          </w:p>
        </w:tc>
        <w:tc>
          <w:tcPr>
            <w:tcW w:w="1456" w:type="dxa"/>
            <w:vMerge w:val="restart"/>
            <w:shd w:val="clear" w:color="auto" w:fill="BDD7EE"/>
            <w:vAlign w:val="center"/>
          </w:tcPr>
          <w:p w14:paraId="6D6EE7A1" w14:textId="77777777" w:rsidR="004C6421" w:rsidRDefault="009D1962">
            <w:pPr>
              <w:spacing w:before="120" w:after="120"/>
              <w:jc w:val="center"/>
              <w:rPr>
                <w:rFonts w:ascii="Arial Narrow" w:hAnsi="Arial Narrow"/>
                <w:b/>
                <w:noProof/>
                <w:sz w:val="20"/>
              </w:rPr>
            </w:pPr>
            <w:r>
              <w:rPr>
                <w:rFonts w:ascii="Arial Narrow" w:hAnsi="Arial Narrow"/>
                <w:b/>
                <w:noProof/>
                <w:sz w:val="20"/>
              </w:rPr>
              <w:t xml:space="preserve">Wskaźniki jakościowe </w:t>
            </w:r>
            <w:r>
              <w:rPr>
                <w:rFonts w:ascii="Arial Narrow" w:hAnsi="Arial Narrow"/>
                <w:noProof/>
              </w:rPr>
              <w:t xml:space="preserve"> </w:t>
            </w:r>
            <w:r>
              <w:rPr>
                <w:noProof/>
              </w:rPr>
              <w:t xml:space="preserve">  </w:t>
            </w:r>
            <w:r>
              <w:rPr>
                <w:noProof/>
              </w:rPr>
              <w:br/>
            </w:r>
            <w:r>
              <w:rPr>
                <w:rFonts w:ascii="Arial Narrow" w:hAnsi="Arial Narrow"/>
                <w:b/>
                <w:noProof/>
                <w:sz w:val="20"/>
              </w:rPr>
              <w:t>(dla kamieni milowych)</w:t>
            </w:r>
          </w:p>
        </w:tc>
        <w:tc>
          <w:tcPr>
            <w:tcW w:w="3363" w:type="dxa"/>
            <w:gridSpan w:val="3"/>
            <w:tcBorders>
              <w:top w:val="single" w:sz="4" w:space="0" w:color="auto"/>
              <w:left w:val="single" w:sz="4" w:space="0" w:color="auto"/>
              <w:bottom w:val="single" w:sz="4" w:space="0" w:color="auto"/>
              <w:right w:val="single" w:sz="4" w:space="0" w:color="auto"/>
            </w:tcBorders>
            <w:shd w:val="clear" w:color="auto" w:fill="BDD7EE"/>
            <w:vAlign w:val="center"/>
          </w:tcPr>
          <w:p w14:paraId="52B90D7D" w14:textId="77777777" w:rsidR="004C6421" w:rsidRDefault="009D1962">
            <w:pPr>
              <w:spacing w:before="120" w:after="120"/>
              <w:jc w:val="center"/>
              <w:rPr>
                <w:rFonts w:ascii="Arial Narrow" w:hAnsi="Arial Narrow"/>
                <w:b/>
                <w:noProof/>
                <w:sz w:val="20"/>
              </w:rPr>
            </w:pPr>
            <w:r>
              <w:rPr>
                <w:rFonts w:ascii="Arial Narrow" w:hAnsi="Arial Narrow"/>
                <w:b/>
                <w:noProof/>
                <w:sz w:val="20"/>
              </w:rPr>
              <w:t xml:space="preserve">Wskaźniki ilościowe </w:t>
            </w:r>
            <w:r>
              <w:rPr>
                <w:rFonts w:ascii="Arial Narrow" w:hAnsi="Arial Narrow"/>
                <w:noProof/>
              </w:rPr>
              <w:t xml:space="preserve"> </w:t>
            </w:r>
            <w:r>
              <w:rPr>
                <w:noProof/>
              </w:rPr>
              <w:t xml:space="preserve">  </w:t>
            </w:r>
            <w:r>
              <w:rPr>
                <w:noProof/>
              </w:rPr>
              <w:br/>
            </w:r>
            <w:r>
              <w:rPr>
                <w:rFonts w:ascii="Arial Narrow" w:hAnsi="Arial Narrow"/>
                <w:b/>
                <w:noProof/>
                <w:sz w:val="20"/>
              </w:rPr>
              <w:t>(dla wartości docelowych)</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DD7EE"/>
            <w:vAlign w:val="center"/>
          </w:tcPr>
          <w:p w14:paraId="204753F2" w14:textId="77777777" w:rsidR="004C6421" w:rsidRDefault="009D1962">
            <w:pPr>
              <w:pStyle w:val="P68B1DB1-Normal3"/>
              <w:spacing w:before="120" w:after="120"/>
              <w:jc w:val="center"/>
              <w:rPr>
                <w:noProof/>
              </w:rPr>
            </w:pPr>
            <w:r>
              <w:rPr>
                <w:noProof/>
              </w:rPr>
              <w:t>Orientacyjny harmonogram zakończenia działania</w:t>
            </w:r>
          </w:p>
        </w:tc>
        <w:tc>
          <w:tcPr>
            <w:tcW w:w="4094" w:type="dxa"/>
            <w:vMerge w:val="restart"/>
            <w:tcBorders>
              <w:top w:val="single" w:sz="4" w:space="0" w:color="auto"/>
              <w:left w:val="single" w:sz="4" w:space="0" w:color="auto"/>
              <w:right w:val="single" w:sz="4" w:space="0" w:color="auto"/>
            </w:tcBorders>
            <w:shd w:val="clear" w:color="auto" w:fill="BDD7EE"/>
            <w:vAlign w:val="center"/>
          </w:tcPr>
          <w:p w14:paraId="6B6C3517" w14:textId="77777777" w:rsidR="004C6421" w:rsidRDefault="009D1962">
            <w:pPr>
              <w:pStyle w:val="P68B1DB1-Normal3"/>
              <w:spacing w:before="120" w:after="120"/>
              <w:rPr>
                <w:noProof/>
              </w:rPr>
            </w:pPr>
            <w:r>
              <w:rPr>
                <w:noProof/>
              </w:rPr>
              <w:t>Opis każdego kamienia milowego i każdej wartości docelowej</w:t>
            </w:r>
          </w:p>
        </w:tc>
      </w:tr>
      <w:tr w:rsidR="004C6421" w14:paraId="64651FF0" w14:textId="77777777">
        <w:trPr>
          <w:trHeight w:val="718"/>
          <w:tblHeader/>
        </w:trPr>
        <w:tc>
          <w:tcPr>
            <w:tcW w:w="1135" w:type="dxa"/>
            <w:vMerge/>
            <w:vAlign w:val="center"/>
          </w:tcPr>
          <w:p w14:paraId="261B9256" w14:textId="77777777" w:rsidR="004C6421" w:rsidRDefault="004C6421">
            <w:pPr>
              <w:spacing w:before="120" w:after="120"/>
              <w:jc w:val="center"/>
              <w:rPr>
                <w:rFonts w:ascii="Arial Narrow" w:hAnsi="Arial Narrow"/>
                <w:noProof/>
                <w:sz w:val="20"/>
              </w:rPr>
            </w:pPr>
          </w:p>
        </w:tc>
        <w:tc>
          <w:tcPr>
            <w:tcW w:w="1134" w:type="dxa"/>
            <w:vMerge/>
            <w:vAlign w:val="center"/>
          </w:tcPr>
          <w:p w14:paraId="0AC9C0DE" w14:textId="77777777" w:rsidR="004C6421" w:rsidRDefault="004C6421">
            <w:pPr>
              <w:spacing w:before="120" w:after="120"/>
              <w:jc w:val="center"/>
              <w:rPr>
                <w:rFonts w:ascii="Arial Narrow" w:hAnsi="Arial Narrow"/>
                <w:noProof/>
                <w:sz w:val="20"/>
              </w:rPr>
            </w:pPr>
          </w:p>
        </w:tc>
        <w:tc>
          <w:tcPr>
            <w:tcW w:w="1134" w:type="dxa"/>
            <w:vMerge/>
            <w:vAlign w:val="center"/>
          </w:tcPr>
          <w:p w14:paraId="78F8AD08" w14:textId="77777777" w:rsidR="004C6421" w:rsidRDefault="004C6421">
            <w:pPr>
              <w:spacing w:before="120" w:after="120"/>
              <w:jc w:val="center"/>
              <w:rPr>
                <w:rFonts w:ascii="Arial Narrow" w:hAnsi="Arial Narrow"/>
                <w:noProof/>
                <w:sz w:val="20"/>
              </w:rPr>
            </w:pPr>
          </w:p>
        </w:tc>
        <w:tc>
          <w:tcPr>
            <w:tcW w:w="1701" w:type="dxa"/>
            <w:vMerge/>
            <w:vAlign w:val="center"/>
          </w:tcPr>
          <w:p w14:paraId="7713086F" w14:textId="77777777" w:rsidR="004C6421" w:rsidRDefault="004C6421">
            <w:pPr>
              <w:spacing w:before="120" w:after="120"/>
              <w:jc w:val="center"/>
              <w:rPr>
                <w:rFonts w:ascii="Arial Narrow" w:hAnsi="Arial Narrow"/>
                <w:noProof/>
                <w:sz w:val="20"/>
              </w:rPr>
            </w:pPr>
          </w:p>
        </w:tc>
        <w:tc>
          <w:tcPr>
            <w:tcW w:w="1456" w:type="dxa"/>
            <w:vMerge/>
            <w:vAlign w:val="center"/>
          </w:tcPr>
          <w:p w14:paraId="30378655" w14:textId="77777777" w:rsidR="004C6421" w:rsidRDefault="004C6421">
            <w:pPr>
              <w:spacing w:before="120" w:after="120"/>
              <w:jc w:val="center"/>
              <w:rPr>
                <w:rFonts w:ascii="Arial Narrow" w:hAnsi="Arial Narrow"/>
                <w:noProof/>
                <w:sz w:val="20"/>
              </w:rPr>
            </w:pPr>
          </w:p>
        </w:tc>
        <w:tc>
          <w:tcPr>
            <w:tcW w:w="960" w:type="dxa"/>
            <w:tcBorders>
              <w:top w:val="single" w:sz="4" w:space="0" w:color="auto"/>
              <w:left w:val="single" w:sz="4" w:space="0" w:color="auto"/>
              <w:bottom w:val="single" w:sz="4" w:space="0" w:color="auto"/>
              <w:right w:val="single" w:sz="4" w:space="0" w:color="auto"/>
            </w:tcBorders>
            <w:shd w:val="clear" w:color="auto" w:fill="BDD7EE"/>
            <w:vAlign w:val="center"/>
          </w:tcPr>
          <w:p w14:paraId="5D293608" w14:textId="77777777" w:rsidR="004C6421" w:rsidRDefault="009D1962">
            <w:pPr>
              <w:pStyle w:val="P68B1DB1-Normal3"/>
              <w:spacing w:before="120" w:after="120"/>
              <w:jc w:val="center"/>
              <w:rPr>
                <w:noProof/>
              </w:rPr>
            </w:pPr>
            <w:r>
              <w:rPr>
                <w:noProof/>
              </w:rPr>
              <w:t>Jednostka miary</w:t>
            </w:r>
          </w:p>
        </w:tc>
        <w:tc>
          <w:tcPr>
            <w:tcW w:w="1127" w:type="dxa"/>
            <w:tcBorders>
              <w:top w:val="single" w:sz="4" w:space="0" w:color="auto"/>
              <w:left w:val="single" w:sz="4" w:space="0" w:color="auto"/>
              <w:bottom w:val="single" w:sz="4" w:space="0" w:color="auto"/>
              <w:right w:val="single" w:sz="4" w:space="0" w:color="auto"/>
            </w:tcBorders>
            <w:shd w:val="clear" w:color="auto" w:fill="BDD7EE"/>
            <w:vAlign w:val="center"/>
          </w:tcPr>
          <w:p w14:paraId="110AB1DE" w14:textId="77777777" w:rsidR="004C6421" w:rsidRDefault="009D1962">
            <w:pPr>
              <w:pStyle w:val="P68B1DB1-Normal3"/>
              <w:spacing w:before="120" w:after="120"/>
              <w:jc w:val="center"/>
              <w:rPr>
                <w:noProof/>
              </w:rPr>
            </w:pPr>
            <w:r>
              <w:rPr>
                <w:noProof/>
              </w:rPr>
              <w:t>Bazowy</w:t>
            </w:r>
          </w:p>
        </w:tc>
        <w:tc>
          <w:tcPr>
            <w:tcW w:w="1276" w:type="dxa"/>
            <w:tcBorders>
              <w:top w:val="single" w:sz="4" w:space="0" w:color="auto"/>
              <w:left w:val="single" w:sz="4" w:space="0" w:color="auto"/>
              <w:bottom w:val="single" w:sz="4" w:space="0" w:color="auto"/>
              <w:right w:val="single" w:sz="4" w:space="0" w:color="auto"/>
            </w:tcBorders>
            <w:shd w:val="clear" w:color="auto" w:fill="BDD7EE"/>
            <w:vAlign w:val="center"/>
          </w:tcPr>
          <w:p w14:paraId="625646C5" w14:textId="77777777" w:rsidR="004C6421" w:rsidRDefault="009D1962">
            <w:pPr>
              <w:pStyle w:val="P68B1DB1-Normal3"/>
              <w:spacing w:before="120" w:after="120"/>
              <w:jc w:val="center"/>
              <w:rPr>
                <w:noProof/>
              </w:rPr>
            </w:pPr>
            <w:r>
              <w:rPr>
                <w:noProof/>
              </w:rPr>
              <w:t>Cel</w:t>
            </w:r>
          </w:p>
        </w:tc>
        <w:tc>
          <w:tcPr>
            <w:tcW w:w="851" w:type="dxa"/>
            <w:tcBorders>
              <w:top w:val="single" w:sz="4" w:space="0" w:color="auto"/>
              <w:left w:val="single" w:sz="4" w:space="0" w:color="auto"/>
              <w:bottom w:val="single" w:sz="4" w:space="0" w:color="auto"/>
              <w:right w:val="single" w:sz="4" w:space="0" w:color="auto"/>
            </w:tcBorders>
            <w:shd w:val="clear" w:color="auto" w:fill="BDD7EE"/>
            <w:vAlign w:val="center"/>
          </w:tcPr>
          <w:p w14:paraId="22E5EB74" w14:textId="77777777" w:rsidR="004C6421" w:rsidRDefault="009D1962">
            <w:pPr>
              <w:pStyle w:val="P68B1DB1-Normal3"/>
              <w:spacing w:before="120" w:after="120"/>
              <w:jc w:val="center"/>
              <w:rPr>
                <w:noProof/>
              </w:rPr>
            </w:pPr>
            <w:r>
              <w:rPr>
                <w:noProof/>
              </w:rPr>
              <w:t>Kwartał</w:t>
            </w:r>
          </w:p>
        </w:tc>
        <w:tc>
          <w:tcPr>
            <w:tcW w:w="708" w:type="dxa"/>
            <w:tcBorders>
              <w:top w:val="single" w:sz="4" w:space="0" w:color="auto"/>
              <w:left w:val="single" w:sz="4" w:space="0" w:color="auto"/>
              <w:bottom w:val="single" w:sz="4" w:space="0" w:color="auto"/>
              <w:right w:val="single" w:sz="4" w:space="0" w:color="auto"/>
            </w:tcBorders>
            <w:shd w:val="clear" w:color="auto" w:fill="BDD7EE"/>
            <w:vAlign w:val="center"/>
          </w:tcPr>
          <w:p w14:paraId="69868C97" w14:textId="77777777" w:rsidR="004C6421" w:rsidRDefault="009D1962">
            <w:pPr>
              <w:pStyle w:val="P68B1DB1-Normal3"/>
              <w:spacing w:before="120" w:after="120"/>
              <w:jc w:val="center"/>
              <w:rPr>
                <w:noProof/>
              </w:rPr>
            </w:pPr>
            <w:r>
              <w:rPr>
                <w:noProof/>
              </w:rPr>
              <w:t>Rok</w:t>
            </w:r>
          </w:p>
        </w:tc>
        <w:tc>
          <w:tcPr>
            <w:tcW w:w="4094" w:type="dxa"/>
            <w:vMerge/>
            <w:vAlign w:val="center"/>
          </w:tcPr>
          <w:p w14:paraId="69CC79AF" w14:textId="77777777" w:rsidR="004C6421" w:rsidRDefault="004C6421">
            <w:pPr>
              <w:spacing w:before="120" w:after="120"/>
              <w:rPr>
                <w:rFonts w:ascii="Arial Narrow" w:hAnsi="Arial Narrow"/>
                <w:noProof/>
                <w:sz w:val="20"/>
              </w:rPr>
            </w:pPr>
          </w:p>
        </w:tc>
      </w:tr>
      <w:tr w:rsidR="004C6421" w14:paraId="10B5FA1C"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16873393" w14:textId="77777777" w:rsidR="004C6421" w:rsidRDefault="009D1962">
            <w:pPr>
              <w:pStyle w:val="P68B1DB1-Normal4"/>
              <w:jc w:val="center"/>
              <w:rPr>
                <w:noProof/>
              </w:rPr>
            </w:pPr>
            <w:r>
              <w:rPr>
                <w:noProof/>
              </w:rPr>
              <w:t>M1C2-1</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5BD24BC4" w14:textId="77777777" w:rsidR="004C6421" w:rsidRDefault="009D1962">
            <w:pPr>
              <w:pStyle w:val="P68B1DB1-Normal4"/>
              <w:jc w:val="center"/>
              <w:rPr>
                <w:noProof/>
              </w:rPr>
            </w:pPr>
            <w:r>
              <w:rPr>
                <w:noProof/>
              </w:rPr>
              <w:t>Inwestycja 1: Przejście 4.0</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2DB19557" w14:textId="1E6E1D28" w:rsidR="004C6421" w:rsidRDefault="00CC179E">
            <w:pPr>
              <w:pStyle w:val="P68B1DB1-Normal4"/>
              <w:jc w:val="center"/>
              <w:rPr>
                <w:noProof/>
              </w:rPr>
            </w:pPr>
            <w:r>
              <w:rPr>
                <w:noProof/>
              </w:rPr>
              <w:t>Milowy</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10BAFD1B" w14:textId="77777777" w:rsidR="004C6421" w:rsidRDefault="009D1962">
            <w:pPr>
              <w:pStyle w:val="P68B1DB1-Normal4"/>
              <w:jc w:val="center"/>
              <w:rPr>
                <w:noProof/>
              </w:rPr>
            </w:pPr>
            <w:r>
              <w:rPr>
                <w:noProof/>
              </w:rPr>
              <w:t>Wejście w życie aktów prawnych mających na celu udostępnienie potencjalnym beneficjentom ulg podatkowych w okresie przejściowym 4.0 oraz ustanowienie komitetu naukowego</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708CA7C2" w14:textId="77777777" w:rsidR="004C6421" w:rsidRDefault="009D1962">
            <w:pPr>
              <w:pStyle w:val="P68B1DB1-Normal4"/>
              <w:jc w:val="center"/>
              <w:rPr>
                <w:noProof/>
              </w:rPr>
            </w:pPr>
            <w:r>
              <w:rPr>
                <w:noProof/>
              </w:rPr>
              <w:t>Przepis ustawy wskazujący na wejście w życie ustawy budżetowej umożliwiający ulgi podatkowe oraz przepis w powiązanych aktach wykonawczych wskazujący na ich wejście w życie NIE DOT.</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5F0CAB18" w14:textId="77777777" w:rsidR="004C6421" w:rsidRDefault="009D1962">
            <w:pPr>
              <w:pStyle w:val="P68B1DB1-Normal4"/>
              <w:jc w:val="center"/>
              <w:rPr>
                <w:noProof/>
              </w:rPr>
            </w:pPr>
            <w:r>
              <w:rPr>
                <w:noProof/>
              </w:rPr>
              <w:t>NIE DOT.</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040CAE09" w14:textId="77777777" w:rsidR="004C6421" w:rsidRDefault="009D1962">
            <w:pPr>
              <w:pStyle w:val="P68B1DB1-Normal4"/>
              <w:jc w:val="center"/>
              <w:rPr>
                <w:noProof/>
              </w:rPr>
            </w:pPr>
            <w:r>
              <w:rPr>
                <w:noProof/>
              </w:rPr>
              <w:t>NIE DOT.</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757D3B79" w14:textId="77777777" w:rsidR="004C6421" w:rsidRDefault="009D1962">
            <w:pPr>
              <w:pStyle w:val="P68B1DB1-Normal4"/>
              <w:jc w:val="center"/>
              <w:rPr>
                <w:noProof/>
              </w:rPr>
            </w:pPr>
            <w:r>
              <w:rPr>
                <w:noProof/>
              </w:rPr>
              <w:t>NIE DOT.</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605F979A" w14:textId="0161528A" w:rsidR="004C6421" w:rsidRDefault="00CC179E">
            <w:pPr>
              <w:pStyle w:val="P68B1DB1-Normal4"/>
              <w:jc w:val="center"/>
              <w:rPr>
                <w:noProof/>
              </w:rPr>
            </w:pPr>
            <w:r>
              <w:rPr>
                <w:noProof/>
              </w:rPr>
              <w:t>KW. 4</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4E47D885" w14:textId="77777777" w:rsidR="004C6421" w:rsidRDefault="009D1962">
            <w:pPr>
              <w:pStyle w:val="P68B1DB1-Normal4"/>
              <w:jc w:val="center"/>
              <w:rPr>
                <w:noProof/>
              </w:rPr>
            </w:pPr>
            <w:r>
              <w:rPr>
                <w:noProof/>
              </w:rPr>
              <w:t>2021</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354A3D89" w14:textId="77777777" w:rsidR="004C6421" w:rsidRDefault="009D1962">
            <w:pPr>
              <w:pStyle w:val="P68B1DB1-Normal4"/>
              <w:rPr>
                <w:noProof/>
              </w:rPr>
            </w:pPr>
            <w:r>
              <w:rPr>
                <w:noProof/>
              </w:rPr>
              <w:t>Akty prawne udostępniają potencjalnym beneficjentom ulgi podatkowe w okresie przejściowym 4.0. Są to ulgi podatkowe dla (i) 4,0 (tj. zaawansowanych technologicznie) materialnych dóbr inwestycyjnych, (ii) 4.0 niematerialnych dóbr inwestycyjnych, (iii) standardowych niematerialnych dóbr inwestycyjnych, (iv) działalności badawczej, rozwojowej i innowacyjnej oraz (v) działalności szkoleniowej.</w:t>
            </w:r>
          </w:p>
          <w:p w14:paraId="7C2774BA" w14:textId="77777777" w:rsidR="004C6421" w:rsidRDefault="009D1962">
            <w:pPr>
              <w:pStyle w:val="P68B1DB1-Normal4"/>
              <w:rPr>
                <w:noProof/>
              </w:rPr>
            </w:pPr>
            <w:r>
              <w:rPr>
                <w:noProof/>
              </w:rPr>
              <w:t>Kody ulg podatkowych określa się w drodze uchwały Agencji Skarbowej, aby umożliwić beneficjentom korzystanie z ulg podatkowych w modelu płatności F24. Komitet naukowy składający się z ekspertów z Ministerstwa Gospodarki i Finansów, Ministerstwa Rozwoju Gospodarczego i Banku Włoch ustanawia się w drodze przyjęcia dekretu ministerialnego w celu oceny skutków gospodarczych ulg podatkowych w okresie przejściowym 4.0.</w:t>
            </w:r>
          </w:p>
        </w:tc>
      </w:tr>
      <w:tr w:rsidR="004C6421" w14:paraId="28C91FA7"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3048C570" w14:textId="77777777" w:rsidR="004C6421" w:rsidRDefault="009D1962">
            <w:pPr>
              <w:pStyle w:val="P68B1DB1-Normal4"/>
              <w:spacing w:before="120" w:after="120"/>
              <w:jc w:val="center"/>
              <w:rPr>
                <w:noProof/>
              </w:rPr>
            </w:pPr>
            <w:r>
              <w:rPr>
                <w:noProof/>
              </w:rPr>
              <w:t>M1C2-2</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72CB152E" w14:textId="77777777" w:rsidR="004C6421" w:rsidRDefault="009D1962">
            <w:pPr>
              <w:pStyle w:val="P68B1DB1-Normal4"/>
              <w:spacing w:before="120" w:after="120"/>
              <w:jc w:val="center"/>
              <w:rPr>
                <w:noProof/>
              </w:rPr>
            </w:pPr>
            <w:r>
              <w:rPr>
                <w:noProof/>
              </w:rPr>
              <w:t>Inwestycja 1: Przejście 4.0</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73F86817" w14:textId="77777777" w:rsidR="004C6421" w:rsidRDefault="009D1962">
            <w:pPr>
              <w:pStyle w:val="P68B1DB1-Normal4"/>
              <w:spacing w:before="120" w:after="120"/>
              <w:jc w:val="center"/>
              <w:rPr>
                <w:noProof/>
              </w:rPr>
            </w:pPr>
            <w:r>
              <w:rPr>
                <w:noProof/>
              </w:rPr>
              <w:t>Cel</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1BBE273B" w14:textId="77777777" w:rsidR="004C6421" w:rsidRDefault="009D1962">
            <w:pPr>
              <w:pStyle w:val="P68B1DB1-Normal4"/>
              <w:spacing w:before="120" w:after="120"/>
              <w:jc w:val="center"/>
              <w:rPr>
                <w:noProof/>
              </w:rPr>
            </w:pPr>
            <w:r>
              <w:rPr>
                <w:noProof/>
              </w:rPr>
              <w:t>Przejście 4.0 ulgi podatkowe przyznane przedsiębiorstwom na podstawie deklaracji podatkowych przedstawionych w latach 2021–2022</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68F3B30F" w14:textId="77777777" w:rsidR="004C6421" w:rsidRDefault="009D1962">
            <w:pPr>
              <w:pStyle w:val="P68B1DB1-Normal4"/>
              <w:spacing w:before="120" w:after="120"/>
              <w:jc w:val="center"/>
              <w:rPr>
                <w:noProof/>
              </w:rPr>
            </w:pPr>
            <w:r>
              <w:rPr>
                <w:noProof/>
              </w:rPr>
              <w:t>NIE DOT.</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6829423B" w14:textId="77777777" w:rsidR="004C6421" w:rsidRDefault="009D1962">
            <w:pPr>
              <w:pStyle w:val="P68B1DB1-Normal4"/>
              <w:spacing w:before="120" w:after="120"/>
              <w:jc w:val="center"/>
              <w:rPr>
                <w:noProof/>
              </w:rPr>
            </w:pPr>
            <w:r>
              <w:rPr>
                <w:noProof/>
              </w:rPr>
              <w:t>Numer</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11DEADF9" w14:textId="77777777" w:rsidR="004C6421" w:rsidRDefault="009D1962">
            <w:pPr>
              <w:pStyle w:val="P68B1DB1-Normal4"/>
              <w:spacing w:before="120" w:after="120"/>
              <w:jc w:val="center"/>
              <w:rPr>
                <w:noProof/>
              </w:rPr>
            </w:pPr>
            <w:r>
              <w:rPr>
                <w:noProof/>
              </w:rPr>
              <w:t>0</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26C4E973" w14:textId="77777777" w:rsidR="004C6421" w:rsidRDefault="009D1962">
            <w:pPr>
              <w:pStyle w:val="P68B1DB1-Normal4"/>
              <w:spacing w:before="120" w:after="120"/>
              <w:jc w:val="center"/>
              <w:rPr>
                <w:noProof/>
              </w:rPr>
            </w:pPr>
            <w:r>
              <w:rPr>
                <w:noProof/>
              </w:rPr>
              <w:t>69 900</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6B3C98E5" w14:textId="77777777" w:rsidR="004C6421" w:rsidRDefault="009D1962">
            <w:pPr>
              <w:pStyle w:val="P68B1DB1-Normal4"/>
              <w:spacing w:before="120" w:after="120"/>
              <w:jc w:val="center"/>
              <w:rPr>
                <w:noProof/>
              </w:rPr>
            </w:pPr>
            <w:r>
              <w:rPr>
                <w:noProof/>
              </w:rPr>
              <w:t>II KW.</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0EC28B45" w14:textId="77777777" w:rsidR="004C6421" w:rsidRDefault="009D1962">
            <w:pPr>
              <w:pStyle w:val="P68B1DB1-Normal4"/>
              <w:spacing w:before="120" w:after="120"/>
              <w:jc w:val="center"/>
              <w:rPr>
                <w:noProof/>
              </w:rPr>
            </w:pPr>
            <w:r>
              <w:rPr>
                <w:noProof/>
              </w:rPr>
              <w:t>2024</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4C5660B7" w14:textId="6D7DA268" w:rsidR="004C6421" w:rsidRDefault="009D1962">
            <w:pPr>
              <w:pStyle w:val="P68B1DB1-Normal4"/>
              <w:rPr>
                <w:noProof/>
              </w:rPr>
            </w:pPr>
            <w:r>
              <w:rPr>
                <w:noProof/>
              </w:rPr>
              <w:t>Przedsiębiorstwom przyznano co najmniej 69900 ulg podatkowych w okresie przejściowym 4.0 w odniesieniu do 4,0 rzeczowych dóbr inwestycyjnych, 4,0 wartości niematerialnych i prawnych, standardowych wartości niematerialnych i prawnych, działalności badawczo-rozwojowej i innowacyjnej lub działalności szkoleniowej. Ulgę podatkową uznaje się za przyznaną po przedstawieniu deklaracji podatkowej. Deklaracje podatkowe należy składać w okresie od dnia 1 stycznia 2021 r. do dnia 31 grudnia 2022 r. W przypadku firm, których rok podatkowy nie odpowiada rokowi kalendarzowemu, koniec odpowiedniego okresu składania deklaracji podatkowych dotyczących wszystkich wyżej wymienionych ulg podatkowych przedłuża się od dnia 31 grudnia 2022 r. do dnia 30 listopada 2023 r.</w:t>
            </w:r>
          </w:p>
        </w:tc>
      </w:tr>
      <w:tr w:rsidR="004C6421" w14:paraId="7229B072"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46D014F9" w14:textId="77777777" w:rsidR="004C6421" w:rsidRDefault="009D1962">
            <w:pPr>
              <w:pStyle w:val="P68B1DB1-Normal4"/>
              <w:spacing w:before="120" w:after="120"/>
              <w:jc w:val="center"/>
              <w:rPr>
                <w:noProof/>
              </w:rPr>
            </w:pPr>
            <w:r>
              <w:rPr>
                <w:noProof/>
              </w:rPr>
              <w:t>M1C2-3</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37C15CFD" w14:textId="77777777" w:rsidR="004C6421" w:rsidRDefault="009D1962">
            <w:pPr>
              <w:pStyle w:val="P68B1DB1-Normal4"/>
              <w:spacing w:before="120" w:after="120"/>
              <w:jc w:val="center"/>
              <w:rPr>
                <w:noProof/>
              </w:rPr>
            </w:pPr>
            <w:r>
              <w:rPr>
                <w:noProof/>
              </w:rPr>
              <w:t>Inwestycja 1: Przejście 4.0</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10192929" w14:textId="77777777" w:rsidR="004C6421" w:rsidRDefault="009D1962">
            <w:pPr>
              <w:pStyle w:val="P68B1DB1-Normal4"/>
              <w:spacing w:before="120" w:after="120"/>
              <w:jc w:val="center"/>
              <w:rPr>
                <w:noProof/>
              </w:rPr>
            </w:pPr>
            <w:r>
              <w:rPr>
                <w:noProof/>
              </w:rPr>
              <w:t>Cel</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304CB5CE" w14:textId="77777777" w:rsidR="004C6421" w:rsidRDefault="009D1962">
            <w:pPr>
              <w:pStyle w:val="P68B1DB1-Normal4"/>
              <w:spacing w:before="120" w:after="120"/>
              <w:jc w:val="center"/>
              <w:rPr>
                <w:noProof/>
              </w:rPr>
            </w:pPr>
            <w:r>
              <w:rPr>
                <w:noProof/>
              </w:rPr>
              <w:t>Przejście 4.0 ulgi podatkowe przyznane przedsiębiorstwom na podstawie deklaracji podatkowych przedstawionych w latach 2021–2023</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09E76440" w14:textId="77777777" w:rsidR="004C6421" w:rsidRDefault="009D1962">
            <w:pPr>
              <w:pStyle w:val="P68B1DB1-Normal4"/>
              <w:spacing w:before="120" w:after="120"/>
              <w:jc w:val="center"/>
              <w:rPr>
                <w:noProof/>
              </w:rPr>
            </w:pPr>
            <w:r>
              <w:rPr>
                <w:noProof/>
              </w:rPr>
              <w:t>NIE DOT.</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0CFD9883" w14:textId="77777777" w:rsidR="004C6421" w:rsidRDefault="009D1962">
            <w:pPr>
              <w:pStyle w:val="P68B1DB1-Normal4"/>
              <w:spacing w:before="120" w:after="120"/>
              <w:jc w:val="center"/>
              <w:rPr>
                <w:noProof/>
              </w:rPr>
            </w:pPr>
            <w:r>
              <w:rPr>
                <w:noProof/>
              </w:rPr>
              <w:t>Numer</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77D081F9" w14:textId="77777777" w:rsidR="004C6421" w:rsidRDefault="009D1962">
            <w:pPr>
              <w:pStyle w:val="P68B1DB1-Normal4"/>
              <w:spacing w:before="120" w:after="120"/>
              <w:jc w:val="center"/>
              <w:rPr>
                <w:noProof/>
              </w:rPr>
            </w:pPr>
            <w:r>
              <w:rPr>
                <w:noProof/>
              </w:rPr>
              <w:t>69 900</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151729FE" w14:textId="77777777" w:rsidR="004C6421" w:rsidRDefault="009D1962">
            <w:pPr>
              <w:pStyle w:val="P68B1DB1-Normal4"/>
              <w:spacing w:before="120" w:after="120"/>
              <w:jc w:val="center"/>
              <w:rPr>
                <w:noProof/>
              </w:rPr>
            </w:pPr>
            <w:r>
              <w:rPr>
                <w:noProof/>
              </w:rPr>
              <w:t>111 700</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34B2A48E" w14:textId="77777777" w:rsidR="004C6421" w:rsidRDefault="009D1962">
            <w:pPr>
              <w:pStyle w:val="P68B1DB1-Normal4"/>
              <w:spacing w:before="120" w:after="120"/>
              <w:jc w:val="center"/>
              <w:rPr>
                <w:noProof/>
              </w:rPr>
            </w:pPr>
            <w:r>
              <w:rPr>
                <w:noProof/>
              </w:rPr>
              <w:t>II KW.</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445FA6AA" w14:textId="77777777" w:rsidR="004C6421" w:rsidRDefault="009D1962">
            <w:pPr>
              <w:pStyle w:val="P68B1DB1-Normal4"/>
              <w:spacing w:before="120" w:after="120"/>
              <w:jc w:val="center"/>
              <w:rPr>
                <w:noProof/>
              </w:rPr>
            </w:pPr>
            <w:r>
              <w:rPr>
                <w:noProof/>
              </w:rPr>
              <w:t>2025</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6739805D" w14:textId="5683794D" w:rsidR="004C6421" w:rsidRDefault="009D1962">
            <w:pPr>
              <w:pStyle w:val="P68B1DB1-Normal4"/>
              <w:rPr>
                <w:noProof/>
              </w:rPr>
            </w:pPr>
            <w:r>
              <w:rPr>
                <w:noProof/>
              </w:rPr>
              <w:t>Przedsiębiorstwom przyznano co najmniej 111700 ulg podatkowych w okresie przejściowym 4.0 w odniesieniu do 4,0 rzeczowych dóbr inwestycyjnych, 4,0 wartości niematerialnych i prawnych, standardowych wartości niematerialnych i prawnych, działalności badawczo-rozwojowej i innowacyjnej lub działalności szkoleniowej. Ulgę podatkową uznaje się za przyznaną po przedstawieniu deklaracji podatkowej. Deklaracje podatkowe należy składać w okresie od dnia 1 stycznia 2021 r. do dnia 31 grudnia 2023 r. W przypadku firm, których rok podatkowy nie odpowiada rokowi kalendarzowemu, koniec odpowiedniego okresu składania deklaracji podatkowych dotyczących wszystkich wyżej wymienionych ulg podatkowych przedłuża się od dnia 31 grudnia 2023 r. do dnia 30 listopada 2024 r.</w:t>
            </w:r>
          </w:p>
          <w:p w14:paraId="23FE69B3" w14:textId="77777777" w:rsidR="004C6421" w:rsidRDefault="009D1962">
            <w:pPr>
              <w:pStyle w:val="P68B1DB1-Normal4"/>
              <w:rPr>
                <w:noProof/>
              </w:rPr>
            </w:pPr>
            <w:r>
              <w:rPr>
                <w:noProof/>
              </w:rPr>
              <w:t>Poziom bazowy odnosi się do liczby ulg podatkowych w ramach przejścia 4,0 przyznanych przedsiębiorstwom na podstawie deklaracji podatkowych przedstawionych w okresie od dnia 1 stycznia 2021 r. do dnia 31 grudnia 2022 r. w odniesieniu do 4,0 materialnych dóbr kapitałowych, 4,0 niematerialnych dóbr inwestycyjnych i standardowych dóbr niematerialnych i prawnych oraz na podstawie deklaracji podatkowych przedstawionych w okresie od 1 stycznia do 31 grudnia 2022 r. w odniesieniu do działalności badawczo-rozwojowej i innowacyjnej oraz działalności szkoleniowej. W przypadku firm, których rok podatkowy nie odpowiada rokowi kalendarzowemu, w scenariuszu odniesienia dla wszystkich wyżej wymienionych ulg podatkowych uwzględnia się również deklaracje podatkowe złożone do dnia 30 listopada 2023 r.</w:t>
            </w:r>
          </w:p>
        </w:tc>
      </w:tr>
      <w:tr w:rsidR="004C6421" w14:paraId="2F2F35B4"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4462FD00" w14:textId="77777777" w:rsidR="004C6421" w:rsidRDefault="009D1962">
            <w:pPr>
              <w:pStyle w:val="P68B1DB1-Normal4"/>
              <w:spacing w:before="120" w:after="120"/>
              <w:jc w:val="center"/>
              <w:rPr>
                <w:noProof/>
              </w:rPr>
            </w:pPr>
            <w:r>
              <w:rPr>
                <w:noProof/>
              </w:rPr>
              <w:t>M1C2-4</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2490BEF2" w14:textId="77777777" w:rsidR="004C6421" w:rsidRDefault="009D1962">
            <w:pPr>
              <w:pStyle w:val="P68B1DB1-Normal4"/>
              <w:spacing w:before="120" w:after="120"/>
              <w:jc w:val="center"/>
              <w:rPr>
                <w:noProof/>
              </w:rPr>
            </w:pPr>
            <w:r>
              <w:rPr>
                <w:noProof/>
              </w:rPr>
              <w:t>Reforma 1: Reforma systemu własności przemysłowej</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5FFA0A80" w14:textId="0DA824CB" w:rsidR="004C6421" w:rsidRDefault="00CC179E">
            <w:pPr>
              <w:pStyle w:val="P68B1DB1-Normal4"/>
              <w:spacing w:before="120" w:after="120"/>
              <w:jc w:val="center"/>
              <w:rPr>
                <w:noProof/>
              </w:rPr>
            </w:pPr>
            <w:r>
              <w:rPr>
                <w:noProof/>
              </w:rPr>
              <w:t>Milowy</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1671C05F" w14:textId="77777777" w:rsidR="004C6421" w:rsidRDefault="009D1962">
            <w:pPr>
              <w:pStyle w:val="P68B1DB1-Normal4"/>
              <w:spacing w:before="120" w:after="120"/>
              <w:jc w:val="center"/>
              <w:rPr>
                <w:noProof/>
              </w:rPr>
            </w:pPr>
            <w:r>
              <w:rPr>
                <w:noProof/>
              </w:rPr>
              <w:t>Wejście w życie dekretu ustawodawczego mającego na celu reformę włoskiego kodeksu własności przemysłowej oraz odpowiednich aktów wykonawczych</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24EDB742" w14:textId="77777777" w:rsidR="004C6421" w:rsidRDefault="009D1962">
            <w:pPr>
              <w:pStyle w:val="P68B1DB1-Normal4"/>
              <w:spacing w:before="120" w:after="120"/>
              <w:jc w:val="center"/>
              <w:rPr>
                <w:noProof/>
              </w:rPr>
            </w:pPr>
            <w:r>
              <w:rPr>
                <w:noProof/>
              </w:rPr>
              <w:t>Przepis prawa wskazujący na wejście w życie nowego kodeksu własności przemysłowej oraz przepis w powiązanych aktach wykonawczych wskazujący na ich wejście w życie NIE DOT.</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4E9C2209" w14:textId="77777777" w:rsidR="004C6421" w:rsidRDefault="009D1962">
            <w:pPr>
              <w:pStyle w:val="P68B1DB1-Normal4"/>
              <w:spacing w:before="120" w:after="120"/>
              <w:jc w:val="center"/>
              <w:rPr>
                <w:noProof/>
              </w:rPr>
            </w:pPr>
            <w:r>
              <w:rPr>
                <w:noProof/>
              </w:rPr>
              <w:t>NIE DOT.</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56D2A2E9" w14:textId="77777777" w:rsidR="004C6421" w:rsidRDefault="009D1962">
            <w:pPr>
              <w:pStyle w:val="P68B1DB1-Normal4"/>
              <w:spacing w:before="120" w:after="120"/>
              <w:jc w:val="center"/>
              <w:rPr>
                <w:noProof/>
              </w:rPr>
            </w:pPr>
            <w:r>
              <w:rPr>
                <w:noProof/>
              </w:rPr>
              <w:t>NIE DOT.</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69C0B735" w14:textId="77777777" w:rsidR="004C6421" w:rsidRDefault="009D1962">
            <w:pPr>
              <w:pStyle w:val="P68B1DB1-Normal4"/>
              <w:spacing w:before="120" w:after="120"/>
              <w:jc w:val="center"/>
              <w:rPr>
                <w:noProof/>
              </w:rPr>
            </w:pPr>
            <w:r>
              <w:rPr>
                <w:noProof/>
              </w:rPr>
              <w:t>NIE DOT.</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2141620B" w14:textId="77777777" w:rsidR="004C6421" w:rsidRDefault="009D1962">
            <w:pPr>
              <w:pStyle w:val="P68B1DB1-Normal4"/>
              <w:spacing w:before="120" w:after="120"/>
              <w:jc w:val="center"/>
              <w:rPr>
                <w:noProof/>
              </w:rPr>
            </w:pPr>
            <w:r>
              <w:rPr>
                <w:noProof/>
              </w:rPr>
              <w:t>III KW.</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645B0826" w14:textId="77777777" w:rsidR="004C6421" w:rsidRDefault="009D1962">
            <w:pPr>
              <w:pStyle w:val="P68B1DB1-Normal4"/>
              <w:spacing w:before="120" w:after="120"/>
              <w:jc w:val="center"/>
              <w:rPr>
                <w:noProof/>
              </w:rPr>
            </w:pPr>
            <w:r>
              <w:rPr>
                <w:noProof/>
              </w:rPr>
              <w:t>2023</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135496F0" w14:textId="77777777" w:rsidR="004C6421" w:rsidRDefault="009D1962">
            <w:pPr>
              <w:pStyle w:val="P68B1DB1-Normal4"/>
              <w:rPr>
                <w:noProof/>
              </w:rPr>
            </w:pPr>
            <w:r>
              <w:rPr>
                <w:noProof/>
              </w:rPr>
              <w:t>Nowy dekret ustawodawczy zmienia włoski kodeks własności przemysłowej (dekret ustawodawczy nr 30 z dnia 10 lutego 2005 r.) i obejmuje co najmniej następujące dziedziny: (i) przegląd ram regulacyjnych w celu wzmocnienia ochrony praw własności przemysłowej i uproszczenia procedur, (ii) zwiększenie wsparcia dla przedsiębiorstw i instytucji badawczych, (iii) zwiększenie rozwoju umiejętności i kompetencji, (iv) ułatwienie transferu wiedzy, (v) wzmocnienie promowania innowacyjnych usług.</w:t>
            </w:r>
          </w:p>
        </w:tc>
      </w:tr>
      <w:tr w:rsidR="004C6421" w14:paraId="30F0E735"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412BFCED" w14:textId="77777777" w:rsidR="004C6421" w:rsidRDefault="009D1962">
            <w:pPr>
              <w:pStyle w:val="P68B1DB1-Normal4"/>
              <w:spacing w:before="120" w:after="120"/>
              <w:jc w:val="center"/>
              <w:rPr>
                <w:noProof/>
              </w:rPr>
            </w:pPr>
            <w:r>
              <w:rPr>
                <w:noProof/>
              </w:rPr>
              <w:t>M1C2-5</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4F92F553" w14:textId="77777777" w:rsidR="004C6421" w:rsidRDefault="009D1962">
            <w:pPr>
              <w:pStyle w:val="P68B1DB1-Normal4"/>
              <w:spacing w:before="120" w:after="120"/>
              <w:jc w:val="center"/>
              <w:rPr>
                <w:noProof/>
              </w:rPr>
            </w:pPr>
            <w:r>
              <w:rPr>
                <w:noProof/>
              </w:rPr>
              <w:t>Inwestycja 6: Inwestycje w system własności przemysłowej</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53DA5A33" w14:textId="77777777" w:rsidR="004C6421" w:rsidRDefault="009D1962">
            <w:pPr>
              <w:pStyle w:val="P68B1DB1-Normal4"/>
              <w:spacing w:before="120" w:after="120"/>
              <w:jc w:val="center"/>
              <w:rPr>
                <w:noProof/>
              </w:rPr>
            </w:pPr>
            <w:r>
              <w:rPr>
                <w:noProof/>
              </w:rPr>
              <w:t>Cel</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7AC349B0" w14:textId="77777777" w:rsidR="004C6421" w:rsidRDefault="009D1962">
            <w:pPr>
              <w:pStyle w:val="P68B1DB1-Normal4"/>
              <w:spacing w:before="120" w:after="120"/>
              <w:jc w:val="center"/>
              <w:rPr>
                <w:noProof/>
              </w:rPr>
            </w:pPr>
            <w:r>
              <w:rPr>
                <w:noProof/>
              </w:rPr>
              <w:t>Projekty wspierane z możliwości finansowania związanego z własnością przemysłową</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30EEEC1C" w14:textId="77777777" w:rsidR="004C6421" w:rsidRDefault="009D1962">
            <w:pPr>
              <w:pStyle w:val="P68B1DB1-Normal4"/>
              <w:spacing w:before="120" w:after="120"/>
              <w:jc w:val="center"/>
              <w:rPr>
                <w:noProof/>
              </w:rPr>
            </w:pPr>
            <w:r>
              <w:rPr>
                <w:noProof/>
              </w:rPr>
              <w:t>NIE DOT.</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58E4BBB9" w14:textId="77777777" w:rsidR="004C6421" w:rsidRDefault="009D1962">
            <w:pPr>
              <w:pStyle w:val="P68B1DB1-Normal4"/>
              <w:spacing w:before="120" w:after="120"/>
              <w:jc w:val="center"/>
              <w:rPr>
                <w:noProof/>
              </w:rPr>
            </w:pPr>
            <w:r>
              <w:rPr>
                <w:noProof/>
              </w:rPr>
              <w:t>Numer</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5A0281F8" w14:textId="77777777" w:rsidR="004C6421" w:rsidRDefault="009D1962">
            <w:pPr>
              <w:pStyle w:val="P68B1DB1-Normal4"/>
              <w:spacing w:before="120" w:after="120"/>
              <w:jc w:val="center"/>
              <w:rPr>
                <w:noProof/>
              </w:rPr>
            </w:pPr>
            <w:r>
              <w:rPr>
                <w:noProof/>
              </w:rPr>
              <w:t>0</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2D40F829" w14:textId="77777777" w:rsidR="004C6421" w:rsidRDefault="009D1962">
            <w:pPr>
              <w:pStyle w:val="P68B1DB1-Normal4"/>
              <w:spacing w:before="120" w:after="120"/>
              <w:jc w:val="center"/>
              <w:rPr>
                <w:noProof/>
              </w:rPr>
            </w:pPr>
            <w:r>
              <w:rPr>
                <w:noProof/>
              </w:rPr>
              <w:t>254</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307D1A68" w14:textId="06983D1E" w:rsidR="004C6421" w:rsidRDefault="00CC179E">
            <w:pPr>
              <w:pStyle w:val="P68B1DB1-Normal4"/>
              <w:spacing w:before="120" w:after="120"/>
              <w:jc w:val="center"/>
              <w:rPr>
                <w:noProof/>
              </w:rPr>
            </w:pPr>
            <w:r>
              <w:rPr>
                <w:noProof/>
              </w:rPr>
              <w:t>KW. 4</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4A6AD5A2" w14:textId="77777777" w:rsidR="004C6421" w:rsidRDefault="009D1962">
            <w:pPr>
              <w:pStyle w:val="P68B1DB1-Normal4"/>
              <w:spacing w:before="120" w:after="120"/>
              <w:jc w:val="center"/>
              <w:rPr>
                <w:noProof/>
              </w:rPr>
            </w:pPr>
            <w:r>
              <w:rPr>
                <w:noProof/>
              </w:rPr>
              <w:t>2025</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7F92771F" w14:textId="77777777" w:rsidR="004C6421" w:rsidRDefault="009D1962">
            <w:pPr>
              <w:pStyle w:val="P68B1DB1-Normal6"/>
              <w:spacing w:before="120" w:after="120"/>
              <w:rPr>
                <w:noProof/>
              </w:rPr>
            </w:pPr>
            <w:r>
              <w:rPr>
                <w:noProof/>
                <w:color w:val="006100"/>
              </w:rPr>
              <w:t>Co najmniej 254 dodatkowych projektów wspieranych z możliwości finansowania związanych z własnością przemysłową dla przedsiębiorstw i instytucji badawczych, takich jak środki związane z patentami (Brevetti+), programy weryfikacji poprawności projektu (POC) i biura ds. transferu technologii (TO), zgodnie z wytycznymi technicznymi zasady „nie czyń poważnych szkód” (2021/C58/01) poprzez wykorzystanie wykazu wykluczenia i wymóg zgodności z odpowiednimi</w:t>
            </w:r>
            <w:r>
              <w:rPr>
                <w:noProof/>
              </w:rPr>
              <w:t xml:space="preserve"> </w:t>
            </w:r>
            <w:r>
              <w:rPr>
                <w:noProof/>
                <w:color w:val="006100"/>
              </w:rPr>
              <w:t>unijnymi i krajowymi przepisami w zakresie ochrony środowiska.</w:t>
            </w:r>
          </w:p>
        </w:tc>
      </w:tr>
      <w:tr w:rsidR="004C6421" w14:paraId="0414AE5D"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24E2BB57" w14:textId="77777777" w:rsidR="004C6421" w:rsidRDefault="009D1962">
            <w:pPr>
              <w:pStyle w:val="P68B1DB1-Normal4"/>
              <w:spacing w:before="120" w:after="120"/>
              <w:jc w:val="center"/>
              <w:rPr>
                <w:noProof/>
              </w:rPr>
            </w:pPr>
            <w:r>
              <w:rPr>
                <w:noProof/>
              </w:rPr>
              <w:t>M1C2-6</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2939BF57" w14:textId="77777777" w:rsidR="004C6421" w:rsidRDefault="009D1962">
            <w:pPr>
              <w:pStyle w:val="P68B1DB1-Normal4"/>
              <w:spacing w:before="120" w:after="120"/>
              <w:jc w:val="center"/>
              <w:rPr>
                <w:noProof/>
              </w:rPr>
            </w:pPr>
            <w:r>
              <w:rPr>
                <w:noProof/>
              </w:rPr>
              <w:t>Reforma nr 2: Roczne ustawy o konkurencji</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276E3211" w14:textId="196D5DD0" w:rsidR="004C6421" w:rsidRDefault="00CC179E">
            <w:pPr>
              <w:pStyle w:val="P68B1DB1-Normal4"/>
              <w:spacing w:before="120" w:after="120"/>
              <w:jc w:val="center"/>
              <w:rPr>
                <w:noProof/>
              </w:rPr>
            </w:pPr>
            <w:r>
              <w:rPr>
                <w:noProof/>
              </w:rPr>
              <w:t>Milowy</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49837843" w14:textId="77777777" w:rsidR="004C6421" w:rsidRDefault="009D1962">
            <w:pPr>
              <w:pStyle w:val="P68B1DB1-Normal4"/>
              <w:spacing w:before="120" w:after="120"/>
              <w:jc w:val="center"/>
              <w:rPr>
                <w:noProof/>
              </w:rPr>
            </w:pPr>
            <w:r>
              <w:rPr>
                <w:noProof/>
              </w:rPr>
              <w:t>Wejście w życie rocznej ustawy o konkurencji z 2021 r.</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53A9841F" w14:textId="77777777" w:rsidR="004C6421" w:rsidRDefault="009D1962">
            <w:pPr>
              <w:pStyle w:val="P68B1DB1-Normal4"/>
              <w:spacing w:before="120" w:after="120"/>
              <w:jc w:val="center"/>
              <w:rPr>
                <w:noProof/>
              </w:rPr>
            </w:pPr>
            <w:r>
              <w:rPr>
                <w:noProof/>
              </w:rPr>
              <w:t>Przepis wskazujący na wejście w życie rocznej ustawy o konkurencji z 2021 r. NIE DOT.</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293E74AD" w14:textId="77777777" w:rsidR="004C6421" w:rsidRDefault="009D1962">
            <w:pPr>
              <w:pStyle w:val="P68B1DB1-Normal4"/>
              <w:spacing w:before="120" w:after="120"/>
              <w:jc w:val="center"/>
              <w:rPr>
                <w:noProof/>
              </w:rPr>
            </w:pPr>
            <w:r>
              <w:rPr>
                <w:noProof/>
              </w:rPr>
              <w:t>NIE DOT.</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5C0EDB66" w14:textId="77777777" w:rsidR="004C6421" w:rsidRDefault="009D1962">
            <w:pPr>
              <w:pStyle w:val="P68B1DB1-Normal4"/>
              <w:spacing w:before="120" w:after="120"/>
              <w:jc w:val="center"/>
              <w:rPr>
                <w:noProof/>
              </w:rPr>
            </w:pPr>
            <w:r>
              <w:rPr>
                <w:noProof/>
              </w:rPr>
              <w:t>NIE DOT.</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4103CDFE" w14:textId="77777777" w:rsidR="004C6421" w:rsidRDefault="009D1962">
            <w:pPr>
              <w:pStyle w:val="P68B1DB1-Normal4"/>
              <w:spacing w:before="120" w:after="120"/>
              <w:jc w:val="center"/>
              <w:rPr>
                <w:noProof/>
              </w:rPr>
            </w:pPr>
            <w:r>
              <w:rPr>
                <w:noProof/>
              </w:rPr>
              <w:t>NIE DOT.</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4A025F5E" w14:textId="13B4AF59" w:rsidR="004C6421" w:rsidRDefault="00CC179E">
            <w:pPr>
              <w:pStyle w:val="P68B1DB1-Normal4"/>
              <w:spacing w:before="120" w:after="120"/>
              <w:jc w:val="center"/>
              <w:rPr>
                <w:noProof/>
              </w:rPr>
            </w:pPr>
            <w:r>
              <w:rPr>
                <w:noProof/>
              </w:rPr>
              <w:t>KW. 4</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581167AC" w14:textId="77777777" w:rsidR="004C6421" w:rsidRDefault="009D1962">
            <w:pPr>
              <w:pStyle w:val="P68B1DB1-Normal4"/>
              <w:spacing w:before="120" w:after="120"/>
              <w:jc w:val="center"/>
              <w:rPr>
                <w:noProof/>
              </w:rPr>
            </w:pPr>
            <w:r>
              <w:rPr>
                <w:noProof/>
              </w:rPr>
              <w:t>2022</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2EC3191D" w14:textId="77777777" w:rsidR="004C6421" w:rsidRDefault="009D1962">
            <w:pPr>
              <w:pStyle w:val="P68B1DB1-Normal4"/>
              <w:spacing w:before="120" w:after="120"/>
              <w:rPr>
                <w:noProof/>
              </w:rPr>
            </w:pPr>
            <w:r>
              <w:rPr>
                <w:noProof/>
              </w:rPr>
              <w:t>Roczna ustawa o konkurencji zawiera co najmniej następujące kluczowe elementy, których środki wykonawcze i prawodawstwo wtórne (w razie potrzeby) zostaną przyjęte i wejdą w życie nie później niż dnia 31 grudnia 2022 r.</w:t>
            </w:r>
          </w:p>
          <w:p w14:paraId="0DA72908" w14:textId="77777777" w:rsidR="004C6421" w:rsidRDefault="009D1962">
            <w:pPr>
              <w:spacing w:before="120" w:after="120"/>
              <w:rPr>
                <w:rFonts w:ascii="Arial Narrow" w:hAnsi="Arial Narrow"/>
                <w:noProof/>
                <w:color w:val="006100"/>
                <w:sz w:val="20"/>
              </w:rPr>
            </w:pPr>
            <w:r>
              <w:rPr>
                <w:rFonts w:ascii="Arial Narrow" w:hAnsi="Arial Narrow"/>
                <w:noProof/>
                <w:color w:val="006100"/>
                <w:sz w:val="20"/>
              </w:rPr>
              <w:t>Il dotyczy:</w:t>
            </w:r>
            <w:r>
              <w:rPr>
                <w:rFonts w:ascii="Arial Narrow" w:hAnsi="Arial Narrow"/>
                <w:noProof/>
              </w:rPr>
              <w:t xml:space="preserve"> </w:t>
            </w:r>
            <w:r>
              <w:rPr>
                <w:noProof/>
              </w:rPr>
              <w:t xml:space="preserve">  </w:t>
            </w:r>
            <w:r>
              <w:rPr>
                <w:noProof/>
              </w:rPr>
              <w:br/>
            </w:r>
            <w:r>
              <w:rPr>
                <w:rFonts w:ascii="Arial Narrow" w:hAnsi="Arial Narrow"/>
                <w:noProof/>
                <w:color w:val="006100"/>
                <w:sz w:val="20"/>
              </w:rPr>
              <w:t>Egzekwowanie przepisów antymonopolowych</w:t>
            </w:r>
            <w:r>
              <w:rPr>
                <w:rFonts w:ascii="Arial Narrow" w:hAnsi="Arial Narrow"/>
                <w:noProof/>
              </w:rPr>
              <w:t xml:space="preserve"> </w:t>
            </w:r>
            <w:r>
              <w:rPr>
                <w:noProof/>
              </w:rPr>
              <w:t xml:space="preserve"> </w:t>
            </w:r>
            <w:r>
              <w:rPr>
                <w:noProof/>
              </w:rPr>
              <w:br/>
              <w:t xml:space="preserve"> </w:t>
            </w:r>
            <w:r>
              <w:rPr>
                <w:rFonts w:ascii="Arial Narrow" w:hAnsi="Arial Narrow"/>
                <w:noProof/>
                <w:color w:val="006100"/>
                <w:sz w:val="20"/>
              </w:rPr>
              <w:t>Lokalne usługi publiczne</w:t>
            </w:r>
            <w:r>
              <w:rPr>
                <w:rFonts w:ascii="Arial Narrow" w:hAnsi="Arial Narrow"/>
                <w:noProof/>
              </w:rPr>
              <w:t xml:space="preserve"> </w:t>
            </w:r>
            <w:r>
              <w:rPr>
                <w:noProof/>
              </w:rPr>
              <w:t xml:space="preserve"> </w:t>
            </w:r>
            <w:r>
              <w:rPr>
                <w:noProof/>
              </w:rPr>
              <w:br/>
              <w:t xml:space="preserve"> </w:t>
            </w:r>
            <w:r>
              <w:rPr>
                <w:rFonts w:ascii="Arial Narrow" w:hAnsi="Arial Narrow"/>
                <w:noProof/>
                <w:color w:val="006100"/>
                <w:sz w:val="20"/>
              </w:rPr>
              <w:t>— Energia</w:t>
            </w:r>
            <w:r>
              <w:rPr>
                <w:rFonts w:ascii="Arial Narrow" w:hAnsi="Arial Narrow"/>
                <w:noProof/>
              </w:rPr>
              <w:t xml:space="preserve"> </w:t>
            </w:r>
            <w:r>
              <w:rPr>
                <w:noProof/>
              </w:rPr>
              <w:t xml:space="preserve"> </w:t>
            </w:r>
            <w:r>
              <w:rPr>
                <w:noProof/>
              </w:rPr>
              <w:br/>
              <w:t xml:space="preserve"> </w:t>
            </w:r>
            <w:r>
              <w:rPr>
                <w:rFonts w:ascii="Arial Narrow" w:hAnsi="Arial Narrow"/>
                <w:noProof/>
                <w:color w:val="006100"/>
                <w:sz w:val="20"/>
              </w:rPr>
              <w:t>— Transport</w:t>
            </w:r>
            <w:r>
              <w:rPr>
                <w:rFonts w:ascii="Arial Narrow" w:hAnsi="Arial Narrow"/>
                <w:noProof/>
              </w:rPr>
              <w:t xml:space="preserve"> </w:t>
            </w:r>
            <w:r>
              <w:rPr>
                <w:noProof/>
              </w:rPr>
              <w:t xml:space="preserve"> </w:t>
            </w:r>
            <w:r>
              <w:rPr>
                <w:noProof/>
              </w:rPr>
              <w:br/>
              <w:t xml:space="preserve"> </w:t>
            </w:r>
            <w:r>
              <w:rPr>
                <w:rFonts w:ascii="Arial Narrow" w:hAnsi="Arial Narrow"/>
                <w:noProof/>
                <w:color w:val="006100"/>
                <w:sz w:val="20"/>
              </w:rPr>
              <w:t>— Odpady</w:t>
            </w:r>
            <w:r>
              <w:rPr>
                <w:rFonts w:ascii="Arial Narrow" w:hAnsi="Arial Narrow"/>
                <w:noProof/>
              </w:rPr>
              <w:t xml:space="preserve"> </w:t>
            </w:r>
            <w:r>
              <w:rPr>
                <w:noProof/>
              </w:rPr>
              <w:t xml:space="preserve"> </w:t>
            </w:r>
            <w:r>
              <w:rPr>
                <w:noProof/>
              </w:rPr>
              <w:br/>
              <w:t xml:space="preserve"> </w:t>
            </w:r>
            <w:r>
              <w:rPr>
                <w:rFonts w:ascii="Arial Narrow" w:hAnsi="Arial Narrow"/>
                <w:noProof/>
                <w:color w:val="006100"/>
                <w:sz w:val="20"/>
              </w:rPr>
              <w:t>— Rozpoczęcie działalności gospodarczej</w:t>
            </w:r>
            <w:r>
              <w:rPr>
                <w:rFonts w:ascii="Arial Narrow" w:hAnsi="Arial Narrow"/>
                <w:noProof/>
              </w:rPr>
              <w:t xml:space="preserve"> </w:t>
            </w:r>
            <w:r>
              <w:rPr>
                <w:noProof/>
              </w:rPr>
              <w:t xml:space="preserve"> </w:t>
            </w:r>
            <w:r>
              <w:rPr>
                <w:noProof/>
              </w:rPr>
              <w:br/>
              <w:t xml:space="preserve"> </w:t>
            </w:r>
            <w:r>
              <w:rPr>
                <w:rFonts w:ascii="Arial Narrow" w:hAnsi="Arial Narrow"/>
                <w:noProof/>
                <w:color w:val="006100"/>
                <w:sz w:val="20"/>
              </w:rPr>
              <w:t>— Nadzór rynku</w:t>
            </w:r>
          </w:p>
          <w:p w14:paraId="60DDD3EC" w14:textId="77777777" w:rsidR="004C6421" w:rsidRDefault="009D1962">
            <w:pPr>
              <w:pStyle w:val="P68B1DB1-Normal4"/>
              <w:spacing w:before="120" w:after="120"/>
              <w:rPr>
                <w:noProof/>
              </w:rPr>
            </w:pPr>
            <w:r>
              <w:rPr>
                <w:noProof/>
              </w:rPr>
              <w:t>Egzekwowanie zasad ochrony konkurencji:</w:t>
            </w:r>
          </w:p>
          <w:p w14:paraId="3917F188" w14:textId="77777777" w:rsidR="004C6421" w:rsidRDefault="009D1962">
            <w:pPr>
              <w:pStyle w:val="P68B1DB1-Normal4"/>
              <w:spacing w:before="120" w:after="120"/>
              <w:rPr>
                <w:noProof/>
              </w:rPr>
            </w:pPr>
            <w:r>
              <w:rPr>
                <w:noProof/>
              </w:rPr>
              <w:t>I. Usunięcie dodatkowych przeszkód dla kontroli łączenia przedsiębiorstw poprzez dalsze dostosowanie włoskich przepisów dotyczących kontroli łączenia przedsiębiorstw do prawa UE.</w:t>
            </w:r>
          </w:p>
          <w:p w14:paraId="6699BE5A" w14:textId="77777777" w:rsidR="004C6421" w:rsidRDefault="009D1962">
            <w:pPr>
              <w:pStyle w:val="P68B1DB1-Normal4"/>
              <w:spacing w:before="120" w:after="120"/>
              <w:rPr>
                <w:noProof/>
              </w:rPr>
            </w:pPr>
            <w:r>
              <w:rPr>
                <w:noProof/>
              </w:rPr>
              <w:t>Lokalne usługi publiczne:</w:t>
            </w:r>
          </w:p>
          <w:p w14:paraId="33287BA1" w14:textId="77777777" w:rsidR="004C6421" w:rsidRDefault="009D1962">
            <w:pPr>
              <w:pStyle w:val="P68B1DB1-Normal4"/>
              <w:spacing w:before="120" w:after="120"/>
              <w:rPr>
                <w:noProof/>
              </w:rPr>
            </w:pPr>
            <w:r>
              <w:rPr>
                <w:noProof/>
              </w:rPr>
              <w:t>II. Wzmocnienie i szersze stosowanie zasady konkurencji w odniesieniu do zamówień na lokalne usługi publiczne, w szczególności w zakresie odpadów i lokalnego transportu publicznego.</w:t>
            </w:r>
          </w:p>
          <w:p w14:paraId="331BAFC6" w14:textId="77777777" w:rsidR="004C6421" w:rsidRDefault="009D1962">
            <w:pPr>
              <w:pStyle w:val="P68B1DB1-Normal4"/>
              <w:spacing w:before="120" w:after="120"/>
              <w:rPr>
                <w:noProof/>
              </w:rPr>
            </w:pPr>
            <w:r>
              <w:rPr>
                <w:noProof/>
              </w:rPr>
              <w:t>III. Ograniczenie bezpośredniego udzielania zamówień poprzez zobowiązanie lokalnych organów publicznych do uzasadnienia wszelkich odstępstw od procedury przetargowej dotyczącej zamówień publicznych na usługi (zgodnie z art. 192 kodeksu zamówień publicznych).</w:t>
            </w:r>
          </w:p>
          <w:p w14:paraId="48330211" w14:textId="77777777" w:rsidR="004C6421" w:rsidRDefault="009D1962">
            <w:pPr>
              <w:pStyle w:val="P68B1DB1-Normal4"/>
              <w:spacing w:before="120" w:after="120"/>
              <w:rPr>
                <w:noProof/>
              </w:rPr>
            </w:pPr>
            <w:r>
              <w:rPr>
                <w:noProof/>
              </w:rPr>
              <w:t>IV. Zapewnienie właściwej regulacji umów o świadczenie usług publicznych poprzez wdrożenie art. 19 ustawy nr 124/2015 jako jednego aktu prawnego dotyczącego lokalnych usług publicznych, w szczególności w zakresie gospodarowania odpadami.</w:t>
            </w:r>
          </w:p>
          <w:p w14:paraId="67E3166C" w14:textId="77777777" w:rsidR="004C6421" w:rsidRDefault="009D1962">
            <w:pPr>
              <w:pStyle w:val="P68B1DB1-Normal8"/>
              <w:spacing w:before="120" w:after="120"/>
              <w:rPr>
                <w:rFonts w:ascii="Arial Narrow" w:hAnsi="Arial Narrow"/>
                <w:noProof/>
              </w:rPr>
            </w:pPr>
            <w:r>
              <w:rPr>
                <w:rFonts w:ascii="Arial Narrow" w:hAnsi="Arial Narrow"/>
                <w:noProof/>
              </w:rPr>
              <w:t>zasady i mechanizmy agregacji stanowią zachętę dla związków gmin w celu zmniejszenia liczby podmiotów i instytucji zamawiających poprzez powiązanie ich z optymalnymi skupieniami terytorialnymi („ambiti territoriali ottimali”) oraz obszarami i odpowiednimi poziomami lokalnych i regionalnych usług transportu publicznego („bacini e livelli adeguati di servizi di trasporto pubblico locale e regionale”) liczących co najmniej 350000</w:t>
            </w:r>
            <w:r>
              <w:rPr>
                <w:noProof/>
              </w:rPr>
              <w:t xml:space="preserve"> </w:t>
            </w:r>
            <w:r>
              <w:rPr>
                <w:rFonts w:ascii="Arial Narrow" w:hAnsi="Arial Narrow"/>
                <w:noProof/>
              </w:rPr>
              <w:t>mieszkańców.</w:t>
            </w:r>
          </w:p>
          <w:p w14:paraId="0DE01BAF" w14:textId="77777777" w:rsidR="004C6421" w:rsidRDefault="009D1962">
            <w:pPr>
              <w:pStyle w:val="P68B1DB1-Normal4"/>
              <w:spacing w:before="120" w:after="120"/>
              <w:rPr>
                <w:noProof/>
              </w:rPr>
            </w:pPr>
            <w:r>
              <w:rPr>
                <w:noProof/>
              </w:rPr>
              <w:t>Akt prawny dotyczący lokalnych usług publicznych wdrażający art. 19 ustawy nr 124/2015 powinien co najmniej:</w:t>
            </w:r>
          </w:p>
          <w:p w14:paraId="6992B202" w14:textId="77777777" w:rsidR="004C6421" w:rsidRDefault="009D1962">
            <w:pPr>
              <w:pStyle w:val="P68B1DB1-Normal4"/>
              <w:spacing w:before="120" w:after="120"/>
              <w:rPr>
                <w:noProof/>
              </w:rPr>
            </w:pPr>
            <w:r>
              <w:rPr>
                <w:noProof/>
              </w:rPr>
              <w:t>— zdefiniowanie usług publicznych w oparciu o kryteria prawa UE;</w:t>
            </w:r>
          </w:p>
          <w:p w14:paraId="3BC3E1BA" w14:textId="77777777" w:rsidR="004C6421" w:rsidRDefault="009D1962">
            <w:pPr>
              <w:pStyle w:val="P68B1DB1-Normal4"/>
              <w:spacing w:before="120" w:after="120"/>
              <w:rPr>
                <w:noProof/>
              </w:rPr>
            </w:pPr>
            <w:r>
              <w:rPr>
                <w:noProof/>
              </w:rPr>
              <w:t>— określa ogólne zasady świadczenia, regulacji i zarządzania lokalnymi usługami publicznymi;</w:t>
            </w:r>
          </w:p>
          <w:p w14:paraId="64B75EBB" w14:textId="77777777" w:rsidR="004C6421" w:rsidRDefault="009D1962">
            <w:pPr>
              <w:pStyle w:val="P68B1DB1-Normal4"/>
              <w:spacing w:before="120" w:after="120"/>
              <w:rPr>
                <w:noProof/>
              </w:rPr>
            </w:pPr>
            <w:r>
              <w:rPr>
                <w:noProof/>
              </w:rPr>
              <w:t>— ustanowienie ogólnej zasady proporcjonalności w odniesieniu do okresu obowiązywania umów o świadczenie usług publicznych;</w:t>
            </w:r>
          </w:p>
          <w:p w14:paraId="69BA14AE" w14:textId="77777777" w:rsidR="004C6421" w:rsidRDefault="009D1962">
            <w:pPr>
              <w:pStyle w:val="P68B1DB1-Normal4"/>
              <w:spacing w:before="120" w:after="120"/>
              <w:rPr>
                <w:noProof/>
              </w:rPr>
            </w:pPr>
            <w:r>
              <w:rPr>
                <w:noProof/>
              </w:rPr>
              <w:t>— wyraźnie rozdzielić funkcje regulacji i kontroli oraz zarządzania zamówieniami publicznymi na usługi;</w:t>
            </w:r>
          </w:p>
          <w:p w14:paraId="22B854DE" w14:textId="77777777" w:rsidR="004C6421" w:rsidRDefault="009D1962">
            <w:pPr>
              <w:pStyle w:val="P68B1DB1-Normal4"/>
              <w:spacing w:before="120" w:after="120"/>
              <w:rPr>
                <w:noProof/>
              </w:rPr>
            </w:pPr>
            <w:r>
              <w:rPr>
                <w:noProof/>
              </w:rPr>
              <w:t>— zadbanie o to, by lokalne władze publiczne uzasadniały zwiększenie udziałów w spółkach uczestniczących w przetargach in house;</w:t>
            </w:r>
          </w:p>
          <w:p w14:paraId="149C9394" w14:textId="77777777" w:rsidR="004C6421" w:rsidRDefault="009D1962">
            <w:pPr>
              <w:pStyle w:val="P68B1DB1-Normal4"/>
              <w:spacing w:before="120" w:after="120"/>
              <w:rPr>
                <w:noProof/>
              </w:rPr>
            </w:pPr>
            <w:r>
              <w:rPr>
                <w:noProof/>
              </w:rPr>
              <w:t>— zapewnienie odpowiedniej rekompensaty z tytułu zamówień publicznych na usługi w oparciu o koszty nadzorowane przez niezależne organy regulacyjne (np. ARERA w odniesieniu do energii lub ART dla transportu);</w:t>
            </w:r>
          </w:p>
          <w:p w14:paraId="55D660D1" w14:textId="77777777" w:rsidR="004C6421" w:rsidRDefault="009D1962">
            <w:pPr>
              <w:pStyle w:val="P68B1DB1-Normal4"/>
              <w:spacing w:before="120" w:after="120"/>
              <w:rPr>
                <w:noProof/>
              </w:rPr>
            </w:pPr>
            <w:r>
              <w:rPr>
                <w:noProof/>
              </w:rPr>
              <w:t>— ograniczenie średniego czasu trwania zamówień wewnętrznych oraz skrócenie i zharmonizowanie we wszystkich podmiotach zamawiających standardowego czasu trwania przetargów, pod warunkiem że okres ten zapewnia równowagę ekonomiczną i finansową umów, również w oparciu o kryteria określone przez urząd ds. transportu.</w:t>
            </w:r>
          </w:p>
          <w:p w14:paraId="1C4D19C7" w14:textId="77777777" w:rsidR="004C6421" w:rsidRDefault="009D1962">
            <w:pPr>
              <w:pStyle w:val="P68B1DB1-Normal4"/>
              <w:spacing w:before="120" w:after="120"/>
              <w:rPr>
                <w:noProof/>
              </w:rPr>
            </w:pPr>
            <w:r>
              <w:rPr>
                <w:noProof/>
              </w:rPr>
              <w:t>Energia:</w:t>
            </w:r>
          </w:p>
          <w:p w14:paraId="54E2B7B1" w14:textId="77777777" w:rsidR="004C6421" w:rsidRDefault="009D1962">
            <w:pPr>
              <w:pStyle w:val="P68B1DB1-Normal14"/>
              <w:spacing w:before="120" w:after="120"/>
              <w:rPr>
                <w:noProof/>
                <w:color w:val="006100"/>
                <w:sz w:val="20"/>
              </w:rPr>
            </w:pPr>
            <w:r>
              <w:rPr>
                <w:noProof/>
                <w:color w:val="006100"/>
                <w:sz w:val="20"/>
              </w:rPr>
              <w:t>VI.</w:t>
            </w:r>
            <w:r>
              <w:rPr>
                <w:noProof/>
              </w:rPr>
              <w:t xml:space="preserve"> </w:t>
            </w:r>
            <w:r>
              <w:rPr>
                <w:noProof/>
                <w:color w:val="006100"/>
                <w:sz w:val="20"/>
              </w:rPr>
              <w:t>Wprowadzenie obowiązku przetargów na umowy koncesyjne w odniesieniu do energii wodnej oraz określenie ram regulacyjnych dotyczących koncesji na energię wodną.</w:t>
            </w:r>
          </w:p>
          <w:p w14:paraId="18ADD752" w14:textId="77777777" w:rsidR="004C6421" w:rsidRDefault="009D1962">
            <w:pPr>
              <w:pStyle w:val="P68B1DB1-Normal14"/>
              <w:spacing w:before="120" w:after="120"/>
              <w:rPr>
                <w:noProof/>
                <w:color w:val="006100"/>
                <w:sz w:val="20"/>
              </w:rPr>
            </w:pPr>
            <w:r>
              <w:rPr>
                <w:noProof/>
                <w:color w:val="006100"/>
                <w:sz w:val="20"/>
              </w:rPr>
              <w:t>VII.</w:t>
            </w:r>
            <w:r>
              <w:rPr>
                <w:noProof/>
              </w:rPr>
              <w:t xml:space="preserve"> </w:t>
            </w:r>
            <w:r>
              <w:rPr>
                <w:noProof/>
                <w:color w:val="006100"/>
                <w:sz w:val="20"/>
              </w:rPr>
              <w:t>Wprowadzenie obowiązku składania ofert w ramach umów koncesyjnych w odniesieniu do dystrybucji gazu.</w:t>
            </w:r>
          </w:p>
          <w:p w14:paraId="602A2C58" w14:textId="77777777" w:rsidR="004C6421" w:rsidRDefault="009D1962">
            <w:pPr>
              <w:pStyle w:val="P68B1DB1-Normal14"/>
              <w:spacing w:before="120" w:after="120"/>
              <w:rPr>
                <w:noProof/>
                <w:color w:val="006100"/>
                <w:sz w:val="20"/>
              </w:rPr>
            </w:pPr>
            <w:r>
              <w:rPr>
                <w:noProof/>
                <w:color w:val="006100"/>
                <w:sz w:val="20"/>
              </w:rPr>
              <w:t>VIII.</w:t>
            </w:r>
            <w:r>
              <w:rPr>
                <w:noProof/>
              </w:rPr>
              <w:t xml:space="preserve"> </w:t>
            </w:r>
            <w:r>
              <w:rPr>
                <w:noProof/>
                <w:color w:val="006100"/>
                <w:sz w:val="20"/>
              </w:rPr>
              <w:t>Ustanowienie przejrzystych i niedyskryminacyjnych wymogów dotyczących przydzielania przestrzeni publicznych do ładowania elektrycznego lub operatorów punktów ładowania/stacji selekcyjnej.</w:t>
            </w:r>
          </w:p>
          <w:p w14:paraId="4CF417B7" w14:textId="77777777" w:rsidR="004C6421" w:rsidRDefault="009D1962">
            <w:pPr>
              <w:pStyle w:val="P68B1DB1-Normal14"/>
              <w:spacing w:before="120" w:after="120"/>
              <w:rPr>
                <w:noProof/>
                <w:color w:val="006100"/>
                <w:sz w:val="20"/>
              </w:rPr>
            </w:pPr>
            <w:r>
              <w:rPr>
                <w:noProof/>
                <w:color w:val="006100"/>
                <w:sz w:val="20"/>
              </w:rPr>
              <w:t>IX.</w:t>
            </w:r>
            <w:r>
              <w:rPr>
                <w:noProof/>
              </w:rPr>
              <w:t xml:space="preserve"> </w:t>
            </w:r>
            <w:r>
              <w:rPr>
                <w:noProof/>
                <w:color w:val="006100"/>
                <w:sz w:val="20"/>
              </w:rPr>
              <w:t>Zniesienie regulowanych taryf za dostawy energii elektrycznej do ładowania pojazdów elektrycznych.</w:t>
            </w:r>
          </w:p>
          <w:p w14:paraId="4B3EA8F6" w14:textId="77777777" w:rsidR="004C6421" w:rsidRDefault="009D1962">
            <w:pPr>
              <w:pStyle w:val="P68B1DB1-Normal4"/>
              <w:spacing w:before="120" w:after="120"/>
              <w:rPr>
                <w:noProof/>
              </w:rPr>
            </w:pPr>
            <w:r>
              <w:rPr>
                <w:noProof/>
              </w:rPr>
              <w:t>Ramy konkurencji dotyczące koncesji na energię wodną muszą co najmniej:</w:t>
            </w:r>
          </w:p>
          <w:p w14:paraId="3DE4CB45" w14:textId="77777777" w:rsidR="004C6421" w:rsidRDefault="009D1962">
            <w:pPr>
              <w:pStyle w:val="P68B1DB1-Normal14"/>
              <w:spacing w:before="120" w:after="120"/>
              <w:rPr>
                <w:noProof/>
                <w:color w:val="006100"/>
                <w:sz w:val="20"/>
              </w:rPr>
            </w:pPr>
            <w:r>
              <w:rPr>
                <w:noProof/>
                <w:color w:val="006100"/>
                <w:sz w:val="20"/>
              </w:rPr>
              <w:t>-</w:t>
            </w:r>
            <w:r>
              <w:rPr>
                <w:noProof/>
              </w:rPr>
              <w:t xml:space="preserve"> </w:t>
            </w:r>
            <w:r>
              <w:rPr>
                <w:noProof/>
                <w:color w:val="006100"/>
                <w:sz w:val="20"/>
              </w:rPr>
              <w:t>Wymagały, aby ważne elektrownie wodne podlegały ogólnym i jednolitym kryteriom na szczeblu centralnym.</w:t>
            </w:r>
          </w:p>
          <w:p w14:paraId="0D56F11C" w14:textId="77777777" w:rsidR="004C6421" w:rsidRDefault="009D1962">
            <w:pPr>
              <w:pStyle w:val="P68B1DB1-Normal14"/>
              <w:spacing w:before="120" w:after="120"/>
              <w:rPr>
                <w:noProof/>
                <w:color w:val="006100"/>
                <w:sz w:val="20"/>
              </w:rPr>
            </w:pPr>
            <w:r>
              <w:rPr>
                <w:noProof/>
                <w:color w:val="006100"/>
                <w:sz w:val="20"/>
              </w:rPr>
              <w:t>Zobowiązanie</w:t>
            </w:r>
            <w:r>
              <w:rPr>
                <w:noProof/>
              </w:rPr>
              <w:t xml:space="preserve"> </w:t>
            </w:r>
            <w:r>
              <w:rPr>
                <w:noProof/>
                <w:color w:val="006100"/>
                <w:sz w:val="20"/>
              </w:rPr>
              <w:t>regionów do określenia kryteriów ekonomicznych, na których opiera się okres obowiązywania umów koncesyjnych.</w:t>
            </w:r>
          </w:p>
          <w:p w14:paraId="5B6C66E2" w14:textId="77777777" w:rsidR="004C6421" w:rsidRDefault="009D1962">
            <w:pPr>
              <w:pStyle w:val="P68B1DB1-Normal4"/>
              <w:spacing w:before="120" w:after="120"/>
              <w:rPr>
                <w:noProof/>
              </w:rPr>
            </w:pPr>
            <w:r>
              <w:rPr>
                <w:noProof/>
              </w:rPr>
              <w:t>Stopniowe wycofywanie możliwości przedłużania umów (jak orzekł już włoski Trybunał Konstytucyjny).</w:t>
            </w:r>
          </w:p>
          <w:p w14:paraId="68B3D047" w14:textId="77777777" w:rsidR="004C6421" w:rsidRDefault="009D1962">
            <w:pPr>
              <w:pStyle w:val="P68B1DB1-Normal14"/>
              <w:spacing w:before="120" w:after="120"/>
              <w:rPr>
                <w:noProof/>
                <w:color w:val="006100"/>
                <w:sz w:val="20"/>
              </w:rPr>
            </w:pPr>
            <w:r>
              <w:rPr>
                <w:noProof/>
                <w:color w:val="006100"/>
                <w:sz w:val="20"/>
              </w:rPr>
              <w:t>Zobowiązanie</w:t>
            </w:r>
            <w:r>
              <w:rPr>
                <w:noProof/>
              </w:rPr>
              <w:t xml:space="preserve"> </w:t>
            </w:r>
            <w:r>
              <w:rPr>
                <w:noProof/>
                <w:color w:val="006100"/>
                <w:sz w:val="20"/>
              </w:rPr>
              <w:t>regionów do zharmonizowania kryteriów dostępu do kryteriów przetargowych (w celu stworzenia przewidywalnego otoczenia biznesowego).</w:t>
            </w:r>
          </w:p>
          <w:p w14:paraId="554A2E60" w14:textId="77777777" w:rsidR="004C6421" w:rsidRDefault="009D1962">
            <w:pPr>
              <w:pStyle w:val="P68B1DB1-Normal4"/>
              <w:spacing w:before="120" w:after="120"/>
              <w:rPr>
                <w:noProof/>
              </w:rPr>
            </w:pPr>
            <w:r>
              <w:rPr>
                <w:noProof/>
              </w:rPr>
              <w:t>Transport:</w:t>
            </w:r>
          </w:p>
          <w:p w14:paraId="19E1F903" w14:textId="77777777" w:rsidR="004C6421" w:rsidRDefault="009D1962">
            <w:pPr>
              <w:pStyle w:val="P68B1DB1-Normal14"/>
              <w:spacing w:before="120" w:after="120"/>
              <w:rPr>
                <w:noProof/>
                <w:color w:val="006100"/>
                <w:sz w:val="20"/>
              </w:rPr>
            </w:pPr>
            <w:r>
              <w:rPr>
                <w:noProof/>
                <w:color w:val="006100"/>
                <w:sz w:val="20"/>
              </w:rPr>
              <w:t>X. Ustanowienie</w:t>
            </w:r>
            <w:r>
              <w:rPr>
                <w:noProof/>
              </w:rPr>
              <w:t xml:space="preserve"> </w:t>
            </w:r>
            <w:r>
              <w:rPr>
                <w:noProof/>
                <w:color w:val="006100"/>
                <w:sz w:val="20"/>
              </w:rPr>
              <w:t>jasnych, niedyskryminacyjnych i przejrzystych kryteriów udzielania koncesji portowych.</w:t>
            </w:r>
          </w:p>
          <w:p w14:paraId="0D1A9D4B" w14:textId="77777777" w:rsidR="004C6421" w:rsidRDefault="009D1962">
            <w:pPr>
              <w:pStyle w:val="P68B1DB1-Normal14"/>
              <w:spacing w:before="120" w:after="120"/>
              <w:rPr>
                <w:noProof/>
                <w:color w:val="006100"/>
                <w:sz w:val="20"/>
              </w:rPr>
            </w:pPr>
            <w:r>
              <w:rPr>
                <w:noProof/>
                <w:color w:val="006100"/>
                <w:sz w:val="20"/>
              </w:rPr>
              <w:t>XI.</w:t>
            </w:r>
            <w:r>
              <w:rPr>
                <w:noProof/>
              </w:rPr>
              <w:t xml:space="preserve"> </w:t>
            </w:r>
            <w:r>
              <w:rPr>
                <w:noProof/>
                <w:color w:val="006100"/>
                <w:sz w:val="20"/>
              </w:rPr>
              <w:t>Usunięcie barier utrudniających koncesjonariuszom portowym łączenie działalności związanej z koncesją portową w kilku dużych i średnich portach.</w:t>
            </w:r>
          </w:p>
          <w:p w14:paraId="5110F85F" w14:textId="77777777" w:rsidR="004C6421" w:rsidRDefault="009D1962">
            <w:pPr>
              <w:pStyle w:val="P68B1DB1-Normal14"/>
              <w:spacing w:before="120" w:after="120"/>
              <w:rPr>
                <w:noProof/>
                <w:color w:val="006100"/>
                <w:sz w:val="20"/>
              </w:rPr>
            </w:pPr>
            <w:r>
              <w:rPr>
                <w:noProof/>
                <w:color w:val="006100"/>
                <w:sz w:val="20"/>
              </w:rPr>
              <w:t>XII.</w:t>
            </w:r>
            <w:r>
              <w:rPr>
                <w:noProof/>
              </w:rPr>
              <w:t xml:space="preserve"> </w:t>
            </w:r>
            <w:r>
              <w:rPr>
                <w:noProof/>
                <w:color w:val="006100"/>
                <w:sz w:val="20"/>
              </w:rPr>
              <w:t>Usunięcie barier, które uniemożliwiają koncesjonariuszom samodzielne świadczenie niektórych usług portowych i korzystanie z własnego sprzętu, bez uszczerbku dla bezpieczeństwa pracowników, pod warunkiem że odpowiednie warunki wymagane do ochrony bezpieczeństwa pracowników są konieczne i proporcjonalne do celu, jakim jest zapewnienie bezpieczeństwa na obszarach portowych.</w:t>
            </w:r>
          </w:p>
          <w:p w14:paraId="13154236" w14:textId="77777777" w:rsidR="004C6421" w:rsidRDefault="009D1962">
            <w:pPr>
              <w:pStyle w:val="P68B1DB1-Normal14"/>
              <w:spacing w:before="120" w:after="120"/>
              <w:rPr>
                <w:noProof/>
                <w:color w:val="006100"/>
                <w:sz w:val="20"/>
              </w:rPr>
            </w:pPr>
            <w:r>
              <w:rPr>
                <w:noProof/>
                <w:color w:val="006100"/>
                <w:sz w:val="20"/>
              </w:rPr>
              <w:t>XIII.</w:t>
            </w:r>
            <w:r>
              <w:rPr>
                <w:noProof/>
              </w:rPr>
              <w:t xml:space="preserve"> </w:t>
            </w:r>
            <w:r>
              <w:rPr>
                <w:noProof/>
                <w:color w:val="006100"/>
                <w:sz w:val="20"/>
              </w:rPr>
              <w:t>Uproszczenie przeglądu procedur przeglądu planów zezwoleń dla portów.</w:t>
            </w:r>
          </w:p>
          <w:p w14:paraId="3199C219" w14:textId="77777777" w:rsidR="004C6421" w:rsidRDefault="009D1962">
            <w:pPr>
              <w:pStyle w:val="P68B1DB1-Normal14"/>
              <w:spacing w:before="120" w:after="120"/>
              <w:rPr>
                <w:noProof/>
                <w:color w:val="006100"/>
                <w:sz w:val="20"/>
              </w:rPr>
            </w:pPr>
            <w:r>
              <w:rPr>
                <w:noProof/>
                <w:color w:val="006100"/>
                <w:sz w:val="20"/>
              </w:rPr>
              <w:t>XIV.</w:t>
            </w:r>
            <w:r>
              <w:rPr>
                <w:noProof/>
              </w:rPr>
              <w:t xml:space="preserve"> </w:t>
            </w:r>
            <w:r>
              <w:rPr>
                <w:noProof/>
                <w:color w:val="006100"/>
                <w:sz w:val="20"/>
              </w:rPr>
              <w:t>Wdrożenie art. 27 ust. 2 lit. d) dekretu z mocą ustawy nr 50/2017, który przewiduje zachęty dla regionów do składania ofert w ramach regionalnych umów kolejowych.</w:t>
            </w:r>
          </w:p>
          <w:p w14:paraId="72B80090" w14:textId="77777777" w:rsidR="004C6421" w:rsidRDefault="009D1962">
            <w:pPr>
              <w:pStyle w:val="P68B1DB1-Normal4"/>
              <w:spacing w:before="120" w:after="120"/>
              <w:rPr>
                <w:noProof/>
              </w:rPr>
            </w:pPr>
            <w:r>
              <w:rPr>
                <w:noProof/>
              </w:rPr>
              <w:t>Odpady:</w:t>
            </w:r>
          </w:p>
          <w:p w14:paraId="17FA7918" w14:textId="77777777" w:rsidR="004C6421" w:rsidRDefault="009D1962">
            <w:pPr>
              <w:pStyle w:val="P68B1DB1-Normal14"/>
              <w:spacing w:before="120" w:after="120"/>
              <w:rPr>
                <w:noProof/>
                <w:color w:val="006100"/>
                <w:sz w:val="20"/>
              </w:rPr>
            </w:pPr>
            <w:r>
              <w:rPr>
                <w:noProof/>
                <w:color w:val="006100"/>
                <w:sz w:val="20"/>
              </w:rPr>
              <w:t>XV.</w:t>
            </w:r>
            <w:r>
              <w:rPr>
                <w:noProof/>
              </w:rPr>
              <w:t xml:space="preserve"> </w:t>
            </w:r>
            <w:r>
              <w:rPr>
                <w:noProof/>
                <w:color w:val="006100"/>
                <w:sz w:val="20"/>
              </w:rPr>
              <w:t>Uproszczenie procedur wydawania zezwoleń dla zakładów przetwarzania odpadów.</w:t>
            </w:r>
          </w:p>
          <w:p w14:paraId="7F044D08" w14:textId="77777777" w:rsidR="004C6421" w:rsidRDefault="009D1962">
            <w:pPr>
              <w:pStyle w:val="P68B1DB1-Normal4"/>
              <w:spacing w:before="120" w:after="120"/>
              <w:rPr>
                <w:noProof/>
              </w:rPr>
            </w:pPr>
            <w:r>
              <w:rPr>
                <w:noProof/>
              </w:rPr>
              <w:t>Zakładanie działalności gospodarczej:</w:t>
            </w:r>
          </w:p>
          <w:p w14:paraId="630C1867" w14:textId="77777777" w:rsidR="004C6421" w:rsidRDefault="009D1962">
            <w:pPr>
              <w:pStyle w:val="P68B1DB1-Normal14"/>
              <w:spacing w:before="120" w:after="120"/>
              <w:rPr>
                <w:noProof/>
                <w:color w:val="006100"/>
                <w:sz w:val="20"/>
              </w:rPr>
            </w:pPr>
            <w:r>
              <w:rPr>
                <w:noProof/>
                <w:color w:val="006100"/>
                <w:sz w:val="20"/>
              </w:rPr>
              <w:t>XVI.</w:t>
            </w:r>
            <w:r>
              <w:rPr>
                <w:noProof/>
              </w:rPr>
              <w:t xml:space="preserve"> </w:t>
            </w:r>
            <w:r>
              <w:rPr>
                <w:noProof/>
                <w:color w:val="006100"/>
                <w:sz w:val="20"/>
              </w:rPr>
              <w:t>Skrócenie czasu akredytacji na przekazywanie informacji o pracownikach z siedmiu do czterech dni w celu ograniczenia liczby dni na założenie przedsiębiorstwa.</w:t>
            </w:r>
          </w:p>
          <w:p w14:paraId="621101DB" w14:textId="77777777" w:rsidR="004C6421" w:rsidRDefault="009D1962">
            <w:pPr>
              <w:pStyle w:val="P68B1DB1-Normal4"/>
              <w:spacing w:before="120" w:after="120"/>
              <w:rPr>
                <w:noProof/>
              </w:rPr>
            </w:pPr>
            <w:r>
              <w:rPr>
                <w:noProof/>
              </w:rPr>
              <w:t>Nadzór rynku:</w:t>
            </w:r>
          </w:p>
          <w:p w14:paraId="4181119D" w14:textId="77777777" w:rsidR="004C6421" w:rsidRDefault="009D1962">
            <w:pPr>
              <w:pStyle w:val="P68B1DB1-Normal14"/>
              <w:spacing w:before="120" w:after="120"/>
              <w:rPr>
                <w:noProof/>
                <w:color w:val="006100"/>
                <w:sz w:val="20"/>
              </w:rPr>
            </w:pPr>
            <w:r>
              <w:rPr>
                <w:noProof/>
                <w:color w:val="006100"/>
                <w:sz w:val="20"/>
              </w:rPr>
              <w:t>XVII.</w:t>
            </w:r>
            <w:r>
              <w:rPr>
                <w:noProof/>
              </w:rPr>
              <w:t xml:space="preserve"> </w:t>
            </w:r>
            <w:r>
              <w:rPr>
                <w:noProof/>
                <w:color w:val="006100"/>
                <w:sz w:val="20"/>
              </w:rPr>
              <w:t>Konsolidacja krajowych organów nadzoru rynku w nie więcej niż dziesięciu agencjach zlokalizowanych w głównych regionach Włoch, z których każda obejmuje wszystkie grupy produktów i podlega jednemu urzędnikowi łącznikowemu ustanowionemu zgodnie z rozporządzeniem 2019/1020 („pakiet towarowy”).</w:t>
            </w:r>
          </w:p>
          <w:p w14:paraId="0F8D92D3" w14:textId="77777777" w:rsidR="004C6421" w:rsidRDefault="009D1962">
            <w:pPr>
              <w:pStyle w:val="P68B1DB1-Normal14"/>
              <w:spacing w:before="120" w:after="120"/>
              <w:rPr>
                <w:noProof/>
                <w:color w:val="006100"/>
                <w:sz w:val="20"/>
              </w:rPr>
            </w:pPr>
            <w:r>
              <w:rPr>
                <w:noProof/>
                <w:color w:val="006100"/>
                <w:sz w:val="20"/>
              </w:rPr>
              <w:t>XVIII.</w:t>
            </w:r>
            <w:r>
              <w:rPr>
                <w:noProof/>
              </w:rPr>
              <w:t xml:space="preserve"> </w:t>
            </w:r>
            <w:r>
              <w:rPr>
                <w:noProof/>
                <w:color w:val="006100"/>
                <w:sz w:val="20"/>
              </w:rPr>
              <w:t>Zobowiązanie krajowych organów nadzoru rynku do prowadzenia cyfrowych inspekcji produktów i gromadzenia danych, stosowania sztucznej inteligencji w celu śledzenia niebezpiecznych i nielegalnych produktów oraz identyfikowania tendencji i zagrożeń na jednolitym rynku.</w:t>
            </w:r>
          </w:p>
          <w:p w14:paraId="45465383" w14:textId="77777777" w:rsidR="004C6421" w:rsidRDefault="009D1962">
            <w:pPr>
              <w:pStyle w:val="P68B1DB1-Normal14"/>
              <w:spacing w:before="120" w:after="120"/>
              <w:rPr>
                <w:noProof/>
                <w:color w:val="006100"/>
                <w:sz w:val="20"/>
              </w:rPr>
            </w:pPr>
            <w:r>
              <w:rPr>
                <w:noProof/>
                <w:color w:val="006100"/>
                <w:sz w:val="20"/>
              </w:rPr>
              <w:t>XIX.</w:t>
            </w:r>
            <w:r>
              <w:rPr>
                <w:noProof/>
              </w:rPr>
              <w:t xml:space="preserve"> </w:t>
            </w:r>
            <w:r>
              <w:rPr>
                <w:noProof/>
                <w:color w:val="006100"/>
                <w:sz w:val="20"/>
              </w:rPr>
              <w:t>Wymaganie od krajowych organów nadzoru rynku uwzględnienia szkoleń i korzystania z systemu informacyjnego i komunikacyjnego na potrzeby ogólnoeuropejskiego nadzoru rynku.</w:t>
            </w:r>
          </w:p>
          <w:p w14:paraId="35FE9E89" w14:textId="77777777" w:rsidR="004C6421" w:rsidRDefault="009D1962">
            <w:pPr>
              <w:pStyle w:val="P68B1DB1-Normal14"/>
              <w:spacing w:before="120" w:after="120"/>
              <w:rPr>
                <w:noProof/>
                <w:color w:val="006100"/>
                <w:sz w:val="20"/>
              </w:rPr>
            </w:pPr>
            <w:r>
              <w:rPr>
                <w:noProof/>
                <w:color w:val="006100"/>
                <w:sz w:val="20"/>
              </w:rPr>
              <w:t>XX.</w:t>
            </w:r>
            <w:r>
              <w:rPr>
                <w:noProof/>
              </w:rPr>
              <w:t xml:space="preserve"> </w:t>
            </w:r>
            <w:r>
              <w:rPr>
                <w:noProof/>
                <w:color w:val="006100"/>
                <w:sz w:val="20"/>
              </w:rPr>
              <w:t>Ustanowienie nowych akredytowanych laboratoriów do badań produktów dla wszystkich grup produktów. Laboratoria te przeprowadzają badania handlu elektronicznego, fizycznych badań laboratoryjnych, wspólnych działań (organy celne/organy nadzoru rynku; co najmniej dwa krajowe organy nadzoru rynku, krajowe i unijne organy nadzoru rynku).</w:t>
            </w:r>
          </w:p>
        </w:tc>
      </w:tr>
      <w:tr w:rsidR="004C6421" w14:paraId="5BFB8FE5"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2871C8EE" w14:textId="77777777" w:rsidR="004C6421" w:rsidRDefault="009D1962">
            <w:pPr>
              <w:pStyle w:val="P68B1DB1-Normal4"/>
              <w:spacing w:before="120" w:after="120"/>
              <w:jc w:val="center"/>
              <w:rPr>
                <w:noProof/>
              </w:rPr>
            </w:pPr>
            <w:r>
              <w:rPr>
                <w:noProof/>
              </w:rPr>
              <w:t>M1C2-7</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30360D35" w14:textId="77777777" w:rsidR="004C6421" w:rsidRDefault="009D1962">
            <w:pPr>
              <w:pStyle w:val="P68B1DB1-Normal4"/>
              <w:spacing w:before="120" w:after="120"/>
              <w:jc w:val="center"/>
              <w:rPr>
                <w:noProof/>
              </w:rPr>
            </w:pPr>
            <w:r>
              <w:rPr>
                <w:noProof/>
              </w:rPr>
              <w:t>Reforma nr 2: Roczne ustawy o konkurencji</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24A56D51" w14:textId="15B79CB3" w:rsidR="004C6421" w:rsidRDefault="00CC179E">
            <w:pPr>
              <w:pStyle w:val="P68B1DB1-Normal4"/>
              <w:spacing w:before="120" w:after="120"/>
              <w:jc w:val="center"/>
              <w:rPr>
                <w:noProof/>
              </w:rPr>
            </w:pPr>
            <w:r>
              <w:rPr>
                <w:noProof/>
              </w:rPr>
              <w:t>Milowy</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795F85B4" w14:textId="77777777" w:rsidR="004C6421" w:rsidRDefault="009D1962">
            <w:pPr>
              <w:pStyle w:val="P68B1DB1-Normal4"/>
              <w:spacing w:before="120" w:after="120"/>
              <w:jc w:val="center"/>
              <w:rPr>
                <w:noProof/>
              </w:rPr>
            </w:pPr>
            <w:r>
              <w:rPr>
                <w:noProof/>
              </w:rPr>
              <w:t>Wejście w życie wszystkich środków wykonawczych związanych z energią i prawodawstwa wtórnego (w razie potrzeby)</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60993CF4" w14:textId="77777777" w:rsidR="004C6421" w:rsidRDefault="009D1962">
            <w:pPr>
              <w:pStyle w:val="P68B1DB1-Normal4"/>
              <w:spacing w:before="120" w:after="120"/>
              <w:jc w:val="center"/>
              <w:rPr>
                <w:noProof/>
              </w:rPr>
            </w:pPr>
            <w:r>
              <w:rPr>
                <w:noProof/>
              </w:rPr>
              <w:t>Wejście w życie wszystkich środków wykonawczych związanych z energią i prawodawstwa wtórnego (w razie potrzeby)</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71C45280" w14:textId="77777777" w:rsidR="004C6421" w:rsidRDefault="009D1962">
            <w:pPr>
              <w:pStyle w:val="P68B1DB1-Normal4"/>
              <w:spacing w:before="120" w:after="120"/>
              <w:jc w:val="center"/>
              <w:rPr>
                <w:noProof/>
              </w:rPr>
            </w:pPr>
            <w:r>
              <w:rPr>
                <w:noProof/>
              </w:rPr>
              <w:t>NIE DOT.</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139DEDFE" w14:textId="77777777" w:rsidR="004C6421" w:rsidRDefault="009D1962">
            <w:pPr>
              <w:pStyle w:val="P68B1DB1-Normal4"/>
              <w:spacing w:before="120" w:after="120"/>
              <w:jc w:val="center"/>
              <w:rPr>
                <w:noProof/>
              </w:rPr>
            </w:pPr>
            <w:r>
              <w:rPr>
                <w:noProof/>
              </w:rPr>
              <w:t>NIE DOT.</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2CBFD58F" w14:textId="77777777" w:rsidR="004C6421" w:rsidRDefault="009D1962">
            <w:pPr>
              <w:pStyle w:val="P68B1DB1-Normal4"/>
              <w:spacing w:before="120" w:after="120"/>
              <w:jc w:val="center"/>
              <w:rPr>
                <w:noProof/>
              </w:rPr>
            </w:pPr>
            <w:r>
              <w:rPr>
                <w:noProof/>
              </w:rPr>
              <w:t>NIE DOT.</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56708FD6" w14:textId="40033311" w:rsidR="004C6421" w:rsidRDefault="00CC179E">
            <w:pPr>
              <w:pStyle w:val="P68B1DB1-Normal4"/>
              <w:spacing w:before="120" w:after="120"/>
              <w:jc w:val="center"/>
              <w:rPr>
                <w:noProof/>
              </w:rPr>
            </w:pPr>
            <w:r>
              <w:rPr>
                <w:noProof/>
              </w:rPr>
              <w:t>KW. 4</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374AEA1F" w14:textId="77777777" w:rsidR="004C6421" w:rsidRDefault="009D1962">
            <w:pPr>
              <w:pStyle w:val="P68B1DB1-Normal4"/>
              <w:spacing w:before="120" w:after="120"/>
              <w:jc w:val="center"/>
              <w:rPr>
                <w:noProof/>
              </w:rPr>
            </w:pPr>
            <w:r>
              <w:rPr>
                <w:noProof/>
              </w:rPr>
              <w:t>2022</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500477E2" w14:textId="77777777" w:rsidR="004C6421" w:rsidRDefault="009D1962">
            <w:pPr>
              <w:pStyle w:val="P68B1DB1-Normal4"/>
              <w:spacing w:before="120" w:after="120"/>
              <w:rPr>
                <w:noProof/>
              </w:rPr>
            </w:pPr>
            <w:r>
              <w:rPr>
                <w:noProof/>
              </w:rPr>
              <w:t>Wejście w życie wszystkich środków wykonawczych związanych z energią i prawodawstwa wtórnego (w razie potrzeby) w celu:</w:t>
            </w:r>
          </w:p>
          <w:p w14:paraId="56780406" w14:textId="77777777" w:rsidR="004C6421" w:rsidRDefault="009D1962">
            <w:pPr>
              <w:pStyle w:val="P68B1DB1-Normal14"/>
              <w:spacing w:before="120" w:after="120"/>
              <w:rPr>
                <w:noProof/>
                <w:color w:val="006100"/>
                <w:sz w:val="20"/>
              </w:rPr>
            </w:pPr>
            <w:r>
              <w:rPr>
                <w:noProof/>
                <w:color w:val="006100"/>
                <w:sz w:val="20"/>
              </w:rPr>
              <w:t>I. Znoszenie</w:t>
            </w:r>
            <w:r>
              <w:rPr>
                <w:noProof/>
              </w:rPr>
              <w:t xml:space="preserve"> </w:t>
            </w:r>
            <w:r>
              <w:rPr>
                <w:noProof/>
                <w:color w:val="006100"/>
                <w:sz w:val="20"/>
              </w:rPr>
              <w:t>cen regulowanych dla mikroprzedsiębiorstw i gospodarstw domowych od dnia 1 stycznia 2023 r.</w:t>
            </w:r>
          </w:p>
          <w:p w14:paraId="553F3BBC" w14:textId="77777777" w:rsidR="004C6421" w:rsidRDefault="009D1962">
            <w:pPr>
              <w:pStyle w:val="P68B1DB1-Normal14"/>
              <w:spacing w:before="120" w:after="120"/>
              <w:rPr>
                <w:noProof/>
                <w:color w:val="006100"/>
                <w:sz w:val="20"/>
              </w:rPr>
            </w:pPr>
            <w:r>
              <w:rPr>
                <w:noProof/>
                <w:color w:val="006100"/>
                <w:sz w:val="20"/>
              </w:rPr>
              <w:t>II.</w:t>
            </w:r>
            <w:r>
              <w:rPr>
                <w:noProof/>
              </w:rPr>
              <w:t xml:space="preserve"> </w:t>
            </w:r>
            <w:r>
              <w:rPr>
                <w:noProof/>
                <w:color w:val="006100"/>
                <w:sz w:val="20"/>
              </w:rPr>
              <w:t>Przyjęcie środków towarzyszących w celu wspierania upowszechnienia konkurencji na rynkach detalicznych energii elektrycznej.</w:t>
            </w:r>
          </w:p>
          <w:p w14:paraId="75E3882A" w14:textId="77777777" w:rsidR="004C6421" w:rsidRDefault="009D1962">
            <w:pPr>
              <w:pStyle w:val="P68B1DB1-Normal4"/>
              <w:spacing w:before="120" w:after="120"/>
              <w:rPr>
                <w:noProof/>
              </w:rPr>
            </w:pPr>
            <w:r>
              <w:rPr>
                <w:noProof/>
              </w:rPr>
              <w:t>Środki towarzyszące mające na celu zapewnienie upowszechnienia konkurencji na rynkach detalicznych energii elektrycznej zapewniają co najmniej:</w:t>
            </w:r>
          </w:p>
          <w:p w14:paraId="34EBB08A" w14:textId="77777777" w:rsidR="004C6421" w:rsidRDefault="009D1962">
            <w:pPr>
              <w:pStyle w:val="P68B1DB1-Normal4"/>
              <w:spacing w:before="120" w:after="120"/>
              <w:rPr>
                <w:noProof/>
              </w:rPr>
            </w:pPr>
            <w:r>
              <w:rPr>
                <w:noProof/>
              </w:rPr>
              <w:t>— Aukcja bazy klientów w celu wyrównania warunków działania dla nowych podmiotów.</w:t>
            </w:r>
          </w:p>
          <w:p w14:paraId="50E06C95" w14:textId="77777777" w:rsidR="004C6421" w:rsidRDefault="009D1962">
            <w:pPr>
              <w:pStyle w:val="P68B1DB1-Normal4"/>
              <w:spacing w:before="120" w:after="120"/>
              <w:rPr>
                <w:noProof/>
              </w:rPr>
            </w:pPr>
            <w:r>
              <w:rPr>
                <w:noProof/>
              </w:rPr>
              <w:t>— Ustalenie pułapu jako maksymalnego udziału w rynku dostępnego dla każdego dostawcy;</w:t>
            </w:r>
          </w:p>
          <w:p w14:paraId="4CB270C9" w14:textId="77777777" w:rsidR="004C6421" w:rsidRDefault="009D1962">
            <w:pPr>
              <w:pStyle w:val="P68B1DB1-Normal4"/>
              <w:spacing w:before="120" w:after="120"/>
              <w:rPr>
                <w:noProof/>
              </w:rPr>
            </w:pPr>
            <w:r>
              <w:rPr>
                <w:noProof/>
              </w:rPr>
              <w:t>— Umożliwienie włoskim odbiorcom zwrócenia się do swojego dostawcy energii o ujawnienie ich danych rozliczeniowych dostawcom będącym osobami trzecimi;</w:t>
            </w:r>
          </w:p>
          <w:p w14:paraId="749DB4FE" w14:textId="77777777" w:rsidR="004C6421" w:rsidRDefault="009D1962">
            <w:pPr>
              <w:pStyle w:val="P68B1DB1-Normal4"/>
              <w:spacing w:before="120" w:after="120"/>
              <w:rPr>
                <w:noProof/>
              </w:rPr>
            </w:pPr>
            <w:r>
              <w:rPr>
                <w:noProof/>
              </w:rPr>
              <w:t>— Zwiększenie przejrzystości rachunków za energię elektryczną poprzez zapewnienie konsumentom dostępu do podkomponentów „spesi per oneri di sistema”;</w:t>
            </w:r>
          </w:p>
          <w:p w14:paraId="61357CA4" w14:textId="77777777" w:rsidR="004C6421" w:rsidRDefault="009D1962">
            <w:pPr>
              <w:pStyle w:val="P68B1DB1-Normal4"/>
              <w:spacing w:before="120" w:after="120"/>
              <w:rPr>
                <w:noProof/>
              </w:rPr>
            </w:pPr>
            <w:r>
              <w:rPr>
                <w:noProof/>
              </w:rPr>
              <w:t>Zniesienie wymogu pobierania przez dostawców opłat niezwiązanych z sektorem energetycznym.</w:t>
            </w:r>
          </w:p>
        </w:tc>
      </w:tr>
      <w:tr w:rsidR="004C6421" w14:paraId="3EA96EE0"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5CCC28BE" w14:textId="77777777" w:rsidR="004C6421" w:rsidRDefault="009D1962">
            <w:pPr>
              <w:pStyle w:val="P68B1DB1-Normal4"/>
              <w:spacing w:before="120" w:after="120"/>
              <w:jc w:val="center"/>
              <w:rPr>
                <w:noProof/>
              </w:rPr>
            </w:pPr>
            <w:r>
              <w:rPr>
                <w:noProof/>
              </w:rPr>
              <w:t>M1C2-8</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1F43F816" w14:textId="77777777" w:rsidR="004C6421" w:rsidRDefault="009D1962">
            <w:pPr>
              <w:pStyle w:val="P68B1DB1-Normal4"/>
              <w:spacing w:before="120" w:after="120"/>
              <w:jc w:val="center"/>
              <w:rPr>
                <w:noProof/>
              </w:rPr>
            </w:pPr>
            <w:r>
              <w:rPr>
                <w:noProof/>
              </w:rPr>
              <w:t>Reforma nr 2: Roczne ustawy o konkurencji</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0D912F86" w14:textId="55CADF90" w:rsidR="004C6421" w:rsidRDefault="00CC179E">
            <w:pPr>
              <w:pStyle w:val="P68B1DB1-Normal4"/>
              <w:spacing w:before="120" w:after="120"/>
              <w:jc w:val="center"/>
              <w:rPr>
                <w:noProof/>
              </w:rPr>
            </w:pPr>
            <w:r>
              <w:rPr>
                <w:noProof/>
              </w:rPr>
              <w:t>Milowy</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15D8DEC1" w14:textId="77777777" w:rsidR="004C6421" w:rsidRDefault="009D1962">
            <w:pPr>
              <w:pStyle w:val="P68B1DB1-Normal4"/>
              <w:spacing w:before="120" w:after="120"/>
              <w:jc w:val="center"/>
              <w:rPr>
                <w:noProof/>
              </w:rPr>
            </w:pPr>
            <w:r>
              <w:rPr>
                <w:noProof/>
              </w:rPr>
              <w:t>Wejście w życie wszystkich środków wykonawczych (w tym, w razie potrzeby, prawa wtórnego) w celu skutecznego wdrożenia i stosowania środków wynikających z rocznej ustawy o konkurencji z 2021 r.</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3BE658FF" w14:textId="77777777" w:rsidR="004C6421" w:rsidRDefault="009D1962">
            <w:pPr>
              <w:pStyle w:val="P68B1DB1-Normal4"/>
              <w:spacing w:before="120" w:after="120"/>
              <w:jc w:val="center"/>
              <w:rPr>
                <w:noProof/>
              </w:rPr>
            </w:pPr>
            <w:r>
              <w:rPr>
                <w:noProof/>
              </w:rPr>
              <w:t>Wejście w życie całego prawa wtórnego, w tym wszystkich niezbędnych rozporządzeń dotyczących środków wynikających z rocznej ustawy o konkurencji z 2021 r.</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0EF10209" w14:textId="77777777" w:rsidR="004C6421" w:rsidRDefault="009D1962">
            <w:pPr>
              <w:pStyle w:val="P68B1DB1-Normal4"/>
              <w:spacing w:before="120" w:after="120"/>
              <w:jc w:val="center"/>
              <w:rPr>
                <w:noProof/>
              </w:rPr>
            </w:pPr>
            <w:r>
              <w:rPr>
                <w:noProof/>
              </w:rPr>
              <w:t>NIE DOT.</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4EE7CD1D" w14:textId="77777777" w:rsidR="004C6421" w:rsidRDefault="009D1962">
            <w:pPr>
              <w:pStyle w:val="P68B1DB1-Normal4"/>
              <w:spacing w:before="120" w:after="120"/>
              <w:jc w:val="center"/>
              <w:rPr>
                <w:noProof/>
              </w:rPr>
            </w:pPr>
            <w:r>
              <w:rPr>
                <w:noProof/>
              </w:rPr>
              <w:t>NIE DOT.</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2DB4B411" w14:textId="77777777" w:rsidR="004C6421" w:rsidRDefault="009D1962">
            <w:pPr>
              <w:pStyle w:val="P68B1DB1-Normal4"/>
              <w:spacing w:before="120" w:after="120"/>
              <w:jc w:val="center"/>
              <w:rPr>
                <w:noProof/>
              </w:rPr>
            </w:pPr>
            <w:r>
              <w:rPr>
                <w:noProof/>
              </w:rPr>
              <w:t>NIE DOT.</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086CC48C" w14:textId="62EF8B4D" w:rsidR="004C6421" w:rsidRDefault="00CC179E">
            <w:pPr>
              <w:pStyle w:val="P68B1DB1-Normal4"/>
              <w:spacing w:before="120" w:after="120"/>
              <w:jc w:val="center"/>
              <w:rPr>
                <w:noProof/>
              </w:rPr>
            </w:pPr>
            <w:r>
              <w:rPr>
                <w:noProof/>
              </w:rPr>
              <w:t>KW. 4</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4FBCF691" w14:textId="77777777" w:rsidR="004C6421" w:rsidRDefault="009D1962">
            <w:pPr>
              <w:pStyle w:val="P68B1DB1-Normal4"/>
              <w:spacing w:before="120" w:after="120"/>
              <w:jc w:val="center"/>
              <w:rPr>
                <w:noProof/>
              </w:rPr>
            </w:pPr>
            <w:r>
              <w:rPr>
                <w:noProof/>
              </w:rPr>
              <w:t>2022</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1F4BEC00" w14:textId="77777777" w:rsidR="004C6421" w:rsidRDefault="009D1962">
            <w:pPr>
              <w:pStyle w:val="P68B1DB1-Normal4"/>
              <w:spacing w:before="120" w:after="120"/>
              <w:rPr>
                <w:noProof/>
              </w:rPr>
            </w:pPr>
            <w:r>
              <w:rPr>
                <w:noProof/>
              </w:rPr>
              <w:t>Wejście w życie wszystkich środków wykonawczych (w tym, w razie potrzeby, prawa wtórnego) w celu skutecznego wdrożenia i stosowania środków wynikających z rocznej ustawy o konkurencji z 2021 r.</w:t>
            </w:r>
          </w:p>
        </w:tc>
      </w:tr>
      <w:tr w:rsidR="004C6421" w14:paraId="05E8B342"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050F6E08" w14:textId="77777777" w:rsidR="004C6421" w:rsidRDefault="009D1962">
            <w:pPr>
              <w:pStyle w:val="P68B1DB1-Normal4"/>
              <w:spacing w:before="120" w:after="120"/>
              <w:jc w:val="center"/>
              <w:rPr>
                <w:noProof/>
              </w:rPr>
            </w:pPr>
            <w:r>
              <w:rPr>
                <w:noProof/>
              </w:rPr>
              <w:t>M1C2-9</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3BFCD68A" w14:textId="77777777" w:rsidR="004C6421" w:rsidRDefault="009D1962">
            <w:pPr>
              <w:pStyle w:val="P68B1DB1-Normal4"/>
              <w:spacing w:before="120" w:after="120"/>
              <w:jc w:val="center"/>
              <w:rPr>
                <w:noProof/>
              </w:rPr>
            </w:pPr>
            <w:r>
              <w:rPr>
                <w:noProof/>
              </w:rPr>
              <w:t>Reforma nr 2: Roczne ustawy o konkurencji</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6DBF375C" w14:textId="1ABFE9B5" w:rsidR="004C6421" w:rsidRDefault="00CC179E">
            <w:pPr>
              <w:pStyle w:val="P68B1DB1-Normal4"/>
              <w:spacing w:before="120" w:after="120"/>
              <w:jc w:val="center"/>
              <w:rPr>
                <w:noProof/>
              </w:rPr>
            </w:pPr>
            <w:r>
              <w:rPr>
                <w:noProof/>
              </w:rPr>
              <w:t>Milowy</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5BBBAC59" w14:textId="77777777" w:rsidR="004C6421" w:rsidRDefault="009D1962">
            <w:pPr>
              <w:pStyle w:val="P68B1DB1-Normal4"/>
              <w:spacing w:before="120" w:after="120"/>
              <w:jc w:val="center"/>
              <w:rPr>
                <w:noProof/>
              </w:rPr>
            </w:pPr>
            <w:r>
              <w:rPr>
                <w:noProof/>
              </w:rPr>
              <w:t>Wejście w życie rocznej ustawy o konkurencji 2022 r.</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49CFA9C6" w14:textId="77777777" w:rsidR="004C6421" w:rsidRDefault="009D1962">
            <w:pPr>
              <w:pStyle w:val="P68B1DB1-Normal4"/>
              <w:spacing w:before="120" w:after="120"/>
              <w:jc w:val="center"/>
              <w:rPr>
                <w:noProof/>
              </w:rPr>
            </w:pPr>
            <w:r>
              <w:rPr>
                <w:noProof/>
              </w:rPr>
              <w:t>Przepis wskazujący na wejście w życie rocznej ustawy o konkurencji z 2022 r. NIE DOT.</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3EB0E9CC" w14:textId="77777777" w:rsidR="004C6421" w:rsidRDefault="009D1962">
            <w:pPr>
              <w:pStyle w:val="P68B1DB1-Normal4"/>
              <w:spacing w:before="120" w:after="120"/>
              <w:jc w:val="center"/>
              <w:rPr>
                <w:noProof/>
              </w:rPr>
            </w:pPr>
            <w:r>
              <w:rPr>
                <w:noProof/>
              </w:rPr>
              <w:t>NIE DOT.</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2405FAEC" w14:textId="77777777" w:rsidR="004C6421" w:rsidRDefault="009D1962">
            <w:pPr>
              <w:pStyle w:val="P68B1DB1-Normal4"/>
              <w:spacing w:before="120" w:after="120"/>
              <w:jc w:val="center"/>
              <w:rPr>
                <w:noProof/>
              </w:rPr>
            </w:pPr>
            <w:r>
              <w:rPr>
                <w:noProof/>
              </w:rPr>
              <w:t>NIE DOT.</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1477F1F9" w14:textId="77777777" w:rsidR="004C6421" w:rsidRDefault="009D1962">
            <w:pPr>
              <w:pStyle w:val="P68B1DB1-Normal4"/>
              <w:spacing w:before="120" w:after="120"/>
              <w:jc w:val="center"/>
              <w:rPr>
                <w:noProof/>
              </w:rPr>
            </w:pPr>
            <w:r>
              <w:rPr>
                <w:noProof/>
              </w:rPr>
              <w:t>NIE DOT.</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588AA6D0" w14:textId="4F758B56" w:rsidR="004C6421" w:rsidRDefault="00CC179E">
            <w:pPr>
              <w:pStyle w:val="P68B1DB1-Normal4"/>
              <w:spacing w:before="120" w:after="120"/>
              <w:jc w:val="center"/>
              <w:rPr>
                <w:noProof/>
              </w:rPr>
            </w:pPr>
            <w:r>
              <w:rPr>
                <w:noProof/>
              </w:rPr>
              <w:t>KW. 4</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5A2E4CBB" w14:textId="77777777" w:rsidR="004C6421" w:rsidRDefault="009D1962">
            <w:pPr>
              <w:pStyle w:val="P68B1DB1-Normal4"/>
              <w:spacing w:before="120" w:after="120"/>
              <w:jc w:val="center"/>
              <w:rPr>
                <w:noProof/>
              </w:rPr>
            </w:pPr>
            <w:r>
              <w:rPr>
                <w:noProof/>
              </w:rPr>
              <w:t>2023</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3D42939A" w14:textId="77777777" w:rsidR="004C6421" w:rsidRDefault="009D1962">
            <w:pPr>
              <w:spacing w:after="120"/>
              <w:rPr>
                <w:rFonts w:ascii="Arial Narrow" w:hAnsi="Arial Narrow"/>
                <w:noProof/>
                <w:color w:val="006100"/>
                <w:sz w:val="20"/>
              </w:rPr>
            </w:pPr>
            <w:r>
              <w:rPr>
                <w:rFonts w:ascii="Arial Narrow" w:hAnsi="Arial Narrow"/>
                <w:noProof/>
                <w:color w:val="006100"/>
                <w:sz w:val="20"/>
              </w:rPr>
              <w:t xml:space="preserve">Wejście w życie rocznej ustawy o konkurencji na 2022 </w:t>
            </w:r>
            <w:r>
              <w:rPr>
                <w:noProof/>
              </w:rPr>
              <w:t>r.</w:t>
            </w:r>
            <w:r>
              <w:rPr>
                <w:rFonts w:ascii="Arial Narrow" w:hAnsi="Arial Narrow"/>
                <w:noProof/>
              </w:rPr>
              <w:t xml:space="preserve"> </w:t>
            </w:r>
            <w:r>
              <w:rPr>
                <w:noProof/>
              </w:rPr>
              <w:t xml:space="preserve">  </w:t>
            </w:r>
            <w:r>
              <w:rPr>
                <w:noProof/>
              </w:rPr>
              <w:br/>
            </w:r>
            <w:r>
              <w:rPr>
                <w:rFonts w:ascii="Arial Narrow" w:hAnsi="Arial Narrow"/>
                <w:noProof/>
                <w:color w:val="006100"/>
                <w:sz w:val="20"/>
              </w:rPr>
              <w:t>Roczne prawo konkurencji zawiera co najmniej następujące kluczowe elementy, których środki wykonawcze i prawo wtórne (w razie potrzeby) zostaną przyjęte i wejdą w życie nie później niż dnia 31 grudnia 2023 r.</w:t>
            </w:r>
          </w:p>
          <w:p w14:paraId="3E25437A" w14:textId="77777777" w:rsidR="004C6421" w:rsidRDefault="009D1962">
            <w:pPr>
              <w:pStyle w:val="P68B1DB1-Normal4"/>
              <w:spacing w:before="120" w:after="120"/>
              <w:rPr>
                <w:noProof/>
              </w:rPr>
            </w:pPr>
            <w:r>
              <w:rPr>
                <w:noProof/>
              </w:rPr>
              <w:t xml:space="preserve">Obejmuje: </w:t>
            </w:r>
          </w:p>
          <w:p w14:paraId="369A7291" w14:textId="77777777" w:rsidR="004C6421" w:rsidRDefault="009D1962">
            <w:pPr>
              <w:pStyle w:val="P68B1DB1-Normal4"/>
              <w:spacing w:before="120" w:after="120"/>
              <w:rPr>
                <w:noProof/>
              </w:rPr>
            </w:pPr>
            <w:r>
              <w:rPr>
                <w:b/>
                <w:noProof/>
              </w:rPr>
              <w:t>ustanowienie</w:t>
            </w:r>
            <w:r>
              <w:rPr>
                <w:noProof/>
              </w:rPr>
              <w:t xml:space="preserve"> jasnej procedury przyjmowania, we wcześniej</w:t>
            </w:r>
            <w:r>
              <w:rPr>
                <w:b/>
                <w:noProof/>
              </w:rPr>
              <w:t xml:space="preserve">określonych terminach, </w:t>
            </w:r>
            <w:r>
              <w:rPr>
                <w:noProof/>
              </w:rPr>
              <w:t xml:space="preserve"> a w każdym razie do dnia 31 grudnia odpowiedniego okresu (co dwa lata)(*), planu rozwoju sieci elektroenergetycznej na kolejną dekadę, co zapewni zakończenie procedury i uproszczenie procesu zatwierdzania.</w:t>
            </w:r>
          </w:p>
          <w:p w14:paraId="5E29F6F2" w14:textId="77777777" w:rsidR="004C6421" w:rsidRDefault="009D1962">
            <w:pPr>
              <w:pStyle w:val="P68B1DB1-Normal4"/>
              <w:spacing w:before="120" w:after="120"/>
              <w:rPr>
                <w:noProof/>
              </w:rPr>
            </w:pPr>
            <w:r>
              <w:rPr>
                <w:noProof/>
              </w:rPr>
              <w:t>(*) Plan rozwoju sieci elektroenergetycznej na 2021 r. zostanie przyjęty do dnia 31 grudnia 2023 r.</w:t>
            </w:r>
          </w:p>
          <w:p w14:paraId="0AF38CB1" w14:textId="77777777" w:rsidR="004C6421" w:rsidRDefault="009D1962">
            <w:pPr>
              <w:pStyle w:val="P68B1DB1-Normal4"/>
              <w:spacing w:before="120" w:after="120"/>
              <w:rPr>
                <w:noProof/>
              </w:rPr>
            </w:pPr>
            <w:r>
              <w:rPr>
                <w:b/>
                <w:noProof/>
              </w:rPr>
              <w:t>promowanie</w:t>
            </w:r>
            <w:r>
              <w:rPr>
                <w:noProof/>
              </w:rPr>
              <w:t xml:space="preserve"> wprowadzania inteligentnych liczników energii</w:t>
            </w:r>
            <w:r>
              <w:rPr>
                <w:noProof/>
                <w:vertAlign w:val="superscript"/>
              </w:rPr>
              <w:t>elektrycznej</w:t>
            </w:r>
            <w:r>
              <w:rPr>
                <w:noProof/>
              </w:rPr>
              <w:t xml:space="preserve"> drugiej generacji; </w:t>
            </w:r>
          </w:p>
          <w:p w14:paraId="3C690F8F" w14:textId="77777777" w:rsidR="004C6421" w:rsidRDefault="004C6421">
            <w:pPr>
              <w:rPr>
                <w:rFonts w:ascii="Arial Narrow" w:hAnsi="Arial Narrow"/>
                <w:b/>
                <w:noProof/>
                <w:color w:val="006100"/>
                <w:sz w:val="20"/>
              </w:rPr>
            </w:pPr>
          </w:p>
          <w:p w14:paraId="2586AFB3" w14:textId="77777777" w:rsidR="004C6421" w:rsidRDefault="009D1962">
            <w:pPr>
              <w:pStyle w:val="P68B1DB1-Normal15"/>
              <w:rPr>
                <w:noProof/>
              </w:rPr>
            </w:pPr>
            <w:r>
              <w:rPr>
                <w:noProof/>
              </w:rPr>
              <w:t>Przeciwdziałanie praktykom monopolistycznym:</w:t>
            </w:r>
          </w:p>
          <w:p w14:paraId="3B0F3C32" w14:textId="77777777" w:rsidR="004C6421" w:rsidRDefault="009D1962">
            <w:pPr>
              <w:pStyle w:val="P68B1DB1-Normal4"/>
              <w:rPr>
                <w:noProof/>
              </w:rPr>
            </w:pPr>
            <w:r>
              <w:rPr>
                <w:noProof/>
              </w:rPr>
              <w:t>wydłużenie z 45 dni do 90 dni okresu oceny przez włoski urząd ochrony konkurencji (aurità</w:t>
            </w:r>
            <w:r>
              <w:rPr>
                <w:i/>
                <w:noProof/>
              </w:rPr>
              <w:t>Garante della Concorrenza e del Mercato</w:t>
            </w:r>
            <w:r>
              <w:rPr>
                <w:b/>
                <w:noProof/>
              </w:rPr>
              <w:t>)</w:t>
            </w:r>
            <w:r>
              <w:rPr>
                <w:noProof/>
              </w:rPr>
              <w:t xml:space="preserve"> koncentracji, które mogą znacząco zakłócić skuteczną konkurencję zgodnie z art. 6 ustawy 287/1990.</w:t>
            </w:r>
          </w:p>
          <w:p w14:paraId="52851FA8" w14:textId="77777777" w:rsidR="004C6421" w:rsidRDefault="004C6421">
            <w:pPr>
              <w:rPr>
                <w:rFonts w:ascii="Arial Narrow" w:hAnsi="Arial Narrow"/>
                <w:b/>
                <w:noProof/>
                <w:color w:val="006100"/>
                <w:sz w:val="20"/>
              </w:rPr>
            </w:pPr>
          </w:p>
          <w:p w14:paraId="581C5389" w14:textId="77777777" w:rsidR="004C6421" w:rsidRDefault="009D1962">
            <w:pPr>
              <w:pStyle w:val="P68B1DB1-Normal15"/>
              <w:rPr>
                <w:noProof/>
              </w:rPr>
            </w:pPr>
            <w:r>
              <w:rPr>
                <w:noProof/>
              </w:rPr>
              <w:t>Sprzedaż detaliczna:</w:t>
            </w:r>
          </w:p>
          <w:p w14:paraId="51BD9100" w14:textId="77777777" w:rsidR="004C6421" w:rsidRDefault="009D1962">
            <w:pPr>
              <w:pStyle w:val="P68B1DB1-Normal4"/>
              <w:rPr>
                <w:noProof/>
              </w:rPr>
            </w:pPr>
            <w:r>
              <w:rPr>
                <w:b/>
                <w:noProof/>
              </w:rPr>
              <w:t xml:space="preserve">uproszczenie </w:t>
            </w:r>
            <w:r>
              <w:rPr>
                <w:noProof/>
              </w:rPr>
              <w:t>procedur udzielania zezwoleń na sprzedaż promocyjną prowadzoną przez przedsiębiorstwa posiadające punkty sprzedaży w różnych gminach.</w:t>
            </w:r>
          </w:p>
          <w:p w14:paraId="70708BDB" w14:textId="77777777" w:rsidR="004C6421" w:rsidRDefault="004C6421">
            <w:pPr>
              <w:rPr>
                <w:rFonts w:ascii="Arial Narrow" w:hAnsi="Arial Narrow"/>
                <w:b/>
                <w:noProof/>
                <w:color w:val="006100"/>
                <w:sz w:val="20"/>
              </w:rPr>
            </w:pPr>
          </w:p>
          <w:p w14:paraId="28B24F1D" w14:textId="77777777" w:rsidR="004C6421" w:rsidRDefault="009D1962">
            <w:pPr>
              <w:pStyle w:val="P68B1DB1-Normal15"/>
              <w:rPr>
                <w:noProof/>
              </w:rPr>
            </w:pPr>
            <w:r>
              <w:rPr>
                <w:noProof/>
              </w:rPr>
              <w:t>Środki farmaceutyczne:</w:t>
            </w:r>
          </w:p>
          <w:p w14:paraId="5B91DD6E" w14:textId="77777777" w:rsidR="004C6421" w:rsidRDefault="009D1962">
            <w:pPr>
              <w:pStyle w:val="P68B1DB1-Normal4"/>
              <w:rPr>
                <w:noProof/>
              </w:rPr>
            </w:pPr>
            <w:r>
              <w:rPr>
                <w:b/>
                <w:noProof/>
              </w:rPr>
              <w:t>zapewnienie</w:t>
            </w:r>
            <w:r>
              <w:rPr>
                <w:noProof/>
              </w:rPr>
              <w:t xml:space="preserve"> proporcjonalności wymogów dotyczących pozwoleń na sprzedaż galeinowych środków farmaceutycznych.</w:t>
            </w:r>
          </w:p>
        </w:tc>
      </w:tr>
      <w:tr w:rsidR="004C6421" w14:paraId="6BA05CCA"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4B31ACD7" w14:textId="77777777" w:rsidR="004C6421" w:rsidRDefault="009D1962">
            <w:pPr>
              <w:pStyle w:val="P68B1DB1-Normal4"/>
              <w:spacing w:before="120" w:after="120"/>
              <w:jc w:val="center"/>
              <w:rPr>
                <w:noProof/>
              </w:rPr>
            </w:pPr>
            <w:r>
              <w:rPr>
                <w:noProof/>
              </w:rPr>
              <w:t>M1C2-10</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4BC080FB" w14:textId="77777777" w:rsidR="004C6421" w:rsidRDefault="009D1962">
            <w:pPr>
              <w:pStyle w:val="P68B1DB1-Normal4"/>
              <w:spacing w:before="120" w:after="120"/>
              <w:jc w:val="center"/>
              <w:rPr>
                <w:noProof/>
              </w:rPr>
            </w:pPr>
            <w:r>
              <w:rPr>
                <w:noProof/>
              </w:rPr>
              <w:t>Reforma nr 2: Roczne ustawy o konkurencji</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332104F6" w14:textId="6B6F4020" w:rsidR="004C6421" w:rsidRDefault="00CC179E">
            <w:pPr>
              <w:pStyle w:val="P68B1DB1-Normal4"/>
              <w:spacing w:before="120" w:after="120"/>
              <w:jc w:val="center"/>
              <w:rPr>
                <w:noProof/>
              </w:rPr>
            </w:pPr>
            <w:r>
              <w:rPr>
                <w:noProof/>
              </w:rPr>
              <w:t>Milowy</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14C81ACD" w14:textId="77777777" w:rsidR="004C6421" w:rsidRDefault="009D1962">
            <w:pPr>
              <w:pStyle w:val="P68B1DB1-Normal4"/>
              <w:spacing w:before="120" w:after="120"/>
              <w:jc w:val="center"/>
              <w:rPr>
                <w:noProof/>
              </w:rPr>
            </w:pPr>
            <w:r>
              <w:rPr>
                <w:noProof/>
              </w:rPr>
              <w:t>Wejście w życie wszystkich środków wykonawczych (w tym, w razie potrzeby, prawa wtórnego) w celu skutecznego wdrożenia i stosowania środków wynikających z rocznej ustawy o konkurencji z 2022 r.</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5BB8DE3F" w14:textId="77777777" w:rsidR="004C6421" w:rsidRDefault="009D1962">
            <w:pPr>
              <w:pStyle w:val="P68B1DB1-Normal4"/>
              <w:spacing w:before="120" w:after="120"/>
              <w:jc w:val="center"/>
              <w:rPr>
                <w:noProof/>
              </w:rPr>
            </w:pPr>
            <w:r>
              <w:rPr>
                <w:noProof/>
              </w:rPr>
              <w:t>Wejście w życie całego prawa wtórnego, w tym wszystkich niezbędnych rozporządzeń dotyczących środków wynikających z rocznej ustawy o konkurencji z 2022 r.</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5E33046E" w14:textId="77777777" w:rsidR="004C6421" w:rsidRDefault="009D1962">
            <w:pPr>
              <w:pStyle w:val="P68B1DB1-Normal4"/>
              <w:spacing w:before="120" w:after="120"/>
              <w:jc w:val="center"/>
              <w:rPr>
                <w:noProof/>
              </w:rPr>
            </w:pPr>
            <w:r>
              <w:rPr>
                <w:noProof/>
              </w:rPr>
              <w:t>NIE DOT.</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663DDF3A" w14:textId="77777777" w:rsidR="004C6421" w:rsidRDefault="009D1962">
            <w:pPr>
              <w:pStyle w:val="P68B1DB1-Normal4"/>
              <w:spacing w:before="120" w:after="120"/>
              <w:jc w:val="center"/>
              <w:rPr>
                <w:noProof/>
              </w:rPr>
            </w:pPr>
            <w:r>
              <w:rPr>
                <w:noProof/>
              </w:rPr>
              <w:t>NIE DOT.</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6EA9AA28" w14:textId="77777777" w:rsidR="004C6421" w:rsidRDefault="009D1962">
            <w:pPr>
              <w:pStyle w:val="P68B1DB1-Normal4"/>
              <w:spacing w:before="120" w:after="120"/>
              <w:jc w:val="center"/>
              <w:rPr>
                <w:noProof/>
              </w:rPr>
            </w:pPr>
            <w:r>
              <w:rPr>
                <w:noProof/>
              </w:rPr>
              <w:t>NIE DOT.</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7DF1A48F" w14:textId="25FBFC52" w:rsidR="004C6421" w:rsidRDefault="00CC179E">
            <w:pPr>
              <w:pStyle w:val="P68B1DB1-Normal4"/>
              <w:spacing w:before="120" w:after="120"/>
              <w:jc w:val="center"/>
              <w:rPr>
                <w:noProof/>
              </w:rPr>
            </w:pPr>
            <w:r>
              <w:rPr>
                <w:noProof/>
              </w:rPr>
              <w:t>KW. 4</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3A42EEAC" w14:textId="77777777" w:rsidR="004C6421" w:rsidRDefault="009D1962">
            <w:pPr>
              <w:pStyle w:val="P68B1DB1-Normal4"/>
              <w:spacing w:before="120" w:after="120"/>
              <w:jc w:val="center"/>
              <w:rPr>
                <w:noProof/>
              </w:rPr>
            </w:pPr>
            <w:r>
              <w:rPr>
                <w:noProof/>
              </w:rPr>
              <w:t>2023</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34CB058A" w14:textId="77777777" w:rsidR="004C6421" w:rsidRDefault="009D1962">
            <w:pPr>
              <w:pStyle w:val="P68B1DB1-Normal4"/>
              <w:spacing w:before="120" w:after="120"/>
              <w:rPr>
                <w:noProof/>
              </w:rPr>
            </w:pPr>
            <w:r>
              <w:rPr>
                <w:noProof/>
              </w:rPr>
              <w:t>Wejście w życie całego prawodawstwa wtórnego (w razie potrzeby), w tym wszystkich przepisów niezbędnych do skutecznego wdrożenia i stosowania wszystkich wyżej wymienionych środków wynikających z rocznej ustawy o konkurencji z 2022 r.</w:t>
            </w:r>
          </w:p>
        </w:tc>
      </w:tr>
      <w:tr w:rsidR="004C6421" w14:paraId="079C8029"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0214B38A" w14:textId="77777777" w:rsidR="004C6421" w:rsidRDefault="009D1962">
            <w:pPr>
              <w:pStyle w:val="P68B1DB1-Normal4"/>
              <w:spacing w:before="120" w:after="120"/>
              <w:jc w:val="center"/>
              <w:rPr>
                <w:noProof/>
              </w:rPr>
            </w:pPr>
            <w:r>
              <w:rPr>
                <w:noProof/>
              </w:rPr>
              <w:t>M1C2-11</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6F3855E0" w14:textId="77777777" w:rsidR="004C6421" w:rsidRDefault="009D1962">
            <w:pPr>
              <w:pStyle w:val="P68B1DB1-Normal4"/>
              <w:spacing w:before="120" w:after="120"/>
              <w:jc w:val="center"/>
              <w:rPr>
                <w:noProof/>
              </w:rPr>
            </w:pPr>
            <w:r>
              <w:rPr>
                <w:noProof/>
              </w:rPr>
              <w:t>Reforma nr 2: Roczne ustawy o konkurencji</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5F435AAD" w14:textId="4F0B9075" w:rsidR="004C6421" w:rsidRDefault="00CC179E">
            <w:pPr>
              <w:pStyle w:val="P68B1DB1-Normal4"/>
              <w:spacing w:before="120" w:after="120"/>
              <w:jc w:val="center"/>
              <w:rPr>
                <w:noProof/>
              </w:rPr>
            </w:pPr>
            <w:r>
              <w:rPr>
                <w:noProof/>
              </w:rPr>
              <w:t>Milowy</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35FA89C5" w14:textId="77777777" w:rsidR="004C6421" w:rsidRDefault="009D1962">
            <w:pPr>
              <w:pStyle w:val="P68B1DB1-Normal4"/>
              <w:spacing w:before="120" w:after="120"/>
              <w:jc w:val="center"/>
              <w:rPr>
                <w:noProof/>
              </w:rPr>
            </w:pPr>
            <w:r>
              <w:rPr>
                <w:noProof/>
              </w:rPr>
              <w:t>Wejście w życie rocznej ustawy o konkurencji 2023 r.</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67842C1F" w14:textId="77777777" w:rsidR="004C6421" w:rsidRDefault="009D1962">
            <w:pPr>
              <w:pStyle w:val="P68B1DB1-Normal4"/>
              <w:spacing w:before="120" w:after="120"/>
              <w:jc w:val="center"/>
              <w:rPr>
                <w:noProof/>
              </w:rPr>
            </w:pPr>
            <w:r>
              <w:rPr>
                <w:noProof/>
              </w:rPr>
              <w:t>Przepis wskazujący na wejście w życie rocznej ustawy o konkurencji z 2023 r. NIE DOT.</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549D8E22" w14:textId="77777777" w:rsidR="004C6421" w:rsidRDefault="009D1962">
            <w:pPr>
              <w:pStyle w:val="P68B1DB1-Normal4"/>
              <w:spacing w:before="120" w:after="120"/>
              <w:jc w:val="center"/>
              <w:rPr>
                <w:noProof/>
              </w:rPr>
            </w:pPr>
            <w:r>
              <w:rPr>
                <w:noProof/>
              </w:rPr>
              <w:t>NIE DOT.</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3B628545" w14:textId="77777777" w:rsidR="004C6421" w:rsidRDefault="009D1962">
            <w:pPr>
              <w:pStyle w:val="P68B1DB1-Normal4"/>
              <w:spacing w:before="120" w:after="120"/>
              <w:jc w:val="center"/>
              <w:rPr>
                <w:noProof/>
              </w:rPr>
            </w:pPr>
            <w:r>
              <w:rPr>
                <w:noProof/>
              </w:rPr>
              <w:t>NIE DOT.</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4D9F7684" w14:textId="77777777" w:rsidR="004C6421" w:rsidRDefault="009D1962">
            <w:pPr>
              <w:pStyle w:val="P68B1DB1-Normal4"/>
              <w:spacing w:before="120" w:after="120"/>
              <w:jc w:val="center"/>
              <w:rPr>
                <w:noProof/>
              </w:rPr>
            </w:pPr>
            <w:r>
              <w:rPr>
                <w:noProof/>
              </w:rPr>
              <w:t>NIE DOT.</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7992869C" w14:textId="09B1BAF7" w:rsidR="004C6421" w:rsidRDefault="00CC179E">
            <w:pPr>
              <w:pStyle w:val="P68B1DB1-Normal4"/>
              <w:spacing w:before="120" w:after="120"/>
              <w:jc w:val="center"/>
              <w:rPr>
                <w:noProof/>
              </w:rPr>
            </w:pPr>
            <w:r>
              <w:rPr>
                <w:noProof/>
              </w:rPr>
              <w:t>KW. 4</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0542F4A7" w14:textId="77777777" w:rsidR="004C6421" w:rsidRDefault="009D1962">
            <w:pPr>
              <w:pStyle w:val="P68B1DB1-Normal4"/>
              <w:spacing w:before="120" w:after="120"/>
              <w:jc w:val="center"/>
              <w:rPr>
                <w:noProof/>
              </w:rPr>
            </w:pPr>
            <w:r>
              <w:rPr>
                <w:noProof/>
              </w:rPr>
              <w:t>2024</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74B06662" w14:textId="77777777" w:rsidR="004C6421" w:rsidRDefault="009D1962">
            <w:pPr>
              <w:pStyle w:val="P68B1DB1-Normal4"/>
              <w:rPr>
                <w:noProof/>
              </w:rPr>
            </w:pPr>
            <w:r>
              <w:rPr>
                <w:noProof/>
              </w:rPr>
              <w:t>Wejście w życie rocznej ustawy o konkurencji na 2023 r. Roczne prawo konkurencji zawiera co najmniej następujące kluczowe elementy, których środki wykonawcze i prawo wtórne (w razie potrzeby) zostaną przyjęte i wejdą w życie nie później niż dnia 31 grudnia 2024 r.</w:t>
            </w:r>
          </w:p>
          <w:p w14:paraId="2E54B4E4" w14:textId="77777777" w:rsidR="004C6421" w:rsidRDefault="004C6421">
            <w:pPr>
              <w:rPr>
                <w:rFonts w:ascii="Arial Narrow" w:hAnsi="Arial Narrow"/>
                <w:noProof/>
                <w:color w:val="006100"/>
                <w:sz w:val="20"/>
              </w:rPr>
            </w:pPr>
          </w:p>
          <w:p w14:paraId="02AC48E7" w14:textId="77777777" w:rsidR="004C6421" w:rsidRDefault="009D1962">
            <w:pPr>
              <w:pStyle w:val="P68B1DB1-Normal4"/>
              <w:rPr>
                <w:noProof/>
              </w:rPr>
            </w:pPr>
            <w:r>
              <w:rPr>
                <w:noProof/>
              </w:rPr>
              <w:t>Obejmuje ona co najmniej następujące środki:</w:t>
            </w:r>
          </w:p>
          <w:p w14:paraId="267570A1" w14:textId="77777777" w:rsidR="004C6421" w:rsidRDefault="004C6421">
            <w:pPr>
              <w:rPr>
                <w:rFonts w:ascii="Arial Narrow" w:hAnsi="Arial Narrow"/>
                <w:noProof/>
                <w:color w:val="006100"/>
                <w:sz w:val="20"/>
              </w:rPr>
            </w:pPr>
          </w:p>
          <w:p w14:paraId="026E9880" w14:textId="77777777" w:rsidR="004C6421" w:rsidRDefault="009D1962">
            <w:pPr>
              <w:pStyle w:val="P68B1DB1-Normal15"/>
              <w:rPr>
                <w:noProof/>
              </w:rPr>
            </w:pPr>
            <w:r>
              <w:rPr>
                <w:noProof/>
              </w:rPr>
              <w:t>Autostrady:</w:t>
            </w:r>
          </w:p>
          <w:p w14:paraId="67DD1FF8" w14:textId="77777777" w:rsidR="004C6421" w:rsidRDefault="004C6421">
            <w:pPr>
              <w:rPr>
                <w:rFonts w:ascii="Arial Narrow" w:hAnsi="Arial Narrow"/>
                <w:noProof/>
                <w:color w:val="006100"/>
                <w:sz w:val="20"/>
              </w:rPr>
            </w:pPr>
          </w:p>
          <w:p w14:paraId="29205326" w14:textId="77777777" w:rsidR="004C6421" w:rsidRDefault="009D1962">
            <w:pPr>
              <w:pStyle w:val="P68B1DB1-Normal4"/>
              <w:spacing w:after="120"/>
              <w:jc w:val="both"/>
              <w:rPr>
                <w:noProof/>
              </w:rPr>
            </w:pPr>
            <w:r>
              <w:rPr>
                <w:b/>
                <w:noProof/>
              </w:rPr>
              <w:t>w</w:t>
            </w:r>
            <w:r>
              <w:rPr>
                <w:noProof/>
              </w:rPr>
              <w:t xml:space="preserve"> odniesieniu do dostępu do koncesji i rozwiązania umowy roczna ustawa o konkurencji musi co najmniej:</w:t>
            </w:r>
          </w:p>
          <w:p w14:paraId="5822B26B" w14:textId="77777777" w:rsidR="004C6421" w:rsidRDefault="009D1962">
            <w:pPr>
              <w:pStyle w:val="P68B1DB1-Normal4"/>
              <w:spacing w:after="80"/>
              <w:ind w:left="340"/>
              <w:jc w:val="both"/>
              <w:rPr>
                <w:noProof/>
              </w:rPr>
            </w:pPr>
            <w:r>
              <w:rPr>
                <w:noProof/>
              </w:rPr>
              <w:t xml:space="preserve">wprowadzenie obowiązku przeprowadzania przetargów na umowy koncesyjne w odniesieniu do autostrad oraz wzmocnienie możliwości egzekwowania ram regulacyjnych dotyczących udzielania koncesji na autostrady i zapewnienia użytkownikom dróg odpowiedniego poziomu usług, bez uszczerbku dla świadczenia usług wewnątrzgałęziowych w granicach określonych w prawie UE(*); </w:t>
            </w:r>
          </w:p>
          <w:p w14:paraId="46239600" w14:textId="77777777" w:rsidR="004C6421" w:rsidRDefault="009D1962">
            <w:pPr>
              <w:pStyle w:val="P68B1DB1-Normal4"/>
              <w:autoSpaceDE w:val="0"/>
              <w:autoSpaceDN w:val="0"/>
              <w:adjustRightInd w:val="0"/>
              <w:spacing w:after="80"/>
              <w:ind w:left="340"/>
              <w:jc w:val="both"/>
              <w:rPr>
                <w:b/>
                <w:noProof/>
              </w:rPr>
            </w:pPr>
            <w:r>
              <w:rPr>
                <w:b/>
                <w:noProof/>
              </w:rPr>
              <w:t xml:space="preserve">- </w:t>
            </w:r>
            <w:r>
              <w:rPr>
                <w:noProof/>
              </w:rPr>
              <w:t>poprawę skuteczności procedur administracyjnych dotyczących decyzji związanych z umowami koncesyjnymi;</w:t>
            </w:r>
          </w:p>
          <w:p w14:paraId="5E3E63C0" w14:textId="77777777" w:rsidR="004C6421" w:rsidRDefault="009D1962">
            <w:pPr>
              <w:pStyle w:val="P68B1DB1-Normal4"/>
              <w:spacing w:after="80"/>
              <w:ind w:left="340"/>
              <w:jc w:val="both"/>
              <w:rPr>
                <w:noProof/>
              </w:rPr>
            </w:pPr>
            <w:r>
              <w:rPr>
                <w:noProof/>
              </w:rPr>
              <w:t>— wymagać szczegółowego i przejrzystego opisu przedmiotu umowy koncesyjnej</w:t>
            </w:r>
          </w:p>
          <w:p w14:paraId="1A85B038" w14:textId="77777777" w:rsidR="004C6421" w:rsidRDefault="009D1962">
            <w:pPr>
              <w:pStyle w:val="P68B1DB1-Normal4"/>
              <w:spacing w:after="80"/>
              <w:ind w:left="340"/>
              <w:jc w:val="both"/>
              <w:rPr>
                <w:noProof/>
              </w:rPr>
            </w:pPr>
            <w:r>
              <w:rPr>
                <w:noProof/>
              </w:rPr>
              <w:t>wymóg, aby organy koncesyjne wyznaczały koncesje na odcinki autostrad, przyznane w drodze procedury publicznej, z uwzględnieniem szacunków efektywności skali i kosztów ponoszonych przez koncesjonariuszy autostrad opracowanych przez organ regulacyjny (Aurità</w:t>
            </w:r>
            <w:r>
              <w:rPr>
                <w:i/>
                <w:noProof/>
              </w:rPr>
              <w:t xml:space="preserve">di Regolazione dei Trasporti </w:t>
            </w:r>
            <w:r>
              <w:rPr>
                <w:noProof/>
              </w:rPr>
              <w:t xml:space="preserve">– ART); </w:t>
            </w:r>
          </w:p>
          <w:p w14:paraId="15C6044D" w14:textId="77777777" w:rsidR="004C6421" w:rsidRDefault="009D1962">
            <w:pPr>
              <w:pStyle w:val="P68B1DB1-Normal4"/>
              <w:spacing w:after="80"/>
              <w:ind w:left="340"/>
              <w:jc w:val="both"/>
              <w:rPr>
                <w:noProof/>
              </w:rPr>
            </w:pPr>
            <w:r>
              <w:rPr>
                <w:noProof/>
              </w:rPr>
              <w:t>— wzmocnienie kontroli Ministerstwa Infrastruktury w zakresie kosztów i realizacji infrastruktury autostradowej;</w:t>
            </w:r>
          </w:p>
          <w:p w14:paraId="689FBB09" w14:textId="77777777" w:rsidR="004C6421" w:rsidRDefault="009D1962">
            <w:pPr>
              <w:pStyle w:val="P68B1DB1-Normal4"/>
              <w:spacing w:after="80"/>
              <w:ind w:left="340"/>
              <w:jc w:val="both"/>
              <w:rPr>
                <w:noProof/>
              </w:rPr>
            </w:pPr>
            <w:r>
              <w:rPr>
                <w:noProof/>
              </w:rPr>
              <w:t>— zapobieganie automatycznemu przedłużaniu umów koncesji, również poprzez znaczną poprawę efektywności zarządzania wszystkimi procedurami technicznymi i administracyjnymi związanymi z okresową aktualizacją planów gospodarczo-finansowych oraz roczną realizacją tych planów, a także poprzez zakaz stosowania procedur uregulowanych w art. 193 kodeksu zamówień publicznych jako sposobu udzielania wygasłych lub wygasających umów koncesji na autostrady;</w:t>
            </w:r>
          </w:p>
          <w:p w14:paraId="52D749E5" w14:textId="77777777" w:rsidR="004C6421" w:rsidRDefault="009D1962">
            <w:pPr>
              <w:pStyle w:val="P68B1DB1-Normal4"/>
              <w:spacing w:after="80"/>
              <w:ind w:left="340"/>
              <w:jc w:val="both"/>
              <w:rPr>
                <w:noProof/>
              </w:rPr>
            </w:pPr>
            <w:r>
              <w:rPr>
                <w:noProof/>
              </w:rPr>
              <w:t xml:space="preserve">— uproszczenie/doprecyzowanie przepisów dotyczących warunków rozwiązania i anulowania umowy, również w celu zachowania odpowiedniego poziomu kontestowalności koncesji na właściwym(-ych) rynku(-ach); </w:t>
            </w:r>
          </w:p>
          <w:p w14:paraId="283AB92C" w14:textId="77777777" w:rsidR="004C6421" w:rsidRDefault="009D1962">
            <w:pPr>
              <w:pStyle w:val="P68B1DB1-Normal4"/>
              <w:spacing w:after="80"/>
              <w:ind w:left="340"/>
              <w:jc w:val="both"/>
              <w:rPr>
                <w:noProof/>
              </w:rPr>
            </w:pPr>
            <w:r>
              <w:rPr>
                <w:noProof/>
              </w:rPr>
              <w:t>— terminowe i pełne wdrożenie przyjętego modelu regulacyjnego opłat za dostęp, z uwzględnieniem: (i) okresowej aktualizacji wieloletniego planowania gospodarczego i finansowego koncesjonariuszy (zatwierdzonej przez właściwy organ regulacyjny) oraz (ii) corocznej realizacji tych planów.</w:t>
            </w:r>
          </w:p>
          <w:p w14:paraId="6FDEA4CC" w14:textId="77777777" w:rsidR="004C6421" w:rsidRDefault="009D1962">
            <w:pPr>
              <w:pStyle w:val="P68B1DB1-Normal4"/>
              <w:spacing w:after="80"/>
              <w:ind w:left="340"/>
              <w:jc w:val="both"/>
              <w:rPr>
                <w:noProof/>
              </w:rPr>
            </w:pPr>
            <w:r>
              <w:rPr>
                <w:noProof/>
              </w:rPr>
              <w:t>— w przypadku rozwiązania umowy w interesie publicznym prawo przewiduje co najmniej odpowiednią rekompensatę umożliwiającą koncesjonariuszowi odzyskanie inwestycji, które nie zostały w pełni zamortyzowane. Jeżeli chodzi o rozwiązanie umowy z powodu poważnego naruszenia, prawo zapewnia odpowiednią równowagę między przywróceniem odszkodowania, o które zwrócono się do koncesjonariusza, a rozsądną rekompensatą za inwestycje, które nie zostały jeszcze odzyskane. Przypadki poważnego naruszenia są wyraźnie identyfikowane z mocy prawa.</w:t>
            </w:r>
          </w:p>
          <w:p w14:paraId="4B6521D1" w14:textId="77777777" w:rsidR="004C6421" w:rsidRDefault="009D1962">
            <w:pPr>
              <w:pStyle w:val="P68B1DB1-Normal4"/>
              <w:jc w:val="both"/>
              <w:rPr>
                <w:noProof/>
              </w:rPr>
            </w:pPr>
            <w:r>
              <w:rPr>
                <w:noProof/>
              </w:rPr>
              <w:t xml:space="preserve"> </w:t>
            </w:r>
          </w:p>
          <w:p w14:paraId="01CF2493" w14:textId="77777777" w:rsidR="004C6421" w:rsidRDefault="009D1962">
            <w:pPr>
              <w:pStyle w:val="P68B1DB1-Normal4"/>
              <w:spacing w:after="120"/>
              <w:jc w:val="both"/>
              <w:rPr>
                <w:noProof/>
              </w:rPr>
            </w:pPr>
            <w:r>
              <w:rPr>
                <w:b/>
                <w:noProof/>
              </w:rPr>
              <w:t>w</w:t>
            </w:r>
            <w:r>
              <w:rPr>
                <w:noProof/>
              </w:rPr>
              <w:t xml:space="preserve"> odniesieniu do modelu regulacyjnego pobierania opłat roczna ustawa o konkurencji musi co najmniej:</w:t>
            </w:r>
          </w:p>
          <w:p w14:paraId="02BAC01F" w14:textId="77777777" w:rsidR="004C6421" w:rsidRDefault="009D1962">
            <w:pPr>
              <w:pStyle w:val="P68B1DB1-Normal4"/>
              <w:spacing w:after="80"/>
              <w:ind w:left="340"/>
              <w:jc w:val="both"/>
              <w:rPr>
                <w:noProof/>
              </w:rPr>
            </w:pPr>
            <w:r>
              <w:rPr>
                <w:noProof/>
              </w:rPr>
              <w:t>— Wymaganie od koncesjonariuszy zapewnienia pełnego i terminowego wdrożenia modelu regulacyjnego pobierania opłat ART w celu obliczenia opłat za dostęp.  </w:t>
            </w:r>
          </w:p>
          <w:p w14:paraId="516918E4" w14:textId="77777777" w:rsidR="004C6421" w:rsidRDefault="009D1962">
            <w:pPr>
              <w:pStyle w:val="P68B1DB1-Normal4"/>
              <w:spacing w:after="80"/>
              <w:ind w:left="340"/>
              <w:jc w:val="both"/>
              <w:rPr>
                <w:noProof/>
              </w:rPr>
            </w:pPr>
            <w:r>
              <w:rPr>
                <w:noProof/>
              </w:rPr>
              <w:t>— Wymaganie od koncesjonariuszy zapewnienia pełnego i terminowego wdrożenia modelu regulacyjnego ART dotyczącego ustalania cen i systemów przetargowych dotyczących subkoncesjonowania na świadczenie usług ładowania pojazdów elektrycznych i innych usług. </w:t>
            </w:r>
          </w:p>
          <w:p w14:paraId="47ECB312" w14:textId="77777777" w:rsidR="004C6421" w:rsidRDefault="009D1962">
            <w:pPr>
              <w:pStyle w:val="P68B1DB1-Normal4"/>
              <w:spacing w:after="80"/>
              <w:ind w:left="340"/>
              <w:jc w:val="both"/>
              <w:rPr>
                <w:noProof/>
              </w:rPr>
            </w:pPr>
            <w:r>
              <w:rPr>
                <w:noProof/>
              </w:rPr>
              <w:t>— Opłaty za dostęp zachęcają do inwestycji i opierają się na metodzie pułapu cenowego opartej na przejrzystej analizie porównawczej kosztów całego sektora gospodarki, zgodnie z jasnymi, jednolitymi i przejrzystymi kryteriami.</w:t>
            </w:r>
          </w:p>
          <w:p w14:paraId="5E9EA057" w14:textId="77777777" w:rsidR="004C6421" w:rsidRDefault="009D1962">
            <w:pPr>
              <w:pStyle w:val="P68B1DB1-Normal4"/>
              <w:spacing w:after="120"/>
              <w:jc w:val="both"/>
              <w:rPr>
                <w:noProof/>
              </w:rPr>
            </w:pPr>
            <w:r>
              <w:rPr>
                <w:b/>
                <w:noProof/>
              </w:rPr>
              <w:t>w</w:t>
            </w:r>
            <w:r>
              <w:rPr>
                <w:noProof/>
              </w:rPr>
              <w:t xml:space="preserve"> odniesieniu do praw użytkowników roczna ustawa o konkurencji musi co najmniej:</w:t>
            </w:r>
          </w:p>
          <w:p w14:paraId="067A0B8A" w14:textId="77777777" w:rsidR="004C6421" w:rsidRDefault="009D1962">
            <w:pPr>
              <w:pStyle w:val="P68B1DB1-Normal4"/>
              <w:spacing w:after="80"/>
              <w:ind w:left="340"/>
              <w:jc w:val="both"/>
              <w:rPr>
                <w:noProof/>
              </w:rPr>
            </w:pPr>
            <w:r>
              <w:rPr>
                <w:noProof/>
              </w:rPr>
              <w:t>— zapewnienie pełnego i terminowego wdrożenia ram regulacyjnych ART związanych z ochroną praw użytkowników i zapewnieniem odpowiednich poziomów usług.</w:t>
            </w:r>
          </w:p>
          <w:p w14:paraId="1319701F" w14:textId="77777777" w:rsidR="004C6421" w:rsidRDefault="004C6421">
            <w:pPr>
              <w:jc w:val="both"/>
              <w:rPr>
                <w:rFonts w:ascii="Arial Narrow" w:hAnsi="Arial Narrow"/>
                <w:noProof/>
                <w:color w:val="006100"/>
                <w:sz w:val="20"/>
              </w:rPr>
            </w:pPr>
          </w:p>
          <w:p w14:paraId="51EF1793" w14:textId="77777777" w:rsidR="004C6421" w:rsidRDefault="009D1962">
            <w:pPr>
              <w:pStyle w:val="P68B1DB1-Normal4"/>
              <w:jc w:val="both"/>
              <w:rPr>
                <w:noProof/>
              </w:rPr>
            </w:pPr>
            <w:r>
              <w:rPr>
                <w:b/>
                <w:noProof/>
              </w:rPr>
              <w:t>IV)</w:t>
            </w:r>
            <w:r>
              <w:rPr>
                <w:noProof/>
              </w:rPr>
              <w:t xml:space="preserve"> w odniesieniu do outsourcingu robót budowlanych roczna ustawa o konkurencji musi co najmniej: </w:t>
            </w:r>
          </w:p>
          <w:p w14:paraId="5C6832B9" w14:textId="77777777" w:rsidR="004C6421" w:rsidRDefault="009D1962">
            <w:pPr>
              <w:pStyle w:val="P68B1DB1-Normal4"/>
              <w:spacing w:after="80"/>
              <w:ind w:left="340"/>
              <w:jc w:val="both"/>
              <w:rPr>
                <w:noProof/>
              </w:rPr>
            </w:pPr>
            <w:r>
              <w:rPr>
                <w:noProof/>
              </w:rPr>
              <w:t>— Zgodnie z art. 186 ust. 2 dekretu ustawodawczego nr 36/2023 nakłada on na koncesjonariuszy autostrad obowiązek powierzenia osobom trzecim, w drodze postępowania dowodowego, 50–60 % zamówień na roboty budowlane, usługi i dostawy. Udziały oblicza się zgodnie z kwotami planów gospodarczych i finansowych załączonych do dokumentów koncesji oraz z uwzględnieniem wielkości ekonomicznej i charakterystyki gospodarczej koncesjonariusza, czasu trwania koncesji, pozostałego okresu jej obowiązywania, jej przedmiotu, wartości ekonomicznej oraz kwoty dokonanych inwestycji.</w:t>
            </w:r>
          </w:p>
          <w:p w14:paraId="246ED89F" w14:textId="77777777" w:rsidR="004C6421" w:rsidRDefault="004C6421">
            <w:pPr>
              <w:jc w:val="both"/>
              <w:rPr>
                <w:rFonts w:ascii="Arial Narrow" w:hAnsi="Arial Narrow"/>
                <w:noProof/>
                <w:color w:val="006100"/>
                <w:sz w:val="20"/>
              </w:rPr>
            </w:pPr>
          </w:p>
          <w:p w14:paraId="4B791770" w14:textId="77777777" w:rsidR="004C6421" w:rsidRDefault="009D1962">
            <w:pPr>
              <w:pStyle w:val="P68B1DB1-Normal4"/>
              <w:jc w:val="both"/>
              <w:rPr>
                <w:noProof/>
              </w:rPr>
            </w:pPr>
            <w:r>
              <w:rPr>
                <w:noProof/>
              </w:rPr>
              <w:t>(*) w zakresie, w jakim zadania wewnętrzne są powierzane, ustawa:</w:t>
            </w:r>
          </w:p>
          <w:p w14:paraId="7F850F0E" w14:textId="77777777" w:rsidR="004C6421" w:rsidRDefault="009D1962">
            <w:pPr>
              <w:pStyle w:val="P68B1DB1-Normal4"/>
              <w:spacing w:after="80"/>
              <w:ind w:left="340"/>
              <w:jc w:val="both"/>
              <w:rPr>
                <w:noProof/>
              </w:rPr>
            </w:pPr>
            <w:r>
              <w:rPr>
                <w:noProof/>
              </w:rPr>
              <w:t xml:space="preserve">— wymagają obowiązkowej weryfikacji </w:t>
            </w:r>
            <w:r>
              <w:rPr>
                <w:i/>
                <w:noProof/>
              </w:rPr>
              <w:t>ex ante</w:t>
            </w:r>
            <w:r>
              <w:rPr>
                <w:noProof/>
              </w:rPr>
              <w:t xml:space="preserve"> zgodności z prawem powierzenia wewnętrznego i zakazują wszczynania postępowania o udzielenie zamówienia lub powierzenia wewnętrznego bez takiej weryfikacji;</w:t>
            </w:r>
          </w:p>
          <w:p w14:paraId="2E9F9774" w14:textId="77777777" w:rsidR="004C6421" w:rsidRDefault="009D1962">
            <w:pPr>
              <w:pStyle w:val="P68B1DB1-Normal4"/>
              <w:spacing w:after="80"/>
              <w:ind w:left="340"/>
              <w:jc w:val="both"/>
              <w:rPr>
                <w:noProof/>
              </w:rPr>
            </w:pPr>
            <w:r>
              <w:rPr>
                <w:noProof/>
              </w:rPr>
              <w:t>powierzenie Urzędowi ds. Regulacji Transportu (ART) odpowiednich instrumentów i uprawnień do przeprowadzania wyżej wymienionych weryfikacji oraz (prawnego) wsparcia ze strony Krajowego Urzędu Antykorupcyjnego (ANAC);</w:t>
            </w:r>
          </w:p>
          <w:p w14:paraId="3B821149" w14:textId="77777777" w:rsidR="004C6421" w:rsidRDefault="009D1962">
            <w:pPr>
              <w:pStyle w:val="P68B1DB1-Normal4"/>
              <w:spacing w:after="80"/>
              <w:ind w:left="340"/>
              <w:jc w:val="both"/>
              <w:rPr>
                <w:noProof/>
              </w:rPr>
            </w:pPr>
            <w:r>
              <w:rPr>
                <w:noProof/>
              </w:rPr>
              <w:t>— wymagają instalacji minimalnej liczby punktów ładowania pojazdów elektrycznych, wdrożenia odpowiednich miejsc parkingowych i parkingowych dla operatorów transportu towarowego oraz pełnej zgodności z ramami regulacyjnymi opracowanymi przez ART w celu ochrony praw użytkowników i zapewnienia odpowiedniego poziomu usług, jako kryteriów udzielania koncesji na nowe autostrady.</w:t>
            </w:r>
          </w:p>
          <w:p w14:paraId="07DDF6B0" w14:textId="77777777" w:rsidR="004C6421" w:rsidRDefault="004C6421">
            <w:pPr>
              <w:jc w:val="both"/>
              <w:rPr>
                <w:rFonts w:ascii="Arial Narrow" w:hAnsi="Arial Narrow"/>
                <w:noProof/>
                <w:color w:val="006100"/>
                <w:sz w:val="20"/>
              </w:rPr>
            </w:pPr>
          </w:p>
          <w:p w14:paraId="694D7741" w14:textId="77777777" w:rsidR="004C6421" w:rsidRDefault="009D1962">
            <w:pPr>
              <w:pStyle w:val="P68B1DB1-Normal4"/>
              <w:jc w:val="both"/>
              <w:rPr>
                <w:noProof/>
              </w:rPr>
            </w:pPr>
            <w:r>
              <w:rPr>
                <w:b/>
                <w:noProof/>
              </w:rPr>
              <w:t>Prasowanie na zimno</w:t>
            </w:r>
            <w:r>
              <w:rPr>
                <w:noProof/>
              </w:rPr>
              <w:t xml:space="preserve">: </w:t>
            </w:r>
          </w:p>
          <w:p w14:paraId="5BE4F717" w14:textId="77777777" w:rsidR="004C6421" w:rsidRDefault="009D1962">
            <w:pPr>
              <w:pStyle w:val="P68B1DB1-Normal4"/>
              <w:rPr>
                <w:noProof/>
              </w:rPr>
            </w:pPr>
            <w:r>
              <w:rPr>
                <w:b/>
                <w:noProof/>
              </w:rPr>
              <w:t>wejście</w:t>
            </w:r>
            <w:r>
              <w:rPr>
                <w:noProof/>
              </w:rPr>
              <w:t xml:space="preserve"> w życie zachęt regulacyjnych do korzystania z usług prasowania na zimno w portach;</w:t>
            </w:r>
          </w:p>
          <w:p w14:paraId="79E81E92" w14:textId="77777777" w:rsidR="004C6421" w:rsidRDefault="004C6421">
            <w:pPr>
              <w:jc w:val="both"/>
              <w:rPr>
                <w:rFonts w:ascii="Arial Narrow" w:hAnsi="Arial Narrow"/>
                <w:noProof/>
                <w:color w:val="006100"/>
                <w:sz w:val="20"/>
              </w:rPr>
            </w:pPr>
          </w:p>
          <w:p w14:paraId="58E9B27C" w14:textId="77777777" w:rsidR="004C6421" w:rsidRDefault="009D1962">
            <w:pPr>
              <w:pStyle w:val="P68B1DB1-Normal15"/>
              <w:jc w:val="both"/>
              <w:rPr>
                <w:noProof/>
              </w:rPr>
            </w:pPr>
            <w:r>
              <w:rPr>
                <w:noProof/>
              </w:rPr>
              <w:t>Wykaz sprzedawców detalicznych gazu ziemnego:</w:t>
            </w:r>
          </w:p>
          <w:p w14:paraId="18712B2C" w14:textId="77777777" w:rsidR="004C6421" w:rsidRDefault="009D1962">
            <w:pPr>
              <w:pStyle w:val="P68B1DB1-Normal4"/>
              <w:jc w:val="both"/>
              <w:rPr>
                <w:noProof/>
              </w:rPr>
            </w:pPr>
            <w:r>
              <w:rPr>
                <w:b/>
                <w:noProof/>
              </w:rPr>
              <w:t>określenie</w:t>
            </w:r>
            <w:r>
              <w:rPr>
                <w:noProof/>
              </w:rPr>
              <w:t xml:space="preserve"> kryteriów i wymogów dotyczących dostępu i trwałości przedsiębiorstw w wykazie sprzedawców detalicznych gazu ziemnego ustanowionym w art. 17 dekretu ustawodawczego nr 164/2000 mającego na celu zwiększenie przejrzystości i wspieranie wyboru konsumentów na konkurencyjnych rynkach;</w:t>
            </w:r>
          </w:p>
          <w:p w14:paraId="4891EE95" w14:textId="77777777" w:rsidR="004C6421" w:rsidRDefault="004C6421">
            <w:pPr>
              <w:rPr>
                <w:rFonts w:ascii="Arial Narrow" w:hAnsi="Arial Narrow"/>
                <w:noProof/>
                <w:color w:val="006100"/>
                <w:sz w:val="20"/>
              </w:rPr>
            </w:pPr>
          </w:p>
          <w:p w14:paraId="217A9B6E" w14:textId="77777777" w:rsidR="004C6421" w:rsidRDefault="009D1962">
            <w:pPr>
              <w:pStyle w:val="P68B1DB1-Normal15"/>
              <w:rPr>
                <w:noProof/>
              </w:rPr>
            </w:pPr>
            <w:r>
              <w:rPr>
                <w:noProof/>
              </w:rPr>
              <w:t>Ubezpieczenia:</w:t>
            </w:r>
          </w:p>
          <w:p w14:paraId="77A98181" w14:textId="77777777" w:rsidR="004C6421" w:rsidRDefault="009D1962">
            <w:pPr>
              <w:pStyle w:val="P68B1DB1-Normal4"/>
              <w:rPr>
                <w:noProof/>
              </w:rPr>
            </w:pPr>
            <w:r>
              <w:rPr>
                <w:b/>
                <w:noProof/>
              </w:rPr>
              <w:t>VII)</w:t>
            </w:r>
            <w:r>
              <w:rPr>
                <w:noProof/>
              </w:rPr>
              <w:t xml:space="preserve"> Wejście w życie aktów niezbędnych do umożliwienia przenoszenia danych dotyczących czarnych skrzynek samochodowych między ubezpieczycielami;</w:t>
            </w:r>
          </w:p>
          <w:p w14:paraId="3CDA3B0F" w14:textId="77777777" w:rsidR="004C6421" w:rsidRDefault="004C6421">
            <w:pPr>
              <w:rPr>
                <w:rFonts w:ascii="Arial Narrow" w:hAnsi="Arial Narrow"/>
                <w:noProof/>
                <w:color w:val="006100"/>
                <w:sz w:val="20"/>
              </w:rPr>
            </w:pPr>
          </w:p>
          <w:p w14:paraId="1B187868" w14:textId="77777777" w:rsidR="004C6421" w:rsidRDefault="009D1962">
            <w:pPr>
              <w:pStyle w:val="P68B1DB1-Normal15"/>
              <w:rPr>
                <w:noProof/>
              </w:rPr>
            </w:pPr>
            <w:r>
              <w:rPr>
                <w:noProof/>
              </w:rPr>
              <w:t>Zakładanie działalności gospodarczej:</w:t>
            </w:r>
          </w:p>
          <w:p w14:paraId="14CFEBFA" w14:textId="77777777" w:rsidR="004C6421" w:rsidRDefault="009D1962">
            <w:pPr>
              <w:pStyle w:val="P68B1DB1-Normal4"/>
              <w:jc w:val="both"/>
              <w:rPr>
                <w:noProof/>
              </w:rPr>
            </w:pPr>
            <w:r>
              <w:rPr>
                <w:b/>
                <w:noProof/>
              </w:rPr>
              <w:t>VIII)</w:t>
            </w:r>
            <w:r>
              <w:rPr>
                <w:noProof/>
              </w:rPr>
              <w:t xml:space="preserve"> Przegląd i aktualizacja przepisów dotyczących przedsiębiorstw typu start-up, innowacyjnych MŚP i kapitału wysokiego ryzyka (np. ustawa o rozpoczęciu działalności gospodarczej z 2012 r.) w celu racjonalizacji obowiązujących przepisów, przeglądu definicji przedsiębiorstw typu start-up oraz promowania inwestycji w kapitał wysokiego ryzyka dokonywanych przez inwestorów prywatnych i instytucjonalnych.</w:t>
            </w:r>
          </w:p>
        </w:tc>
      </w:tr>
      <w:tr w:rsidR="004C6421" w14:paraId="549FF768"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19ED4A10" w14:textId="77777777" w:rsidR="004C6421" w:rsidRDefault="009D1962">
            <w:pPr>
              <w:pStyle w:val="P68B1DB1-Normal4"/>
              <w:spacing w:before="120" w:after="120"/>
              <w:jc w:val="center"/>
              <w:rPr>
                <w:noProof/>
              </w:rPr>
            </w:pPr>
            <w:r>
              <w:rPr>
                <w:noProof/>
              </w:rPr>
              <w:t>M1C2-12</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3F3EFEE3" w14:textId="77777777" w:rsidR="004C6421" w:rsidRDefault="009D1962">
            <w:pPr>
              <w:pStyle w:val="P68B1DB1-Normal4"/>
              <w:spacing w:before="120" w:after="120"/>
              <w:jc w:val="center"/>
              <w:rPr>
                <w:noProof/>
              </w:rPr>
            </w:pPr>
            <w:r>
              <w:rPr>
                <w:noProof/>
              </w:rPr>
              <w:t>Reforma nr 2: Roczne ustawy o konkurencji</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6EC51158" w14:textId="025E3CC6" w:rsidR="004C6421" w:rsidRDefault="00CC179E">
            <w:pPr>
              <w:pStyle w:val="P68B1DB1-Normal4"/>
              <w:spacing w:before="120" w:after="120"/>
              <w:jc w:val="center"/>
              <w:rPr>
                <w:noProof/>
              </w:rPr>
            </w:pPr>
            <w:r>
              <w:rPr>
                <w:noProof/>
              </w:rPr>
              <w:t>Milowy</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193756BB" w14:textId="77777777" w:rsidR="004C6421" w:rsidRDefault="009D1962">
            <w:pPr>
              <w:pStyle w:val="P68B1DB1-Normal4"/>
              <w:spacing w:before="120" w:after="120"/>
              <w:jc w:val="center"/>
              <w:rPr>
                <w:noProof/>
              </w:rPr>
            </w:pPr>
            <w:r>
              <w:rPr>
                <w:noProof/>
              </w:rPr>
              <w:t>Wejście w życie wszystkich środków wykonawczych (w tym w razie potrzeby prawa wtórnego) w celu skutecznego wdrożenia i stosowania środków wynikających z rocznej ustawy o konkurencji na 2023 r.</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7B06FDDA" w14:textId="77777777" w:rsidR="004C6421" w:rsidRDefault="009D1962">
            <w:pPr>
              <w:pStyle w:val="P68B1DB1-Normal4"/>
              <w:spacing w:before="120" w:after="120"/>
              <w:jc w:val="center"/>
              <w:rPr>
                <w:noProof/>
              </w:rPr>
            </w:pPr>
            <w:r>
              <w:rPr>
                <w:noProof/>
              </w:rPr>
              <w:t>Wejście w życie całego prawa wtórnego, w tym wszystkich niezbędnych rozporządzeń dotyczących środków wynikających z rocznej ustawy o konkurencji na 2023 r.</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56457DB1" w14:textId="77777777" w:rsidR="004C6421" w:rsidRDefault="009D1962">
            <w:pPr>
              <w:pStyle w:val="P68B1DB1-Normal4"/>
              <w:spacing w:before="120" w:after="120"/>
              <w:jc w:val="center"/>
              <w:rPr>
                <w:noProof/>
              </w:rPr>
            </w:pPr>
            <w:r>
              <w:rPr>
                <w:noProof/>
              </w:rPr>
              <w:t>NIE DOT.</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42F3E5EA" w14:textId="77777777" w:rsidR="004C6421" w:rsidRDefault="009D1962">
            <w:pPr>
              <w:pStyle w:val="P68B1DB1-Normal4"/>
              <w:spacing w:before="120" w:after="120"/>
              <w:jc w:val="center"/>
              <w:rPr>
                <w:noProof/>
              </w:rPr>
            </w:pPr>
            <w:r>
              <w:rPr>
                <w:noProof/>
              </w:rPr>
              <w:t>NIE DOT.</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21C80A17" w14:textId="77777777" w:rsidR="004C6421" w:rsidRDefault="009D1962">
            <w:pPr>
              <w:pStyle w:val="P68B1DB1-Normal4"/>
              <w:spacing w:before="120" w:after="120"/>
              <w:jc w:val="center"/>
              <w:rPr>
                <w:noProof/>
              </w:rPr>
            </w:pPr>
            <w:r>
              <w:rPr>
                <w:noProof/>
              </w:rPr>
              <w:t>NIE DOT.</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1237E428" w14:textId="744E1D64" w:rsidR="004C6421" w:rsidRDefault="00CC179E">
            <w:pPr>
              <w:pStyle w:val="P68B1DB1-Normal4"/>
              <w:spacing w:before="120" w:after="120"/>
              <w:jc w:val="center"/>
              <w:rPr>
                <w:noProof/>
              </w:rPr>
            </w:pPr>
            <w:r>
              <w:rPr>
                <w:noProof/>
              </w:rPr>
              <w:t>KW. 4</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0538972B" w14:textId="77777777" w:rsidR="004C6421" w:rsidRDefault="009D1962">
            <w:pPr>
              <w:pStyle w:val="P68B1DB1-Normal4"/>
              <w:spacing w:before="120" w:after="120"/>
              <w:jc w:val="center"/>
              <w:rPr>
                <w:noProof/>
              </w:rPr>
            </w:pPr>
            <w:r>
              <w:rPr>
                <w:noProof/>
              </w:rPr>
              <w:t>2024</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670C0EC8" w14:textId="77777777" w:rsidR="004C6421" w:rsidRDefault="009D1962">
            <w:pPr>
              <w:pStyle w:val="P68B1DB1-Normal4"/>
              <w:spacing w:before="120" w:after="120"/>
              <w:rPr>
                <w:noProof/>
              </w:rPr>
            </w:pPr>
            <w:r>
              <w:rPr>
                <w:noProof/>
              </w:rPr>
              <w:t>Wejście w życie całego prawodawstwa wtórnego (w razie potrzeby), w tym wszystkich przepisów niezbędnych do skutecznego wdrożenia i stosowania wszystkich środków wynikających z rocznej ustawy o konkurencji na 2023 r.</w:t>
            </w:r>
          </w:p>
        </w:tc>
      </w:tr>
      <w:tr w:rsidR="004C6421" w14:paraId="4A97E207"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17E32813" w14:textId="77777777" w:rsidR="004C6421" w:rsidRDefault="009D1962">
            <w:pPr>
              <w:pStyle w:val="P68B1DB1-Normal4"/>
              <w:spacing w:before="120" w:after="120"/>
              <w:jc w:val="center"/>
              <w:rPr>
                <w:noProof/>
              </w:rPr>
            </w:pPr>
            <w:r>
              <w:rPr>
                <w:noProof/>
              </w:rPr>
              <w:t>M1C2-13</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00852BD6" w14:textId="77777777" w:rsidR="004C6421" w:rsidRDefault="009D1962">
            <w:pPr>
              <w:pStyle w:val="P68B1DB1-Normal4"/>
              <w:spacing w:before="120" w:after="120"/>
              <w:jc w:val="center"/>
              <w:rPr>
                <w:noProof/>
              </w:rPr>
            </w:pPr>
            <w:r>
              <w:rPr>
                <w:noProof/>
              </w:rPr>
              <w:t>Reforma nr 2: Roczne ustawy o konkurencji</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0FEF566F" w14:textId="73CA7EA3" w:rsidR="004C6421" w:rsidRDefault="00CC179E">
            <w:pPr>
              <w:pStyle w:val="P68B1DB1-Normal4"/>
              <w:spacing w:before="120" w:after="120"/>
              <w:jc w:val="center"/>
              <w:rPr>
                <w:noProof/>
              </w:rPr>
            </w:pPr>
            <w:r>
              <w:rPr>
                <w:noProof/>
              </w:rPr>
              <w:t>Milowy</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6BD3A1CF" w14:textId="77777777" w:rsidR="004C6421" w:rsidRDefault="009D1962">
            <w:pPr>
              <w:pStyle w:val="P68B1DB1-Normal4"/>
              <w:spacing w:before="120" w:after="120"/>
              <w:jc w:val="center"/>
              <w:rPr>
                <w:noProof/>
              </w:rPr>
            </w:pPr>
            <w:r>
              <w:rPr>
                <w:noProof/>
              </w:rPr>
              <w:t>Wejście w życie rocznej ustawy o konkurencji w 2024 r.</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30F38477" w14:textId="77777777" w:rsidR="004C6421" w:rsidRDefault="009D1962">
            <w:pPr>
              <w:pStyle w:val="P68B1DB1-Normal4"/>
              <w:spacing w:before="120" w:after="120"/>
              <w:jc w:val="center"/>
              <w:rPr>
                <w:noProof/>
              </w:rPr>
            </w:pPr>
            <w:r>
              <w:rPr>
                <w:noProof/>
              </w:rPr>
              <w:t>Przepis wskazujący na wejście w życie rocznej ustawy o konkurencji z 2024 r. NIE DOT.</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092D87A6" w14:textId="77777777" w:rsidR="004C6421" w:rsidRDefault="009D1962">
            <w:pPr>
              <w:pStyle w:val="P68B1DB1-Normal4"/>
              <w:spacing w:before="120" w:after="120"/>
              <w:jc w:val="center"/>
              <w:rPr>
                <w:noProof/>
              </w:rPr>
            </w:pPr>
            <w:r>
              <w:rPr>
                <w:noProof/>
              </w:rPr>
              <w:t>NIE DOT.</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32B9AA8C" w14:textId="77777777" w:rsidR="004C6421" w:rsidRDefault="009D1962">
            <w:pPr>
              <w:pStyle w:val="P68B1DB1-Normal4"/>
              <w:spacing w:before="120" w:after="120"/>
              <w:jc w:val="center"/>
              <w:rPr>
                <w:noProof/>
              </w:rPr>
            </w:pPr>
            <w:r>
              <w:rPr>
                <w:noProof/>
              </w:rPr>
              <w:t>NIE DOT.</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17D07C07" w14:textId="77777777" w:rsidR="004C6421" w:rsidRDefault="009D1962">
            <w:pPr>
              <w:pStyle w:val="P68B1DB1-Normal4"/>
              <w:spacing w:before="120" w:after="120"/>
              <w:jc w:val="center"/>
              <w:rPr>
                <w:noProof/>
              </w:rPr>
            </w:pPr>
            <w:r>
              <w:rPr>
                <w:noProof/>
              </w:rPr>
              <w:t>NIE DOT.</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3432D0BE" w14:textId="3A6926FB" w:rsidR="004C6421" w:rsidRDefault="00CC179E">
            <w:pPr>
              <w:pStyle w:val="P68B1DB1-Normal4"/>
              <w:spacing w:before="120" w:after="120"/>
              <w:jc w:val="center"/>
              <w:rPr>
                <w:noProof/>
              </w:rPr>
            </w:pPr>
            <w:r>
              <w:rPr>
                <w:noProof/>
              </w:rPr>
              <w:t>KW. 4</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1C7EC558" w14:textId="77777777" w:rsidR="004C6421" w:rsidRDefault="009D1962">
            <w:pPr>
              <w:pStyle w:val="P68B1DB1-Normal4"/>
              <w:spacing w:before="120" w:after="120"/>
              <w:jc w:val="center"/>
              <w:rPr>
                <w:noProof/>
              </w:rPr>
            </w:pPr>
            <w:r>
              <w:rPr>
                <w:noProof/>
              </w:rPr>
              <w:t>2025</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46657CE9" w14:textId="77777777" w:rsidR="004C6421" w:rsidRDefault="009D1962">
            <w:pPr>
              <w:pStyle w:val="P68B1DB1-Normal4"/>
              <w:spacing w:before="120" w:after="120"/>
              <w:rPr>
                <w:noProof/>
              </w:rPr>
            </w:pPr>
            <w:r>
              <w:rPr>
                <w:noProof/>
              </w:rPr>
              <w:t>Wejście w życie rocznej ustawy o konkurencji z 2024 r.</w:t>
            </w:r>
          </w:p>
          <w:p w14:paraId="3E75DC79" w14:textId="77777777" w:rsidR="004C6421" w:rsidRDefault="009D1962">
            <w:pPr>
              <w:pStyle w:val="P68B1DB1-Normal4"/>
              <w:spacing w:before="120" w:after="120"/>
              <w:rPr>
                <w:noProof/>
              </w:rPr>
            </w:pPr>
            <w:r>
              <w:rPr>
                <w:noProof/>
              </w:rPr>
              <w:t>Projekt ustawy przedkłada się parlamentowi do czerwca 2024 r. Jest on zatwierdzany przez izby do końca 2024 r. Prawo wtórne (w razie potrzeby) nie później niż 4 kw. 2025 r.</w:t>
            </w:r>
          </w:p>
        </w:tc>
      </w:tr>
      <w:tr w:rsidR="004C6421" w14:paraId="4A618B0B"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3FC6F8BD" w14:textId="77777777" w:rsidR="004C6421" w:rsidRDefault="009D1962">
            <w:pPr>
              <w:pStyle w:val="P68B1DB1-Normal4"/>
              <w:spacing w:before="120" w:after="120"/>
              <w:jc w:val="center"/>
              <w:rPr>
                <w:noProof/>
              </w:rPr>
            </w:pPr>
            <w:r>
              <w:rPr>
                <w:noProof/>
              </w:rPr>
              <w:t>M1C2-14</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4F414E77" w14:textId="77777777" w:rsidR="004C6421" w:rsidRDefault="009D1962">
            <w:pPr>
              <w:pStyle w:val="P68B1DB1-Normal4"/>
              <w:spacing w:before="120" w:after="120"/>
              <w:jc w:val="center"/>
              <w:rPr>
                <w:noProof/>
              </w:rPr>
            </w:pPr>
            <w:r>
              <w:rPr>
                <w:noProof/>
              </w:rPr>
              <w:t>Reforma nr 2: Roczne ustawy o konkurencji</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176C02F9" w14:textId="77777777" w:rsidR="004C6421" w:rsidRDefault="009D1962">
            <w:pPr>
              <w:pStyle w:val="P68B1DB1-Normal4"/>
              <w:spacing w:before="120" w:after="120"/>
              <w:jc w:val="center"/>
              <w:rPr>
                <w:noProof/>
              </w:rPr>
            </w:pPr>
            <w:r>
              <w:rPr>
                <w:noProof/>
              </w:rPr>
              <w:t>Cel</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25BAD8D5" w14:textId="77777777" w:rsidR="004C6421" w:rsidRDefault="009D1962">
            <w:pPr>
              <w:pStyle w:val="P68B1DB1-Normal4"/>
              <w:spacing w:before="120" w:after="120"/>
              <w:jc w:val="center"/>
              <w:rPr>
                <w:noProof/>
              </w:rPr>
            </w:pPr>
            <w:r>
              <w:rPr>
                <w:noProof/>
              </w:rPr>
              <w:t>Wdrożono miliony inteligentnych liczników 2G.</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0C1D3D12" w14:textId="77777777" w:rsidR="004C6421" w:rsidRDefault="009D1962">
            <w:pPr>
              <w:pStyle w:val="P68B1DB1-Normal4"/>
              <w:spacing w:before="120" w:after="120"/>
              <w:jc w:val="center"/>
              <w:rPr>
                <w:noProof/>
              </w:rPr>
            </w:pPr>
            <w:r>
              <w:rPr>
                <w:noProof/>
              </w:rPr>
              <w:t>NIE DOT.</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58BC9F46" w14:textId="77777777" w:rsidR="004C6421" w:rsidRDefault="009D1962">
            <w:pPr>
              <w:pStyle w:val="P68B1DB1-Normal4"/>
              <w:spacing w:before="120" w:after="120"/>
              <w:jc w:val="center"/>
              <w:rPr>
                <w:noProof/>
              </w:rPr>
            </w:pPr>
            <w:r>
              <w:rPr>
                <w:noProof/>
              </w:rPr>
              <w:t>Numer</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5737220F" w14:textId="77777777" w:rsidR="004C6421" w:rsidRDefault="009D1962">
            <w:pPr>
              <w:pStyle w:val="P68B1DB1-Normal4"/>
              <w:spacing w:before="120" w:after="120"/>
              <w:jc w:val="center"/>
              <w:rPr>
                <w:noProof/>
              </w:rPr>
            </w:pPr>
            <w:r>
              <w:rPr>
                <w:noProof/>
              </w:rPr>
              <w:t>20</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79228D49" w14:textId="77777777" w:rsidR="004C6421" w:rsidRDefault="009D1962">
            <w:pPr>
              <w:pStyle w:val="P68B1DB1-Normal4"/>
              <w:spacing w:before="120" w:after="120"/>
              <w:jc w:val="center"/>
              <w:rPr>
                <w:noProof/>
              </w:rPr>
            </w:pPr>
            <w:r>
              <w:rPr>
                <w:noProof/>
              </w:rPr>
              <w:t>33</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3D9322AE" w14:textId="6F093715" w:rsidR="004C6421" w:rsidRDefault="00CC179E">
            <w:pPr>
              <w:pStyle w:val="P68B1DB1-Normal4"/>
              <w:spacing w:before="120" w:after="120"/>
              <w:jc w:val="center"/>
              <w:rPr>
                <w:noProof/>
              </w:rPr>
            </w:pPr>
            <w:r>
              <w:rPr>
                <w:noProof/>
              </w:rPr>
              <w:t>KW. 4</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50A63C1C" w14:textId="77777777" w:rsidR="004C6421" w:rsidRDefault="009D1962">
            <w:pPr>
              <w:pStyle w:val="P68B1DB1-Normal4"/>
              <w:spacing w:before="120" w:after="120"/>
              <w:jc w:val="center"/>
              <w:rPr>
                <w:noProof/>
              </w:rPr>
            </w:pPr>
            <w:r>
              <w:rPr>
                <w:noProof/>
              </w:rPr>
              <w:t>2025</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145CE247" w14:textId="77777777" w:rsidR="004C6421" w:rsidRDefault="009D1962">
            <w:pPr>
              <w:pStyle w:val="P68B1DB1-Normal4"/>
              <w:rPr>
                <w:noProof/>
              </w:rPr>
            </w:pPr>
            <w:r>
              <w:rPr>
                <w:noProof/>
              </w:rPr>
              <w:t>Należy wdrożyć co najmniej 33 mln inteligentnych liczników 2G.</w:t>
            </w:r>
          </w:p>
        </w:tc>
      </w:tr>
      <w:tr w:rsidR="004C6421" w14:paraId="026D7636"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1B200941" w14:textId="77777777" w:rsidR="004C6421" w:rsidRDefault="009D1962">
            <w:pPr>
              <w:pStyle w:val="P68B1DB1-Normal4"/>
              <w:jc w:val="center"/>
              <w:rPr>
                <w:noProof/>
              </w:rPr>
            </w:pPr>
            <w:r>
              <w:rPr>
                <w:noProof/>
              </w:rPr>
              <w:t>M1C2-14bis</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370FB770" w14:textId="77777777" w:rsidR="004C6421" w:rsidRDefault="009D1962">
            <w:pPr>
              <w:pStyle w:val="P68B1DB1-Normal4"/>
              <w:jc w:val="center"/>
              <w:rPr>
                <w:noProof/>
              </w:rPr>
            </w:pPr>
            <w:r>
              <w:rPr>
                <w:noProof/>
              </w:rPr>
              <w:t>Reforma 3:   racjonalizacja i uproszczenie zachęt dla przedsiębiorstw.</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70FD1FB2" w14:textId="4F9320E8" w:rsidR="004C6421" w:rsidRDefault="00CC179E">
            <w:pPr>
              <w:pStyle w:val="P68B1DB1-Normal4"/>
              <w:jc w:val="center"/>
              <w:rPr>
                <w:noProof/>
              </w:rPr>
            </w:pPr>
            <w:r>
              <w:rPr>
                <w:noProof/>
              </w:rPr>
              <w:t xml:space="preserve">Milowy </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39B5F1F7" w14:textId="77777777" w:rsidR="004C6421" w:rsidRDefault="009D1962">
            <w:pPr>
              <w:pStyle w:val="P68B1DB1-Normal4"/>
              <w:jc w:val="center"/>
              <w:rPr>
                <w:noProof/>
              </w:rPr>
            </w:pPr>
            <w:r>
              <w:rPr>
                <w:noProof/>
              </w:rPr>
              <w:t>Publikacja sprawozdania z oceny wszystkich zachęt dla przedsiębiorstw</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141065C7" w14:textId="77777777" w:rsidR="004C6421" w:rsidRDefault="009D1962">
            <w:pPr>
              <w:pStyle w:val="P68B1DB1-Normal4"/>
              <w:jc w:val="center"/>
              <w:rPr>
                <w:noProof/>
              </w:rPr>
            </w:pPr>
            <w:r>
              <w:rPr>
                <w:noProof/>
              </w:rPr>
              <w:t xml:space="preserve">Publikacja sprawozdania </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541D3CFD" w14:textId="77777777" w:rsidR="004C6421" w:rsidRDefault="009D1962">
            <w:pPr>
              <w:pStyle w:val="P68B1DB1-Normal4"/>
              <w:jc w:val="center"/>
              <w:rPr>
                <w:noProof/>
              </w:rPr>
            </w:pPr>
            <w:r>
              <w:rPr>
                <w:noProof/>
              </w:rPr>
              <w:t xml:space="preserve">NIE DOT. </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00B98A82" w14:textId="77777777" w:rsidR="004C6421" w:rsidRDefault="009D1962">
            <w:pPr>
              <w:pStyle w:val="P68B1DB1-Normal4"/>
              <w:jc w:val="center"/>
              <w:rPr>
                <w:noProof/>
              </w:rPr>
            </w:pPr>
            <w:r>
              <w:rPr>
                <w:noProof/>
              </w:rPr>
              <w:t xml:space="preserve">NIE DOT. </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69035379" w14:textId="77777777" w:rsidR="004C6421" w:rsidRDefault="009D1962">
            <w:pPr>
              <w:pStyle w:val="P68B1DB1-Normal4"/>
              <w:jc w:val="center"/>
              <w:rPr>
                <w:noProof/>
              </w:rPr>
            </w:pPr>
            <w:r>
              <w:rPr>
                <w:noProof/>
              </w:rPr>
              <w:t xml:space="preserve">NIE DOT. </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3FA63647" w14:textId="77777777" w:rsidR="004C6421" w:rsidRDefault="009D1962">
            <w:pPr>
              <w:pStyle w:val="P68B1DB1-Normal4"/>
              <w:jc w:val="center"/>
              <w:rPr>
                <w:noProof/>
              </w:rPr>
            </w:pPr>
            <w:r>
              <w:rPr>
                <w:noProof/>
              </w:rPr>
              <w:t xml:space="preserve">II KW. </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667D279E" w14:textId="77777777" w:rsidR="004C6421" w:rsidRDefault="009D1962">
            <w:pPr>
              <w:pStyle w:val="P68B1DB1-Normal4"/>
              <w:jc w:val="center"/>
              <w:rPr>
                <w:noProof/>
              </w:rPr>
            </w:pPr>
            <w:r>
              <w:rPr>
                <w:noProof/>
              </w:rPr>
              <w:t xml:space="preserve">2025 </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6A65D2D4" w14:textId="77777777" w:rsidR="004C6421" w:rsidRDefault="009D1962">
            <w:pPr>
              <w:pStyle w:val="P68B1DB1-Normal4"/>
              <w:jc w:val="both"/>
              <w:rPr>
                <w:noProof/>
              </w:rPr>
            </w:pPr>
            <w:r>
              <w:rPr>
                <w:noProof/>
              </w:rPr>
              <w:t>Ministerstwo Przedsiębiorstw i Made we Włoszech opublikuje sprawozdanie oceniające wszystkie zachęty i inwestycje dla przedsiębiorstw.</w:t>
            </w:r>
          </w:p>
          <w:p w14:paraId="5F560793" w14:textId="77777777" w:rsidR="004C6421" w:rsidRDefault="009D1962">
            <w:pPr>
              <w:pStyle w:val="P68B1DB1-Normal4"/>
              <w:jc w:val="both"/>
              <w:rPr>
                <w:rFonts w:eastAsia="Calibri" w:cs="Calibri"/>
                <w:noProof/>
                <w:highlight w:val="yellow"/>
              </w:rPr>
            </w:pPr>
            <w:r>
              <w:rPr>
                <w:noProof/>
              </w:rPr>
              <w:t>W sprawozdaniu zostaną opracowane konkretne propozycje racjonalizacji zachęt krajowych.</w:t>
            </w:r>
          </w:p>
        </w:tc>
      </w:tr>
      <w:tr w:rsidR="004C6421" w14:paraId="1F797479"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3C5CA6FF" w14:textId="77777777" w:rsidR="004C6421" w:rsidRDefault="009D1962">
            <w:pPr>
              <w:pStyle w:val="P68B1DB1-Normal4"/>
              <w:jc w:val="center"/>
              <w:rPr>
                <w:noProof/>
              </w:rPr>
            </w:pPr>
            <w:r>
              <w:rPr>
                <w:noProof/>
              </w:rPr>
              <w:t>M1C2-14ter</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497F5304" w14:textId="77777777" w:rsidR="004C6421" w:rsidRDefault="009D1962">
            <w:pPr>
              <w:pStyle w:val="P68B1DB1-Normal4"/>
              <w:jc w:val="center"/>
              <w:rPr>
                <w:noProof/>
              </w:rPr>
            </w:pPr>
            <w:r>
              <w:rPr>
                <w:noProof/>
              </w:rPr>
              <w:t>Reforma 3: racjonalizacja i uproszczenie zachęt dla przedsiębiorstw.</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34A08AC8" w14:textId="5A623CEC" w:rsidR="004C6421" w:rsidRDefault="00CC179E">
            <w:pPr>
              <w:pStyle w:val="P68B1DB1-Normal4"/>
              <w:jc w:val="center"/>
              <w:rPr>
                <w:noProof/>
              </w:rPr>
            </w:pPr>
            <w:r>
              <w:rPr>
                <w:noProof/>
              </w:rPr>
              <w:t xml:space="preserve">Milowy </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0DF8FBB1" w14:textId="77777777" w:rsidR="004C6421" w:rsidRDefault="009D1962">
            <w:pPr>
              <w:pStyle w:val="P68B1DB1-Normal4"/>
              <w:jc w:val="center"/>
              <w:rPr>
                <w:noProof/>
              </w:rPr>
            </w:pPr>
            <w:r>
              <w:rPr>
                <w:noProof/>
              </w:rPr>
              <w:t>Wejście w życie prawodawstwa pierwotnego w celu racjonalizacji zachęt dla przedsiębiorstw</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23DC7165" w14:textId="77777777" w:rsidR="004C6421" w:rsidRDefault="009D1962">
            <w:pPr>
              <w:pStyle w:val="P68B1DB1-Normal4"/>
              <w:jc w:val="center"/>
              <w:rPr>
                <w:noProof/>
              </w:rPr>
            </w:pPr>
            <w:r>
              <w:rPr>
                <w:noProof/>
              </w:rPr>
              <w:t>Wejście w życie prawa pierwotnego</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5AF6FD17" w14:textId="77777777" w:rsidR="004C6421" w:rsidRDefault="009D1962">
            <w:pPr>
              <w:pStyle w:val="P68B1DB1-Normal4"/>
              <w:jc w:val="center"/>
              <w:rPr>
                <w:noProof/>
              </w:rPr>
            </w:pPr>
            <w:r>
              <w:rPr>
                <w:noProof/>
              </w:rPr>
              <w:t xml:space="preserve">NIE DOT. </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50584D8C" w14:textId="77777777" w:rsidR="004C6421" w:rsidRDefault="009D1962">
            <w:pPr>
              <w:pStyle w:val="P68B1DB1-Normal4"/>
              <w:jc w:val="center"/>
              <w:rPr>
                <w:noProof/>
              </w:rPr>
            </w:pPr>
            <w:r>
              <w:rPr>
                <w:noProof/>
              </w:rPr>
              <w:t xml:space="preserve">NIE DOT. </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66A3C6CE" w14:textId="77777777" w:rsidR="004C6421" w:rsidRDefault="009D1962">
            <w:pPr>
              <w:pStyle w:val="P68B1DB1-Normal4"/>
              <w:jc w:val="center"/>
              <w:rPr>
                <w:noProof/>
              </w:rPr>
            </w:pPr>
            <w:r>
              <w:rPr>
                <w:noProof/>
              </w:rPr>
              <w:t xml:space="preserve">NIE DOT. </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340EA999" w14:textId="77777777" w:rsidR="004C6421" w:rsidRDefault="009D1962">
            <w:pPr>
              <w:pStyle w:val="P68B1DB1-Normal4"/>
              <w:jc w:val="center"/>
              <w:rPr>
                <w:noProof/>
              </w:rPr>
            </w:pPr>
            <w:r>
              <w:rPr>
                <w:noProof/>
              </w:rPr>
              <w:t xml:space="preserve">II KW. </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318D277A" w14:textId="77777777" w:rsidR="004C6421" w:rsidRDefault="009D1962">
            <w:pPr>
              <w:pStyle w:val="P68B1DB1-Normal4"/>
              <w:jc w:val="center"/>
              <w:rPr>
                <w:noProof/>
              </w:rPr>
            </w:pPr>
            <w:r>
              <w:rPr>
                <w:noProof/>
              </w:rPr>
              <w:t>2026</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0F304572" w14:textId="77777777" w:rsidR="004C6421" w:rsidRDefault="009D1962">
            <w:pPr>
              <w:pStyle w:val="P68B1DB1-Normal4"/>
              <w:jc w:val="both"/>
              <w:rPr>
                <w:noProof/>
              </w:rPr>
            </w:pPr>
            <w:r>
              <w:rPr>
                <w:noProof/>
              </w:rPr>
              <w:t>Wejście w życie wszystkich aktów ustawodawczych mających na celu racjonalizację zdecydowanych zachęt.</w:t>
            </w:r>
          </w:p>
          <w:p w14:paraId="49E4DCE3" w14:textId="77777777" w:rsidR="004C6421" w:rsidRDefault="009D1962">
            <w:pPr>
              <w:pStyle w:val="P68B1DB1-Normal4"/>
              <w:jc w:val="both"/>
              <w:rPr>
                <w:noProof/>
              </w:rPr>
            </w:pPr>
            <w:r>
              <w:rPr>
                <w:noProof/>
              </w:rPr>
              <w:t>Reforma dotyczy zachęt na szczeblu krajowym.</w:t>
            </w:r>
          </w:p>
          <w:p w14:paraId="6BFACC53" w14:textId="77777777" w:rsidR="004C6421" w:rsidRDefault="009D1962">
            <w:pPr>
              <w:pStyle w:val="P68B1DB1-Normal4"/>
              <w:jc w:val="both"/>
              <w:rPr>
                <w:noProof/>
              </w:rPr>
            </w:pPr>
            <w:r>
              <w:rPr>
                <w:noProof/>
              </w:rPr>
              <w:t>Reforma obejmuje restrukturyzację i dalsze wdrażanie dwóch kluczowych instrumentów zarządzanych przez Ministerstwo Przedsiębiorstw i Made we Włoszech (MIMIT): a) RNA (krajowy rejestr pomocy państwa) oraz b) platforma incentivi.gov.it.</w:t>
            </w:r>
          </w:p>
          <w:p w14:paraId="0F7D8085" w14:textId="77777777" w:rsidR="004C6421" w:rsidRDefault="004C6421">
            <w:pPr>
              <w:jc w:val="both"/>
              <w:rPr>
                <w:rFonts w:ascii="Arial Narrow" w:hAnsi="Arial Narrow"/>
                <w:noProof/>
                <w:color w:val="006100"/>
                <w:sz w:val="20"/>
              </w:rPr>
            </w:pPr>
          </w:p>
          <w:p w14:paraId="5CB8253D" w14:textId="77777777" w:rsidR="004C6421" w:rsidRDefault="009D1962">
            <w:pPr>
              <w:pStyle w:val="P68B1DB1-Normal4"/>
              <w:jc w:val="both"/>
              <w:rPr>
                <w:noProof/>
              </w:rPr>
            </w:pPr>
            <w:r>
              <w:rPr>
                <w:noProof/>
              </w:rPr>
              <w:t>..</w:t>
            </w:r>
          </w:p>
        </w:tc>
      </w:tr>
    </w:tbl>
    <w:p w14:paraId="1175FB3C" w14:textId="77777777" w:rsidR="004C6421" w:rsidRDefault="009D1962">
      <w:pPr>
        <w:spacing w:before="120" w:after="120"/>
        <w:jc w:val="both"/>
        <w:rPr>
          <w:noProof/>
        </w:rPr>
      </w:pPr>
      <w:r>
        <w:rPr>
          <w:noProof/>
        </w:rPr>
        <w:t xml:space="preserve">  </w:t>
      </w:r>
      <w:r>
        <w:rPr>
          <w:noProof/>
        </w:rPr>
        <w:br/>
      </w:r>
    </w:p>
    <w:p w14:paraId="7633E5E4" w14:textId="77777777" w:rsidR="004C6421" w:rsidRDefault="004C6421">
      <w:pPr>
        <w:spacing w:before="120" w:after="120"/>
        <w:ind w:left="709"/>
        <w:jc w:val="both"/>
        <w:rPr>
          <w:rFonts w:eastAsia="Calibri"/>
          <w:noProof/>
        </w:rPr>
      </w:pPr>
    </w:p>
    <w:p w14:paraId="40074567" w14:textId="77777777" w:rsidR="004C6421" w:rsidRDefault="004C6421">
      <w:pPr>
        <w:spacing w:before="120" w:after="120"/>
        <w:ind w:left="709"/>
        <w:jc w:val="both"/>
        <w:rPr>
          <w:noProof/>
        </w:rPr>
        <w:sectPr w:rsidR="004C6421" w:rsidSect="00797973">
          <w:headerReference w:type="even" r:id="rId50"/>
          <w:headerReference w:type="default" r:id="rId51"/>
          <w:footerReference w:type="even" r:id="rId52"/>
          <w:footerReference w:type="default" r:id="rId53"/>
          <w:headerReference w:type="first" r:id="rId54"/>
          <w:footerReference w:type="first" r:id="rId55"/>
          <w:pgSz w:w="16839" w:h="11907" w:orient="landscape"/>
          <w:pgMar w:top="1134" w:right="1134" w:bottom="1134" w:left="1134" w:header="567" w:footer="567" w:gutter="0"/>
          <w:cols w:space="720"/>
          <w:docGrid w:linePitch="360"/>
        </w:sectPr>
      </w:pPr>
    </w:p>
    <w:p w14:paraId="71FE57B5" w14:textId="77777777" w:rsidR="004C6421" w:rsidRDefault="009D1962">
      <w:pPr>
        <w:pStyle w:val="Heading3"/>
        <w:numPr>
          <w:ilvl w:val="2"/>
          <w:numId w:val="0"/>
        </w:numPr>
        <w:ind w:left="850" w:hanging="850"/>
        <w:rPr>
          <w:b/>
          <w:i w:val="0"/>
          <w:noProof/>
          <w:color w:val="4472C4" w:themeColor="accent1"/>
          <w:u w:val="single"/>
        </w:rPr>
      </w:pPr>
      <w:r>
        <w:rPr>
          <w:b/>
          <w:i w:val="0"/>
          <w:noProof/>
          <w:u w:val="single"/>
        </w:rPr>
        <w:t xml:space="preserve">B.3. </w:t>
      </w:r>
      <w:r>
        <w:rPr>
          <w:noProof/>
        </w:rPr>
        <w:t xml:space="preserve"> </w:t>
      </w:r>
      <w:r>
        <w:rPr>
          <w:b/>
          <w:i w:val="0"/>
          <w:noProof/>
          <w:u w:val="single"/>
        </w:rPr>
        <w:t xml:space="preserve">Opis reform i inwestycji związanych z pożyczką </w:t>
      </w:r>
    </w:p>
    <w:p w14:paraId="4577AC0C" w14:textId="77777777" w:rsidR="004C6421" w:rsidRDefault="009D1962">
      <w:pPr>
        <w:pStyle w:val="P68B1DB1-Normal2"/>
        <w:spacing w:before="120" w:after="120"/>
        <w:jc w:val="both"/>
        <w:rPr>
          <w:i/>
          <w:noProof/>
        </w:rPr>
      </w:pPr>
      <w:r>
        <w:rPr>
          <w:noProof/>
        </w:rPr>
        <w:t xml:space="preserve">Inwestycja 2: Innowacje i technologia mikroelektroniki </w:t>
      </w:r>
    </w:p>
    <w:p w14:paraId="1B10146A" w14:textId="77777777" w:rsidR="004C6421" w:rsidRDefault="009D1962">
      <w:pPr>
        <w:spacing w:before="120" w:after="120"/>
        <w:jc w:val="both"/>
        <w:rPr>
          <w:noProof/>
        </w:rPr>
      </w:pPr>
      <w:r>
        <w:rPr>
          <w:noProof/>
        </w:rPr>
        <w:t>Celem inwestycji jest wspieranie rozwoju strategicznego łańcucha wartości mikroelektroniki poprzez inwestowanie w substraty węglika krzemu, które stanowią niezbędny wkład w produkcję urządzeń o wysokiej wydajności. Inwestycja jest realizowana zgodnie z obowiązującymi zasadami pomocy państwa i oczekuje się, że będzie ona miała pozytywny wpływ na zatrudnienie.</w:t>
      </w:r>
    </w:p>
    <w:p w14:paraId="52EBE7FF" w14:textId="77777777" w:rsidR="004C6421" w:rsidRDefault="009D1962">
      <w:pPr>
        <w:pStyle w:val="P68B1DB1-Normal2"/>
        <w:spacing w:before="120" w:after="120"/>
        <w:jc w:val="both"/>
        <w:rPr>
          <w:noProof/>
        </w:rPr>
      </w:pPr>
      <w:r>
        <w:rPr>
          <w:noProof/>
        </w:rPr>
        <w:t>Inwestycja 3: Szybkie połączenia internetowe (sieci szerokopasmowe i 5G)</w:t>
      </w:r>
    </w:p>
    <w:p w14:paraId="3F2FF209" w14:textId="77777777" w:rsidR="004C6421" w:rsidRDefault="009D1962">
      <w:pPr>
        <w:spacing w:after="120"/>
        <w:jc w:val="both"/>
        <w:rPr>
          <w:noProof/>
        </w:rPr>
      </w:pPr>
      <w:r>
        <w:rPr>
          <w:noProof/>
        </w:rPr>
        <w:t xml:space="preserve">Celem inwestycji jest ukończenie krajowej ultraszybkiej sieci telekomunikacyjnej i sieci 5G na całym terytorium kraju. Oczekuje się, że inwestycje te w znacznym stopniu przyczynią się do realizacji celów transformacji cyfrowej i do zmniejszenia przepaści cyfrowej we Włoszech. </w:t>
      </w:r>
    </w:p>
    <w:p w14:paraId="2D65194A" w14:textId="77777777" w:rsidR="004C6421" w:rsidRDefault="009D1962">
      <w:pPr>
        <w:spacing w:after="120"/>
        <w:jc w:val="both"/>
        <w:rPr>
          <w:noProof/>
        </w:rPr>
      </w:pPr>
      <w:r>
        <w:rPr>
          <w:noProof/>
        </w:rPr>
        <w:t>Inwestycja obejmuje udzielenie koncesji i obejmuje pięć szybszych projektów połączeń:</w:t>
      </w:r>
    </w:p>
    <w:p w14:paraId="1A87F371" w14:textId="77777777" w:rsidR="004C6421" w:rsidRDefault="009D1962">
      <w:pPr>
        <w:pStyle w:val="ListParagraph"/>
        <w:numPr>
          <w:ilvl w:val="0"/>
          <w:numId w:val="78"/>
        </w:numPr>
        <w:spacing w:before="0" w:after="0"/>
        <w:rPr>
          <w:rFonts w:eastAsiaTheme="minorEastAsia"/>
          <w:noProof/>
        </w:rPr>
      </w:pPr>
      <w:r>
        <w:rPr>
          <w:noProof/>
        </w:rPr>
        <w:t>„Italia a 1 ggaga”, która zapewnia 1 gigabit/s w pobieraniu i 200 Mbit/s w połączeniu do przesyłania danych na obszarach szarych i czarnych obszarów dostępu nowej generacji (NGA). Obszary te określa się po zakończeniu mapowania;</w:t>
      </w:r>
    </w:p>
    <w:p w14:paraId="6C92FB6F" w14:textId="77777777" w:rsidR="004C6421" w:rsidRDefault="009D1962">
      <w:pPr>
        <w:pStyle w:val="ListParagraph"/>
        <w:numPr>
          <w:ilvl w:val="0"/>
          <w:numId w:val="78"/>
        </w:numPr>
        <w:spacing w:before="0" w:after="0"/>
        <w:rPr>
          <w:rFonts w:eastAsiaTheme="minorEastAsia"/>
          <w:noProof/>
        </w:rPr>
      </w:pPr>
      <w:r>
        <w:rPr>
          <w:noProof/>
        </w:rPr>
        <w:t>„Italia 5G”, która zapewnia połączenia 5G na obszarach niedoskonałości rynku, czyli obszarach, na których nie wdrożono sieci ruchomych; albo dostępne są tylko sieci 3G, a w najbliższej przyszłości nie planuje się żadnych sieci ruchomych 4G lub 5G; lub istnieje udowodniona niedoskonałość rynku;</w:t>
      </w:r>
    </w:p>
    <w:p w14:paraId="5DC4B2CE" w14:textId="77777777" w:rsidR="004C6421" w:rsidRDefault="009D1962">
      <w:pPr>
        <w:pStyle w:val="ListParagraph"/>
        <w:numPr>
          <w:ilvl w:val="0"/>
          <w:numId w:val="78"/>
        </w:numPr>
        <w:spacing w:before="0" w:after="0"/>
        <w:rPr>
          <w:rFonts w:eastAsiaTheme="minorEastAsia"/>
          <w:noProof/>
        </w:rPr>
      </w:pPr>
      <w:r>
        <w:rPr>
          <w:noProof/>
        </w:rPr>
        <w:t>„Szkoły podłączone do sieci”, które zapewniają w budynkach szkół łączność szerokopasmową o przepustowości 1 gigabit/s;</w:t>
      </w:r>
    </w:p>
    <w:p w14:paraId="5E0C6ED0" w14:textId="77777777" w:rsidR="004C6421" w:rsidRDefault="009D1962">
      <w:pPr>
        <w:pStyle w:val="ListParagraph"/>
        <w:numPr>
          <w:ilvl w:val="0"/>
          <w:numId w:val="78"/>
        </w:numPr>
        <w:spacing w:before="0" w:after="0"/>
        <w:rPr>
          <w:rFonts w:eastAsiaTheme="minorEastAsia"/>
          <w:noProof/>
        </w:rPr>
      </w:pPr>
      <w:r>
        <w:rPr>
          <w:noProof/>
        </w:rPr>
        <w:t>„Połączone placówki opieki zdrowotnej”, które zapewniają dostęp szerokopasmowy o przepustowości 1 gigabit/s do publicznych placówek opieki zdrowotnej;</w:t>
      </w:r>
    </w:p>
    <w:p w14:paraId="1E040392" w14:textId="77777777" w:rsidR="004C6421" w:rsidRDefault="009D1962">
      <w:pPr>
        <w:pStyle w:val="ListParagraph"/>
        <w:numPr>
          <w:ilvl w:val="0"/>
          <w:numId w:val="78"/>
        </w:numPr>
        <w:spacing w:before="0" w:after="0"/>
        <w:rPr>
          <w:noProof/>
        </w:rPr>
      </w:pPr>
      <w:r>
        <w:rPr>
          <w:noProof/>
        </w:rPr>
        <w:t>„Połączone mniejsze wyspy”, które zapewniają łączność ultraszerokopasmową z wybranymi mniejszymi wyspami nieposiadającymi połączeń światłowodowych z kontynentem.</w:t>
      </w:r>
    </w:p>
    <w:p w14:paraId="1B09C1FF" w14:textId="77777777" w:rsidR="004C6421" w:rsidRDefault="004C6421">
      <w:pPr>
        <w:pStyle w:val="ListParagraph"/>
        <w:spacing w:before="0" w:after="0"/>
        <w:rPr>
          <w:noProof/>
        </w:rPr>
      </w:pPr>
    </w:p>
    <w:p w14:paraId="606411D3" w14:textId="77777777" w:rsidR="004C6421" w:rsidRDefault="009D1962">
      <w:pPr>
        <w:pStyle w:val="P68B1DB1-Normal2"/>
        <w:spacing w:before="120" w:after="120"/>
        <w:jc w:val="both"/>
        <w:rPr>
          <w:noProof/>
        </w:rPr>
      </w:pPr>
      <w:r>
        <w:rPr>
          <w:noProof/>
        </w:rPr>
        <w:t>Inwestycja 4: Technologia satelitarna i gospodarka kosmiczna</w:t>
      </w:r>
    </w:p>
    <w:p w14:paraId="7A0CC2B6" w14:textId="77777777" w:rsidR="004C6421" w:rsidRDefault="009D1962">
      <w:pPr>
        <w:jc w:val="both"/>
        <w:rPr>
          <w:noProof/>
          <w:color w:val="000000" w:themeColor="text1"/>
        </w:rPr>
      </w:pPr>
      <w:r>
        <w:rPr>
          <w:noProof/>
        </w:rPr>
        <w:t>„Celem inwestycji jest rozwój połączeń satelitarnych z myślą o transformacji cyfrowej i ekologicznej oraz przyczynienie się do rozwoju sektora kosmicznego. Inwestycja ma również na celu umożliwienie świadczenia usług, takich jak bezpieczna infrastruktura łączności i monitorowania dla różnych sektorów gospodarki, i w tym celu obejmuje zarówno działalność wyższego szczebla (</w:t>
      </w:r>
      <w:r>
        <w:rPr>
          <w:noProof/>
          <w:color w:val="000000" w:themeColor="text1"/>
        </w:rPr>
        <w:t xml:space="preserve">usługi wynoszenia na orbitę, produkcję i eksploatację satelitów i infrastruktury), jak i działalność niższego szczebla (wytwarzanie możliwych produktów i usług). </w:t>
      </w:r>
    </w:p>
    <w:p w14:paraId="5696B202" w14:textId="77777777" w:rsidR="004C6421" w:rsidRDefault="009D1962">
      <w:pPr>
        <w:jc w:val="both"/>
        <w:rPr>
          <w:noProof/>
        </w:rPr>
      </w:pPr>
      <w:r>
        <w:rPr>
          <w:noProof/>
          <w:color w:val="000000" w:themeColor="text1"/>
        </w:rPr>
        <w:t xml:space="preserve">Inwestycja </w:t>
      </w:r>
      <w:r>
        <w:rPr>
          <w:noProof/>
        </w:rPr>
        <w:t>obejmuje udzielanie zamówień publicznych i obejmuje cztery projekty:</w:t>
      </w:r>
    </w:p>
    <w:p w14:paraId="6E37D429" w14:textId="77777777" w:rsidR="004C6421" w:rsidRDefault="009D1962">
      <w:pPr>
        <w:pStyle w:val="ListParagraph"/>
        <w:numPr>
          <w:ilvl w:val="0"/>
          <w:numId w:val="80"/>
        </w:numPr>
        <w:spacing w:before="0" w:after="0"/>
        <w:rPr>
          <w:rFonts w:eastAsiaTheme="minorEastAsia"/>
          <w:noProof/>
        </w:rPr>
      </w:pPr>
      <w:r>
        <w:rPr>
          <w:noProof/>
        </w:rPr>
        <w:t xml:space="preserve">Satcom, który obejmuje działania na rzecz rozwoju technologii podwójnego zastosowania i systemów służących świadczeniu wysoce bezpiecznych i innowacyjnych usług łączności satelitarnej na użytek instytucji rządowych. </w:t>
      </w:r>
    </w:p>
    <w:p w14:paraId="6ED31623" w14:textId="77777777" w:rsidR="004C6421" w:rsidRDefault="009D1962">
      <w:pPr>
        <w:pStyle w:val="ListParagraph"/>
        <w:numPr>
          <w:ilvl w:val="0"/>
          <w:numId w:val="80"/>
        </w:numPr>
        <w:spacing w:before="0" w:after="0"/>
        <w:rPr>
          <w:rFonts w:eastAsiaTheme="minorEastAsia"/>
          <w:noProof/>
        </w:rPr>
      </w:pPr>
      <w:r>
        <w:rPr>
          <w:noProof/>
        </w:rPr>
        <w:t xml:space="preserve">Obserwacja Ziemi (EO), która obejmuje (i) działania w segmencie kosmicznym (upstream): w tym specyfikacja, projekt, opracowanie konstelacji do teledetekcji (radar z syntetyczną aperturą (SAR), hiperspektralny) oraz zamówienia na starty ukierunkowane na monitorowanie lądu, morza i atmosfery; (II) działalność niższego szczebla: realizacja projektu CyberWłochy obejmującego utworzenie repliki cyfrowej kraju. </w:t>
      </w:r>
    </w:p>
    <w:p w14:paraId="330536A0" w14:textId="77777777" w:rsidR="004C6421" w:rsidRDefault="009D1962">
      <w:pPr>
        <w:pStyle w:val="ListParagraph"/>
        <w:numPr>
          <w:ilvl w:val="0"/>
          <w:numId w:val="80"/>
        </w:numPr>
        <w:spacing w:before="0" w:after="0"/>
        <w:rPr>
          <w:rFonts w:eastAsiaTheme="minorEastAsia"/>
          <w:noProof/>
        </w:rPr>
      </w:pPr>
      <w:r>
        <w:rPr>
          <w:noProof/>
        </w:rPr>
        <w:t>Fabryka kosmiczna, składająca się z dwóch podprojektów: fabryka kosmiczna 4.0: specyfikacja, projektowanie i budowa cyfrowych urządzeń do produkcji, montażu i testowania małych satelitów oraz wdrożenie cyfrowego systemu produkcji i twinningu satelitarnego mającego na celu ustanowienie dwukierunkowego powiązania między modelem cyfrowym a jego fizycznym odpowiednikiem; (II) Dostęp do przestrzeni kosmicznej: badania, rozwój i tworzenie prototypów w celu realizacji ekologicznych technologii dla przyszłej generacji rakietowych silników sterujących i wyrzutni, w tym demonstracja wybranych technologii w trakcie lotu.</w:t>
      </w:r>
    </w:p>
    <w:p w14:paraId="6A0D5FFB" w14:textId="77777777" w:rsidR="004C6421" w:rsidRDefault="009D1962">
      <w:pPr>
        <w:pStyle w:val="ListParagraph"/>
        <w:numPr>
          <w:ilvl w:val="0"/>
          <w:numId w:val="80"/>
        </w:numPr>
        <w:spacing w:before="0" w:after="0"/>
        <w:rPr>
          <w:rFonts w:eastAsiaTheme="minorEastAsia"/>
          <w:noProof/>
        </w:rPr>
      </w:pPr>
      <w:r>
        <w:rPr>
          <w:noProof/>
        </w:rPr>
        <w:t>Gospodarka na orbicie, która polega na wdrożeniu demonstratora technologii serwisowania orbitalnego w celu zapewnienia interoperacyjności orbitalnej; zwiększenie krajowego potencjału obserwacji i śledzenia obiektów kosmicznych (SST), w tym sieci naziemnych czujników do obserwacji i śledzenia śmieci kosmicznych; projektowanie, opracowywanie i uruchamianie aktywów do celów nabywania i zarządzania usługami danych oraz świadczeniem usług w zakresie danych wspierających działania związane z zarządzaniem ruchem kosmicznym.</w:t>
      </w:r>
    </w:p>
    <w:p w14:paraId="1E280171" w14:textId="77777777" w:rsidR="004C6421" w:rsidRDefault="009D1962">
      <w:pPr>
        <w:spacing w:before="120" w:after="120"/>
        <w:jc w:val="both"/>
        <w:rPr>
          <w:noProof/>
        </w:rPr>
      </w:pPr>
      <w:r>
        <w:rPr>
          <w:noProof/>
        </w:rPr>
        <w:t>Przewiduje się, że inwestycja nie ma celów i skutków wojskowych lub obronnych.</w:t>
      </w:r>
    </w:p>
    <w:p w14:paraId="7FCC1D0B" w14:textId="77777777" w:rsidR="004C6421" w:rsidRDefault="009D1962">
      <w:pPr>
        <w:pStyle w:val="P68B1DB1-Normal2"/>
        <w:spacing w:before="120" w:after="120"/>
        <w:jc w:val="both"/>
        <w:rPr>
          <w:noProof/>
        </w:rPr>
      </w:pPr>
      <w:r>
        <w:rPr>
          <w:noProof/>
        </w:rPr>
        <w:t xml:space="preserve">Inwestycja 5: Polityka łańcucha dostaw w przemyśle i umiędzynarodowienie </w:t>
      </w:r>
    </w:p>
    <w:p w14:paraId="54833CC2" w14:textId="77777777" w:rsidR="004C6421" w:rsidRDefault="009D1962">
      <w:pPr>
        <w:jc w:val="both"/>
        <w:rPr>
          <w:noProof/>
        </w:rPr>
      </w:pPr>
      <w:r>
        <w:rPr>
          <w:noProof/>
        </w:rPr>
        <w:t>Celem inwestycji jest wzmocnienie przemysłowych łańcuchów dostaw, w szczególności poprzez ułatwienie dostępu do finansowania, oraz promowanie konkurencyjności przedsiębiorstw (zwłaszcza MŚP), w szczególności poprzez wspieranie ich umiędzynarodowienia i wzmacnianie ich odporności po kryzysie związanym z COVID-19.</w:t>
      </w:r>
    </w:p>
    <w:p w14:paraId="49BED1CA" w14:textId="77777777" w:rsidR="004C6421" w:rsidRDefault="009D1962">
      <w:pPr>
        <w:jc w:val="both"/>
        <w:rPr>
          <w:noProof/>
        </w:rPr>
      </w:pPr>
      <w:r>
        <w:rPr>
          <w:noProof/>
        </w:rPr>
        <w:t>Inwestycja składa się z dwóch linii interwencji:</w:t>
      </w:r>
    </w:p>
    <w:p w14:paraId="38832121" w14:textId="77777777" w:rsidR="004C6421" w:rsidRDefault="009D1962">
      <w:pPr>
        <w:pStyle w:val="ListParagraph"/>
        <w:numPr>
          <w:ilvl w:val="3"/>
          <w:numId w:val="113"/>
        </w:numPr>
        <w:ind w:left="1134"/>
        <w:rPr>
          <w:rFonts w:eastAsiaTheme="minorEastAsia"/>
          <w:noProof/>
        </w:rPr>
      </w:pPr>
      <w:r>
        <w:rPr>
          <w:noProof/>
        </w:rPr>
        <w:t xml:space="preserve">Refinansowanie funduszu 394/81 zarządzanego przez SIMEST. Polega ono na refinansowaniu istniejącego funduszu zarządzanego obecnie przez agencję publiczną SIMEST, zapewniającego wsparcie finansowe dla przedsiębiorstw, zwłaszcza MŚP, w celu wspierania ich umiędzynarodowienia za pomocą różnych narzędzi, takich jak programy dostępu do rynków zagranicznych i rozwój handlu elektronicznego. </w:t>
      </w:r>
    </w:p>
    <w:p w14:paraId="199AB44D" w14:textId="77777777" w:rsidR="004C6421" w:rsidRDefault="009D1962">
      <w:pPr>
        <w:pStyle w:val="ListParagraph"/>
        <w:numPr>
          <w:ilvl w:val="3"/>
          <w:numId w:val="113"/>
        </w:numPr>
        <w:ind w:left="1134"/>
        <w:rPr>
          <w:rFonts w:eastAsiaTheme="minorEastAsia"/>
          <w:noProof/>
        </w:rPr>
      </w:pPr>
      <w:r>
        <w:rPr>
          <w:noProof/>
        </w:rPr>
        <w:t xml:space="preserve">Konkurencyjność i odporność łańcuchów dostaw. Obejmuje on wsparcie finansowe dla przedsiębiorstw, za pośrednictwem instrumentu umowy na rzecz rozwoju, na rzecz projektów związanych z kluczowymi strategicznymi łańcuchami wartości, takich jak programy rozwoju przemysłowego, programy rozwoju ochrony środowiska, mobilność zgodna z zasadami zrównoważonego rozwoju i działalność turystyczna. </w:t>
      </w:r>
    </w:p>
    <w:p w14:paraId="5F03A21F" w14:textId="77777777" w:rsidR="004C6421" w:rsidRDefault="009D1962">
      <w:pPr>
        <w:spacing w:after="120"/>
        <w:jc w:val="both"/>
        <w:rPr>
          <w:noProof/>
        </w:rPr>
      </w:pPr>
      <w:r>
        <w:rPr>
          <w:noProof/>
        </w:rPr>
        <w:t>Powyższe interwencje przeprowadza się zgodnie z polityką inwestycyjną zgodną z celami rozporządzenia (UE) 2021/241, w tym w odniesieniu do stosowania zasady „nie czyń poważnych szkód”, jak określono szczegółowo w wytycznych technicznych dotyczących zasady „nie czyń poważnych szkód” (2021/C58/01).</w:t>
      </w:r>
    </w:p>
    <w:p w14:paraId="296F6949" w14:textId="77777777" w:rsidR="004C6421" w:rsidRDefault="009D1962">
      <w:pPr>
        <w:spacing w:after="120"/>
        <w:jc w:val="both"/>
        <w:rPr>
          <w:noProof/>
        </w:rPr>
      </w:pPr>
      <w:r>
        <w:rPr>
          <w:noProof/>
        </w:rPr>
        <w:t xml:space="preserve">Aby zapewnić zgodność środka z wytycznymi technicznymi dotyczącymi zasady „nie czyń poważnych szkód” (2021/C58/01), umowa prawna między Włochami a podmiotem lub pośrednikiem finansowym odpowiedzialnym za instrument finansowy oraz późniejsza polityka inwestycyjna instrumentu finansowego: </w:t>
      </w:r>
    </w:p>
    <w:p w14:paraId="3226F02F" w14:textId="77777777" w:rsidR="004C6421" w:rsidRDefault="009D1962">
      <w:pPr>
        <w:pStyle w:val="ListParagraph"/>
        <w:numPr>
          <w:ilvl w:val="0"/>
          <w:numId w:val="79"/>
        </w:numPr>
        <w:spacing w:before="0" w:after="0"/>
        <w:rPr>
          <w:rFonts w:eastAsiaTheme="minorEastAsia"/>
          <w:noProof/>
        </w:rPr>
      </w:pPr>
      <w:r>
        <w:rPr>
          <w:noProof/>
        </w:rPr>
        <w:t>wymagać stosowania wytycznych technicznych Komisji dotyczących kontroli zrównoważonego charakteru projektów w odniesieniu do Funduszu InvestEU; oraz</w:t>
      </w:r>
    </w:p>
    <w:p w14:paraId="1AD90CAC" w14:textId="77777777" w:rsidR="004C6421" w:rsidRDefault="009D1962">
      <w:pPr>
        <w:pStyle w:val="ListParagraph"/>
        <w:numPr>
          <w:ilvl w:val="0"/>
          <w:numId w:val="79"/>
        </w:numPr>
        <w:spacing w:before="0" w:after="0"/>
        <w:rPr>
          <w:rFonts w:eastAsiaTheme="minorEastAsia"/>
          <w:noProof/>
        </w:rPr>
      </w:pPr>
      <w:r>
        <w:rPr>
          <w:noProof/>
        </w:rPr>
        <w:t>wyłączyć z zakresu kwalifikowalności następujący wykaz działań i aktywów:</w:t>
      </w:r>
      <w:r>
        <w:rPr>
          <w:noProof/>
          <w:color w:val="FF0000"/>
        </w:rPr>
        <w:t xml:space="preserve"> </w:t>
      </w:r>
      <w:r>
        <w:rPr>
          <w:noProof/>
        </w:rPr>
        <w:t>(i) działalności i aktywów związanych z paliwami kopalnymi, w tym wykorzystania niższego szczebla</w:t>
      </w:r>
      <w:r>
        <w:rPr>
          <w:noProof/>
        </w:rPr>
        <w:footnoteReference w:id="6"/>
      </w:r>
      <w:r>
        <w:rPr>
          <w:noProof/>
        </w:rPr>
        <w:t>; (II) działania i aktywa w ramach unijnego systemu handlu uprawnieniami do emisji (ETS) prowadzące do osiągnięcia prognozowanych emisji gazów cieplarnianych, które nie są niższe niż odpowiednie wskaźniki referencyjne</w:t>
      </w:r>
      <w:r>
        <w:rPr>
          <w:noProof/>
        </w:rPr>
        <w:footnoteReference w:id="7"/>
      </w:r>
      <w:r>
        <w:rPr>
          <w:noProof/>
        </w:rPr>
        <w:t>; (III) działalność i aktywa związane ze składowiskami odpadów, spalarniami</w:t>
      </w:r>
      <w:r>
        <w:rPr>
          <w:noProof/>
        </w:rPr>
        <w:footnoteReference w:id="8"/>
      </w:r>
      <w:r>
        <w:rPr>
          <w:noProof/>
        </w:rPr>
        <w:t xml:space="preserve"> i zakładami mechaniczno-biologicznego przetwarzania odpadów</w:t>
      </w:r>
      <w:r>
        <w:rPr>
          <w:noProof/>
        </w:rPr>
        <w:footnoteReference w:id="9"/>
      </w:r>
      <w:r>
        <w:rPr>
          <w:noProof/>
        </w:rPr>
        <w:t>; oraz (iv) działalności i aktywów, w przypadku których długoterminowe unieszkodliwianie odpadów może wyrządzić szkodę środowisku naturalnemu; oraz</w:t>
      </w:r>
    </w:p>
    <w:p w14:paraId="13C7F4E9" w14:textId="77777777" w:rsidR="004C6421" w:rsidRDefault="009D1962">
      <w:pPr>
        <w:pStyle w:val="ListParagraph"/>
        <w:numPr>
          <w:ilvl w:val="0"/>
          <w:numId w:val="79"/>
        </w:numPr>
        <w:spacing w:before="0" w:after="0"/>
        <w:rPr>
          <w:rFonts w:eastAsiaTheme="minorEastAsia"/>
          <w:noProof/>
        </w:rPr>
      </w:pPr>
      <w:r>
        <w:rPr>
          <w:noProof/>
        </w:rPr>
        <w:t>wymagać weryfikacji zgodności projektów z odpowiednimi unijnymi i krajowymi przepisami w zakresie ochrony środowiska przez podmiot, któremu powierza się zadania, lub pośrednika finansowego w odniesieniu do wszystkich transakcji, w tym transakcji zwolnionych z kontroli zrównoważonego charakteru projektów.</w:t>
      </w:r>
    </w:p>
    <w:p w14:paraId="790B3AA0" w14:textId="77777777" w:rsidR="004C6421" w:rsidRDefault="004C6421">
      <w:pPr>
        <w:rPr>
          <w:b/>
          <w:noProof/>
          <w:u w:val="single"/>
        </w:rPr>
      </w:pPr>
    </w:p>
    <w:p w14:paraId="3ED4FDDE" w14:textId="77777777" w:rsidR="004C6421" w:rsidRDefault="009D1962">
      <w:pPr>
        <w:pStyle w:val="P68B1DB1-Normal9"/>
        <w:rPr>
          <w:noProof/>
        </w:rPr>
      </w:pPr>
      <w:r>
        <w:rPr>
          <w:noProof/>
        </w:rPr>
        <w:t>Inwestycja 7. Wsparcie systemu produkcji na rzecz transformacji ekologicznej, technologii neutralnych emisyjnie oraz konkurencyjności i odporności strategicznych łańcuchów dostaw:</w:t>
      </w:r>
    </w:p>
    <w:p w14:paraId="0C1BFD4D" w14:textId="77777777" w:rsidR="004C6421" w:rsidRDefault="009D1962">
      <w:pPr>
        <w:spacing w:before="120" w:after="120"/>
        <w:jc w:val="both"/>
        <w:rPr>
          <w:noProof/>
        </w:rPr>
      </w:pPr>
      <w:r>
        <w:rPr>
          <w:noProof/>
        </w:rPr>
        <w:t>Środek ten obejmuje dwie subinwestycje.</w:t>
      </w:r>
    </w:p>
    <w:p w14:paraId="28D129AC" w14:textId="77777777" w:rsidR="004C6421" w:rsidRDefault="009D1962">
      <w:pPr>
        <w:pStyle w:val="P68B1DB1-Normal2"/>
        <w:spacing w:before="120" w:after="120"/>
        <w:jc w:val="both"/>
        <w:rPr>
          <w:noProof/>
        </w:rPr>
      </w:pPr>
      <w:r>
        <w:rPr>
          <w:noProof/>
        </w:rPr>
        <w:t>Inwestycja podinwestycyjna 1:</w:t>
      </w:r>
    </w:p>
    <w:p w14:paraId="7B3875E3" w14:textId="77777777" w:rsidR="004C6421" w:rsidRDefault="009D1962">
      <w:pPr>
        <w:spacing w:after="120"/>
        <w:jc w:val="both"/>
        <w:rPr>
          <w:rFonts w:eastAsia="Calibri"/>
          <w:noProof/>
        </w:rPr>
      </w:pPr>
      <w:r>
        <w:rPr>
          <w:noProof/>
        </w:rPr>
        <w:t xml:space="preserve">Ta podinwestycja obejmuje inwestycję publiczną w instrument „Technologie zeroemisyjne netto”, aby zachęcić do inwestycji prywatnych i poprawić dostęp do finansowania w dziedzinie efektywności energetycznej, wytwarzania energii ze źródeł odnawialnych na potrzeby konsumpcji własnej, zrównoważonej transformacji procesu produkcji. </w:t>
      </w:r>
    </w:p>
    <w:p w14:paraId="400F6D77" w14:textId="77777777" w:rsidR="004C6421" w:rsidRDefault="009D1962">
      <w:pPr>
        <w:spacing w:after="120"/>
        <w:jc w:val="both"/>
        <w:rPr>
          <w:noProof/>
        </w:rPr>
      </w:pPr>
      <w:r>
        <w:rPr>
          <w:noProof/>
        </w:rPr>
        <w:t>Inwestycja wspiera:</w:t>
      </w:r>
    </w:p>
    <w:p w14:paraId="2AE74C91" w14:textId="77777777" w:rsidR="004C6421" w:rsidRDefault="009D1962">
      <w:pPr>
        <w:pStyle w:val="ListParagraph"/>
        <w:numPr>
          <w:ilvl w:val="0"/>
          <w:numId w:val="140"/>
        </w:numPr>
        <w:spacing w:before="0"/>
        <w:contextualSpacing w:val="0"/>
        <w:rPr>
          <w:noProof/>
        </w:rPr>
      </w:pPr>
      <w:r>
        <w:rPr>
          <w:noProof/>
        </w:rPr>
        <w:t xml:space="preserve">transformacja ekologiczna krajowego systemu produkcji na różnych poziomach poprzez wspieranie inwestycji we wzmacnianie łańcuchów produkcji urządzeń istotnych dla transformacji ekologicznej (takich jak baterie, panele słoneczne, turbiny wiatrowe, pompy ciepła, elektrolizery i urządzenia do wychwytywania i składowania dwutlenku węgla),  </w:t>
      </w:r>
    </w:p>
    <w:p w14:paraId="06712475" w14:textId="77777777" w:rsidR="004C6421" w:rsidRDefault="009D1962">
      <w:pPr>
        <w:pStyle w:val="ListParagraph"/>
        <w:numPr>
          <w:ilvl w:val="0"/>
          <w:numId w:val="140"/>
        </w:numPr>
        <w:spacing w:before="0"/>
        <w:contextualSpacing w:val="0"/>
        <w:rPr>
          <w:noProof/>
        </w:rPr>
      </w:pPr>
      <w:r>
        <w:rPr>
          <w:noProof/>
        </w:rPr>
        <w:t>efektywności energetycznej procesów produkcji (również poprzez produkcję na potrzeby konsumpcji własnej energii elektrycznej ze źródeł odnawialnych, z wyłączeniem biomasy),</w:t>
      </w:r>
    </w:p>
    <w:p w14:paraId="3D903E72" w14:textId="77777777" w:rsidR="004C6421" w:rsidRDefault="009D1962">
      <w:pPr>
        <w:pStyle w:val="ListParagraph"/>
        <w:numPr>
          <w:ilvl w:val="0"/>
          <w:numId w:val="140"/>
        </w:numPr>
        <w:spacing w:before="0"/>
        <w:contextualSpacing w:val="0"/>
        <w:rPr>
          <w:noProof/>
        </w:rPr>
      </w:pPr>
      <w:r>
        <w:rPr>
          <w:noProof/>
        </w:rPr>
        <w:t>zrównoważony charakter procesów produkcji, również z myślą o gospodarce o obiegu zamkniętym i bardziej efektywnym wykorzystaniu zasobów.</w:t>
      </w:r>
    </w:p>
    <w:p w14:paraId="61B8801E" w14:textId="77777777" w:rsidR="004C6421" w:rsidRDefault="009D1962">
      <w:pPr>
        <w:spacing w:after="120"/>
        <w:jc w:val="both"/>
        <w:rPr>
          <w:noProof/>
        </w:rPr>
      </w:pPr>
      <w:r>
        <w:rPr>
          <w:noProof/>
        </w:rPr>
        <w:t>Operatorzy nabywają świadectwo pochodzenia proporcjonalne do przewidywanego zużycia paliwa. Na podstawie inwestycji w ramach RRF instrument ma początkowo zapewnić finansowanie w wysokości</w:t>
      </w:r>
      <w:r>
        <w:rPr>
          <w:noProof/>
          <w:color w:val="006100"/>
          <w:sz w:val="20"/>
        </w:rPr>
        <w:t xml:space="preserve"> </w:t>
      </w:r>
      <w:r>
        <w:rPr>
          <w:noProof/>
        </w:rPr>
        <w:t>co</w:t>
      </w:r>
      <w:r>
        <w:rPr>
          <w:noProof/>
          <w:color w:val="006100"/>
          <w:sz w:val="20"/>
        </w:rPr>
        <w:t xml:space="preserve"> </w:t>
      </w:r>
      <w:r>
        <w:rPr>
          <w:noProof/>
        </w:rPr>
        <w:t>najmniej</w:t>
      </w:r>
      <w:r>
        <w:rPr>
          <w:noProof/>
          <w:color w:val="006100"/>
          <w:sz w:val="20"/>
        </w:rPr>
        <w:t xml:space="preserve"> </w:t>
      </w:r>
      <w:r>
        <w:rPr>
          <w:noProof/>
        </w:rPr>
        <w:t>3600000000 EUR.</w:t>
      </w:r>
    </w:p>
    <w:p w14:paraId="7E17DD88" w14:textId="77777777" w:rsidR="004C6421" w:rsidRDefault="009D1962">
      <w:pPr>
        <w:spacing w:after="120"/>
        <w:jc w:val="both"/>
        <w:rPr>
          <w:noProof/>
        </w:rPr>
      </w:pPr>
      <w:r>
        <w:rPr>
          <w:noProof/>
        </w:rPr>
        <w:t>Instrumentem zarządza Invitalia S.p.A. jako partner wykonawczy. Instrument obejmuje następujące instrumenty finansowe:</w:t>
      </w:r>
    </w:p>
    <w:p w14:paraId="749A940D" w14:textId="77777777" w:rsidR="004C6421" w:rsidRDefault="009D1962">
      <w:pPr>
        <w:pStyle w:val="ListParagraph"/>
        <w:numPr>
          <w:ilvl w:val="0"/>
          <w:numId w:val="112"/>
        </w:numPr>
        <w:spacing w:before="0"/>
        <w:contextualSpacing w:val="0"/>
        <w:rPr>
          <w:noProof/>
        </w:rPr>
      </w:pPr>
      <w:r>
        <w:rPr>
          <w:noProof/>
        </w:rPr>
        <w:t>Umowa na rozwój, która wspiera projekty w zakresie technologii neutralnych emisyjnie o wartości przekraczającej 20 000 000 EUR poprzez zapewnienie dotacji, dotacji na spłatę odsetek i pożyczek subsydiowanych.</w:t>
      </w:r>
    </w:p>
    <w:p w14:paraId="692EBB6B" w14:textId="77777777" w:rsidR="004C6421" w:rsidRDefault="009D1962">
      <w:pPr>
        <w:pStyle w:val="ListParagraph"/>
        <w:numPr>
          <w:ilvl w:val="0"/>
          <w:numId w:val="112"/>
        </w:numPr>
        <w:spacing w:before="0"/>
        <w:contextualSpacing w:val="0"/>
        <w:rPr>
          <w:noProof/>
        </w:rPr>
      </w:pPr>
      <w:r>
        <w:rPr>
          <w:noProof/>
        </w:rPr>
        <w:t>Fundusz na rzecz Transformacji Przemysłowej, który wspiera projekty o wartości od 3 000 000 EUR do 20 000 000 EUR poprzez udzielanie dotacji, dotacji na spłatę odsetek i pożyczek subsydiowanych.</w:t>
      </w:r>
    </w:p>
    <w:p w14:paraId="40D8EC16" w14:textId="77777777" w:rsidR="004C6421" w:rsidRDefault="009D1962">
      <w:pPr>
        <w:spacing w:after="120"/>
        <w:jc w:val="both"/>
        <w:rPr>
          <w:noProof/>
        </w:rPr>
      </w:pPr>
      <w:r>
        <w:rPr>
          <w:noProof/>
        </w:rPr>
        <w:t>W celu realizacji inwestycji w instrument Włochy i Invitalia S.p.A. podpisują umowę wykonawczą, która zawiera następującą treść:</w:t>
      </w:r>
    </w:p>
    <w:p w14:paraId="5CE5D744" w14:textId="77777777" w:rsidR="004C6421" w:rsidRDefault="009D1962">
      <w:pPr>
        <w:pStyle w:val="ListParagraph"/>
        <w:numPr>
          <w:ilvl w:val="3"/>
          <w:numId w:val="33"/>
        </w:numPr>
        <w:spacing w:before="0"/>
        <w:ind w:left="709"/>
        <w:contextualSpacing w:val="0"/>
        <w:rPr>
          <w:noProof/>
        </w:rPr>
      </w:pPr>
      <w:r>
        <w:rPr>
          <w:noProof/>
        </w:rPr>
        <w:t>Opis procesu decyzyjnego w ramach Instrumentu: Ostateczne decyzje inwestycyjne i decyzje o przyznaniu finansowania w ramach Instrumentu są podejmowane przez komitet inwestycyjny lub inny odpowiedni równoważny organ zarządzający i zatwierdzane większością głosów członków niezależnych od rządu.</w:t>
      </w:r>
    </w:p>
    <w:p w14:paraId="78802C48" w14:textId="77777777" w:rsidR="004C6421" w:rsidRDefault="009D1962">
      <w:pPr>
        <w:pStyle w:val="ListParagraph"/>
        <w:numPr>
          <w:ilvl w:val="3"/>
          <w:numId w:val="33"/>
        </w:numPr>
        <w:spacing w:before="0"/>
        <w:ind w:left="709"/>
        <w:contextualSpacing w:val="0"/>
        <w:rPr>
          <w:noProof/>
        </w:rPr>
      </w:pPr>
      <w:r>
        <w:rPr>
          <w:noProof/>
        </w:rPr>
        <w:t>Kluczowe wymogi powiązanej polityki inwestycyjnej, które obejmują:</w:t>
      </w:r>
    </w:p>
    <w:p w14:paraId="682FCB87" w14:textId="77777777" w:rsidR="004C6421" w:rsidRDefault="009D1962">
      <w:pPr>
        <w:pStyle w:val="ListParagraph"/>
        <w:numPr>
          <w:ilvl w:val="4"/>
          <w:numId w:val="33"/>
        </w:numPr>
        <w:spacing w:before="0"/>
        <w:ind w:left="1276"/>
        <w:contextualSpacing w:val="0"/>
        <w:rPr>
          <w:noProof/>
        </w:rPr>
      </w:pPr>
      <w:r>
        <w:rPr>
          <w:noProof/>
        </w:rPr>
        <w:t xml:space="preserve">Opis produktów finansowych i kwalifikujących się beneficjentów końcowych. </w:t>
      </w:r>
    </w:p>
    <w:p w14:paraId="0C9FE02C" w14:textId="77777777" w:rsidR="004C6421" w:rsidRDefault="009D1962">
      <w:pPr>
        <w:pStyle w:val="ListParagraph"/>
        <w:numPr>
          <w:ilvl w:val="4"/>
          <w:numId w:val="33"/>
        </w:numPr>
        <w:spacing w:before="0"/>
        <w:ind w:left="1276"/>
        <w:contextualSpacing w:val="0"/>
        <w:rPr>
          <w:noProof/>
        </w:rPr>
      </w:pPr>
      <w:r>
        <w:rPr>
          <w:noProof/>
        </w:rPr>
        <w:t xml:space="preserve">Wymóg, aby wszystkie wspierane inwestycje były ekonomicznie opłacalne. </w:t>
      </w:r>
    </w:p>
    <w:p w14:paraId="6C67C190" w14:textId="77777777" w:rsidR="004C6421" w:rsidRDefault="009D1962">
      <w:pPr>
        <w:pStyle w:val="ListParagraph"/>
        <w:numPr>
          <w:ilvl w:val="4"/>
          <w:numId w:val="33"/>
        </w:numPr>
        <w:spacing w:before="0"/>
        <w:ind w:left="1276"/>
        <w:contextualSpacing w:val="0"/>
        <w:rPr>
          <w:noProof/>
        </w:rPr>
      </w:pPr>
      <w:r>
        <w:rPr>
          <w:noProof/>
        </w:rPr>
        <w:t>Wymóg zgodności z zasadą „nie czyń poważnych szkód” (DNSH) zgodnie z wytycznymi technicznymi dotyczącymi zasady DNSH (2021/C58/01). W szczególności polityka inwestycyjna wyłącza z kwalifikowalności następujący wykaz działań i aktywów: (i) działania i aktywa związane z paliwami kopalnymi, w tym wykorzystanie niższego szczebla;</w:t>
      </w:r>
      <w:r>
        <w:rPr>
          <w:rStyle w:val="FootnoteReference"/>
          <w:noProof/>
        </w:rPr>
        <w:footnoteReference w:id="10"/>
      </w:r>
      <w:r>
        <w:rPr>
          <w:noProof/>
        </w:rPr>
        <w:t>(ii) działania i aktywa w ramach unijnego systemu handlu uprawnieniami do emisji (ETS) prowadzące do osiągnięcia prognozowanych emisji gazów cieplarnianych, które nie są niższe niż odpowiednie wskaźniki referencyjne;</w:t>
      </w:r>
      <w:r>
        <w:rPr>
          <w:rStyle w:val="FootnoteReference"/>
          <w:noProof/>
        </w:rPr>
        <w:footnoteReference w:id="11"/>
      </w:r>
      <w:r>
        <w:rPr>
          <w:noProof/>
        </w:rPr>
        <w:t>(iii) działania i aktywa związane ze składowiskami odpadów, spalarniami</w:t>
      </w:r>
      <w:r>
        <w:rPr>
          <w:rStyle w:val="FootnoteReference"/>
          <w:noProof/>
        </w:rPr>
        <w:footnoteReference w:id="12"/>
      </w:r>
      <w:r>
        <w:rPr>
          <w:noProof/>
        </w:rPr>
        <w:t xml:space="preserve"> i zakładami mechaniczno-biologicznego przetwarzania odpadów</w:t>
      </w:r>
      <w:r>
        <w:rPr>
          <w:rStyle w:val="FootnoteReference"/>
          <w:noProof/>
        </w:rPr>
        <w:footnoteReference w:id="13"/>
      </w:r>
      <w:r>
        <w:rPr>
          <w:noProof/>
        </w:rPr>
        <w:t xml:space="preserve">. </w:t>
      </w:r>
    </w:p>
    <w:p w14:paraId="63799963" w14:textId="77777777" w:rsidR="004C6421" w:rsidRDefault="009D1962">
      <w:pPr>
        <w:pStyle w:val="ListParagraph"/>
        <w:numPr>
          <w:ilvl w:val="4"/>
          <w:numId w:val="33"/>
        </w:numPr>
        <w:spacing w:before="0"/>
        <w:ind w:left="1276"/>
        <w:contextualSpacing w:val="0"/>
        <w:rPr>
          <w:noProof/>
        </w:rPr>
      </w:pPr>
      <w:r>
        <w:rPr>
          <w:noProof/>
        </w:rPr>
        <w:t>Wymóg, zgodnie z którym beneficjenci końcowi Instrumentu nie mogą otrzymywać wsparcia z innych instrumentów unijnych w celu pokrycia tych samych kosztów.</w:t>
      </w:r>
    </w:p>
    <w:p w14:paraId="4AFE5058" w14:textId="77777777" w:rsidR="004C6421" w:rsidRDefault="009D1962">
      <w:pPr>
        <w:pStyle w:val="ListParagraph"/>
        <w:numPr>
          <w:ilvl w:val="3"/>
          <w:numId w:val="33"/>
        </w:numPr>
        <w:spacing w:before="0"/>
        <w:ind w:left="709"/>
        <w:contextualSpacing w:val="0"/>
        <w:rPr>
          <w:noProof/>
        </w:rPr>
      </w:pPr>
      <w:r>
        <w:rPr>
          <w:noProof/>
        </w:rPr>
        <w:t>Kwotę objętą umową wykonawczą, strukturę opłat dla partnera wykonawczego oraz wymóg reinwestowania wszelkich środków powracających zgodnie z polityką inwestycyjną instrumentu.</w:t>
      </w:r>
    </w:p>
    <w:p w14:paraId="195D1098" w14:textId="77777777" w:rsidR="004C6421" w:rsidRDefault="009D1962">
      <w:pPr>
        <w:pStyle w:val="ListParagraph"/>
        <w:numPr>
          <w:ilvl w:val="3"/>
          <w:numId w:val="33"/>
        </w:numPr>
        <w:spacing w:before="0"/>
        <w:ind w:left="709"/>
        <w:contextualSpacing w:val="0"/>
        <w:rPr>
          <w:noProof/>
        </w:rPr>
      </w:pPr>
      <w:r>
        <w:rPr>
          <w:noProof/>
        </w:rPr>
        <w:t>Wymogi w zakresie monitorowania, audytu i kontroli, w tym:</w:t>
      </w:r>
      <w:bookmarkStart w:id="7" w:name="_Hlk139218377"/>
    </w:p>
    <w:p w14:paraId="22525BC8" w14:textId="77777777" w:rsidR="004C6421" w:rsidRDefault="009D1962">
      <w:pPr>
        <w:pStyle w:val="ListParagraph"/>
        <w:numPr>
          <w:ilvl w:val="4"/>
          <w:numId w:val="33"/>
        </w:numPr>
        <w:spacing w:before="0"/>
        <w:ind w:left="1276"/>
        <w:contextualSpacing w:val="0"/>
        <w:rPr>
          <w:noProof/>
        </w:rPr>
      </w:pPr>
      <w:r>
        <w:rPr>
          <w:noProof/>
        </w:rPr>
        <w:t>Opis stosowanego przez partnera wykonawczego systemu monitorowania służącego do sprawozdawczości na temat uruchomionych inwestycji.</w:t>
      </w:r>
    </w:p>
    <w:p w14:paraId="4C97C2D9" w14:textId="77777777" w:rsidR="004C6421" w:rsidRDefault="009D1962">
      <w:pPr>
        <w:pStyle w:val="ListParagraph"/>
        <w:numPr>
          <w:ilvl w:val="4"/>
          <w:numId w:val="33"/>
        </w:numPr>
        <w:spacing w:before="0"/>
        <w:ind w:left="1276"/>
        <w:contextualSpacing w:val="0"/>
        <w:rPr>
          <w:noProof/>
        </w:rPr>
      </w:pPr>
      <w:r>
        <w:rPr>
          <w:noProof/>
        </w:rPr>
        <w:t xml:space="preserve">Opis procedur partnera wykonawczego, które zapewniają zapobieganie nadużyciom finansowym, korupcji i konfliktom interesów oraz ich wykrywanie i korygowanie. </w:t>
      </w:r>
    </w:p>
    <w:p w14:paraId="751AEBB3" w14:textId="77777777" w:rsidR="004C6421" w:rsidRDefault="009D1962">
      <w:pPr>
        <w:pStyle w:val="ListParagraph"/>
        <w:numPr>
          <w:ilvl w:val="4"/>
          <w:numId w:val="33"/>
        </w:numPr>
        <w:spacing w:before="0"/>
        <w:ind w:left="1276"/>
        <w:contextualSpacing w:val="0"/>
        <w:rPr>
          <w:noProof/>
        </w:rPr>
      </w:pPr>
      <w:r>
        <w:rPr>
          <w:noProof/>
        </w:rPr>
        <w:t>Obowiązek weryfikacji kwalifikowalności każdej operacji zgodnie z wymogami określonymi w umowie wykonawczej przed zobowiązaniem się do finansowania danej operacji.</w:t>
      </w:r>
      <w:bookmarkEnd w:id="7"/>
    </w:p>
    <w:p w14:paraId="24D12F4F" w14:textId="77777777" w:rsidR="004C6421" w:rsidRDefault="009D1962">
      <w:pPr>
        <w:pStyle w:val="ListParagraph"/>
        <w:numPr>
          <w:ilvl w:val="4"/>
          <w:numId w:val="33"/>
        </w:numPr>
        <w:spacing w:before="0"/>
        <w:ind w:left="1276"/>
        <w:contextualSpacing w:val="0"/>
        <w:rPr>
          <w:noProof/>
        </w:rPr>
      </w:pPr>
      <w:r>
        <w:rPr>
          <w:noProof/>
        </w:rPr>
        <w:t>Obowiązek przeprowadzania audytów ex post opartych na analizie ryzyka zgodnie z planem audytu sporządzonym przez Invitalia S.p.A. Audyty te służą weryfikacji:</w:t>
      </w:r>
    </w:p>
    <w:p w14:paraId="0810B827" w14:textId="77777777" w:rsidR="004C6421" w:rsidRDefault="009D1962">
      <w:pPr>
        <w:pStyle w:val="ListParagraph"/>
        <w:numPr>
          <w:ilvl w:val="5"/>
          <w:numId w:val="33"/>
        </w:numPr>
        <w:spacing w:before="0"/>
        <w:ind w:left="1985"/>
        <w:contextualSpacing w:val="0"/>
        <w:rPr>
          <w:noProof/>
        </w:rPr>
      </w:pPr>
      <w:r>
        <w:rPr>
          <w:noProof/>
        </w:rPr>
        <w:t>skuteczne systemy kontroli, w tym wykrywanie nadużyć finansowych, korupcji i konfliktu interesów;</w:t>
      </w:r>
    </w:p>
    <w:p w14:paraId="04756A77" w14:textId="77777777" w:rsidR="004C6421" w:rsidRDefault="009D1962">
      <w:pPr>
        <w:pStyle w:val="ListParagraph"/>
        <w:numPr>
          <w:ilvl w:val="5"/>
          <w:numId w:val="33"/>
        </w:numPr>
        <w:spacing w:before="0"/>
        <w:ind w:left="1985"/>
        <w:contextualSpacing w:val="0"/>
        <w:rPr>
          <w:noProof/>
        </w:rPr>
      </w:pPr>
      <w:r>
        <w:rPr>
          <w:noProof/>
        </w:rPr>
        <w:t xml:space="preserve">zgodność z zasadą „nie czyń poważnych szkód”, zasadami pomocy państwa, wymogami dotyczącymi celów klimatycznych; oraz </w:t>
      </w:r>
    </w:p>
    <w:p w14:paraId="278216D9" w14:textId="77777777" w:rsidR="004C6421" w:rsidRDefault="009D1962">
      <w:pPr>
        <w:pStyle w:val="ListParagraph"/>
        <w:numPr>
          <w:ilvl w:val="5"/>
          <w:numId w:val="33"/>
        </w:numPr>
        <w:spacing w:before="0"/>
        <w:ind w:left="1985"/>
        <w:contextualSpacing w:val="0"/>
        <w:rPr>
          <w:noProof/>
        </w:rPr>
      </w:pPr>
      <w:r>
        <w:rPr>
          <w:noProof/>
        </w:rPr>
        <w:t xml:space="preserve">wymóg, aby beneficjenci końcowi Instrumentu nie otrzymywali wsparcia z innych instrumentów unijnych w celu pokrycia tych samych kosztów, jest przestrzegany. W ramach audytów sprawdza się również legalność transakcji oraz przestrzeganie warunków obowiązującej umowy wykonawczej. </w:t>
      </w:r>
    </w:p>
    <w:p w14:paraId="44B33E7A" w14:textId="77777777" w:rsidR="004C6421" w:rsidRDefault="009D1962">
      <w:pPr>
        <w:spacing w:before="120" w:after="120"/>
        <w:jc w:val="both"/>
        <w:rPr>
          <w:noProof/>
        </w:rPr>
      </w:pPr>
      <w:r>
        <w:rPr>
          <w:noProof/>
        </w:rPr>
        <w:t>5. Wymogi dotyczące inwestycji w dziedzinie klimatu realizowanych przez partnera wykonawczego: co najmniej 1 430 000 000 EUR z inwestycji RRF w Instrument przyczynia się do realizacji celów związanych ze zmianą klimatu zgodnie z załącznikiem VI do rozporządzenia w sprawie RRF.</w:t>
      </w:r>
      <w:r>
        <w:rPr>
          <w:rStyle w:val="FootnoteReference"/>
          <w:noProof/>
        </w:rPr>
        <w:footnoteReference w:id="14"/>
      </w:r>
    </w:p>
    <w:p w14:paraId="2B709847" w14:textId="77777777" w:rsidR="004C6421" w:rsidRDefault="009D1962">
      <w:pPr>
        <w:pStyle w:val="P68B1DB1-Normal2"/>
        <w:spacing w:before="120" w:after="120"/>
        <w:jc w:val="both"/>
        <w:rPr>
          <w:noProof/>
        </w:rPr>
      </w:pPr>
      <w:r>
        <w:rPr>
          <w:noProof/>
        </w:rPr>
        <w:t>Subinwestycja 2:</w:t>
      </w:r>
    </w:p>
    <w:p w14:paraId="198E99FC" w14:textId="77777777" w:rsidR="004C6421" w:rsidRDefault="009D1962">
      <w:pPr>
        <w:spacing w:after="120"/>
        <w:jc w:val="both"/>
        <w:rPr>
          <w:noProof/>
        </w:rPr>
      </w:pPr>
      <w:r>
        <w:rPr>
          <w:noProof/>
        </w:rPr>
        <w:t>Ta subinwestycja obejmuje inwestycję publiczną w instrument „Konkurencyjność i odporność strategicznych łańcuchów dostaw”, aby zachęcić do inwestycji prywatnych i poprawić dostęp do finansowania w celu wzmocnienia przemysłowych łańcuchów dostaw. Inwestycje wspierają projekty związane z kluczowymi strategicznymi łańcuchami wartości, takie jak programy rozwoju przemysłowego i programy rozwoju ochrony środowiska.</w:t>
      </w:r>
    </w:p>
    <w:p w14:paraId="0EB6293F" w14:textId="77777777" w:rsidR="004C6421" w:rsidRDefault="009D1962">
      <w:pPr>
        <w:spacing w:after="120"/>
        <w:jc w:val="both"/>
        <w:rPr>
          <w:noProof/>
        </w:rPr>
      </w:pPr>
      <w:r>
        <w:rPr>
          <w:noProof/>
        </w:rPr>
        <w:t>Inwestycja wspiera projekty związane z kluczowymi strategicznymi łańcuchami wartości, takie jak programy rozwoju przemysłowego i programy rozwoju ochrony środowiska.</w:t>
      </w:r>
    </w:p>
    <w:p w14:paraId="7D592169" w14:textId="77777777" w:rsidR="004C6421" w:rsidRDefault="009D1962">
      <w:pPr>
        <w:spacing w:after="120"/>
        <w:jc w:val="both"/>
        <w:rPr>
          <w:noProof/>
        </w:rPr>
      </w:pPr>
      <w:r>
        <w:rPr>
          <w:noProof/>
        </w:rPr>
        <w:t xml:space="preserve">Operatorzy nabywają świadectwo pochodzenia proporcjonalne do przewidywanego zużycia paliwa. Na podstawie inwestycji w ramach RRF instrument ma na celu uruchomienie finansowania w wysokości co najmniej 700 000 000 EUR. </w:t>
      </w:r>
    </w:p>
    <w:p w14:paraId="5F63BCF1" w14:textId="77777777" w:rsidR="004C6421" w:rsidRDefault="009D1962">
      <w:pPr>
        <w:spacing w:after="120"/>
        <w:jc w:val="both"/>
        <w:rPr>
          <w:noProof/>
        </w:rPr>
      </w:pPr>
      <w:r>
        <w:rPr>
          <w:noProof/>
        </w:rPr>
        <w:t xml:space="preserve">Instrumentem zarządza Invitalia S.p.A. jako partner wykonawczy. </w:t>
      </w:r>
    </w:p>
    <w:p w14:paraId="105456E0" w14:textId="77777777" w:rsidR="004C6421" w:rsidRDefault="009D1962">
      <w:pPr>
        <w:spacing w:after="120"/>
        <w:jc w:val="both"/>
        <w:rPr>
          <w:noProof/>
        </w:rPr>
      </w:pPr>
      <w:r>
        <w:rPr>
          <w:noProof/>
        </w:rPr>
        <w:t>W celu realizacji inwestycji w instrument Włochy i Invitalia podpisują umowę wykonawczą, która zawiera następującą treść:</w:t>
      </w:r>
    </w:p>
    <w:p w14:paraId="0E958361" w14:textId="77777777" w:rsidR="004C6421" w:rsidRDefault="009D1962">
      <w:pPr>
        <w:pStyle w:val="ListParagraph"/>
        <w:numPr>
          <w:ilvl w:val="0"/>
          <w:numId w:val="134"/>
        </w:numPr>
        <w:spacing w:before="0"/>
        <w:contextualSpacing w:val="0"/>
        <w:rPr>
          <w:noProof/>
        </w:rPr>
      </w:pPr>
      <w:r>
        <w:rPr>
          <w:noProof/>
        </w:rPr>
        <w:t>Opis procesu decyzyjnego w ramach Instrumentu: Ostateczne decyzje inwestycyjne i decyzje o przyznaniu finansowania w ramach Instrumentu są podejmowane przez komitet inwestycyjny lub inny odpowiedni równoważny organ zarządzający i zatwierdzane większością głosów członków niezależnych od rządu.</w:t>
      </w:r>
    </w:p>
    <w:p w14:paraId="18DDD5F7" w14:textId="77777777" w:rsidR="004C6421" w:rsidRDefault="009D1962">
      <w:pPr>
        <w:pStyle w:val="ListParagraph"/>
        <w:numPr>
          <w:ilvl w:val="0"/>
          <w:numId w:val="134"/>
        </w:numPr>
        <w:spacing w:before="0"/>
        <w:contextualSpacing w:val="0"/>
        <w:rPr>
          <w:noProof/>
        </w:rPr>
      </w:pPr>
      <w:r>
        <w:rPr>
          <w:noProof/>
        </w:rPr>
        <w:t>Kluczowe wymogi powiązanej polityki inwestycyjnej, które obejmują:</w:t>
      </w:r>
    </w:p>
    <w:p w14:paraId="11662147" w14:textId="77777777" w:rsidR="004C6421" w:rsidRDefault="009D1962">
      <w:pPr>
        <w:pStyle w:val="ListParagraph"/>
        <w:numPr>
          <w:ilvl w:val="0"/>
          <w:numId w:val="135"/>
        </w:numPr>
        <w:spacing w:before="0"/>
        <w:contextualSpacing w:val="0"/>
        <w:rPr>
          <w:noProof/>
        </w:rPr>
      </w:pPr>
      <w:r>
        <w:rPr>
          <w:noProof/>
        </w:rPr>
        <w:t xml:space="preserve">Opis produktów finansowych i kwalifikujących się beneficjentów końcowych. </w:t>
      </w:r>
    </w:p>
    <w:p w14:paraId="16174B48" w14:textId="77777777" w:rsidR="004C6421" w:rsidRDefault="009D1962">
      <w:pPr>
        <w:pStyle w:val="ListParagraph"/>
        <w:numPr>
          <w:ilvl w:val="0"/>
          <w:numId w:val="135"/>
        </w:numPr>
        <w:spacing w:before="0"/>
        <w:contextualSpacing w:val="0"/>
        <w:rPr>
          <w:noProof/>
        </w:rPr>
      </w:pPr>
      <w:r>
        <w:rPr>
          <w:noProof/>
        </w:rPr>
        <w:t xml:space="preserve">Wymóg, aby wszystkie wspierane inwestycje były ekonomicznie opłacalne. </w:t>
      </w:r>
    </w:p>
    <w:p w14:paraId="16AFBC43" w14:textId="77777777" w:rsidR="004C6421" w:rsidRDefault="009D1962">
      <w:pPr>
        <w:pStyle w:val="ListParagraph"/>
        <w:numPr>
          <w:ilvl w:val="0"/>
          <w:numId w:val="135"/>
        </w:numPr>
        <w:spacing w:before="0"/>
        <w:contextualSpacing w:val="0"/>
        <w:rPr>
          <w:noProof/>
        </w:rPr>
      </w:pPr>
      <w:r>
        <w:rPr>
          <w:noProof/>
        </w:rPr>
        <w:t>Wymóg zgodności z zasadą „nie czyń poważnych szkód” (DNSH) zgodnie z wytycznymi technicznymi dotyczącymi zasady DNSH (2021/C58/01). W szczególności polityka inwestycyjna wyłącza z kwalifikowalności następujący wykaz działań i aktywów: (i) działania i aktywa związane z paliwami kopalnymi, w tym wykorzystanie niższego szczebla;</w:t>
      </w:r>
      <w:r>
        <w:rPr>
          <w:rStyle w:val="FootnoteReference"/>
          <w:noProof/>
        </w:rPr>
        <w:footnoteReference w:id="15"/>
      </w:r>
      <w:r>
        <w:rPr>
          <w:noProof/>
        </w:rPr>
        <w:t>(ii) działania i aktywa w ramach unijnego systemu handlu uprawnieniami do emisji (ETS) prowadzące do osiągnięcia prognozowanych emisji gazów cieplarnianych, które nie są niższe niż odpowiednie wskaźniki referencyjne;</w:t>
      </w:r>
      <w:r>
        <w:rPr>
          <w:rStyle w:val="FootnoteReference"/>
          <w:noProof/>
        </w:rPr>
        <w:footnoteReference w:id="16"/>
      </w:r>
      <w:r>
        <w:rPr>
          <w:noProof/>
        </w:rPr>
        <w:t>(iii) działania i aktywa związane ze składowiskami odpadów, spalarniami</w:t>
      </w:r>
      <w:r>
        <w:rPr>
          <w:rStyle w:val="FootnoteReference"/>
          <w:noProof/>
        </w:rPr>
        <w:footnoteReference w:id="17"/>
      </w:r>
      <w:r>
        <w:rPr>
          <w:noProof/>
        </w:rPr>
        <w:t xml:space="preserve"> i zakładami mechaniczno-biologicznego przetwarzania odpadów</w:t>
      </w:r>
      <w:r>
        <w:rPr>
          <w:rStyle w:val="FootnoteReference"/>
          <w:noProof/>
        </w:rPr>
        <w:footnoteReference w:id="18"/>
      </w:r>
      <w:r>
        <w:rPr>
          <w:noProof/>
        </w:rPr>
        <w:t xml:space="preserve">. </w:t>
      </w:r>
    </w:p>
    <w:p w14:paraId="6ED6052B" w14:textId="77777777" w:rsidR="004C6421" w:rsidRDefault="009D1962">
      <w:pPr>
        <w:pStyle w:val="ListParagraph"/>
        <w:numPr>
          <w:ilvl w:val="0"/>
          <w:numId w:val="135"/>
        </w:numPr>
        <w:spacing w:before="0"/>
        <w:contextualSpacing w:val="0"/>
        <w:rPr>
          <w:noProof/>
        </w:rPr>
      </w:pPr>
      <w:r>
        <w:rPr>
          <w:noProof/>
        </w:rPr>
        <w:t>Wymóg, zgodnie z którym beneficjenci końcowi Instrumentu nie mogą otrzymywać wsparcia z innych instrumentów unijnych w celu pokrycia tych samych kosztów.</w:t>
      </w:r>
    </w:p>
    <w:p w14:paraId="2391309E" w14:textId="77777777" w:rsidR="004C6421" w:rsidRDefault="009D1962">
      <w:pPr>
        <w:pStyle w:val="ListParagraph"/>
        <w:numPr>
          <w:ilvl w:val="0"/>
          <w:numId w:val="134"/>
        </w:numPr>
        <w:spacing w:before="0"/>
        <w:contextualSpacing w:val="0"/>
        <w:rPr>
          <w:noProof/>
        </w:rPr>
      </w:pPr>
      <w:r>
        <w:rPr>
          <w:noProof/>
        </w:rPr>
        <w:t>Kwotę objętą umową wykonawczą, strukturę opłat dla partnera wykonawczego oraz wymóg reinwestowania wszelkich środków powracających zgodnie z polityką inwestycyjną instrumentu.</w:t>
      </w:r>
    </w:p>
    <w:p w14:paraId="1402E9C1" w14:textId="77777777" w:rsidR="004C6421" w:rsidRDefault="009D1962">
      <w:pPr>
        <w:pStyle w:val="ListParagraph"/>
        <w:numPr>
          <w:ilvl w:val="0"/>
          <w:numId w:val="134"/>
        </w:numPr>
        <w:spacing w:before="0"/>
        <w:contextualSpacing w:val="0"/>
        <w:rPr>
          <w:noProof/>
        </w:rPr>
      </w:pPr>
      <w:r>
        <w:rPr>
          <w:noProof/>
        </w:rPr>
        <w:t>Wymogi w zakresie monitorowania, audytu i kontroli, w tym:</w:t>
      </w:r>
    </w:p>
    <w:p w14:paraId="4ECE481C" w14:textId="77777777" w:rsidR="004C6421" w:rsidRDefault="009D1962">
      <w:pPr>
        <w:pStyle w:val="ListParagraph"/>
        <w:numPr>
          <w:ilvl w:val="1"/>
          <w:numId w:val="136"/>
        </w:numPr>
        <w:spacing w:before="0"/>
        <w:contextualSpacing w:val="0"/>
        <w:rPr>
          <w:noProof/>
        </w:rPr>
      </w:pPr>
      <w:r>
        <w:rPr>
          <w:noProof/>
        </w:rPr>
        <w:t>Opis stosowanego przez partnera wykonawczego systemu monitorowania służącego do sprawozdawczości na temat uruchomionych inwestycji.</w:t>
      </w:r>
    </w:p>
    <w:p w14:paraId="5AB14073" w14:textId="77777777" w:rsidR="004C6421" w:rsidRDefault="009D1962">
      <w:pPr>
        <w:pStyle w:val="ListParagraph"/>
        <w:numPr>
          <w:ilvl w:val="1"/>
          <w:numId w:val="136"/>
        </w:numPr>
        <w:spacing w:before="0"/>
        <w:contextualSpacing w:val="0"/>
        <w:rPr>
          <w:noProof/>
        </w:rPr>
      </w:pPr>
      <w:r>
        <w:rPr>
          <w:noProof/>
        </w:rPr>
        <w:t xml:space="preserve">Opis procedur partnera wykonawczego, które zapewniają zapobieganie nadużyciom finansowym, korupcji i konfliktom interesów oraz ich wykrywanie i korygowanie. </w:t>
      </w:r>
    </w:p>
    <w:p w14:paraId="5D02534B" w14:textId="77777777" w:rsidR="004C6421" w:rsidRDefault="009D1962">
      <w:pPr>
        <w:pStyle w:val="ListParagraph"/>
        <w:numPr>
          <w:ilvl w:val="1"/>
          <w:numId w:val="136"/>
        </w:numPr>
        <w:spacing w:before="0"/>
        <w:contextualSpacing w:val="0"/>
        <w:rPr>
          <w:noProof/>
        </w:rPr>
      </w:pPr>
      <w:r>
        <w:rPr>
          <w:noProof/>
        </w:rPr>
        <w:t>Obowiązek weryfikacji kwalifikowalności każdej operacji zgodnie z wymogami określonymi w umowie wykonawczej przed zobowiązaniem się do finansowania danej operacji.</w:t>
      </w:r>
    </w:p>
    <w:p w14:paraId="3D424414" w14:textId="77777777" w:rsidR="004C6421" w:rsidRDefault="009D1962">
      <w:pPr>
        <w:pStyle w:val="ListParagraph"/>
        <w:numPr>
          <w:ilvl w:val="1"/>
          <w:numId w:val="136"/>
        </w:numPr>
        <w:spacing w:before="0"/>
        <w:contextualSpacing w:val="0"/>
        <w:rPr>
          <w:noProof/>
        </w:rPr>
      </w:pPr>
      <w:r>
        <w:rPr>
          <w:noProof/>
        </w:rPr>
        <w:t>Obowiązek przeprowadzania audytów ex post opartych na analizie ryzyka zgodnie z planem audytu OSO Invitalia. Audyty te służą sprawdzeniu:</w:t>
      </w:r>
    </w:p>
    <w:p w14:paraId="323A9952" w14:textId="77777777" w:rsidR="004C6421" w:rsidRDefault="009D1962">
      <w:pPr>
        <w:pStyle w:val="ListParagraph"/>
        <w:numPr>
          <w:ilvl w:val="2"/>
          <w:numId w:val="136"/>
        </w:numPr>
        <w:spacing w:before="0"/>
        <w:contextualSpacing w:val="0"/>
        <w:rPr>
          <w:noProof/>
        </w:rPr>
      </w:pPr>
      <w:r>
        <w:rPr>
          <w:noProof/>
        </w:rPr>
        <w:t>skuteczne systemy kontroli, w tym wykrywanie nadużyć finansowych, korupcji i konfliktu interesów;</w:t>
      </w:r>
    </w:p>
    <w:p w14:paraId="0D18A167" w14:textId="77777777" w:rsidR="004C6421" w:rsidRDefault="009D1962">
      <w:pPr>
        <w:pStyle w:val="ListParagraph"/>
        <w:numPr>
          <w:ilvl w:val="2"/>
          <w:numId w:val="136"/>
        </w:numPr>
        <w:spacing w:before="0"/>
        <w:contextualSpacing w:val="0"/>
        <w:rPr>
          <w:noProof/>
        </w:rPr>
      </w:pPr>
      <w:r>
        <w:rPr>
          <w:noProof/>
        </w:rPr>
        <w:t xml:space="preserve">zgodność z zasadą „nie czyń poważnych szkód”, zasadami pomocy państwa, wymogami dotyczącymi celów klimatycznych; oraz </w:t>
      </w:r>
    </w:p>
    <w:p w14:paraId="04F4B241" w14:textId="77777777" w:rsidR="004C6421" w:rsidRDefault="009D1962">
      <w:pPr>
        <w:pStyle w:val="ListParagraph"/>
        <w:numPr>
          <w:ilvl w:val="2"/>
          <w:numId w:val="136"/>
        </w:numPr>
        <w:spacing w:before="0"/>
        <w:contextualSpacing w:val="0"/>
        <w:rPr>
          <w:noProof/>
        </w:rPr>
      </w:pPr>
      <w:r>
        <w:rPr>
          <w:noProof/>
        </w:rPr>
        <w:t xml:space="preserve">wymóg, aby beneficjenci końcowi Instrumentu nie otrzymywali wsparcia z innych instrumentów unijnych w celu pokrycia tych samych kosztów, jest przestrzegany. W ramach audytów sprawdza się również legalność transakcji oraz przestrzeganie warunków obowiązującej umowy wykonawczej. </w:t>
      </w:r>
    </w:p>
    <w:p w14:paraId="3A67262E" w14:textId="77777777" w:rsidR="004C6421" w:rsidRDefault="009D1962">
      <w:pPr>
        <w:spacing w:before="120" w:after="120"/>
        <w:jc w:val="both"/>
        <w:rPr>
          <w:noProof/>
        </w:rPr>
        <w:sectPr w:rsidR="004C6421" w:rsidSect="00797973">
          <w:headerReference w:type="even" r:id="rId56"/>
          <w:headerReference w:type="default" r:id="rId57"/>
          <w:footerReference w:type="even" r:id="rId58"/>
          <w:footerReference w:type="default" r:id="rId59"/>
          <w:headerReference w:type="first" r:id="rId60"/>
          <w:footerReference w:type="first" r:id="rId61"/>
          <w:pgSz w:w="11907" w:h="16838" w:code="12"/>
          <w:pgMar w:top="1134" w:right="1134" w:bottom="1134" w:left="1134" w:header="567" w:footer="567" w:gutter="0"/>
          <w:cols w:space="720"/>
          <w:docGrid w:linePitch="360"/>
        </w:sectPr>
      </w:pPr>
      <w:r>
        <w:rPr>
          <w:noProof/>
        </w:rPr>
        <w:t>Wdrożenie środka należy zakończyć do dnia 31 sierpnia 2026 r.</w:t>
      </w:r>
    </w:p>
    <w:p w14:paraId="22307FE4" w14:textId="77777777" w:rsidR="004C6421" w:rsidRDefault="009D1962">
      <w:pPr>
        <w:pStyle w:val="Heading3"/>
        <w:numPr>
          <w:ilvl w:val="2"/>
          <w:numId w:val="0"/>
        </w:numPr>
        <w:ind w:left="850" w:hanging="850"/>
        <w:rPr>
          <w:b/>
          <w:i w:val="0"/>
          <w:noProof/>
          <w:u w:val="single"/>
        </w:rPr>
      </w:pPr>
      <w:r>
        <w:rPr>
          <w:b/>
          <w:i w:val="0"/>
          <w:noProof/>
          <w:u w:val="single"/>
        </w:rPr>
        <w:t xml:space="preserve">B.4. </w:t>
      </w:r>
      <w:r>
        <w:rPr>
          <w:noProof/>
        </w:rPr>
        <w:t xml:space="preserve"> </w:t>
      </w:r>
      <w:r>
        <w:rPr>
          <w:b/>
          <w:i w:val="0"/>
          <w:noProof/>
          <w:u w:val="single"/>
        </w:rPr>
        <w:t xml:space="preserve">Cele pośrednie, wartości docelowe, wskaźniki i harmonogram monitorowania i realizacji pożyczki </w:t>
      </w:r>
    </w:p>
    <w:tbl>
      <w:tblPr>
        <w:tblW w:w="151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4"/>
        <w:gridCol w:w="1578"/>
        <w:gridCol w:w="1078"/>
        <w:gridCol w:w="1329"/>
        <w:gridCol w:w="1275"/>
        <w:gridCol w:w="1134"/>
        <w:gridCol w:w="993"/>
        <w:gridCol w:w="992"/>
        <w:gridCol w:w="850"/>
        <w:gridCol w:w="709"/>
        <w:gridCol w:w="3794"/>
      </w:tblGrid>
      <w:tr w:rsidR="004C6421" w14:paraId="5FFBB154" w14:textId="77777777">
        <w:trPr>
          <w:trHeight w:val="315"/>
          <w:tblHeader/>
        </w:trPr>
        <w:tc>
          <w:tcPr>
            <w:tcW w:w="1424" w:type="dxa"/>
            <w:vMerge w:val="restart"/>
            <w:shd w:val="clear" w:color="auto" w:fill="BDD7EE"/>
            <w:vAlign w:val="center"/>
          </w:tcPr>
          <w:p w14:paraId="39A704C0" w14:textId="77777777" w:rsidR="004C6421" w:rsidRDefault="009D1962">
            <w:pPr>
              <w:pStyle w:val="P68B1DB1-Normal3"/>
              <w:spacing w:before="120" w:after="120"/>
              <w:jc w:val="center"/>
              <w:rPr>
                <w:noProof/>
                <w:color w:val="006100"/>
              </w:rPr>
            </w:pPr>
            <w:r>
              <w:rPr>
                <w:noProof/>
              </w:rPr>
              <w:t>Numer porządkowy</w:t>
            </w:r>
          </w:p>
        </w:tc>
        <w:tc>
          <w:tcPr>
            <w:tcW w:w="1578" w:type="dxa"/>
            <w:vMerge w:val="restart"/>
            <w:shd w:val="clear" w:color="auto" w:fill="BDD7EE"/>
            <w:vAlign w:val="center"/>
          </w:tcPr>
          <w:p w14:paraId="576E190F" w14:textId="77777777" w:rsidR="004C6421" w:rsidRDefault="009D1962">
            <w:pPr>
              <w:pStyle w:val="P68B1DB1-Normal3"/>
              <w:spacing w:before="120" w:after="120"/>
              <w:jc w:val="center"/>
              <w:rPr>
                <w:noProof/>
                <w:color w:val="006100"/>
              </w:rPr>
            </w:pPr>
            <w:r>
              <w:rPr>
                <w:noProof/>
              </w:rPr>
              <w:t>Miara</w:t>
            </w:r>
          </w:p>
        </w:tc>
        <w:tc>
          <w:tcPr>
            <w:tcW w:w="1078" w:type="dxa"/>
            <w:vMerge w:val="restart"/>
            <w:shd w:val="clear" w:color="auto" w:fill="BDD7EE"/>
            <w:vAlign w:val="center"/>
          </w:tcPr>
          <w:p w14:paraId="35C43016" w14:textId="77777777" w:rsidR="004C6421" w:rsidRDefault="009D1962">
            <w:pPr>
              <w:pStyle w:val="P68B1DB1-Normal3"/>
              <w:spacing w:before="120" w:after="120"/>
              <w:jc w:val="center"/>
              <w:rPr>
                <w:noProof/>
                <w:color w:val="006100"/>
              </w:rPr>
            </w:pPr>
            <w:r>
              <w:rPr>
                <w:noProof/>
              </w:rPr>
              <w:t>Kamień milowy/wartość docelowa</w:t>
            </w:r>
          </w:p>
        </w:tc>
        <w:tc>
          <w:tcPr>
            <w:tcW w:w="1329" w:type="dxa"/>
            <w:vMerge w:val="restart"/>
            <w:shd w:val="clear" w:color="auto" w:fill="BDD7EE"/>
            <w:vAlign w:val="center"/>
          </w:tcPr>
          <w:p w14:paraId="42759B73" w14:textId="77777777" w:rsidR="004C6421" w:rsidRDefault="009D1962">
            <w:pPr>
              <w:pStyle w:val="P68B1DB1-Normal3"/>
              <w:spacing w:before="120" w:after="120"/>
              <w:jc w:val="center"/>
              <w:rPr>
                <w:noProof/>
                <w:color w:val="006100"/>
              </w:rPr>
            </w:pPr>
            <w:r>
              <w:rPr>
                <w:noProof/>
              </w:rPr>
              <w:t>Nazwa</w:t>
            </w:r>
          </w:p>
        </w:tc>
        <w:tc>
          <w:tcPr>
            <w:tcW w:w="1275" w:type="dxa"/>
            <w:vMerge w:val="restart"/>
            <w:shd w:val="clear" w:color="auto" w:fill="BDD7EE"/>
            <w:vAlign w:val="center"/>
          </w:tcPr>
          <w:p w14:paraId="34D9745A" w14:textId="77777777" w:rsidR="004C6421" w:rsidRDefault="009D1962">
            <w:pPr>
              <w:spacing w:before="120" w:after="120"/>
              <w:jc w:val="center"/>
              <w:rPr>
                <w:rFonts w:ascii="Arial Narrow" w:hAnsi="Arial Narrow"/>
                <w:noProof/>
                <w:color w:val="006100"/>
                <w:sz w:val="20"/>
              </w:rPr>
            </w:pPr>
            <w:r>
              <w:rPr>
                <w:rFonts w:ascii="Arial Narrow" w:hAnsi="Arial Narrow"/>
                <w:b/>
                <w:noProof/>
                <w:sz w:val="20"/>
              </w:rPr>
              <w:t>Wskaźniki jakościowe</w:t>
            </w:r>
            <w:r>
              <w:rPr>
                <w:noProof/>
              </w:rPr>
              <w:t xml:space="preserve">  </w:t>
            </w:r>
            <w:r>
              <w:rPr>
                <w:noProof/>
              </w:rPr>
              <w:br/>
            </w:r>
            <w:r>
              <w:rPr>
                <w:rFonts w:ascii="Arial Narrow" w:hAnsi="Arial Narrow"/>
                <w:b/>
                <w:noProof/>
                <w:sz w:val="20"/>
              </w:rPr>
              <w:t>(dla kamieni milowych)</w:t>
            </w:r>
          </w:p>
        </w:tc>
        <w:tc>
          <w:tcPr>
            <w:tcW w:w="3119" w:type="dxa"/>
            <w:gridSpan w:val="3"/>
            <w:shd w:val="clear" w:color="auto" w:fill="BDD7EE"/>
            <w:vAlign w:val="center"/>
          </w:tcPr>
          <w:p w14:paraId="155177EA" w14:textId="77777777" w:rsidR="004C6421" w:rsidRDefault="009D1962">
            <w:pPr>
              <w:spacing w:before="120" w:after="120"/>
              <w:jc w:val="center"/>
              <w:rPr>
                <w:rFonts w:ascii="Arial Narrow" w:hAnsi="Arial Narrow"/>
                <w:noProof/>
                <w:color w:val="006100"/>
                <w:sz w:val="20"/>
              </w:rPr>
            </w:pPr>
            <w:r>
              <w:rPr>
                <w:rFonts w:ascii="Arial Narrow" w:hAnsi="Arial Narrow"/>
                <w:b/>
                <w:noProof/>
                <w:sz w:val="20"/>
              </w:rPr>
              <w:t>Wskaźniki ilościowe</w:t>
            </w:r>
            <w:r>
              <w:rPr>
                <w:rFonts w:ascii="Arial Narrow" w:hAnsi="Arial Narrow"/>
                <w:noProof/>
              </w:rPr>
              <w:t xml:space="preserve"> </w:t>
            </w:r>
            <w:r>
              <w:rPr>
                <w:noProof/>
              </w:rPr>
              <w:t xml:space="preserve">  </w:t>
            </w:r>
            <w:r>
              <w:rPr>
                <w:noProof/>
              </w:rPr>
              <w:br/>
            </w:r>
            <w:r>
              <w:rPr>
                <w:rFonts w:ascii="Arial Narrow" w:hAnsi="Arial Narrow"/>
                <w:b/>
                <w:noProof/>
                <w:sz w:val="20"/>
              </w:rPr>
              <w:t>(dla wartości docelowych)</w:t>
            </w:r>
          </w:p>
        </w:tc>
        <w:tc>
          <w:tcPr>
            <w:tcW w:w="1559" w:type="dxa"/>
            <w:gridSpan w:val="2"/>
            <w:shd w:val="clear" w:color="auto" w:fill="BDD7EE"/>
            <w:vAlign w:val="center"/>
          </w:tcPr>
          <w:p w14:paraId="71720FF7" w14:textId="77777777" w:rsidR="004C6421" w:rsidRDefault="009D1962">
            <w:pPr>
              <w:pStyle w:val="P68B1DB1-Normal3"/>
              <w:spacing w:before="120" w:after="120"/>
              <w:jc w:val="center"/>
              <w:rPr>
                <w:noProof/>
                <w:color w:val="006100"/>
              </w:rPr>
            </w:pPr>
            <w:r>
              <w:rPr>
                <w:noProof/>
              </w:rPr>
              <w:t>Orientacyjny harmonogram zakończenia działania</w:t>
            </w:r>
          </w:p>
        </w:tc>
        <w:tc>
          <w:tcPr>
            <w:tcW w:w="3794" w:type="dxa"/>
            <w:vMerge w:val="restart"/>
            <w:shd w:val="clear" w:color="auto" w:fill="BDD7EE"/>
            <w:vAlign w:val="center"/>
          </w:tcPr>
          <w:p w14:paraId="3FDB6D44" w14:textId="77777777" w:rsidR="004C6421" w:rsidRDefault="009D1962">
            <w:pPr>
              <w:pStyle w:val="P68B1DB1-Normal3"/>
              <w:spacing w:before="120" w:after="120"/>
              <w:jc w:val="center"/>
              <w:rPr>
                <w:noProof/>
              </w:rPr>
            </w:pPr>
            <w:r>
              <w:rPr>
                <w:noProof/>
              </w:rPr>
              <w:t>Opis każdego kamienia milowego i każdej wartości docelowej</w:t>
            </w:r>
          </w:p>
        </w:tc>
      </w:tr>
      <w:tr w:rsidR="004C6421" w14:paraId="4C67F2A8" w14:textId="77777777">
        <w:trPr>
          <w:trHeight w:val="315"/>
          <w:tblHeader/>
        </w:trPr>
        <w:tc>
          <w:tcPr>
            <w:tcW w:w="1424" w:type="dxa"/>
            <w:vMerge/>
            <w:vAlign w:val="center"/>
          </w:tcPr>
          <w:p w14:paraId="55CEC55F" w14:textId="77777777" w:rsidR="004C6421" w:rsidRDefault="004C6421">
            <w:pPr>
              <w:spacing w:before="120" w:after="120"/>
              <w:jc w:val="center"/>
              <w:rPr>
                <w:rFonts w:ascii="Arial Narrow" w:hAnsi="Arial Narrow"/>
                <w:noProof/>
                <w:color w:val="006100"/>
                <w:sz w:val="20"/>
              </w:rPr>
            </w:pPr>
          </w:p>
        </w:tc>
        <w:tc>
          <w:tcPr>
            <w:tcW w:w="1578" w:type="dxa"/>
            <w:vMerge/>
            <w:vAlign w:val="center"/>
          </w:tcPr>
          <w:p w14:paraId="7876AFE4" w14:textId="77777777" w:rsidR="004C6421" w:rsidRDefault="004C6421">
            <w:pPr>
              <w:spacing w:before="120" w:after="120"/>
              <w:jc w:val="center"/>
              <w:rPr>
                <w:rFonts w:ascii="Arial Narrow" w:hAnsi="Arial Narrow"/>
                <w:noProof/>
                <w:color w:val="006100"/>
                <w:sz w:val="20"/>
              </w:rPr>
            </w:pPr>
          </w:p>
        </w:tc>
        <w:tc>
          <w:tcPr>
            <w:tcW w:w="1078" w:type="dxa"/>
            <w:vMerge/>
            <w:vAlign w:val="center"/>
          </w:tcPr>
          <w:p w14:paraId="7C46AA9F" w14:textId="77777777" w:rsidR="004C6421" w:rsidRDefault="004C6421">
            <w:pPr>
              <w:spacing w:before="120" w:after="120"/>
              <w:jc w:val="center"/>
              <w:rPr>
                <w:rFonts w:ascii="Arial Narrow" w:hAnsi="Arial Narrow"/>
                <w:noProof/>
                <w:color w:val="006100"/>
                <w:sz w:val="20"/>
              </w:rPr>
            </w:pPr>
          </w:p>
        </w:tc>
        <w:tc>
          <w:tcPr>
            <w:tcW w:w="1329" w:type="dxa"/>
            <w:vMerge/>
            <w:vAlign w:val="center"/>
          </w:tcPr>
          <w:p w14:paraId="3E0C8C13" w14:textId="77777777" w:rsidR="004C6421" w:rsidRDefault="004C6421">
            <w:pPr>
              <w:spacing w:before="120" w:after="120"/>
              <w:jc w:val="center"/>
              <w:rPr>
                <w:rFonts w:ascii="Arial Narrow" w:hAnsi="Arial Narrow"/>
                <w:noProof/>
                <w:color w:val="006100"/>
                <w:sz w:val="20"/>
              </w:rPr>
            </w:pPr>
          </w:p>
        </w:tc>
        <w:tc>
          <w:tcPr>
            <w:tcW w:w="1275" w:type="dxa"/>
            <w:vMerge/>
            <w:vAlign w:val="center"/>
          </w:tcPr>
          <w:p w14:paraId="0266878D" w14:textId="77777777" w:rsidR="004C6421" w:rsidRDefault="004C6421">
            <w:pPr>
              <w:spacing w:before="120" w:after="120"/>
              <w:jc w:val="center"/>
              <w:rPr>
                <w:rFonts w:ascii="Arial Narrow" w:hAnsi="Arial Narrow"/>
                <w:noProof/>
                <w:color w:val="006100"/>
                <w:sz w:val="20"/>
              </w:rPr>
            </w:pPr>
          </w:p>
        </w:tc>
        <w:tc>
          <w:tcPr>
            <w:tcW w:w="1134" w:type="dxa"/>
            <w:shd w:val="clear" w:color="auto" w:fill="BDD7EE"/>
            <w:vAlign w:val="center"/>
          </w:tcPr>
          <w:p w14:paraId="326AED1D" w14:textId="77777777" w:rsidR="004C6421" w:rsidRDefault="009D1962">
            <w:pPr>
              <w:pStyle w:val="P68B1DB1-Normal3"/>
              <w:spacing w:before="120" w:after="120"/>
              <w:jc w:val="center"/>
              <w:rPr>
                <w:noProof/>
                <w:color w:val="006100"/>
              </w:rPr>
            </w:pPr>
            <w:r>
              <w:rPr>
                <w:noProof/>
              </w:rPr>
              <w:t>Jednostka miary</w:t>
            </w:r>
          </w:p>
        </w:tc>
        <w:tc>
          <w:tcPr>
            <w:tcW w:w="993" w:type="dxa"/>
            <w:shd w:val="clear" w:color="auto" w:fill="BDD7EE"/>
            <w:vAlign w:val="center"/>
          </w:tcPr>
          <w:p w14:paraId="4B17308D" w14:textId="77777777" w:rsidR="004C6421" w:rsidRDefault="009D1962">
            <w:pPr>
              <w:pStyle w:val="P68B1DB1-Normal3"/>
              <w:spacing w:before="120" w:after="120"/>
              <w:jc w:val="center"/>
              <w:rPr>
                <w:noProof/>
                <w:color w:val="006100"/>
              </w:rPr>
            </w:pPr>
            <w:r>
              <w:rPr>
                <w:noProof/>
              </w:rPr>
              <w:t>Bazowy</w:t>
            </w:r>
          </w:p>
        </w:tc>
        <w:tc>
          <w:tcPr>
            <w:tcW w:w="992" w:type="dxa"/>
            <w:shd w:val="clear" w:color="auto" w:fill="BDD7EE"/>
            <w:vAlign w:val="center"/>
          </w:tcPr>
          <w:p w14:paraId="53AE78D9" w14:textId="77777777" w:rsidR="004C6421" w:rsidRDefault="009D1962">
            <w:pPr>
              <w:pStyle w:val="P68B1DB1-Normal3"/>
              <w:spacing w:before="120" w:after="120"/>
              <w:jc w:val="center"/>
              <w:rPr>
                <w:noProof/>
                <w:color w:val="006100"/>
              </w:rPr>
            </w:pPr>
            <w:r>
              <w:rPr>
                <w:noProof/>
              </w:rPr>
              <w:t>Cel</w:t>
            </w:r>
          </w:p>
        </w:tc>
        <w:tc>
          <w:tcPr>
            <w:tcW w:w="850" w:type="dxa"/>
            <w:shd w:val="clear" w:color="auto" w:fill="BDD7EE"/>
            <w:vAlign w:val="center"/>
          </w:tcPr>
          <w:p w14:paraId="675EFEB0" w14:textId="77777777" w:rsidR="004C6421" w:rsidRDefault="009D1962">
            <w:pPr>
              <w:pStyle w:val="P68B1DB1-Normal3"/>
              <w:spacing w:before="120" w:after="120"/>
              <w:jc w:val="center"/>
              <w:rPr>
                <w:noProof/>
                <w:color w:val="006100"/>
              </w:rPr>
            </w:pPr>
            <w:r>
              <w:rPr>
                <w:noProof/>
              </w:rPr>
              <w:t>Kwartał</w:t>
            </w:r>
          </w:p>
        </w:tc>
        <w:tc>
          <w:tcPr>
            <w:tcW w:w="709" w:type="dxa"/>
            <w:shd w:val="clear" w:color="auto" w:fill="BDD7EE"/>
            <w:vAlign w:val="center"/>
          </w:tcPr>
          <w:p w14:paraId="425D8852" w14:textId="77777777" w:rsidR="004C6421" w:rsidRDefault="009D1962">
            <w:pPr>
              <w:pStyle w:val="P68B1DB1-Normal3"/>
              <w:spacing w:before="120" w:after="120"/>
              <w:jc w:val="center"/>
              <w:rPr>
                <w:noProof/>
                <w:color w:val="006100"/>
              </w:rPr>
            </w:pPr>
            <w:r>
              <w:rPr>
                <w:noProof/>
              </w:rPr>
              <w:t>Rok</w:t>
            </w:r>
          </w:p>
        </w:tc>
        <w:tc>
          <w:tcPr>
            <w:tcW w:w="3794" w:type="dxa"/>
            <w:vMerge/>
            <w:vAlign w:val="center"/>
          </w:tcPr>
          <w:p w14:paraId="19437839" w14:textId="77777777" w:rsidR="004C6421" w:rsidRDefault="004C6421">
            <w:pPr>
              <w:spacing w:before="120" w:after="120"/>
              <w:rPr>
                <w:rFonts w:ascii="Arial Narrow" w:hAnsi="Arial Narrow"/>
                <w:noProof/>
                <w:color w:val="006100"/>
                <w:sz w:val="20"/>
              </w:rPr>
            </w:pPr>
          </w:p>
        </w:tc>
      </w:tr>
      <w:tr w:rsidR="004C6421" w14:paraId="742E30CE" w14:textId="77777777">
        <w:trPr>
          <w:trHeight w:val="315"/>
        </w:trPr>
        <w:tc>
          <w:tcPr>
            <w:tcW w:w="1424" w:type="dxa"/>
            <w:shd w:val="clear" w:color="auto" w:fill="C6EFCE"/>
            <w:vAlign w:val="center"/>
          </w:tcPr>
          <w:p w14:paraId="4AD4E99A" w14:textId="77777777" w:rsidR="004C6421" w:rsidRDefault="009D1962">
            <w:pPr>
              <w:pStyle w:val="P68B1DB1-Normal4"/>
              <w:spacing w:before="120" w:after="120"/>
              <w:jc w:val="center"/>
              <w:rPr>
                <w:noProof/>
              </w:rPr>
            </w:pPr>
            <w:r>
              <w:rPr>
                <w:noProof/>
              </w:rPr>
              <w:t>M1C2-15</w:t>
            </w:r>
          </w:p>
        </w:tc>
        <w:tc>
          <w:tcPr>
            <w:tcW w:w="1578" w:type="dxa"/>
            <w:shd w:val="clear" w:color="auto" w:fill="C6EFCE"/>
            <w:vAlign w:val="center"/>
          </w:tcPr>
          <w:p w14:paraId="6512993A" w14:textId="77777777" w:rsidR="004C6421" w:rsidRDefault="009D1962">
            <w:pPr>
              <w:pStyle w:val="P68B1DB1-Normal4"/>
              <w:spacing w:before="120" w:after="120"/>
              <w:jc w:val="center"/>
              <w:rPr>
                <w:noProof/>
              </w:rPr>
            </w:pPr>
            <w:r>
              <w:rPr>
                <w:noProof/>
              </w:rPr>
              <w:t>Inwestycja 2: Innowacje i technologia mikroelektroniki</w:t>
            </w:r>
          </w:p>
        </w:tc>
        <w:tc>
          <w:tcPr>
            <w:tcW w:w="1078" w:type="dxa"/>
            <w:shd w:val="clear" w:color="auto" w:fill="C6EFCE"/>
            <w:vAlign w:val="center"/>
          </w:tcPr>
          <w:p w14:paraId="158D2F92" w14:textId="77777777" w:rsidR="004C6421" w:rsidRDefault="009D1962">
            <w:pPr>
              <w:pStyle w:val="P68B1DB1-Normal4"/>
              <w:spacing w:before="120" w:after="120"/>
              <w:jc w:val="center"/>
              <w:rPr>
                <w:noProof/>
              </w:rPr>
            </w:pPr>
            <w:r>
              <w:rPr>
                <w:noProof/>
              </w:rPr>
              <w:t>Cel</w:t>
            </w:r>
          </w:p>
        </w:tc>
        <w:tc>
          <w:tcPr>
            <w:tcW w:w="1329" w:type="dxa"/>
            <w:shd w:val="clear" w:color="auto" w:fill="C6EFCE"/>
            <w:vAlign w:val="center"/>
          </w:tcPr>
          <w:p w14:paraId="6466C449" w14:textId="77777777" w:rsidR="004C6421" w:rsidRDefault="009D1962">
            <w:pPr>
              <w:pStyle w:val="P68B1DB1-Normal4"/>
              <w:spacing w:before="120" w:after="120"/>
              <w:jc w:val="center"/>
              <w:rPr>
                <w:noProof/>
              </w:rPr>
            </w:pPr>
            <w:r>
              <w:rPr>
                <w:noProof/>
              </w:rPr>
              <w:t>Moce produkcyjne substratów węglika krzemu</w:t>
            </w:r>
          </w:p>
        </w:tc>
        <w:tc>
          <w:tcPr>
            <w:tcW w:w="1275" w:type="dxa"/>
            <w:shd w:val="clear" w:color="auto" w:fill="C6EFCE"/>
            <w:vAlign w:val="center"/>
          </w:tcPr>
          <w:p w14:paraId="558512F6" w14:textId="77777777" w:rsidR="004C6421" w:rsidRDefault="009D1962">
            <w:pPr>
              <w:pStyle w:val="P68B1DB1-Normal4"/>
              <w:spacing w:before="120" w:after="120"/>
              <w:jc w:val="center"/>
              <w:rPr>
                <w:noProof/>
              </w:rPr>
            </w:pPr>
            <w:r>
              <w:rPr>
                <w:noProof/>
              </w:rPr>
              <w:t>NIE DOT.</w:t>
            </w:r>
          </w:p>
        </w:tc>
        <w:tc>
          <w:tcPr>
            <w:tcW w:w="1134" w:type="dxa"/>
            <w:shd w:val="clear" w:color="auto" w:fill="C6EFCE"/>
            <w:vAlign w:val="center"/>
          </w:tcPr>
          <w:p w14:paraId="6D355D87" w14:textId="77777777" w:rsidR="004C6421" w:rsidRDefault="009D1962">
            <w:pPr>
              <w:pStyle w:val="P68B1DB1-Normal4"/>
              <w:spacing w:before="120" w:after="120"/>
              <w:jc w:val="center"/>
              <w:rPr>
                <w:noProof/>
              </w:rPr>
            </w:pPr>
            <w:r>
              <w:rPr>
                <w:noProof/>
              </w:rPr>
              <w:t>Numer</w:t>
            </w:r>
          </w:p>
        </w:tc>
        <w:tc>
          <w:tcPr>
            <w:tcW w:w="993" w:type="dxa"/>
            <w:shd w:val="clear" w:color="auto" w:fill="C6EFCE"/>
            <w:vAlign w:val="center"/>
          </w:tcPr>
          <w:p w14:paraId="3351EF0B" w14:textId="77777777" w:rsidR="004C6421" w:rsidRDefault="009D1962">
            <w:pPr>
              <w:pStyle w:val="P68B1DB1-Normal4"/>
              <w:spacing w:before="120" w:after="120"/>
              <w:jc w:val="center"/>
              <w:rPr>
                <w:noProof/>
              </w:rPr>
            </w:pPr>
            <w:r>
              <w:rPr>
                <w:noProof/>
              </w:rPr>
              <w:t>0</w:t>
            </w:r>
          </w:p>
        </w:tc>
        <w:tc>
          <w:tcPr>
            <w:tcW w:w="992" w:type="dxa"/>
            <w:shd w:val="clear" w:color="auto" w:fill="C6EFCE"/>
            <w:vAlign w:val="center"/>
          </w:tcPr>
          <w:p w14:paraId="694C3B28" w14:textId="77777777" w:rsidR="004C6421" w:rsidRDefault="009D1962">
            <w:pPr>
              <w:pStyle w:val="P68B1DB1-Normal4"/>
              <w:spacing w:before="120" w:after="120"/>
              <w:jc w:val="center"/>
              <w:rPr>
                <w:noProof/>
              </w:rPr>
            </w:pPr>
            <w:r>
              <w:rPr>
                <w:noProof/>
              </w:rPr>
              <w:t xml:space="preserve">374 400 </w:t>
            </w:r>
          </w:p>
        </w:tc>
        <w:tc>
          <w:tcPr>
            <w:tcW w:w="850" w:type="dxa"/>
            <w:shd w:val="clear" w:color="auto" w:fill="C6EFCE"/>
            <w:vAlign w:val="center"/>
          </w:tcPr>
          <w:p w14:paraId="2C865648" w14:textId="77777777" w:rsidR="004C6421" w:rsidRDefault="009D1962">
            <w:pPr>
              <w:pStyle w:val="P68B1DB1-Normal4"/>
              <w:spacing w:before="120" w:after="120"/>
              <w:jc w:val="center"/>
              <w:rPr>
                <w:noProof/>
              </w:rPr>
            </w:pPr>
            <w:r>
              <w:rPr>
                <w:noProof/>
              </w:rPr>
              <w:t>II KW.</w:t>
            </w:r>
          </w:p>
        </w:tc>
        <w:tc>
          <w:tcPr>
            <w:tcW w:w="709" w:type="dxa"/>
            <w:shd w:val="clear" w:color="auto" w:fill="C6EFCE"/>
            <w:vAlign w:val="center"/>
          </w:tcPr>
          <w:p w14:paraId="38A8DF73" w14:textId="77777777" w:rsidR="004C6421" w:rsidRDefault="009D1962">
            <w:pPr>
              <w:pStyle w:val="P68B1DB1-Normal4"/>
              <w:spacing w:before="120" w:after="120"/>
              <w:jc w:val="center"/>
              <w:rPr>
                <w:noProof/>
              </w:rPr>
            </w:pPr>
            <w:r>
              <w:rPr>
                <w:noProof/>
              </w:rPr>
              <w:t>2026</w:t>
            </w:r>
          </w:p>
        </w:tc>
        <w:tc>
          <w:tcPr>
            <w:tcW w:w="3794" w:type="dxa"/>
            <w:shd w:val="clear" w:color="auto" w:fill="C6EFCE"/>
            <w:vAlign w:val="center"/>
          </w:tcPr>
          <w:p w14:paraId="419109B5" w14:textId="77777777" w:rsidR="004C6421" w:rsidRDefault="009D1962">
            <w:pPr>
              <w:pStyle w:val="P68B1DB1-Normal8"/>
              <w:spacing w:before="120" w:after="120"/>
              <w:rPr>
                <w:rFonts w:ascii="Arial Narrow" w:hAnsi="Arial Narrow"/>
                <w:noProof/>
              </w:rPr>
            </w:pPr>
            <w:r>
              <w:rPr>
                <w:rFonts w:ascii="Arial Narrow" w:hAnsi="Arial Narrow"/>
                <w:noProof/>
              </w:rPr>
              <w:t>Osiągnięcie dodatkowych mocy produkcyjnych na poziomie co najmniej</w:t>
            </w:r>
            <w:r>
              <w:rPr>
                <w:noProof/>
              </w:rPr>
              <w:t xml:space="preserve"> </w:t>
            </w:r>
            <w:r>
              <w:rPr>
                <w:rFonts w:ascii="Arial Narrow" w:hAnsi="Arial Narrow"/>
                <w:noProof/>
              </w:rPr>
              <w:t>374400 substratów węglika krzemu rocznie. Zadowalające osiągnięcie celu zależy również od zatrudnienia co najmniej 700 dodatkowych osób w związku z dodatkową zdolnością.</w:t>
            </w:r>
          </w:p>
        </w:tc>
      </w:tr>
      <w:tr w:rsidR="004C6421" w14:paraId="4025DA0E" w14:textId="77777777">
        <w:trPr>
          <w:trHeight w:val="315"/>
        </w:trPr>
        <w:tc>
          <w:tcPr>
            <w:tcW w:w="1424" w:type="dxa"/>
            <w:shd w:val="clear" w:color="auto" w:fill="C6EFCE"/>
            <w:vAlign w:val="center"/>
          </w:tcPr>
          <w:p w14:paraId="2B1336B0" w14:textId="77777777" w:rsidR="004C6421" w:rsidRDefault="009D1962">
            <w:pPr>
              <w:pStyle w:val="P68B1DB1-Normal4"/>
              <w:spacing w:before="120" w:after="120"/>
              <w:jc w:val="center"/>
              <w:rPr>
                <w:noProof/>
              </w:rPr>
            </w:pPr>
            <w:r>
              <w:rPr>
                <w:noProof/>
              </w:rPr>
              <w:t>M1C2-16</w:t>
            </w:r>
          </w:p>
        </w:tc>
        <w:tc>
          <w:tcPr>
            <w:tcW w:w="1578" w:type="dxa"/>
            <w:shd w:val="clear" w:color="auto" w:fill="C6EFCE"/>
            <w:vAlign w:val="center"/>
          </w:tcPr>
          <w:p w14:paraId="1B25CE7D" w14:textId="77777777" w:rsidR="004C6421" w:rsidRDefault="009D1962">
            <w:pPr>
              <w:pStyle w:val="P68B1DB1-Normal4"/>
              <w:spacing w:before="120" w:after="120"/>
              <w:jc w:val="center"/>
              <w:rPr>
                <w:noProof/>
              </w:rPr>
            </w:pPr>
            <w:r>
              <w:rPr>
                <w:noProof/>
              </w:rPr>
              <w:t>Inwestycja 3: Szybkie połączenia internetowe (sieci szerokopasmowe i 5G)</w:t>
            </w:r>
          </w:p>
        </w:tc>
        <w:tc>
          <w:tcPr>
            <w:tcW w:w="1078" w:type="dxa"/>
            <w:shd w:val="clear" w:color="auto" w:fill="C6EFCE"/>
            <w:vAlign w:val="center"/>
          </w:tcPr>
          <w:p w14:paraId="146F4F01" w14:textId="419C0D33" w:rsidR="004C6421" w:rsidRDefault="00CC179E">
            <w:pPr>
              <w:pStyle w:val="P68B1DB1-Normal4"/>
              <w:spacing w:before="120" w:after="120"/>
              <w:jc w:val="center"/>
              <w:rPr>
                <w:noProof/>
              </w:rPr>
            </w:pPr>
            <w:r>
              <w:rPr>
                <w:noProof/>
              </w:rPr>
              <w:t>Milowy</w:t>
            </w:r>
          </w:p>
        </w:tc>
        <w:tc>
          <w:tcPr>
            <w:tcW w:w="1329" w:type="dxa"/>
            <w:shd w:val="clear" w:color="auto" w:fill="C6EFCE"/>
            <w:vAlign w:val="center"/>
          </w:tcPr>
          <w:p w14:paraId="0D3698AE" w14:textId="77777777" w:rsidR="004C6421" w:rsidRDefault="009D1962">
            <w:pPr>
              <w:pStyle w:val="P68B1DB1-Normal4"/>
              <w:spacing w:before="120" w:after="120"/>
              <w:jc w:val="center"/>
              <w:rPr>
                <w:noProof/>
              </w:rPr>
            </w:pPr>
            <w:r>
              <w:rPr>
                <w:noProof/>
              </w:rPr>
              <w:t>Udzielanie wszystkich zamówień publicznych na projekty dotyczące szybszego połączenia</w:t>
            </w:r>
          </w:p>
        </w:tc>
        <w:tc>
          <w:tcPr>
            <w:tcW w:w="1275" w:type="dxa"/>
            <w:shd w:val="clear" w:color="auto" w:fill="C6EFCE"/>
            <w:vAlign w:val="center"/>
          </w:tcPr>
          <w:p w14:paraId="028C1159" w14:textId="77777777" w:rsidR="004C6421" w:rsidRDefault="009D1962">
            <w:pPr>
              <w:pStyle w:val="P68B1DB1-Normal4"/>
              <w:spacing w:before="120" w:after="120"/>
              <w:jc w:val="center"/>
              <w:rPr>
                <w:noProof/>
              </w:rPr>
            </w:pPr>
            <w:r>
              <w:rPr>
                <w:noProof/>
              </w:rPr>
              <w:t>Powiadomienie o udzieleniu wszystkich zamówień publicznych na projekty dotyczące szybszego połączenia</w:t>
            </w:r>
          </w:p>
        </w:tc>
        <w:tc>
          <w:tcPr>
            <w:tcW w:w="1134" w:type="dxa"/>
            <w:shd w:val="clear" w:color="auto" w:fill="C6EFCE"/>
            <w:vAlign w:val="center"/>
          </w:tcPr>
          <w:p w14:paraId="52823768" w14:textId="77777777" w:rsidR="004C6421" w:rsidRDefault="009D1962">
            <w:pPr>
              <w:pStyle w:val="P68B1DB1-Normal4"/>
              <w:spacing w:before="120" w:after="120"/>
              <w:jc w:val="center"/>
              <w:rPr>
                <w:noProof/>
              </w:rPr>
            </w:pPr>
            <w:r>
              <w:rPr>
                <w:noProof/>
              </w:rPr>
              <w:t>NIE DOT.</w:t>
            </w:r>
          </w:p>
        </w:tc>
        <w:tc>
          <w:tcPr>
            <w:tcW w:w="993" w:type="dxa"/>
            <w:shd w:val="clear" w:color="auto" w:fill="C6EFCE"/>
            <w:vAlign w:val="center"/>
          </w:tcPr>
          <w:p w14:paraId="689473D6" w14:textId="77777777" w:rsidR="004C6421" w:rsidRDefault="009D1962">
            <w:pPr>
              <w:pStyle w:val="P68B1DB1-Normal4"/>
              <w:spacing w:before="120" w:after="120"/>
              <w:jc w:val="center"/>
              <w:rPr>
                <w:noProof/>
              </w:rPr>
            </w:pPr>
            <w:r>
              <w:rPr>
                <w:noProof/>
              </w:rPr>
              <w:t>NIE DOT.</w:t>
            </w:r>
          </w:p>
        </w:tc>
        <w:tc>
          <w:tcPr>
            <w:tcW w:w="992" w:type="dxa"/>
            <w:shd w:val="clear" w:color="auto" w:fill="C6EFCE"/>
            <w:vAlign w:val="center"/>
          </w:tcPr>
          <w:p w14:paraId="222CCE88" w14:textId="77777777" w:rsidR="004C6421" w:rsidRDefault="009D1962">
            <w:pPr>
              <w:pStyle w:val="P68B1DB1-Normal4"/>
              <w:spacing w:before="120" w:after="120"/>
              <w:jc w:val="center"/>
              <w:rPr>
                <w:noProof/>
              </w:rPr>
            </w:pPr>
            <w:r>
              <w:rPr>
                <w:noProof/>
              </w:rPr>
              <w:t>NIE DOT.</w:t>
            </w:r>
          </w:p>
        </w:tc>
        <w:tc>
          <w:tcPr>
            <w:tcW w:w="850" w:type="dxa"/>
            <w:shd w:val="clear" w:color="auto" w:fill="C6EFCE"/>
            <w:vAlign w:val="center"/>
          </w:tcPr>
          <w:p w14:paraId="2BFBFF90" w14:textId="77777777" w:rsidR="004C6421" w:rsidRDefault="009D1962">
            <w:pPr>
              <w:pStyle w:val="P68B1DB1-Normal4"/>
              <w:spacing w:before="120" w:after="120"/>
              <w:jc w:val="center"/>
              <w:rPr>
                <w:noProof/>
              </w:rPr>
            </w:pPr>
            <w:r>
              <w:rPr>
                <w:noProof/>
              </w:rPr>
              <w:t>II KW.</w:t>
            </w:r>
          </w:p>
        </w:tc>
        <w:tc>
          <w:tcPr>
            <w:tcW w:w="709" w:type="dxa"/>
            <w:shd w:val="clear" w:color="auto" w:fill="C6EFCE"/>
            <w:vAlign w:val="center"/>
          </w:tcPr>
          <w:p w14:paraId="7D880E13" w14:textId="77777777" w:rsidR="004C6421" w:rsidRDefault="009D1962">
            <w:pPr>
              <w:pStyle w:val="P68B1DB1-Normal4"/>
              <w:spacing w:before="120" w:after="120"/>
              <w:jc w:val="center"/>
              <w:rPr>
                <w:noProof/>
              </w:rPr>
            </w:pPr>
            <w:r>
              <w:rPr>
                <w:noProof/>
              </w:rPr>
              <w:t>2022</w:t>
            </w:r>
          </w:p>
        </w:tc>
        <w:tc>
          <w:tcPr>
            <w:tcW w:w="3794" w:type="dxa"/>
            <w:shd w:val="clear" w:color="auto" w:fill="C6EFCE"/>
            <w:vAlign w:val="center"/>
          </w:tcPr>
          <w:p w14:paraId="6790FC24" w14:textId="77777777" w:rsidR="004C6421" w:rsidRDefault="009D1962">
            <w:pPr>
              <w:pStyle w:val="P68B1DB1-Normal4"/>
              <w:spacing w:before="120" w:after="120"/>
              <w:rPr>
                <w:noProof/>
              </w:rPr>
            </w:pPr>
            <w:r>
              <w:rPr>
                <w:noProof/>
              </w:rPr>
              <w:t>Powiadomienie o udzieleniu wszystkich zamówień publicznych na projekty szybszego połączenia, które obejmują (i) „Italia a 1 Giga”, (ii) „Italia 5G”, (iii) „Szkoły połączone”, (iv) „Połączone placówki opieki zdrowotnej”; oraz (v) „połączone mniejsze wyspy”.</w:t>
            </w:r>
          </w:p>
        </w:tc>
      </w:tr>
      <w:tr w:rsidR="004C6421" w14:paraId="1B8CC50F" w14:textId="77777777">
        <w:trPr>
          <w:trHeight w:val="315"/>
        </w:trPr>
        <w:tc>
          <w:tcPr>
            <w:tcW w:w="1424" w:type="dxa"/>
            <w:shd w:val="clear" w:color="auto" w:fill="C6EFCE"/>
            <w:vAlign w:val="center"/>
          </w:tcPr>
          <w:p w14:paraId="072B10EC" w14:textId="77777777" w:rsidR="004C6421" w:rsidRDefault="009D1962">
            <w:pPr>
              <w:pStyle w:val="P68B1DB1-Normal4"/>
              <w:spacing w:before="120" w:after="120"/>
              <w:jc w:val="center"/>
              <w:rPr>
                <w:noProof/>
              </w:rPr>
            </w:pPr>
            <w:r>
              <w:rPr>
                <w:noProof/>
              </w:rPr>
              <w:t>M1C2-17</w:t>
            </w:r>
          </w:p>
        </w:tc>
        <w:tc>
          <w:tcPr>
            <w:tcW w:w="1578" w:type="dxa"/>
            <w:shd w:val="clear" w:color="auto" w:fill="C6EFCE"/>
            <w:vAlign w:val="center"/>
          </w:tcPr>
          <w:p w14:paraId="1A34EC4D" w14:textId="77777777" w:rsidR="004C6421" w:rsidRDefault="009D1962">
            <w:pPr>
              <w:pStyle w:val="P68B1DB1-Normal4"/>
              <w:spacing w:before="120" w:after="120"/>
              <w:jc w:val="center"/>
              <w:rPr>
                <w:noProof/>
              </w:rPr>
            </w:pPr>
            <w:r>
              <w:rPr>
                <w:noProof/>
              </w:rPr>
              <w:t>Inwestycja 3: Szybkie połączenia internetowe (sieci szerokopasmowe i 5G)</w:t>
            </w:r>
          </w:p>
        </w:tc>
        <w:tc>
          <w:tcPr>
            <w:tcW w:w="1078" w:type="dxa"/>
            <w:shd w:val="clear" w:color="auto" w:fill="C6EFCE"/>
            <w:vAlign w:val="center"/>
          </w:tcPr>
          <w:p w14:paraId="7B5A1325" w14:textId="77777777" w:rsidR="004C6421" w:rsidRDefault="009D1962">
            <w:pPr>
              <w:pStyle w:val="P68B1DB1-Normal4"/>
              <w:spacing w:before="120" w:after="120"/>
              <w:jc w:val="center"/>
              <w:rPr>
                <w:noProof/>
              </w:rPr>
            </w:pPr>
            <w:r>
              <w:rPr>
                <w:noProof/>
              </w:rPr>
              <w:t>Cel</w:t>
            </w:r>
          </w:p>
        </w:tc>
        <w:tc>
          <w:tcPr>
            <w:tcW w:w="1329" w:type="dxa"/>
            <w:shd w:val="clear" w:color="auto" w:fill="C6EFCE"/>
            <w:vAlign w:val="center"/>
          </w:tcPr>
          <w:p w14:paraId="499D7617" w14:textId="77777777" w:rsidR="004C6421" w:rsidRDefault="009D1962">
            <w:pPr>
              <w:pStyle w:val="P68B1DB1-Normal4"/>
              <w:spacing w:before="120" w:after="120"/>
              <w:jc w:val="center"/>
              <w:rPr>
                <w:noProof/>
              </w:rPr>
            </w:pPr>
            <w:r>
              <w:rPr>
                <w:noProof/>
              </w:rPr>
              <w:t>Liczba domów z łącznością 1 Gb/s</w:t>
            </w:r>
          </w:p>
        </w:tc>
        <w:tc>
          <w:tcPr>
            <w:tcW w:w="1275" w:type="dxa"/>
            <w:shd w:val="clear" w:color="auto" w:fill="C6EFCE"/>
            <w:vAlign w:val="center"/>
          </w:tcPr>
          <w:p w14:paraId="38C82FBD" w14:textId="77777777" w:rsidR="004C6421" w:rsidRDefault="009D1962">
            <w:pPr>
              <w:pStyle w:val="P68B1DB1-Normal4"/>
              <w:spacing w:before="120" w:after="120"/>
              <w:jc w:val="center"/>
              <w:rPr>
                <w:noProof/>
              </w:rPr>
            </w:pPr>
            <w:r>
              <w:rPr>
                <w:noProof/>
              </w:rPr>
              <w:t>NIE DOT.</w:t>
            </w:r>
          </w:p>
        </w:tc>
        <w:tc>
          <w:tcPr>
            <w:tcW w:w="1134" w:type="dxa"/>
            <w:shd w:val="clear" w:color="auto" w:fill="C6EFCE"/>
            <w:vAlign w:val="center"/>
          </w:tcPr>
          <w:p w14:paraId="72DC4843" w14:textId="77777777" w:rsidR="004C6421" w:rsidRDefault="009D1962">
            <w:pPr>
              <w:pStyle w:val="P68B1DB1-Normal4"/>
              <w:spacing w:before="120" w:after="120"/>
              <w:jc w:val="center"/>
              <w:rPr>
                <w:noProof/>
              </w:rPr>
            </w:pPr>
            <w:r>
              <w:rPr>
                <w:noProof/>
              </w:rPr>
              <w:t>Numer</w:t>
            </w:r>
          </w:p>
        </w:tc>
        <w:tc>
          <w:tcPr>
            <w:tcW w:w="993" w:type="dxa"/>
            <w:shd w:val="clear" w:color="auto" w:fill="C6EFCE"/>
            <w:vAlign w:val="center"/>
          </w:tcPr>
          <w:p w14:paraId="07CD340B" w14:textId="77777777" w:rsidR="004C6421" w:rsidRDefault="009D1962">
            <w:pPr>
              <w:pStyle w:val="P68B1DB1-Normal4"/>
              <w:spacing w:before="120" w:after="120"/>
              <w:jc w:val="center"/>
              <w:rPr>
                <w:noProof/>
              </w:rPr>
            </w:pPr>
            <w:r>
              <w:rPr>
                <w:noProof/>
              </w:rPr>
              <w:t>0</w:t>
            </w:r>
          </w:p>
        </w:tc>
        <w:tc>
          <w:tcPr>
            <w:tcW w:w="992" w:type="dxa"/>
            <w:shd w:val="clear" w:color="auto" w:fill="C6EFCE"/>
            <w:vAlign w:val="center"/>
          </w:tcPr>
          <w:p w14:paraId="66524DA8" w14:textId="77777777" w:rsidR="004C6421" w:rsidRDefault="009D1962">
            <w:pPr>
              <w:pStyle w:val="P68B1DB1-Normal4"/>
              <w:spacing w:before="120" w:after="120"/>
              <w:jc w:val="center"/>
              <w:rPr>
                <w:noProof/>
              </w:rPr>
            </w:pPr>
            <w:r>
              <w:rPr>
                <w:noProof/>
              </w:rPr>
              <w:t>3 400 000</w:t>
            </w:r>
          </w:p>
        </w:tc>
        <w:tc>
          <w:tcPr>
            <w:tcW w:w="850" w:type="dxa"/>
            <w:shd w:val="clear" w:color="auto" w:fill="C6EFCE"/>
            <w:vAlign w:val="center"/>
          </w:tcPr>
          <w:p w14:paraId="7E7A00B1" w14:textId="77777777" w:rsidR="004C6421" w:rsidRDefault="009D1962">
            <w:pPr>
              <w:pStyle w:val="P68B1DB1-Normal4"/>
              <w:spacing w:before="120" w:after="120"/>
              <w:jc w:val="center"/>
              <w:rPr>
                <w:noProof/>
              </w:rPr>
            </w:pPr>
            <w:r>
              <w:rPr>
                <w:noProof/>
              </w:rPr>
              <w:t>II KW.</w:t>
            </w:r>
          </w:p>
        </w:tc>
        <w:tc>
          <w:tcPr>
            <w:tcW w:w="709" w:type="dxa"/>
            <w:shd w:val="clear" w:color="auto" w:fill="C6EFCE"/>
            <w:vAlign w:val="center"/>
          </w:tcPr>
          <w:p w14:paraId="29797E43" w14:textId="77777777" w:rsidR="004C6421" w:rsidRDefault="009D1962">
            <w:pPr>
              <w:pStyle w:val="P68B1DB1-Normal4"/>
              <w:spacing w:before="120" w:after="120"/>
              <w:jc w:val="center"/>
              <w:rPr>
                <w:noProof/>
              </w:rPr>
            </w:pPr>
            <w:r>
              <w:rPr>
                <w:noProof/>
              </w:rPr>
              <w:t>2026</w:t>
            </w:r>
          </w:p>
        </w:tc>
        <w:tc>
          <w:tcPr>
            <w:tcW w:w="3794" w:type="dxa"/>
            <w:shd w:val="clear" w:color="auto" w:fill="C6EFCE"/>
            <w:vAlign w:val="center"/>
          </w:tcPr>
          <w:p w14:paraId="34EDA2D6" w14:textId="77777777" w:rsidR="004C6421" w:rsidRDefault="009D1962">
            <w:pPr>
              <w:pStyle w:val="P68B1DB1-Normal4"/>
              <w:rPr>
                <w:noProof/>
              </w:rPr>
            </w:pPr>
            <w:r>
              <w:rPr>
                <w:noProof/>
              </w:rPr>
              <w:t>Co najmniej 3400000 dodatkowych lokali mieszkalnych (w tym co najmniej 450000 rozproszonych gospodarstw domowych, tj. zlokalizowanych na obszarach oddalonych) połączonych z łącznością o przepustowości co najmniej 1 Gb/s przez Fiber-to-the-the-home/budynek (FTTH/B), stały dostęp bezprzewodowy (FWA)</w:t>
            </w:r>
          </w:p>
        </w:tc>
      </w:tr>
      <w:tr w:rsidR="004C6421" w14:paraId="4935423A" w14:textId="77777777">
        <w:trPr>
          <w:trHeight w:val="315"/>
        </w:trPr>
        <w:tc>
          <w:tcPr>
            <w:tcW w:w="1424" w:type="dxa"/>
            <w:shd w:val="clear" w:color="auto" w:fill="C6EFCE"/>
            <w:vAlign w:val="center"/>
          </w:tcPr>
          <w:p w14:paraId="027097B6" w14:textId="77777777" w:rsidR="004C6421" w:rsidRDefault="009D1962">
            <w:pPr>
              <w:pStyle w:val="P68B1DB1-Normal4"/>
              <w:spacing w:before="120" w:after="120"/>
              <w:jc w:val="center"/>
              <w:rPr>
                <w:noProof/>
              </w:rPr>
            </w:pPr>
            <w:r>
              <w:rPr>
                <w:noProof/>
              </w:rPr>
              <w:t>M1C2-18</w:t>
            </w:r>
          </w:p>
        </w:tc>
        <w:tc>
          <w:tcPr>
            <w:tcW w:w="1578" w:type="dxa"/>
            <w:shd w:val="clear" w:color="auto" w:fill="C6EFCE"/>
            <w:vAlign w:val="center"/>
          </w:tcPr>
          <w:p w14:paraId="3478CAA1" w14:textId="77777777" w:rsidR="004C6421" w:rsidRDefault="009D1962">
            <w:pPr>
              <w:pStyle w:val="P68B1DB1-Normal4"/>
              <w:spacing w:before="120" w:after="120"/>
              <w:jc w:val="center"/>
              <w:rPr>
                <w:noProof/>
              </w:rPr>
            </w:pPr>
            <w:r>
              <w:rPr>
                <w:noProof/>
              </w:rPr>
              <w:t>Inwestycja 3: Szybkie połączenia internetowe (sieci szerokopasmowe i 5G)</w:t>
            </w:r>
          </w:p>
        </w:tc>
        <w:tc>
          <w:tcPr>
            <w:tcW w:w="1078" w:type="dxa"/>
            <w:shd w:val="clear" w:color="auto" w:fill="C6EFCE"/>
            <w:vAlign w:val="center"/>
          </w:tcPr>
          <w:p w14:paraId="19024E19" w14:textId="77777777" w:rsidR="004C6421" w:rsidRDefault="009D1962">
            <w:pPr>
              <w:pStyle w:val="P68B1DB1-Normal4"/>
              <w:spacing w:before="120" w:after="120"/>
              <w:jc w:val="center"/>
              <w:rPr>
                <w:noProof/>
              </w:rPr>
            </w:pPr>
            <w:r>
              <w:rPr>
                <w:noProof/>
              </w:rPr>
              <w:t>Cel</w:t>
            </w:r>
          </w:p>
        </w:tc>
        <w:tc>
          <w:tcPr>
            <w:tcW w:w="1329" w:type="dxa"/>
            <w:shd w:val="clear" w:color="auto" w:fill="C6EFCE"/>
            <w:vAlign w:val="center"/>
          </w:tcPr>
          <w:p w14:paraId="087AC3C4" w14:textId="77777777" w:rsidR="004C6421" w:rsidRDefault="009D1962">
            <w:pPr>
              <w:pStyle w:val="P68B1DB1-Normal4"/>
              <w:spacing w:before="120" w:after="120"/>
              <w:jc w:val="center"/>
              <w:rPr>
                <w:noProof/>
              </w:rPr>
            </w:pPr>
            <w:r>
              <w:rPr>
                <w:noProof/>
              </w:rPr>
              <w:t>Budynki szkół i placówki opieki zdrowotnej zapewniające łączność o przepustowości 1 Gb/s</w:t>
            </w:r>
          </w:p>
        </w:tc>
        <w:tc>
          <w:tcPr>
            <w:tcW w:w="1275" w:type="dxa"/>
            <w:shd w:val="clear" w:color="auto" w:fill="C6EFCE"/>
            <w:vAlign w:val="center"/>
          </w:tcPr>
          <w:p w14:paraId="68B4EFE5" w14:textId="77777777" w:rsidR="004C6421" w:rsidRDefault="009D1962">
            <w:pPr>
              <w:pStyle w:val="P68B1DB1-Normal4"/>
              <w:spacing w:before="120" w:after="120"/>
              <w:jc w:val="center"/>
              <w:rPr>
                <w:noProof/>
              </w:rPr>
            </w:pPr>
            <w:r>
              <w:rPr>
                <w:noProof/>
              </w:rPr>
              <w:t>NIE DOT.</w:t>
            </w:r>
          </w:p>
        </w:tc>
        <w:tc>
          <w:tcPr>
            <w:tcW w:w="1134" w:type="dxa"/>
            <w:shd w:val="clear" w:color="auto" w:fill="C6EFCE"/>
            <w:vAlign w:val="center"/>
          </w:tcPr>
          <w:p w14:paraId="00641F27" w14:textId="77777777" w:rsidR="004C6421" w:rsidRDefault="009D1962">
            <w:pPr>
              <w:pStyle w:val="P68B1DB1-Normal4"/>
              <w:spacing w:before="120" w:after="120"/>
              <w:jc w:val="center"/>
              <w:rPr>
                <w:noProof/>
              </w:rPr>
            </w:pPr>
            <w:r>
              <w:rPr>
                <w:noProof/>
              </w:rPr>
              <w:t>Numer</w:t>
            </w:r>
          </w:p>
        </w:tc>
        <w:tc>
          <w:tcPr>
            <w:tcW w:w="993" w:type="dxa"/>
            <w:shd w:val="clear" w:color="auto" w:fill="C6EFCE"/>
            <w:vAlign w:val="center"/>
          </w:tcPr>
          <w:p w14:paraId="1C0BD16B" w14:textId="77777777" w:rsidR="004C6421" w:rsidRDefault="009D1962">
            <w:pPr>
              <w:pStyle w:val="P68B1DB1-Normal4"/>
              <w:spacing w:before="120" w:after="120"/>
              <w:jc w:val="center"/>
              <w:rPr>
                <w:noProof/>
              </w:rPr>
            </w:pPr>
            <w:r>
              <w:rPr>
                <w:noProof/>
              </w:rPr>
              <w:t>0</w:t>
            </w:r>
          </w:p>
        </w:tc>
        <w:tc>
          <w:tcPr>
            <w:tcW w:w="992" w:type="dxa"/>
            <w:shd w:val="clear" w:color="auto" w:fill="C6EFCE"/>
            <w:vAlign w:val="center"/>
          </w:tcPr>
          <w:p w14:paraId="0C6DBCD5" w14:textId="77777777" w:rsidR="004C6421" w:rsidRDefault="009D1962">
            <w:pPr>
              <w:pStyle w:val="P68B1DB1-Normal4"/>
              <w:spacing w:before="120" w:after="120"/>
              <w:jc w:val="center"/>
              <w:rPr>
                <w:noProof/>
              </w:rPr>
            </w:pPr>
            <w:r>
              <w:rPr>
                <w:noProof/>
              </w:rPr>
              <w:t>17 700</w:t>
            </w:r>
          </w:p>
        </w:tc>
        <w:tc>
          <w:tcPr>
            <w:tcW w:w="850" w:type="dxa"/>
            <w:shd w:val="clear" w:color="auto" w:fill="C6EFCE"/>
            <w:vAlign w:val="center"/>
          </w:tcPr>
          <w:p w14:paraId="68F1F9C3" w14:textId="77777777" w:rsidR="004C6421" w:rsidRDefault="009D1962">
            <w:pPr>
              <w:pStyle w:val="P68B1DB1-Normal4"/>
              <w:spacing w:before="120" w:after="120"/>
              <w:jc w:val="center"/>
              <w:rPr>
                <w:noProof/>
              </w:rPr>
            </w:pPr>
            <w:r>
              <w:rPr>
                <w:noProof/>
              </w:rPr>
              <w:t>II KW.</w:t>
            </w:r>
          </w:p>
        </w:tc>
        <w:tc>
          <w:tcPr>
            <w:tcW w:w="709" w:type="dxa"/>
            <w:shd w:val="clear" w:color="auto" w:fill="C6EFCE"/>
            <w:vAlign w:val="center"/>
          </w:tcPr>
          <w:p w14:paraId="2607AB7F" w14:textId="77777777" w:rsidR="004C6421" w:rsidRDefault="009D1962">
            <w:pPr>
              <w:pStyle w:val="P68B1DB1-Normal4"/>
              <w:spacing w:before="120" w:after="120"/>
              <w:jc w:val="center"/>
              <w:rPr>
                <w:noProof/>
              </w:rPr>
            </w:pPr>
            <w:r>
              <w:rPr>
                <w:noProof/>
              </w:rPr>
              <w:t>2026</w:t>
            </w:r>
          </w:p>
        </w:tc>
        <w:tc>
          <w:tcPr>
            <w:tcW w:w="3794" w:type="dxa"/>
            <w:shd w:val="clear" w:color="auto" w:fill="C6EFCE"/>
            <w:vAlign w:val="center"/>
          </w:tcPr>
          <w:p w14:paraId="0F4AF211" w14:textId="77777777" w:rsidR="004C6421" w:rsidRDefault="009D1962">
            <w:pPr>
              <w:pStyle w:val="P68B1DB1-Normal4"/>
              <w:spacing w:before="120" w:after="120"/>
              <w:rPr>
                <w:noProof/>
              </w:rPr>
            </w:pPr>
            <w:r>
              <w:rPr>
                <w:noProof/>
              </w:rPr>
              <w:t>Co najmniej 9000 dodatkowych szkół i 8700 publicznych placówek opieki zdrowotnej zapewniających łączność o przepustowości co najmniej 1 Gb/s.</w:t>
            </w:r>
          </w:p>
        </w:tc>
      </w:tr>
      <w:tr w:rsidR="004C6421" w14:paraId="763615D5" w14:textId="77777777">
        <w:trPr>
          <w:trHeight w:val="315"/>
        </w:trPr>
        <w:tc>
          <w:tcPr>
            <w:tcW w:w="1424" w:type="dxa"/>
            <w:shd w:val="clear" w:color="auto" w:fill="C6EFCE"/>
            <w:vAlign w:val="center"/>
          </w:tcPr>
          <w:p w14:paraId="1B3A92EC" w14:textId="77777777" w:rsidR="004C6421" w:rsidRDefault="009D1962">
            <w:pPr>
              <w:pStyle w:val="P68B1DB1-Normal4"/>
              <w:spacing w:before="120" w:after="120"/>
              <w:jc w:val="center"/>
              <w:rPr>
                <w:noProof/>
              </w:rPr>
            </w:pPr>
            <w:r>
              <w:rPr>
                <w:noProof/>
              </w:rPr>
              <w:t>M1C2-19</w:t>
            </w:r>
          </w:p>
        </w:tc>
        <w:tc>
          <w:tcPr>
            <w:tcW w:w="1578" w:type="dxa"/>
            <w:shd w:val="clear" w:color="auto" w:fill="C6EFCE"/>
            <w:vAlign w:val="center"/>
          </w:tcPr>
          <w:p w14:paraId="31233822" w14:textId="77777777" w:rsidR="004C6421" w:rsidRDefault="009D1962">
            <w:pPr>
              <w:pStyle w:val="P68B1DB1-Normal4"/>
              <w:spacing w:before="120" w:after="120"/>
              <w:jc w:val="center"/>
              <w:rPr>
                <w:noProof/>
              </w:rPr>
            </w:pPr>
            <w:r>
              <w:rPr>
                <w:noProof/>
              </w:rPr>
              <w:t>Inwestycja 3: Szybkie połączenia internetowe (sieci szerokopasmowe i 5G)</w:t>
            </w:r>
          </w:p>
        </w:tc>
        <w:tc>
          <w:tcPr>
            <w:tcW w:w="1078" w:type="dxa"/>
            <w:shd w:val="clear" w:color="auto" w:fill="C6EFCE"/>
            <w:vAlign w:val="center"/>
          </w:tcPr>
          <w:p w14:paraId="2F2D465F" w14:textId="77777777" w:rsidR="004C6421" w:rsidRDefault="009D1962">
            <w:pPr>
              <w:pStyle w:val="P68B1DB1-Normal4"/>
              <w:spacing w:before="120" w:after="120"/>
              <w:jc w:val="center"/>
              <w:rPr>
                <w:noProof/>
              </w:rPr>
            </w:pPr>
            <w:r>
              <w:rPr>
                <w:noProof/>
              </w:rPr>
              <w:t>Cel</w:t>
            </w:r>
          </w:p>
        </w:tc>
        <w:tc>
          <w:tcPr>
            <w:tcW w:w="1329" w:type="dxa"/>
            <w:shd w:val="clear" w:color="auto" w:fill="C6EFCE"/>
            <w:vAlign w:val="center"/>
          </w:tcPr>
          <w:p w14:paraId="76F17211" w14:textId="77777777" w:rsidR="004C6421" w:rsidRDefault="009D1962">
            <w:pPr>
              <w:pStyle w:val="P68B1DB1-Normal4"/>
              <w:spacing w:before="120" w:after="120"/>
              <w:jc w:val="center"/>
              <w:rPr>
                <w:noProof/>
              </w:rPr>
            </w:pPr>
            <w:r>
              <w:rPr>
                <w:noProof/>
              </w:rPr>
              <w:t>Wyspy zapewniają łączność ultraszerokopasmową</w:t>
            </w:r>
          </w:p>
        </w:tc>
        <w:tc>
          <w:tcPr>
            <w:tcW w:w="1275" w:type="dxa"/>
            <w:shd w:val="clear" w:color="auto" w:fill="C6EFCE"/>
            <w:vAlign w:val="center"/>
          </w:tcPr>
          <w:p w14:paraId="27B1E1ED" w14:textId="77777777" w:rsidR="004C6421" w:rsidRDefault="009D1962">
            <w:pPr>
              <w:pStyle w:val="P68B1DB1-Normal4"/>
              <w:spacing w:before="120" w:after="120"/>
              <w:jc w:val="center"/>
              <w:rPr>
                <w:noProof/>
              </w:rPr>
            </w:pPr>
            <w:r>
              <w:rPr>
                <w:noProof/>
              </w:rPr>
              <w:t>NIE DOT.</w:t>
            </w:r>
          </w:p>
        </w:tc>
        <w:tc>
          <w:tcPr>
            <w:tcW w:w="1134" w:type="dxa"/>
            <w:shd w:val="clear" w:color="auto" w:fill="C6EFCE"/>
            <w:vAlign w:val="center"/>
          </w:tcPr>
          <w:p w14:paraId="6E34FC5D" w14:textId="77777777" w:rsidR="004C6421" w:rsidRDefault="009D1962">
            <w:pPr>
              <w:pStyle w:val="P68B1DB1-Normal4"/>
              <w:spacing w:before="120" w:after="120"/>
              <w:jc w:val="center"/>
              <w:rPr>
                <w:noProof/>
              </w:rPr>
            </w:pPr>
            <w:r>
              <w:rPr>
                <w:noProof/>
              </w:rPr>
              <w:t>Numer</w:t>
            </w:r>
          </w:p>
        </w:tc>
        <w:tc>
          <w:tcPr>
            <w:tcW w:w="993" w:type="dxa"/>
            <w:shd w:val="clear" w:color="auto" w:fill="C6EFCE"/>
            <w:vAlign w:val="center"/>
          </w:tcPr>
          <w:p w14:paraId="01C26FA1" w14:textId="77777777" w:rsidR="004C6421" w:rsidRDefault="009D1962">
            <w:pPr>
              <w:pStyle w:val="P68B1DB1-Normal4"/>
              <w:spacing w:before="120" w:after="120"/>
              <w:jc w:val="center"/>
              <w:rPr>
                <w:noProof/>
              </w:rPr>
            </w:pPr>
            <w:r>
              <w:rPr>
                <w:noProof/>
              </w:rPr>
              <w:t>0</w:t>
            </w:r>
          </w:p>
        </w:tc>
        <w:tc>
          <w:tcPr>
            <w:tcW w:w="992" w:type="dxa"/>
            <w:shd w:val="clear" w:color="auto" w:fill="C6EFCE"/>
            <w:vAlign w:val="center"/>
          </w:tcPr>
          <w:p w14:paraId="1B412013" w14:textId="77777777" w:rsidR="004C6421" w:rsidRDefault="009D1962">
            <w:pPr>
              <w:pStyle w:val="P68B1DB1-Normal4"/>
              <w:spacing w:before="120" w:after="120"/>
              <w:jc w:val="center"/>
              <w:rPr>
                <w:noProof/>
              </w:rPr>
            </w:pPr>
            <w:r>
              <w:rPr>
                <w:noProof/>
              </w:rPr>
              <w:t>18</w:t>
            </w:r>
          </w:p>
        </w:tc>
        <w:tc>
          <w:tcPr>
            <w:tcW w:w="850" w:type="dxa"/>
            <w:shd w:val="clear" w:color="auto" w:fill="C6EFCE"/>
            <w:vAlign w:val="center"/>
          </w:tcPr>
          <w:p w14:paraId="2C782F4E" w14:textId="1AB346CE" w:rsidR="004C6421" w:rsidRDefault="00CC179E">
            <w:pPr>
              <w:pStyle w:val="P68B1DB1-Normal4"/>
              <w:spacing w:before="120" w:after="120"/>
              <w:jc w:val="center"/>
              <w:rPr>
                <w:noProof/>
              </w:rPr>
            </w:pPr>
            <w:r>
              <w:rPr>
                <w:noProof/>
              </w:rPr>
              <w:t>KW. 4</w:t>
            </w:r>
          </w:p>
        </w:tc>
        <w:tc>
          <w:tcPr>
            <w:tcW w:w="709" w:type="dxa"/>
            <w:shd w:val="clear" w:color="auto" w:fill="C6EFCE"/>
            <w:vAlign w:val="center"/>
          </w:tcPr>
          <w:p w14:paraId="19BB88DF" w14:textId="77777777" w:rsidR="004C6421" w:rsidRDefault="009D1962">
            <w:pPr>
              <w:pStyle w:val="P68B1DB1-Normal4"/>
              <w:spacing w:before="120" w:after="120"/>
              <w:jc w:val="center"/>
              <w:rPr>
                <w:noProof/>
              </w:rPr>
            </w:pPr>
            <w:r>
              <w:rPr>
                <w:noProof/>
              </w:rPr>
              <w:t>2024</w:t>
            </w:r>
          </w:p>
        </w:tc>
        <w:tc>
          <w:tcPr>
            <w:tcW w:w="3794" w:type="dxa"/>
            <w:shd w:val="clear" w:color="auto" w:fill="C6EFCE"/>
            <w:vAlign w:val="center"/>
          </w:tcPr>
          <w:p w14:paraId="4A7E9C11" w14:textId="77777777" w:rsidR="004C6421" w:rsidRDefault="009D1962">
            <w:pPr>
              <w:pStyle w:val="P68B1DB1-Normal4"/>
              <w:spacing w:before="120" w:after="120"/>
              <w:rPr>
                <w:noProof/>
              </w:rPr>
            </w:pPr>
            <w:r>
              <w:rPr>
                <w:noProof/>
              </w:rPr>
              <w:t>Co najmniej 18 dodatkowych wysp pozbawionych połączeń światłowodowych z kontynentem, zaopatrzonych w ultraszerokopasmową łączność dzięki nowemu dosyłowi optycznemu.</w:t>
            </w:r>
          </w:p>
        </w:tc>
      </w:tr>
      <w:tr w:rsidR="004C6421" w14:paraId="42BFD2EC" w14:textId="77777777">
        <w:trPr>
          <w:trHeight w:val="315"/>
        </w:trPr>
        <w:tc>
          <w:tcPr>
            <w:tcW w:w="1424" w:type="dxa"/>
            <w:shd w:val="clear" w:color="auto" w:fill="C6EFCE"/>
            <w:vAlign w:val="center"/>
          </w:tcPr>
          <w:p w14:paraId="13F08E88" w14:textId="77777777" w:rsidR="004C6421" w:rsidRDefault="009D1962">
            <w:pPr>
              <w:pStyle w:val="P68B1DB1-Normal4"/>
              <w:spacing w:before="120" w:after="120"/>
              <w:jc w:val="center"/>
              <w:rPr>
                <w:noProof/>
              </w:rPr>
            </w:pPr>
            <w:r>
              <w:rPr>
                <w:noProof/>
              </w:rPr>
              <w:t>M1C2-20</w:t>
            </w:r>
          </w:p>
        </w:tc>
        <w:tc>
          <w:tcPr>
            <w:tcW w:w="1578" w:type="dxa"/>
            <w:shd w:val="clear" w:color="auto" w:fill="C6EFCE"/>
            <w:vAlign w:val="center"/>
          </w:tcPr>
          <w:p w14:paraId="0E98BE84" w14:textId="77777777" w:rsidR="004C6421" w:rsidRDefault="009D1962">
            <w:pPr>
              <w:pStyle w:val="P68B1DB1-Normal4"/>
              <w:spacing w:before="120" w:after="120"/>
              <w:jc w:val="center"/>
              <w:rPr>
                <w:noProof/>
              </w:rPr>
            </w:pPr>
            <w:r>
              <w:rPr>
                <w:noProof/>
              </w:rPr>
              <w:t>Inwestycja 3: Szybkie połączenia internetowe (sieci szerokopasmowe i 5G)</w:t>
            </w:r>
          </w:p>
        </w:tc>
        <w:tc>
          <w:tcPr>
            <w:tcW w:w="1078" w:type="dxa"/>
            <w:shd w:val="clear" w:color="auto" w:fill="C6EFCE"/>
            <w:vAlign w:val="center"/>
          </w:tcPr>
          <w:p w14:paraId="14D18FE5" w14:textId="77777777" w:rsidR="004C6421" w:rsidRDefault="009D1962">
            <w:pPr>
              <w:pStyle w:val="P68B1DB1-Normal4"/>
              <w:spacing w:before="120" w:after="120"/>
              <w:jc w:val="center"/>
              <w:rPr>
                <w:noProof/>
              </w:rPr>
            </w:pPr>
            <w:r>
              <w:rPr>
                <w:noProof/>
              </w:rPr>
              <w:t>Cel</w:t>
            </w:r>
          </w:p>
        </w:tc>
        <w:tc>
          <w:tcPr>
            <w:tcW w:w="1329" w:type="dxa"/>
            <w:shd w:val="clear" w:color="auto" w:fill="C6EFCE"/>
            <w:vAlign w:val="center"/>
          </w:tcPr>
          <w:p w14:paraId="4689F1AC" w14:textId="77777777" w:rsidR="004C6421" w:rsidRDefault="009D1962">
            <w:pPr>
              <w:pStyle w:val="P68B1DB1-Normal4"/>
              <w:spacing w:before="120" w:after="120"/>
              <w:jc w:val="center"/>
              <w:rPr>
                <w:noProof/>
              </w:rPr>
            </w:pPr>
            <w:r>
              <w:rPr>
                <w:noProof/>
              </w:rPr>
              <w:t>Drogi i korytarze pozamiejskie o zasięgu sieci 5G</w:t>
            </w:r>
          </w:p>
        </w:tc>
        <w:tc>
          <w:tcPr>
            <w:tcW w:w="1275" w:type="dxa"/>
            <w:shd w:val="clear" w:color="auto" w:fill="C6EFCE"/>
            <w:vAlign w:val="center"/>
          </w:tcPr>
          <w:p w14:paraId="35093724" w14:textId="77777777" w:rsidR="004C6421" w:rsidRDefault="009D1962">
            <w:pPr>
              <w:pStyle w:val="P68B1DB1-Normal4"/>
              <w:spacing w:before="120" w:after="120"/>
              <w:jc w:val="center"/>
              <w:rPr>
                <w:noProof/>
              </w:rPr>
            </w:pPr>
            <w:r>
              <w:rPr>
                <w:noProof/>
              </w:rPr>
              <w:t>NIE DOT.</w:t>
            </w:r>
          </w:p>
        </w:tc>
        <w:tc>
          <w:tcPr>
            <w:tcW w:w="1134" w:type="dxa"/>
            <w:shd w:val="clear" w:color="auto" w:fill="C6EFCE"/>
            <w:vAlign w:val="center"/>
          </w:tcPr>
          <w:p w14:paraId="3D9529E2" w14:textId="77777777" w:rsidR="004C6421" w:rsidRDefault="009D1962">
            <w:pPr>
              <w:pStyle w:val="P68B1DB1-Normal4"/>
              <w:spacing w:before="120" w:after="120"/>
              <w:jc w:val="center"/>
              <w:rPr>
                <w:noProof/>
              </w:rPr>
            </w:pPr>
            <w:r>
              <w:rPr>
                <w:noProof/>
              </w:rPr>
              <w:t>Numer</w:t>
            </w:r>
          </w:p>
        </w:tc>
        <w:tc>
          <w:tcPr>
            <w:tcW w:w="993" w:type="dxa"/>
            <w:shd w:val="clear" w:color="auto" w:fill="C6EFCE"/>
            <w:vAlign w:val="center"/>
          </w:tcPr>
          <w:p w14:paraId="1E7499B9" w14:textId="77777777" w:rsidR="004C6421" w:rsidRDefault="009D1962">
            <w:pPr>
              <w:pStyle w:val="P68B1DB1-Normal4"/>
              <w:spacing w:before="120" w:after="120"/>
              <w:jc w:val="center"/>
              <w:rPr>
                <w:noProof/>
              </w:rPr>
            </w:pPr>
            <w:r>
              <w:rPr>
                <w:noProof/>
              </w:rPr>
              <w:t>0</w:t>
            </w:r>
          </w:p>
        </w:tc>
        <w:tc>
          <w:tcPr>
            <w:tcW w:w="992" w:type="dxa"/>
            <w:shd w:val="clear" w:color="auto" w:fill="C6EFCE"/>
            <w:vAlign w:val="center"/>
          </w:tcPr>
          <w:p w14:paraId="7A3A00C8" w14:textId="77777777" w:rsidR="004C6421" w:rsidRDefault="009D1962">
            <w:pPr>
              <w:pStyle w:val="P68B1DB1-Normal4"/>
              <w:spacing w:before="120" w:after="160" w:line="257" w:lineRule="auto"/>
              <w:jc w:val="center"/>
              <w:rPr>
                <w:noProof/>
              </w:rPr>
            </w:pPr>
            <w:r>
              <w:rPr>
                <w:noProof/>
              </w:rPr>
              <w:t>12 600</w:t>
            </w:r>
          </w:p>
        </w:tc>
        <w:tc>
          <w:tcPr>
            <w:tcW w:w="850" w:type="dxa"/>
            <w:shd w:val="clear" w:color="auto" w:fill="C6EFCE"/>
            <w:vAlign w:val="center"/>
          </w:tcPr>
          <w:p w14:paraId="1E3CE9CD" w14:textId="77777777" w:rsidR="004C6421" w:rsidRDefault="009D1962">
            <w:pPr>
              <w:pStyle w:val="P68B1DB1-Normal4"/>
              <w:spacing w:before="120" w:after="120"/>
              <w:jc w:val="center"/>
              <w:rPr>
                <w:noProof/>
              </w:rPr>
            </w:pPr>
            <w:r>
              <w:rPr>
                <w:noProof/>
              </w:rPr>
              <w:t>II KW.</w:t>
            </w:r>
          </w:p>
        </w:tc>
        <w:tc>
          <w:tcPr>
            <w:tcW w:w="709" w:type="dxa"/>
            <w:shd w:val="clear" w:color="auto" w:fill="C6EFCE"/>
            <w:vAlign w:val="center"/>
          </w:tcPr>
          <w:p w14:paraId="21E21BBD" w14:textId="77777777" w:rsidR="004C6421" w:rsidRDefault="009D1962">
            <w:pPr>
              <w:pStyle w:val="P68B1DB1-Normal4"/>
              <w:spacing w:before="120" w:after="120"/>
              <w:jc w:val="center"/>
              <w:rPr>
                <w:noProof/>
              </w:rPr>
            </w:pPr>
            <w:r>
              <w:rPr>
                <w:noProof/>
              </w:rPr>
              <w:t>2026</w:t>
            </w:r>
          </w:p>
        </w:tc>
        <w:tc>
          <w:tcPr>
            <w:tcW w:w="3794" w:type="dxa"/>
            <w:shd w:val="clear" w:color="auto" w:fill="C6EFCE"/>
            <w:vAlign w:val="center"/>
          </w:tcPr>
          <w:p w14:paraId="7A4EF953" w14:textId="77777777" w:rsidR="004C6421" w:rsidRDefault="009D1962">
            <w:pPr>
              <w:pStyle w:val="P68B1DB1-Normal4"/>
              <w:spacing w:before="120" w:after="120"/>
              <w:rPr>
                <w:noProof/>
              </w:rPr>
            </w:pPr>
            <w:r>
              <w:rPr>
                <w:noProof/>
              </w:rPr>
              <w:t>Co najmniej 12 600 km dróg pozamiejskich i korytarzy wyposażonych w sieć 5G.</w:t>
            </w:r>
          </w:p>
        </w:tc>
      </w:tr>
      <w:tr w:rsidR="004C6421" w14:paraId="76E5377D" w14:textId="77777777">
        <w:trPr>
          <w:trHeight w:val="315"/>
        </w:trPr>
        <w:tc>
          <w:tcPr>
            <w:tcW w:w="1424" w:type="dxa"/>
            <w:shd w:val="clear" w:color="auto" w:fill="C6EFCE"/>
            <w:vAlign w:val="center"/>
          </w:tcPr>
          <w:p w14:paraId="540B859E" w14:textId="77777777" w:rsidR="004C6421" w:rsidRDefault="009D1962">
            <w:pPr>
              <w:pStyle w:val="P68B1DB1-Normal4"/>
              <w:spacing w:before="120" w:after="120"/>
              <w:jc w:val="center"/>
              <w:rPr>
                <w:noProof/>
              </w:rPr>
            </w:pPr>
            <w:r>
              <w:rPr>
                <w:noProof/>
              </w:rPr>
              <w:t>M1C2-21</w:t>
            </w:r>
          </w:p>
        </w:tc>
        <w:tc>
          <w:tcPr>
            <w:tcW w:w="1578" w:type="dxa"/>
            <w:shd w:val="clear" w:color="auto" w:fill="C6EFCE"/>
            <w:vAlign w:val="center"/>
          </w:tcPr>
          <w:p w14:paraId="5911EF17" w14:textId="77777777" w:rsidR="004C6421" w:rsidRDefault="009D1962">
            <w:pPr>
              <w:pStyle w:val="P68B1DB1-Normal4"/>
              <w:spacing w:before="120" w:after="120"/>
              <w:jc w:val="center"/>
              <w:rPr>
                <w:noProof/>
              </w:rPr>
            </w:pPr>
            <w:r>
              <w:rPr>
                <w:noProof/>
              </w:rPr>
              <w:t>Inwestycja 3: Szybkie połączenia internetowe (sieci szerokopasmowe i 5G)</w:t>
            </w:r>
          </w:p>
        </w:tc>
        <w:tc>
          <w:tcPr>
            <w:tcW w:w="1078" w:type="dxa"/>
            <w:shd w:val="clear" w:color="auto" w:fill="C6EFCE"/>
            <w:vAlign w:val="center"/>
          </w:tcPr>
          <w:p w14:paraId="200E2664" w14:textId="77777777" w:rsidR="004C6421" w:rsidRDefault="009D1962">
            <w:pPr>
              <w:pStyle w:val="P68B1DB1-Normal4"/>
              <w:spacing w:before="120" w:after="120"/>
              <w:jc w:val="center"/>
              <w:rPr>
                <w:noProof/>
              </w:rPr>
            </w:pPr>
            <w:r>
              <w:rPr>
                <w:noProof/>
              </w:rPr>
              <w:t>Cel</w:t>
            </w:r>
          </w:p>
        </w:tc>
        <w:tc>
          <w:tcPr>
            <w:tcW w:w="1329" w:type="dxa"/>
            <w:shd w:val="clear" w:color="auto" w:fill="C6EFCE"/>
            <w:vAlign w:val="center"/>
          </w:tcPr>
          <w:p w14:paraId="59E3866B" w14:textId="77777777" w:rsidR="004C6421" w:rsidRDefault="009D1962">
            <w:pPr>
              <w:pStyle w:val="P68B1DB1-Normal4"/>
              <w:spacing w:before="120" w:after="120"/>
              <w:jc w:val="center"/>
              <w:rPr>
                <w:noProof/>
              </w:rPr>
            </w:pPr>
            <w:r>
              <w:rPr>
                <w:noProof/>
              </w:rPr>
              <w:t>Obszary niedoskonałości rynku o zasięgu sieci 5G</w:t>
            </w:r>
          </w:p>
        </w:tc>
        <w:tc>
          <w:tcPr>
            <w:tcW w:w="1275" w:type="dxa"/>
            <w:shd w:val="clear" w:color="auto" w:fill="C6EFCE"/>
            <w:vAlign w:val="center"/>
          </w:tcPr>
          <w:p w14:paraId="08A8AAA4" w14:textId="77777777" w:rsidR="004C6421" w:rsidRDefault="009D1962">
            <w:pPr>
              <w:pStyle w:val="P68B1DB1-Normal4"/>
              <w:spacing w:before="120" w:after="120"/>
              <w:jc w:val="center"/>
              <w:rPr>
                <w:noProof/>
              </w:rPr>
            </w:pPr>
            <w:r>
              <w:rPr>
                <w:noProof/>
              </w:rPr>
              <w:t>NIE DOT.</w:t>
            </w:r>
          </w:p>
        </w:tc>
        <w:tc>
          <w:tcPr>
            <w:tcW w:w="1134" w:type="dxa"/>
            <w:shd w:val="clear" w:color="auto" w:fill="C6EFCE"/>
            <w:vAlign w:val="center"/>
          </w:tcPr>
          <w:p w14:paraId="49A6FB0B" w14:textId="77777777" w:rsidR="004C6421" w:rsidRDefault="009D1962">
            <w:pPr>
              <w:pStyle w:val="P68B1DB1-Normal4"/>
              <w:spacing w:before="120" w:after="120"/>
              <w:jc w:val="center"/>
              <w:rPr>
                <w:noProof/>
              </w:rPr>
            </w:pPr>
            <w:r>
              <w:rPr>
                <w:noProof/>
              </w:rPr>
              <w:t>Numer</w:t>
            </w:r>
          </w:p>
        </w:tc>
        <w:tc>
          <w:tcPr>
            <w:tcW w:w="993" w:type="dxa"/>
            <w:shd w:val="clear" w:color="auto" w:fill="C6EFCE"/>
            <w:vAlign w:val="center"/>
          </w:tcPr>
          <w:p w14:paraId="25F9A7F2" w14:textId="77777777" w:rsidR="004C6421" w:rsidRDefault="009D1962">
            <w:pPr>
              <w:pStyle w:val="P68B1DB1-Normal4"/>
              <w:spacing w:before="120" w:after="120"/>
              <w:jc w:val="center"/>
              <w:rPr>
                <w:noProof/>
              </w:rPr>
            </w:pPr>
            <w:r>
              <w:rPr>
                <w:noProof/>
              </w:rPr>
              <w:t>0</w:t>
            </w:r>
          </w:p>
        </w:tc>
        <w:tc>
          <w:tcPr>
            <w:tcW w:w="992" w:type="dxa"/>
            <w:shd w:val="clear" w:color="auto" w:fill="C6EFCE"/>
            <w:vAlign w:val="center"/>
          </w:tcPr>
          <w:p w14:paraId="75ACA54F" w14:textId="77777777" w:rsidR="004C6421" w:rsidRDefault="009D1962">
            <w:pPr>
              <w:pStyle w:val="P68B1DB1-Normal4"/>
              <w:spacing w:before="120" w:after="120"/>
              <w:jc w:val="center"/>
              <w:rPr>
                <w:noProof/>
              </w:rPr>
            </w:pPr>
            <w:r>
              <w:rPr>
                <w:noProof/>
              </w:rPr>
              <w:t>1 400</w:t>
            </w:r>
          </w:p>
        </w:tc>
        <w:tc>
          <w:tcPr>
            <w:tcW w:w="850" w:type="dxa"/>
            <w:shd w:val="clear" w:color="auto" w:fill="C6EFCE"/>
            <w:vAlign w:val="center"/>
          </w:tcPr>
          <w:p w14:paraId="7B4EC2F4" w14:textId="77777777" w:rsidR="004C6421" w:rsidRDefault="009D1962">
            <w:pPr>
              <w:pStyle w:val="P68B1DB1-Normal4"/>
              <w:spacing w:before="120" w:after="120"/>
              <w:jc w:val="center"/>
              <w:rPr>
                <w:noProof/>
              </w:rPr>
            </w:pPr>
            <w:r>
              <w:rPr>
                <w:noProof/>
              </w:rPr>
              <w:t>II KW.</w:t>
            </w:r>
          </w:p>
        </w:tc>
        <w:tc>
          <w:tcPr>
            <w:tcW w:w="709" w:type="dxa"/>
            <w:shd w:val="clear" w:color="auto" w:fill="C6EFCE"/>
            <w:vAlign w:val="center"/>
          </w:tcPr>
          <w:p w14:paraId="179A0334" w14:textId="77777777" w:rsidR="004C6421" w:rsidRDefault="009D1962">
            <w:pPr>
              <w:pStyle w:val="P68B1DB1-Normal4"/>
              <w:spacing w:before="120" w:after="120"/>
              <w:jc w:val="center"/>
              <w:rPr>
                <w:noProof/>
              </w:rPr>
            </w:pPr>
            <w:r>
              <w:rPr>
                <w:noProof/>
              </w:rPr>
              <w:t>2026</w:t>
            </w:r>
          </w:p>
        </w:tc>
        <w:tc>
          <w:tcPr>
            <w:tcW w:w="3794" w:type="dxa"/>
            <w:shd w:val="clear" w:color="auto" w:fill="C6EFCE"/>
            <w:vAlign w:val="center"/>
          </w:tcPr>
          <w:p w14:paraId="0A799F69" w14:textId="77777777" w:rsidR="004C6421" w:rsidRDefault="009D1962">
            <w:pPr>
              <w:pStyle w:val="P68B1DB1-Normal4"/>
              <w:spacing w:before="120" w:after="120"/>
              <w:rPr>
                <w:noProof/>
              </w:rPr>
            </w:pPr>
            <w:r>
              <w:rPr>
                <w:noProof/>
              </w:rPr>
              <w:t>Co najmniej dodatkowe 1 400 km² niedoskonałości rynku na obszarach zaludnionych o zasięgu sieci 5G, z czego co najmniej 500 m² z zasięgiem 5G.</w:t>
            </w:r>
          </w:p>
        </w:tc>
      </w:tr>
      <w:tr w:rsidR="004C6421" w14:paraId="23953972" w14:textId="77777777">
        <w:trPr>
          <w:trHeight w:val="315"/>
        </w:trPr>
        <w:tc>
          <w:tcPr>
            <w:tcW w:w="1424" w:type="dxa"/>
            <w:shd w:val="clear" w:color="auto" w:fill="C6EFCE"/>
            <w:vAlign w:val="center"/>
          </w:tcPr>
          <w:p w14:paraId="528EA707" w14:textId="77777777" w:rsidR="004C6421" w:rsidRDefault="009D1962">
            <w:pPr>
              <w:pStyle w:val="P68B1DB1-Normal4"/>
              <w:spacing w:before="120" w:after="120"/>
              <w:jc w:val="center"/>
              <w:rPr>
                <w:noProof/>
              </w:rPr>
            </w:pPr>
            <w:r>
              <w:rPr>
                <w:noProof/>
              </w:rPr>
              <w:t>M1C2-22</w:t>
            </w:r>
          </w:p>
        </w:tc>
        <w:tc>
          <w:tcPr>
            <w:tcW w:w="1578" w:type="dxa"/>
            <w:shd w:val="clear" w:color="auto" w:fill="C6EFCE"/>
            <w:vAlign w:val="center"/>
          </w:tcPr>
          <w:p w14:paraId="45AA91AF" w14:textId="77777777" w:rsidR="004C6421" w:rsidRDefault="009D1962">
            <w:pPr>
              <w:pStyle w:val="P68B1DB1-Normal4"/>
              <w:spacing w:before="120" w:after="120"/>
              <w:jc w:val="center"/>
              <w:rPr>
                <w:noProof/>
              </w:rPr>
            </w:pPr>
            <w:r>
              <w:rPr>
                <w:noProof/>
              </w:rPr>
              <w:t>Inwestycja 4: Technologia satelitarna i gospodarka kosmiczna</w:t>
            </w:r>
          </w:p>
        </w:tc>
        <w:tc>
          <w:tcPr>
            <w:tcW w:w="1078" w:type="dxa"/>
            <w:shd w:val="clear" w:color="auto" w:fill="C6EFCE"/>
            <w:vAlign w:val="center"/>
          </w:tcPr>
          <w:p w14:paraId="3BA3ADC2" w14:textId="6AB0082D" w:rsidR="004C6421" w:rsidRDefault="00CC179E">
            <w:pPr>
              <w:pStyle w:val="P68B1DB1-Normal4"/>
              <w:spacing w:before="120" w:after="120"/>
              <w:jc w:val="center"/>
              <w:rPr>
                <w:noProof/>
              </w:rPr>
            </w:pPr>
            <w:r>
              <w:rPr>
                <w:noProof/>
              </w:rPr>
              <w:t>Milowy</w:t>
            </w:r>
          </w:p>
        </w:tc>
        <w:tc>
          <w:tcPr>
            <w:tcW w:w="1329" w:type="dxa"/>
            <w:shd w:val="clear" w:color="auto" w:fill="C6EFCE"/>
            <w:vAlign w:val="center"/>
          </w:tcPr>
          <w:p w14:paraId="114DB463" w14:textId="77777777" w:rsidR="004C6421" w:rsidRDefault="009D1962">
            <w:pPr>
              <w:pStyle w:val="P68B1DB1-Normal4"/>
              <w:spacing w:before="120" w:after="120"/>
              <w:jc w:val="center"/>
              <w:rPr>
                <w:noProof/>
              </w:rPr>
            </w:pPr>
            <w:r>
              <w:rPr>
                <w:noProof/>
              </w:rPr>
              <w:t>Udzielanie wszystkich zamówień publicznych na projekty związane z technologią satelitarną i przestrzenią kosmiczną</w:t>
            </w:r>
          </w:p>
        </w:tc>
        <w:tc>
          <w:tcPr>
            <w:tcW w:w="1275" w:type="dxa"/>
            <w:shd w:val="clear" w:color="auto" w:fill="C6EFCE"/>
            <w:vAlign w:val="center"/>
          </w:tcPr>
          <w:p w14:paraId="6D0DE353" w14:textId="77777777" w:rsidR="004C6421" w:rsidRDefault="009D1962">
            <w:pPr>
              <w:pStyle w:val="P68B1DB1-Normal4"/>
              <w:spacing w:before="120" w:after="120"/>
              <w:jc w:val="center"/>
              <w:rPr>
                <w:noProof/>
              </w:rPr>
            </w:pPr>
            <w:r>
              <w:rPr>
                <w:noProof/>
              </w:rPr>
              <w:t>Powiadomienie o udzieleniu wszystkich zamówień publicznych na projekty związane z technologią satelitarną i przestrzenią kosmiczną</w:t>
            </w:r>
          </w:p>
        </w:tc>
        <w:tc>
          <w:tcPr>
            <w:tcW w:w="1134" w:type="dxa"/>
            <w:shd w:val="clear" w:color="auto" w:fill="C6EFCE"/>
            <w:vAlign w:val="center"/>
          </w:tcPr>
          <w:p w14:paraId="48D6CB2E" w14:textId="77777777" w:rsidR="004C6421" w:rsidRDefault="009D1962">
            <w:pPr>
              <w:pStyle w:val="P68B1DB1-Normal4"/>
              <w:spacing w:before="120" w:after="120"/>
              <w:jc w:val="center"/>
              <w:rPr>
                <w:noProof/>
              </w:rPr>
            </w:pPr>
            <w:r>
              <w:rPr>
                <w:noProof/>
              </w:rPr>
              <w:t>NIE DOT.</w:t>
            </w:r>
          </w:p>
        </w:tc>
        <w:tc>
          <w:tcPr>
            <w:tcW w:w="993" w:type="dxa"/>
            <w:shd w:val="clear" w:color="auto" w:fill="C6EFCE"/>
            <w:vAlign w:val="center"/>
          </w:tcPr>
          <w:p w14:paraId="733D906E" w14:textId="77777777" w:rsidR="004C6421" w:rsidRDefault="009D1962">
            <w:pPr>
              <w:pStyle w:val="P68B1DB1-Normal4"/>
              <w:spacing w:before="120" w:after="120"/>
              <w:jc w:val="center"/>
              <w:rPr>
                <w:noProof/>
              </w:rPr>
            </w:pPr>
            <w:r>
              <w:rPr>
                <w:noProof/>
              </w:rPr>
              <w:t>NIE DOT.</w:t>
            </w:r>
          </w:p>
        </w:tc>
        <w:tc>
          <w:tcPr>
            <w:tcW w:w="992" w:type="dxa"/>
            <w:shd w:val="clear" w:color="auto" w:fill="C6EFCE"/>
            <w:vAlign w:val="center"/>
          </w:tcPr>
          <w:p w14:paraId="1BDABB4F" w14:textId="77777777" w:rsidR="004C6421" w:rsidRDefault="009D1962">
            <w:pPr>
              <w:pStyle w:val="P68B1DB1-Normal4"/>
              <w:spacing w:before="120" w:after="120"/>
              <w:jc w:val="center"/>
              <w:rPr>
                <w:noProof/>
              </w:rPr>
            </w:pPr>
            <w:r>
              <w:rPr>
                <w:noProof/>
              </w:rPr>
              <w:t>NIE DOT.</w:t>
            </w:r>
          </w:p>
        </w:tc>
        <w:tc>
          <w:tcPr>
            <w:tcW w:w="850" w:type="dxa"/>
            <w:shd w:val="clear" w:color="auto" w:fill="C6EFCE"/>
            <w:vAlign w:val="center"/>
          </w:tcPr>
          <w:p w14:paraId="3150762E" w14:textId="7E36A127" w:rsidR="004C6421" w:rsidRDefault="00CC179E">
            <w:pPr>
              <w:pStyle w:val="P68B1DB1-Normal4"/>
              <w:spacing w:before="120" w:after="120"/>
              <w:jc w:val="center"/>
              <w:rPr>
                <w:noProof/>
              </w:rPr>
            </w:pPr>
            <w:r>
              <w:rPr>
                <w:noProof/>
              </w:rPr>
              <w:t>KW. 1</w:t>
            </w:r>
          </w:p>
        </w:tc>
        <w:tc>
          <w:tcPr>
            <w:tcW w:w="709" w:type="dxa"/>
            <w:shd w:val="clear" w:color="auto" w:fill="C6EFCE"/>
            <w:vAlign w:val="center"/>
          </w:tcPr>
          <w:p w14:paraId="76D28A31" w14:textId="77777777" w:rsidR="004C6421" w:rsidRDefault="009D1962">
            <w:pPr>
              <w:pStyle w:val="P68B1DB1-Normal4"/>
              <w:spacing w:before="120" w:after="120"/>
              <w:jc w:val="center"/>
              <w:rPr>
                <w:noProof/>
              </w:rPr>
            </w:pPr>
            <w:r>
              <w:rPr>
                <w:noProof/>
              </w:rPr>
              <w:t>2023</w:t>
            </w:r>
          </w:p>
        </w:tc>
        <w:tc>
          <w:tcPr>
            <w:tcW w:w="3794" w:type="dxa"/>
            <w:shd w:val="clear" w:color="auto" w:fill="C6EFCE"/>
            <w:vAlign w:val="center"/>
          </w:tcPr>
          <w:p w14:paraId="060C5E95" w14:textId="77777777" w:rsidR="004C6421" w:rsidRDefault="009D1962">
            <w:pPr>
              <w:pStyle w:val="P68B1DB1-Normal4"/>
              <w:spacing w:before="120" w:after="120"/>
              <w:rPr>
                <w:noProof/>
              </w:rPr>
            </w:pPr>
            <w:r>
              <w:rPr>
                <w:noProof/>
              </w:rPr>
              <w:t>Powiadomienie o udzieleniu wszystkich zamówień publicznych dotyczących technologii satelitarnej i projektów kosmicznych, które obejmują (i) Satcom, (ii) obserwację Ziemi, (iii) fabrykę kosmiczną oraz (iv) gospodarkę orbitalną.</w:t>
            </w:r>
          </w:p>
        </w:tc>
      </w:tr>
      <w:tr w:rsidR="004C6421" w14:paraId="1E2DB63B" w14:textId="77777777">
        <w:trPr>
          <w:trHeight w:val="315"/>
        </w:trPr>
        <w:tc>
          <w:tcPr>
            <w:tcW w:w="1424" w:type="dxa"/>
            <w:shd w:val="clear" w:color="auto" w:fill="C6EFCE"/>
            <w:vAlign w:val="center"/>
          </w:tcPr>
          <w:p w14:paraId="2EC9908C" w14:textId="77777777" w:rsidR="004C6421" w:rsidRDefault="009D1962">
            <w:pPr>
              <w:pStyle w:val="P68B1DB1-Normal4"/>
              <w:spacing w:before="120" w:after="120"/>
              <w:jc w:val="center"/>
              <w:rPr>
                <w:noProof/>
              </w:rPr>
            </w:pPr>
            <w:r>
              <w:rPr>
                <w:noProof/>
              </w:rPr>
              <w:t>M1C2-23</w:t>
            </w:r>
          </w:p>
        </w:tc>
        <w:tc>
          <w:tcPr>
            <w:tcW w:w="1578" w:type="dxa"/>
            <w:shd w:val="clear" w:color="auto" w:fill="C6EFCE"/>
            <w:vAlign w:val="center"/>
          </w:tcPr>
          <w:p w14:paraId="05BB254D" w14:textId="77777777" w:rsidR="004C6421" w:rsidRDefault="009D1962">
            <w:pPr>
              <w:pStyle w:val="P68B1DB1-Normal4"/>
              <w:spacing w:before="120" w:after="120"/>
              <w:jc w:val="center"/>
              <w:rPr>
                <w:noProof/>
              </w:rPr>
            </w:pPr>
            <w:r>
              <w:rPr>
                <w:noProof/>
              </w:rPr>
              <w:t>Inwestycja 4: Technologia satelitarna i gospodarka kosmiczna</w:t>
            </w:r>
          </w:p>
        </w:tc>
        <w:tc>
          <w:tcPr>
            <w:tcW w:w="1078" w:type="dxa"/>
            <w:shd w:val="clear" w:color="auto" w:fill="C6EFCE"/>
            <w:vAlign w:val="center"/>
          </w:tcPr>
          <w:p w14:paraId="7792B7A9" w14:textId="77777777" w:rsidR="004C6421" w:rsidRDefault="009D1962">
            <w:pPr>
              <w:pStyle w:val="P68B1DB1-Normal4"/>
              <w:spacing w:before="120" w:after="120"/>
              <w:jc w:val="center"/>
              <w:rPr>
                <w:noProof/>
              </w:rPr>
            </w:pPr>
            <w:r>
              <w:rPr>
                <w:noProof/>
              </w:rPr>
              <w:t>Cel</w:t>
            </w:r>
          </w:p>
        </w:tc>
        <w:tc>
          <w:tcPr>
            <w:tcW w:w="1329" w:type="dxa"/>
            <w:shd w:val="clear" w:color="auto" w:fill="C6EFCE"/>
            <w:vAlign w:val="center"/>
          </w:tcPr>
          <w:p w14:paraId="529CD38B" w14:textId="77777777" w:rsidR="004C6421" w:rsidRDefault="009D1962">
            <w:pPr>
              <w:pStyle w:val="P68B1DB1-Normal4"/>
              <w:spacing w:before="120" w:after="120"/>
              <w:jc w:val="center"/>
              <w:rPr>
                <w:noProof/>
              </w:rPr>
            </w:pPr>
            <w:r>
              <w:rPr>
                <w:noProof/>
              </w:rPr>
              <w:t>Zastosowane teleskopy naziemne, operacyjne centrum SST, fabryka kosmiczna i demonstrator napędu cieczy</w:t>
            </w:r>
          </w:p>
        </w:tc>
        <w:tc>
          <w:tcPr>
            <w:tcW w:w="1275" w:type="dxa"/>
            <w:shd w:val="clear" w:color="auto" w:fill="C6EFCE"/>
            <w:vAlign w:val="center"/>
          </w:tcPr>
          <w:p w14:paraId="656C4CCB" w14:textId="77777777" w:rsidR="004C6421" w:rsidRDefault="009D1962">
            <w:pPr>
              <w:pStyle w:val="P68B1DB1-Normal4"/>
              <w:spacing w:before="120" w:after="120"/>
              <w:jc w:val="center"/>
              <w:rPr>
                <w:noProof/>
              </w:rPr>
            </w:pPr>
            <w:r>
              <w:rPr>
                <w:noProof/>
              </w:rPr>
              <w:t>NIE DOT.</w:t>
            </w:r>
          </w:p>
        </w:tc>
        <w:tc>
          <w:tcPr>
            <w:tcW w:w="1134" w:type="dxa"/>
            <w:shd w:val="clear" w:color="auto" w:fill="C6EFCE"/>
            <w:vAlign w:val="center"/>
          </w:tcPr>
          <w:p w14:paraId="06CAE4A9" w14:textId="77777777" w:rsidR="004C6421" w:rsidRDefault="009D1962">
            <w:pPr>
              <w:pStyle w:val="P68B1DB1-Normal4"/>
              <w:spacing w:before="120" w:after="120"/>
              <w:jc w:val="center"/>
              <w:rPr>
                <w:noProof/>
              </w:rPr>
            </w:pPr>
            <w:r>
              <w:rPr>
                <w:noProof/>
              </w:rPr>
              <w:t>Numer</w:t>
            </w:r>
          </w:p>
        </w:tc>
        <w:tc>
          <w:tcPr>
            <w:tcW w:w="993" w:type="dxa"/>
            <w:shd w:val="clear" w:color="auto" w:fill="C6EFCE"/>
            <w:vAlign w:val="center"/>
          </w:tcPr>
          <w:p w14:paraId="30B2E3DD" w14:textId="77777777" w:rsidR="004C6421" w:rsidRDefault="009D1962">
            <w:pPr>
              <w:pStyle w:val="P68B1DB1-Normal4"/>
              <w:spacing w:before="120" w:after="120"/>
              <w:jc w:val="center"/>
              <w:rPr>
                <w:noProof/>
              </w:rPr>
            </w:pPr>
            <w:r>
              <w:rPr>
                <w:noProof/>
              </w:rPr>
              <w:t>0</w:t>
            </w:r>
          </w:p>
        </w:tc>
        <w:tc>
          <w:tcPr>
            <w:tcW w:w="992" w:type="dxa"/>
            <w:shd w:val="clear" w:color="auto" w:fill="C6EFCE"/>
            <w:vAlign w:val="center"/>
          </w:tcPr>
          <w:p w14:paraId="59DC5F2A" w14:textId="77777777" w:rsidR="004C6421" w:rsidRDefault="009D1962">
            <w:pPr>
              <w:pStyle w:val="P68B1DB1-Normal4"/>
              <w:spacing w:before="120" w:after="120"/>
              <w:jc w:val="center"/>
              <w:rPr>
                <w:noProof/>
              </w:rPr>
            </w:pPr>
            <w:r>
              <w:rPr>
                <w:noProof/>
              </w:rPr>
              <w:t>6</w:t>
            </w:r>
          </w:p>
        </w:tc>
        <w:tc>
          <w:tcPr>
            <w:tcW w:w="850" w:type="dxa"/>
            <w:shd w:val="clear" w:color="auto" w:fill="C6EFCE"/>
            <w:vAlign w:val="center"/>
          </w:tcPr>
          <w:p w14:paraId="763BABD7" w14:textId="77777777" w:rsidR="004C6421" w:rsidRDefault="009D1962">
            <w:pPr>
              <w:pStyle w:val="P68B1DB1-Normal4"/>
              <w:spacing w:before="120" w:after="120"/>
              <w:jc w:val="center"/>
              <w:rPr>
                <w:noProof/>
              </w:rPr>
            </w:pPr>
            <w:r>
              <w:rPr>
                <w:noProof/>
              </w:rPr>
              <w:t>II KW.</w:t>
            </w:r>
          </w:p>
        </w:tc>
        <w:tc>
          <w:tcPr>
            <w:tcW w:w="709" w:type="dxa"/>
            <w:shd w:val="clear" w:color="auto" w:fill="C6EFCE"/>
            <w:vAlign w:val="center"/>
          </w:tcPr>
          <w:p w14:paraId="6A3C5249" w14:textId="77777777" w:rsidR="004C6421" w:rsidRDefault="009D1962">
            <w:pPr>
              <w:pStyle w:val="P68B1DB1-Normal4"/>
              <w:spacing w:before="120" w:after="120"/>
              <w:jc w:val="center"/>
              <w:rPr>
                <w:noProof/>
              </w:rPr>
            </w:pPr>
            <w:r>
              <w:rPr>
                <w:noProof/>
              </w:rPr>
              <w:t>2026</w:t>
            </w:r>
          </w:p>
        </w:tc>
        <w:tc>
          <w:tcPr>
            <w:tcW w:w="3794" w:type="dxa"/>
            <w:shd w:val="clear" w:color="auto" w:fill="C6EFCE"/>
            <w:vAlign w:val="center"/>
          </w:tcPr>
          <w:p w14:paraId="272DAC0A" w14:textId="77777777" w:rsidR="004C6421" w:rsidRDefault="009D1962">
            <w:pPr>
              <w:pStyle w:val="P68B1DB1-Normal4"/>
              <w:spacing w:before="120" w:after="120"/>
              <w:rPr>
                <w:noProof/>
              </w:rPr>
            </w:pPr>
            <w:r>
              <w:rPr>
                <w:noProof/>
              </w:rPr>
              <w:t>Co najmniej trzy dodatkowe teleskopy o wysokiej wydajności umożliwiające identyfikację obiektów kosmicznych, jedno operacyjne centrum obserwacji i śledzenia obiektów kosmicznych (SST) (sieć obserwacji i śledzenia śmieci kosmicznych), jedna fabryka kosmiczna (zintegrowane linie do produkcji, montażu, integracji i testowania (M-AIT) małych satelitów), jeden demonstrator napędu cieczy dla rozmieszczonych rakiet nośnych nowej generacji.</w:t>
            </w:r>
          </w:p>
        </w:tc>
      </w:tr>
      <w:tr w:rsidR="004C6421" w14:paraId="12C38E99" w14:textId="77777777">
        <w:trPr>
          <w:trHeight w:val="315"/>
        </w:trPr>
        <w:tc>
          <w:tcPr>
            <w:tcW w:w="1424" w:type="dxa"/>
            <w:shd w:val="clear" w:color="auto" w:fill="C6EFCE"/>
            <w:vAlign w:val="center"/>
          </w:tcPr>
          <w:p w14:paraId="5AB4AA8E" w14:textId="77777777" w:rsidR="004C6421" w:rsidRDefault="009D1962">
            <w:pPr>
              <w:pStyle w:val="P68B1DB1-Normal4"/>
              <w:spacing w:before="120" w:after="120"/>
              <w:jc w:val="center"/>
              <w:rPr>
                <w:noProof/>
              </w:rPr>
            </w:pPr>
            <w:r>
              <w:rPr>
                <w:noProof/>
              </w:rPr>
              <w:t>M1C2-24</w:t>
            </w:r>
          </w:p>
        </w:tc>
        <w:tc>
          <w:tcPr>
            <w:tcW w:w="1578" w:type="dxa"/>
            <w:shd w:val="clear" w:color="auto" w:fill="C6EFCE"/>
            <w:vAlign w:val="center"/>
          </w:tcPr>
          <w:p w14:paraId="60000178" w14:textId="77777777" w:rsidR="004C6421" w:rsidRDefault="009D1962">
            <w:pPr>
              <w:pStyle w:val="P68B1DB1-Normal4"/>
              <w:spacing w:before="120" w:after="120"/>
              <w:jc w:val="center"/>
              <w:rPr>
                <w:rFonts w:eastAsia="Calibri"/>
                <w:noProof/>
              </w:rPr>
            </w:pPr>
            <w:r>
              <w:rPr>
                <w:noProof/>
              </w:rPr>
              <w:t>Inwestycja 4: Technologia satelitarna i gospodarka kosmiczna</w:t>
            </w:r>
          </w:p>
        </w:tc>
        <w:tc>
          <w:tcPr>
            <w:tcW w:w="1078" w:type="dxa"/>
            <w:shd w:val="clear" w:color="auto" w:fill="C6EFCE"/>
            <w:vAlign w:val="center"/>
          </w:tcPr>
          <w:p w14:paraId="7B454A68" w14:textId="77777777" w:rsidR="004C6421" w:rsidRDefault="009D1962">
            <w:pPr>
              <w:pStyle w:val="P68B1DB1-Normal4"/>
              <w:spacing w:before="120" w:after="120"/>
              <w:jc w:val="center"/>
              <w:rPr>
                <w:noProof/>
              </w:rPr>
            </w:pPr>
            <w:r>
              <w:rPr>
                <w:noProof/>
              </w:rPr>
              <w:t>Cel</w:t>
            </w:r>
          </w:p>
        </w:tc>
        <w:tc>
          <w:tcPr>
            <w:tcW w:w="1329" w:type="dxa"/>
            <w:shd w:val="clear" w:color="auto" w:fill="C6EFCE"/>
            <w:vAlign w:val="center"/>
          </w:tcPr>
          <w:p w14:paraId="2C44749D" w14:textId="77777777" w:rsidR="004C6421" w:rsidRDefault="009D1962">
            <w:pPr>
              <w:pStyle w:val="P68B1DB1-Normal4"/>
              <w:spacing w:before="120" w:after="120"/>
              <w:jc w:val="center"/>
              <w:rPr>
                <w:noProof/>
              </w:rPr>
            </w:pPr>
            <w:r>
              <w:rPr>
                <w:noProof/>
              </w:rPr>
              <w:t>Konstelacje lub potwierdzenie koncepcji zastosowanych konstelacji</w:t>
            </w:r>
          </w:p>
        </w:tc>
        <w:tc>
          <w:tcPr>
            <w:tcW w:w="1275" w:type="dxa"/>
            <w:shd w:val="clear" w:color="auto" w:fill="C6EFCE"/>
            <w:vAlign w:val="center"/>
          </w:tcPr>
          <w:p w14:paraId="593A7630" w14:textId="77777777" w:rsidR="004C6421" w:rsidRDefault="009D1962">
            <w:pPr>
              <w:pStyle w:val="P68B1DB1-Normal4"/>
              <w:spacing w:before="120" w:after="120"/>
              <w:jc w:val="center"/>
              <w:rPr>
                <w:noProof/>
              </w:rPr>
            </w:pPr>
            <w:r>
              <w:rPr>
                <w:noProof/>
              </w:rPr>
              <w:t>NIE DOT.</w:t>
            </w:r>
          </w:p>
        </w:tc>
        <w:tc>
          <w:tcPr>
            <w:tcW w:w="1134" w:type="dxa"/>
            <w:shd w:val="clear" w:color="auto" w:fill="C6EFCE"/>
            <w:vAlign w:val="center"/>
          </w:tcPr>
          <w:p w14:paraId="32D4F065" w14:textId="77777777" w:rsidR="004C6421" w:rsidRDefault="009D1962">
            <w:pPr>
              <w:pStyle w:val="P68B1DB1-Normal4"/>
              <w:spacing w:before="120" w:after="120"/>
              <w:jc w:val="center"/>
              <w:rPr>
                <w:noProof/>
              </w:rPr>
            </w:pPr>
            <w:r>
              <w:rPr>
                <w:noProof/>
              </w:rPr>
              <w:t>Numer</w:t>
            </w:r>
          </w:p>
        </w:tc>
        <w:tc>
          <w:tcPr>
            <w:tcW w:w="993" w:type="dxa"/>
            <w:shd w:val="clear" w:color="auto" w:fill="C6EFCE"/>
            <w:vAlign w:val="center"/>
          </w:tcPr>
          <w:p w14:paraId="2E172E2E" w14:textId="77777777" w:rsidR="004C6421" w:rsidRDefault="009D1962">
            <w:pPr>
              <w:pStyle w:val="P68B1DB1-Normal4"/>
              <w:spacing w:before="120" w:after="120"/>
              <w:jc w:val="center"/>
              <w:rPr>
                <w:noProof/>
              </w:rPr>
            </w:pPr>
            <w:r>
              <w:rPr>
                <w:noProof/>
              </w:rPr>
              <w:t>0</w:t>
            </w:r>
          </w:p>
        </w:tc>
        <w:tc>
          <w:tcPr>
            <w:tcW w:w="992" w:type="dxa"/>
            <w:shd w:val="clear" w:color="auto" w:fill="C6EFCE"/>
            <w:vAlign w:val="center"/>
          </w:tcPr>
          <w:p w14:paraId="4A536C3C" w14:textId="77777777" w:rsidR="004C6421" w:rsidRDefault="009D1962">
            <w:pPr>
              <w:pStyle w:val="P68B1DB1-Normal4"/>
              <w:spacing w:before="120" w:after="120"/>
              <w:jc w:val="center"/>
              <w:rPr>
                <w:noProof/>
              </w:rPr>
            </w:pPr>
            <w:r>
              <w:rPr>
                <w:noProof/>
              </w:rPr>
              <w:t>2</w:t>
            </w:r>
          </w:p>
        </w:tc>
        <w:tc>
          <w:tcPr>
            <w:tcW w:w="850" w:type="dxa"/>
            <w:shd w:val="clear" w:color="auto" w:fill="C6EFCE"/>
            <w:vAlign w:val="center"/>
          </w:tcPr>
          <w:p w14:paraId="7D6C053F" w14:textId="77777777" w:rsidR="004C6421" w:rsidRDefault="009D1962">
            <w:pPr>
              <w:pStyle w:val="P68B1DB1-Normal4"/>
              <w:spacing w:before="120" w:after="120"/>
              <w:jc w:val="center"/>
              <w:rPr>
                <w:noProof/>
              </w:rPr>
            </w:pPr>
            <w:r>
              <w:rPr>
                <w:noProof/>
              </w:rPr>
              <w:t>II KW.</w:t>
            </w:r>
          </w:p>
        </w:tc>
        <w:tc>
          <w:tcPr>
            <w:tcW w:w="709" w:type="dxa"/>
            <w:shd w:val="clear" w:color="auto" w:fill="C6EFCE"/>
            <w:vAlign w:val="center"/>
          </w:tcPr>
          <w:p w14:paraId="34123EB8" w14:textId="77777777" w:rsidR="004C6421" w:rsidRDefault="009D1962">
            <w:pPr>
              <w:pStyle w:val="P68B1DB1-Normal4"/>
              <w:spacing w:before="120" w:after="120"/>
              <w:jc w:val="center"/>
              <w:rPr>
                <w:noProof/>
              </w:rPr>
            </w:pPr>
            <w:r>
              <w:rPr>
                <w:noProof/>
              </w:rPr>
              <w:t>2026</w:t>
            </w:r>
          </w:p>
        </w:tc>
        <w:tc>
          <w:tcPr>
            <w:tcW w:w="3794" w:type="dxa"/>
            <w:shd w:val="clear" w:color="auto" w:fill="C6EFCE"/>
            <w:vAlign w:val="center"/>
          </w:tcPr>
          <w:p w14:paraId="3AFCE3FF" w14:textId="77777777" w:rsidR="004C6421" w:rsidRDefault="009D1962">
            <w:pPr>
              <w:pStyle w:val="P68B1DB1-Normal4"/>
              <w:spacing w:before="120" w:after="120"/>
              <w:rPr>
                <w:noProof/>
              </w:rPr>
            </w:pPr>
            <w:r>
              <w:rPr>
                <w:noProof/>
              </w:rPr>
              <w:t>Co najmniej dwie dodatkowe konstelacje lub potwierdzenie koncepcji konstelacji realizowanych w ramach inicjatyw Satcom i obserwacji Ziemi</w:t>
            </w:r>
          </w:p>
        </w:tc>
      </w:tr>
      <w:tr w:rsidR="004C6421" w14:paraId="2C2A7280" w14:textId="77777777">
        <w:trPr>
          <w:trHeight w:val="315"/>
        </w:trPr>
        <w:tc>
          <w:tcPr>
            <w:tcW w:w="1424" w:type="dxa"/>
            <w:shd w:val="clear" w:color="auto" w:fill="C6EFCE"/>
            <w:vAlign w:val="center"/>
          </w:tcPr>
          <w:p w14:paraId="734238B4" w14:textId="77777777" w:rsidR="004C6421" w:rsidRDefault="009D1962">
            <w:pPr>
              <w:pStyle w:val="P68B1DB1-Normal4"/>
              <w:spacing w:before="120" w:after="120"/>
              <w:jc w:val="center"/>
              <w:rPr>
                <w:noProof/>
              </w:rPr>
            </w:pPr>
            <w:r>
              <w:rPr>
                <w:noProof/>
              </w:rPr>
              <w:t>M1C2-25</w:t>
            </w:r>
          </w:p>
        </w:tc>
        <w:tc>
          <w:tcPr>
            <w:tcW w:w="1578" w:type="dxa"/>
            <w:shd w:val="clear" w:color="auto" w:fill="C6EFCE"/>
            <w:vAlign w:val="center"/>
          </w:tcPr>
          <w:p w14:paraId="4E864946" w14:textId="77777777" w:rsidR="004C6421" w:rsidRDefault="009D1962">
            <w:pPr>
              <w:pStyle w:val="P68B1DB1-Normal4"/>
              <w:spacing w:before="120" w:after="120"/>
              <w:jc w:val="center"/>
              <w:rPr>
                <w:rFonts w:eastAsia="Calibri"/>
                <w:noProof/>
              </w:rPr>
            </w:pPr>
            <w:r>
              <w:rPr>
                <w:noProof/>
              </w:rPr>
              <w:t>Inwestycja 4: Technologia satelitarna i gospodarka kosmiczna</w:t>
            </w:r>
          </w:p>
        </w:tc>
        <w:tc>
          <w:tcPr>
            <w:tcW w:w="1078" w:type="dxa"/>
            <w:shd w:val="clear" w:color="auto" w:fill="C6EFCE"/>
            <w:vAlign w:val="center"/>
          </w:tcPr>
          <w:p w14:paraId="10B5F440" w14:textId="77777777" w:rsidR="004C6421" w:rsidRDefault="009D1962">
            <w:pPr>
              <w:pStyle w:val="P68B1DB1-Normal4"/>
              <w:spacing w:before="120" w:after="120"/>
              <w:jc w:val="center"/>
              <w:rPr>
                <w:noProof/>
              </w:rPr>
            </w:pPr>
            <w:r>
              <w:rPr>
                <w:noProof/>
              </w:rPr>
              <w:t>Cel</w:t>
            </w:r>
          </w:p>
        </w:tc>
        <w:tc>
          <w:tcPr>
            <w:tcW w:w="1329" w:type="dxa"/>
            <w:shd w:val="clear" w:color="auto" w:fill="C6EFCE"/>
            <w:vAlign w:val="center"/>
          </w:tcPr>
          <w:p w14:paraId="2F67EB5B" w14:textId="77777777" w:rsidR="004C6421" w:rsidRDefault="009D1962">
            <w:pPr>
              <w:pStyle w:val="P68B1DB1-Normal4"/>
              <w:spacing w:before="120" w:after="120"/>
              <w:jc w:val="center"/>
              <w:rPr>
                <w:noProof/>
              </w:rPr>
            </w:pPr>
            <w:r>
              <w:rPr>
                <w:noProof/>
              </w:rPr>
              <w:t>Usługi świadczone na rzecz administracji publicznej</w:t>
            </w:r>
          </w:p>
        </w:tc>
        <w:tc>
          <w:tcPr>
            <w:tcW w:w="1275" w:type="dxa"/>
            <w:shd w:val="clear" w:color="auto" w:fill="C6EFCE"/>
            <w:vAlign w:val="center"/>
          </w:tcPr>
          <w:p w14:paraId="40BCCD10" w14:textId="77777777" w:rsidR="004C6421" w:rsidRDefault="009D1962">
            <w:pPr>
              <w:pStyle w:val="P68B1DB1-Normal4"/>
              <w:spacing w:before="120" w:after="120"/>
              <w:jc w:val="center"/>
              <w:rPr>
                <w:noProof/>
              </w:rPr>
            </w:pPr>
            <w:r>
              <w:rPr>
                <w:noProof/>
              </w:rPr>
              <w:t>NIE DOT.</w:t>
            </w:r>
          </w:p>
        </w:tc>
        <w:tc>
          <w:tcPr>
            <w:tcW w:w="1134" w:type="dxa"/>
            <w:shd w:val="clear" w:color="auto" w:fill="C6EFCE"/>
            <w:vAlign w:val="center"/>
          </w:tcPr>
          <w:p w14:paraId="2613B1D6" w14:textId="77777777" w:rsidR="004C6421" w:rsidRDefault="009D1962">
            <w:pPr>
              <w:pStyle w:val="P68B1DB1-Normal4"/>
              <w:spacing w:before="120" w:after="120"/>
              <w:jc w:val="center"/>
              <w:rPr>
                <w:noProof/>
              </w:rPr>
            </w:pPr>
            <w:r>
              <w:rPr>
                <w:noProof/>
              </w:rPr>
              <w:t>Numer</w:t>
            </w:r>
          </w:p>
        </w:tc>
        <w:tc>
          <w:tcPr>
            <w:tcW w:w="993" w:type="dxa"/>
            <w:shd w:val="clear" w:color="auto" w:fill="C6EFCE"/>
            <w:vAlign w:val="center"/>
          </w:tcPr>
          <w:p w14:paraId="5C9A1C1B" w14:textId="77777777" w:rsidR="004C6421" w:rsidRDefault="009D1962">
            <w:pPr>
              <w:pStyle w:val="P68B1DB1-Normal4"/>
              <w:spacing w:before="120" w:after="120"/>
              <w:jc w:val="center"/>
              <w:rPr>
                <w:noProof/>
              </w:rPr>
            </w:pPr>
            <w:r>
              <w:rPr>
                <w:noProof/>
              </w:rPr>
              <w:t>0</w:t>
            </w:r>
          </w:p>
        </w:tc>
        <w:tc>
          <w:tcPr>
            <w:tcW w:w="992" w:type="dxa"/>
            <w:shd w:val="clear" w:color="auto" w:fill="C6EFCE"/>
            <w:vAlign w:val="center"/>
          </w:tcPr>
          <w:p w14:paraId="1F352EF2" w14:textId="77777777" w:rsidR="004C6421" w:rsidRDefault="009D1962">
            <w:pPr>
              <w:pStyle w:val="P68B1DB1-Normal4"/>
              <w:spacing w:before="120" w:after="120"/>
              <w:jc w:val="center"/>
              <w:rPr>
                <w:noProof/>
              </w:rPr>
            </w:pPr>
            <w:r>
              <w:rPr>
                <w:noProof/>
              </w:rPr>
              <w:t>8</w:t>
            </w:r>
          </w:p>
        </w:tc>
        <w:tc>
          <w:tcPr>
            <w:tcW w:w="850" w:type="dxa"/>
            <w:shd w:val="clear" w:color="auto" w:fill="C6EFCE"/>
            <w:vAlign w:val="center"/>
          </w:tcPr>
          <w:p w14:paraId="5656CC69" w14:textId="77777777" w:rsidR="004C6421" w:rsidRDefault="009D1962">
            <w:pPr>
              <w:pStyle w:val="P68B1DB1-Normal4"/>
              <w:spacing w:before="120" w:after="120"/>
              <w:jc w:val="center"/>
              <w:rPr>
                <w:noProof/>
              </w:rPr>
            </w:pPr>
            <w:r>
              <w:rPr>
                <w:noProof/>
              </w:rPr>
              <w:t>II KW.</w:t>
            </w:r>
          </w:p>
        </w:tc>
        <w:tc>
          <w:tcPr>
            <w:tcW w:w="709" w:type="dxa"/>
            <w:shd w:val="clear" w:color="auto" w:fill="C6EFCE"/>
            <w:vAlign w:val="center"/>
          </w:tcPr>
          <w:p w14:paraId="5AECB175" w14:textId="77777777" w:rsidR="004C6421" w:rsidRDefault="009D1962">
            <w:pPr>
              <w:pStyle w:val="P68B1DB1-Normal4"/>
              <w:spacing w:before="120" w:after="120"/>
              <w:jc w:val="center"/>
              <w:rPr>
                <w:noProof/>
              </w:rPr>
            </w:pPr>
            <w:r>
              <w:rPr>
                <w:noProof/>
              </w:rPr>
              <w:t>2026</w:t>
            </w:r>
          </w:p>
        </w:tc>
        <w:tc>
          <w:tcPr>
            <w:tcW w:w="3794" w:type="dxa"/>
            <w:shd w:val="clear" w:color="auto" w:fill="C6EFCE"/>
            <w:vAlign w:val="center"/>
          </w:tcPr>
          <w:p w14:paraId="4560C320" w14:textId="77777777" w:rsidR="004C6421" w:rsidRDefault="009D1962">
            <w:pPr>
              <w:pStyle w:val="P68B1DB1-Normal4"/>
              <w:spacing w:before="120" w:after="120"/>
              <w:rPr>
                <w:noProof/>
              </w:rPr>
            </w:pPr>
            <w:r>
              <w:rPr>
                <w:noProof/>
              </w:rPr>
              <w:t>Co najmniej osiem dodatkowych usług świadczonych na rzecz administracji publicznej, wynikających ze wspieranych inicjatyw kosmicznych, takich jak usługi przybrzeżne i monitorowanie przybrzeżne, usługi w zakresie jakości powietrza, usługi ruchu naziemnego, monitorowanie zasięgu usług i użytkowania gruntów, usługi hydrometeorologiczne, usługi w zakresie zasobów wodnych, służby ratunkowe, służby bezpieczeństwa.</w:t>
            </w:r>
          </w:p>
        </w:tc>
      </w:tr>
      <w:tr w:rsidR="004C6421" w14:paraId="043C71E2" w14:textId="77777777">
        <w:trPr>
          <w:trHeight w:val="315"/>
        </w:trPr>
        <w:tc>
          <w:tcPr>
            <w:tcW w:w="1424" w:type="dxa"/>
            <w:shd w:val="clear" w:color="auto" w:fill="C6EFCE"/>
            <w:vAlign w:val="center"/>
          </w:tcPr>
          <w:p w14:paraId="7377641A" w14:textId="77777777" w:rsidR="004C6421" w:rsidRDefault="009D1962">
            <w:pPr>
              <w:pStyle w:val="P68B1DB1-Normal4"/>
              <w:spacing w:before="120" w:after="120"/>
              <w:jc w:val="center"/>
              <w:rPr>
                <w:noProof/>
              </w:rPr>
            </w:pPr>
            <w:r>
              <w:rPr>
                <w:noProof/>
              </w:rPr>
              <w:t>M1C2-26</w:t>
            </w:r>
          </w:p>
        </w:tc>
        <w:tc>
          <w:tcPr>
            <w:tcW w:w="1578" w:type="dxa"/>
            <w:shd w:val="clear" w:color="auto" w:fill="C6EFCE"/>
            <w:vAlign w:val="center"/>
          </w:tcPr>
          <w:p w14:paraId="46481DD9" w14:textId="77777777" w:rsidR="004C6421" w:rsidRDefault="009D1962">
            <w:pPr>
              <w:pStyle w:val="P68B1DB1-Normal4"/>
              <w:spacing w:before="120" w:after="120"/>
              <w:jc w:val="center"/>
              <w:rPr>
                <w:noProof/>
              </w:rPr>
            </w:pPr>
            <w:r>
              <w:rPr>
                <w:noProof/>
              </w:rPr>
              <w:t>Inwestycja 5.1: Refinansowanie i przekształcenie funduszu 394/81 zarządzanego przez SIMEST</w:t>
            </w:r>
          </w:p>
        </w:tc>
        <w:tc>
          <w:tcPr>
            <w:tcW w:w="1078" w:type="dxa"/>
            <w:shd w:val="clear" w:color="auto" w:fill="C6EFCE"/>
            <w:vAlign w:val="center"/>
          </w:tcPr>
          <w:p w14:paraId="57ADF6F5" w14:textId="10D14A36" w:rsidR="004C6421" w:rsidRDefault="00CC179E">
            <w:pPr>
              <w:pStyle w:val="P68B1DB1-Normal4"/>
              <w:spacing w:before="120" w:after="120"/>
              <w:jc w:val="center"/>
              <w:rPr>
                <w:noProof/>
              </w:rPr>
            </w:pPr>
            <w:r>
              <w:rPr>
                <w:noProof/>
              </w:rPr>
              <w:t>Milowy</w:t>
            </w:r>
          </w:p>
        </w:tc>
        <w:tc>
          <w:tcPr>
            <w:tcW w:w="1329" w:type="dxa"/>
            <w:shd w:val="clear" w:color="auto" w:fill="C6EFCE"/>
            <w:vAlign w:val="center"/>
          </w:tcPr>
          <w:p w14:paraId="47E7E8C6" w14:textId="77777777" w:rsidR="004C6421" w:rsidRDefault="009D1962">
            <w:pPr>
              <w:pStyle w:val="P68B1DB1-Normal4"/>
              <w:spacing w:before="120" w:after="120"/>
              <w:jc w:val="center"/>
              <w:rPr>
                <w:noProof/>
              </w:rPr>
            </w:pPr>
            <w:r>
              <w:rPr>
                <w:noProof/>
              </w:rPr>
              <w:t>Wejście w życie refinansowania Funduszu 394/81 i przyjęcie polityki inwestycyjnej</w:t>
            </w:r>
          </w:p>
        </w:tc>
        <w:tc>
          <w:tcPr>
            <w:tcW w:w="1275" w:type="dxa"/>
            <w:shd w:val="clear" w:color="auto" w:fill="C6EFCE"/>
            <w:vAlign w:val="center"/>
          </w:tcPr>
          <w:p w14:paraId="26D9D09E" w14:textId="77777777" w:rsidR="004C6421" w:rsidRDefault="009D1962">
            <w:pPr>
              <w:pStyle w:val="P68B1DB1-Normal4"/>
              <w:spacing w:before="120" w:after="120"/>
              <w:jc w:val="center"/>
              <w:rPr>
                <w:noProof/>
              </w:rPr>
            </w:pPr>
            <w:r>
              <w:rPr>
                <w:noProof/>
              </w:rPr>
              <w:t>Przepis ustawy wskazujący na wejście w życie dekretu z mocą ustawy (dekretów z mocą ustawy) refinansowania składnika dotacji i pożyczki Funduszu 394/81</w:t>
            </w:r>
          </w:p>
          <w:p w14:paraId="0D250B54" w14:textId="77777777" w:rsidR="004C6421" w:rsidRDefault="004C6421">
            <w:pPr>
              <w:spacing w:before="120" w:after="120"/>
              <w:jc w:val="center"/>
              <w:rPr>
                <w:rFonts w:ascii="Arial Narrow" w:hAnsi="Arial Narrow"/>
                <w:noProof/>
                <w:sz w:val="20"/>
              </w:rPr>
            </w:pPr>
          </w:p>
          <w:p w14:paraId="61304565" w14:textId="77777777" w:rsidR="004C6421" w:rsidRDefault="009D1962">
            <w:pPr>
              <w:pStyle w:val="P68B1DB1-Normal4"/>
              <w:spacing w:before="120" w:after="120"/>
              <w:jc w:val="center"/>
              <w:rPr>
                <w:noProof/>
              </w:rPr>
            </w:pPr>
            <w:r>
              <w:rPr>
                <w:noProof/>
              </w:rPr>
              <w:t>Zatwierdzenie decyzji komisji ustanawiającej kryteria wyboru projektów, które mają być finansowane NIE DOT.</w:t>
            </w:r>
          </w:p>
        </w:tc>
        <w:tc>
          <w:tcPr>
            <w:tcW w:w="1134" w:type="dxa"/>
            <w:shd w:val="clear" w:color="auto" w:fill="C6EFCE"/>
            <w:vAlign w:val="center"/>
          </w:tcPr>
          <w:p w14:paraId="13E31028" w14:textId="77777777" w:rsidR="004C6421" w:rsidRDefault="009D1962">
            <w:pPr>
              <w:pStyle w:val="P68B1DB1-Normal4"/>
              <w:spacing w:before="120" w:after="120"/>
              <w:jc w:val="center"/>
              <w:rPr>
                <w:noProof/>
              </w:rPr>
            </w:pPr>
            <w:r>
              <w:rPr>
                <w:noProof/>
              </w:rPr>
              <w:t>NIE DOT.</w:t>
            </w:r>
          </w:p>
        </w:tc>
        <w:tc>
          <w:tcPr>
            <w:tcW w:w="993" w:type="dxa"/>
            <w:shd w:val="clear" w:color="auto" w:fill="C6EFCE"/>
            <w:vAlign w:val="center"/>
          </w:tcPr>
          <w:p w14:paraId="08EF878E" w14:textId="77777777" w:rsidR="004C6421" w:rsidRDefault="009D1962">
            <w:pPr>
              <w:pStyle w:val="P68B1DB1-Normal4"/>
              <w:spacing w:before="120" w:after="120"/>
              <w:jc w:val="center"/>
              <w:rPr>
                <w:noProof/>
              </w:rPr>
            </w:pPr>
            <w:r>
              <w:rPr>
                <w:noProof/>
              </w:rPr>
              <w:t>NIE DOT.</w:t>
            </w:r>
          </w:p>
        </w:tc>
        <w:tc>
          <w:tcPr>
            <w:tcW w:w="992" w:type="dxa"/>
            <w:shd w:val="clear" w:color="auto" w:fill="C6EFCE"/>
            <w:vAlign w:val="center"/>
          </w:tcPr>
          <w:p w14:paraId="68300ED3" w14:textId="77777777" w:rsidR="004C6421" w:rsidRDefault="009D1962">
            <w:pPr>
              <w:pStyle w:val="P68B1DB1-Normal4"/>
              <w:spacing w:before="120" w:after="120"/>
              <w:jc w:val="center"/>
              <w:rPr>
                <w:noProof/>
              </w:rPr>
            </w:pPr>
            <w:r>
              <w:rPr>
                <w:noProof/>
              </w:rPr>
              <w:t>NIE DOT.</w:t>
            </w:r>
          </w:p>
        </w:tc>
        <w:tc>
          <w:tcPr>
            <w:tcW w:w="850" w:type="dxa"/>
            <w:shd w:val="clear" w:color="auto" w:fill="C6EFCE"/>
            <w:vAlign w:val="center"/>
          </w:tcPr>
          <w:p w14:paraId="16B5B65B" w14:textId="77777777" w:rsidR="004C6421" w:rsidRDefault="009D1962">
            <w:pPr>
              <w:pStyle w:val="P68B1DB1-Normal4"/>
              <w:spacing w:before="120" w:after="120"/>
              <w:jc w:val="center"/>
              <w:rPr>
                <w:noProof/>
              </w:rPr>
            </w:pPr>
            <w:r>
              <w:rPr>
                <w:noProof/>
              </w:rPr>
              <w:t>III KW.</w:t>
            </w:r>
          </w:p>
        </w:tc>
        <w:tc>
          <w:tcPr>
            <w:tcW w:w="709" w:type="dxa"/>
            <w:shd w:val="clear" w:color="auto" w:fill="C6EFCE"/>
            <w:vAlign w:val="center"/>
          </w:tcPr>
          <w:p w14:paraId="542184A5" w14:textId="77777777" w:rsidR="004C6421" w:rsidRDefault="009D1962">
            <w:pPr>
              <w:pStyle w:val="P68B1DB1-Normal4"/>
              <w:spacing w:before="120" w:after="120"/>
              <w:jc w:val="center"/>
              <w:rPr>
                <w:noProof/>
              </w:rPr>
            </w:pPr>
            <w:r>
              <w:rPr>
                <w:noProof/>
              </w:rPr>
              <w:t>2021</w:t>
            </w:r>
          </w:p>
        </w:tc>
        <w:tc>
          <w:tcPr>
            <w:tcW w:w="3794" w:type="dxa"/>
            <w:shd w:val="clear" w:color="auto" w:fill="C6EFCE"/>
            <w:vAlign w:val="center"/>
          </w:tcPr>
          <w:p w14:paraId="24EA81A3" w14:textId="77777777" w:rsidR="004C6421" w:rsidRDefault="009D1962">
            <w:pPr>
              <w:pStyle w:val="P68B1DB1-Normal4"/>
              <w:spacing w:before="120"/>
              <w:rPr>
                <w:noProof/>
              </w:rPr>
            </w:pPr>
            <w:r>
              <w:rPr>
                <w:noProof/>
              </w:rPr>
              <w:t>Dekrety z mocą ustawy przewidują refinansowanie składnika dotacji i pożyczki Funduszu 394/81. Zarząd funduszu zatwierdza decyzję ustanawiającą politykę inwestycyjną.</w:t>
            </w:r>
          </w:p>
          <w:p w14:paraId="537C1FEF" w14:textId="77777777" w:rsidR="004C6421" w:rsidRDefault="009D1962">
            <w:pPr>
              <w:pStyle w:val="P68B1DB1-Normal4"/>
              <w:spacing w:before="120"/>
              <w:rPr>
                <w:noProof/>
              </w:rPr>
            </w:pPr>
            <w:r>
              <w:rPr>
                <w:noProof/>
              </w:rPr>
              <w:t>Polityka inwestycyjna związana z refinansowaniem Funduszu 394/81 określa co najmniej: charakter i zakres wspieranych projektów, które muszą być zgodne z celami rozporządzenia (UE) 2021/241; zakres wymagań i obowiązków obejmuje kryteria kwalifikowalności w celu zapewnienia zgodności z wytycznymi technicznymi dotyczącymi zasady „nie czyń poważnych szkód” (2021/C58/01) projektów wspieranych w ramach tego działania poprzez wykorzystanie kontroli zrównoważonego charakteru projektów, listy wykluczenia oraz wymogu zgodności z odpowiednimi unijnymi i krajowymi przepisami w zakresie ochrony środowiska, (ii) rodzaje wspieranych operacji, (iii) beneficjentów objętych pomocą, z częstością występowania MŚP, oraz ich kryteriów kwalifikowalności, (iv) przepisy dotyczące ponownego inwestowania potencjalnych środków powracających na podobne cele polityczne, również po 2026 r., w przypadku gdy nie są one ponownie wykorzystywane do ponownej spłaty stóp procentowych wynikających z pożyczek udzielonych na podstawie rozporządzenia (UE) 2021/241.</w:t>
            </w:r>
          </w:p>
          <w:p w14:paraId="5BE1E5DF" w14:textId="77777777" w:rsidR="004C6421" w:rsidRDefault="009D1962">
            <w:pPr>
              <w:pStyle w:val="P68B1DB1-Normal4"/>
              <w:spacing w:before="120"/>
              <w:rPr>
                <w:noProof/>
              </w:rPr>
            </w:pPr>
            <w:r>
              <w:rPr>
                <w:noProof/>
              </w:rPr>
              <w:t>Umowa z podmiotem lub pośrednikiem finansowym, któremu powierza się zadania, wymaga stosowania wytycznych technicznych dotyczących zasady „nie czyń poważnych szkód” (2021/C58/01).</w:t>
            </w:r>
          </w:p>
        </w:tc>
      </w:tr>
      <w:tr w:rsidR="004C6421" w14:paraId="774170A5" w14:textId="77777777">
        <w:trPr>
          <w:trHeight w:val="315"/>
        </w:trPr>
        <w:tc>
          <w:tcPr>
            <w:tcW w:w="1424" w:type="dxa"/>
            <w:shd w:val="clear" w:color="auto" w:fill="C6EFCE"/>
            <w:vAlign w:val="center"/>
          </w:tcPr>
          <w:p w14:paraId="1DE9A4B9" w14:textId="77777777" w:rsidR="004C6421" w:rsidRDefault="009D1962">
            <w:pPr>
              <w:pStyle w:val="P68B1DB1-Normal4"/>
              <w:spacing w:before="120" w:after="120"/>
              <w:jc w:val="center"/>
              <w:rPr>
                <w:noProof/>
              </w:rPr>
            </w:pPr>
            <w:r>
              <w:rPr>
                <w:noProof/>
              </w:rPr>
              <w:t>M1C2-27</w:t>
            </w:r>
          </w:p>
        </w:tc>
        <w:tc>
          <w:tcPr>
            <w:tcW w:w="1578" w:type="dxa"/>
            <w:shd w:val="clear" w:color="auto" w:fill="C6EFCE"/>
            <w:vAlign w:val="center"/>
          </w:tcPr>
          <w:p w14:paraId="27611AD6" w14:textId="77777777" w:rsidR="004C6421" w:rsidRDefault="009D1962">
            <w:pPr>
              <w:pStyle w:val="P68B1DB1-Normal4"/>
              <w:spacing w:before="120" w:after="120"/>
              <w:jc w:val="center"/>
              <w:rPr>
                <w:noProof/>
              </w:rPr>
            </w:pPr>
            <w:r>
              <w:rPr>
                <w:noProof/>
              </w:rPr>
              <w:t>Inwestycja 5.1: Refinansowanie i przekształcenie funduszu 394/81 zarządzanego przez SIMEST</w:t>
            </w:r>
          </w:p>
        </w:tc>
        <w:tc>
          <w:tcPr>
            <w:tcW w:w="1078" w:type="dxa"/>
            <w:shd w:val="clear" w:color="auto" w:fill="C6EFCE"/>
            <w:vAlign w:val="center"/>
          </w:tcPr>
          <w:p w14:paraId="534F3E1C" w14:textId="77777777" w:rsidR="004C6421" w:rsidRDefault="009D1962">
            <w:pPr>
              <w:pStyle w:val="P68B1DB1-Normal4"/>
              <w:spacing w:before="120" w:after="120"/>
              <w:jc w:val="center"/>
              <w:rPr>
                <w:noProof/>
              </w:rPr>
            </w:pPr>
            <w:r>
              <w:rPr>
                <w:noProof/>
              </w:rPr>
              <w:t>Cel</w:t>
            </w:r>
          </w:p>
        </w:tc>
        <w:tc>
          <w:tcPr>
            <w:tcW w:w="1329" w:type="dxa"/>
            <w:shd w:val="clear" w:color="auto" w:fill="C6EFCE"/>
            <w:vAlign w:val="center"/>
          </w:tcPr>
          <w:p w14:paraId="220EA51F" w14:textId="77777777" w:rsidR="004C6421" w:rsidRDefault="009D1962">
            <w:pPr>
              <w:pStyle w:val="P68B1DB1-Normal4"/>
              <w:spacing w:before="120" w:after="120"/>
              <w:jc w:val="center"/>
              <w:rPr>
                <w:noProof/>
              </w:rPr>
            </w:pPr>
            <w:r>
              <w:rPr>
                <w:noProof/>
              </w:rPr>
              <w:t>MŚP, które otrzymały wsparcie z Funduszu 394/81</w:t>
            </w:r>
          </w:p>
        </w:tc>
        <w:tc>
          <w:tcPr>
            <w:tcW w:w="1275" w:type="dxa"/>
            <w:shd w:val="clear" w:color="auto" w:fill="C6EFCE"/>
            <w:vAlign w:val="center"/>
          </w:tcPr>
          <w:p w14:paraId="26E14DC9" w14:textId="77777777" w:rsidR="004C6421" w:rsidRDefault="009D1962">
            <w:pPr>
              <w:pStyle w:val="P68B1DB1-Normal4"/>
              <w:spacing w:before="120" w:after="120"/>
              <w:jc w:val="center"/>
              <w:rPr>
                <w:noProof/>
              </w:rPr>
            </w:pPr>
            <w:r>
              <w:rPr>
                <w:noProof/>
              </w:rPr>
              <w:t>NIE DOT.</w:t>
            </w:r>
          </w:p>
        </w:tc>
        <w:tc>
          <w:tcPr>
            <w:tcW w:w="1134" w:type="dxa"/>
            <w:shd w:val="clear" w:color="auto" w:fill="C6EFCE"/>
            <w:vAlign w:val="center"/>
          </w:tcPr>
          <w:p w14:paraId="2C71E25A" w14:textId="77777777" w:rsidR="004C6421" w:rsidRDefault="009D1962">
            <w:pPr>
              <w:pStyle w:val="P68B1DB1-Normal4"/>
              <w:spacing w:before="120" w:after="120"/>
              <w:jc w:val="center"/>
              <w:rPr>
                <w:noProof/>
              </w:rPr>
            </w:pPr>
            <w:r>
              <w:rPr>
                <w:noProof/>
              </w:rPr>
              <w:t>Numer</w:t>
            </w:r>
          </w:p>
        </w:tc>
        <w:tc>
          <w:tcPr>
            <w:tcW w:w="993" w:type="dxa"/>
            <w:shd w:val="clear" w:color="auto" w:fill="C6EFCE"/>
            <w:vAlign w:val="center"/>
          </w:tcPr>
          <w:p w14:paraId="2805515E" w14:textId="77777777" w:rsidR="004C6421" w:rsidRDefault="009D1962">
            <w:pPr>
              <w:pStyle w:val="P68B1DB1-Normal4"/>
              <w:spacing w:before="120" w:after="120"/>
              <w:jc w:val="center"/>
              <w:rPr>
                <w:noProof/>
              </w:rPr>
            </w:pPr>
            <w:r>
              <w:rPr>
                <w:noProof/>
              </w:rPr>
              <w:t>0</w:t>
            </w:r>
          </w:p>
        </w:tc>
        <w:tc>
          <w:tcPr>
            <w:tcW w:w="992" w:type="dxa"/>
            <w:shd w:val="clear" w:color="auto" w:fill="C6EFCE"/>
            <w:vAlign w:val="center"/>
          </w:tcPr>
          <w:p w14:paraId="6F0F3F3D" w14:textId="77777777" w:rsidR="004C6421" w:rsidRDefault="009D1962">
            <w:pPr>
              <w:pStyle w:val="P68B1DB1-Normal4"/>
              <w:spacing w:before="120" w:after="120"/>
              <w:jc w:val="center"/>
              <w:rPr>
                <w:noProof/>
              </w:rPr>
            </w:pPr>
            <w:r>
              <w:rPr>
                <w:noProof/>
              </w:rPr>
              <w:t>4 000</w:t>
            </w:r>
          </w:p>
        </w:tc>
        <w:tc>
          <w:tcPr>
            <w:tcW w:w="850" w:type="dxa"/>
            <w:shd w:val="clear" w:color="auto" w:fill="C6EFCE"/>
            <w:vAlign w:val="center"/>
          </w:tcPr>
          <w:p w14:paraId="36F9FAED" w14:textId="4818A29A" w:rsidR="004C6421" w:rsidRDefault="00CC179E">
            <w:pPr>
              <w:pStyle w:val="P68B1DB1-Normal4"/>
              <w:spacing w:before="120" w:after="120"/>
              <w:jc w:val="center"/>
              <w:rPr>
                <w:noProof/>
              </w:rPr>
            </w:pPr>
            <w:r>
              <w:rPr>
                <w:noProof/>
              </w:rPr>
              <w:t>KW. 4</w:t>
            </w:r>
          </w:p>
        </w:tc>
        <w:tc>
          <w:tcPr>
            <w:tcW w:w="709" w:type="dxa"/>
            <w:shd w:val="clear" w:color="auto" w:fill="C6EFCE"/>
            <w:vAlign w:val="center"/>
          </w:tcPr>
          <w:p w14:paraId="2F1C2200" w14:textId="77777777" w:rsidR="004C6421" w:rsidRDefault="009D1962">
            <w:pPr>
              <w:pStyle w:val="P68B1DB1-Normal4"/>
              <w:spacing w:before="120" w:after="120"/>
              <w:jc w:val="center"/>
              <w:rPr>
                <w:noProof/>
              </w:rPr>
            </w:pPr>
            <w:r>
              <w:rPr>
                <w:noProof/>
              </w:rPr>
              <w:t>2021</w:t>
            </w:r>
          </w:p>
        </w:tc>
        <w:tc>
          <w:tcPr>
            <w:tcW w:w="3794" w:type="dxa"/>
            <w:shd w:val="clear" w:color="auto" w:fill="C6EFCE"/>
            <w:vAlign w:val="center"/>
          </w:tcPr>
          <w:p w14:paraId="655133E9" w14:textId="77777777" w:rsidR="004C6421" w:rsidRDefault="009D1962">
            <w:pPr>
              <w:pStyle w:val="P68B1DB1-Normal4"/>
              <w:spacing w:before="120" w:after="120"/>
              <w:rPr>
                <w:noProof/>
              </w:rPr>
            </w:pPr>
            <w:r>
              <w:rPr>
                <w:noProof/>
              </w:rPr>
              <w:t>4 Od dnia 1 stycznia 2021 r. co najmniej 4000 MŚP otrzymało wsparcie z Funduszu 394/81.</w:t>
            </w:r>
          </w:p>
        </w:tc>
      </w:tr>
      <w:tr w:rsidR="004C6421" w14:paraId="03D88925" w14:textId="77777777">
        <w:trPr>
          <w:trHeight w:val="315"/>
        </w:trPr>
        <w:tc>
          <w:tcPr>
            <w:tcW w:w="1424" w:type="dxa"/>
            <w:shd w:val="clear" w:color="auto" w:fill="C6EFCE"/>
            <w:vAlign w:val="center"/>
          </w:tcPr>
          <w:p w14:paraId="248B6593" w14:textId="77777777" w:rsidR="004C6421" w:rsidRDefault="009D1962">
            <w:pPr>
              <w:pStyle w:val="P68B1DB1-Normal4"/>
              <w:spacing w:before="120" w:after="120"/>
              <w:jc w:val="center"/>
              <w:rPr>
                <w:noProof/>
              </w:rPr>
            </w:pPr>
            <w:r>
              <w:rPr>
                <w:noProof/>
              </w:rPr>
              <w:t>M1C2-28</w:t>
            </w:r>
          </w:p>
        </w:tc>
        <w:tc>
          <w:tcPr>
            <w:tcW w:w="1578" w:type="dxa"/>
            <w:shd w:val="clear" w:color="auto" w:fill="C6EFCE"/>
            <w:vAlign w:val="center"/>
          </w:tcPr>
          <w:p w14:paraId="12C48728" w14:textId="77777777" w:rsidR="004C6421" w:rsidRDefault="009D1962">
            <w:pPr>
              <w:pStyle w:val="P68B1DB1-Normal4"/>
              <w:spacing w:before="120" w:after="120"/>
              <w:jc w:val="center"/>
              <w:rPr>
                <w:noProof/>
              </w:rPr>
            </w:pPr>
            <w:r>
              <w:rPr>
                <w:noProof/>
              </w:rPr>
              <w:t>Inwestycje 5.2: Konkurencyjność i odporność łańcuchów dostaw</w:t>
            </w:r>
          </w:p>
        </w:tc>
        <w:tc>
          <w:tcPr>
            <w:tcW w:w="1078" w:type="dxa"/>
            <w:shd w:val="clear" w:color="auto" w:fill="C6EFCE"/>
            <w:vAlign w:val="center"/>
          </w:tcPr>
          <w:p w14:paraId="1881B957" w14:textId="7422D57E" w:rsidR="004C6421" w:rsidRDefault="00CC179E">
            <w:pPr>
              <w:pStyle w:val="P68B1DB1-Normal4"/>
              <w:spacing w:before="120" w:after="120"/>
              <w:jc w:val="center"/>
              <w:rPr>
                <w:noProof/>
              </w:rPr>
            </w:pPr>
            <w:r>
              <w:rPr>
                <w:noProof/>
              </w:rPr>
              <w:t>Milowy</w:t>
            </w:r>
          </w:p>
        </w:tc>
        <w:tc>
          <w:tcPr>
            <w:tcW w:w="1329" w:type="dxa"/>
            <w:shd w:val="clear" w:color="auto" w:fill="C6EFCE"/>
            <w:vAlign w:val="center"/>
          </w:tcPr>
          <w:p w14:paraId="43AFEDBC" w14:textId="77777777" w:rsidR="004C6421" w:rsidRDefault="009D1962">
            <w:pPr>
              <w:pStyle w:val="P68B1DB1-Normal4"/>
              <w:spacing w:before="120" w:after="120"/>
              <w:jc w:val="center"/>
              <w:rPr>
                <w:noProof/>
              </w:rPr>
            </w:pPr>
            <w:r>
              <w:rPr>
                <w:noProof/>
              </w:rPr>
              <w:t>Wejście w życie dekretu obejmującego politykę inwestycyjną w ramach umów na rozwój</w:t>
            </w:r>
          </w:p>
        </w:tc>
        <w:tc>
          <w:tcPr>
            <w:tcW w:w="1275" w:type="dxa"/>
            <w:shd w:val="clear" w:color="auto" w:fill="C6EFCE"/>
            <w:vAlign w:val="center"/>
          </w:tcPr>
          <w:p w14:paraId="4F4028CD" w14:textId="77777777" w:rsidR="004C6421" w:rsidRDefault="009D1962">
            <w:pPr>
              <w:pStyle w:val="P68B1DB1-Normal4"/>
              <w:spacing w:before="120" w:after="120"/>
              <w:jc w:val="center"/>
              <w:rPr>
                <w:noProof/>
              </w:rPr>
            </w:pPr>
            <w:r>
              <w:rPr>
                <w:noProof/>
              </w:rPr>
              <w:t>Przepis ustawy wskazujący na wejście w życie dekretu NIE DOT.</w:t>
            </w:r>
          </w:p>
        </w:tc>
        <w:tc>
          <w:tcPr>
            <w:tcW w:w="1134" w:type="dxa"/>
            <w:shd w:val="clear" w:color="auto" w:fill="C6EFCE"/>
            <w:vAlign w:val="center"/>
          </w:tcPr>
          <w:p w14:paraId="6B6A22B4" w14:textId="77777777" w:rsidR="004C6421" w:rsidRDefault="009D1962">
            <w:pPr>
              <w:pStyle w:val="P68B1DB1-Normal4"/>
              <w:spacing w:before="120" w:after="120"/>
              <w:jc w:val="center"/>
              <w:rPr>
                <w:noProof/>
              </w:rPr>
            </w:pPr>
            <w:r>
              <w:rPr>
                <w:noProof/>
              </w:rPr>
              <w:t>NIE DOT.</w:t>
            </w:r>
          </w:p>
        </w:tc>
        <w:tc>
          <w:tcPr>
            <w:tcW w:w="993" w:type="dxa"/>
            <w:shd w:val="clear" w:color="auto" w:fill="C6EFCE"/>
            <w:vAlign w:val="center"/>
          </w:tcPr>
          <w:p w14:paraId="61C23240" w14:textId="77777777" w:rsidR="004C6421" w:rsidRDefault="009D1962">
            <w:pPr>
              <w:pStyle w:val="P68B1DB1-Normal4"/>
              <w:spacing w:before="120" w:after="120"/>
              <w:jc w:val="center"/>
              <w:rPr>
                <w:noProof/>
              </w:rPr>
            </w:pPr>
            <w:r>
              <w:rPr>
                <w:noProof/>
              </w:rPr>
              <w:t>NIE DOT.</w:t>
            </w:r>
          </w:p>
        </w:tc>
        <w:tc>
          <w:tcPr>
            <w:tcW w:w="992" w:type="dxa"/>
            <w:shd w:val="clear" w:color="auto" w:fill="C6EFCE"/>
            <w:vAlign w:val="center"/>
          </w:tcPr>
          <w:p w14:paraId="720E9996" w14:textId="77777777" w:rsidR="004C6421" w:rsidRDefault="009D1962">
            <w:pPr>
              <w:pStyle w:val="P68B1DB1-Normal4"/>
              <w:spacing w:before="120" w:after="120"/>
              <w:jc w:val="center"/>
              <w:rPr>
                <w:noProof/>
              </w:rPr>
            </w:pPr>
            <w:r>
              <w:rPr>
                <w:noProof/>
              </w:rPr>
              <w:t>NIE DOT.</w:t>
            </w:r>
          </w:p>
        </w:tc>
        <w:tc>
          <w:tcPr>
            <w:tcW w:w="850" w:type="dxa"/>
            <w:shd w:val="clear" w:color="auto" w:fill="C6EFCE"/>
            <w:vAlign w:val="center"/>
          </w:tcPr>
          <w:p w14:paraId="3527159D" w14:textId="77654406" w:rsidR="004C6421" w:rsidRDefault="00CC179E">
            <w:pPr>
              <w:pStyle w:val="P68B1DB1-Normal4"/>
              <w:spacing w:before="120" w:after="120"/>
              <w:jc w:val="center"/>
              <w:rPr>
                <w:noProof/>
              </w:rPr>
            </w:pPr>
            <w:r>
              <w:rPr>
                <w:noProof/>
              </w:rPr>
              <w:t>KW. 1</w:t>
            </w:r>
          </w:p>
        </w:tc>
        <w:tc>
          <w:tcPr>
            <w:tcW w:w="709" w:type="dxa"/>
            <w:shd w:val="clear" w:color="auto" w:fill="C6EFCE"/>
            <w:vAlign w:val="center"/>
          </w:tcPr>
          <w:p w14:paraId="37750745" w14:textId="77777777" w:rsidR="004C6421" w:rsidRDefault="009D1962">
            <w:pPr>
              <w:pStyle w:val="P68B1DB1-Normal4"/>
              <w:spacing w:before="120" w:after="120"/>
              <w:jc w:val="center"/>
              <w:rPr>
                <w:noProof/>
              </w:rPr>
            </w:pPr>
            <w:r>
              <w:rPr>
                <w:noProof/>
              </w:rPr>
              <w:t>2022</w:t>
            </w:r>
          </w:p>
        </w:tc>
        <w:tc>
          <w:tcPr>
            <w:tcW w:w="3794" w:type="dxa"/>
            <w:shd w:val="clear" w:color="auto" w:fill="C6EFCE"/>
            <w:vAlign w:val="center"/>
          </w:tcPr>
          <w:p w14:paraId="1FA4B6BD" w14:textId="77777777" w:rsidR="004C6421" w:rsidRDefault="009D1962">
            <w:pPr>
              <w:pStyle w:val="P68B1DB1-Normal4"/>
              <w:rPr>
                <w:noProof/>
              </w:rPr>
            </w:pPr>
            <w:r>
              <w:rPr>
                <w:noProof/>
              </w:rPr>
              <w:t>Polityka inwestycyjna w ramach umów na rzecz rozwoju określa co najmniej: charakter i zakres wspieranych projektów, które muszą być zgodne z celami rozporządzenia (UE) 2021/241; zakres wymagań i obowiązków obejmuje kryteria kwalifikowalności w celu zapewnienia zgodności z wytycznymi technicznymi dotyczącymi zasady „nie czyń poważnych szkód” (2021/C58/01) projektów objętych wsparciem w ramach tego działania poprzez wykorzystanie kontroli zrównoważonego charakteru projektów, listy wykluczenia oraz wymogu zgodności z odpowiednimi unijnymi i krajowymi przepisami w zakresie ochrony środowiska, (ii) rodzaj wspieranych operacji, (iii) beneficjentów objętych pomocą i ich kryteriów kwalifikowalności, (iv) przepisy dotyczące ponownego inwestowania potencjalnych środków powracających na podobne cele polityki, również po 2026 r., w przypadku gdy nie są one ponownie wykorzystywane do ponownej spłaty stóp procentowych wynikających z pożyczek udzielonych na podstawie rozporządzenia (UE) 2021/241.</w:t>
            </w:r>
          </w:p>
          <w:p w14:paraId="0D032DE1" w14:textId="77777777" w:rsidR="004C6421" w:rsidRDefault="004C6421">
            <w:pPr>
              <w:rPr>
                <w:rFonts w:ascii="Arial Narrow" w:hAnsi="Arial Narrow"/>
                <w:noProof/>
                <w:color w:val="006100"/>
                <w:sz w:val="20"/>
              </w:rPr>
            </w:pPr>
          </w:p>
          <w:p w14:paraId="4E03D393" w14:textId="77777777" w:rsidR="004C6421" w:rsidRDefault="009D1962">
            <w:pPr>
              <w:pStyle w:val="P68B1DB1-Normal4"/>
              <w:rPr>
                <w:noProof/>
              </w:rPr>
            </w:pPr>
            <w:r>
              <w:rPr>
                <w:noProof/>
              </w:rPr>
              <w:t>Umowa z podmiotem lub pośrednikiem finansowym, któremu powierza się zadania, wymaga stosowania wytycznych technicznych dotyczących zasady „nie czyń poważnych szkód” (2021/C58/01).</w:t>
            </w:r>
          </w:p>
        </w:tc>
      </w:tr>
      <w:tr w:rsidR="004C6421" w14:paraId="16CD536B" w14:textId="77777777">
        <w:trPr>
          <w:trHeight w:val="315"/>
        </w:trPr>
        <w:tc>
          <w:tcPr>
            <w:tcW w:w="1424" w:type="dxa"/>
            <w:shd w:val="clear" w:color="auto" w:fill="C6EFCE"/>
            <w:vAlign w:val="center"/>
          </w:tcPr>
          <w:p w14:paraId="251202A5" w14:textId="77777777" w:rsidR="004C6421" w:rsidRDefault="009D1962">
            <w:pPr>
              <w:pStyle w:val="P68B1DB1-Normal4"/>
              <w:spacing w:before="120" w:after="120"/>
              <w:jc w:val="center"/>
              <w:rPr>
                <w:noProof/>
              </w:rPr>
            </w:pPr>
            <w:r>
              <w:rPr>
                <w:noProof/>
              </w:rPr>
              <w:t>M1C2-29</w:t>
            </w:r>
          </w:p>
        </w:tc>
        <w:tc>
          <w:tcPr>
            <w:tcW w:w="1578" w:type="dxa"/>
            <w:shd w:val="clear" w:color="auto" w:fill="C6EFCE"/>
            <w:vAlign w:val="center"/>
          </w:tcPr>
          <w:p w14:paraId="3EFC423E" w14:textId="77777777" w:rsidR="004C6421" w:rsidRDefault="009D1962">
            <w:pPr>
              <w:pStyle w:val="P68B1DB1-Normal4"/>
              <w:spacing w:before="120" w:after="120"/>
              <w:jc w:val="center"/>
              <w:rPr>
                <w:noProof/>
              </w:rPr>
            </w:pPr>
            <w:r>
              <w:rPr>
                <w:noProof/>
              </w:rPr>
              <w:t>Inwestycje 5.2: Konkurencyjność i odporność łańcuchów dostaw</w:t>
            </w:r>
          </w:p>
        </w:tc>
        <w:tc>
          <w:tcPr>
            <w:tcW w:w="1078" w:type="dxa"/>
            <w:shd w:val="clear" w:color="auto" w:fill="C6EFCE"/>
            <w:vAlign w:val="center"/>
          </w:tcPr>
          <w:p w14:paraId="6E86173E" w14:textId="77777777" w:rsidR="004C6421" w:rsidRDefault="009D1962">
            <w:pPr>
              <w:pStyle w:val="P68B1DB1-Normal4"/>
              <w:spacing w:before="120" w:after="120"/>
              <w:jc w:val="center"/>
              <w:rPr>
                <w:noProof/>
              </w:rPr>
            </w:pPr>
            <w:r>
              <w:rPr>
                <w:noProof/>
              </w:rPr>
              <w:t>Cel</w:t>
            </w:r>
          </w:p>
        </w:tc>
        <w:tc>
          <w:tcPr>
            <w:tcW w:w="1329" w:type="dxa"/>
            <w:shd w:val="clear" w:color="auto" w:fill="C6EFCE"/>
            <w:vAlign w:val="center"/>
          </w:tcPr>
          <w:p w14:paraId="293693BF" w14:textId="77777777" w:rsidR="004C6421" w:rsidRDefault="009D1962">
            <w:pPr>
              <w:pStyle w:val="P68B1DB1-Normal4"/>
              <w:spacing w:before="120" w:after="120"/>
              <w:jc w:val="center"/>
              <w:rPr>
                <w:noProof/>
              </w:rPr>
            </w:pPr>
            <w:r>
              <w:rPr>
                <w:noProof/>
              </w:rPr>
              <w:t>Zatwierdzone umowy rozwojowe</w:t>
            </w:r>
          </w:p>
        </w:tc>
        <w:tc>
          <w:tcPr>
            <w:tcW w:w="1275" w:type="dxa"/>
            <w:shd w:val="clear" w:color="auto" w:fill="C6EFCE"/>
            <w:vAlign w:val="center"/>
          </w:tcPr>
          <w:p w14:paraId="2DCEC15B" w14:textId="77777777" w:rsidR="004C6421" w:rsidRDefault="009D1962">
            <w:pPr>
              <w:pStyle w:val="P68B1DB1-Normal4"/>
              <w:jc w:val="center"/>
              <w:rPr>
                <w:noProof/>
              </w:rPr>
            </w:pPr>
            <w:r>
              <w:rPr>
                <w:noProof/>
              </w:rPr>
              <w:t>NIE DOT.</w:t>
            </w:r>
          </w:p>
        </w:tc>
        <w:tc>
          <w:tcPr>
            <w:tcW w:w="1134" w:type="dxa"/>
            <w:shd w:val="clear" w:color="auto" w:fill="C6EFCE"/>
            <w:vAlign w:val="center"/>
          </w:tcPr>
          <w:p w14:paraId="6FDC9806" w14:textId="77777777" w:rsidR="004C6421" w:rsidRDefault="009D1962">
            <w:pPr>
              <w:pStyle w:val="P68B1DB1-Normal4"/>
              <w:jc w:val="center"/>
              <w:rPr>
                <w:noProof/>
              </w:rPr>
            </w:pPr>
            <w:r>
              <w:rPr>
                <w:noProof/>
              </w:rPr>
              <w:t>Numer</w:t>
            </w:r>
          </w:p>
        </w:tc>
        <w:tc>
          <w:tcPr>
            <w:tcW w:w="993" w:type="dxa"/>
            <w:shd w:val="clear" w:color="auto" w:fill="C6EFCE"/>
            <w:vAlign w:val="center"/>
          </w:tcPr>
          <w:p w14:paraId="7CC10175" w14:textId="77777777" w:rsidR="004C6421" w:rsidRDefault="009D1962">
            <w:pPr>
              <w:pStyle w:val="P68B1DB1-Normal4"/>
              <w:jc w:val="center"/>
              <w:rPr>
                <w:noProof/>
              </w:rPr>
            </w:pPr>
            <w:r>
              <w:rPr>
                <w:noProof/>
              </w:rPr>
              <w:t>0</w:t>
            </w:r>
          </w:p>
        </w:tc>
        <w:tc>
          <w:tcPr>
            <w:tcW w:w="992" w:type="dxa"/>
            <w:shd w:val="clear" w:color="auto" w:fill="C6EFCE"/>
            <w:vAlign w:val="center"/>
          </w:tcPr>
          <w:p w14:paraId="1361D945" w14:textId="77777777" w:rsidR="004C6421" w:rsidRDefault="009D1962">
            <w:pPr>
              <w:pStyle w:val="P68B1DB1-Normal4"/>
              <w:jc w:val="center"/>
              <w:rPr>
                <w:noProof/>
              </w:rPr>
            </w:pPr>
            <w:r>
              <w:rPr>
                <w:noProof/>
              </w:rPr>
              <w:t>40</w:t>
            </w:r>
          </w:p>
        </w:tc>
        <w:tc>
          <w:tcPr>
            <w:tcW w:w="850" w:type="dxa"/>
            <w:shd w:val="clear" w:color="auto" w:fill="C6EFCE"/>
            <w:vAlign w:val="center"/>
          </w:tcPr>
          <w:p w14:paraId="2BD8F7F8" w14:textId="02EF80C3" w:rsidR="004C6421" w:rsidRDefault="00CC179E">
            <w:pPr>
              <w:pStyle w:val="P68B1DB1-Normal4"/>
              <w:jc w:val="center"/>
              <w:rPr>
                <w:noProof/>
              </w:rPr>
            </w:pPr>
            <w:r>
              <w:rPr>
                <w:noProof/>
              </w:rPr>
              <w:t>KW. 4</w:t>
            </w:r>
          </w:p>
        </w:tc>
        <w:tc>
          <w:tcPr>
            <w:tcW w:w="709" w:type="dxa"/>
            <w:shd w:val="clear" w:color="auto" w:fill="C6EFCE"/>
            <w:vAlign w:val="center"/>
          </w:tcPr>
          <w:p w14:paraId="3DADBF02" w14:textId="77777777" w:rsidR="004C6421" w:rsidRDefault="009D1962">
            <w:pPr>
              <w:pStyle w:val="P68B1DB1-Normal4"/>
              <w:spacing w:before="120" w:after="120"/>
              <w:jc w:val="center"/>
              <w:rPr>
                <w:noProof/>
              </w:rPr>
            </w:pPr>
            <w:r>
              <w:rPr>
                <w:noProof/>
              </w:rPr>
              <w:t>2023</w:t>
            </w:r>
          </w:p>
        </w:tc>
        <w:tc>
          <w:tcPr>
            <w:tcW w:w="3794" w:type="dxa"/>
            <w:shd w:val="clear" w:color="auto" w:fill="C6EFCE"/>
            <w:vAlign w:val="center"/>
          </w:tcPr>
          <w:p w14:paraId="4D85885E" w14:textId="1CDED362" w:rsidR="004C6421" w:rsidRDefault="009D1962">
            <w:pPr>
              <w:pStyle w:val="P68B1DB1-Normal4"/>
              <w:spacing w:before="120" w:after="120"/>
              <w:rPr>
                <w:noProof/>
              </w:rPr>
            </w:pPr>
            <w:r>
              <w:rPr>
                <w:noProof/>
              </w:rPr>
              <w:t>Co najmniej 40 zatwierdzonych umów dotyczących rozwoju, zgodnie z ich polityką inwestycyjną. Zadowalające osiągnięcie celu zależy również od uruchomienia inwestycji o wartości co najmniej 1500 mln EUR.</w:t>
            </w:r>
          </w:p>
        </w:tc>
      </w:tr>
      <w:tr w:rsidR="004C6421" w14:paraId="7E44F737" w14:textId="77777777">
        <w:trPr>
          <w:trHeight w:val="315"/>
        </w:trPr>
        <w:tc>
          <w:tcPr>
            <w:tcW w:w="1424" w:type="dxa"/>
            <w:shd w:val="clear" w:color="auto" w:fill="C6EFCE"/>
            <w:vAlign w:val="center"/>
          </w:tcPr>
          <w:p w14:paraId="5E05FE78" w14:textId="77777777" w:rsidR="004C6421" w:rsidRDefault="009D1962">
            <w:pPr>
              <w:pStyle w:val="P68B1DB1-Normal4"/>
              <w:spacing w:before="120" w:after="120"/>
              <w:jc w:val="center"/>
              <w:rPr>
                <w:noProof/>
              </w:rPr>
            </w:pPr>
            <w:r>
              <w:rPr>
                <w:noProof/>
              </w:rPr>
              <w:t>M1C2-30</w:t>
            </w:r>
          </w:p>
        </w:tc>
        <w:tc>
          <w:tcPr>
            <w:tcW w:w="1578" w:type="dxa"/>
            <w:shd w:val="clear" w:color="auto" w:fill="C6EFCE"/>
            <w:vAlign w:val="center"/>
          </w:tcPr>
          <w:p w14:paraId="27003031" w14:textId="77777777" w:rsidR="004C6421" w:rsidRDefault="009D1962">
            <w:pPr>
              <w:pStyle w:val="P68B1DB1-Normal4"/>
              <w:spacing w:before="120" w:after="120"/>
              <w:jc w:val="center"/>
              <w:rPr>
                <w:noProof/>
              </w:rPr>
            </w:pPr>
            <w:r>
              <w:rPr>
                <w:noProof/>
              </w:rPr>
              <w:t>Inwestycja 7. Wsparcie systemu produkcji na rzecz transformacji ekologicznej, technologii neutralnych emisyjnie oraz konkurencyjności i odporności strategicznych łańcuchów dostaw</w:t>
            </w:r>
          </w:p>
        </w:tc>
        <w:tc>
          <w:tcPr>
            <w:tcW w:w="1078" w:type="dxa"/>
            <w:shd w:val="clear" w:color="auto" w:fill="C6EFCE"/>
            <w:vAlign w:val="center"/>
          </w:tcPr>
          <w:p w14:paraId="4D457F2C" w14:textId="392B5F94" w:rsidR="004C6421" w:rsidRDefault="00CC179E">
            <w:pPr>
              <w:pStyle w:val="P68B1DB1-Normal4"/>
              <w:spacing w:before="120" w:after="120"/>
              <w:rPr>
                <w:noProof/>
              </w:rPr>
            </w:pPr>
            <w:r>
              <w:rPr>
                <w:noProof/>
              </w:rPr>
              <w:t>Milowy</w:t>
            </w:r>
          </w:p>
        </w:tc>
        <w:tc>
          <w:tcPr>
            <w:tcW w:w="1329" w:type="dxa"/>
            <w:shd w:val="clear" w:color="auto" w:fill="C6EFCE"/>
            <w:vAlign w:val="center"/>
          </w:tcPr>
          <w:p w14:paraId="7E2C9DBD" w14:textId="77777777" w:rsidR="004C6421" w:rsidRDefault="009D1962">
            <w:pPr>
              <w:pStyle w:val="P68B1DB1-Normal4"/>
              <w:spacing w:before="120" w:after="120"/>
              <w:rPr>
                <w:noProof/>
              </w:rPr>
            </w:pPr>
            <w:r>
              <w:rPr>
                <w:noProof/>
              </w:rPr>
              <w:t>Umowa wykonawcza</w:t>
            </w:r>
          </w:p>
        </w:tc>
        <w:tc>
          <w:tcPr>
            <w:tcW w:w="1275" w:type="dxa"/>
            <w:shd w:val="clear" w:color="auto" w:fill="C6EFCE"/>
            <w:vAlign w:val="center"/>
          </w:tcPr>
          <w:p w14:paraId="10AC44F0" w14:textId="77777777" w:rsidR="004C6421" w:rsidRDefault="009D1962">
            <w:pPr>
              <w:pStyle w:val="P68B1DB1-Normal4"/>
              <w:rPr>
                <w:noProof/>
              </w:rPr>
            </w:pPr>
            <w:r>
              <w:rPr>
                <w:noProof/>
              </w:rPr>
              <w:t>Wejście w życie umowy wykonawczej</w:t>
            </w:r>
          </w:p>
        </w:tc>
        <w:tc>
          <w:tcPr>
            <w:tcW w:w="1134" w:type="dxa"/>
            <w:shd w:val="clear" w:color="auto" w:fill="C6EFCE"/>
            <w:vAlign w:val="center"/>
          </w:tcPr>
          <w:p w14:paraId="3BDD669B" w14:textId="77777777" w:rsidR="004C6421" w:rsidRDefault="009D1962">
            <w:pPr>
              <w:pStyle w:val="P68B1DB1-Normal4"/>
              <w:jc w:val="center"/>
              <w:rPr>
                <w:noProof/>
              </w:rPr>
            </w:pPr>
            <w:r>
              <w:rPr>
                <w:noProof/>
              </w:rPr>
              <w:t>NIE DOT.</w:t>
            </w:r>
          </w:p>
        </w:tc>
        <w:tc>
          <w:tcPr>
            <w:tcW w:w="993" w:type="dxa"/>
            <w:shd w:val="clear" w:color="auto" w:fill="C6EFCE"/>
            <w:vAlign w:val="center"/>
          </w:tcPr>
          <w:p w14:paraId="37B623B9" w14:textId="77777777" w:rsidR="004C6421" w:rsidRDefault="009D1962">
            <w:pPr>
              <w:pStyle w:val="P68B1DB1-Normal4"/>
              <w:jc w:val="center"/>
              <w:rPr>
                <w:noProof/>
              </w:rPr>
            </w:pPr>
            <w:r>
              <w:rPr>
                <w:noProof/>
              </w:rPr>
              <w:t>NIE DOT.</w:t>
            </w:r>
          </w:p>
        </w:tc>
        <w:tc>
          <w:tcPr>
            <w:tcW w:w="992" w:type="dxa"/>
            <w:shd w:val="clear" w:color="auto" w:fill="C6EFCE"/>
            <w:vAlign w:val="center"/>
          </w:tcPr>
          <w:p w14:paraId="61853AC2" w14:textId="77777777" w:rsidR="004C6421" w:rsidRDefault="009D1962">
            <w:pPr>
              <w:pStyle w:val="P68B1DB1-Normal4"/>
              <w:jc w:val="center"/>
              <w:rPr>
                <w:noProof/>
              </w:rPr>
            </w:pPr>
            <w:r>
              <w:rPr>
                <w:noProof/>
              </w:rPr>
              <w:t>NIE DOT.</w:t>
            </w:r>
          </w:p>
        </w:tc>
        <w:tc>
          <w:tcPr>
            <w:tcW w:w="850" w:type="dxa"/>
            <w:shd w:val="clear" w:color="auto" w:fill="C6EFCE"/>
            <w:vAlign w:val="center"/>
          </w:tcPr>
          <w:p w14:paraId="4F2C1A6A" w14:textId="4FFE8716" w:rsidR="004C6421" w:rsidRDefault="00CC179E">
            <w:pPr>
              <w:pStyle w:val="P68B1DB1-Normal4"/>
              <w:jc w:val="center"/>
              <w:rPr>
                <w:noProof/>
              </w:rPr>
            </w:pPr>
            <w:r>
              <w:rPr>
                <w:noProof/>
              </w:rPr>
              <w:t>KW. 4</w:t>
            </w:r>
          </w:p>
        </w:tc>
        <w:tc>
          <w:tcPr>
            <w:tcW w:w="709" w:type="dxa"/>
            <w:shd w:val="clear" w:color="auto" w:fill="C6EFCE"/>
            <w:vAlign w:val="center"/>
          </w:tcPr>
          <w:p w14:paraId="69FE2A99" w14:textId="77777777" w:rsidR="004C6421" w:rsidRDefault="009D1962">
            <w:pPr>
              <w:pStyle w:val="P68B1DB1-Normal4"/>
              <w:spacing w:before="120" w:after="120"/>
              <w:jc w:val="center"/>
              <w:rPr>
                <w:noProof/>
              </w:rPr>
            </w:pPr>
            <w:r>
              <w:rPr>
                <w:noProof/>
              </w:rPr>
              <w:t>2024</w:t>
            </w:r>
          </w:p>
        </w:tc>
        <w:tc>
          <w:tcPr>
            <w:tcW w:w="3794" w:type="dxa"/>
            <w:shd w:val="clear" w:color="auto" w:fill="C6EFCE"/>
            <w:vAlign w:val="center"/>
          </w:tcPr>
          <w:p w14:paraId="56B52478" w14:textId="77777777" w:rsidR="004C6421" w:rsidRDefault="009D1962">
            <w:pPr>
              <w:pStyle w:val="P68B1DB1-Normal4"/>
              <w:spacing w:before="120" w:after="120"/>
              <w:rPr>
                <w:noProof/>
              </w:rPr>
            </w:pPr>
            <w:r>
              <w:rPr>
                <w:noProof/>
              </w:rPr>
              <w:t>Wejście w życie umowy wykonawczej.</w:t>
            </w:r>
          </w:p>
        </w:tc>
      </w:tr>
      <w:tr w:rsidR="004C6421" w14:paraId="1F890C41" w14:textId="77777777">
        <w:trPr>
          <w:trHeight w:val="315"/>
        </w:trPr>
        <w:tc>
          <w:tcPr>
            <w:tcW w:w="1424" w:type="dxa"/>
            <w:shd w:val="clear" w:color="auto" w:fill="C6EFCE"/>
            <w:vAlign w:val="center"/>
          </w:tcPr>
          <w:p w14:paraId="36CD0133" w14:textId="77777777" w:rsidR="004C6421" w:rsidRDefault="009D1962">
            <w:pPr>
              <w:pStyle w:val="P68B1DB1-Normal4"/>
              <w:spacing w:before="120" w:after="120"/>
              <w:jc w:val="center"/>
              <w:rPr>
                <w:noProof/>
              </w:rPr>
            </w:pPr>
            <w:r>
              <w:rPr>
                <w:noProof/>
              </w:rPr>
              <w:t>M1C2-31</w:t>
            </w:r>
          </w:p>
        </w:tc>
        <w:tc>
          <w:tcPr>
            <w:tcW w:w="1578" w:type="dxa"/>
            <w:shd w:val="clear" w:color="auto" w:fill="C6EFCE"/>
            <w:vAlign w:val="center"/>
          </w:tcPr>
          <w:p w14:paraId="71B3E40E" w14:textId="77777777" w:rsidR="004C6421" w:rsidRDefault="009D1962">
            <w:pPr>
              <w:pStyle w:val="P68B1DB1-Normal4"/>
              <w:spacing w:before="120" w:after="120"/>
              <w:jc w:val="center"/>
              <w:rPr>
                <w:noProof/>
              </w:rPr>
            </w:pPr>
            <w:r>
              <w:rPr>
                <w:noProof/>
              </w:rPr>
              <w:t>Inwestycje 7 Wsparcie systemu produkcji na potrzeby transformacji ekologicznej, technologii neutralnych emisyjnie oraz konkurencyjności i odporności strategicznych łańcuchów dostaw</w:t>
            </w:r>
          </w:p>
        </w:tc>
        <w:tc>
          <w:tcPr>
            <w:tcW w:w="1078" w:type="dxa"/>
            <w:shd w:val="clear" w:color="auto" w:fill="C6EFCE"/>
            <w:vAlign w:val="center"/>
          </w:tcPr>
          <w:p w14:paraId="1D40E7D2" w14:textId="72912B0F" w:rsidR="004C6421" w:rsidRDefault="00CC179E">
            <w:pPr>
              <w:pStyle w:val="P68B1DB1-Normal4"/>
              <w:spacing w:before="120" w:after="120"/>
              <w:rPr>
                <w:noProof/>
              </w:rPr>
            </w:pPr>
            <w:r>
              <w:rPr>
                <w:noProof/>
              </w:rPr>
              <w:t>Milowy</w:t>
            </w:r>
          </w:p>
        </w:tc>
        <w:tc>
          <w:tcPr>
            <w:tcW w:w="1329" w:type="dxa"/>
            <w:shd w:val="clear" w:color="auto" w:fill="C6EFCE"/>
            <w:vAlign w:val="center"/>
          </w:tcPr>
          <w:p w14:paraId="5E0A2B25" w14:textId="77777777" w:rsidR="004C6421" w:rsidRDefault="009D1962">
            <w:pPr>
              <w:pStyle w:val="P68B1DB1-Normal4"/>
              <w:spacing w:before="120" w:after="120"/>
              <w:rPr>
                <w:noProof/>
              </w:rPr>
            </w:pPr>
            <w:r>
              <w:rPr>
                <w:noProof/>
              </w:rPr>
              <w:t>Ministerstwo Przedsiębiorstw i Made we Włoszech zakończyło inwestycję</w:t>
            </w:r>
          </w:p>
        </w:tc>
        <w:tc>
          <w:tcPr>
            <w:tcW w:w="1275" w:type="dxa"/>
            <w:shd w:val="clear" w:color="auto" w:fill="C6EFCE"/>
            <w:vAlign w:val="center"/>
          </w:tcPr>
          <w:p w14:paraId="47260BB3" w14:textId="77777777" w:rsidR="004C6421" w:rsidRDefault="009D1962">
            <w:pPr>
              <w:pStyle w:val="P68B1DB1-Normal4"/>
              <w:rPr>
                <w:noProof/>
              </w:rPr>
            </w:pPr>
            <w:r>
              <w:rPr>
                <w:noProof/>
              </w:rPr>
              <w:t xml:space="preserve">Świadectwo transferu </w:t>
            </w:r>
          </w:p>
        </w:tc>
        <w:tc>
          <w:tcPr>
            <w:tcW w:w="1134" w:type="dxa"/>
            <w:shd w:val="clear" w:color="auto" w:fill="C6EFCE"/>
            <w:vAlign w:val="center"/>
          </w:tcPr>
          <w:p w14:paraId="199BA307" w14:textId="77777777" w:rsidR="004C6421" w:rsidRDefault="009D1962">
            <w:pPr>
              <w:pStyle w:val="P68B1DB1-Normal4"/>
              <w:jc w:val="center"/>
              <w:rPr>
                <w:noProof/>
              </w:rPr>
            </w:pPr>
            <w:r>
              <w:rPr>
                <w:noProof/>
              </w:rPr>
              <w:t>NIE DOT.</w:t>
            </w:r>
          </w:p>
        </w:tc>
        <w:tc>
          <w:tcPr>
            <w:tcW w:w="993" w:type="dxa"/>
            <w:shd w:val="clear" w:color="auto" w:fill="C6EFCE"/>
            <w:vAlign w:val="center"/>
          </w:tcPr>
          <w:p w14:paraId="02CA0496" w14:textId="77777777" w:rsidR="004C6421" w:rsidRDefault="009D1962">
            <w:pPr>
              <w:pStyle w:val="P68B1DB1-Normal4"/>
              <w:jc w:val="center"/>
              <w:rPr>
                <w:noProof/>
              </w:rPr>
            </w:pPr>
            <w:r>
              <w:rPr>
                <w:noProof/>
              </w:rPr>
              <w:t>NIE DOT.</w:t>
            </w:r>
          </w:p>
        </w:tc>
        <w:tc>
          <w:tcPr>
            <w:tcW w:w="992" w:type="dxa"/>
            <w:shd w:val="clear" w:color="auto" w:fill="C6EFCE"/>
            <w:vAlign w:val="center"/>
          </w:tcPr>
          <w:p w14:paraId="1B1E9515" w14:textId="77777777" w:rsidR="004C6421" w:rsidRDefault="009D1962">
            <w:pPr>
              <w:pStyle w:val="P68B1DB1-Normal4"/>
              <w:jc w:val="center"/>
              <w:rPr>
                <w:noProof/>
              </w:rPr>
            </w:pPr>
            <w:r>
              <w:rPr>
                <w:noProof/>
              </w:rPr>
              <w:t>NIE DOT.</w:t>
            </w:r>
          </w:p>
        </w:tc>
        <w:tc>
          <w:tcPr>
            <w:tcW w:w="850" w:type="dxa"/>
            <w:shd w:val="clear" w:color="auto" w:fill="C6EFCE"/>
            <w:vAlign w:val="center"/>
          </w:tcPr>
          <w:p w14:paraId="7F4A0F02" w14:textId="462DD702" w:rsidR="004C6421" w:rsidRDefault="00CC179E">
            <w:pPr>
              <w:pStyle w:val="P68B1DB1-Normal4"/>
              <w:jc w:val="center"/>
              <w:rPr>
                <w:noProof/>
              </w:rPr>
            </w:pPr>
            <w:r>
              <w:rPr>
                <w:noProof/>
              </w:rPr>
              <w:t>KW. 4</w:t>
            </w:r>
          </w:p>
        </w:tc>
        <w:tc>
          <w:tcPr>
            <w:tcW w:w="709" w:type="dxa"/>
            <w:shd w:val="clear" w:color="auto" w:fill="C6EFCE"/>
            <w:vAlign w:val="center"/>
          </w:tcPr>
          <w:p w14:paraId="572EC267" w14:textId="77777777" w:rsidR="004C6421" w:rsidRDefault="009D1962">
            <w:pPr>
              <w:pStyle w:val="P68B1DB1-Normal4"/>
              <w:spacing w:before="120" w:after="120"/>
              <w:jc w:val="center"/>
              <w:rPr>
                <w:noProof/>
              </w:rPr>
            </w:pPr>
            <w:r>
              <w:rPr>
                <w:noProof/>
              </w:rPr>
              <w:t>2024</w:t>
            </w:r>
          </w:p>
        </w:tc>
        <w:tc>
          <w:tcPr>
            <w:tcW w:w="3794" w:type="dxa"/>
            <w:shd w:val="clear" w:color="auto" w:fill="C6EFCE"/>
            <w:vAlign w:val="center"/>
          </w:tcPr>
          <w:p w14:paraId="37E4BADE" w14:textId="77777777" w:rsidR="004C6421" w:rsidRDefault="009D1962">
            <w:pPr>
              <w:pStyle w:val="P68B1DB1-Normal4"/>
              <w:spacing w:before="120" w:after="120"/>
              <w:rPr>
                <w:noProof/>
              </w:rPr>
            </w:pPr>
            <w:r>
              <w:rPr>
                <w:noProof/>
              </w:rPr>
              <w:t>Włochy przekażą kwotę 2 500 000 000 EUR na rzecz Invitalia na rzecz instrumentu.</w:t>
            </w:r>
          </w:p>
          <w:p w14:paraId="5CE19B22" w14:textId="77777777" w:rsidR="004C6421" w:rsidRDefault="009D1962">
            <w:pPr>
              <w:pStyle w:val="P68B1DB1-Normal4"/>
              <w:spacing w:before="120" w:after="120"/>
              <w:rPr>
                <w:noProof/>
              </w:rPr>
            </w:pPr>
            <w:r>
              <w:rPr>
                <w:noProof/>
              </w:rPr>
              <w:t xml:space="preserve">W tym: </w:t>
            </w:r>
          </w:p>
          <w:p w14:paraId="560941F0" w14:textId="77777777" w:rsidR="004C6421" w:rsidRDefault="009D1962">
            <w:pPr>
              <w:pStyle w:val="P68B1DB1-ListParagraph5"/>
              <w:numPr>
                <w:ilvl w:val="0"/>
                <w:numId w:val="137"/>
              </w:numPr>
              <w:rPr>
                <w:noProof/>
              </w:rPr>
            </w:pPr>
            <w:r>
              <w:rPr>
                <w:noProof/>
              </w:rPr>
              <w:t>2 000 000 000 EUR na podinwestycję 1 Technologie neutralne emisyjnie;</w:t>
            </w:r>
          </w:p>
          <w:p w14:paraId="3C33852E" w14:textId="77777777" w:rsidR="004C6421" w:rsidRDefault="009D1962">
            <w:pPr>
              <w:pStyle w:val="P68B1DB1-ListParagraph5"/>
              <w:numPr>
                <w:ilvl w:val="0"/>
                <w:numId w:val="137"/>
              </w:numPr>
              <w:rPr>
                <w:noProof/>
              </w:rPr>
            </w:pPr>
            <w:r>
              <w:rPr>
                <w:noProof/>
              </w:rPr>
              <w:t>500 000 000 EUR na podinwestycję 2 Konkurencyjność i odporność strategicznych łańcuchów dostaw.</w:t>
            </w:r>
          </w:p>
        </w:tc>
      </w:tr>
      <w:tr w:rsidR="004C6421" w14:paraId="3C47C96A" w14:textId="77777777">
        <w:trPr>
          <w:trHeight w:val="315"/>
        </w:trPr>
        <w:tc>
          <w:tcPr>
            <w:tcW w:w="1424" w:type="dxa"/>
            <w:shd w:val="clear" w:color="auto" w:fill="C6EFCE"/>
            <w:vAlign w:val="center"/>
          </w:tcPr>
          <w:p w14:paraId="67A7EB95" w14:textId="77777777" w:rsidR="004C6421" w:rsidRDefault="009D1962">
            <w:pPr>
              <w:pStyle w:val="P68B1DB1-Normal4"/>
              <w:spacing w:before="120" w:after="120"/>
              <w:jc w:val="center"/>
              <w:rPr>
                <w:noProof/>
              </w:rPr>
            </w:pPr>
            <w:r>
              <w:rPr>
                <w:noProof/>
              </w:rPr>
              <w:t>M1C2-32</w:t>
            </w:r>
          </w:p>
        </w:tc>
        <w:tc>
          <w:tcPr>
            <w:tcW w:w="1578" w:type="dxa"/>
            <w:shd w:val="clear" w:color="auto" w:fill="C6EFCE"/>
            <w:vAlign w:val="center"/>
          </w:tcPr>
          <w:p w14:paraId="3005A865" w14:textId="77777777" w:rsidR="004C6421" w:rsidRDefault="009D1962">
            <w:pPr>
              <w:pStyle w:val="P68B1DB1-Normal4"/>
              <w:spacing w:before="120" w:after="120"/>
              <w:jc w:val="center"/>
              <w:rPr>
                <w:noProof/>
              </w:rPr>
            </w:pPr>
            <w:r>
              <w:rPr>
                <w:noProof/>
              </w:rPr>
              <w:t>Inwestycja 7. Wsparcie systemu produkcji na rzecz transformacji ekologicznej, technologii neutralnych emisyjnie oraz konkurencyjności i odporności strategicznych łańcuchów dostaw</w:t>
            </w:r>
          </w:p>
        </w:tc>
        <w:tc>
          <w:tcPr>
            <w:tcW w:w="1078" w:type="dxa"/>
            <w:shd w:val="clear" w:color="auto" w:fill="C6EFCE"/>
            <w:vAlign w:val="center"/>
          </w:tcPr>
          <w:p w14:paraId="6419E86E" w14:textId="77777777" w:rsidR="004C6421" w:rsidRDefault="009D1962">
            <w:pPr>
              <w:pStyle w:val="P68B1DB1-Normal4"/>
              <w:spacing w:before="120" w:after="120"/>
              <w:jc w:val="center"/>
              <w:rPr>
                <w:noProof/>
              </w:rPr>
            </w:pPr>
            <w:r>
              <w:rPr>
                <w:noProof/>
              </w:rPr>
              <w:t>Cel</w:t>
            </w:r>
          </w:p>
        </w:tc>
        <w:tc>
          <w:tcPr>
            <w:tcW w:w="1329" w:type="dxa"/>
            <w:shd w:val="clear" w:color="auto" w:fill="C6EFCE"/>
            <w:vAlign w:val="center"/>
          </w:tcPr>
          <w:p w14:paraId="50F6B793" w14:textId="77777777" w:rsidR="004C6421" w:rsidRDefault="009D1962">
            <w:pPr>
              <w:pStyle w:val="P68B1DB1-Normal4"/>
              <w:spacing w:before="120" w:after="120"/>
              <w:rPr>
                <w:noProof/>
              </w:rPr>
            </w:pPr>
            <w:r>
              <w:rPr>
                <w:noProof/>
              </w:rPr>
              <w:t>Umowy prawne podpisane z beneficjentami końcowymi</w:t>
            </w:r>
          </w:p>
        </w:tc>
        <w:tc>
          <w:tcPr>
            <w:tcW w:w="1275" w:type="dxa"/>
            <w:shd w:val="clear" w:color="auto" w:fill="C6EFCE"/>
            <w:vAlign w:val="center"/>
          </w:tcPr>
          <w:p w14:paraId="23ED66A9" w14:textId="77777777" w:rsidR="004C6421" w:rsidRDefault="004C6421">
            <w:pPr>
              <w:rPr>
                <w:rFonts w:ascii="Arial Narrow" w:hAnsi="Arial Narrow"/>
                <w:noProof/>
                <w:color w:val="006100"/>
                <w:sz w:val="20"/>
              </w:rPr>
            </w:pPr>
          </w:p>
          <w:p w14:paraId="65881638" w14:textId="77777777" w:rsidR="004C6421" w:rsidRDefault="009D1962">
            <w:pPr>
              <w:pStyle w:val="P68B1DB1-Normal4"/>
              <w:rPr>
                <w:noProof/>
              </w:rPr>
            </w:pPr>
            <w:r>
              <w:rPr>
                <w:noProof/>
              </w:rPr>
              <w:t>NIE DOT.</w:t>
            </w:r>
          </w:p>
        </w:tc>
        <w:tc>
          <w:tcPr>
            <w:tcW w:w="1134" w:type="dxa"/>
            <w:shd w:val="clear" w:color="auto" w:fill="C6EFCE"/>
            <w:vAlign w:val="center"/>
          </w:tcPr>
          <w:p w14:paraId="30C93E5B" w14:textId="77777777" w:rsidR="004C6421" w:rsidRDefault="009D1962">
            <w:pPr>
              <w:pStyle w:val="P68B1DB1-Normal4"/>
              <w:jc w:val="center"/>
              <w:rPr>
                <w:noProof/>
              </w:rPr>
            </w:pPr>
            <w:r>
              <w:rPr>
                <w:noProof/>
              </w:rPr>
              <w:t>Procent</w:t>
            </w:r>
          </w:p>
        </w:tc>
        <w:tc>
          <w:tcPr>
            <w:tcW w:w="993" w:type="dxa"/>
            <w:shd w:val="clear" w:color="auto" w:fill="C6EFCE"/>
            <w:vAlign w:val="center"/>
          </w:tcPr>
          <w:p w14:paraId="336A04FF" w14:textId="77777777" w:rsidR="004C6421" w:rsidRDefault="009D1962">
            <w:pPr>
              <w:pStyle w:val="P68B1DB1-Normal4"/>
              <w:jc w:val="center"/>
              <w:rPr>
                <w:noProof/>
              </w:rPr>
            </w:pPr>
            <w:r>
              <w:rPr>
                <w:noProof/>
              </w:rPr>
              <w:t>0</w:t>
            </w:r>
          </w:p>
        </w:tc>
        <w:tc>
          <w:tcPr>
            <w:tcW w:w="992" w:type="dxa"/>
            <w:shd w:val="clear" w:color="auto" w:fill="C6EFCE"/>
            <w:vAlign w:val="center"/>
          </w:tcPr>
          <w:p w14:paraId="054E7F9C" w14:textId="77777777" w:rsidR="004C6421" w:rsidRDefault="009D1962">
            <w:pPr>
              <w:pStyle w:val="P68B1DB1-Normal4"/>
              <w:jc w:val="center"/>
              <w:rPr>
                <w:noProof/>
              </w:rPr>
            </w:pPr>
            <w:r>
              <w:rPr>
                <w:noProof/>
              </w:rPr>
              <w:t>100</w:t>
            </w:r>
          </w:p>
        </w:tc>
        <w:tc>
          <w:tcPr>
            <w:tcW w:w="850" w:type="dxa"/>
            <w:shd w:val="clear" w:color="auto" w:fill="C6EFCE"/>
            <w:vAlign w:val="center"/>
          </w:tcPr>
          <w:p w14:paraId="2F823666" w14:textId="77777777" w:rsidR="004C6421" w:rsidRDefault="009D1962">
            <w:pPr>
              <w:pStyle w:val="P68B1DB1-Normal4"/>
              <w:jc w:val="center"/>
              <w:rPr>
                <w:noProof/>
              </w:rPr>
            </w:pPr>
            <w:r>
              <w:rPr>
                <w:noProof/>
              </w:rPr>
              <w:t>II KW.</w:t>
            </w:r>
          </w:p>
        </w:tc>
        <w:tc>
          <w:tcPr>
            <w:tcW w:w="709" w:type="dxa"/>
            <w:shd w:val="clear" w:color="auto" w:fill="C6EFCE"/>
            <w:vAlign w:val="center"/>
          </w:tcPr>
          <w:p w14:paraId="316DBFC5" w14:textId="77777777" w:rsidR="004C6421" w:rsidRDefault="009D1962">
            <w:pPr>
              <w:pStyle w:val="P68B1DB1-Normal4"/>
              <w:spacing w:before="120" w:after="120"/>
              <w:jc w:val="center"/>
              <w:rPr>
                <w:noProof/>
              </w:rPr>
            </w:pPr>
            <w:r>
              <w:rPr>
                <w:noProof/>
              </w:rPr>
              <w:t>2026</w:t>
            </w:r>
          </w:p>
        </w:tc>
        <w:tc>
          <w:tcPr>
            <w:tcW w:w="3794" w:type="dxa"/>
            <w:shd w:val="clear" w:color="auto" w:fill="C6EFCE"/>
            <w:vAlign w:val="center"/>
          </w:tcPr>
          <w:p w14:paraId="5A62C4CD" w14:textId="77777777" w:rsidR="004C6421" w:rsidRDefault="009D1962">
            <w:pPr>
              <w:pStyle w:val="P68B1DB1-Normal16"/>
              <w:spacing w:before="120" w:after="120"/>
              <w:rPr>
                <w:noProof/>
                <w:sz w:val="20"/>
              </w:rPr>
            </w:pPr>
            <w:r>
              <w:rPr>
                <w:noProof/>
                <w:sz w:val="20"/>
              </w:rPr>
              <w:t xml:space="preserve">Invitalia zawarła z beneficjentami końcowymi prawne umowy w sprawie finansowania na kwotę niezbędną do wykorzystania 100 % z 2 500 000 000 EUR inwestycji w ramach RRF (z uwzględnieniem opłat za zarządzanie). </w:t>
            </w:r>
          </w:p>
          <w:p w14:paraId="1A24DD51" w14:textId="77777777" w:rsidR="004C6421" w:rsidRDefault="009D1962">
            <w:pPr>
              <w:pStyle w:val="P68B1DB1-Normal4"/>
              <w:spacing w:before="120" w:after="120"/>
              <w:rPr>
                <w:noProof/>
              </w:rPr>
            </w:pPr>
            <w:r>
              <w:rPr>
                <w:noProof/>
              </w:rPr>
              <w:t xml:space="preserve">W szczególności: </w:t>
            </w:r>
          </w:p>
          <w:p w14:paraId="134B3509" w14:textId="77777777" w:rsidR="004C6421" w:rsidRDefault="009D1962">
            <w:pPr>
              <w:pStyle w:val="P68B1DB1-ListParagraph5"/>
              <w:numPr>
                <w:ilvl w:val="0"/>
                <w:numId w:val="137"/>
              </w:numPr>
              <w:rPr>
                <w:noProof/>
              </w:rPr>
            </w:pPr>
            <w:r>
              <w:rPr>
                <w:noProof/>
              </w:rPr>
              <w:t>2 000 000 000 EUR na podinwestycję 1 Technologie neutralne emisyjnie;</w:t>
            </w:r>
          </w:p>
          <w:p w14:paraId="473E4E1F" w14:textId="77777777" w:rsidR="004C6421" w:rsidRDefault="009D1962">
            <w:pPr>
              <w:pStyle w:val="P68B1DB1-ListParagraph5"/>
              <w:numPr>
                <w:ilvl w:val="0"/>
                <w:numId w:val="137"/>
              </w:numPr>
              <w:rPr>
                <w:noProof/>
              </w:rPr>
            </w:pPr>
            <w:r>
              <w:rPr>
                <w:noProof/>
              </w:rPr>
              <w:t>500 000 000 EUR na podinwestycję 2 Konkurencyjność i odporność strategicznych łańcuchów dostaw.</w:t>
            </w:r>
          </w:p>
        </w:tc>
      </w:tr>
    </w:tbl>
    <w:p w14:paraId="2906AC4B" w14:textId="77777777" w:rsidR="004C6421" w:rsidRDefault="004C6421">
      <w:pPr>
        <w:spacing w:before="120" w:after="120"/>
        <w:jc w:val="both"/>
        <w:rPr>
          <w:b/>
          <w:noProof/>
        </w:rPr>
      </w:pPr>
    </w:p>
    <w:p w14:paraId="000C8959" w14:textId="77777777" w:rsidR="004C6421" w:rsidRDefault="004C6421">
      <w:pPr>
        <w:rPr>
          <w:b/>
          <w:noProof/>
        </w:rPr>
        <w:sectPr w:rsidR="004C6421" w:rsidSect="00797973">
          <w:headerReference w:type="even" r:id="rId62"/>
          <w:headerReference w:type="default" r:id="rId63"/>
          <w:footerReference w:type="even" r:id="rId64"/>
          <w:footerReference w:type="default" r:id="rId65"/>
          <w:headerReference w:type="first" r:id="rId66"/>
          <w:footerReference w:type="first" r:id="rId67"/>
          <w:pgSz w:w="16838" w:h="11907" w:orient="landscape" w:code="12"/>
          <w:pgMar w:top="1134" w:right="1134" w:bottom="1134" w:left="1134" w:header="567" w:footer="567" w:gutter="0"/>
          <w:cols w:space="720"/>
          <w:docGrid w:linePitch="360"/>
        </w:sectPr>
      </w:pPr>
    </w:p>
    <w:p w14:paraId="7BFDD579" w14:textId="77777777" w:rsidR="004C6421" w:rsidRDefault="009D1962">
      <w:pPr>
        <w:pStyle w:val="Heading2"/>
        <w:numPr>
          <w:ilvl w:val="0"/>
          <w:numId w:val="0"/>
        </w:numPr>
        <w:ind w:left="850" w:hanging="850"/>
        <w:rPr>
          <w:noProof/>
          <w:u w:val="single"/>
        </w:rPr>
      </w:pPr>
      <w:r>
        <w:rPr>
          <w:noProof/>
        </w:rPr>
        <w:t xml:space="preserve">C. ZADANIE 1 KOMPONENT 3: </w:t>
      </w:r>
      <w:r>
        <w:rPr>
          <w:noProof/>
          <w:u w:val="single"/>
        </w:rPr>
        <w:t>Turystyka i kultura 4.0</w:t>
      </w:r>
      <w:r>
        <w:rPr>
          <w:noProof/>
        </w:rPr>
        <w:t xml:space="preserve">. </w:t>
      </w:r>
    </w:p>
    <w:p w14:paraId="53F3815D" w14:textId="77777777" w:rsidR="004C6421" w:rsidRDefault="009D1962">
      <w:pPr>
        <w:spacing w:before="120" w:after="120"/>
        <w:jc w:val="both"/>
        <w:rPr>
          <w:noProof/>
        </w:rPr>
      </w:pPr>
      <w:r>
        <w:rPr>
          <w:noProof/>
        </w:rPr>
        <w:t xml:space="preserve">Ten element włoskiego planu odbudowy i zwiększania odporności koncentruje się na wznowieniu dwóch sektorów poważnie dotkniętych kryzysem związanym z COVID-19: kultura i turystyka. Środki związane z sektorem kultury mają na celu zwiększenie dostępności obiektów kultury zarówno pod względem cyfrowym, jak i fizycznym, zwiększenie efektywności energetycznej i bezpieczniejszej w związku z klęskami żywiołowymi, wspieranie odbudowy sektora kultury i sektora kreatywnego, w tym poprzez wspieranie atrakcyjności małych obiektów kultury i architektury obszarów wiejskich, a także zwiększenie spójności terytorialnej. Przewiduje się trzy zestawy środków: interwencje mające na celu rozwój dziedzictwa kulturowego dla następnego pokolenia, w tym inwestycje w transformację cyfrową i poprawę efektywności energetycznej obiektów kultury, (ii) rewitalizację małych obiektów historycznych, dziedzictwa religijnego i wiejskiego opartą na kulturze; III) interwencje na rzecz sektora kultury i sektora kreatywnego 4.0. Środki związane z turystyką mają na celu zwiększenie konkurencyjności sektora, w tym poprzez zmniejszenie rozdrobnienia sektora i zwiększenie korzyści skali, poprawę i podniesienie standardów sektora hotelarsko-gastronomicznego, zachęcanie operatorów do innowacji cyfrowych i korzystania z nowych technologii oraz wspieranie transformacji ekologicznej sektora. W związku z tym przewiduje się środki wspierające przedsiębiorstwa, w tym MŚP, działające w sektorze turystyki i operatorów turystycznych, w tym poprzez inwestycje w narzędzia cyfrowe. </w:t>
      </w:r>
    </w:p>
    <w:p w14:paraId="3FB69E62" w14:textId="77777777" w:rsidR="004C6421" w:rsidRDefault="009D1962">
      <w:pPr>
        <w:spacing w:before="120" w:after="120"/>
        <w:jc w:val="both"/>
        <w:rPr>
          <w:noProof/>
        </w:rPr>
      </w:pPr>
      <w:r>
        <w:rPr>
          <w:noProof/>
        </w:rPr>
        <w:t xml:space="preserve">Inwestycje i reformy w ramach tego komponentu przyczyniają się do realizacji zaleceń dla poszczególnych krajów skierowanych do Włoch, w szczególności w odniesieniu do potrzeby „promowania inwestycji prywatnych w celu wspierania ożywienia gospodarczego i skoncentrowania inwestycji na transformacji ekologicznej i cyfrowej” (zalecenie dla poszczególnych krajów nr 3, 2020). Wspierają one również spójność społeczną i terytorialną oraz konkurencyjność włoskiej gospodarki, a jednocześnie promują cyfryzację i zrównoważony charakter sektora turystyki. </w:t>
      </w:r>
    </w:p>
    <w:p w14:paraId="5BE6E805" w14:textId="77777777" w:rsidR="004C6421" w:rsidRDefault="009D1962">
      <w:pPr>
        <w:pStyle w:val="Heading3"/>
        <w:numPr>
          <w:ilvl w:val="0"/>
          <w:numId w:val="0"/>
        </w:numPr>
        <w:ind w:left="850" w:hanging="850"/>
        <w:rPr>
          <w:rFonts w:eastAsia="Times New Roman"/>
          <w:b/>
          <w:i w:val="0"/>
          <w:noProof/>
          <w:u w:val="single"/>
        </w:rPr>
      </w:pPr>
      <w:r>
        <w:rPr>
          <w:b/>
          <w:i w:val="0"/>
          <w:noProof/>
          <w:u w:val="single"/>
        </w:rPr>
        <w:t xml:space="preserve">C.1. </w:t>
      </w:r>
      <w:r>
        <w:rPr>
          <w:noProof/>
        </w:rPr>
        <w:t xml:space="preserve"> </w:t>
      </w:r>
      <w:r>
        <w:rPr>
          <w:b/>
          <w:i w:val="0"/>
          <w:noProof/>
          <w:u w:val="single"/>
        </w:rPr>
        <w:t>Opis reform i inwestycji, które mają być finansowane z bezzwrotnego wsparcia finansowego</w:t>
      </w:r>
    </w:p>
    <w:p w14:paraId="44600087" w14:textId="77777777" w:rsidR="004C6421" w:rsidRDefault="009D1962">
      <w:pPr>
        <w:pStyle w:val="P68B1DB1-Normal2"/>
        <w:spacing w:before="120" w:after="120"/>
        <w:jc w:val="both"/>
        <w:rPr>
          <w:noProof/>
        </w:rPr>
      </w:pPr>
      <w:r>
        <w:rPr>
          <w:noProof/>
        </w:rPr>
        <w:t xml:space="preserve">Inwestycja 1.1 Strategia cyfrowa i platformy dziedzictwa kulturowego </w:t>
      </w:r>
    </w:p>
    <w:p w14:paraId="3201066C" w14:textId="77777777" w:rsidR="004C6421" w:rsidRDefault="009D1962">
      <w:pPr>
        <w:spacing w:before="120" w:after="120"/>
        <w:jc w:val="both"/>
        <w:rPr>
          <w:noProof/>
        </w:rPr>
      </w:pPr>
      <w:r>
        <w:rPr>
          <w:noProof/>
        </w:rPr>
        <w:t>Środek obejmuje działania mające na celu cyfryzację włoskiego dziedzictwa kulturowego w celu poprawy dostępu do zasobów kulturowych i usług cyfrowych.</w:t>
      </w:r>
    </w:p>
    <w:p w14:paraId="6C602CBB" w14:textId="77777777" w:rsidR="004C6421" w:rsidRDefault="009D1962">
      <w:pPr>
        <w:spacing w:before="120" w:after="120"/>
        <w:jc w:val="both"/>
        <w:rPr>
          <w:noProof/>
        </w:rPr>
      </w:pPr>
      <w:r>
        <w:rPr>
          <w:noProof/>
        </w:rPr>
        <w:t xml:space="preserve">W ramach interwencji tworzy się nową krajową infrastrukturę cyfrową w celu gromadzenia, integrowania i zatrzymywania zasobów cyfrowych, udostępniając je do użytku publicznego za pośrednictwem specjalnych platform. Działaniom dotyczącym dziedzictwa „fizycznego” towarzyszy digitalizacja muzeów, archiwów, bibliotek i obiektów kultury, aby umożliwić obywatelom odkrywanie nowych form korzystania z dziedzictwa kulturowego. </w:t>
      </w:r>
    </w:p>
    <w:p w14:paraId="40A0F76C" w14:textId="77777777" w:rsidR="004C6421" w:rsidRDefault="009D1962">
      <w:pPr>
        <w:pStyle w:val="P68B1DB1-Normal2"/>
        <w:spacing w:before="120" w:after="120"/>
        <w:jc w:val="both"/>
        <w:rPr>
          <w:noProof/>
        </w:rPr>
      </w:pPr>
      <w:r>
        <w:rPr>
          <w:noProof/>
        </w:rPr>
        <w:t>Inwestycje 1.2: Usunięcie barier fizycznych i poznawczych w muzeach, bibliotekach i archiwach w celu umożliwienia szerszego dostępu do kultury i uczestnictwa w niej</w:t>
      </w:r>
    </w:p>
    <w:p w14:paraId="7A40BCE1" w14:textId="77777777" w:rsidR="004C6421" w:rsidRDefault="009D1962">
      <w:pPr>
        <w:spacing w:before="120" w:after="120"/>
        <w:jc w:val="both"/>
        <w:rPr>
          <w:noProof/>
        </w:rPr>
      </w:pPr>
      <w:r>
        <w:rPr>
          <w:noProof/>
        </w:rPr>
        <w:t>Środek ten ma na celu usunięcie barier architektonicznych, kulturowych i poznawczych w wielu włoskich instytucjach kulturalnych. Interwencje są połączone ze szkoleniem personelu administracyjnego i podmiotów działających w dziedzinie kultury, promowaniem kultury dostępności i rozwijaniem wiedzy fachowej w zakresie aspektów prawnych, przyjmowania, mediacji kulturalnej i promocji.</w:t>
      </w:r>
    </w:p>
    <w:p w14:paraId="209AEAFE" w14:textId="77777777" w:rsidR="004C6421" w:rsidRDefault="009D1962">
      <w:pPr>
        <w:pStyle w:val="P68B1DB1-Normal2"/>
        <w:spacing w:before="120" w:after="120"/>
        <w:jc w:val="both"/>
        <w:rPr>
          <w:noProof/>
        </w:rPr>
      </w:pPr>
      <w:r>
        <w:rPr>
          <w:noProof/>
        </w:rPr>
        <w:t>Inwestycja 1.3: Poprawa efektywności energetycznej w kinach, teatrach i muzeach</w:t>
      </w:r>
    </w:p>
    <w:p w14:paraId="7235D16F" w14:textId="77777777" w:rsidR="004C6421" w:rsidRDefault="009D1962">
      <w:pPr>
        <w:spacing w:before="120" w:after="120"/>
        <w:jc w:val="both"/>
        <w:rPr>
          <w:noProof/>
        </w:rPr>
      </w:pPr>
      <w:r>
        <w:rPr>
          <w:noProof/>
        </w:rPr>
        <w:t>Środek ten ma na celu poprawę efektywności energetycznej budynków związanych z sektorem kultury i sektorem kreatywnym. Często występują one w przestarzałych, nieefektywnych energetycznie obiektach, które generują wysokie koszty utrzymania związane z klimatyzacją, oświetleniem, komunikacją i bezpieczeństwem. W ramach inwestycji finansowane będą działania mające na celu poprawę efektywności energetycznej włoskich muzeów, kin i teatrów (zarówno publicznych, jak i prywatnych).</w:t>
      </w:r>
    </w:p>
    <w:p w14:paraId="15B09440" w14:textId="77777777" w:rsidR="004C6421" w:rsidRDefault="004C6421">
      <w:pPr>
        <w:spacing w:before="120" w:after="120"/>
        <w:jc w:val="both"/>
        <w:rPr>
          <w:b/>
          <w:noProof/>
        </w:rPr>
        <w:sectPr w:rsidR="004C6421" w:rsidSect="00797973">
          <w:headerReference w:type="even" r:id="rId68"/>
          <w:headerReference w:type="default" r:id="rId69"/>
          <w:footerReference w:type="even" r:id="rId70"/>
          <w:footerReference w:type="default" r:id="rId71"/>
          <w:headerReference w:type="first" r:id="rId72"/>
          <w:footerReference w:type="first" r:id="rId73"/>
          <w:pgSz w:w="11907" w:h="16839"/>
          <w:pgMar w:top="1440" w:right="1440" w:bottom="1440" w:left="1440" w:header="567" w:footer="567" w:gutter="0"/>
          <w:cols w:space="720"/>
          <w:docGrid w:linePitch="360"/>
        </w:sectPr>
      </w:pPr>
    </w:p>
    <w:p w14:paraId="323417B8" w14:textId="77777777" w:rsidR="004C6421" w:rsidRDefault="009D1962">
      <w:pPr>
        <w:pStyle w:val="P68B1DB1-Normal2"/>
        <w:spacing w:before="120" w:after="120"/>
        <w:jc w:val="both"/>
        <w:rPr>
          <w:noProof/>
        </w:rPr>
      </w:pPr>
      <w:r>
        <w:rPr>
          <w:noProof/>
        </w:rPr>
        <w:t>Reforma 3.1: Przyjęcie minimalnych kryteriów środowiskowych dla wydarzeń kulturalnych</w:t>
      </w:r>
    </w:p>
    <w:p w14:paraId="137EB7BA" w14:textId="77777777" w:rsidR="004C6421" w:rsidRDefault="009D1962">
      <w:pPr>
        <w:spacing w:before="120" w:after="120"/>
        <w:jc w:val="both"/>
        <w:rPr>
          <w:noProof/>
        </w:rPr>
      </w:pPr>
      <w:r>
        <w:rPr>
          <w:noProof/>
        </w:rPr>
        <w:t>Celem reformy jest poprawa śladu ekologicznego wydarzeń kulturalnych (takich jak wystawy, festiwale, wydarzenia kulturalne i wydarzenia muzyczne) poprzez włączenie kryteriów społecznych i środowiskowych do zamówień publicznych na wydarzenia kulturalne finansowane, promowane lub organizowane przez organ publiczny.</w:t>
      </w:r>
    </w:p>
    <w:p w14:paraId="7F5B11CA" w14:textId="77777777" w:rsidR="004C6421" w:rsidRDefault="009D1962">
      <w:pPr>
        <w:pStyle w:val="P68B1DB1-Normal17"/>
        <w:spacing w:before="120" w:after="120"/>
        <w:jc w:val="both"/>
        <w:rPr>
          <w:noProof/>
        </w:rPr>
      </w:pPr>
      <w:r>
        <w:rPr>
          <w:noProof/>
        </w:rPr>
        <w:t xml:space="preserve">Inwestycja 3.3: Budowanie zdolności podmiotów działających w dziedzinie kultury w zakresie zarządzania transformacją cyfrową i ekologiczną </w:t>
      </w:r>
    </w:p>
    <w:p w14:paraId="63C66D90" w14:textId="77777777" w:rsidR="004C6421" w:rsidRDefault="009D1962">
      <w:pPr>
        <w:spacing w:before="120" w:after="120"/>
        <w:jc w:val="both"/>
        <w:rPr>
          <w:noProof/>
        </w:rPr>
      </w:pPr>
      <w:r>
        <w:rPr>
          <w:noProof/>
        </w:rPr>
        <w:t xml:space="preserve">Ogólnym celem inwestycji jest wspieranie odbudowy sektora kultury i sektora kreatywnego. Składa się to z dwóch interwencji. </w:t>
      </w:r>
    </w:p>
    <w:p w14:paraId="4E661ED4" w14:textId="77777777" w:rsidR="004C6421" w:rsidRDefault="009D1962">
      <w:pPr>
        <w:spacing w:before="120" w:after="120"/>
        <w:jc w:val="both"/>
        <w:rPr>
          <w:noProof/>
        </w:rPr>
      </w:pPr>
      <w:r>
        <w:rPr>
          <w:noProof/>
        </w:rPr>
        <w:t>Pierwsza interwencja („Wspieranie odbudowy działalności kulturalnej poprzez zachęcanie do innowacji i korzystania z technologii cyfrowych w całym łańcuchu wartości”) ma na celu wspieranie podmiotów działających w sektorze kultury i sektorze kreatywnym we wdrażaniu strategii cyfrowych i zwiększaniu ich zdolności w zakresie zarządzania.</w:t>
      </w:r>
    </w:p>
    <w:p w14:paraId="3EB98BF9" w14:textId="77777777" w:rsidR="004C6421" w:rsidRDefault="009D1962">
      <w:pPr>
        <w:spacing w:before="120" w:after="120"/>
        <w:jc w:val="both"/>
        <w:rPr>
          <w:noProof/>
        </w:rPr>
      </w:pPr>
      <w:r>
        <w:rPr>
          <w:noProof/>
        </w:rPr>
        <w:t>Druga interwencja („Promowanie ekologicznego podejścia w całym łańcuchu kulturalnym i kreatywnym”) ma na celu zachęcanie do stosowania podejścia zrównoważonego środowiskowo w całym łańcuchu, zmniejszenie śladu ekologicznego, promowanie innowacyjnego i sprzyjającego włączeniu społecznemu ekoprojektu, w tym w kontekście gospodarki o obiegu zamkniętym, w celu ukierunkowania społeczeństwa na bardziej odpowiedzialne zachowania środowiskowe.</w:t>
      </w:r>
    </w:p>
    <w:p w14:paraId="6F3BAAF1" w14:textId="77777777" w:rsidR="004C6421" w:rsidRDefault="009D1962">
      <w:pPr>
        <w:spacing w:before="120" w:after="120"/>
        <w:jc w:val="both"/>
        <w:rPr>
          <w:noProof/>
        </w:rPr>
      </w:pPr>
      <w:r>
        <w:rPr>
          <w:noProof/>
        </w:rPr>
        <w:t>Aby zapewnić zgodność środka z wytycznymi technicznymi zasady „nie czyń poważnych szkód” (2021/C58/01), kryteria kwalifikowalności zawarte w zakresie wymagań i obowiązków w odniesieniu do przyszłych zaproszeń do składania projektów wykluczają następujący wykaz działań: (i) działalności związanej z paliwami kopalnymi, w tym wykorzystania niższego szczebla</w:t>
      </w:r>
      <w:r>
        <w:rPr>
          <w:rStyle w:val="FootnoteReference"/>
          <w:noProof/>
        </w:rPr>
        <w:footnoteReference w:id="19"/>
      </w:r>
      <w:r>
        <w:rPr>
          <w:noProof/>
        </w:rPr>
        <w:t>; (II) działania w ramach unijnego systemu handlu uprawnieniami do emisji (ETS) prowadzące do osiągnięcia prognozowanych emisji gazów cieplarnianych, które nie są niższe niż odpowiednie wskaźniki referencyjne</w:t>
      </w:r>
      <w:r>
        <w:rPr>
          <w:rStyle w:val="FootnoteReference"/>
          <w:noProof/>
        </w:rPr>
        <w:footnoteReference w:id="20"/>
      </w:r>
      <w:r>
        <w:rPr>
          <w:noProof/>
        </w:rPr>
        <w:t>; (III) działania związane ze składowiskami odpadów, spalarniami</w:t>
      </w:r>
      <w:r>
        <w:rPr>
          <w:rStyle w:val="FootnoteReference"/>
          <w:noProof/>
        </w:rPr>
        <w:footnoteReference w:id="21"/>
      </w:r>
      <w:r>
        <w:rPr>
          <w:noProof/>
        </w:rPr>
        <w:t xml:space="preserve"> i zakładami mechaniczno-biologicznego przetwarzania odpadów</w:t>
      </w:r>
      <w:r>
        <w:rPr>
          <w:rStyle w:val="FootnoteReference"/>
          <w:noProof/>
        </w:rPr>
        <w:footnoteReference w:id="22"/>
      </w:r>
      <w:r>
        <w:rPr>
          <w:noProof/>
        </w:rPr>
        <w:t>; oraz (iv) działań, w przypadku których długoterminowe unieszkodliwianie odpadów może szkodzić środowisku naturalnemu. Zakres uprawnień wymaga ponadto, aby można było wybierać wyłącznie działania zgodne z odpowiednimi przepisami unijnymi i krajowymi w zakresie ochrony środowiska.</w:t>
      </w:r>
    </w:p>
    <w:p w14:paraId="5F19D76F" w14:textId="77777777" w:rsidR="004C6421" w:rsidRDefault="004C6421">
      <w:pPr>
        <w:rPr>
          <w:b/>
          <w:noProof/>
        </w:rPr>
        <w:sectPr w:rsidR="004C6421" w:rsidSect="00797973">
          <w:headerReference w:type="even" r:id="rId74"/>
          <w:headerReference w:type="default" r:id="rId75"/>
          <w:footerReference w:type="even" r:id="rId76"/>
          <w:footerReference w:type="default" r:id="rId77"/>
          <w:headerReference w:type="first" r:id="rId78"/>
          <w:footerReference w:type="first" r:id="rId79"/>
          <w:pgSz w:w="11907" w:h="16839"/>
          <w:pgMar w:top="1440" w:right="1440" w:bottom="1440" w:left="1440" w:header="567" w:footer="567" w:gutter="0"/>
          <w:cols w:space="720"/>
          <w:docGrid w:linePitch="360"/>
        </w:sectPr>
      </w:pPr>
      <w:bookmarkStart w:id="8" w:name="_Hlk160472807"/>
    </w:p>
    <w:p w14:paraId="7D6AAF23" w14:textId="77777777" w:rsidR="004C6421" w:rsidRDefault="009D1962">
      <w:pPr>
        <w:pStyle w:val="P68B1DB1-Normal2"/>
        <w:rPr>
          <w:i/>
          <w:noProof/>
        </w:rPr>
      </w:pPr>
      <w:r>
        <w:rPr>
          <w:noProof/>
        </w:rPr>
        <w:t>Inwestycja 4.1: Centrum turystyki cyfrowej</w:t>
      </w:r>
    </w:p>
    <w:bookmarkEnd w:id="8"/>
    <w:p w14:paraId="00CDCE8D" w14:textId="77777777" w:rsidR="004C6421" w:rsidRDefault="009D1962">
      <w:pPr>
        <w:spacing w:before="120" w:after="120"/>
        <w:jc w:val="both"/>
        <w:rPr>
          <w:noProof/>
        </w:rPr>
      </w:pPr>
      <w:r>
        <w:rPr>
          <w:noProof/>
        </w:rPr>
        <w:t>Celem środka jest utworzenie centrum turystyki cyfrowej, dostępnego za pośrednictwem specjalnej platformy internetowej, umożliwiającego funkcjonowanie całego ekosystemu turystycznego w celu wzmocnienia, zintegrowania i promowania własnej oferty. W ramach inwestycji finansuje się nową infrastrukturę cyfrową i wspiera się przedsiębiorstwa za pomocą narzędzi analizy danych zapewnianych przez krajowe obserwatorium turystyki.</w:t>
      </w:r>
    </w:p>
    <w:p w14:paraId="72799C02" w14:textId="37B55C62" w:rsidR="004C6421" w:rsidRDefault="009D1962">
      <w:pPr>
        <w:pStyle w:val="paragraph"/>
        <w:spacing w:before="0" w:beforeAutospacing="0" w:after="0" w:afterAutospacing="0"/>
        <w:jc w:val="both"/>
        <w:rPr>
          <w:rStyle w:val="eop"/>
          <w:rFonts w:eastAsiaTheme="majorEastAsia"/>
          <w:noProof/>
        </w:rPr>
      </w:pPr>
      <w:r>
        <w:rPr>
          <w:rStyle w:val="eop"/>
          <w:noProof/>
        </w:rPr>
        <w:t xml:space="preserve">Za pośrednictwem centrum turystyki cyfrowej świadczone są co najmniej następujące usługi: </w:t>
      </w:r>
    </w:p>
    <w:p w14:paraId="3E63000C" w14:textId="77777777" w:rsidR="004C6421" w:rsidRDefault="009D1962">
      <w:pPr>
        <w:pStyle w:val="paragraph"/>
        <w:numPr>
          <w:ilvl w:val="0"/>
          <w:numId w:val="6"/>
        </w:numPr>
        <w:spacing w:before="0" w:beforeAutospacing="0" w:after="0" w:afterAutospacing="0"/>
        <w:jc w:val="both"/>
        <w:rPr>
          <w:rStyle w:val="eop"/>
          <w:rFonts w:eastAsiaTheme="majorEastAsia"/>
          <w:noProof/>
        </w:rPr>
      </w:pPr>
      <w:r>
        <w:rPr>
          <w:rStyle w:val="eop"/>
          <w:noProof/>
        </w:rPr>
        <w:t xml:space="preserve">Usługi komunikacyjne dla operatorów turystycznych w celu promowania ich oferty;   </w:t>
      </w:r>
    </w:p>
    <w:p w14:paraId="7705B362" w14:textId="77777777" w:rsidR="004C6421" w:rsidRDefault="009D1962">
      <w:pPr>
        <w:pStyle w:val="paragraph"/>
        <w:numPr>
          <w:ilvl w:val="0"/>
          <w:numId w:val="6"/>
        </w:numPr>
        <w:spacing w:before="0" w:beforeAutospacing="0" w:after="0" w:afterAutospacing="0"/>
        <w:jc w:val="both"/>
        <w:rPr>
          <w:rStyle w:val="eop"/>
          <w:rFonts w:eastAsiaTheme="majorEastAsia"/>
          <w:noProof/>
        </w:rPr>
      </w:pPr>
      <w:r>
        <w:rPr>
          <w:rStyle w:val="eop"/>
          <w:noProof/>
        </w:rPr>
        <w:t xml:space="preserve">Narzędzia analizy danych i modele predykcyjne wspierające podejmowanie decyzji w oparciu o dane;  </w:t>
      </w:r>
    </w:p>
    <w:p w14:paraId="30BFAD70" w14:textId="77777777" w:rsidR="004C6421" w:rsidRDefault="009D1962">
      <w:pPr>
        <w:pStyle w:val="paragraph"/>
        <w:numPr>
          <w:ilvl w:val="0"/>
          <w:numId w:val="6"/>
        </w:numPr>
        <w:spacing w:before="0" w:beforeAutospacing="0" w:after="0" w:afterAutospacing="0"/>
        <w:jc w:val="both"/>
        <w:rPr>
          <w:rStyle w:val="eop"/>
          <w:rFonts w:eastAsiaTheme="majorEastAsia"/>
          <w:noProof/>
        </w:rPr>
      </w:pPr>
      <w:r>
        <w:rPr>
          <w:rStyle w:val="eop"/>
          <w:noProof/>
        </w:rPr>
        <w:t xml:space="preserve">Szkolenia w zakresie podnoszenia i zmiany kwalifikacji; </w:t>
      </w:r>
    </w:p>
    <w:p w14:paraId="446D7ED3" w14:textId="77777777" w:rsidR="004C6421" w:rsidRDefault="009D1962">
      <w:pPr>
        <w:pStyle w:val="paragraph"/>
        <w:numPr>
          <w:ilvl w:val="0"/>
          <w:numId w:val="6"/>
        </w:numPr>
        <w:spacing w:before="0" w:beforeAutospacing="0" w:after="0" w:afterAutospacing="0"/>
        <w:jc w:val="both"/>
        <w:rPr>
          <w:rStyle w:val="eop"/>
          <w:rFonts w:eastAsiaTheme="majorEastAsia"/>
          <w:noProof/>
        </w:rPr>
      </w:pPr>
      <w:r>
        <w:rPr>
          <w:rStyle w:val="eop"/>
          <w:noProof/>
        </w:rPr>
        <w:t>Rozwiązania wspierające innowacje dla MŚP.</w:t>
      </w:r>
    </w:p>
    <w:p w14:paraId="37A73606" w14:textId="77777777" w:rsidR="004C6421" w:rsidRDefault="004C6421">
      <w:pPr>
        <w:jc w:val="both"/>
        <w:rPr>
          <w:rStyle w:val="eop"/>
          <w:rFonts w:eastAsiaTheme="majorEastAsia"/>
          <w:noProof/>
        </w:rPr>
      </w:pPr>
    </w:p>
    <w:p w14:paraId="24D06810" w14:textId="77777777" w:rsidR="004C6421" w:rsidRDefault="009D1962">
      <w:pPr>
        <w:jc w:val="both"/>
        <w:rPr>
          <w:rStyle w:val="eop"/>
          <w:rFonts w:eastAsiaTheme="majorEastAsia"/>
          <w:noProof/>
        </w:rPr>
      </w:pPr>
      <w:r>
        <w:rPr>
          <w:rStyle w:val="normaltextrun"/>
          <w:noProof/>
        </w:rPr>
        <w:t>Ponadto środek przewiduje również utworzenie centrum kompetencji w celu wspierania programów przyspieszenia.</w:t>
      </w:r>
    </w:p>
    <w:p w14:paraId="6A34E628" w14:textId="77777777" w:rsidR="004C6421" w:rsidRDefault="009D1962">
      <w:pPr>
        <w:spacing w:before="120" w:after="120"/>
        <w:jc w:val="both"/>
        <w:rPr>
          <w:noProof/>
        </w:rPr>
      </w:pPr>
      <w:r>
        <w:rPr>
          <w:noProof/>
        </w:rPr>
        <w:t>Aby zapewnić zgodność środka z wytycznymi technicznymi zasady „nie czyń poważnych szkód” (2021/C58/01), kryteria kwalifikowalności zawarte w zakresie wymagań i obowiązków w odniesieniu do przyszłych zaproszeń do składania projektów wykluczają następujący wykaz działań: (i) działalności związanej z paliwami kopalnymi, w tym wykorzystania niższego szczebla</w:t>
      </w:r>
      <w:r>
        <w:rPr>
          <w:rStyle w:val="FootnoteReference"/>
          <w:noProof/>
        </w:rPr>
        <w:footnoteReference w:id="23"/>
      </w:r>
      <w:r>
        <w:rPr>
          <w:noProof/>
        </w:rPr>
        <w:t>; (II) działania w ramach unijnego systemu handlu uprawnieniami do emisji (ETS) prowadzące do osiągnięcia prognozowanych emisji gazów cieplarnianych, które nie są niższe niż odpowiednie wskaźniki referencyjne</w:t>
      </w:r>
      <w:r>
        <w:rPr>
          <w:rStyle w:val="FootnoteReference"/>
          <w:noProof/>
        </w:rPr>
        <w:footnoteReference w:id="24"/>
      </w:r>
      <w:r>
        <w:rPr>
          <w:noProof/>
        </w:rPr>
        <w:t>; (III) działania związane ze składowiskami odpadów, spalarniami</w:t>
      </w:r>
      <w:r>
        <w:rPr>
          <w:rStyle w:val="FootnoteReference"/>
          <w:noProof/>
        </w:rPr>
        <w:footnoteReference w:id="25"/>
      </w:r>
      <w:r>
        <w:rPr>
          <w:noProof/>
        </w:rPr>
        <w:t xml:space="preserve"> i zakładami mechaniczno-biologicznego przetwarzania odpadów</w:t>
      </w:r>
      <w:r>
        <w:rPr>
          <w:rStyle w:val="FootnoteReference"/>
          <w:noProof/>
        </w:rPr>
        <w:footnoteReference w:id="26"/>
      </w:r>
      <w:r>
        <w:rPr>
          <w:noProof/>
        </w:rPr>
        <w:t>; oraz (iv) działań, w przypadku których długoterminowe unieszkodliwianie odpadów może szkodzić środowisku naturalnemu. Zakres uprawnień wymaga ponadto, aby można było wybierać wyłącznie działania zgodne z odpowiednimi przepisami unijnymi i krajowymi w zakresie ochrony środowiska.</w:t>
      </w:r>
    </w:p>
    <w:p w14:paraId="0A6E7D27" w14:textId="77777777" w:rsidR="004C6421" w:rsidRDefault="009D1962">
      <w:pPr>
        <w:pStyle w:val="P68B1DB1-Normal17"/>
        <w:jc w:val="both"/>
        <w:rPr>
          <w:noProof/>
        </w:rPr>
      </w:pPr>
      <w:r>
        <w:rPr>
          <w:noProof/>
        </w:rPr>
        <w:t>Reforma 4.1: Rozporządzenie w sprawie organizacji zawodów przewodników turystycznych</w:t>
      </w:r>
    </w:p>
    <w:p w14:paraId="4BC3F4DE" w14:textId="77777777" w:rsidR="004C6421" w:rsidRDefault="009D1962">
      <w:pPr>
        <w:spacing w:before="120" w:after="120"/>
        <w:jc w:val="both"/>
        <w:rPr>
          <w:noProof/>
        </w:rPr>
      </w:pPr>
      <w:r>
        <w:rPr>
          <w:noProof/>
        </w:rPr>
        <w:t>Uzupełnieniem inwestycji w centrum turystyki cyfrowej jest reforma mająca na celu usprawnienie przepisów dotyczących przewodników turystycznych. Środek przewiduje, z należytym uwzględnieniem lokalnych regulacji, organizację zawodową przewodników turystycznych i ich obszar pochodzenia. Systematyczne i jednolite stosowanie reformy pozwoliłoby uregulować podstawowe zasady zawodu i ujednolicić poziom świadczenia usług na całym terytorium kraju, co miałoby pozytywny wpływ na rynek. Reforma obejmuje szkolenia i dalsze szkolenia w celu jak najlepszego wsparcia oferty.</w:t>
      </w:r>
    </w:p>
    <w:p w14:paraId="3795CF3A" w14:textId="77777777" w:rsidR="004C6421" w:rsidRDefault="004C6421">
      <w:pPr>
        <w:pStyle w:val="Heading3"/>
        <w:numPr>
          <w:ilvl w:val="0"/>
          <w:numId w:val="0"/>
        </w:numPr>
        <w:ind w:left="850" w:hanging="850"/>
        <w:rPr>
          <w:rFonts w:eastAsia="Calibri"/>
          <w:noProof/>
          <w:color w:val="000000" w:themeColor="text1"/>
        </w:rPr>
        <w:sectPr w:rsidR="004C6421" w:rsidSect="00797973">
          <w:headerReference w:type="even" r:id="rId80"/>
          <w:headerReference w:type="default" r:id="rId81"/>
          <w:footerReference w:type="even" r:id="rId82"/>
          <w:footerReference w:type="default" r:id="rId83"/>
          <w:headerReference w:type="first" r:id="rId84"/>
          <w:footerReference w:type="first" r:id="rId85"/>
          <w:pgSz w:w="11907" w:h="16839"/>
          <w:pgMar w:top="1440" w:right="1440" w:bottom="1440" w:left="1440" w:header="567" w:footer="567" w:gutter="0"/>
          <w:cols w:space="720"/>
          <w:docGrid w:linePitch="360"/>
        </w:sectPr>
      </w:pPr>
    </w:p>
    <w:p w14:paraId="093BB11A" w14:textId="77777777" w:rsidR="004C6421" w:rsidRDefault="009D1962">
      <w:pPr>
        <w:pStyle w:val="Heading3"/>
        <w:numPr>
          <w:ilvl w:val="0"/>
          <w:numId w:val="0"/>
        </w:numPr>
        <w:ind w:left="850" w:hanging="850"/>
        <w:rPr>
          <w:b/>
          <w:i w:val="0"/>
          <w:noProof/>
          <w:u w:val="single"/>
        </w:rPr>
      </w:pPr>
      <w:r>
        <w:rPr>
          <w:b/>
          <w:i w:val="0"/>
          <w:noProof/>
          <w:u w:val="single"/>
        </w:rPr>
        <w:t xml:space="preserve">C.2. </w:t>
      </w:r>
      <w:r>
        <w:rPr>
          <w:noProof/>
        </w:rPr>
        <w:t xml:space="preserve"> </w:t>
      </w:r>
      <w:r>
        <w:rPr>
          <w:b/>
          <w:i w:val="0"/>
          <w:noProof/>
          <w:u w:val="single"/>
        </w:rPr>
        <w:t>Kamienie milowe, wartości docelowe, wskaźniki i harmonogram monitorowania i realizacji na potrzeby bezzwrotnego wsparcia finansowego</w:t>
      </w:r>
    </w:p>
    <w:tbl>
      <w:tblPr>
        <w:tblW w:w="15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135"/>
        <w:gridCol w:w="1344"/>
        <w:gridCol w:w="1603"/>
        <w:gridCol w:w="1135"/>
        <w:gridCol w:w="1135"/>
        <w:gridCol w:w="1162"/>
        <w:gridCol w:w="990"/>
        <w:gridCol w:w="694"/>
        <w:gridCol w:w="3672"/>
      </w:tblGrid>
      <w:tr w:rsidR="004C6421" w14:paraId="2DFDD227" w14:textId="77777777">
        <w:trPr>
          <w:trHeight w:val="1013"/>
          <w:tblHeader/>
          <w:jc w:val="center"/>
        </w:trPr>
        <w:tc>
          <w:tcPr>
            <w:tcW w:w="366" w:type="pct"/>
            <w:vMerge w:val="restart"/>
            <w:shd w:val="clear" w:color="auto" w:fill="BDD7EE"/>
            <w:vAlign w:val="center"/>
          </w:tcPr>
          <w:p w14:paraId="5205DB6E" w14:textId="77777777" w:rsidR="004C6421" w:rsidRDefault="009D1962">
            <w:pPr>
              <w:pStyle w:val="P68B1DB1-Normal3"/>
              <w:spacing w:after="200" w:line="276" w:lineRule="auto"/>
              <w:rPr>
                <w:noProof/>
              </w:rPr>
            </w:pPr>
            <w:r>
              <w:rPr>
                <w:noProof/>
              </w:rPr>
              <w:t>Numer porządkowy</w:t>
            </w:r>
          </w:p>
        </w:tc>
        <w:tc>
          <w:tcPr>
            <w:tcW w:w="460" w:type="pct"/>
            <w:vMerge w:val="restart"/>
            <w:shd w:val="clear" w:color="auto" w:fill="BDD7EE"/>
            <w:vAlign w:val="center"/>
          </w:tcPr>
          <w:p w14:paraId="45BFF283" w14:textId="77777777" w:rsidR="004C6421" w:rsidRDefault="009D1962">
            <w:pPr>
              <w:pStyle w:val="P68B1DB1-Normal3"/>
              <w:jc w:val="center"/>
              <w:rPr>
                <w:noProof/>
              </w:rPr>
            </w:pPr>
            <w:r>
              <w:rPr>
                <w:noProof/>
              </w:rPr>
              <w:t>Miara</w:t>
            </w:r>
          </w:p>
        </w:tc>
        <w:tc>
          <w:tcPr>
            <w:tcW w:w="368" w:type="pct"/>
            <w:vMerge w:val="restart"/>
            <w:shd w:val="clear" w:color="auto" w:fill="BDD7EE"/>
            <w:vAlign w:val="center"/>
          </w:tcPr>
          <w:p w14:paraId="6FC7667A" w14:textId="77777777" w:rsidR="004C6421" w:rsidRDefault="009D1962">
            <w:pPr>
              <w:pStyle w:val="P68B1DB1-Normal3"/>
              <w:jc w:val="center"/>
              <w:rPr>
                <w:noProof/>
              </w:rPr>
            </w:pPr>
            <w:r>
              <w:rPr>
                <w:noProof/>
              </w:rPr>
              <w:t>Kamień milowy/wartość docelowa</w:t>
            </w:r>
          </w:p>
        </w:tc>
        <w:tc>
          <w:tcPr>
            <w:tcW w:w="436" w:type="pct"/>
            <w:vMerge w:val="restart"/>
            <w:shd w:val="clear" w:color="auto" w:fill="BDD7EE"/>
            <w:vAlign w:val="center"/>
          </w:tcPr>
          <w:p w14:paraId="4FB33CD2" w14:textId="77777777" w:rsidR="004C6421" w:rsidRDefault="009D1962">
            <w:pPr>
              <w:pStyle w:val="P68B1DB1-Normal3"/>
              <w:jc w:val="center"/>
              <w:rPr>
                <w:noProof/>
              </w:rPr>
            </w:pPr>
            <w:r>
              <w:rPr>
                <w:noProof/>
              </w:rPr>
              <w:t>Nazwa</w:t>
            </w:r>
          </w:p>
        </w:tc>
        <w:tc>
          <w:tcPr>
            <w:tcW w:w="520" w:type="pct"/>
            <w:vMerge w:val="restart"/>
            <w:shd w:val="clear" w:color="auto" w:fill="BDD7EE"/>
            <w:vAlign w:val="center"/>
          </w:tcPr>
          <w:p w14:paraId="2A3130B6" w14:textId="77777777" w:rsidR="004C6421" w:rsidRDefault="009D1962">
            <w:pPr>
              <w:jc w:val="center"/>
              <w:rPr>
                <w:rFonts w:ascii="Arial Narrow" w:hAnsi="Arial Narrow"/>
                <w:b/>
                <w:noProof/>
                <w:sz w:val="20"/>
              </w:rPr>
            </w:pPr>
            <w:r>
              <w:rPr>
                <w:rFonts w:ascii="Arial Narrow" w:hAnsi="Arial Narrow"/>
                <w:b/>
                <w:noProof/>
                <w:sz w:val="20"/>
              </w:rPr>
              <w:t xml:space="preserve">Wskaźniki jakościowe </w:t>
            </w:r>
            <w:r>
              <w:rPr>
                <w:rFonts w:ascii="Arial Narrow" w:hAnsi="Arial Narrow"/>
                <w:noProof/>
                <w:sz w:val="20"/>
              </w:rPr>
              <w:t xml:space="preserve"> </w:t>
            </w:r>
            <w:r>
              <w:rPr>
                <w:noProof/>
              </w:rPr>
              <w:t xml:space="preserve">  </w:t>
            </w:r>
            <w:r>
              <w:rPr>
                <w:noProof/>
              </w:rPr>
              <w:br/>
            </w:r>
            <w:r>
              <w:rPr>
                <w:rFonts w:ascii="Arial Narrow" w:hAnsi="Arial Narrow"/>
                <w:b/>
                <w:noProof/>
                <w:sz w:val="20"/>
              </w:rPr>
              <w:t>(dla kamieni milowych)</w:t>
            </w:r>
          </w:p>
        </w:tc>
        <w:tc>
          <w:tcPr>
            <w:tcW w:w="1113" w:type="pct"/>
            <w:gridSpan w:val="3"/>
            <w:shd w:val="clear" w:color="auto" w:fill="BDD7EE"/>
            <w:vAlign w:val="center"/>
          </w:tcPr>
          <w:p w14:paraId="3C268996" w14:textId="77777777" w:rsidR="004C6421" w:rsidRDefault="009D1962">
            <w:pPr>
              <w:jc w:val="center"/>
              <w:rPr>
                <w:rFonts w:ascii="Arial Narrow" w:hAnsi="Arial Narrow"/>
                <w:b/>
                <w:noProof/>
                <w:sz w:val="20"/>
              </w:rPr>
            </w:pPr>
            <w:r>
              <w:rPr>
                <w:rFonts w:ascii="Arial Narrow" w:hAnsi="Arial Narrow"/>
                <w:b/>
                <w:noProof/>
                <w:sz w:val="20"/>
              </w:rPr>
              <w:t xml:space="preserve">Wskaźniki ilościowe </w:t>
            </w:r>
            <w:r>
              <w:rPr>
                <w:rFonts w:ascii="Arial Narrow" w:hAnsi="Arial Narrow"/>
                <w:noProof/>
                <w:sz w:val="20"/>
              </w:rPr>
              <w:t xml:space="preserve"> </w:t>
            </w:r>
            <w:r>
              <w:rPr>
                <w:noProof/>
              </w:rPr>
              <w:t xml:space="preserve">  </w:t>
            </w:r>
            <w:r>
              <w:rPr>
                <w:noProof/>
              </w:rPr>
              <w:br/>
            </w:r>
            <w:r>
              <w:rPr>
                <w:rFonts w:ascii="Arial Narrow" w:hAnsi="Arial Narrow"/>
                <w:b/>
                <w:noProof/>
                <w:sz w:val="20"/>
              </w:rPr>
              <w:t>(dla wartości docelowych)</w:t>
            </w:r>
          </w:p>
        </w:tc>
        <w:tc>
          <w:tcPr>
            <w:tcW w:w="546" w:type="pct"/>
            <w:gridSpan w:val="2"/>
            <w:shd w:val="clear" w:color="auto" w:fill="BDD7EE"/>
            <w:vAlign w:val="center"/>
          </w:tcPr>
          <w:p w14:paraId="2D7926AB" w14:textId="77777777" w:rsidR="004C6421" w:rsidRDefault="009D1962">
            <w:pPr>
              <w:pStyle w:val="P68B1DB1-Normal3"/>
              <w:jc w:val="center"/>
              <w:rPr>
                <w:noProof/>
              </w:rPr>
            </w:pPr>
            <w:r>
              <w:rPr>
                <w:noProof/>
              </w:rPr>
              <w:t>Orientacyjny harmonogram zakończenia działania</w:t>
            </w:r>
          </w:p>
        </w:tc>
        <w:tc>
          <w:tcPr>
            <w:tcW w:w="1192" w:type="pct"/>
            <w:vMerge w:val="restart"/>
            <w:shd w:val="clear" w:color="auto" w:fill="BDD7EE"/>
            <w:vAlign w:val="center"/>
          </w:tcPr>
          <w:p w14:paraId="1BCD4C89" w14:textId="77777777" w:rsidR="004C6421" w:rsidRDefault="009D1962">
            <w:pPr>
              <w:pStyle w:val="P68B1DB1-Normal3"/>
              <w:rPr>
                <w:noProof/>
              </w:rPr>
            </w:pPr>
            <w:r>
              <w:rPr>
                <w:noProof/>
              </w:rPr>
              <w:t>Opis każdego kamienia milowego i każdej wartości docelowej</w:t>
            </w:r>
          </w:p>
        </w:tc>
      </w:tr>
      <w:tr w:rsidR="004C6421" w14:paraId="4B65C5BB" w14:textId="77777777">
        <w:trPr>
          <w:trHeight w:val="1013"/>
          <w:tblHeader/>
          <w:jc w:val="center"/>
        </w:trPr>
        <w:tc>
          <w:tcPr>
            <w:tcW w:w="366" w:type="pct"/>
            <w:vMerge/>
            <w:vAlign w:val="center"/>
            <w:hideMark/>
          </w:tcPr>
          <w:p w14:paraId="7D73E659" w14:textId="77777777" w:rsidR="004C6421" w:rsidRDefault="004C6421">
            <w:pPr>
              <w:spacing w:after="200" w:line="276" w:lineRule="auto"/>
              <w:rPr>
                <w:rFonts w:ascii="Arial Narrow" w:hAnsi="Arial Narrow"/>
                <w:b/>
                <w:noProof/>
                <w:sz w:val="20"/>
              </w:rPr>
            </w:pPr>
          </w:p>
        </w:tc>
        <w:tc>
          <w:tcPr>
            <w:tcW w:w="460" w:type="pct"/>
            <w:vMerge/>
            <w:vAlign w:val="center"/>
            <w:hideMark/>
          </w:tcPr>
          <w:p w14:paraId="6258EFC6" w14:textId="77777777" w:rsidR="004C6421" w:rsidRDefault="004C6421">
            <w:pPr>
              <w:jc w:val="center"/>
              <w:rPr>
                <w:rFonts w:ascii="Arial Narrow" w:hAnsi="Arial Narrow"/>
                <w:b/>
                <w:noProof/>
                <w:sz w:val="20"/>
              </w:rPr>
            </w:pPr>
          </w:p>
        </w:tc>
        <w:tc>
          <w:tcPr>
            <w:tcW w:w="368" w:type="pct"/>
            <w:vMerge/>
            <w:vAlign w:val="center"/>
            <w:hideMark/>
          </w:tcPr>
          <w:p w14:paraId="08F35A1F" w14:textId="77777777" w:rsidR="004C6421" w:rsidRDefault="004C6421">
            <w:pPr>
              <w:jc w:val="center"/>
              <w:rPr>
                <w:rFonts w:ascii="Arial Narrow" w:hAnsi="Arial Narrow"/>
                <w:b/>
                <w:noProof/>
                <w:sz w:val="20"/>
              </w:rPr>
            </w:pPr>
          </w:p>
        </w:tc>
        <w:tc>
          <w:tcPr>
            <w:tcW w:w="436" w:type="pct"/>
            <w:vMerge/>
            <w:vAlign w:val="center"/>
            <w:hideMark/>
          </w:tcPr>
          <w:p w14:paraId="7AD50CE8" w14:textId="77777777" w:rsidR="004C6421" w:rsidRDefault="004C6421">
            <w:pPr>
              <w:jc w:val="center"/>
              <w:rPr>
                <w:rFonts w:ascii="Arial Narrow" w:hAnsi="Arial Narrow"/>
                <w:b/>
                <w:noProof/>
                <w:sz w:val="20"/>
              </w:rPr>
            </w:pPr>
          </w:p>
        </w:tc>
        <w:tc>
          <w:tcPr>
            <w:tcW w:w="520" w:type="pct"/>
            <w:vMerge/>
            <w:vAlign w:val="center"/>
            <w:hideMark/>
          </w:tcPr>
          <w:p w14:paraId="5A5D2295" w14:textId="77777777" w:rsidR="004C6421" w:rsidRDefault="004C6421">
            <w:pPr>
              <w:jc w:val="center"/>
              <w:rPr>
                <w:rFonts w:ascii="Arial Narrow" w:hAnsi="Arial Narrow"/>
                <w:b/>
                <w:noProof/>
                <w:sz w:val="20"/>
              </w:rPr>
            </w:pPr>
          </w:p>
        </w:tc>
        <w:tc>
          <w:tcPr>
            <w:tcW w:w="368" w:type="pct"/>
            <w:shd w:val="clear" w:color="auto" w:fill="BDD7EE"/>
            <w:vAlign w:val="center"/>
            <w:hideMark/>
          </w:tcPr>
          <w:p w14:paraId="4204832C" w14:textId="77777777" w:rsidR="004C6421" w:rsidRDefault="009D1962">
            <w:pPr>
              <w:pStyle w:val="P68B1DB1-Normal3"/>
              <w:jc w:val="center"/>
              <w:rPr>
                <w:noProof/>
              </w:rPr>
            </w:pPr>
            <w:r>
              <w:rPr>
                <w:noProof/>
              </w:rPr>
              <w:t>Jednostka miary</w:t>
            </w:r>
          </w:p>
        </w:tc>
        <w:tc>
          <w:tcPr>
            <w:tcW w:w="368" w:type="pct"/>
            <w:shd w:val="clear" w:color="auto" w:fill="BDD7EE"/>
            <w:vAlign w:val="center"/>
            <w:hideMark/>
          </w:tcPr>
          <w:p w14:paraId="42290F0B" w14:textId="77777777" w:rsidR="004C6421" w:rsidRDefault="009D1962">
            <w:pPr>
              <w:pStyle w:val="P68B1DB1-Normal3"/>
              <w:jc w:val="center"/>
              <w:rPr>
                <w:noProof/>
              </w:rPr>
            </w:pPr>
            <w:r>
              <w:rPr>
                <w:noProof/>
              </w:rPr>
              <w:t>Bazowy</w:t>
            </w:r>
          </w:p>
        </w:tc>
        <w:tc>
          <w:tcPr>
            <w:tcW w:w="377" w:type="pct"/>
            <w:shd w:val="clear" w:color="auto" w:fill="BDD7EE"/>
            <w:vAlign w:val="center"/>
            <w:hideMark/>
          </w:tcPr>
          <w:p w14:paraId="3C32ED97" w14:textId="77777777" w:rsidR="004C6421" w:rsidRDefault="009D1962">
            <w:pPr>
              <w:pStyle w:val="P68B1DB1-Normal3"/>
              <w:jc w:val="center"/>
              <w:rPr>
                <w:noProof/>
              </w:rPr>
            </w:pPr>
            <w:r>
              <w:rPr>
                <w:noProof/>
              </w:rPr>
              <w:t>Cel</w:t>
            </w:r>
          </w:p>
        </w:tc>
        <w:tc>
          <w:tcPr>
            <w:tcW w:w="321" w:type="pct"/>
            <w:shd w:val="clear" w:color="auto" w:fill="BDD7EE"/>
            <w:vAlign w:val="center"/>
            <w:hideMark/>
          </w:tcPr>
          <w:p w14:paraId="08D19678" w14:textId="77777777" w:rsidR="004C6421" w:rsidRDefault="009D1962">
            <w:pPr>
              <w:pStyle w:val="P68B1DB1-Normal3"/>
              <w:jc w:val="center"/>
              <w:rPr>
                <w:noProof/>
              </w:rPr>
            </w:pPr>
            <w:r>
              <w:rPr>
                <w:noProof/>
              </w:rPr>
              <w:t>Kwartał</w:t>
            </w:r>
          </w:p>
        </w:tc>
        <w:tc>
          <w:tcPr>
            <w:tcW w:w="224" w:type="pct"/>
            <w:shd w:val="clear" w:color="auto" w:fill="BDD7EE"/>
            <w:vAlign w:val="center"/>
            <w:hideMark/>
          </w:tcPr>
          <w:p w14:paraId="6B86408C" w14:textId="77777777" w:rsidR="004C6421" w:rsidRDefault="009D1962">
            <w:pPr>
              <w:pStyle w:val="P68B1DB1-Normal3"/>
              <w:jc w:val="center"/>
              <w:rPr>
                <w:noProof/>
              </w:rPr>
            </w:pPr>
            <w:r>
              <w:rPr>
                <w:noProof/>
              </w:rPr>
              <w:t>Rok</w:t>
            </w:r>
          </w:p>
        </w:tc>
        <w:tc>
          <w:tcPr>
            <w:tcW w:w="1192" w:type="pct"/>
            <w:vMerge/>
            <w:vAlign w:val="center"/>
            <w:hideMark/>
          </w:tcPr>
          <w:p w14:paraId="18673B97" w14:textId="77777777" w:rsidR="004C6421" w:rsidRDefault="004C6421">
            <w:pPr>
              <w:rPr>
                <w:rFonts w:ascii="Arial Narrow" w:hAnsi="Arial Narrow"/>
                <w:b/>
                <w:noProof/>
                <w:sz w:val="20"/>
              </w:rPr>
            </w:pPr>
          </w:p>
        </w:tc>
      </w:tr>
      <w:tr w:rsidR="004C6421" w14:paraId="4E0A9EDE" w14:textId="77777777">
        <w:trPr>
          <w:trHeight w:val="309"/>
          <w:jc w:val="center"/>
        </w:trPr>
        <w:tc>
          <w:tcPr>
            <w:tcW w:w="366" w:type="pct"/>
            <w:shd w:val="clear" w:color="auto" w:fill="C6EFCE"/>
            <w:noWrap/>
            <w:vAlign w:val="center"/>
            <w:hideMark/>
          </w:tcPr>
          <w:p w14:paraId="1A5F616A" w14:textId="77777777" w:rsidR="004C6421" w:rsidRDefault="009D1962">
            <w:pPr>
              <w:pStyle w:val="P68B1DB1-Normal4"/>
              <w:jc w:val="center"/>
              <w:rPr>
                <w:noProof/>
              </w:rPr>
            </w:pPr>
            <w:r>
              <w:rPr>
                <w:noProof/>
              </w:rPr>
              <w:t>M1C3-1</w:t>
            </w:r>
          </w:p>
        </w:tc>
        <w:tc>
          <w:tcPr>
            <w:tcW w:w="460" w:type="pct"/>
            <w:shd w:val="clear" w:color="auto" w:fill="C6EFCE"/>
            <w:noWrap/>
            <w:vAlign w:val="center"/>
            <w:hideMark/>
          </w:tcPr>
          <w:p w14:paraId="5828E81D" w14:textId="77777777" w:rsidR="004C6421" w:rsidRDefault="009D1962">
            <w:pPr>
              <w:pStyle w:val="P68B1DB1-Normal4"/>
              <w:jc w:val="center"/>
              <w:rPr>
                <w:noProof/>
              </w:rPr>
            </w:pPr>
            <w:r>
              <w:rPr>
                <w:noProof/>
              </w:rPr>
              <w:t>Inwestycje 1.1 Strategia cyfrowa i platformy na rzecz dziedzictwa kulturowego</w:t>
            </w:r>
          </w:p>
        </w:tc>
        <w:tc>
          <w:tcPr>
            <w:tcW w:w="368" w:type="pct"/>
            <w:shd w:val="clear" w:color="auto" w:fill="C6EFCE"/>
            <w:noWrap/>
            <w:vAlign w:val="center"/>
            <w:hideMark/>
          </w:tcPr>
          <w:p w14:paraId="345D7AC0" w14:textId="77777777" w:rsidR="004C6421" w:rsidRDefault="009D1962">
            <w:pPr>
              <w:pStyle w:val="P68B1DB1-Normal4"/>
              <w:jc w:val="center"/>
              <w:rPr>
                <w:noProof/>
              </w:rPr>
            </w:pPr>
            <w:r>
              <w:rPr>
                <w:noProof/>
              </w:rPr>
              <w:t>Cel</w:t>
            </w:r>
          </w:p>
        </w:tc>
        <w:tc>
          <w:tcPr>
            <w:tcW w:w="436" w:type="pct"/>
            <w:shd w:val="clear" w:color="auto" w:fill="C6EFCE"/>
            <w:noWrap/>
            <w:vAlign w:val="center"/>
            <w:hideMark/>
          </w:tcPr>
          <w:p w14:paraId="013AE5E8" w14:textId="77777777" w:rsidR="004C6421" w:rsidRDefault="009D1962">
            <w:pPr>
              <w:pStyle w:val="P68B1DB1-Normal4"/>
              <w:jc w:val="center"/>
              <w:rPr>
                <w:noProof/>
              </w:rPr>
            </w:pPr>
            <w:r>
              <w:rPr>
                <w:noProof/>
              </w:rPr>
              <w:t>Użytkownicy przeszkoleni za pośrednictwem platformy e-uczenia się dziedzictwa kulturowego</w:t>
            </w:r>
          </w:p>
        </w:tc>
        <w:tc>
          <w:tcPr>
            <w:tcW w:w="520" w:type="pct"/>
            <w:shd w:val="clear" w:color="auto" w:fill="C6EFCE"/>
            <w:noWrap/>
            <w:vAlign w:val="center"/>
            <w:hideMark/>
          </w:tcPr>
          <w:p w14:paraId="4B9293B4" w14:textId="77777777" w:rsidR="004C6421" w:rsidRDefault="009D1962">
            <w:pPr>
              <w:pStyle w:val="P68B1DB1-Normal4"/>
              <w:jc w:val="center"/>
              <w:rPr>
                <w:noProof/>
              </w:rPr>
            </w:pPr>
            <w:r>
              <w:rPr>
                <w:noProof/>
              </w:rPr>
              <w:t>NIE DOT.</w:t>
            </w:r>
          </w:p>
        </w:tc>
        <w:tc>
          <w:tcPr>
            <w:tcW w:w="368" w:type="pct"/>
            <w:shd w:val="clear" w:color="auto" w:fill="C6EFCE"/>
            <w:noWrap/>
            <w:vAlign w:val="center"/>
            <w:hideMark/>
          </w:tcPr>
          <w:p w14:paraId="5139307D" w14:textId="77777777" w:rsidR="004C6421" w:rsidRDefault="009D1962">
            <w:pPr>
              <w:pStyle w:val="P68B1DB1-Normal4"/>
              <w:jc w:val="center"/>
              <w:rPr>
                <w:noProof/>
              </w:rPr>
            </w:pPr>
            <w:r>
              <w:rPr>
                <w:noProof/>
              </w:rPr>
              <w:t>Numer</w:t>
            </w:r>
          </w:p>
        </w:tc>
        <w:tc>
          <w:tcPr>
            <w:tcW w:w="368" w:type="pct"/>
            <w:shd w:val="clear" w:color="auto" w:fill="C6EFCE"/>
            <w:noWrap/>
            <w:vAlign w:val="center"/>
            <w:hideMark/>
          </w:tcPr>
          <w:p w14:paraId="1A061762" w14:textId="77777777" w:rsidR="004C6421" w:rsidRDefault="009D1962">
            <w:pPr>
              <w:pStyle w:val="P68B1DB1-Normal4"/>
              <w:jc w:val="center"/>
              <w:rPr>
                <w:noProof/>
              </w:rPr>
            </w:pPr>
            <w:r>
              <w:rPr>
                <w:noProof/>
              </w:rPr>
              <w:t>0</w:t>
            </w:r>
          </w:p>
        </w:tc>
        <w:tc>
          <w:tcPr>
            <w:tcW w:w="377" w:type="pct"/>
            <w:shd w:val="clear" w:color="auto" w:fill="C6EFCE"/>
            <w:noWrap/>
            <w:vAlign w:val="center"/>
            <w:hideMark/>
          </w:tcPr>
          <w:p w14:paraId="76BBDA9F" w14:textId="77777777" w:rsidR="004C6421" w:rsidRDefault="009D1962">
            <w:pPr>
              <w:pStyle w:val="P68B1DB1-Normal4"/>
              <w:jc w:val="center"/>
              <w:rPr>
                <w:noProof/>
              </w:rPr>
            </w:pPr>
            <w:r>
              <w:rPr>
                <w:noProof/>
              </w:rPr>
              <w:t>30 000</w:t>
            </w:r>
          </w:p>
        </w:tc>
        <w:tc>
          <w:tcPr>
            <w:tcW w:w="321" w:type="pct"/>
            <w:shd w:val="clear" w:color="auto" w:fill="C6EFCE"/>
            <w:noWrap/>
            <w:vAlign w:val="center"/>
            <w:hideMark/>
          </w:tcPr>
          <w:p w14:paraId="1FBF05AB" w14:textId="2C52ED99" w:rsidR="004C6421" w:rsidRDefault="00CC179E">
            <w:pPr>
              <w:pStyle w:val="P68B1DB1-Normal4"/>
              <w:jc w:val="center"/>
              <w:rPr>
                <w:noProof/>
              </w:rPr>
            </w:pPr>
            <w:r>
              <w:rPr>
                <w:noProof/>
              </w:rPr>
              <w:t>KW. 4</w:t>
            </w:r>
          </w:p>
        </w:tc>
        <w:tc>
          <w:tcPr>
            <w:tcW w:w="224" w:type="pct"/>
            <w:shd w:val="clear" w:color="auto" w:fill="C6EFCE"/>
            <w:noWrap/>
            <w:vAlign w:val="center"/>
            <w:hideMark/>
          </w:tcPr>
          <w:p w14:paraId="7E4926FE" w14:textId="77777777" w:rsidR="004C6421" w:rsidRDefault="009D1962">
            <w:pPr>
              <w:pStyle w:val="P68B1DB1-Normal4"/>
              <w:jc w:val="center"/>
              <w:rPr>
                <w:noProof/>
              </w:rPr>
            </w:pPr>
            <w:r>
              <w:rPr>
                <w:noProof/>
              </w:rPr>
              <w:t>2025</w:t>
            </w:r>
          </w:p>
        </w:tc>
        <w:tc>
          <w:tcPr>
            <w:tcW w:w="1192" w:type="pct"/>
            <w:shd w:val="clear" w:color="auto" w:fill="C6EFCE"/>
            <w:noWrap/>
            <w:vAlign w:val="center"/>
            <w:hideMark/>
          </w:tcPr>
          <w:p w14:paraId="5769CF1D" w14:textId="77777777" w:rsidR="004C6421" w:rsidRDefault="009D1962">
            <w:pPr>
              <w:pStyle w:val="P68B1DB1-Normal4"/>
              <w:rPr>
                <w:noProof/>
              </w:rPr>
            </w:pPr>
            <w:r>
              <w:rPr>
                <w:noProof/>
              </w:rPr>
              <w:t>Wyszkoleni użytkownicy docelowi mierzą skuteczność oferty szkoleniowej, która ma być dostarczana cyfrowo na potrzeby programu uczenia się przez całe życie.</w:t>
            </w:r>
          </w:p>
          <w:p w14:paraId="113B7AA8" w14:textId="77777777" w:rsidR="004C6421" w:rsidRDefault="009D1962">
            <w:pPr>
              <w:pStyle w:val="P68B1DB1-Normal4"/>
              <w:rPr>
                <w:noProof/>
              </w:rPr>
            </w:pPr>
            <w:r>
              <w:rPr>
                <w:noProof/>
              </w:rPr>
              <w:t>Rodzaje interwencji obejmują:</w:t>
            </w:r>
          </w:p>
          <w:p w14:paraId="31DD40D2" w14:textId="77777777" w:rsidR="004C6421" w:rsidRDefault="009D1962">
            <w:pPr>
              <w:pStyle w:val="P68B1DB1-Normal4"/>
              <w:rPr>
                <w:noProof/>
              </w:rPr>
            </w:pPr>
            <w:r>
              <w:rPr>
                <w:noProof/>
              </w:rPr>
              <w:t>opracowywanie kursów szkoleniowych, wdrażanie w ramach nauczania pierwszego stopnia i programów e-uczenia się opracowanych na podstawie oceny kompetencji różnych grup docelowych osób uczących się (co odpowiada trzem poziomom kursu: umiejętności podstawowe, umiejętności specjalistyczne, umiejętności kierownicze).</w:t>
            </w:r>
          </w:p>
          <w:p w14:paraId="100C7E33" w14:textId="77777777" w:rsidR="004C6421" w:rsidRDefault="009D1962">
            <w:pPr>
              <w:pStyle w:val="P68B1DB1-Normal4"/>
              <w:rPr>
                <w:noProof/>
              </w:rPr>
            </w:pPr>
            <w:r>
              <w:rPr>
                <w:noProof/>
              </w:rPr>
              <w:t>Beneficjentami tego środka są: pracownicy ministerstwa, pracownicy instytutów kultury samorządów lokalnych, podmioty działające na własny rachunek w dziedzinie kultury.</w:t>
            </w:r>
          </w:p>
          <w:p w14:paraId="4A52300F" w14:textId="77777777" w:rsidR="004C6421" w:rsidRDefault="004C6421">
            <w:pPr>
              <w:rPr>
                <w:rFonts w:ascii="Arial Narrow" w:hAnsi="Arial Narrow"/>
                <w:noProof/>
                <w:color w:val="006100"/>
                <w:sz w:val="20"/>
              </w:rPr>
            </w:pPr>
          </w:p>
        </w:tc>
      </w:tr>
      <w:tr w:rsidR="004C6421" w14:paraId="17462A04" w14:textId="77777777">
        <w:trPr>
          <w:trHeight w:val="309"/>
          <w:jc w:val="center"/>
        </w:trPr>
        <w:tc>
          <w:tcPr>
            <w:tcW w:w="366" w:type="pct"/>
            <w:shd w:val="clear" w:color="auto" w:fill="C6EFCE"/>
            <w:noWrap/>
            <w:vAlign w:val="center"/>
            <w:hideMark/>
          </w:tcPr>
          <w:p w14:paraId="087D8850" w14:textId="77777777" w:rsidR="004C6421" w:rsidRDefault="009D1962">
            <w:pPr>
              <w:pStyle w:val="P68B1DB1-Normal4"/>
              <w:jc w:val="center"/>
              <w:rPr>
                <w:noProof/>
              </w:rPr>
            </w:pPr>
            <w:r>
              <w:rPr>
                <w:noProof/>
              </w:rPr>
              <w:t>M1C3-2</w:t>
            </w:r>
          </w:p>
        </w:tc>
        <w:tc>
          <w:tcPr>
            <w:tcW w:w="460" w:type="pct"/>
            <w:shd w:val="clear" w:color="auto" w:fill="C6EFCE"/>
            <w:noWrap/>
            <w:vAlign w:val="center"/>
            <w:hideMark/>
          </w:tcPr>
          <w:p w14:paraId="52E31A7C" w14:textId="77777777" w:rsidR="004C6421" w:rsidRDefault="009D1962">
            <w:pPr>
              <w:pStyle w:val="P68B1DB1-Normal4"/>
              <w:jc w:val="center"/>
              <w:rPr>
                <w:noProof/>
              </w:rPr>
            </w:pPr>
            <w:r>
              <w:rPr>
                <w:noProof/>
              </w:rPr>
              <w:t>Inwestycje – 1.1 Strategia cyfrowa i platformy na rzecz dziedzictwa kulturowego</w:t>
            </w:r>
          </w:p>
        </w:tc>
        <w:tc>
          <w:tcPr>
            <w:tcW w:w="368" w:type="pct"/>
            <w:shd w:val="clear" w:color="auto" w:fill="C6EFCE"/>
            <w:noWrap/>
            <w:vAlign w:val="center"/>
            <w:hideMark/>
          </w:tcPr>
          <w:p w14:paraId="6D7BF471" w14:textId="77777777" w:rsidR="004C6421" w:rsidRDefault="009D1962">
            <w:pPr>
              <w:pStyle w:val="P68B1DB1-Normal4"/>
              <w:jc w:val="center"/>
              <w:rPr>
                <w:noProof/>
              </w:rPr>
            </w:pPr>
            <w:r>
              <w:rPr>
                <w:noProof/>
              </w:rPr>
              <w:t>Cel</w:t>
            </w:r>
          </w:p>
        </w:tc>
        <w:tc>
          <w:tcPr>
            <w:tcW w:w="436" w:type="pct"/>
            <w:shd w:val="clear" w:color="auto" w:fill="C6EFCE"/>
            <w:noWrap/>
            <w:vAlign w:val="center"/>
            <w:hideMark/>
          </w:tcPr>
          <w:p w14:paraId="475D7462" w14:textId="77777777" w:rsidR="004C6421" w:rsidRDefault="009D1962">
            <w:pPr>
              <w:pStyle w:val="P68B1DB1-Normal4"/>
              <w:jc w:val="center"/>
              <w:rPr>
                <w:noProof/>
              </w:rPr>
            </w:pPr>
            <w:r>
              <w:rPr>
                <w:noProof/>
              </w:rPr>
              <w:t>Zasoby cyfrowe opracowane i opublikowane w Bibliotece Cyfrowej</w:t>
            </w:r>
          </w:p>
          <w:p w14:paraId="6746ABA4" w14:textId="77777777" w:rsidR="004C6421" w:rsidRDefault="004C6421">
            <w:pPr>
              <w:jc w:val="center"/>
              <w:rPr>
                <w:rFonts w:ascii="Arial Narrow" w:hAnsi="Arial Narrow"/>
                <w:noProof/>
                <w:color w:val="006100"/>
                <w:sz w:val="20"/>
              </w:rPr>
            </w:pPr>
          </w:p>
        </w:tc>
        <w:tc>
          <w:tcPr>
            <w:tcW w:w="520" w:type="pct"/>
            <w:shd w:val="clear" w:color="auto" w:fill="C6EFCE"/>
            <w:noWrap/>
            <w:vAlign w:val="center"/>
            <w:hideMark/>
          </w:tcPr>
          <w:p w14:paraId="1D339CD4" w14:textId="77777777" w:rsidR="004C6421" w:rsidRDefault="009D1962">
            <w:pPr>
              <w:pStyle w:val="P68B1DB1-Normal4"/>
              <w:jc w:val="center"/>
              <w:rPr>
                <w:noProof/>
              </w:rPr>
            </w:pPr>
            <w:r>
              <w:rPr>
                <w:noProof/>
              </w:rPr>
              <w:t>NIE DOT.</w:t>
            </w:r>
          </w:p>
        </w:tc>
        <w:tc>
          <w:tcPr>
            <w:tcW w:w="368" w:type="pct"/>
            <w:shd w:val="clear" w:color="auto" w:fill="C6EFCE"/>
            <w:noWrap/>
            <w:vAlign w:val="center"/>
            <w:hideMark/>
          </w:tcPr>
          <w:p w14:paraId="60143A38" w14:textId="77777777" w:rsidR="004C6421" w:rsidRDefault="009D1962">
            <w:pPr>
              <w:pStyle w:val="P68B1DB1-Normal4"/>
              <w:jc w:val="center"/>
              <w:rPr>
                <w:noProof/>
              </w:rPr>
            </w:pPr>
            <w:r>
              <w:rPr>
                <w:noProof/>
              </w:rPr>
              <w:t>Numer</w:t>
            </w:r>
          </w:p>
        </w:tc>
        <w:tc>
          <w:tcPr>
            <w:tcW w:w="368" w:type="pct"/>
            <w:shd w:val="clear" w:color="auto" w:fill="C6EFCE"/>
            <w:noWrap/>
            <w:vAlign w:val="center"/>
            <w:hideMark/>
          </w:tcPr>
          <w:p w14:paraId="030A61F2" w14:textId="77777777" w:rsidR="004C6421" w:rsidRDefault="009D1962">
            <w:pPr>
              <w:pStyle w:val="P68B1DB1-Normal4"/>
              <w:jc w:val="center"/>
              <w:rPr>
                <w:noProof/>
              </w:rPr>
            </w:pPr>
            <w:r>
              <w:rPr>
                <w:noProof/>
              </w:rPr>
              <w:t>0</w:t>
            </w:r>
          </w:p>
        </w:tc>
        <w:tc>
          <w:tcPr>
            <w:tcW w:w="377" w:type="pct"/>
            <w:shd w:val="clear" w:color="auto" w:fill="C6EFCE"/>
            <w:noWrap/>
            <w:vAlign w:val="center"/>
            <w:hideMark/>
          </w:tcPr>
          <w:p w14:paraId="405C2E19" w14:textId="77777777" w:rsidR="004C6421" w:rsidRDefault="009D1962">
            <w:pPr>
              <w:pStyle w:val="P68B1DB1-Normal4"/>
              <w:jc w:val="center"/>
              <w:rPr>
                <w:noProof/>
              </w:rPr>
            </w:pPr>
            <w:r>
              <w:rPr>
                <w:noProof/>
              </w:rPr>
              <w:t>65 000 000</w:t>
            </w:r>
          </w:p>
        </w:tc>
        <w:tc>
          <w:tcPr>
            <w:tcW w:w="321" w:type="pct"/>
            <w:shd w:val="clear" w:color="auto" w:fill="C6EFCE"/>
            <w:noWrap/>
            <w:vAlign w:val="center"/>
            <w:hideMark/>
          </w:tcPr>
          <w:p w14:paraId="2B613CDE" w14:textId="0471C36E" w:rsidR="004C6421" w:rsidRDefault="00CC179E">
            <w:pPr>
              <w:pStyle w:val="P68B1DB1-Normal4"/>
              <w:jc w:val="center"/>
              <w:rPr>
                <w:noProof/>
              </w:rPr>
            </w:pPr>
            <w:r>
              <w:rPr>
                <w:noProof/>
              </w:rPr>
              <w:t>KW. 4</w:t>
            </w:r>
          </w:p>
        </w:tc>
        <w:tc>
          <w:tcPr>
            <w:tcW w:w="224" w:type="pct"/>
            <w:shd w:val="clear" w:color="auto" w:fill="C6EFCE"/>
            <w:noWrap/>
            <w:vAlign w:val="center"/>
            <w:hideMark/>
          </w:tcPr>
          <w:p w14:paraId="4C68DB94" w14:textId="77777777" w:rsidR="004C6421" w:rsidRDefault="004C6421">
            <w:pPr>
              <w:jc w:val="center"/>
              <w:rPr>
                <w:rFonts w:ascii="Arial Narrow" w:hAnsi="Arial Narrow"/>
                <w:noProof/>
                <w:color w:val="006100"/>
                <w:sz w:val="20"/>
              </w:rPr>
            </w:pPr>
          </w:p>
          <w:p w14:paraId="6DBC88D1" w14:textId="77777777" w:rsidR="004C6421" w:rsidRDefault="009D1962">
            <w:pPr>
              <w:pStyle w:val="P68B1DB1-Normal4"/>
              <w:jc w:val="center"/>
              <w:rPr>
                <w:noProof/>
              </w:rPr>
            </w:pPr>
            <w:r>
              <w:rPr>
                <w:noProof/>
              </w:rPr>
              <w:t>2025</w:t>
            </w:r>
          </w:p>
          <w:p w14:paraId="74D9A1C6" w14:textId="77777777" w:rsidR="004C6421" w:rsidRDefault="004C6421">
            <w:pPr>
              <w:jc w:val="center"/>
              <w:rPr>
                <w:rFonts w:ascii="Arial Narrow" w:hAnsi="Arial Narrow"/>
                <w:noProof/>
                <w:color w:val="006100"/>
                <w:sz w:val="20"/>
              </w:rPr>
            </w:pPr>
          </w:p>
        </w:tc>
        <w:tc>
          <w:tcPr>
            <w:tcW w:w="1192" w:type="pct"/>
            <w:shd w:val="clear" w:color="auto" w:fill="C6EFCE"/>
            <w:noWrap/>
            <w:vAlign w:val="center"/>
            <w:hideMark/>
          </w:tcPr>
          <w:p w14:paraId="5C201FD7" w14:textId="77777777" w:rsidR="004C6421" w:rsidRDefault="009D1962">
            <w:pPr>
              <w:pStyle w:val="P68B1DB1-Normal4"/>
              <w:rPr>
                <w:noProof/>
              </w:rPr>
            </w:pPr>
            <w:r>
              <w:rPr>
                <w:noProof/>
              </w:rPr>
              <w:t>Docelowe zasoby cyfrowe mierzą wzrost ilości zdigitalizowanych dóbr kultury, których reprodukcje cyfrowe mogą być wykorzystywane online za pośrednictwem technologii cyfrowych.</w:t>
            </w:r>
          </w:p>
          <w:p w14:paraId="57725F22" w14:textId="77777777" w:rsidR="004C6421" w:rsidRDefault="009D1962">
            <w:pPr>
              <w:pStyle w:val="P68B1DB1-Normal4"/>
              <w:rPr>
                <w:noProof/>
              </w:rPr>
            </w:pPr>
            <w:r>
              <w:rPr>
                <w:noProof/>
              </w:rPr>
              <w:t>Rodzaj zasobów cyfrowych, które należy uzupełnić, obejmuje: digitalizacja książek i rękopisów, dokumentów i fotografii, dzieł sztuki oraz artefaktów historycznych i archeologicznych, zabytków i stanowisk archeologicznych, materiałów audiowizualnych, w tym normalizacja wcześniejszych digitalizacji i metadanych</w:t>
            </w:r>
          </w:p>
          <w:p w14:paraId="59B887FF" w14:textId="77777777" w:rsidR="004C6421" w:rsidRDefault="009D1962">
            <w:pPr>
              <w:pStyle w:val="P68B1DB1-Normal4"/>
              <w:rPr>
                <w:noProof/>
              </w:rPr>
            </w:pPr>
            <w:r>
              <w:rPr>
                <w:noProof/>
              </w:rPr>
              <w:t>Odbiorcy: muzea, archiwa, biblioteki i instytuty kultury</w:t>
            </w:r>
          </w:p>
        </w:tc>
      </w:tr>
      <w:tr w:rsidR="004C6421" w14:paraId="302FB634" w14:textId="77777777">
        <w:trPr>
          <w:trHeight w:val="309"/>
          <w:jc w:val="center"/>
        </w:trPr>
        <w:tc>
          <w:tcPr>
            <w:tcW w:w="366" w:type="pct"/>
            <w:shd w:val="clear" w:color="auto" w:fill="C6EFCE"/>
            <w:noWrap/>
            <w:vAlign w:val="center"/>
            <w:hideMark/>
          </w:tcPr>
          <w:p w14:paraId="79C68FE6" w14:textId="77777777" w:rsidR="004C6421" w:rsidRDefault="009D1962">
            <w:pPr>
              <w:pStyle w:val="P68B1DB1-Normal4"/>
              <w:jc w:val="center"/>
              <w:rPr>
                <w:noProof/>
              </w:rPr>
            </w:pPr>
            <w:r>
              <w:rPr>
                <w:noProof/>
              </w:rPr>
              <w:t>M1C3-3</w:t>
            </w:r>
          </w:p>
        </w:tc>
        <w:tc>
          <w:tcPr>
            <w:tcW w:w="460" w:type="pct"/>
            <w:shd w:val="clear" w:color="auto" w:fill="C6EFCE"/>
            <w:noWrap/>
            <w:vAlign w:val="center"/>
            <w:hideMark/>
          </w:tcPr>
          <w:p w14:paraId="518B7073" w14:textId="77777777" w:rsidR="004C6421" w:rsidRDefault="009D1962">
            <w:pPr>
              <w:pStyle w:val="P68B1DB1-Normal4"/>
              <w:jc w:val="center"/>
              <w:rPr>
                <w:noProof/>
              </w:rPr>
            </w:pPr>
            <w:r>
              <w:rPr>
                <w:noProof/>
              </w:rPr>
              <w:t>Inwestycje – 1.2 Usunięcie barier fizycznych i poznawczych w muzeach, bibliotekach i archiwach w celu umożliwienia szerszego dostępu do kultury i uczestnictwa w niej</w:t>
            </w:r>
          </w:p>
        </w:tc>
        <w:tc>
          <w:tcPr>
            <w:tcW w:w="368" w:type="pct"/>
            <w:shd w:val="clear" w:color="auto" w:fill="C6EFCE"/>
            <w:noWrap/>
            <w:vAlign w:val="center"/>
            <w:hideMark/>
          </w:tcPr>
          <w:p w14:paraId="6D65DC64" w14:textId="77777777" w:rsidR="004C6421" w:rsidRDefault="009D1962">
            <w:pPr>
              <w:pStyle w:val="P68B1DB1-Normal4"/>
              <w:jc w:val="center"/>
              <w:rPr>
                <w:noProof/>
              </w:rPr>
            </w:pPr>
            <w:r>
              <w:rPr>
                <w:noProof/>
              </w:rPr>
              <w:t>Cel</w:t>
            </w:r>
          </w:p>
        </w:tc>
        <w:tc>
          <w:tcPr>
            <w:tcW w:w="436" w:type="pct"/>
            <w:shd w:val="clear" w:color="auto" w:fill="C6EFCE"/>
            <w:noWrap/>
            <w:vAlign w:val="center"/>
            <w:hideMark/>
          </w:tcPr>
          <w:p w14:paraId="77C4E8C1" w14:textId="77777777" w:rsidR="004C6421" w:rsidRDefault="009D1962">
            <w:pPr>
              <w:pStyle w:val="P68B1DB1-Normal4"/>
              <w:jc w:val="center"/>
              <w:rPr>
                <w:noProof/>
              </w:rPr>
            </w:pPr>
            <w:r>
              <w:rPr>
                <w:noProof/>
              </w:rPr>
              <w:t>Interwencje na rzecz poprawy dostępności fizycznej i poznawczej w miejscach kultury</w:t>
            </w:r>
          </w:p>
        </w:tc>
        <w:tc>
          <w:tcPr>
            <w:tcW w:w="520" w:type="pct"/>
            <w:shd w:val="clear" w:color="auto" w:fill="C6EFCE"/>
            <w:noWrap/>
            <w:vAlign w:val="center"/>
            <w:hideMark/>
          </w:tcPr>
          <w:p w14:paraId="58221AD7" w14:textId="77777777" w:rsidR="004C6421" w:rsidRDefault="009D1962">
            <w:pPr>
              <w:pStyle w:val="P68B1DB1-Normal4"/>
              <w:jc w:val="center"/>
              <w:rPr>
                <w:noProof/>
              </w:rPr>
            </w:pPr>
            <w:r>
              <w:rPr>
                <w:noProof/>
              </w:rPr>
              <w:t>NIE DOT.</w:t>
            </w:r>
          </w:p>
        </w:tc>
        <w:tc>
          <w:tcPr>
            <w:tcW w:w="368" w:type="pct"/>
            <w:shd w:val="clear" w:color="auto" w:fill="C6EFCE"/>
            <w:noWrap/>
            <w:vAlign w:val="center"/>
            <w:hideMark/>
          </w:tcPr>
          <w:p w14:paraId="2F6C8525" w14:textId="77777777" w:rsidR="004C6421" w:rsidRDefault="009D1962">
            <w:pPr>
              <w:pStyle w:val="P68B1DB1-Normal4"/>
              <w:jc w:val="center"/>
              <w:rPr>
                <w:noProof/>
              </w:rPr>
            </w:pPr>
            <w:r>
              <w:rPr>
                <w:noProof/>
              </w:rPr>
              <w:t>Numer</w:t>
            </w:r>
          </w:p>
        </w:tc>
        <w:tc>
          <w:tcPr>
            <w:tcW w:w="368" w:type="pct"/>
            <w:shd w:val="clear" w:color="auto" w:fill="C6EFCE"/>
            <w:noWrap/>
            <w:vAlign w:val="center"/>
            <w:hideMark/>
          </w:tcPr>
          <w:p w14:paraId="713CAA84" w14:textId="77777777" w:rsidR="004C6421" w:rsidRDefault="009D1962">
            <w:pPr>
              <w:pStyle w:val="P68B1DB1-Normal4"/>
              <w:jc w:val="center"/>
              <w:rPr>
                <w:noProof/>
              </w:rPr>
            </w:pPr>
            <w:r>
              <w:rPr>
                <w:noProof/>
              </w:rPr>
              <w:t>0</w:t>
            </w:r>
          </w:p>
        </w:tc>
        <w:tc>
          <w:tcPr>
            <w:tcW w:w="377" w:type="pct"/>
            <w:shd w:val="clear" w:color="auto" w:fill="C6EFCE"/>
            <w:noWrap/>
            <w:vAlign w:val="center"/>
            <w:hideMark/>
          </w:tcPr>
          <w:p w14:paraId="3F666E22" w14:textId="77777777" w:rsidR="004C6421" w:rsidRDefault="009D1962">
            <w:pPr>
              <w:pStyle w:val="P68B1DB1-Normal4"/>
              <w:jc w:val="center"/>
              <w:rPr>
                <w:noProof/>
              </w:rPr>
            </w:pPr>
            <w:r>
              <w:rPr>
                <w:noProof/>
              </w:rPr>
              <w:t>617</w:t>
            </w:r>
          </w:p>
        </w:tc>
        <w:tc>
          <w:tcPr>
            <w:tcW w:w="321" w:type="pct"/>
            <w:shd w:val="clear" w:color="auto" w:fill="C6EFCE"/>
            <w:noWrap/>
            <w:vAlign w:val="center"/>
            <w:hideMark/>
          </w:tcPr>
          <w:p w14:paraId="579BE2A5" w14:textId="77777777" w:rsidR="004C6421" w:rsidRDefault="009D1962">
            <w:pPr>
              <w:pStyle w:val="P68B1DB1-Normal4"/>
              <w:jc w:val="center"/>
              <w:rPr>
                <w:noProof/>
              </w:rPr>
            </w:pPr>
            <w:r>
              <w:rPr>
                <w:noProof/>
              </w:rPr>
              <w:t>II KW.</w:t>
            </w:r>
          </w:p>
        </w:tc>
        <w:tc>
          <w:tcPr>
            <w:tcW w:w="224" w:type="pct"/>
            <w:shd w:val="clear" w:color="auto" w:fill="C6EFCE"/>
            <w:noWrap/>
            <w:vAlign w:val="center"/>
            <w:hideMark/>
          </w:tcPr>
          <w:p w14:paraId="1252BB0C" w14:textId="77777777" w:rsidR="004C6421" w:rsidRDefault="009D1962">
            <w:pPr>
              <w:pStyle w:val="P68B1DB1-Normal4"/>
              <w:jc w:val="center"/>
              <w:rPr>
                <w:noProof/>
              </w:rPr>
            </w:pPr>
            <w:r>
              <w:rPr>
                <w:noProof/>
              </w:rPr>
              <w:t>2026</w:t>
            </w:r>
          </w:p>
        </w:tc>
        <w:tc>
          <w:tcPr>
            <w:tcW w:w="1192" w:type="pct"/>
            <w:shd w:val="clear" w:color="auto" w:fill="C6EFCE"/>
            <w:noWrap/>
            <w:vAlign w:val="center"/>
            <w:hideMark/>
          </w:tcPr>
          <w:p w14:paraId="0ADE6C71" w14:textId="77777777" w:rsidR="004C6421" w:rsidRDefault="004C6421">
            <w:pPr>
              <w:rPr>
                <w:rFonts w:ascii="Arial Narrow" w:hAnsi="Arial Narrow"/>
                <w:noProof/>
                <w:color w:val="006100"/>
                <w:sz w:val="20"/>
              </w:rPr>
            </w:pPr>
          </w:p>
          <w:p w14:paraId="11F2DD8E" w14:textId="77777777" w:rsidR="004C6421" w:rsidRDefault="009D1962">
            <w:pPr>
              <w:pStyle w:val="P68B1DB1-Normal4"/>
              <w:rPr>
                <w:noProof/>
              </w:rPr>
            </w:pPr>
            <w:r>
              <w:rPr>
                <w:noProof/>
              </w:rPr>
              <w:t>352 muzea, zabytki/, obszary i parki archeologiczne, 129 archiwów, 46 bibliotek i 90 niepaństwowych obiektów kultury.</w:t>
            </w:r>
          </w:p>
          <w:p w14:paraId="2D2A5466" w14:textId="77777777" w:rsidR="004C6421" w:rsidRDefault="004C6421">
            <w:pPr>
              <w:rPr>
                <w:rFonts w:ascii="Arial Narrow" w:hAnsi="Arial Narrow"/>
                <w:noProof/>
                <w:color w:val="006100"/>
                <w:sz w:val="20"/>
              </w:rPr>
            </w:pPr>
          </w:p>
          <w:p w14:paraId="4BF48F4A" w14:textId="77777777" w:rsidR="004C6421" w:rsidRDefault="009D1962">
            <w:pPr>
              <w:pStyle w:val="P68B1DB1-Normal4"/>
              <w:rPr>
                <w:noProof/>
              </w:rPr>
            </w:pPr>
            <w:r>
              <w:rPr>
                <w:noProof/>
              </w:rPr>
              <w:t>Interwencje dotyczą fizycznych interwencji mających na celu usunięcie barier architektonicznych oraz instalacji narzędzi technologicznych umożliwiających korzystanie z nich osobom o ograniczonej zdolności sensorycznej (doświadczenia dotykające dotykowe, dźwiękowe, zapachowe).</w:t>
            </w:r>
          </w:p>
          <w:p w14:paraId="0029F99B" w14:textId="77777777" w:rsidR="004C6421" w:rsidRDefault="004C6421">
            <w:pPr>
              <w:rPr>
                <w:rFonts w:ascii="Arial Narrow" w:hAnsi="Arial Narrow"/>
                <w:noProof/>
                <w:color w:val="006100"/>
                <w:sz w:val="20"/>
              </w:rPr>
            </w:pPr>
          </w:p>
          <w:p w14:paraId="65595C1D" w14:textId="77777777" w:rsidR="004C6421" w:rsidRDefault="009D1962">
            <w:pPr>
              <w:pStyle w:val="P68B1DB1-Normal4"/>
              <w:rPr>
                <w:noProof/>
              </w:rPr>
            </w:pPr>
            <w:r>
              <w:rPr>
                <w:noProof/>
              </w:rPr>
              <w:t>37 % interwencji przeprowadza się w regionach południowych.</w:t>
            </w:r>
          </w:p>
        </w:tc>
      </w:tr>
      <w:tr w:rsidR="004C6421" w14:paraId="428400AC" w14:textId="77777777">
        <w:trPr>
          <w:trHeight w:val="309"/>
          <w:jc w:val="center"/>
        </w:trPr>
        <w:tc>
          <w:tcPr>
            <w:tcW w:w="366" w:type="pct"/>
            <w:shd w:val="clear" w:color="auto" w:fill="C6EFCE"/>
            <w:noWrap/>
            <w:vAlign w:val="center"/>
            <w:hideMark/>
          </w:tcPr>
          <w:p w14:paraId="316DBFCF" w14:textId="77777777" w:rsidR="004C6421" w:rsidRDefault="009D1962">
            <w:pPr>
              <w:pStyle w:val="P68B1DB1-Normal4"/>
              <w:jc w:val="center"/>
              <w:rPr>
                <w:noProof/>
              </w:rPr>
            </w:pPr>
            <w:r>
              <w:rPr>
                <w:noProof/>
              </w:rPr>
              <w:t>M1C3-4</w:t>
            </w:r>
          </w:p>
        </w:tc>
        <w:tc>
          <w:tcPr>
            <w:tcW w:w="460" w:type="pct"/>
            <w:shd w:val="clear" w:color="auto" w:fill="C6EFCE"/>
            <w:noWrap/>
            <w:vAlign w:val="center"/>
            <w:hideMark/>
          </w:tcPr>
          <w:p w14:paraId="5A6436A6" w14:textId="77777777" w:rsidR="004C6421" w:rsidRDefault="009D1962">
            <w:pPr>
              <w:pStyle w:val="P68B1DB1-Normal4"/>
              <w:jc w:val="center"/>
              <w:rPr>
                <w:noProof/>
              </w:rPr>
            </w:pPr>
            <w:r>
              <w:rPr>
                <w:noProof/>
              </w:rPr>
              <w:t>Inwestycje – 1.3 Poprawa efektywności energetycznej w kinach, teatrach i muzeach</w:t>
            </w:r>
          </w:p>
        </w:tc>
        <w:tc>
          <w:tcPr>
            <w:tcW w:w="368" w:type="pct"/>
            <w:shd w:val="clear" w:color="auto" w:fill="C6EFCE"/>
            <w:noWrap/>
            <w:vAlign w:val="center"/>
            <w:hideMark/>
          </w:tcPr>
          <w:p w14:paraId="51915EF6" w14:textId="77777777" w:rsidR="004C6421" w:rsidRDefault="009D1962">
            <w:pPr>
              <w:pStyle w:val="P68B1DB1-Normal4"/>
              <w:jc w:val="center"/>
              <w:rPr>
                <w:noProof/>
              </w:rPr>
            </w:pPr>
            <w:r>
              <w:rPr>
                <w:noProof/>
              </w:rPr>
              <w:t>Cel</w:t>
            </w:r>
          </w:p>
        </w:tc>
        <w:tc>
          <w:tcPr>
            <w:tcW w:w="436" w:type="pct"/>
            <w:shd w:val="clear" w:color="auto" w:fill="C6EFCE"/>
            <w:noWrap/>
            <w:vAlign w:val="center"/>
            <w:hideMark/>
          </w:tcPr>
          <w:p w14:paraId="50F4E958" w14:textId="77777777" w:rsidR="004C6421" w:rsidRDefault="009D1962">
            <w:pPr>
              <w:pStyle w:val="P68B1DB1-Normal4"/>
              <w:jc w:val="center"/>
              <w:rPr>
                <w:noProof/>
              </w:rPr>
            </w:pPr>
            <w:r>
              <w:rPr>
                <w:noProof/>
              </w:rPr>
              <w:t>Interwencje w publicznych muzeach i obiektach kultury, salach teatralnych i kinach zamkniętych (pierwsza partia)</w:t>
            </w:r>
          </w:p>
        </w:tc>
        <w:tc>
          <w:tcPr>
            <w:tcW w:w="520" w:type="pct"/>
            <w:shd w:val="clear" w:color="auto" w:fill="C6EFCE"/>
            <w:noWrap/>
            <w:vAlign w:val="center"/>
            <w:hideMark/>
          </w:tcPr>
          <w:p w14:paraId="5EA8B6F9" w14:textId="77777777" w:rsidR="004C6421" w:rsidRDefault="009D1962">
            <w:pPr>
              <w:pStyle w:val="P68B1DB1-Normal4"/>
              <w:jc w:val="center"/>
              <w:rPr>
                <w:noProof/>
              </w:rPr>
            </w:pPr>
            <w:r>
              <w:rPr>
                <w:noProof/>
              </w:rPr>
              <w:t>NIE DOT.</w:t>
            </w:r>
          </w:p>
        </w:tc>
        <w:tc>
          <w:tcPr>
            <w:tcW w:w="368" w:type="pct"/>
            <w:shd w:val="clear" w:color="auto" w:fill="C6EFCE"/>
            <w:noWrap/>
            <w:vAlign w:val="center"/>
            <w:hideMark/>
          </w:tcPr>
          <w:p w14:paraId="09805EC7" w14:textId="77777777" w:rsidR="004C6421" w:rsidRDefault="009D1962">
            <w:pPr>
              <w:pStyle w:val="P68B1DB1-Normal4"/>
              <w:jc w:val="center"/>
              <w:rPr>
                <w:noProof/>
              </w:rPr>
            </w:pPr>
            <w:r>
              <w:rPr>
                <w:noProof/>
              </w:rPr>
              <w:t>Numer</w:t>
            </w:r>
          </w:p>
        </w:tc>
        <w:tc>
          <w:tcPr>
            <w:tcW w:w="368" w:type="pct"/>
            <w:shd w:val="clear" w:color="auto" w:fill="C6EFCE"/>
            <w:noWrap/>
            <w:vAlign w:val="center"/>
            <w:hideMark/>
          </w:tcPr>
          <w:p w14:paraId="1CC0B67C" w14:textId="77777777" w:rsidR="004C6421" w:rsidRDefault="009D1962">
            <w:pPr>
              <w:pStyle w:val="P68B1DB1-Normal4"/>
              <w:jc w:val="center"/>
              <w:rPr>
                <w:noProof/>
              </w:rPr>
            </w:pPr>
            <w:r>
              <w:rPr>
                <w:noProof/>
              </w:rPr>
              <w:t>0</w:t>
            </w:r>
          </w:p>
        </w:tc>
        <w:tc>
          <w:tcPr>
            <w:tcW w:w="377" w:type="pct"/>
            <w:shd w:val="clear" w:color="auto" w:fill="C6EFCE"/>
            <w:noWrap/>
            <w:vAlign w:val="center"/>
            <w:hideMark/>
          </w:tcPr>
          <w:p w14:paraId="282583BF" w14:textId="77777777" w:rsidR="004C6421" w:rsidRDefault="009D1962">
            <w:pPr>
              <w:pStyle w:val="P68B1DB1-Normal4"/>
              <w:jc w:val="center"/>
              <w:rPr>
                <w:noProof/>
              </w:rPr>
            </w:pPr>
            <w:r>
              <w:rPr>
                <w:noProof/>
              </w:rPr>
              <w:t>80</w:t>
            </w:r>
          </w:p>
        </w:tc>
        <w:tc>
          <w:tcPr>
            <w:tcW w:w="321" w:type="pct"/>
            <w:shd w:val="clear" w:color="auto" w:fill="C6EFCE"/>
            <w:noWrap/>
            <w:vAlign w:val="center"/>
            <w:hideMark/>
          </w:tcPr>
          <w:p w14:paraId="423C01EA" w14:textId="77777777" w:rsidR="004C6421" w:rsidRDefault="009D1962">
            <w:pPr>
              <w:pStyle w:val="P68B1DB1-Normal4"/>
              <w:jc w:val="center"/>
              <w:rPr>
                <w:noProof/>
              </w:rPr>
            </w:pPr>
            <w:r>
              <w:rPr>
                <w:noProof/>
              </w:rPr>
              <w:t>III KW.</w:t>
            </w:r>
          </w:p>
        </w:tc>
        <w:tc>
          <w:tcPr>
            <w:tcW w:w="224" w:type="pct"/>
            <w:shd w:val="clear" w:color="auto" w:fill="C6EFCE"/>
            <w:noWrap/>
            <w:vAlign w:val="center"/>
            <w:hideMark/>
          </w:tcPr>
          <w:p w14:paraId="13224B72" w14:textId="77777777" w:rsidR="004C6421" w:rsidRDefault="009D1962">
            <w:pPr>
              <w:pStyle w:val="P68B1DB1-Normal4"/>
              <w:jc w:val="center"/>
              <w:rPr>
                <w:noProof/>
              </w:rPr>
            </w:pPr>
            <w:r>
              <w:rPr>
                <w:noProof/>
              </w:rPr>
              <w:t>2023</w:t>
            </w:r>
          </w:p>
        </w:tc>
        <w:tc>
          <w:tcPr>
            <w:tcW w:w="1192" w:type="pct"/>
            <w:shd w:val="clear" w:color="auto" w:fill="C6EFCE"/>
            <w:noWrap/>
            <w:vAlign w:val="center"/>
            <w:hideMark/>
          </w:tcPr>
          <w:p w14:paraId="25B51B4C" w14:textId="77777777" w:rsidR="004C6421" w:rsidRDefault="009D1962">
            <w:pPr>
              <w:pStyle w:val="P68B1DB1-Normal4"/>
              <w:rPr>
                <w:noProof/>
              </w:rPr>
            </w:pPr>
            <w:r>
              <w:rPr>
                <w:noProof/>
              </w:rPr>
              <w:t>Wskaźnik ten odnosi się do liczby przeprowadzonych interwencji, czego dowodem jest certyfikacja regularnego wykonywania prac.</w:t>
            </w:r>
          </w:p>
          <w:p w14:paraId="2FE50602" w14:textId="77777777" w:rsidR="004C6421" w:rsidRDefault="009D1962">
            <w:pPr>
              <w:pStyle w:val="P68B1DB1-Normal4"/>
              <w:rPr>
                <w:noProof/>
              </w:rPr>
            </w:pPr>
            <w:r>
              <w:rPr>
                <w:noProof/>
              </w:rPr>
              <w:t>Rodzaje interwencji, które należy zakończyć, obejmują:</w:t>
            </w:r>
          </w:p>
          <w:p w14:paraId="00243493" w14:textId="77777777" w:rsidR="004C6421" w:rsidRDefault="009D1962">
            <w:pPr>
              <w:ind w:left="315" w:hanging="315"/>
              <w:rPr>
                <w:rFonts w:ascii="Arial Narrow" w:hAnsi="Arial Narrow"/>
                <w:noProof/>
                <w:color w:val="006100"/>
                <w:sz w:val="20"/>
              </w:rPr>
            </w:pPr>
            <w:r>
              <w:rPr>
                <w:rFonts w:ascii="Arial Narrow" w:hAnsi="Arial Narrow"/>
                <w:noProof/>
                <w:color w:val="006100"/>
                <w:sz w:val="20"/>
              </w:rPr>
              <w:t>-</w:t>
            </w:r>
            <w:r>
              <w:rPr>
                <w:noProof/>
              </w:rPr>
              <w:t xml:space="preserve"> </w:t>
            </w:r>
            <w:r>
              <w:rPr>
                <w:rFonts w:ascii="Arial Narrow" w:hAnsi="Arial Narrow"/>
                <w:noProof/>
                <w:color w:val="006100"/>
                <w:sz w:val="20"/>
              </w:rPr>
              <w:t>planowanie techniczne i ekonomiczno-finansowe, audyty energetyczne, wstępne analizy środowiskowe, ocena oddziaływania na środowisko, ulgi i oceny mające na celu identyfikację kluczowych kwestii, określenie wynikających z nich interwencji na rzecz poprawy charakterystyki energetycznej;</w:t>
            </w:r>
          </w:p>
          <w:p w14:paraId="0801A793" w14:textId="77777777" w:rsidR="004C6421" w:rsidRDefault="009D1962">
            <w:pPr>
              <w:ind w:left="315" w:hanging="315"/>
              <w:rPr>
                <w:rFonts w:ascii="Arial Narrow" w:hAnsi="Arial Narrow"/>
                <w:noProof/>
                <w:color w:val="006100"/>
                <w:sz w:val="20"/>
              </w:rPr>
            </w:pPr>
            <w:r>
              <w:rPr>
                <w:rFonts w:ascii="Arial Narrow" w:hAnsi="Arial Narrow"/>
                <w:noProof/>
                <w:color w:val="006100"/>
                <w:sz w:val="20"/>
              </w:rPr>
              <w:t>-</w:t>
            </w:r>
            <w:r>
              <w:rPr>
                <w:noProof/>
              </w:rPr>
              <w:t xml:space="preserve"> </w:t>
            </w:r>
            <w:r>
              <w:rPr>
                <w:rFonts w:ascii="Arial Narrow" w:hAnsi="Arial Narrow"/>
                <w:noProof/>
                <w:color w:val="006100"/>
                <w:sz w:val="20"/>
              </w:rPr>
              <w:t>wystąpienia dotyczące przegród zewnętrznych budynku;</w:t>
            </w:r>
          </w:p>
          <w:p w14:paraId="42866069" w14:textId="77777777" w:rsidR="004C6421" w:rsidRDefault="009D1962">
            <w:pPr>
              <w:ind w:left="315" w:hanging="315"/>
              <w:rPr>
                <w:rFonts w:ascii="Arial Narrow" w:hAnsi="Arial Narrow"/>
                <w:noProof/>
                <w:color w:val="006100"/>
                <w:sz w:val="20"/>
              </w:rPr>
            </w:pPr>
            <w:r>
              <w:rPr>
                <w:rFonts w:ascii="Arial Narrow" w:hAnsi="Arial Narrow"/>
                <w:noProof/>
                <w:color w:val="006100"/>
                <w:sz w:val="20"/>
              </w:rPr>
              <w:t>-</w:t>
            </w:r>
            <w:r>
              <w:rPr>
                <w:noProof/>
              </w:rPr>
              <w:t xml:space="preserve"> </w:t>
            </w:r>
            <w:r>
              <w:rPr>
                <w:rFonts w:ascii="Arial Narrow" w:hAnsi="Arial Narrow"/>
                <w:noProof/>
                <w:color w:val="006100"/>
                <w:sz w:val="20"/>
              </w:rPr>
              <w:t>interwencje polegające na wymianie/nabyciu sprzętu, narzędzi, systemów, urządzeń, cyfrowego oprogramowania użytkowego, a także akcesoriów służących do ich eksploatacji, nabywania patentów, licencji i know-how;</w:t>
            </w:r>
          </w:p>
          <w:p w14:paraId="382D723B" w14:textId="77777777" w:rsidR="004C6421" w:rsidRDefault="009D1962">
            <w:pPr>
              <w:ind w:left="315" w:hanging="315"/>
              <w:rPr>
                <w:rFonts w:ascii="Arial Narrow" w:hAnsi="Arial Narrow"/>
                <w:noProof/>
                <w:color w:val="006100"/>
                <w:sz w:val="20"/>
              </w:rPr>
            </w:pPr>
            <w:r>
              <w:rPr>
                <w:rFonts w:ascii="Arial Narrow" w:hAnsi="Arial Narrow"/>
                <w:noProof/>
                <w:color w:val="006100"/>
                <w:sz w:val="20"/>
              </w:rPr>
              <w:t>-</w:t>
            </w:r>
            <w:r>
              <w:rPr>
                <w:noProof/>
              </w:rPr>
              <w:t xml:space="preserve"> </w:t>
            </w:r>
            <w:r>
              <w:rPr>
                <w:rFonts w:ascii="Arial Narrow" w:hAnsi="Arial Narrow"/>
                <w:noProof/>
                <w:color w:val="006100"/>
                <w:sz w:val="20"/>
              </w:rPr>
              <w:t>instalacja inteligentnych systemów zdalnej kontroli, regulacji, zarządzania, monitorowania i optymalizacji zużycia energii (inteligentne budynki) i emisji zanieczyszczeń, również poprzez wykorzystanie koszyków technologicznych.</w:t>
            </w:r>
          </w:p>
        </w:tc>
      </w:tr>
      <w:tr w:rsidR="004C6421" w14:paraId="100409C7" w14:textId="77777777">
        <w:trPr>
          <w:trHeight w:val="309"/>
          <w:jc w:val="center"/>
        </w:trPr>
        <w:tc>
          <w:tcPr>
            <w:tcW w:w="366" w:type="pct"/>
            <w:shd w:val="clear" w:color="auto" w:fill="C6EFCE"/>
            <w:noWrap/>
            <w:vAlign w:val="center"/>
            <w:hideMark/>
          </w:tcPr>
          <w:p w14:paraId="5D1AAC03" w14:textId="77777777" w:rsidR="004C6421" w:rsidRDefault="009D1962">
            <w:pPr>
              <w:pStyle w:val="P68B1DB1-Normal4"/>
              <w:jc w:val="center"/>
              <w:rPr>
                <w:noProof/>
              </w:rPr>
            </w:pPr>
            <w:r>
              <w:rPr>
                <w:noProof/>
              </w:rPr>
              <w:t>M1C3-5</w:t>
            </w:r>
          </w:p>
        </w:tc>
        <w:tc>
          <w:tcPr>
            <w:tcW w:w="460" w:type="pct"/>
            <w:shd w:val="clear" w:color="auto" w:fill="C6EFCE"/>
            <w:noWrap/>
            <w:vAlign w:val="center"/>
            <w:hideMark/>
          </w:tcPr>
          <w:p w14:paraId="6345CDA6" w14:textId="77777777" w:rsidR="004C6421" w:rsidRDefault="009D1962">
            <w:pPr>
              <w:pStyle w:val="P68B1DB1-Normal4"/>
              <w:jc w:val="center"/>
              <w:rPr>
                <w:noProof/>
              </w:rPr>
            </w:pPr>
            <w:r>
              <w:rPr>
                <w:noProof/>
              </w:rPr>
              <w:t>Inwestycje – 1.3 Poprawa efektywności energetycznej w kinach, teatrach i muzeach</w:t>
            </w:r>
          </w:p>
        </w:tc>
        <w:tc>
          <w:tcPr>
            <w:tcW w:w="368" w:type="pct"/>
            <w:shd w:val="clear" w:color="auto" w:fill="C6EFCE"/>
            <w:noWrap/>
            <w:vAlign w:val="center"/>
            <w:hideMark/>
          </w:tcPr>
          <w:p w14:paraId="07EF3BFD" w14:textId="77777777" w:rsidR="004C6421" w:rsidRDefault="009D1962">
            <w:pPr>
              <w:pStyle w:val="P68B1DB1-Normal4"/>
              <w:jc w:val="center"/>
              <w:rPr>
                <w:noProof/>
              </w:rPr>
            </w:pPr>
            <w:r>
              <w:rPr>
                <w:noProof/>
              </w:rPr>
              <w:t>Cel</w:t>
            </w:r>
          </w:p>
        </w:tc>
        <w:tc>
          <w:tcPr>
            <w:tcW w:w="436" w:type="pct"/>
            <w:shd w:val="clear" w:color="auto" w:fill="C6EFCE"/>
            <w:noWrap/>
            <w:vAlign w:val="center"/>
            <w:hideMark/>
          </w:tcPr>
          <w:p w14:paraId="7FDD14D9" w14:textId="77777777" w:rsidR="004C6421" w:rsidRDefault="009D1962">
            <w:pPr>
              <w:pStyle w:val="P68B1DB1-Normal4"/>
              <w:jc w:val="center"/>
              <w:rPr>
                <w:noProof/>
              </w:rPr>
            </w:pPr>
            <w:r>
              <w:rPr>
                <w:noProof/>
              </w:rPr>
              <w:t>Zakończono interwencje dotyczące muzeów państwowych i obiektów kultury, sal teatralnych i kin (druga partia)</w:t>
            </w:r>
          </w:p>
        </w:tc>
        <w:tc>
          <w:tcPr>
            <w:tcW w:w="520" w:type="pct"/>
            <w:shd w:val="clear" w:color="auto" w:fill="C6EFCE"/>
            <w:noWrap/>
            <w:vAlign w:val="center"/>
            <w:hideMark/>
          </w:tcPr>
          <w:p w14:paraId="5F75D505" w14:textId="77777777" w:rsidR="004C6421" w:rsidRDefault="009D1962">
            <w:pPr>
              <w:pStyle w:val="P68B1DB1-Normal4"/>
              <w:jc w:val="center"/>
              <w:rPr>
                <w:noProof/>
              </w:rPr>
            </w:pPr>
            <w:r>
              <w:rPr>
                <w:noProof/>
              </w:rPr>
              <w:t>NIE DOT.</w:t>
            </w:r>
          </w:p>
        </w:tc>
        <w:tc>
          <w:tcPr>
            <w:tcW w:w="368" w:type="pct"/>
            <w:shd w:val="clear" w:color="auto" w:fill="C6EFCE"/>
            <w:noWrap/>
            <w:vAlign w:val="center"/>
            <w:hideMark/>
          </w:tcPr>
          <w:p w14:paraId="467A1B53" w14:textId="77777777" w:rsidR="004C6421" w:rsidRDefault="009D1962">
            <w:pPr>
              <w:pStyle w:val="P68B1DB1-Normal4"/>
              <w:jc w:val="center"/>
              <w:rPr>
                <w:noProof/>
              </w:rPr>
            </w:pPr>
            <w:r>
              <w:rPr>
                <w:noProof/>
              </w:rPr>
              <w:t>Numer</w:t>
            </w:r>
          </w:p>
        </w:tc>
        <w:tc>
          <w:tcPr>
            <w:tcW w:w="368" w:type="pct"/>
            <w:shd w:val="clear" w:color="auto" w:fill="C6EFCE"/>
            <w:noWrap/>
            <w:vAlign w:val="center"/>
            <w:hideMark/>
          </w:tcPr>
          <w:p w14:paraId="55771851" w14:textId="77777777" w:rsidR="004C6421" w:rsidRDefault="009D1962">
            <w:pPr>
              <w:pStyle w:val="P68B1DB1-Normal4"/>
              <w:jc w:val="center"/>
              <w:rPr>
                <w:noProof/>
              </w:rPr>
            </w:pPr>
            <w:r>
              <w:rPr>
                <w:noProof/>
              </w:rPr>
              <w:t>0</w:t>
            </w:r>
          </w:p>
        </w:tc>
        <w:tc>
          <w:tcPr>
            <w:tcW w:w="377" w:type="pct"/>
            <w:shd w:val="clear" w:color="auto" w:fill="C6EFCE"/>
            <w:noWrap/>
            <w:vAlign w:val="center"/>
            <w:hideMark/>
          </w:tcPr>
          <w:p w14:paraId="54ECBB1C" w14:textId="77777777" w:rsidR="004C6421" w:rsidRDefault="009D1962">
            <w:pPr>
              <w:pStyle w:val="P68B1DB1-Normal4"/>
              <w:jc w:val="center"/>
              <w:rPr>
                <w:noProof/>
              </w:rPr>
            </w:pPr>
            <w:r>
              <w:rPr>
                <w:noProof/>
              </w:rPr>
              <w:t>420</w:t>
            </w:r>
          </w:p>
        </w:tc>
        <w:tc>
          <w:tcPr>
            <w:tcW w:w="321" w:type="pct"/>
            <w:shd w:val="clear" w:color="auto" w:fill="C6EFCE"/>
            <w:noWrap/>
            <w:vAlign w:val="center"/>
            <w:hideMark/>
          </w:tcPr>
          <w:p w14:paraId="18D2F94A" w14:textId="1B62F2F5" w:rsidR="004C6421" w:rsidRDefault="00CC179E">
            <w:pPr>
              <w:pStyle w:val="P68B1DB1-Normal4"/>
              <w:jc w:val="center"/>
              <w:rPr>
                <w:noProof/>
              </w:rPr>
            </w:pPr>
            <w:r>
              <w:rPr>
                <w:noProof/>
              </w:rPr>
              <w:t>KW. 4</w:t>
            </w:r>
          </w:p>
        </w:tc>
        <w:tc>
          <w:tcPr>
            <w:tcW w:w="224" w:type="pct"/>
            <w:shd w:val="clear" w:color="auto" w:fill="C6EFCE"/>
            <w:noWrap/>
            <w:vAlign w:val="center"/>
            <w:hideMark/>
          </w:tcPr>
          <w:p w14:paraId="70B256BC" w14:textId="77777777" w:rsidR="004C6421" w:rsidRDefault="009D1962">
            <w:pPr>
              <w:pStyle w:val="P68B1DB1-Normal4"/>
              <w:jc w:val="center"/>
              <w:rPr>
                <w:noProof/>
              </w:rPr>
            </w:pPr>
            <w:r>
              <w:rPr>
                <w:noProof/>
              </w:rPr>
              <w:t>2025</w:t>
            </w:r>
          </w:p>
        </w:tc>
        <w:tc>
          <w:tcPr>
            <w:tcW w:w="1192" w:type="pct"/>
            <w:shd w:val="clear" w:color="auto" w:fill="C6EFCE"/>
            <w:noWrap/>
            <w:vAlign w:val="center"/>
            <w:hideMark/>
          </w:tcPr>
          <w:p w14:paraId="04B655BF" w14:textId="77777777" w:rsidR="004C6421" w:rsidRDefault="009D1962">
            <w:pPr>
              <w:pStyle w:val="P68B1DB1-Normal4"/>
              <w:rPr>
                <w:noProof/>
              </w:rPr>
            </w:pPr>
            <w:r>
              <w:rPr>
                <w:noProof/>
              </w:rPr>
              <w:t>Wskaźnik ten odnosi się do 55 interwencji dotyczących muzeów państwowych i obiektów kultury, 230 hal teatralnych i 135 kin zakończonych certyfikacją regularnej realizacji prac.</w:t>
            </w:r>
          </w:p>
          <w:p w14:paraId="62044625" w14:textId="77777777" w:rsidR="004C6421" w:rsidRDefault="009D1962">
            <w:pPr>
              <w:pStyle w:val="P68B1DB1-Normal4"/>
              <w:rPr>
                <w:noProof/>
              </w:rPr>
            </w:pPr>
            <w:r>
              <w:rPr>
                <w:noProof/>
              </w:rPr>
              <w:t>Rodzaje interwencji, które należy zakończyć, obejmują:</w:t>
            </w:r>
          </w:p>
          <w:p w14:paraId="5903D766" w14:textId="77777777" w:rsidR="004C6421" w:rsidRDefault="009D1962">
            <w:pPr>
              <w:ind w:left="173" w:hanging="173"/>
              <w:rPr>
                <w:rFonts w:ascii="Arial Narrow" w:hAnsi="Arial Narrow"/>
                <w:noProof/>
                <w:color w:val="006100"/>
                <w:sz w:val="20"/>
              </w:rPr>
            </w:pPr>
            <w:r>
              <w:rPr>
                <w:rFonts w:ascii="Arial Narrow" w:hAnsi="Arial Narrow"/>
                <w:noProof/>
                <w:color w:val="006100"/>
                <w:sz w:val="20"/>
              </w:rPr>
              <w:t>-</w:t>
            </w:r>
            <w:r>
              <w:rPr>
                <w:noProof/>
              </w:rPr>
              <w:t xml:space="preserve"> </w:t>
            </w:r>
            <w:r>
              <w:rPr>
                <w:rFonts w:ascii="Arial Narrow" w:hAnsi="Arial Narrow"/>
                <w:noProof/>
                <w:color w:val="006100"/>
                <w:sz w:val="20"/>
              </w:rPr>
              <w:t>planowanie techniczne i ekonomiczno-finansowe, audyty energetyczne, wstępne analizy środowiskowe, ocena oddziaływania na środowisko, ulgi i oceny mające na celu identyfikację kluczowych kwestii, określenie wynikających z nich interwencji na rzecz poprawy charakterystyki energetycznej;</w:t>
            </w:r>
          </w:p>
          <w:p w14:paraId="036B5BB8" w14:textId="77777777" w:rsidR="004C6421" w:rsidRDefault="009D1962">
            <w:pPr>
              <w:ind w:left="173" w:hanging="173"/>
              <w:rPr>
                <w:rFonts w:ascii="Arial Narrow" w:hAnsi="Arial Narrow"/>
                <w:noProof/>
                <w:color w:val="006100"/>
                <w:sz w:val="20"/>
              </w:rPr>
            </w:pPr>
            <w:r>
              <w:rPr>
                <w:rFonts w:ascii="Arial Narrow" w:hAnsi="Arial Narrow"/>
                <w:noProof/>
                <w:color w:val="006100"/>
                <w:sz w:val="20"/>
              </w:rPr>
              <w:t>-</w:t>
            </w:r>
            <w:r>
              <w:rPr>
                <w:noProof/>
              </w:rPr>
              <w:t xml:space="preserve"> </w:t>
            </w:r>
            <w:r>
              <w:rPr>
                <w:rFonts w:ascii="Arial Narrow" w:hAnsi="Arial Narrow"/>
                <w:noProof/>
                <w:color w:val="006100"/>
                <w:sz w:val="20"/>
              </w:rPr>
              <w:t>wystąpienia dotyczące przegród zewnętrznych budynku;</w:t>
            </w:r>
          </w:p>
          <w:p w14:paraId="48AA5864" w14:textId="77777777" w:rsidR="004C6421" w:rsidRDefault="009D1962">
            <w:pPr>
              <w:ind w:left="173" w:hanging="173"/>
              <w:rPr>
                <w:rFonts w:ascii="Arial Narrow" w:hAnsi="Arial Narrow"/>
                <w:noProof/>
                <w:color w:val="006100"/>
                <w:sz w:val="20"/>
              </w:rPr>
            </w:pPr>
            <w:r>
              <w:rPr>
                <w:rFonts w:ascii="Arial Narrow" w:hAnsi="Arial Narrow"/>
                <w:noProof/>
                <w:color w:val="006100"/>
                <w:sz w:val="20"/>
              </w:rPr>
              <w:t>-</w:t>
            </w:r>
            <w:r>
              <w:rPr>
                <w:noProof/>
              </w:rPr>
              <w:t xml:space="preserve"> </w:t>
            </w:r>
            <w:r>
              <w:rPr>
                <w:rFonts w:ascii="Arial Narrow" w:hAnsi="Arial Narrow"/>
                <w:noProof/>
                <w:color w:val="006100"/>
                <w:sz w:val="20"/>
              </w:rPr>
              <w:t>interwencje polegające na wymianie/nabyciu sprzętu, narzędzi, systemów, urządzeń, cyfrowego oprogramowania użytkowego, a także akcesoriów służących do ich eksploatacji, nabywania patentów, licencji i know-how;</w:t>
            </w:r>
          </w:p>
          <w:p w14:paraId="4A0DD729" w14:textId="77777777" w:rsidR="004C6421" w:rsidRDefault="009D1962">
            <w:pPr>
              <w:ind w:left="173" w:hanging="173"/>
              <w:rPr>
                <w:rFonts w:ascii="Arial Narrow" w:hAnsi="Arial Narrow"/>
                <w:noProof/>
                <w:color w:val="006100"/>
                <w:sz w:val="20"/>
              </w:rPr>
            </w:pPr>
            <w:r>
              <w:rPr>
                <w:rFonts w:ascii="Arial Narrow" w:hAnsi="Arial Narrow"/>
                <w:noProof/>
                <w:color w:val="006100"/>
                <w:sz w:val="20"/>
              </w:rPr>
              <w:t>-</w:t>
            </w:r>
            <w:r>
              <w:rPr>
                <w:noProof/>
              </w:rPr>
              <w:t xml:space="preserve"> </w:t>
            </w:r>
            <w:r>
              <w:rPr>
                <w:rFonts w:ascii="Arial Narrow" w:hAnsi="Arial Narrow"/>
                <w:noProof/>
                <w:color w:val="006100"/>
                <w:sz w:val="20"/>
              </w:rPr>
              <w:t>instalacja inteligentnych systemów zdalnej kontroli, regulacji, zarządzania, monitorowania i optymalizacji zużycia energii (inteligentne budynki) i emisji zanieczyszczeń, również poprzez wykorzystanie koszyków technologicznych.</w:t>
            </w:r>
          </w:p>
        </w:tc>
      </w:tr>
      <w:tr w:rsidR="004C6421" w14:paraId="04C50D75" w14:textId="77777777">
        <w:trPr>
          <w:trHeight w:val="309"/>
          <w:jc w:val="center"/>
        </w:trPr>
        <w:tc>
          <w:tcPr>
            <w:tcW w:w="366" w:type="pct"/>
            <w:shd w:val="clear" w:color="auto" w:fill="C6EFCE"/>
            <w:noWrap/>
            <w:vAlign w:val="center"/>
            <w:hideMark/>
          </w:tcPr>
          <w:p w14:paraId="05F7CE85" w14:textId="77777777" w:rsidR="004C6421" w:rsidRDefault="009D1962">
            <w:pPr>
              <w:pStyle w:val="P68B1DB1-Normal4"/>
              <w:jc w:val="center"/>
              <w:rPr>
                <w:noProof/>
              </w:rPr>
            </w:pPr>
            <w:r>
              <w:rPr>
                <w:noProof/>
              </w:rPr>
              <w:t>M1C3-6</w:t>
            </w:r>
          </w:p>
        </w:tc>
        <w:tc>
          <w:tcPr>
            <w:tcW w:w="460" w:type="pct"/>
            <w:shd w:val="clear" w:color="auto" w:fill="C6EFCE"/>
            <w:noWrap/>
            <w:vAlign w:val="center"/>
            <w:hideMark/>
          </w:tcPr>
          <w:p w14:paraId="0EBA72C6" w14:textId="77777777" w:rsidR="004C6421" w:rsidRDefault="009D1962">
            <w:pPr>
              <w:pStyle w:val="P68B1DB1-Normal4"/>
              <w:jc w:val="center"/>
              <w:rPr>
                <w:noProof/>
              </w:rPr>
            </w:pPr>
            <w:r>
              <w:rPr>
                <w:noProof/>
              </w:rPr>
              <w:t>Reforma – 3.1 Minimalne kryteria środowiskowe dotyczące wydarzeń kulturalnych</w:t>
            </w:r>
          </w:p>
        </w:tc>
        <w:tc>
          <w:tcPr>
            <w:tcW w:w="368" w:type="pct"/>
            <w:shd w:val="clear" w:color="auto" w:fill="C6EFCE"/>
            <w:noWrap/>
            <w:vAlign w:val="center"/>
            <w:hideMark/>
          </w:tcPr>
          <w:p w14:paraId="21D1E116" w14:textId="3E0F69FC" w:rsidR="004C6421" w:rsidRDefault="00CC179E">
            <w:pPr>
              <w:pStyle w:val="P68B1DB1-Normal4"/>
              <w:jc w:val="center"/>
              <w:rPr>
                <w:noProof/>
              </w:rPr>
            </w:pPr>
            <w:r>
              <w:rPr>
                <w:noProof/>
              </w:rPr>
              <w:t>Milowy</w:t>
            </w:r>
          </w:p>
        </w:tc>
        <w:tc>
          <w:tcPr>
            <w:tcW w:w="436" w:type="pct"/>
            <w:shd w:val="clear" w:color="auto" w:fill="C6EFCE"/>
            <w:noWrap/>
            <w:vAlign w:val="center"/>
            <w:hideMark/>
          </w:tcPr>
          <w:p w14:paraId="0BB4C397" w14:textId="77777777" w:rsidR="004C6421" w:rsidRDefault="009D1962">
            <w:pPr>
              <w:pStyle w:val="P68B1DB1-Normal4"/>
              <w:jc w:val="center"/>
              <w:rPr>
                <w:noProof/>
              </w:rPr>
            </w:pPr>
            <w:r>
              <w:rPr>
                <w:noProof/>
              </w:rPr>
              <w:t>Wejście w życie dekretu określającego kryteria społeczne i środowiskowe w zamówieniach publicznych na wydarzenia kulturalne finansowane ze środków publicznych</w:t>
            </w:r>
          </w:p>
        </w:tc>
        <w:tc>
          <w:tcPr>
            <w:tcW w:w="520" w:type="pct"/>
            <w:shd w:val="clear" w:color="auto" w:fill="C6EFCE"/>
            <w:noWrap/>
            <w:vAlign w:val="center"/>
            <w:hideMark/>
          </w:tcPr>
          <w:p w14:paraId="30C02CFB" w14:textId="77777777" w:rsidR="004C6421" w:rsidRDefault="009D1962">
            <w:pPr>
              <w:pStyle w:val="P68B1DB1-Normal4"/>
              <w:jc w:val="center"/>
              <w:rPr>
                <w:noProof/>
              </w:rPr>
            </w:pPr>
            <w:r>
              <w:rPr>
                <w:noProof/>
              </w:rPr>
              <w:t>Przepis dekretu wymieniający wejście w życie dekretu w sprawie przyjęcia minimalnych kryteriów środowiskowych dla wydarzeń kulturalnych NIE DOT.</w:t>
            </w:r>
          </w:p>
        </w:tc>
        <w:tc>
          <w:tcPr>
            <w:tcW w:w="368" w:type="pct"/>
            <w:shd w:val="clear" w:color="auto" w:fill="C6EFCE"/>
            <w:noWrap/>
            <w:vAlign w:val="center"/>
            <w:hideMark/>
          </w:tcPr>
          <w:p w14:paraId="578A6AB4" w14:textId="77777777" w:rsidR="004C6421" w:rsidRDefault="009D1962">
            <w:pPr>
              <w:pStyle w:val="P68B1DB1-Normal4"/>
              <w:jc w:val="center"/>
              <w:rPr>
                <w:noProof/>
              </w:rPr>
            </w:pPr>
            <w:r>
              <w:rPr>
                <w:noProof/>
              </w:rPr>
              <w:t>NIE DOT.</w:t>
            </w:r>
          </w:p>
        </w:tc>
        <w:tc>
          <w:tcPr>
            <w:tcW w:w="368" w:type="pct"/>
            <w:shd w:val="clear" w:color="auto" w:fill="C6EFCE"/>
            <w:noWrap/>
            <w:vAlign w:val="center"/>
            <w:hideMark/>
          </w:tcPr>
          <w:p w14:paraId="742C6D34" w14:textId="77777777" w:rsidR="004C6421" w:rsidRDefault="009D1962">
            <w:pPr>
              <w:pStyle w:val="P68B1DB1-Normal4"/>
              <w:jc w:val="center"/>
              <w:rPr>
                <w:noProof/>
              </w:rPr>
            </w:pPr>
            <w:r>
              <w:rPr>
                <w:noProof/>
              </w:rPr>
              <w:t>NIE DOT.</w:t>
            </w:r>
          </w:p>
        </w:tc>
        <w:tc>
          <w:tcPr>
            <w:tcW w:w="377" w:type="pct"/>
            <w:shd w:val="clear" w:color="auto" w:fill="C6EFCE"/>
            <w:noWrap/>
            <w:vAlign w:val="center"/>
            <w:hideMark/>
          </w:tcPr>
          <w:p w14:paraId="676660B8" w14:textId="77777777" w:rsidR="004C6421" w:rsidRDefault="009D1962">
            <w:pPr>
              <w:pStyle w:val="P68B1DB1-Normal4"/>
              <w:jc w:val="center"/>
              <w:rPr>
                <w:noProof/>
              </w:rPr>
            </w:pPr>
            <w:r>
              <w:rPr>
                <w:noProof/>
              </w:rPr>
              <w:t>NIE DOT.</w:t>
            </w:r>
          </w:p>
        </w:tc>
        <w:tc>
          <w:tcPr>
            <w:tcW w:w="321" w:type="pct"/>
            <w:shd w:val="clear" w:color="auto" w:fill="C6EFCE"/>
            <w:noWrap/>
            <w:vAlign w:val="center"/>
            <w:hideMark/>
          </w:tcPr>
          <w:p w14:paraId="5D99645C" w14:textId="7061BF3C" w:rsidR="004C6421" w:rsidRDefault="00CC179E">
            <w:pPr>
              <w:pStyle w:val="P68B1DB1-Normal4"/>
              <w:jc w:val="center"/>
              <w:rPr>
                <w:noProof/>
              </w:rPr>
            </w:pPr>
            <w:r>
              <w:rPr>
                <w:noProof/>
              </w:rPr>
              <w:t>KW. 4</w:t>
            </w:r>
          </w:p>
        </w:tc>
        <w:tc>
          <w:tcPr>
            <w:tcW w:w="224" w:type="pct"/>
            <w:shd w:val="clear" w:color="auto" w:fill="C6EFCE"/>
            <w:noWrap/>
            <w:vAlign w:val="center"/>
            <w:hideMark/>
          </w:tcPr>
          <w:p w14:paraId="60ABFE61" w14:textId="77777777" w:rsidR="004C6421" w:rsidRDefault="009D1962">
            <w:pPr>
              <w:pStyle w:val="P68B1DB1-Normal4"/>
              <w:jc w:val="center"/>
              <w:rPr>
                <w:noProof/>
              </w:rPr>
            </w:pPr>
            <w:r>
              <w:rPr>
                <w:noProof/>
              </w:rPr>
              <w:t>2022</w:t>
            </w:r>
          </w:p>
        </w:tc>
        <w:tc>
          <w:tcPr>
            <w:tcW w:w="1192" w:type="pct"/>
            <w:shd w:val="clear" w:color="auto" w:fill="C6EFCE"/>
            <w:noWrap/>
            <w:vAlign w:val="center"/>
            <w:hideMark/>
          </w:tcPr>
          <w:p w14:paraId="414AAABA" w14:textId="77777777" w:rsidR="004C6421" w:rsidRDefault="009D1962">
            <w:pPr>
              <w:pStyle w:val="P68B1DB1-Normal4"/>
              <w:rPr>
                <w:noProof/>
              </w:rPr>
            </w:pPr>
            <w:r>
              <w:rPr>
                <w:noProof/>
              </w:rPr>
              <w:t>Kryteria przyjmuje się w odniesieniu do następujących aspektów: ograniczenie wykorzystania papieru i druków, stosowanie materiałów przyjaznych dla środowiska, konfiguracja etapów z materiałami pochodzącymi z recyklingu i ponownego wykorzystania oraz zrównoważone wyposażenie, gadżety o niskim wpływie na środowisko, wybór lokalizacji w oparciu o ochronę różnorodności biologicznej, usługi gastronomiczne o niewielkim wpływie na środowisko, transport w celu dotarcia do wydarzenia i transport materiałów, zużycie energii na potrzeby organizacji wydarzenia.</w:t>
            </w:r>
          </w:p>
          <w:p w14:paraId="68847317" w14:textId="77777777" w:rsidR="004C6421" w:rsidRDefault="009D1962">
            <w:pPr>
              <w:pStyle w:val="P68B1DB1-Normal4"/>
              <w:rPr>
                <w:noProof/>
              </w:rPr>
            </w:pPr>
            <w:r>
              <w:rPr>
                <w:noProof/>
              </w:rPr>
              <w:t>Kryteria społeczne promujące dostępność i włączenie społeczne obejmują: promowanie dostępności dla osób niepełnosprawnych; promowanie możliwości zatrudnienia młodzieży, osób długotrwale bezrobotnych, osób należących do grup defaworyzowanych (takich jak pracownicy migrujący i mniejszości etniczne) oraz osób niepełnosprawnych; zapewnienie równego dostępu do zamówień przedsiębiorstwom, których właściciele lub pracownicy należą do grup etnicznych lub mniejszościowych, takich jak spółdzielnie, przedsiębiorstwa społeczne i organizacje nienastawione na zysk; promowanie godnej pracy rozumianej jako prawo do produktywnej i swobodnie wybranej pracy, do podstawowych zasad i praw w pracy, do godnego wynagrodzenia, ochrony socjalnej i dialogu społecznego.</w:t>
            </w:r>
          </w:p>
          <w:p w14:paraId="3C402B2C" w14:textId="77777777" w:rsidR="004C6421" w:rsidRDefault="009D1962">
            <w:pPr>
              <w:pStyle w:val="P68B1DB1-Normal4"/>
              <w:rPr>
                <w:noProof/>
              </w:rPr>
            </w:pPr>
            <w:r>
              <w:rPr>
                <w:noProof/>
              </w:rPr>
              <w:t>Reforma obejmuje wydarzenia kulturalne, takie jak wystawy, festiwale i imprezy widowiskowe.</w:t>
            </w:r>
          </w:p>
        </w:tc>
      </w:tr>
      <w:tr w:rsidR="004C6421" w14:paraId="01B2D9D0" w14:textId="77777777">
        <w:trPr>
          <w:trHeight w:val="309"/>
          <w:jc w:val="center"/>
        </w:trPr>
        <w:tc>
          <w:tcPr>
            <w:tcW w:w="366" w:type="pct"/>
            <w:shd w:val="clear" w:color="auto" w:fill="C6EFCE"/>
            <w:noWrap/>
            <w:vAlign w:val="center"/>
            <w:hideMark/>
          </w:tcPr>
          <w:p w14:paraId="16A1E626" w14:textId="77777777" w:rsidR="004C6421" w:rsidRDefault="009D1962">
            <w:pPr>
              <w:pStyle w:val="P68B1DB1-Normal4"/>
              <w:jc w:val="center"/>
              <w:rPr>
                <w:noProof/>
              </w:rPr>
            </w:pPr>
            <w:r>
              <w:rPr>
                <w:noProof/>
              </w:rPr>
              <w:t>M1C3-7</w:t>
            </w:r>
          </w:p>
        </w:tc>
        <w:tc>
          <w:tcPr>
            <w:tcW w:w="460" w:type="pct"/>
            <w:shd w:val="clear" w:color="auto" w:fill="C6EFCE"/>
            <w:noWrap/>
            <w:vAlign w:val="center"/>
            <w:hideMark/>
          </w:tcPr>
          <w:p w14:paraId="5C06EC76" w14:textId="77777777" w:rsidR="004C6421" w:rsidRDefault="009D1962">
            <w:pPr>
              <w:pStyle w:val="P68B1DB1-Normal4"/>
              <w:jc w:val="center"/>
              <w:rPr>
                <w:noProof/>
              </w:rPr>
            </w:pPr>
            <w:r>
              <w:rPr>
                <w:noProof/>
              </w:rPr>
              <w:t>Inwestycje – 3.3 Budowanie potencjału podmiotów działających w dziedzinie kultury w celu zarządzania transformacją cyfrową i ekologiczną.</w:t>
            </w:r>
          </w:p>
        </w:tc>
        <w:tc>
          <w:tcPr>
            <w:tcW w:w="368" w:type="pct"/>
            <w:shd w:val="clear" w:color="auto" w:fill="C6EFCE"/>
            <w:noWrap/>
            <w:vAlign w:val="center"/>
            <w:hideMark/>
          </w:tcPr>
          <w:p w14:paraId="10AA4E9A" w14:textId="70F26711" w:rsidR="004C6421" w:rsidRDefault="00CC179E">
            <w:pPr>
              <w:pStyle w:val="P68B1DB1-Normal4"/>
              <w:jc w:val="center"/>
              <w:rPr>
                <w:noProof/>
              </w:rPr>
            </w:pPr>
            <w:r>
              <w:rPr>
                <w:noProof/>
              </w:rPr>
              <w:t>Milowy</w:t>
            </w:r>
          </w:p>
        </w:tc>
        <w:tc>
          <w:tcPr>
            <w:tcW w:w="436" w:type="pct"/>
            <w:shd w:val="clear" w:color="auto" w:fill="C6EFCE"/>
            <w:noWrap/>
            <w:vAlign w:val="center"/>
            <w:hideMark/>
          </w:tcPr>
          <w:p w14:paraId="7096145A" w14:textId="77777777" w:rsidR="004C6421" w:rsidRDefault="009D1962">
            <w:pPr>
              <w:pStyle w:val="P68B1DB1-Normal4"/>
              <w:jc w:val="center"/>
              <w:rPr>
                <w:noProof/>
              </w:rPr>
            </w:pPr>
            <w:r>
              <w:rPr>
                <w:noProof/>
              </w:rPr>
              <w:t>Udzielanie wszystkich zamówień publicznych z organizacją wdrażającą/beneficjentami w odniesieniu do wszystkich interwencji mających na celu zarządzanie transformacją cyfrową i ekologiczną podmiotów działających w sektorze kultury</w:t>
            </w:r>
          </w:p>
        </w:tc>
        <w:tc>
          <w:tcPr>
            <w:tcW w:w="520" w:type="pct"/>
            <w:shd w:val="clear" w:color="auto" w:fill="C6EFCE"/>
            <w:noWrap/>
            <w:vAlign w:val="center"/>
            <w:hideMark/>
          </w:tcPr>
          <w:p w14:paraId="4897B98E" w14:textId="77777777" w:rsidR="004C6421" w:rsidRDefault="009D1962">
            <w:pPr>
              <w:pStyle w:val="P68B1DB1-Normal4"/>
              <w:jc w:val="center"/>
              <w:rPr>
                <w:noProof/>
              </w:rPr>
            </w:pPr>
            <w:r>
              <w:rPr>
                <w:noProof/>
              </w:rPr>
              <w:t>Powiadomienie o udzieleniu wszystkich zamówień publicznych dla organizacji i sieci, które są odpowiedzialne za realizację działań w zakresie budowania zdolności NIE DOT.</w:t>
            </w:r>
          </w:p>
        </w:tc>
        <w:tc>
          <w:tcPr>
            <w:tcW w:w="368" w:type="pct"/>
            <w:shd w:val="clear" w:color="auto" w:fill="C6EFCE"/>
            <w:noWrap/>
            <w:vAlign w:val="center"/>
            <w:hideMark/>
          </w:tcPr>
          <w:p w14:paraId="7FB655F9" w14:textId="77777777" w:rsidR="004C6421" w:rsidRDefault="009D1962">
            <w:pPr>
              <w:pStyle w:val="P68B1DB1-Normal4"/>
              <w:jc w:val="center"/>
              <w:rPr>
                <w:noProof/>
              </w:rPr>
            </w:pPr>
            <w:r>
              <w:rPr>
                <w:noProof/>
              </w:rPr>
              <w:t>NIE DOT.</w:t>
            </w:r>
          </w:p>
        </w:tc>
        <w:tc>
          <w:tcPr>
            <w:tcW w:w="368" w:type="pct"/>
            <w:shd w:val="clear" w:color="auto" w:fill="C6EFCE"/>
            <w:noWrap/>
            <w:vAlign w:val="center"/>
            <w:hideMark/>
          </w:tcPr>
          <w:p w14:paraId="110D260C" w14:textId="77777777" w:rsidR="004C6421" w:rsidRDefault="009D1962">
            <w:pPr>
              <w:pStyle w:val="P68B1DB1-Normal4"/>
              <w:jc w:val="center"/>
              <w:rPr>
                <w:noProof/>
              </w:rPr>
            </w:pPr>
            <w:r>
              <w:rPr>
                <w:noProof/>
              </w:rPr>
              <w:t>NIE DOT.</w:t>
            </w:r>
          </w:p>
        </w:tc>
        <w:tc>
          <w:tcPr>
            <w:tcW w:w="377" w:type="pct"/>
            <w:shd w:val="clear" w:color="auto" w:fill="C6EFCE"/>
            <w:noWrap/>
            <w:vAlign w:val="center"/>
            <w:hideMark/>
          </w:tcPr>
          <w:p w14:paraId="4079661D" w14:textId="77777777" w:rsidR="004C6421" w:rsidRDefault="009D1962">
            <w:pPr>
              <w:pStyle w:val="P68B1DB1-Normal4"/>
              <w:jc w:val="center"/>
              <w:rPr>
                <w:noProof/>
              </w:rPr>
            </w:pPr>
            <w:r>
              <w:rPr>
                <w:noProof/>
              </w:rPr>
              <w:t>NIE DOT.</w:t>
            </w:r>
          </w:p>
        </w:tc>
        <w:tc>
          <w:tcPr>
            <w:tcW w:w="321" w:type="pct"/>
            <w:shd w:val="clear" w:color="auto" w:fill="C6EFCE"/>
            <w:noWrap/>
            <w:vAlign w:val="center"/>
            <w:hideMark/>
          </w:tcPr>
          <w:p w14:paraId="0C4F3284" w14:textId="1E68E433" w:rsidR="004C6421" w:rsidRDefault="00CC179E">
            <w:pPr>
              <w:pStyle w:val="P68B1DB1-Normal4"/>
              <w:jc w:val="center"/>
              <w:rPr>
                <w:noProof/>
              </w:rPr>
            </w:pPr>
            <w:r>
              <w:rPr>
                <w:noProof/>
              </w:rPr>
              <w:t>KW. 4</w:t>
            </w:r>
          </w:p>
        </w:tc>
        <w:tc>
          <w:tcPr>
            <w:tcW w:w="224" w:type="pct"/>
            <w:shd w:val="clear" w:color="auto" w:fill="C6EFCE"/>
            <w:noWrap/>
            <w:vAlign w:val="center"/>
            <w:hideMark/>
          </w:tcPr>
          <w:p w14:paraId="5551AC79" w14:textId="77777777" w:rsidR="004C6421" w:rsidRDefault="009D1962">
            <w:pPr>
              <w:pStyle w:val="P68B1DB1-Normal4"/>
              <w:jc w:val="center"/>
              <w:rPr>
                <w:noProof/>
              </w:rPr>
            </w:pPr>
            <w:r>
              <w:rPr>
                <w:noProof/>
              </w:rPr>
              <w:t>2023</w:t>
            </w:r>
          </w:p>
        </w:tc>
        <w:tc>
          <w:tcPr>
            <w:tcW w:w="1192" w:type="pct"/>
            <w:shd w:val="clear" w:color="auto" w:fill="C6EFCE"/>
            <w:noWrap/>
            <w:vAlign w:val="center"/>
            <w:hideMark/>
          </w:tcPr>
          <w:p w14:paraId="3952727A" w14:textId="77777777" w:rsidR="004C6421" w:rsidRDefault="009D1962">
            <w:pPr>
              <w:pStyle w:val="P68B1DB1-Normal4"/>
              <w:rPr>
                <w:noProof/>
              </w:rPr>
            </w:pPr>
            <w:r>
              <w:rPr>
                <w:noProof/>
              </w:rPr>
              <w:t>Wybrane organy wykonawcze są wyspecjalizowanymi organizacjami lub sieciami posiadającymi umiejętności i doświadczenie zarówno w dziedzinie szkolenia, jak i w dziedzinie produkcji kulturalnej, środowiska, zarządzania kulturą i szkoleń.</w:t>
            </w:r>
          </w:p>
          <w:p w14:paraId="2AFE87F7" w14:textId="77777777" w:rsidR="004C6421" w:rsidRDefault="009D1962">
            <w:pPr>
              <w:pStyle w:val="P68B1DB1-Normal4"/>
              <w:rPr>
                <w:noProof/>
              </w:rPr>
            </w:pPr>
            <w:r>
              <w:rPr>
                <w:noProof/>
              </w:rPr>
              <w:t>Powiadomienie o udzieleniu wszystkich zamówień publicznych w odniesieniu do projektów wybranych w ramach konkurencyjnych zaproszeń do składania wniosków musi być zgodne z wytycznymi technicznymi dotyczącymi zasady „nie czyń poważnych szkód” (2021/C58/01) poprzez wykorzystanie wykazu wykluczenia oraz wymóg zgodności z odpowiednimi unijnymi i krajowymi przepisami w zakresie ochrony środowiska.</w:t>
            </w:r>
          </w:p>
        </w:tc>
      </w:tr>
      <w:tr w:rsidR="004C6421" w14:paraId="539E976D" w14:textId="77777777">
        <w:trPr>
          <w:trHeight w:val="309"/>
          <w:jc w:val="center"/>
        </w:trPr>
        <w:tc>
          <w:tcPr>
            <w:tcW w:w="366" w:type="pct"/>
            <w:shd w:val="clear" w:color="auto" w:fill="C6EFCE"/>
            <w:noWrap/>
            <w:vAlign w:val="center"/>
            <w:hideMark/>
          </w:tcPr>
          <w:p w14:paraId="455AB430" w14:textId="77777777" w:rsidR="004C6421" w:rsidRDefault="009D1962">
            <w:pPr>
              <w:pStyle w:val="P68B1DB1-Normal4"/>
              <w:jc w:val="center"/>
              <w:rPr>
                <w:noProof/>
              </w:rPr>
            </w:pPr>
            <w:r>
              <w:rPr>
                <w:noProof/>
              </w:rPr>
              <w:t>M1C3-8</w:t>
            </w:r>
          </w:p>
        </w:tc>
        <w:tc>
          <w:tcPr>
            <w:tcW w:w="460" w:type="pct"/>
            <w:shd w:val="clear" w:color="auto" w:fill="C6EFCE"/>
            <w:noWrap/>
            <w:vAlign w:val="center"/>
            <w:hideMark/>
          </w:tcPr>
          <w:p w14:paraId="43BF750C" w14:textId="77777777" w:rsidR="004C6421" w:rsidRDefault="009D1962">
            <w:pPr>
              <w:pStyle w:val="P68B1DB1-Normal4"/>
              <w:jc w:val="center"/>
              <w:rPr>
                <w:noProof/>
              </w:rPr>
            </w:pPr>
            <w:r>
              <w:rPr>
                <w:noProof/>
              </w:rPr>
              <w:t>Inwestycje – 4.1 Centrum turystyki cyfrowej</w:t>
            </w:r>
          </w:p>
        </w:tc>
        <w:tc>
          <w:tcPr>
            <w:tcW w:w="368" w:type="pct"/>
            <w:shd w:val="clear" w:color="auto" w:fill="C6EFCE"/>
            <w:noWrap/>
            <w:vAlign w:val="center"/>
            <w:hideMark/>
          </w:tcPr>
          <w:p w14:paraId="22FA3583" w14:textId="39073718" w:rsidR="004C6421" w:rsidRDefault="00CC179E">
            <w:pPr>
              <w:pStyle w:val="P68B1DB1-Normal4"/>
              <w:jc w:val="center"/>
              <w:rPr>
                <w:noProof/>
              </w:rPr>
            </w:pPr>
            <w:r>
              <w:rPr>
                <w:noProof/>
              </w:rPr>
              <w:t>Milowy</w:t>
            </w:r>
          </w:p>
        </w:tc>
        <w:tc>
          <w:tcPr>
            <w:tcW w:w="436" w:type="pct"/>
            <w:shd w:val="clear" w:color="auto" w:fill="C6EFCE"/>
            <w:noWrap/>
            <w:vAlign w:val="center"/>
            <w:hideMark/>
          </w:tcPr>
          <w:p w14:paraId="73E3A87F" w14:textId="77777777" w:rsidR="004C6421" w:rsidRDefault="009D1962">
            <w:pPr>
              <w:pStyle w:val="P68B1DB1-Normal4"/>
              <w:jc w:val="center"/>
              <w:rPr>
                <w:noProof/>
              </w:rPr>
            </w:pPr>
            <w:r>
              <w:rPr>
                <w:noProof/>
              </w:rPr>
              <w:t>Udzielanie zamówień na rozwój portalu turystyki cyfrowej</w:t>
            </w:r>
          </w:p>
        </w:tc>
        <w:tc>
          <w:tcPr>
            <w:tcW w:w="520" w:type="pct"/>
            <w:shd w:val="clear" w:color="auto" w:fill="C6EFCE"/>
            <w:noWrap/>
            <w:vAlign w:val="center"/>
            <w:hideMark/>
          </w:tcPr>
          <w:p w14:paraId="7FC3FC08" w14:textId="77777777" w:rsidR="004C6421" w:rsidRDefault="009D1962">
            <w:pPr>
              <w:pStyle w:val="P68B1DB1-Normal4"/>
              <w:jc w:val="center"/>
              <w:rPr>
                <w:noProof/>
              </w:rPr>
            </w:pPr>
            <w:r>
              <w:rPr>
                <w:noProof/>
              </w:rPr>
              <w:t>Powiadomienie o udzieleniu wszystkich zamówień publicznych na rozwój portalu turystyki cyfrowej NIE DOT.</w:t>
            </w:r>
          </w:p>
        </w:tc>
        <w:tc>
          <w:tcPr>
            <w:tcW w:w="368" w:type="pct"/>
            <w:shd w:val="clear" w:color="auto" w:fill="C6EFCE"/>
            <w:noWrap/>
            <w:vAlign w:val="center"/>
            <w:hideMark/>
          </w:tcPr>
          <w:p w14:paraId="1CA8AE54" w14:textId="77777777" w:rsidR="004C6421" w:rsidRDefault="009D1962">
            <w:pPr>
              <w:pStyle w:val="P68B1DB1-Normal4"/>
              <w:jc w:val="center"/>
              <w:rPr>
                <w:noProof/>
              </w:rPr>
            </w:pPr>
            <w:r>
              <w:rPr>
                <w:noProof/>
              </w:rPr>
              <w:t>NIE DOT.</w:t>
            </w:r>
          </w:p>
        </w:tc>
        <w:tc>
          <w:tcPr>
            <w:tcW w:w="368" w:type="pct"/>
            <w:shd w:val="clear" w:color="auto" w:fill="C6EFCE"/>
            <w:noWrap/>
            <w:vAlign w:val="center"/>
            <w:hideMark/>
          </w:tcPr>
          <w:p w14:paraId="0E3483E4" w14:textId="77777777" w:rsidR="004C6421" w:rsidRDefault="009D1962">
            <w:pPr>
              <w:pStyle w:val="P68B1DB1-Normal4"/>
              <w:jc w:val="center"/>
              <w:rPr>
                <w:noProof/>
              </w:rPr>
            </w:pPr>
            <w:r>
              <w:rPr>
                <w:noProof/>
              </w:rPr>
              <w:t>NIE DOT.</w:t>
            </w:r>
          </w:p>
        </w:tc>
        <w:tc>
          <w:tcPr>
            <w:tcW w:w="377" w:type="pct"/>
            <w:shd w:val="clear" w:color="auto" w:fill="C6EFCE"/>
            <w:noWrap/>
            <w:vAlign w:val="center"/>
            <w:hideMark/>
          </w:tcPr>
          <w:p w14:paraId="0FB47E39" w14:textId="77777777" w:rsidR="004C6421" w:rsidRDefault="009D1962">
            <w:pPr>
              <w:pStyle w:val="P68B1DB1-Normal4"/>
              <w:jc w:val="center"/>
              <w:rPr>
                <w:noProof/>
              </w:rPr>
            </w:pPr>
            <w:r>
              <w:rPr>
                <w:noProof/>
              </w:rPr>
              <w:t>NIE DOT.</w:t>
            </w:r>
          </w:p>
        </w:tc>
        <w:tc>
          <w:tcPr>
            <w:tcW w:w="321" w:type="pct"/>
            <w:shd w:val="clear" w:color="auto" w:fill="C6EFCE"/>
            <w:noWrap/>
            <w:vAlign w:val="center"/>
            <w:hideMark/>
          </w:tcPr>
          <w:p w14:paraId="1A5B139F" w14:textId="64D960E5" w:rsidR="004C6421" w:rsidRDefault="00CC179E">
            <w:pPr>
              <w:pStyle w:val="P68B1DB1-Normal4"/>
              <w:jc w:val="center"/>
              <w:rPr>
                <w:noProof/>
              </w:rPr>
            </w:pPr>
            <w:r>
              <w:rPr>
                <w:noProof/>
              </w:rPr>
              <w:t>KW. 4</w:t>
            </w:r>
          </w:p>
        </w:tc>
        <w:tc>
          <w:tcPr>
            <w:tcW w:w="224" w:type="pct"/>
            <w:shd w:val="clear" w:color="auto" w:fill="C6EFCE"/>
            <w:noWrap/>
            <w:vAlign w:val="center"/>
            <w:hideMark/>
          </w:tcPr>
          <w:p w14:paraId="330C761B" w14:textId="77777777" w:rsidR="004C6421" w:rsidRDefault="009D1962">
            <w:pPr>
              <w:pStyle w:val="P68B1DB1-Normal4"/>
              <w:jc w:val="center"/>
              <w:rPr>
                <w:noProof/>
              </w:rPr>
            </w:pPr>
            <w:r>
              <w:rPr>
                <w:noProof/>
              </w:rPr>
              <w:t>2021</w:t>
            </w:r>
          </w:p>
        </w:tc>
        <w:tc>
          <w:tcPr>
            <w:tcW w:w="1192" w:type="pct"/>
            <w:shd w:val="clear" w:color="auto" w:fill="C6EFCE"/>
            <w:noWrap/>
            <w:vAlign w:val="center"/>
            <w:hideMark/>
          </w:tcPr>
          <w:p w14:paraId="001BBE42" w14:textId="77777777" w:rsidR="004C6421" w:rsidRDefault="009D1962">
            <w:pPr>
              <w:pStyle w:val="P68B1DB1-Normal4"/>
              <w:rPr>
                <w:noProof/>
              </w:rPr>
            </w:pPr>
            <w:r>
              <w:rPr>
                <w:noProof/>
              </w:rPr>
              <w:t>Powiadomienie o udzieleniu (wszystkich) zamówień publicznych na rozwój portalu turystyki cyfrowej.</w:t>
            </w:r>
          </w:p>
          <w:p w14:paraId="435E924A" w14:textId="77777777" w:rsidR="004C6421" w:rsidRDefault="009D1962">
            <w:pPr>
              <w:pStyle w:val="P68B1DB1-Normal4"/>
              <w:rPr>
                <w:noProof/>
              </w:rPr>
            </w:pPr>
            <w:r>
              <w:rPr>
                <w:noProof/>
              </w:rPr>
              <w:t>Portal turystyki cyfrowej zmodernizuje obecny portal Italia.it poprzez wdrożenie chmury obliczeniowej i otwartej architektury, co w znacznym stopniu sprzyja wzajemnemu połączeniu z ekosystemem. Zmodernizowany portal zawiera: stworzenie nowego interfejsu frontu i drzewa nawigacyjnego; przegląd układu, struktury i funkcji sekcji, stron i artykułów; wprowadzenie map; zarządzanie wielojęzyczne (w momencie przełączania portal zostanie zaprezentowany w języku włoskim i angielskim). Integracja pozostałych obecnie obsługiwanych języków jest spodziewana w miesiącach bezpośrednio następujących po oddaniu do eksploatacji.</w:t>
            </w:r>
          </w:p>
          <w:p w14:paraId="1E1EF016" w14:textId="77777777" w:rsidR="004C6421" w:rsidRDefault="004C6421">
            <w:pPr>
              <w:rPr>
                <w:rFonts w:ascii="Arial Narrow" w:hAnsi="Arial Narrow"/>
                <w:noProof/>
                <w:color w:val="006100"/>
                <w:sz w:val="20"/>
              </w:rPr>
            </w:pPr>
          </w:p>
          <w:p w14:paraId="23ED3DA2" w14:textId="77777777" w:rsidR="004C6421" w:rsidRDefault="009D1962">
            <w:pPr>
              <w:pStyle w:val="P68B1DB1-Normal4"/>
              <w:rPr>
                <w:noProof/>
              </w:rPr>
            </w:pPr>
            <w:r>
              <w:rPr>
                <w:noProof/>
              </w:rPr>
              <w:t>Udzielanie zamówień na projekty wybrane w ramach konkurencyjnych zaproszeń do składania wniosków, zgodnie z wytycznymi technicznymi dotyczącymi zasady „nie czyń poważnych szkód” (2021/C58/01) poprzez wykorzystanie listy wykluczenia oraz wymóg zgodności z odpowiednimi unijnymi i krajowymi przepisami w zakresie ochrony środowiska.</w:t>
            </w:r>
          </w:p>
          <w:p w14:paraId="5F6227D2" w14:textId="77777777" w:rsidR="004C6421" w:rsidRDefault="004C6421">
            <w:pPr>
              <w:rPr>
                <w:rFonts w:ascii="Arial Narrow" w:hAnsi="Arial Narrow"/>
                <w:noProof/>
                <w:color w:val="006100"/>
                <w:sz w:val="20"/>
              </w:rPr>
            </w:pPr>
          </w:p>
        </w:tc>
      </w:tr>
      <w:tr w:rsidR="004C6421" w14:paraId="2B369797" w14:textId="77777777">
        <w:trPr>
          <w:trHeight w:val="309"/>
          <w:jc w:val="center"/>
        </w:trPr>
        <w:tc>
          <w:tcPr>
            <w:tcW w:w="366" w:type="pct"/>
            <w:shd w:val="clear" w:color="auto" w:fill="C6EFCE"/>
            <w:noWrap/>
            <w:vAlign w:val="center"/>
            <w:hideMark/>
          </w:tcPr>
          <w:p w14:paraId="06241F45" w14:textId="77777777" w:rsidR="004C6421" w:rsidRDefault="009D1962">
            <w:pPr>
              <w:pStyle w:val="P68B1DB1-Normal4"/>
              <w:spacing w:line="256" w:lineRule="auto"/>
              <w:jc w:val="center"/>
              <w:rPr>
                <w:rFonts w:eastAsia="Arial Narrow" w:cs="Arial Narrow"/>
                <w:noProof/>
                <w:color w:val="038387"/>
              </w:rPr>
            </w:pPr>
            <w:r>
              <w:rPr>
                <w:noProof/>
              </w:rPr>
              <w:t>M1C3-9</w:t>
            </w:r>
          </w:p>
        </w:tc>
        <w:tc>
          <w:tcPr>
            <w:tcW w:w="460" w:type="pct"/>
            <w:shd w:val="clear" w:color="auto" w:fill="C6EFCE"/>
            <w:noWrap/>
            <w:vAlign w:val="center"/>
            <w:hideMark/>
          </w:tcPr>
          <w:p w14:paraId="32D05868" w14:textId="77777777" w:rsidR="004C6421" w:rsidRDefault="009D1962">
            <w:pPr>
              <w:pStyle w:val="P68B1DB1-Normal4"/>
              <w:spacing w:line="256" w:lineRule="auto"/>
              <w:jc w:val="center"/>
              <w:rPr>
                <w:rFonts w:eastAsia="Arial Narrow" w:cs="Arial Narrow"/>
                <w:noProof/>
              </w:rPr>
            </w:pPr>
            <w:r>
              <w:rPr>
                <w:noProof/>
              </w:rPr>
              <w:t>Inwestycje 4.1 Centrum turystyki cyfrowej</w:t>
            </w:r>
          </w:p>
        </w:tc>
        <w:tc>
          <w:tcPr>
            <w:tcW w:w="368" w:type="pct"/>
            <w:shd w:val="clear" w:color="auto" w:fill="C6EFCE"/>
            <w:noWrap/>
            <w:vAlign w:val="center"/>
            <w:hideMark/>
          </w:tcPr>
          <w:p w14:paraId="7DDC6C6A" w14:textId="77777777" w:rsidR="004C6421" w:rsidRDefault="009D1962">
            <w:pPr>
              <w:pStyle w:val="P68B1DB1-Normal4"/>
              <w:spacing w:line="256" w:lineRule="auto"/>
              <w:jc w:val="center"/>
              <w:rPr>
                <w:rFonts w:eastAsia="Arial Narrow" w:cs="Arial Narrow"/>
                <w:noProof/>
              </w:rPr>
            </w:pPr>
            <w:r>
              <w:rPr>
                <w:noProof/>
              </w:rPr>
              <w:t>Cel</w:t>
            </w:r>
          </w:p>
        </w:tc>
        <w:tc>
          <w:tcPr>
            <w:tcW w:w="436" w:type="pct"/>
            <w:shd w:val="clear" w:color="auto" w:fill="C6EFCE"/>
            <w:noWrap/>
            <w:vAlign w:val="center"/>
            <w:hideMark/>
          </w:tcPr>
          <w:p w14:paraId="0C380829" w14:textId="447B5079" w:rsidR="004C6421" w:rsidRDefault="009D1962">
            <w:pPr>
              <w:pStyle w:val="P68B1DB1-Normal4"/>
              <w:spacing w:line="256" w:lineRule="auto"/>
              <w:jc w:val="center"/>
              <w:rPr>
                <w:rFonts w:eastAsia="Arial Narrow" w:cs="Arial Narrow"/>
                <w:noProof/>
              </w:rPr>
            </w:pPr>
            <w:r>
              <w:rPr>
                <w:noProof/>
              </w:rPr>
              <w:t>Rejestracja operatorów turystycznych w centrum turystyki cyfrowej</w:t>
            </w:r>
          </w:p>
        </w:tc>
        <w:tc>
          <w:tcPr>
            <w:tcW w:w="520" w:type="pct"/>
            <w:shd w:val="clear" w:color="auto" w:fill="C6EFCE"/>
            <w:noWrap/>
            <w:vAlign w:val="center"/>
            <w:hideMark/>
          </w:tcPr>
          <w:p w14:paraId="5C9DC4DD" w14:textId="77777777" w:rsidR="004C6421" w:rsidRDefault="009D1962">
            <w:pPr>
              <w:pStyle w:val="P68B1DB1-Normal4"/>
              <w:spacing w:line="256" w:lineRule="auto"/>
              <w:jc w:val="center"/>
              <w:rPr>
                <w:rFonts w:eastAsia="Arial Narrow" w:cs="Arial Narrow"/>
                <w:noProof/>
              </w:rPr>
            </w:pPr>
            <w:r>
              <w:rPr>
                <w:noProof/>
              </w:rPr>
              <w:t>NIE DOT.</w:t>
            </w:r>
          </w:p>
        </w:tc>
        <w:tc>
          <w:tcPr>
            <w:tcW w:w="368" w:type="pct"/>
            <w:shd w:val="clear" w:color="auto" w:fill="C6EFCE"/>
            <w:noWrap/>
            <w:vAlign w:val="center"/>
            <w:hideMark/>
          </w:tcPr>
          <w:p w14:paraId="2B96466D" w14:textId="77777777" w:rsidR="004C6421" w:rsidRDefault="009D1962">
            <w:pPr>
              <w:pStyle w:val="P68B1DB1-Normal4"/>
              <w:spacing w:line="256" w:lineRule="auto"/>
              <w:jc w:val="center"/>
              <w:rPr>
                <w:rFonts w:eastAsia="Arial Narrow" w:cs="Arial Narrow"/>
                <w:noProof/>
              </w:rPr>
            </w:pPr>
            <w:r>
              <w:rPr>
                <w:noProof/>
              </w:rPr>
              <w:t>Numer</w:t>
            </w:r>
          </w:p>
        </w:tc>
        <w:tc>
          <w:tcPr>
            <w:tcW w:w="368" w:type="pct"/>
            <w:shd w:val="clear" w:color="auto" w:fill="C6EFCE"/>
            <w:noWrap/>
            <w:vAlign w:val="center"/>
            <w:hideMark/>
          </w:tcPr>
          <w:p w14:paraId="3F188BE7" w14:textId="77777777" w:rsidR="004C6421" w:rsidRDefault="009D1962">
            <w:pPr>
              <w:pStyle w:val="P68B1DB1-Normal4"/>
              <w:spacing w:line="256" w:lineRule="auto"/>
              <w:jc w:val="center"/>
              <w:rPr>
                <w:rFonts w:eastAsia="Arial Narrow" w:cs="Arial Narrow"/>
                <w:noProof/>
              </w:rPr>
            </w:pPr>
            <w:r>
              <w:rPr>
                <w:noProof/>
              </w:rPr>
              <w:t>0</w:t>
            </w:r>
          </w:p>
        </w:tc>
        <w:tc>
          <w:tcPr>
            <w:tcW w:w="377" w:type="pct"/>
            <w:shd w:val="clear" w:color="auto" w:fill="C6EFCE"/>
            <w:noWrap/>
            <w:vAlign w:val="center"/>
            <w:hideMark/>
          </w:tcPr>
          <w:p w14:paraId="2BBC01A0" w14:textId="77777777" w:rsidR="004C6421" w:rsidRDefault="009D1962">
            <w:pPr>
              <w:pStyle w:val="P68B1DB1-Normal4"/>
              <w:spacing w:line="256" w:lineRule="auto"/>
              <w:jc w:val="center"/>
              <w:rPr>
                <w:rFonts w:eastAsia="Arial Narrow" w:cs="Arial Narrow"/>
                <w:noProof/>
              </w:rPr>
            </w:pPr>
            <w:r>
              <w:rPr>
                <w:noProof/>
              </w:rPr>
              <w:t>20 000</w:t>
            </w:r>
          </w:p>
        </w:tc>
        <w:tc>
          <w:tcPr>
            <w:tcW w:w="321" w:type="pct"/>
            <w:shd w:val="clear" w:color="auto" w:fill="C6EFCE"/>
            <w:noWrap/>
            <w:vAlign w:val="center"/>
            <w:hideMark/>
          </w:tcPr>
          <w:p w14:paraId="66970F65" w14:textId="77777777" w:rsidR="004C6421" w:rsidRDefault="009D1962">
            <w:pPr>
              <w:pStyle w:val="P68B1DB1-Normal4"/>
              <w:spacing w:line="256" w:lineRule="auto"/>
              <w:jc w:val="center"/>
              <w:rPr>
                <w:rFonts w:eastAsia="Arial Narrow" w:cs="Arial Narrow"/>
                <w:noProof/>
              </w:rPr>
            </w:pPr>
            <w:r>
              <w:rPr>
                <w:noProof/>
              </w:rPr>
              <w:t>II KW.</w:t>
            </w:r>
          </w:p>
        </w:tc>
        <w:tc>
          <w:tcPr>
            <w:tcW w:w="224" w:type="pct"/>
            <w:shd w:val="clear" w:color="auto" w:fill="C6EFCE"/>
            <w:noWrap/>
            <w:vAlign w:val="center"/>
            <w:hideMark/>
          </w:tcPr>
          <w:p w14:paraId="4C367F57" w14:textId="77777777" w:rsidR="004C6421" w:rsidRDefault="009D1962">
            <w:pPr>
              <w:pStyle w:val="P68B1DB1-Normal4"/>
              <w:spacing w:line="256" w:lineRule="auto"/>
              <w:jc w:val="center"/>
              <w:rPr>
                <w:rFonts w:eastAsia="Arial Narrow" w:cs="Arial Narrow"/>
                <w:noProof/>
              </w:rPr>
            </w:pPr>
            <w:r>
              <w:rPr>
                <w:noProof/>
              </w:rPr>
              <w:t>2024</w:t>
            </w:r>
          </w:p>
        </w:tc>
        <w:tc>
          <w:tcPr>
            <w:tcW w:w="1192" w:type="pct"/>
            <w:shd w:val="clear" w:color="auto" w:fill="C6EFCE"/>
            <w:noWrap/>
            <w:vAlign w:val="center"/>
            <w:hideMark/>
          </w:tcPr>
          <w:p w14:paraId="61C00ACA" w14:textId="1AEB1179" w:rsidR="004C6421" w:rsidRDefault="009D1962">
            <w:pPr>
              <w:pStyle w:val="P68B1DB1-Normal4"/>
              <w:spacing w:line="256" w:lineRule="auto"/>
              <w:jc w:val="both"/>
              <w:rPr>
                <w:rFonts w:eastAsia="Arial Narrow" w:cs="Arial Narrow"/>
                <w:noProof/>
              </w:rPr>
            </w:pPr>
            <w:r>
              <w:rPr>
                <w:noProof/>
              </w:rPr>
              <w:t>Liczba operatorów turystycznych zarejestrowanych w węzłach turystycznych (która może obejmować między innymi hotel, organizator wycieczek i przedsiębiorstwa określone w kodach ATECO 55.00.00; 56.00.00; 79.00.00 i inne struktury należące do sektora) wynoszą co najmniej 20000.</w:t>
            </w:r>
          </w:p>
          <w:p w14:paraId="1F6ACD96" w14:textId="29C9F71F" w:rsidR="004C6421" w:rsidRDefault="009D1962">
            <w:pPr>
              <w:pStyle w:val="P68B1DB1-Normal4"/>
              <w:spacing w:line="256" w:lineRule="auto"/>
              <w:jc w:val="both"/>
              <w:rPr>
                <w:rFonts w:eastAsia="Arial Narrow" w:cs="Arial Narrow"/>
                <w:noProof/>
              </w:rPr>
            </w:pPr>
            <w:r>
              <w:rPr>
                <w:noProof/>
              </w:rPr>
              <w:t>Co najmniej 7400 operatorów turystycznych (tj. 37 % z 20000) musi znajdować się na południu.</w:t>
            </w:r>
          </w:p>
          <w:p w14:paraId="5F5DC40A" w14:textId="77777777" w:rsidR="004C6421" w:rsidRDefault="004C6421">
            <w:pPr>
              <w:spacing w:line="256" w:lineRule="auto"/>
              <w:rPr>
                <w:rFonts w:ascii="Arial Narrow" w:eastAsia="Arial Narrow" w:hAnsi="Arial Narrow" w:cs="Arial Narrow"/>
                <w:noProof/>
                <w:color w:val="006100"/>
                <w:sz w:val="20"/>
              </w:rPr>
            </w:pPr>
          </w:p>
        </w:tc>
      </w:tr>
      <w:tr w:rsidR="004C6421" w14:paraId="7F826B04" w14:textId="77777777">
        <w:trPr>
          <w:trHeight w:val="309"/>
          <w:jc w:val="center"/>
        </w:trPr>
        <w:tc>
          <w:tcPr>
            <w:tcW w:w="1129" w:type="dxa"/>
            <w:shd w:val="clear" w:color="auto" w:fill="C6EFCE"/>
            <w:noWrap/>
            <w:vAlign w:val="center"/>
            <w:hideMark/>
          </w:tcPr>
          <w:p w14:paraId="68623B2B" w14:textId="77777777" w:rsidR="004C6421" w:rsidRDefault="009D1962">
            <w:pPr>
              <w:pStyle w:val="P68B1DB1-Normal4"/>
              <w:spacing w:line="256" w:lineRule="auto"/>
              <w:jc w:val="center"/>
              <w:rPr>
                <w:rFonts w:eastAsia="Arial Narrow" w:cs="Arial Narrow"/>
                <w:noProof/>
              </w:rPr>
            </w:pPr>
            <w:r>
              <w:rPr>
                <w:noProof/>
              </w:rPr>
              <w:t>M1C3-9bis</w:t>
            </w:r>
          </w:p>
        </w:tc>
        <w:tc>
          <w:tcPr>
            <w:tcW w:w="1418" w:type="dxa"/>
            <w:shd w:val="clear" w:color="auto" w:fill="C6EFCE"/>
            <w:noWrap/>
            <w:vAlign w:val="center"/>
            <w:hideMark/>
          </w:tcPr>
          <w:p w14:paraId="1B84CD1F" w14:textId="77777777" w:rsidR="004C6421" w:rsidRDefault="009D1962">
            <w:pPr>
              <w:pStyle w:val="P68B1DB1-Normal4"/>
              <w:spacing w:line="256" w:lineRule="auto"/>
              <w:jc w:val="center"/>
              <w:rPr>
                <w:rFonts w:eastAsia="Arial Narrow" w:cs="Arial Narrow"/>
                <w:noProof/>
              </w:rPr>
            </w:pPr>
            <w:r>
              <w:rPr>
                <w:noProof/>
              </w:rPr>
              <w:t>Inwestycje 4.1 Centrum turystyki cyfrowej</w:t>
            </w:r>
          </w:p>
        </w:tc>
        <w:tc>
          <w:tcPr>
            <w:tcW w:w="1135" w:type="dxa"/>
            <w:shd w:val="clear" w:color="auto" w:fill="C6EFCE"/>
            <w:noWrap/>
            <w:vAlign w:val="center"/>
            <w:hideMark/>
          </w:tcPr>
          <w:p w14:paraId="50BDD256" w14:textId="77777777" w:rsidR="004C6421" w:rsidRDefault="009D1962">
            <w:pPr>
              <w:pStyle w:val="P68B1DB1-Normal4"/>
              <w:spacing w:line="256" w:lineRule="auto"/>
              <w:jc w:val="center"/>
              <w:rPr>
                <w:rFonts w:eastAsia="Arial Narrow" w:cs="Arial Narrow"/>
                <w:noProof/>
              </w:rPr>
            </w:pPr>
            <w:r>
              <w:rPr>
                <w:noProof/>
              </w:rPr>
              <w:t>Cel</w:t>
            </w:r>
          </w:p>
        </w:tc>
        <w:tc>
          <w:tcPr>
            <w:tcW w:w="1344" w:type="dxa"/>
            <w:shd w:val="clear" w:color="auto" w:fill="C6EFCE"/>
            <w:noWrap/>
            <w:vAlign w:val="center"/>
            <w:hideMark/>
          </w:tcPr>
          <w:p w14:paraId="1D3B104D" w14:textId="1983DBB8" w:rsidR="004C6421" w:rsidRDefault="009D1962">
            <w:pPr>
              <w:pStyle w:val="P68B1DB1-Normal4"/>
              <w:spacing w:line="256" w:lineRule="auto"/>
              <w:jc w:val="center"/>
              <w:rPr>
                <w:rFonts w:eastAsia="Arial Narrow" w:cs="Arial Narrow"/>
                <w:noProof/>
              </w:rPr>
            </w:pPr>
            <w:r>
              <w:rPr>
                <w:noProof/>
              </w:rPr>
              <w:t xml:space="preserve">Rejestracja operatorów turystycznych w centrum turystyki cyfrowej i dostęp do usług świadczonych przez centrum  </w:t>
            </w:r>
          </w:p>
        </w:tc>
        <w:tc>
          <w:tcPr>
            <w:tcW w:w="1603" w:type="dxa"/>
            <w:shd w:val="clear" w:color="auto" w:fill="C6EFCE"/>
            <w:noWrap/>
            <w:vAlign w:val="center"/>
            <w:hideMark/>
          </w:tcPr>
          <w:p w14:paraId="7DED1264" w14:textId="77777777" w:rsidR="004C6421" w:rsidRDefault="009D1962">
            <w:pPr>
              <w:pStyle w:val="P68B1DB1-Normal4"/>
              <w:spacing w:line="256" w:lineRule="auto"/>
              <w:jc w:val="center"/>
              <w:rPr>
                <w:rFonts w:eastAsia="Arial Narrow" w:cs="Arial Narrow"/>
                <w:noProof/>
              </w:rPr>
            </w:pPr>
            <w:r>
              <w:rPr>
                <w:noProof/>
              </w:rPr>
              <w:t>NIE DOT.</w:t>
            </w:r>
          </w:p>
        </w:tc>
        <w:tc>
          <w:tcPr>
            <w:tcW w:w="1135" w:type="dxa"/>
            <w:shd w:val="clear" w:color="auto" w:fill="C6EFCE"/>
            <w:noWrap/>
            <w:vAlign w:val="center"/>
            <w:hideMark/>
          </w:tcPr>
          <w:p w14:paraId="0AE77DEB" w14:textId="77777777" w:rsidR="004C6421" w:rsidRDefault="009D1962">
            <w:pPr>
              <w:pStyle w:val="P68B1DB1-Normal4"/>
              <w:spacing w:line="256" w:lineRule="auto"/>
              <w:jc w:val="center"/>
              <w:rPr>
                <w:rFonts w:eastAsia="Arial Narrow" w:cs="Arial Narrow"/>
                <w:noProof/>
              </w:rPr>
            </w:pPr>
            <w:r>
              <w:rPr>
                <w:noProof/>
              </w:rPr>
              <w:t>Numer</w:t>
            </w:r>
          </w:p>
        </w:tc>
        <w:tc>
          <w:tcPr>
            <w:tcW w:w="1135" w:type="dxa"/>
            <w:shd w:val="clear" w:color="auto" w:fill="C6EFCE"/>
            <w:noWrap/>
            <w:vAlign w:val="center"/>
            <w:hideMark/>
          </w:tcPr>
          <w:p w14:paraId="6DD64FF3" w14:textId="0316EF4D" w:rsidR="004C6421" w:rsidRDefault="009D1962">
            <w:pPr>
              <w:pStyle w:val="P68B1DB1-Normal4"/>
              <w:spacing w:line="256" w:lineRule="auto"/>
              <w:jc w:val="center"/>
              <w:rPr>
                <w:rFonts w:eastAsia="Arial Narrow" w:cs="Arial Narrow"/>
                <w:noProof/>
              </w:rPr>
            </w:pPr>
            <w:r>
              <w:rPr>
                <w:noProof/>
              </w:rPr>
              <w:t>20 000</w:t>
            </w:r>
          </w:p>
        </w:tc>
        <w:tc>
          <w:tcPr>
            <w:tcW w:w="1162" w:type="dxa"/>
            <w:shd w:val="clear" w:color="auto" w:fill="C6EFCE"/>
            <w:noWrap/>
            <w:vAlign w:val="center"/>
            <w:hideMark/>
          </w:tcPr>
          <w:p w14:paraId="51C6043A" w14:textId="60BDE65C" w:rsidR="004C6421" w:rsidRDefault="009D1962">
            <w:pPr>
              <w:pStyle w:val="P68B1DB1-Normal4"/>
              <w:spacing w:line="256" w:lineRule="auto"/>
              <w:jc w:val="center"/>
              <w:rPr>
                <w:rFonts w:eastAsia="Arial Narrow" w:cs="Arial Narrow"/>
                <w:noProof/>
                <w:color w:val="6D5700"/>
              </w:rPr>
            </w:pPr>
            <w:r>
              <w:rPr>
                <w:noProof/>
              </w:rPr>
              <w:t>35 000</w:t>
            </w:r>
          </w:p>
        </w:tc>
        <w:tc>
          <w:tcPr>
            <w:tcW w:w="990" w:type="dxa"/>
            <w:shd w:val="clear" w:color="auto" w:fill="C6EFCE"/>
            <w:noWrap/>
            <w:vAlign w:val="center"/>
            <w:hideMark/>
          </w:tcPr>
          <w:p w14:paraId="349D1517" w14:textId="02670E7B" w:rsidR="004C6421" w:rsidRDefault="00CC179E">
            <w:pPr>
              <w:pStyle w:val="P68B1DB1-Normal4"/>
              <w:spacing w:line="256" w:lineRule="auto"/>
              <w:jc w:val="center"/>
              <w:rPr>
                <w:rFonts w:eastAsia="Arial Narrow" w:cs="Arial Narrow"/>
                <w:noProof/>
              </w:rPr>
            </w:pPr>
            <w:r>
              <w:rPr>
                <w:noProof/>
              </w:rPr>
              <w:t>KW. 4</w:t>
            </w:r>
          </w:p>
        </w:tc>
        <w:tc>
          <w:tcPr>
            <w:tcW w:w="694" w:type="dxa"/>
            <w:shd w:val="clear" w:color="auto" w:fill="C6EFCE"/>
            <w:noWrap/>
            <w:vAlign w:val="center"/>
            <w:hideMark/>
          </w:tcPr>
          <w:p w14:paraId="093EDC0A" w14:textId="77777777" w:rsidR="004C6421" w:rsidRDefault="009D1962">
            <w:pPr>
              <w:pStyle w:val="P68B1DB1-Normal4"/>
              <w:spacing w:line="256" w:lineRule="auto"/>
              <w:jc w:val="center"/>
              <w:rPr>
                <w:rFonts w:eastAsia="Arial Narrow" w:cs="Arial Narrow"/>
                <w:noProof/>
              </w:rPr>
            </w:pPr>
            <w:r>
              <w:rPr>
                <w:noProof/>
              </w:rPr>
              <w:t>2025</w:t>
            </w:r>
          </w:p>
        </w:tc>
        <w:tc>
          <w:tcPr>
            <w:tcW w:w="3672" w:type="dxa"/>
            <w:shd w:val="clear" w:color="auto" w:fill="C6EFCE"/>
            <w:noWrap/>
            <w:vAlign w:val="center"/>
            <w:hideMark/>
          </w:tcPr>
          <w:p w14:paraId="4B8C2673" w14:textId="5D700E3E" w:rsidR="004C6421" w:rsidRDefault="009D1962">
            <w:pPr>
              <w:pStyle w:val="P68B1DB1-Normal4"/>
              <w:rPr>
                <w:rFonts w:eastAsia="Arial Narrow" w:cs="Arial Narrow"/>
                <w:noProof/>
              </w:rPr>
            </w:pPr>
            <w:r>
              <w:rPr>
                <w:noProof/>
              </w:rPr>
              <w:t xml:space="preserve">Liczba podmiotów zarejestrowanych w centrum turystycznym (która może obejmować między innymi hotel, organizator wycieczek i przedsiębiorstwa określone w kodach ATECO 55.00.00; 56.00.00; 79.00.00 i inne struktury należące do sektora) osiągają co najmniej 35000. </w:t>
            </w:r>
          </w:p>
          <w:p w14:paraId="5AABFA2B" w14:textId="244CA7F9" w:rsidR="004C6421" w:rsidRDefault="004C6421">
            <w:pPr>
              <w:rPr>
                <w:rFonts w:ascii="Arial Narrow" w:eastAsia="Arial Narrow" w:hAnsi="Arial Narrow" w:cs="Arial Narrow"/>
                <w:noProof/>
                <w:color w:val="038387"/>
                <w:sz w:val="20"/>
              </w:rPr>
            </w:pPr>
          </w:p>
          <w:p w14:paraId="12A92F25" w14:textId="56983193" w:rsidR="004C6421" w:rsidRDefault="009D1962">
            <w:pPr>
              <w:pStyle w:val="P68B1DB1-Normal4"/>
              <w:rPr>
                <w:rFonts w:eastAsia="Arial Narrow" w:cs="Arial Narrow"/>
                <w:noProof/>
                <w:color w:val="6D5700"/>
              </w:rPr>
            </w:pPr>
            <w:r>
              <w:rPr>
                <w:noProof/>
              </w:rPr>
              <w:t>Usługi wymienione w opisie środka są dostępne dla operatorów turystycznych zarejestrowanych w centrum.</w:t>
            </w:r>
          </w:p>
        </w:tc>
      </w:tr>
      <w:tr w:rsidR="004C6421" w14:paraId="57B3DB2A" w14:textId="77777777">
        <w:trPr>
          <w:trHeight w:val="309"/>
          <w:jc w:val="center"/>
        </w:trPr>
        <w:tc>
          <w:tcPr>
            <w:tcW w:w="366" w:type="pct"/>
            <w:shd w:val="clear" w:color="auto" w:fill="C6EFCE"/>
            <w:noWrap/>
            <w:vAlign w:val="center"/>
            <w:hideMark/>
          </w:tcPr>
          <w:p w14:paraId="49506AB8" w14:textId="77777777" w:rsidR="004C6421" w:rsidRDefault="009D1962">
            <w:pPr>
              <w:pStyle w:val="P68B1DB1-Normal4"/>
              <w:jc w:val="center"/>
              <w:rPr>
                <w:noProof/>
              </w:rPr>
            </w:pPr>
            <w:r>
              <w:rPr>
                <w:noProof/>
              </w:rPr>
              <w:t>M1C3-10</w:t>
            </w:r>
          </w:p>
        </w:tc>
        <w:tc>
          <w:tcPr>
            <w:tcW w:w="460" w:type="pct"/>
            <w:shd w:val="clear" w:color="auto" w:fill="C6EFCE"/>
            <w:noWrap/>
            <w:vAlign w:val="center"/>
            <w:hideMark/>
          </w:tcPr>
          <w:p w14:paraId="2D1AEED6" w14:textId="77777777" w:rsidR="004C6421" w:rsidRDefault="009D1962">
            <w:pPr>
              <w:pStyle w:val="P68B1DB1-Normal4"/>
              <w:jc w:val="center"/>
              <w:rPr>
                <w:noProof/>
              </w:rPr>
            </w:pPr>
            <w:r>
              <w:rPr>
                <w:noProof/>
              </w:rPr>
              <w:t>Reforma 4.1 Regulacja dotycząca zawodów przewodników turystycznych.</w:t>
            </w:r>
          </w:p>
          <w:p w14:paraId="7D4940FC" w14:textId="77777777" w:rsidR="004C6421" w:rsidRDefault="004C6421">
            <w:pPr>
              <w:jc w:val="center"/>
              <w:rPr>
                <w:rFonts w:ascii="Arial Narrow" w:hAnsi="Arial Narrow"/>
                <w:noProof/>
                <w:color w:val="006100"/>
                <w:sz w:val="20"/>
              </w:rPr>
            </w:pPr>
          </w:p>
        </w:tc>
        <w:tc>
          <w:tcPr>
            <w:tcW w:w="368" w:type="pct"/>
            <w:shd w:val="clear" w:color="auto" w:fill="C6EFCE"/>
            <w:noWrap/>
            <w:vAlign w:val="center"/>
            <w:hideMark/>
          </w:tcPr>
          <w:p w14:paraId="7E4EFB0E" w14:textId="46A33DA1" w:rsidR="004C6421" w:rsidRDefault="00CC179E">
            <w:pPr>
              <w:pStyle w:val="P68B1DB1-Normal4"/>
              <w:jc w:val="center"/>
              <w:rPr>
                <w:noProof/>
              </w:rPr>
            </w:pPr>
            <w:r>
              <w:rPr>
                <w:noProof/>
              </w:rPr>
              <w:t>Milowy</w:t>
            </w:r>
          </w:p>
        </w:tc>
        <w:tc>
          <w:tcPr>
            <w:tcW w:w="436" w:type="pct"/>
            <w:shd w:val="clear" w:color="auto" w:fill="C6EFCE"/>
            <w:noWrap/>
            <w:vAlign w:val="center"/>
            <w:hideMark/>
          </w:tcPr>
          <w:p w14:paraId="37023D80" w14:textId="77777777" w:rsidR="004C6421" w:rsidRDefault="009D1962">
            <w:pPr>
              <w:pStyle w:val="P68B1DB1-Normal4"/>
              <w:jc w:val="center"/>
              <w:rPr>
                <w:noProof/>
              </w:rPr>
            </w:pPr>
            <w:r>
              <w:rPr>
                <w:noProof/>
              </w:rPr>
              <w:t>Definicja normy krajowej dla przewodników turystycznych</w:t>
            </w:r>
          </w:p>
        </w:tc>
        <w:tc>
          <w:tcPr>
            <w:tcW w:w="520" w:type="pct"/>
            <w:shd w:val="clear" w:color="auto" w:fill="C6EFCE"/>
            <w:noWrap/>
            <w:vAlign w:val="center"/>
            <w:hideMark/>
          </w:tcPr>
          <w:p w14:paraId="6BFE2340" w14:textId="77777777" w:rsidR="004C6421" w:rsidRDefault="009D1962">
            <w:pPr>
              <w:pStyle w:val="P68B1DB1-Normal4"/>
              <w:jc w:val="center"/>
              <w:rPr>
                <w:noProof/>
              </w:rPr>
            </w:pPr>
            <w:r>
              <w:rPr>
                <w:noProof/>
              </w:rPr>
              <w:t>Definicja minimalnego standardu krajowego nie oznacza utworzenia nowego zawodu regulowanego. NIE DOT.</w:t>
            </w:r>
          </w:p>
        </w:tc>
        <w:tc>
          <w:tcPr>
            <w:tcW w:w="368" w:type="pct"/>
            <w:shd w:val="clear" w:color="auto" w:fill="C6EFCE"/>
            <w:noWrap/>
            <w:vAlign w:val="center"/>
            <w:hideMark/>
          </w:tcPr>
          <w:p w14:paraId="0F9B4098" w14:textId="77777777" w:rsidR="004C6421" w:rsidRDefault="009D1962">
            <w:pPr>
              <w:pStyle w:val="P68B1DB1-Normal4"/>
              <w:jc w:val="center"/>
              <w:rPr>
                <w:noProof/>
              </w:rPr>
            </w:pPr>
            <w:r>
              <w:rPr>
                <w:noProof/>
              </w:rPr>
              <w:t>NIE DOT.</w:t>
            </w:r>
          </w:p>
        </w:tc>
        <w:tc>
          <w:tcPr>
            <w:tcW w:w="368" w:type="pct"/>
            <w:shd w:val="clear" w:color="auto" w:fill="C6EFCE"/>
            <w:noWrap/>
            <w:vAlign w:val="center"/>
            <w:hideMark/>
          </w:tcPr>
          <w:p w14:paraId="5209C1E3" w14:textId="77777777" w:rsidR="004C6421" w:rsidRDefault="009D1962">
            <w:pPr>
              <w:pStyle w:val="P68B1DB1-Normal4"/>
              <w:jc w:val="center"/>
              <w:rPr>
                <w:noProof/>
              </w:rPr>
            </w:pPr>
            <w:r>
              <w:rPr>
                <w:noProof/>
              </w:rPr>
              <w:t>NIE DOT.</w:t>
            </w:r>
          </w:p>
        </w:tc>
        <w:tc>
          <w:tcPr>
            <w:tcW w:w="377" w:type="pct"/>
            <w:shd w:val="clear" w:color="auto" w:fill="C6EFCE"/>
            <w:noWrap/>
            <w:vAlign w:val="center"/>
            <w:hideMark/>
          </w:tcPr>
          <w:p w14:paraId="5B6003EB" w14:textId="77777777" w:rsidR="004C6421" w:rsidRDefault="009D1962">
            <w:pPr>
              <w:pStyle w:val="P68B1DB1-Normal4"/>
              <w:jc w:val="center"/>
              <w:rPr>
                <w:noProof/>
              </w:rPr>
            </w:pPr>
            <w:r>
              <w:rPr>
                <w:noProof/>
              </w:rPr>
              <w:t>NIE DOT.</w:t>
            </w:r>
          </w:p>
        </w:tc>
        <w:tc>
          <w:tcPr>
            <w:tcW w:w="321" w:type="pct"/>
            <w:shd w:val="clear" w:color="auto" w:fill="C6EFCE"/>
            <w:noWrap/>
            <w:vAlign w:val="center"/>
            <w:hideMark/>
          </w:tcPr>
          <w:p w14:paraId="0D834224" w14:textId="77777777" w:rsidR="004C6421" w:rsidRDefault="009D1962">
            <w:pPr>
              <w:pStyle w:val="P68B1DB1-Normal4"/>
              <w:jc w:val="center"/>
              <w:rPr>
                <w:noProof/>
              </w:rPr>
            </w:pPr>
            <w:r>
              <w:rPr>
                <w:noProof/>
              </w:rPr>
              <w:t>II KW.</w:t>
            </w:r>
          </w:p>
          <w:p w14:paraId="7F8D048A" w14:textId="77777777" w:rsidR="004C6421" w:rsidRDefault="004C6421">
            <w:pPr>
              <w:jc w:val="center"/>
              <w:rPr>
                <w:rFonts w:ascii="Arial Narrow" w:hAnsi="Arial Narrow"/>
                <w:noProof/>
                <w:color w:val="006100"/>
                <w:sz w:val="20"/>
              </w:rPr>
            </w:pPr>
          </w:p>
        </w:tc>
        <w:tc>
          <w:tcPr>
            <w:tcW w:w="224" w:type="pct"/>
            <w:shd w:val="clear" w:color="auto" w:fill="C6EFCE"/>
            <w:noWrap/>
            <w:vAlign w:val="center"/>
            <w:hideMark/>
          </w:tcPr>
          <w:p w14:paraId="5FF41B71" w14:textId="77777777" w:rsidR="004C6421" w:rsidRDefault="009D1962">
            <w:pPr>
              <w:pStyle w:val="P68B1DB1-Normal4"/>
              <w:jc w:val="center"/>
              <w:rPr>
                <w:noProof/>
              </w:rPr>
            </w:pPr>
            <w:r>
              <w:rPr>
                <w:noProof/>
              </w:rPr>
              <w:t>2024</w:t>
            </w:r>
          </w:p>
          <w:p w14:paraId="32CD9AE3" w14:textId="77777777" w:rsidR="004C6421" w:rsidRDefault="004C6421">
            <w:pPr>
              <w:jc w:val="center"/>
              <w:rPr>
                <w:rFonts w:ascii="Arial Narrow" w:hAnsi="Arial Narrow"/>
                <w:noProof/>
                <w:color w:val="006100"/>
                <w:sz w:val="20"/>
              </w:rPr>
            </w:pPr>
          </w:p>
        </w:tc>
        <w:tc>
          <w:tcPr>
            <w:tcW w:w="1192" w:type="pct"/>
            <w:shd w:val="clear" w:color="auto" w:fill="C6EFCE"/>
            <w:noWrap/>
            <w:vAlign w:val="center"/>
            <w:hideMark/>
          </w:tcPr>
          <w:p w14:paraId="14BBD254" w14:textId="77777777" w:rsidR="004C6421" w:rsidRDefault="009D1962">
            <w:pPr>
              <w:pStyle w:val="P68B1DB1-Normal4"/>
              <w:rPr>
                <w:noProof/>
              </w:rPr>
            </w:pPr>
            <w:r>
              <w:rPr>
                <w:noProof/>
              </w:rPr>
              <w:t>Definicja minimalnego standardu krajowego nie oznacza utworzenia nowego zawodu regulowanego.</w:t>
            </w:r>
          </w:p>
          <w:p w14:paraId="0480AE85" w14:textId="77777777" w:rsidR="004C6421" w:rsidRDefault="009D1962">
            <w:pPr>
              <w:pStyle w:val="P68B1DB1-Normal4"/>
              <w:rPr>
                <w:noProof/>
              </w:rPr>
            </w:pPr>
            <w:r>
              <w:rPr>
                <w:noProof/>
              </w:rPr>
              <w:t>Reforma przewiduje również szkolenia i doskonalenie zawodowe w celu lepszego wspierania oferty. Reforma kwalifikuje się jako metoda uzyskiwania unikalnych kwalifikacji zawodowych, przyjęta zgodnie z jednolitymi standardami na szczeblu krajowym w drodze ustawy krajowej, a następnie wykonawczych dekretów ministerialnych w sprawie ustaleń między regionami państw.</w:t>
            </w:r>
          </w:p>
        </w:tc>
      </w:tr>
      <w:tr w:rsidR="004C6421" w14:paraId="5C5CC3E9" w14:textId="77777777">
        <w:trPr>
          <w:trHeight w:val="309"/>
          <w:jc w:val="center"/>
        </w:trPr>
        <w:tc>
          <w:tcPr>
            <w:tcW w:w="366" w:type="pct"/>
            <w:shd w:val="clear" w:color="auto" w:fill="C6EFCE"/>
            <w:noWrap/>
            <w:vAlign w:val="center"/>
          </w:tcPr>
          <w:p w14:paraId="29EBB29A" w14:textId="77777777" w:rsidR="004C6421" w:rsidRDefault="009D1962">
            <w:pPr>
              <w:pStyle w:val="P68B1DB1-Normal4"/>
              <w:jc w:val="center"/>
              <w:rPr>
                <w:noProof/>
              </w:rPr>
            </w:pPr>
            <w:r>
              <w:rPr>
                <w:noProof/>
              </w:rPr>
              <w:t>M1C3-11</w:t>
            </w:r>
          </w:p>
        </w:tc>
        <w:tc>
          <w:tcPr>
            <w:tcW w:w="460" w:type="pct"/>
            <w:shd w:val="clear" w:color="auto" w:fill="C6EFCE"/>
            <w:noWrap/>
            <w:vAlign w:val="center"/>
          </w:tcPr>
          <w:p w14:paraId="522F7757" w14:textId="77777777" w:rsidR="004C6421" w:rsidRDefault="009D1962">
            <w:pPr>
              <w:pStyle w:val="P68B1DB1-Normal4"/>
              <w:jc w:val="center"/>
              <w:rPr>
                <w:noProof/>
              </w:rPr>
            </w:pPr>
            <w:r>
              <w:rPr>
                <w:noProof/>
              </w:rPr>
              <w:t>Inwestycje 1.3 – Poprawa efektywności energetycznej w kinach, teatrach i muzeach</w:t>
            </w:r>
          </w:p>
        </w:tc>
        <w:tc>
          <w:tcPr>
            <w:tcW w:w="368" w:type="pct"/>
            <w:shd w:val="clear" w:color="auto" w:fill="C6EFCE"/>
            <w:noWrap/>
            <w:vAlign w:val="center"/>
          </w:tcPr>
          <w:p w14:paraId="020223B2" w14:textId="7F802520" w:rsidR="004C6421" w:rsidRDefault="00CC179E">
            <w:pPr>
              <w:pStyle w:val="P68B1DB1-Normal4"/>
              <w:jc w:val="center"/>
              <w:rPr>
                <w:noProof/>
              </w:rPr>
            </w:pPr>
            <w:r>
              <w:rPr>
                <w:noProof/>
              </w:rPr>
              <w:t>Milowy</w:t>
            </w:r>
          </w:p>
        </w:tc>
        <w:tc>
          <w:tcPr>
            <w:tcW w:w="436" w:type="pct"/>
            <w:shd w:val="clear" w:color="auto" w:fill="C6EFCE"/>
            <w:noWrap/>
            <w:vAlign w:val="center"/>
          </w:tcPr>
          <w:p w14:paraId="27200409" w14:textId="77777777" w:rsidR="004C6421" w:rsidRDefault="009D1962">
            <w:pPr>
              <w:pStyle w:val="P68B1DB1-Normal4"/>
              <w:spacing w:line="276" w:lineRule="auto"/>
              <w:jc w:val="center"/>
              <w:rPr>
                <w:noProof/>
              </w:rPr>
            </w:pPr>
            <w:r>
              <w:rPr>
                <w:noProof/>
              </w:rPr>
              <w:t>Wejście w życie dekretu Ministerstwa Kultury w sprawie przydziału zasobów:</w:t>
            </w:r>
          </w:p>
          <w:p w14:paraId="124792BC" w14:textId="77777777" w:rsidR="004C6421" w:rsidRDefault="009D1962">
            <w:pPr>
              <w:pStyle w:val="P68B1DB1-Normal4"/>
              <w:spacing w:line="276" w:lineRule="auto"/>
              <w:jc w:val="center"/>
              <w:rPr>
                <w:noProof/>
              </w:rPr>
            </w:pPr>
            <w:r>
              <w:rPr>
                <w:noProof/>
              </w:rPr>
              <w:t>poprawa efektywności energetycznej w miejscach kultury</w:t>
            </w:r>
          </w:p>
          <w:p w14:paraId="5ED4E906" w14:textId="77777777" w:rsidR="004C6421" w:rsidRDefault="004C6421">
            <w:pPr>
              <w:jc w:val="center"/>
              <w:rPr>
                <w:rFonts w:ascii="Arial Narrow" w:hAnsi="Arial Narrow"/>
                <w:noProof/>
                <w:color w:val="006100"/>
                <w:sz w:val="20"/>
              </w:rPr>
            </w:pPr>
          </w:p>
        </w:tc>
        <w:tc>
          <w:tcPr>
            <w:tcW w:w="520" w:type="pct"/>
            <w:shd w:val="clear" w:color="auto" w:fill="C6EFCE"/>
            <w:noWrap/>
            <w:vAlign w:val="center"/>
          </w:tcPr>
          <w:p w14:paraId="28FC63E6" w14:textId="77777777" w:rsidR="004C6421" w:rsidRDefault="009D1962">
            <w:pPr>
              <w:pStyle w:val="P68B1DB1-Normal4"/>
              <w:jc w:val="center"/>
              <w:rPr>
                <w:noProof/>
              </w:rPr>
            </w:pPr>
            <w:r>
              <w:rPr>
                <w:noProof/>
              </w:rPr>
              <w:t>Przepis w dekrecie wskazujący na wejście w życie dekretu Ministerstwa Kultury (MIC) dotyczący przydziału zasobów w celu poprawy efektywności energetycznej w miejscach kultury NIE DOT.</w:t>
            </w:r>
          </w:p>
          <w:p w14:paraId="7591246D" w14:textId="77777777" w:rsidR="004C6421" w:rsidRDefault="004C6421">
            <w:pPr>
              <w:jc w:val="center"/>
              <w:rPr>
                <w:rFonts w:ascii="Arial Narrow" w:hAnsi="Arial Narrow"/>
                <w:noProof/>
                <w:color w:val="006100"/>
                <w:sz w:val="20"/>
              </w:rPr>
            </w:pPr>
          </w:p>
        </w:tc>
        <w:tc>
          <w:tcPr>
            <w:tcW w:w="368" w:type="pct"/>
            <w:shd w:val="clear" w:color="auto" w:fill="C6EFCE"/>
            <w:noWrap/>
            <w:vAlign w:val="center"/>
          </w:tcPr>
          <w:p w14:paraId="5C2F5A70" w14:textId="77777777" w:rsidR="004C6421" w:rsidRDefault="009D1962">
            <w:pPr>
              <w:pStyle w:val="P68B1DB1-Normal4"/>
              <w:jc w:val="center"/>
              <w:rPr>
                <w:noProof/>
              </w:rPr>
            </w:pPr>
            <w:r>
              <w:rPr>
                <w:noProof/>
              </w:rPr>
              <w:t>NIE DOT.</w:t>
            </w:r>
          </w:p>
        </w:tc>
        <w:tc>
          <w:tcPr>
            <w:tcW w:w="368" w:type="pct"/>
            <w:shd w:val="clear" w:color="auto" w:fill="C6EFCE"/>
            <w:noWrap/>
            <w:vAlign w:val="center"/>
          </w:tcPr>
          <w:p w14:paraId="1FAD69CF" w14:textId="77777777" w:rsidR="004C6421" w:rsidRDefault="009D1962">
            <w:pPr>
              <w:pStyle w:val="P68B1DB1-Normal4"/>
              <w:jc w:val="center"/>
              <w:rPr>
                <w:noProof/>
              </w:rPr>
            </w:pPr>
            <w:r>
              <w:rPr>
                <w:noProof/>
              </w:rPr>
              <w:t>NIE DOT.</w:t>
            </w:r>
          </w:p>
        </w:tc>
        <w:tc>
          <w:tcPr>
            <w:tcW w:w="377" w:type="pct"/>
            <w:shd w:val="clear" w:color="auto" w:fill="C6EFCE"/>
            <w:noWrap/>
            <w:vAlign w:val="center"/>
          </w:tcPr>
          <w:p w14:paraId="5AC0EBFC" w14:textId="77777777" w:rsidR="004C6421" w:rsidRDefault="009D1962">
            <w:pPr>
              <w:pStyle w:val="P68B1DB1-Normal4"/>
              <w:jc w:val="center"/>
              <w:rPr>
                <w:noProof/>
              </w:rPr>
            </w:pPr>
            <w:r>
              <w:rPr>
                <w:noProof/>
              </w:rPr>
              <w:t>NIE DOT.</w:t>
            </w:r>
          </w:p>
        </w:tc>
        <w:tc>
          <w:tcPr>
            <w:tcW w:w="321" w:type="pct"/>
            <w:shd w:val="clear" w:color="auto" w:fill="C6EFCE"/>
            <w:noWrap/>
            <w:vAlign w:val="center"/>
          </w:tcPr>
          <w:p w14:paraId="362A0ED2" w14:textId="77777777" w:rsidR="004C6421" w:rsidRDefault="009D1962">
            <w:pPr>
              <w:pStyle w:val="P68B1DB1-Normal4"/>
              <w:jc w:val="center"/>
              <w:rPr>
                <w:noProof/>
              </w:rPr>
            </w:pPr>
            <w:r>
              <w:rPr>
                <w:noProof/>
              </w:rPr>
              <w:t>II KW.</w:t>
            </w:r>
          </w:p>
        </w:tc>
        <w:tc>
          <w:tcPr>
            <w:tcW w:w="224" w:type="pct"/>
            <w:shd w:val="clear" w:color="auto" w:fill="C6EFCE"/>
            <w:noWrap/>
            <w:vAlign w:val="center"/>
          </w:tcPr>
          <w:p w14:paraId="068753D4" w14:textId="77777777" w:rsidR="004C6421" w:rsidRDefault="009D1962">
            <w:pPr>
              <w:pStyle w:val="P68B1DB1-Normal4"/>
              <w:jc w:val="center"/>
              <w:rPr>
                <w:noProof/>
              </w:rPr>
            </w:pPr>
            <w:r>
              <w:rPr>
                <w:noProof/>
              </w:rPr>
              <w:t>2022</w:t>
            </w:r>
          </w:p>
        </w:tc>
        <w:tc>
          <w:tcPr>
            <w:tcW w:w="1192" w:type="pct"/>
            <w:shd w:val="clear" w:color="auto" w:fill="C6EFCE"/>
            <w:noWrap/>
            <w:vAlign w:val="center"/>
          </w:tcPr>
          <w:p w14:paraId="10A78EB6" w14:textId="77777777" w:rsidR="004C6421" w:rsidRDefault="009D1962">
            <w:pPr>
              <w:pStyle w:val="P68B1DB1-Normal4"/>
              <w:rPr>
                <w:noProof/>
              </w:rPr>
            </w:pPr>
            <w:r>
              <w:rPr>
                <w:noProof/>
              </w:rPr>
              <w:t>Miejsca kultury odnoszą się do kin, teatrów i muzeów.</w:t>
            </w:r>
          </w:p>
          <w:p w14:paraId="071A936B" w14:textId="77777777" w:rsidR="004C6421" w:rsidRDefault="009D1962">
            <w:pPr>
              <w:pStyle w:val="P68B1DB1-Normal4"/>
              <w:rPr>
                <w:noProof/>
              </w:rPr>
            </w:pPr>
            <w:r>
              <w:rPr>
                <w:noProof/>
              </w:rPr>
              <w:t>(INV. 1.3) W przypadku muzeów i miejsc kultury w celu poprawy efektywności energetycznej interwencja jest realizowana poprzez uznanie propozycji projektów w państwowych obiektach kultury Ministerstwa Kultury (MiC) w przypadku celu 1. W przeciwnym razie identyfikacja instytucji niepaństwowych w przypadkach Celu 2 i 3 odbywa się w drodze zaproszeń do składania ofert.</w:t>
            </w:r>
          </w:p>
          <w:p w14:paraId="2196254C" w14:textId="77777777" w:rsidR="004C6421" w:rsidRDefault="009D1962">
            <w:pPr>
              <w:pStyle w:val="P68B1DB1-Normal4"/>
              <w:rPr>
                <w:noProof/>
              </w:rPr>
            </w:pPr>
            <w:r>
              <w:rPr>
                <w:noProof/>
              </w:rPr>
              <w:t>Udzielanie zamówień na projekty wybrane w ramach konkurencyjnych zaproszeń do składania wniosków musi być zgodne z wytycznymi technicznymi dotyczącymi zasady „nie czyń poważnych szkód” (2021/C58/01) poprzez wykorzystanie listy wykluczenia i wymóg zgodności z odpowiednimi unijnymi i krajowymi przepisami w zakresie ochrony środowiska.</w:t>
            </w:r>
          </w:p>
          <w:p w14:paraId="18219BA5" w14:textId="77777777" w:rsidR="004C6421" w:rsidRDefault="004C6421">
            <w:pPr>
              <w:rPr>
                <w:rFonts w:ascii="Arial Narrow" w:hAnsi="Arial Narrow"/>
                <w:noProof/>
                <w:color w:val="006100"/>
                <w:sz w:val="20"/>
              </w:rPr>
            </w:pPr>
          </w:p>
        </w:tc>
      </w:tr>
    </w:tbl>
    <w:p w14:paraId="6DD4999C" w14:textId="77777777" w:rsidR="004C6421" w:rsidRDefault="004C6421">
      <w:pPr>
        <w:spacing w:before="120" w:after="120"/>
        <w:ind w:left="709"/>
        <w:jc w:val="both"/>
        <w:rPr>
          <w:noProof/>
        </w:rPr>
      </w:pPr>
    </w:p>
    <w:p w14:paraId="1015D8F5" w14:textId="77777777" w:rsidR="004C6421" w:rsidRDefault="004C6421">
      <w:pPr>
        <w:spacing w:before="120" w:after="120"/>
        <w:ind w:left="709"/>
        <w:jc w:val="both"/>
        <w:rPr>
          <w:noProof/>
        </w:rPr>
        <w:sectPr w:rsidR="004C6421" w:rsidSect="00797973">
          <w:headerReference w:type="even" r:id="rId86"/>
          <w:headerReference w:type="default" r:id="rId87"/>
          <w:footerReference w:type="even" r:id="rId88"/>
          <w:footerReference w:type="default" r:id="rId89"/>
          <w:headerReference w:type="first" r:id="rId90"/>
          <w:footerReference w:type="first" r:id="rId91"/>
          <w:pgSz w:w="16839" w:h="11907" w:orient="landscape"/>
          <w:pgMar w:top="1134" w:right="1134" w:bottom="1134" w:left="1134" w:header="567" w:footer="567" w:gutter="0"/>
          <w:cols w:space="720"/>
          <w:docGrid w:linePitch="360"/>
        </w:sectPr>
      </w:pPr>
    </w:p>
    <w:p w14:paraId="3130D60B" w14:textId="77777777" w:rsidR="004C6421" w:rsidRDefault="009D1962">
      <w:pPr>
        <w:pStyle w:val="Heading3"/>
        <w:numPr>
          <w:ilvl w:val="0"/>
          <w:numId w:val="0"/>
        </w:numPr>
        <w:ind w:left="850" w:hanging="850"/>
        <w:rPr>
          <w:b/>
          <w:i w:val="0"/>
          <w:noProof/>
          <w:u w:val="single"/>
        </w:rPr>
      </w:pPr>
      <w:r>
        <w:rPr>
          <w:b/>
          <w:i w:val="0"/>
          <w:noProof/>
          <w:u w:val="single"/>
        </w:rPr>
        <w:t xml:space="preserve">C3. </w:t>
      </w:r>
      <w:r>
        <w:rPr>
          <w:noProof/>
        </w:rPr>
        <w:t xml:space="preserve"> </w:t>
      </w:r>
      <w:r>
        <w:rPr>
          <w:b/>
          <w:i w:val="0"/>
          <w:noProof/>
          <w:u w:val="single"/>
        </w:rPr>
        <w:t xml:space="preserve">Opis reform i inwestycji związanych z pożyczką </w:t>
      </w:r>
    </w:p>
    <w:p w14:paraId="39902FD3" w14:textId="77777777" w:rsidR="004C6421" w:rsidRDefault="009D1962">
      <w:pPr>
        <w:pStyle w:val="P68B1DB1-Normal2"/>
        <w:jc w:val="both"/>
        <w:rPr>
          <w:noProof/>
        </w:rPr>
      </w:pPr>
      <w:r>
        <w:rPr>
          <w:noProof/>
        </w:rPr>
        <w:t>Inwestycja 2.1: Atrakcyjność małych historycznych miast</w:t>
      </w:r>
    </w:p>
    <w:p w14:paraId="6B878498" w14:textId="77777777" w:rsidR="004C6421" w:rsidRDefault="004C6421">
      <w:pPr>
        <w:jc w:val="both"/>
        <w:rPr>
          <w:noProof/>
        </w:rPr>
      </w:pPr>
    </w:p>
    <w:p w14:paraId="48F6BE58" w14:textId="77777777" w:rsidR="004C6421" w:rsidRDefault="009D1962">
      <w:pPr>
        <w:jc w:val="both"/>
        <w:rPr>
          <w:noProof/>
        </w:rPr>
      </w:pPr>
      <w:r>
        <w:rPr>
          <w:noProof/>
        </w:rPr>
        <w:t>Inwestycja ta została włączona do programu „Piano Nazionale Borghi”, którego celem jest wspieranie rozwoju gospodarczego/społecznego obszarów o niekorzystnych warunkach gospodarowania w oparciu o rewitalizację kulturalną małych miast i rewitalizację turystyki. Działania te opierają się na zintegrowanych lokalnych projektach kulturalnych.</w:t>
      </w:r>
    </w:p>
    <w:p w14:paraId="3CF10B03" w14:textId="77777777" w:rsidR="004C6421" w:rsidRDefault="004C6421">
      <w:pPr>
        <w:jc w:val="both"/>
        <w:rPr>
          <w:noProof/>
        </w:rPr>
      </w:pPr>
    </w:p>
    <w:p w14:paraId="06405227" w14:textId="77777777" w:rsidR="004C6421" w:rsidRDefault="009D1962">
      <w:pPr>
        <w:spacing w:after="120"/>
        <w:jc w:val="both"/>
        <w:rPr>
          <w:noProof/>
        </w:rPr>
      </w:pPr>
      <w:r>
        <w:rPr>
          <w:noProof/>
        </w:rPr>
        <w:t>Środki te koncentrują się na: odtwarzanie dziedzictwa historycznego, modernizacja otwartych przestrzeni publicznych (np. usuwanie barier architektonicznych, poprawa mebli miejskich), tworzenie małych usług kulturalnych, w tym w celach turystycznych; zachęca się do tworzenia i promowania nowych tras (np. szlaków tematycznych, tras historycznych) i wycieczek z przewodnikiem; wprowadzenie wsparcia finansowego na rzecz działalności kulturalnej, twórczej, turystycznej, handlowej, rolno-spożywczej i rzemieślniczej, mającej na celu ożywienie lokalnej gospodarki poprzez rozwój lokalnych produktów, wiedzy i technik.</w:t>
      </w:r>
    </w:p>
    <w:p w14:paraId="6C9C5065" w14:textId="77777777" w:rsidR="004C6421" w:rsidRDefault="009D1962">
      <w:pPr>
        <w:spacing w:after="120"/>
        <w:jc w:val="both"/>
        <w:rPr>
          <w:noProof/>
        </w:rPr>
      </w:pPr>
      <w:r>
        <w:rPr>
          <w:noProof/>
        </w:rPr>
        <w:t>Aby zapewnić zgodność środka z wytycznymi technicznymi zasady „nie czyń poważnych szkód” (2021/C58/01), kryteria kwalifikowalności zawarte w zakresie wymagań i obowiązków w odniesieniu do przyszłych zaproszeń do składania projektów wykluczają następujący wykaz działań: (i) działalności związanej z paliwami kopalnymi, w tym wykorzystania niższego szczebla</w:t>
      </w:r>
      <w:r>
        <w:rPr>
          <w:rStyle w:val="FootnoteReference"/>
          <w:noProof/>
        </w:rPr>
        <w:footnoteReference w:id="27"/>
      </w:r>
      <w:r>
        <w:rPr>
          <w:noProof/>
        </w:rPr>
        <w:t>; (II) działania w ramach unijnego systemu handlu uprawnieniami do emisji (ETS) prowadzące do osiągnięcia prognozowanych emisji gazów cieplarnianych, które nie są niższe niż odpowiednie wskaźniki referencyjne</w:t>
      </w:r>
      <w:r>
        <w:rPr>
          <w:rStyle w:val="FootnoteReference"/>
          <w:noProof/>
        </w:rPr>
        <w:footnoteReference w:id="28"/>
      </w:r>
      <w:r>
        <w:rPr>
          <w:noProof/>
        </w:rPr>
        <w:t>; (III) działania związane ze składowiskami odpadów, spalarniami</w:t>
      </w:r>
      <w:r>
        <w:rPr>
          <w:rStyle w:val="FootnoteReference"/>
          <w:noProof/>
        </w:rPr>
        <w:footnoteReference w:id="29"/>
      </w:r>
      <w:r>
        <w:rPr>
          <w:noProof/>
        </w:rPr>
        <w:t xml:space="preserve"> i zakładami mechaniczno-biologicznego przetwarzania odpadów</w:t>
      </w:r>
      <w:r>
        <w:rPr>
          <w:rStyle w:val="FootnoteReference"/>
          <w:noProof/>
        </w:rPr>
        <w:footnoteReference w:id="30"/>
      </w:r>
      <w:r>
        <w:rPr>
          <w:noProof/>
        </w:rPr>
        <w:t>; oraz (iv) działań, w przypadku których długoterminowe unieszkodliwianie odpadów może szkodzić środowisku naturalnemu. W specyfikacji istotnych warunków zamówienia należy dodatkowo zawrzeć wymóg, aby wybierane były wyłącznie działania zgodne z odpowiednimi przepisami unijnymi i krajowymi w zakresie ochrony środowiska.”;</w:t>
      </w:r>
    </w:p>
    <w:p w14:paraId="43C535AB" w14:textId="77777777" w:rsidR="004C6421" w:rsidRDefault="009D1962">
      <w:pPr>
        <w:pStyle w:val="P68B1DB1-Normal2"/>
        <w:spacing w:after="120"/>
        <w:jc w:val="both"/>
        <w:rPr>
          <w:noProof/>
        </w:rPr>
      </w:pPr>
      <w:r>
        <w:rPr>
          <w:noProof/>
        </w:rPr>
        <w:t xml:space="preserve">Inwestycje 2.2: Ochrona i poprawa architektury i krajobrazu obszarów wiejskich </w:t>
      </w:r>
    </w:p>
    <w:p w14:paraId="7FA8A813" w14:textId="77777777" w:rsidR="004C6421" w:rsidRDefault="009D1962">
      <w:pPr>
        <w:spacing w:after="120"/>
        <w:jc w:val="both"/>
        <w:rPr>
          <w:noProof/>
        </w:rPr>
      </w:pPr>
      <w:r>
        <w:rPr>
          <w:noProof/>
        </w:rPr>
        <w:t>Inwestycja ta stymuluje systematyczny proces modernizacji historycznych budynków wiejskich (podmiotów prywatnych lub podmiotów trzeciego sektora) oraz ochrony krajobrazu.</w:t>
      </w:r>
    </w:p>
    <w:p w14:paraId="0444E1A2" w14:textId="77777777" w:rsidR="004C6421" w:rsidRDefault="009D1962">
      <w:pPr>
        <w:spacing w:after="120"/>
        <w:jc w:val="both"/>
        <w:rPr>
          <w:noProof/>
        </w:rPr>
      </w:pPr>
      <w:r>
        <w:rPr>
          <w:noProof/>
        </w:rPr>
        <w:t xml:space="preserve">Wiele budynków wiejskich i struktur rolniczych przechodziło stopniowe porzucanie, degradację i zmiany, które osłabiły ich charakterystyczne cechy i związek z otoczeniem. Poprzez odbudowę zasobów budowlanych na obszarach wiejskich środek ten poprawia jakość krajobrazu wiejskiego poprzez powrót do społeczności niedostatecznie wykorzystywanych zasobów budowlanych, które nie są publicznie dostępne. </w:t>
      </w:r>
    </w:p>
    <w:p w14:paraId="6190B9B9" w14:textId="77777777" w:rsidR="004C6421" w:rsidRDefault="004C6421">
      <w:pPr>
        <w:spacing w:after="120"/>
        <w:jc w:val="both"/>
        <w:rPr>
          <w:b/>
          <w:noProof/>
        </w:rPr>
        <w:sectPr w:rsidR="004C6421" w:rsidSect="00797973">
          <w:headerReference w:type="even" r:id="rId92"/>
          <w:headerReference w:type="default" r:id="rId93"/>
          <w:footerReference w:type="even" r:id="rId94"/>
          <w:footerReference w:type="default" r:id="rId95"/>
          <w:headerReference w:type="first" r:id="rId96"/>
          <w:footerReference w:type="first" r:id="rId97"/>
          <w:pgSz w:w="11907" w:h="16839"/>
          <w:pgMar w:top="1134" w:right="1134" w:bottom="1134" w:left="1134" w:header="567" w:footer="567" w:gutter="0"/>
          <w:cols w:space="720"/>
          <w:docGrid w:linePitch="360"/>
        </w:sectPr>
      </w:pPr>
    </w:p>
    <w:p w14:paraId="0831DF0E" w14:textId="77777777" w:rsidR="004C6421" w:rsidRDefault="009D1962">
      <w:pPr>
        <w:pStyle w:val="P68B1DB1-Normal2"/>
        <w:spacing w:after="120"/>
        <w:jc w:val="both"/>
        <w:rPr>
          <w:noProof/>
        </w:rPr>
      </w:pPr>
      <w:r>
        <w:rPr>
          <w:noProof/>
        </w:rPr>
        <w:t xml:space="preserve">Inwestycja 2.3: Programy mające na celu wzmocnienie tożsamości miejsc: parki i ogrody historyczne </w:t>
      </w:r>
    </w:p>
    <w:p w14:paraId="7C46BE53" w14:textId="77777777" w:rsidR="004C6421" w:rsidRDefault="009D1962">
      <w:pPr>
        <w:spacing w:after="120"/>
        <w:jc w:val="both"/>
        <w:rPr>
          <w:noProof/>
        </w:rPr>
      </w:pPr>
      <w:r>
        <w:rPr>
          <w:noProof/>
        </w:rPr>
        <w:t xml:space="preserve">Inwestycja ta ma na celu przeciwdziałanie upadkowi miast i przywrócenie wspólnej tożsamości miejsc, stworzenie nowych możliwości ożywienia lokalnych gospodarek i łagodzenia skutków kryzysu oraz podniesienie umiejętności w zakresie zarządzania historycznymi parkami i ogrodami oraz ich utrzymania. </w:t>
      </w:r>
    </w:p>
    <w:p w14:paraId="410076BB" w14:textId="77777777" w:rsidR="004C6421" w:rsidRDefault="009D1962">
      <w:pPr>
        <w:spacing w:after="120"/>
        <w:jc w:val="both"/>
        <w:rPr>
          <w:noProof/>
        </w:rPr>
      </w:pPr>
      <w:r>
        <w:rPr>
          <w:noProof/>
        </w:rPr>
        <w:t>Inwestycja przewiduje renowację zabytkowych parków i ogrodów oraz wprowadza rozległą wiedzę i renowację włoskich zabytkowych parków i ogrodów w celu ich właściwego utrzymania, zarządzania i użytkowania publicznego. Środki przeznacza się na rewitalizację tych terenów oraz na szkolenie miejscowego personelu, który z czasem może je przetwarzać/zachowywać.</w:t>
      </w:r>
    </w:p>
    <w:p w14:paraId="49D7B215" w14:textId="77777777" w:rsidR="004C6421" w:rsidRDefault="009D1962">
      <w:pPr>
        <w:spacing w:after="120"/>
        <w:jc w:val="both"/>
        <w:rPr>
          <w:noProof/>
        </w:rPr>
      </w:pPr>
      <w:r>
        <w:rPr>
          <w:noProof/>
        </w:rPr>
        <w:t>Poza wartością kulturową i historyczną ogrody i parki historyczne przyczyniają się do podnoszenia wartości środowiskowych i odgrywają ważną rolę w ochronie, wytwarzaniu tlenu, zmniejszaniu zanieczyszczenia środowiska i hałasu oraz w regulacji mikroklimatu.</w:t>
      </w:r>
    </w:p>
    <w:p w14:paraId="72D7BAC6" w14:textId="77777777" w:rsidR="004C6421" w:rsidRDefault="009D1962">
      <w:pPr>
        <w:pStyle w:val="P68B1DB1-Normal2"/>
        <w:spacing w:after="120"/>
        <w:jc w:val="both"/>
        <w:rPr>
          <w:noProof/>
        </w:rPr>
      </w:pPr>
      <w:r>
        <w:rPr>
          <w:noProof/>
        </w:rPr>
        <w:t>Inwestycja 2.4: Bezpieczeństwo sejsmiczne miejsc kultu, renowacja dziedzictwa FEC i schronisk dla dzieł sztuki (Recovery Art)</w:t>
      </w:r>
    </w:p>
    <w:p w14:paraId="59253464" w14:textId="77777777" w:rsidR="004C6421" w:rsidRDefault="009D1962">
      <w:pPr>
        <w:spacing w:after="120"/>
        <w:jc w:val="both"/>
        <w:rPr>
          <w:noProof/>
        </w:rPr>
      </w:pPr>
      <w:r>
        <w:rPr>
          <w:noProof/>
        </w:rPr>
        <w:t>Wprowadza się plan działań zapobiegawczych przeciwko sejsmizmowi w celu znacznego zmniejszenia ryzyka dla miejsc kultu, a tym samym uniknięcia potencjalnych kosztów odbudowy po klęskach żywiołowych, a także trwałej utraty wielu aktywów. Plan działania obejmuje trzy kierunki działań:  ochronę miejsc kultu przed zagrożeniami sejsmicznymi; odbudowa dziedzictwa Funduszu dla miejsc kultu (FEC) i budowa magazynów stanowiących schronienie dla dzieł sztuki w przypadku katastrof.</w:t>
      </w:r>
    </w:p>
    <w:p w14:paraId="0357C0EA" w14:textId="77777777" w:rsidR="004C6421" w:rsidRDefault="009D1962">
      <w:pPr>
        <w:spacing w:after="120"/>
        <w:jc w:val="both"/>
        <w:rPr>
          <w:b/>
          <w:noProof/>
          <w:u w:val="single"/>
        </w:rPr>
      </w:pPr>
      <w:r>
        <w:rPr>
          <w:noProof/>
        </w:rPr>
        <w:t>Inwestycja przewiduje również utworzenie Krajowego Ośrodka Funkcjonalnego Ochrony Zagrożeń Kulturowych przed Zagrożeniami Ludzkimi i Naturalnymi (CEFURISC), co umożliwi bardziej synergiczne wykorzystanie istniejących technologii i systemów ochrony środowiska w celu monitorowania obiektów kultury, nadzoru nad nimi i zarządzania nimi.</w:t>
      </w:r>
      <w:r>
        <w:rPr>
          <w:b/>
          <w:noProof/>
          <w:u w:val="single"/>
        </w:rPr>
        <w:t xml:space="preserve"> </w:t>
      </w:r>
    </w:p>
    <w:p w14:paraId="589089A7" w14:textId="77777777" w:rsidR="004C6421" w:rsidRDefault="009D1962">
      <w:pPr>
        <w:pStyle w:val="P68B1DB1-Normal2"/>
        <w:spacing w:after="120"/>
        <w:jc w:val="both"/>
        <w:rPr>
          <w:noProof/>
        </w:rPr>
      </w:pPr>
      <w:r>
        <w:rPr>
          <w:noProof/>
        </w:rPr>
        <w:t>Inwestycje 4.2: Fundusze na konkurencyjność przedsiębiorstw turystycznych</w:t>
      </w:r>
    </w:p>
    <w:p w14:paraId="3BFDB1CC" w14:textId="77777777" w:rsidR="004C6421" w:rsidRDefault="009D1962">
      <w:pPr>
        <w:spacing w:after="120"/>
        <w:jc w:val="both"/>
        <w:rPr>
          <w:noProof/>
        </w:rPr>
      </w:pPr>
      <w:r>
        <w:rPr>
          <w:noProof/>
        </w:rPr>
        <w:t>Środek ten ma na celu wspieranie przedsiębiorstw działających w sektorze turystyki.  Obejmuje on ulgę podatkową na prace mające na celu poprawę warunków zakwaterowania, fundusz gwarancyjny ułatwiający dostęp do kredytów przedsiębiorstwom w tym sektorze (poprzez specjalną sekcję Funduszu Gwarancyjnego dla MŚP), uruchomienie funduszu tematycznego EBI na rzecz turystyki w celu wspierania innowacyjnych inwestycji w tym sektorze, fundusz kapitałowy (Krajowy Fundusz Turystyczny) na rzecz przebudowy nieruchomości o dużym potencjale turystycznym. Dodatkowe instrumenty finansowe (FRI – Fondo Rotativo) uzupełniają wyżej wymienione środki mające na celu wsparcie przedsiębiorstw działających w sektorze turystyki. Powyższe interwencje przeprowadza się zgodnie z polityką inwestycyjną zgodną z celami rozporządzenia (UE) 2021/241, w tym w odniesieniu do stosowania zasady „nie czyń poważnych szkód”, jak określono szczegółowo w wytycznych technicznych dotyczących stosowania zasady „nie czyń poważnych szkód” na podstawie rozporządzenia w sprawie Instrumentu na rzecz Odbudowy i Zwiększania Odporności (2021/C58/01).</w:t>
      </w:r>
    </w:p>
    <w:p w14:paraId="0E9AA8B1" w14:textId="77777777" w:rsidR="004C6421" w:rsidRDefault="009D1962">
      <w:pPr>
        <w:pStyle w:val="Text1"/>
        <w:spacing w:before="0"/>
        <w:ind w:left="0"/>
        <w:rPr>
          <w:noProof/>
        </w:rPr>
      </w:pPr>
      <w:r>
        <w:rPr>
          <w:noProof/>
        </w:rPr>
        <w:t xml:space="preserve">Aby zapewnić zgodność środka z wytycznymi technicznymi dotyczącymi zasady „nie czyń poważnych szkód” (2021/C58/01), umowa prawna i późniejsza polityka inwestycyjna instrumentów finansowych: </w:t>
      </w:r>
    </w:p>
    <w:p w14:paraId="5E465003" w14:textId="77777777" w:rsidR="004C6421" w:rsidRDefault="009D1962">
      <w:pPr>
        <w:pStyle w:val="Text1"/>
        <w:numPr>
          <w:ilvl w:val="0"/>
          <w:numId w:val="83"/>
        </w:numPr>
        <w:spacing w:before="0"/>
        <w:ind w:left="567" w:hanging="283"/>
        <w:rPr>
          <w:noProof/>
        </w:rPr>
      </w:pPr>
      <w:r>
        <w:rPr>
          <w:noProof/>
        </w:rPr>
        <w:t>wymagać stosowania wytycznych technicznych Komisji dotyczących kontroli zrównoważonego charakteru projektów w odniesieniu do Funduszu InvestEU; oraz</w:t>
      </w:r>
    </w:p>
    <w:p w14:paraId="4A786865" w14:textId="77777777" w:rsidR="004C6421" w:rsidRDefault="009D1962">
      <w:pPr>
        <w:pStyle w:val="Text1"/>
        <w:numPr>
          <w:ilvl w:val="0"/>
          <w:numId w:val="83"/>
        </w:numPr>
        <w:spacing w:before="0"/>
        <w:ind w:left="567" w:hanging="283"/>
        <w:rPr>
          <w:noProof/>
        </w:rPr>
      </w:pPr>
      <w:r>
        <w:rPr>
          <w:noProof/>
        </w:rPr>
        <w:t>wyłączyć następujący wykaz rodzajów działalności: (i) działalności związanej z paliwami kopalnymi, w tym wykorzystania niższego szczebla</w:t>
      </w:r>
      <w:r>
        <w:rPr>
          <w:rStyle w:val="FootnoteReference"/>
          <w:noProof/>
        </w:rPr>
        <w:footnoteReference w:id="31"/>
      </w:r>
      <w:r>
        <w:rPr>
          <w:noProof/>
        </w:rPr>
        <w:t>; (II) działania w ramach unijnego systemu handlu uprawnieniami do emisji (ETS) prowadzące do osiągnięcia prognozowanych emisji gazów cieplarnianych, które nie są niższe niż odpowiednie wskaźniki referencyjne</w:t>
      </w:r>
      <w:r>
        <w:rPr>
          <w:rStyle w:val="FootnoteReference"/>
          <w:noProof/>
        </w:rPr>
        <w:footnoteReference w:id="32"/>
      </w:r>
      <w:r>
        <w:rPr>
          <w:noProof/>
        </w:rPr>
        <w:t>; (III) działania związane ze składowiskami odpadów, spalarniami</w:t>
      </w:r>
      <w:r>
        <w:rPr>
          <w:rStyle w:val="FootnoteReference"/>
          <w:noProof/>
        </w:rPr>
        <w:footnoteReference w:id="33"/>
      </w:r>
      <w:r>
        <w:rPr>
          <w:noProof/>
        </w:rPr>
        <w:t xml:space="preserve"> i zakładami mechaniczno-biologicznego przetwarzania odpadów</w:t>
      </w:r>
      <w:r>
        <w:rPr>
          <w:rStyle w:val="FootnoteReference"/>
          <w:noProof/>
        </w:rPr>
        <w:footnoteReference w:id="34"/>
      </w:r>
      <w:r>
        <w:rPr>
          <w:noProof/>
        </w:rPr>
        <w:t>; oraz (iv) działalności, w ramach której długotrwałe unieszkodliwianie odpadów może powodować szkody dla środowiska; oraz</w:t>
      </w:r>
    </w:p>
    <w:p w14:paraId="0849B45A" w14:textId="77777777" w:rsidR="004C6421" w:rsidRDefault="009D1962">
      <w:pPr>
        <w:pStyle w:val="Text1"/>
        <w:numPr>
          <w:ilvl w:val="0"/>
          <w:numId w:val="83"/>
        </w:numPr>
        <w:spacing w:before="0"/>
        <w:ind w:left="567" w:hanging="283"/>
        <w:rPr>
          <w:noProof/>
        </w:rPr>
      </w:pPr>
      <w:r>
        <w:rPr>
          <w:noProof/>
        </w:rPr>
        <w:t>wymagać weryfikacji zgodności projektów z odpowiednimi unijnymi i krajowymi przepisami w zakresie ochrony środowiska przez podmiot, któremu powierza się zadania, lub pośrednika finansowego w odniesieniu do wszystkich transakcji, w tym transakcji zwolnionych z kontroli zrównoważonego charakteru projektów.</w:t>
      </w:r>
    </w:p>
    <w:p w14:paraId="0E988304" w14:textId="77777777" w:rsidR="004C6421" w:rsidRDefault="009D1962">
      <w:pPr>
        <w:pStyle w:val="P68B1DB1-Normal2"/>
        <w:spacing w:after="120"/>
        <w:jc w:val="both"/>
        <w:rPr>
          <w:noProof/>
        </w:rPr>
      </w:pPr>
      <w:r>
        <w:rPr>
          <w:noProof/>
        </w:rPr>
        <w:t>Inwestycje 3.2: Rozwój przemysłu filmowego (projekt Cinecittà)</w:t>
      </w:r>
    </w:p>
    <w:p w14:paraId="0BE6EB46" w14:textId="77777777" w:rsidR="004C6421" w:rsidRDefault="009D1962">
      <w:pPr>
        <w:spacing w:after="120"/>
        <w:jc w:val="both"/>
        <w:rPr>
          <w:noProof/>
        </w:rPr>
      </w:pPr>
      <w:r>
        <w:rPr>
          <w:noProof/>
        </w:rPr>
        <w:t xml:space="preserve"> Celem inwestycji jest zwiększenie konkurencyjności włoskiego sektora filmowego i audiowizualnego. Projekt ma na celu złagodzenie społecznych i gospodarczych skutków kryzysu w celu zwiększenia wzrostu gospodarczego, zatrudnienia i konkurencyjności, w tym poprzez działania w zakresie szkoleń, obejmujące trzy kierunki działania.</w:t>
      </w:r>
    </w:p>
    <w:p w14:paraId="34DCA676" w14:textId="77777777" w:rsidR="004C6421" w:rsidRDefault="009D1962">
      <w:pPr>
        <w:pStyle w:val="ListParagraph"/>
        <w:numPr>
          <w:ilvl w:val="0"/>
          <w:numId w:val="82"/>
        </w:numPr>
        <w:spacing w:before="0"/>
        <w:contextualSpacing w:val="0"/>
        <w:rPr>
          <w:noProof/>
        </w:rPr>
      </w:pPr>
      <w:r>
        <w:rPr>
          <w:noProof/>
        </w:rPr>
        <w:t>Linia A: Budowa nowych studiów oraz odzyskiwanie istniejących i załączników, w tym zaawansowanych technologicznie rozwiązań.</w:t>
      </w:r>
    </w:p>
    <w:p w14:paraId="0FEAC207" w14:textId="77777777" w:rsidR="004C6421" w:rsidRDefault="009D1962">
      <w:pPr>
        <w:pStyle w:val="ListParagraph"/>
        <w:numPr>
          <w:ilvl w:val="0"/>
          <w:numId w:val="82"/>
        </w:numPr>
        <w:spacing w:before="0"/>
        <w:contextualSpacing w:val="0"/>
        <w:rPr>
          <w:noProof/>
        </w:rPr>
      </w:pPr>
      <w:r>
        <w:rPr>
          <w:noProof/>
        </w:rPr>
        <w:t>Linia B: Innowacyjne inwestycje mające na celu wzmocnienie działalności produkcyjnej i szkoleniowej centrum eksperymentalnego ds. kinematografii, w tym nowe narzędzia produkcji audiowizualnej, internacjonalizacji, wymiany kulturalnej i edukacyjnej; rozwój infrastruktury (wirtualna produkcja na żywo) do użytku profesjonalnego i edukacyjnego poprzez e-uczenie się, cyfryzację i modernizację zasobów budowlanych i roślinnych, w szczególności w celu wspierania transformacji technologicznej i środowiskowej; ochrona i cyfryzacja dziedzictwa audiowizualnego</w:t>
      </w:r>
    </w:p>
    <w:p w14:paraId="3C22531F" w14:textId="77777777" w:rsidR="004C6421" w:rsidRDefault="009D1962">
      <w:pPr>
        <w:pStyle w:val="ListParagraph"/>
        <w:numPr>
          <w:ilvl w:val="0"/>
          <w:numId w:val="82"/>
        </w:numPr>
        <w:spacing w:before="0"/>
        <w:contextualSpacing w:val="0"/>
        <w:rPr>
          <w:noProof/>
        </w:rPr>
      </w:pPr>
      <w:r>
        <w:rPr>
          <w:noProof/>
        </w:rPr>
        <w:t>Linia C: Podnoszenie umiejętności i kompetencji zawodowych w sektorze audiowizualnym w trzech makroobszarach zawodowych: biznes/zarządzający; kreatywny/artystyczny; pracownicy techniczni.</w:t>
      </w:r>
    </w:p>
    <w:p w14:paraId="0BDB982B" w14:textId="77777777" w:rsidR="004C6421" w:rsidRDefault="009D1962">
      <w:pPr>
        <w:pStyle w:val="P68B1DB1-Normal2"/>
        <w:spacing w:after="120"/>
        <w:jc w:val="both"/>
        <w:rPr>
          <w:noProof/>
        </w:rPr>
      </w:pPr>
      <w:r>
        <w:rPr>
          <w:noProof/>
        </w:rPr>
        <w:t>Inwestycja 4.3: Caput Mundi Next Generation EU na rzecz wielkich imprez turystycznych.</w:t>
      </w:r>
    </w:p>
    <w:p w14:paraId="02695D2D" w14:textId="77777777" w:rsidR="004C6421" w:rsidRDefault="009D1962">
      <w:pPr>
        <w:tabs>
          <w:tab w:val="left" w:pos="1340"/>
          <w:tab w:val="left" w:pos="1341"/>
        </w:tabs>
        <w:spacing w:after="120"/>
        <w:ind w:right="-7"/>
        <w:jc w:val="both"/>
        <w:rPr>
          <w:noProof/>
        </w:rPr>
      </w:pPr>
      <w:r>
        <w:rPr>
          <w:noProof/>
        </w:rPr>
        <w:t>Projekt ma na celu zwiększenie liczby dostępnych miejsc turystycznych, stworzenie ważnych i wykwalifikowanych alternatyw turystycznych i kulturowych w stosunku do zatłoczonych obszarów centralnych, a także zwiększenie wykorzystania technologii cyfrowych, wzmocnienie obszarów zielonych i zrównoważonego charakteru turystyki. Inwestycja przewiduje sześć linii interwencji:</w:t>
      </w:r>
    </w:p>
    <w:p w14:paraId="1F2839A0" w14:textId="77777777" w:rsidR="004C6421" w:rsidRDefault="009D1962">
      <w:pPr>
        <w:pStyle w:val="ListParagraph"/>
        <w:numPr>
          <w:ilvl w:val="0"/>
          <w:numId w:val="139"/>
        </w:numPr>
        <w:tabs>
          <w:tab w:val="left" w:pos="1340"/>
          <w:tab w:val="left" w:pos="1341"/>
        </w:tabs>
        <w:ind w:right="-7"/>
        <w:rPr>
          <w:noProof/>
        </w:rPr>
      </w:pPr>
      <w:r>
        <w:rPr>
          <w:noProof/>
        </w:rPr>
        <w:t xml:space="preserve">„Rzymskie dziedzictwo kulturowe dla nowej generacji UE”, obejmujące rewitalizację i odbudowę dziedzictwa kulturowego i miejskiego oraz kompleksów o wysokiej wartości historycznej i architektonicznej miasta Rzym;  </w:t>
      </w:r>
    </w:p>
    <w:p w14:paraId="65378465" w14:textId="77777777" w:rsidR="004C6421" w:rsidRDefault="009D1962">
      <w:pPr>
        <w:pStyle w:val="ListParagraph"/>
        <w:numPr>
          <w:ilvl w:val="0"/>
          <w:numId w:val="139"/>
        </w:numPr>
        <w:tabs>
          <w:tab w:val="left" w:pos="1340"/>
          <w:tab w:val="left" w:pos="1341"/>
        </w:tabs>
        <w:ind w:right="-7"/>
        <w:rPr>
          <w:noProof/>
        </w:rPr>
      </w:pPr>
      <w:r>
        <w:rPr>
          <w:noProof/>
        </w:rPr>
        <w:t>„Drogi jubileuszowe” (od paganu do chrześcijańskiego Rzymu), ukierunkowane na poprawę, bezpieczeństwo, konsolidację antysejsmiczną, odbudowę miejsc i budynków o znaczeniu historycznym oraz ścieżki archeologiczne;</w:t>
      </w:r>
    </w:p>
    <w:p w14:paraId="1DDEFC4C" w14:textId="77777777" w:rsidR="004C6421" w:rsidRDefault="009D1962">
      <w:pPr>
        <w:pStyle w:val="ListParagraph"/>
        <w:numPr>
          <w:ilvl w:val="0"/>
          <w:numId w:val="139"/>
        </w:numPr>
        <w:tabs>
          <w:tab w:val="left" w:pos="1340"/>
          <w:tab w:val="left" w:pos="1341"/>
        </w:tabs>
        <w:ind w:right="-7"/>
        <w:rPr>
          <w:noProof/>
        </w:rPr>
      </w:pPr>
      <w:r>
        <w:rPr>
          <w:noProof/>
        </w:rPr>
        <w:t>#LaCittàCondivisa, obejmujące przebudowę terenów na obszarach peryferyjnych;</w:t>
      </w:r>
    </w:p>
    <w:p w14:paraId="0E81AEC7" w14:textId="77777777" w:rsidR="004C6421" w:rsidRDefault="009D1962">
      <w:pPr>
        <w:pStyle w:val="ListParagraph"/>
        <w:numPr>
          <w:ilvl w:val="0"/>
          <w:numId w:val="139"/>
        </w:numPr>
        <w:tabs>
          <w:tab w:val="left" w:pos="1340"/>
          <w:tab w:val="left" w:pos="1341"/>
        </w:tabs>
        <w:ind w:right="-7"/>
        <w:rPr>
          <w:noProof/>
        </w:rPr>
      </w:pPr>
      <w:r>
        <w:rPr>
          <w:noProof/>
        </w:rPr>
        <w:t>#Mitingodiverde, obejmujące interwencje w parkach, ogrodach historycznych, wilach i fontannach;</w:t>
      </w:r>
    </w:p>
    <w:p w14:paraId="201AC07E" w14:textId="77777777" w:rsidR="004C6421" w:rsidRDefault="009D1962">
      <w:pPr>
        <w:pStyle w:val="ListParagraph"/>
        <w:numPr>
          <w:ilvl w:val="0"/>
          <w:numId w:val="139"/>
        </w:numPr>
        <w:tabs>
          <w:tab w:val="left" w:pos="1340"/>
          <w:tab w:val="left" w:pos="1341"/>
        </w:tabs>
        <w:ind w:right="-7"/>
        <w:rPr>
          <w:noProof/>
        </w:rPr>
      </w:pPr>
      <w:r>
        <w:rPr>
          <w:noProof/>
        </w:rPr>
        <w:t>#Roma 4.0, obejmująca cyfryzację usług kulturalnych i rozwój aplikacji dla turystów;</w:t>
      </w:r>
    </w:p>
    <w:p w14:paraId="3D575E17" w14:textId="77777777" w:rsidR="004C6421" w:rsidRDefault="009D1962">
      <w:pPr>
        <w:pStyle w:val="ListParagraph"/>
        <w:numPr>
          <w:ilvl w:val="0"/>
          <w:numId w:val="139"/>
        </w:numPr>
        <w:tabs>
          <w:tab w:val="left" w:pos="1340"/>
          <w:tab w:val="left" w:pos="1341"/>
        </w:tabs>
        <w:ind w:right="-7"/>
        <w:rPr>
          <w:noProof/>
          <w:shd w:val="clear" w:color="auto" w:fill="E6E6E6"/>
        </w:rPr>
        <w:sectPr w:rsidR="004C6421" w:rsidSect="00797973">
          <w:headerReference w:type="even" r:id="rId98"/>
          <w:headerReference w:type="default" r:id="rId99"/>
          <w:footerReference w:type="even" r:id="rId100"/>
          <w:footerReference w:type="default" r:id="rId101"/>
          <w:headerReference w:type="first" r:id="rId102"/>
          <w:footerReference w:type="first" r:id="rId103"/>
          <w:pgSz w:w="11907" w:h="16839"/>
          <w:pgMar w:top="1134" w:right="1134" w:bottom="1134" w:left="1134" w:header="567" w:footer="567" w:gutter="0"/>
          <w:cols w:space="720"/>
          <w:docGrid w:linePitch="360"/>
        </w:sectPr>
      </w:pPr>
      <w:r>
        <w:rPr>
          <w:noProof/>
        </w:rPr>
        <w:t>#Amanotesa, którego celem jest zwiększenie oferty kulturalnej dla peryferiów w celu integracji społecznej.</w:t>
      </w:r>
    </w:p>
    <w:p w14:paraId="5BC17AA9" w14:textId="77777777" w:rsidR="004C6421" w:rsidRDefault="009D1962">
      <w:pPr>
        <w:pStyle w:val="Heading3"/>
        <w:numPr>
          <w:ilvl w:val="0"/>
          <w:numId w:val="0"/>
        </w:numPr>
        <w:ind w:left="850" w:hanging="850"/>
        <w:rPr>
          <w:b/>
          <w:i w:val="0"/>
          <w:noProof/>
          <w:u w:val="single"/>
        </w:rPr>
      </w:pPr>
      <w:r>
        <w:rPr>
          <w:b/>
          <w:i w:val="0"/>
          <w:noProof/>
          <w:u w:val="single"/>
        </w:rPr>
        <w:t xml:space="preserve">C.4. </w:t>
      </w:r>
      <w:r>
        <w:rPr>
          <w:noProof/>
        </w:rPr>
        <w:t xml:space="preserve"> </w:t>
      </w:r>
      <w:r>
        <w:rPr>
          <w:b/>
          <w:i w:val="0"/>
          <w:noProof/>
          <w:u w:val="single"/>
        </w:rPr>
        <w:t xml:space="preserve">Cele pośrednie, wartości docelowe, wskaźniki i harmonogram monitorowania i realizacji pożyczki </w:t>
      </w: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1560"/>
        <w:gridCol w:w="1134"/>
        <w:gridCol w:w="1559"/>
        <w:gridCol w:w="1559"/>
        <w:gridCol w:w="992"/>
        <w:gridCol w:w="995"/>
        <w:gridCol w:w="1271"/>
        <w:gridCol w:w="995"/>
        <w:gridCol w:w="660"/>
        <w:gridCol w:w="3136"/>
      </w:tblGrid>
      <w:tr w:rsidR="004C6421" w14:paraId="57580F6D" w14:textId="77777777">
        <w:trPr>
          <w:trHeight w:val="313"/>
          <w:tblHeader/>
          <w:jc w:val="center"/>
        </w:trPr>
        <w:tc>
          <w:tcPr>
            <w:tcW w:w="377" w:type="pct"/>
            <w:vMerge w:val="restart"/>
            <w:shd w:val="clear" w:color="auto" w:fill="BDD7EE"/>
            <w:noWrap/>
            <w:vAlign w:val="center"/>
          </w:tcPr>
          <w:p w14:paraId="288B8B39" w14:textId="77777777" w:rsidR="004C6421" w:rsidRDefault="004C6421">
            <w:pPr>
              <w:jc w:val="center"/>
              <w:rPr>
                <w:rFonts w:ascii="Arial Narrow" w:hAnsi="Arial Narrow"/>
                <w:noProof/>
                <w:sz w:val="20"/>
              </w:rPr>
            </w:pPr>
          </w:p>
          <w:p w14:paraId="0C68DDC8" w14:textId="77777777" w:rsidR="004C6421" w:rsidRDefault="009D1962">
            <w:pPr>
              <w:pStyle w:val="P68B1DB1-Normal3"/>
              <w:jc w:val="center"/>
              <w:rPr>
                <w:noProof/>
              </w:rPr>
            </w:pPr>
            <w:r>
              <w:rPr>
                <w:noProof/>
              </w:rPr>
              <w:t>Numer porządkowy</w:t>
            </w:r>
          </w:p>
        </w:tc>
        <w:tc>
          <w:tcPr>
            <w:tcW w:w="520" w:type="pct"/>
            <w:vMerge w:val="restart"/>
            <w:shd w:val="clear" w:color="auto" w:fill="BDD7EE"/>
            <w:noWrap/>
            <w:vAlign w:val="center"/>
          </w:tcPr>
          <w:p w14:paraId="2E10ED7E" w14:textId="77777777" w:rsidR="004C6421" w:rsidRDefault="009D1962">
            <w:pPr>
              <w:pStyle w:val="P68B1DB1-Normal3"/>
              <w:jc w:val="center"/>
              <w:rPr>
                <w:noProof/>
              </w:rPr>
            </w:pPr>
            <w:r>
              <w:rPr>
                <w:noProof/>
              </w:rPr>
              <w:t>Powiązane działanie (reforma lub inwestycja)</w:t>
            </w:r>
          </w:p>
        </w:tc>
        <w:tc>
          <w:tcPr>
            <w:tcW w:w="378" w:type="pct"/>
            <w:vMerge w:val="restart"/>
            <w:shd w:val="clear" w:color="auto" w:fill="BDD7EE"/>
            <w:noWrap/>
            <w:vAlign w:val="center"/>
          </w:tcPr>
          <w:p w14:paraId="5A73B837" w14:textId="77777777" w:rsidR="004C6421" w:rsidRDefault="009D1962">
            <w:pPr>
              <w:pStyle w:val="P68B1DB1-Normal3"/>
              <w:jc w:val="center"/>
              <w:rPr>
                <w:noProof/>
              </w:rPr>
            </w:pPr>
            <w:r>
              <w:rPr>
                <w:noProof/>
              </w:rPr>
              <w:t>Kamień milowy/wartość docelowa</w:t>
            </w:r>
          </w:p>
        </w:tc>
        <w:tc>
          <w:tcPr>
            <w:tcW w:w="520" w:type="pct"/>
            <w:vMerge w:val="restart"/>
            <w:shd w:val="clear" w:color="auto" w:fill="BDD7EE"/>
            <w:noWrap/>
            <w:vAlign w:val="center"/>
          </w:tcPr>
          <w:p w14:paraId="246EEDB9" w14:textId="77777777" w:rsidR="004C6421" w:rsidRDefault="009D1962">
            <w:pPr>
              <w:pStyle w:val="P68B1DB1-Normal3"/>
              <w:jc w:val="center"/>
              <w:rPr>
                <w:noProof/>
              </w:rPr>
            </w:pPr>
            <w:r>
              <w:rPr>
                <w:noProof/>
              </w:rPr>
              <w:t>Nazwa</w:t>
            </w:r>
          </w:p>
        </w:tc>
        <w:tc>
          <w:tcPr>
            <w:tcW w:w="520" w:type="pct"/>
            <w:vMerge w:val="restart"/>
            <w:shd w:val="clear" w:color="auto" w:fill="BDD7EE"/>
            <w:noWrap/>
            <w:vAlign w:val="center"/>
          </w:tcPr>
          <w:p w14:paraId="4EA2A095" w14:textId="77777777" w:rsidR="004C6421" w:rsidRDefault="009D1962">
            <w:pPr>
              <w:jc w:val="center"/>
              <w:rPr>
                <w:rFonts w:ascii="Arial Narrow" w:hAnsi="Arial Narrow"/>
                <w:b/>
                <w:noProof/>
                <w:sz w:val="20"/>
              </w:rPr>
            </w:pPr>
            <w:r>
              <w:rPr>
                <w:rFonts w:ascii="Arial Narrow" w:hAnsi="Arial Narrow"/>
                <w:b/>
                <w:noProof/>
                <w:sz w:val="20"/>
              </w:rPr>
              <w:t xml:space="preserve">Wskaźniki jakościowe </w:t>
            </w:r>
            <w:r>
              <w:rPr>
                <w:rFonts w:ascii="Arial Narrow" w:hAnsi="Arial Narrow"/>
                <w:noProof/>
              </w:rPr>
              <w:t xml:space="preserve"> </w:t>
            </w:r>
            <w:r>
              <w:rPr>
                <w:noProof/>
              </w:rPr>
              <w:t xml:space="preserve">  </w:t>
            </w:r>
            <w:r>
              <w:rPr>
                <w:noProof/>
              </w:rPr>
              <w:br/>
            </w:r>
            <w:r>
              <w:rPr>
                <w:rFonts w:ascii="Arial Narrow" w:hAnsi="Arial Narrow"/>
                <w:b/>
                <w:noProof/>
                <w:sz w:val="20"/>
              </w:rPr>
              <w:t>(dla kamieni milowych)</w:t>
            </w:r>
          </w:p>
        </w:tc>
        <w:tc>
          <w:tcPr>
            <w:tcW w:w="1087" w:type="pct"/>
            <w:gridSpan w:val="3"/>
            <w:shd w:val="clear" w:color="auto" w:fill="BDD7EE"/>
            <w:noWrap/>
            <w:vAlign w:val="center"/>
          </w:tcPr>
          <w:p w14:paraId="4FF74DD1" w14:textId="77777777" w:rsidR="004C6421" w:rsidRDefault="009D1962">
            <w:pPr>
              <w:jc w:val="center"/>
              <w:rPr>
                <w:rFonts w:ascii="Arial Narrow" w:hAnsi="Arial Narrow"/>
                <w:noProof/>
                <w:sz w:val="20"/>
              </w:rPr>
            </w:pPr>
            <w:r>
              <w:rPr>
                <w:rFonts w:ascii="Arial Narrow" w:hAnsi="Arial Narrow"/>
                <w:b/>
                <w:noProof/>
                <w:sz w:val="20"/>
              </w:rPr>
              <w:t xml:space="preserve">Wskaźniki ilościowe </w:t>
            </w:r>
            <w:r>
              <w:rPr>
                <w:rFonts w:ascii="Arial Narrow" w:hAnsi="Arial Narrow"/>
                <w:noProof/>
              </w:rPr>
              <w:t xml:space="preserve"> </w:t>
            </w:r>
            <w:r>
              <w:rPr>
                <w:noProof/>
              </w:rPr>
              <w:t xml:space="preserve">  </w:t>
            </w:r>
            <w:r>
              <w:rPr>
                <w:noProof/>
              </w:rPr>
              <w:br/>
            </w:r>
            <w:r>
              <w:rPr>
                <w:rFonts w:ascii="Arial Narrow" w:hAnsi="Arial Narrow"/>
                <w:b/>
                <w:noProof/>
                <w:sz w:val="20"/>
              </w:rPr>
              <w:t>(dla wartości docelowych)</w:t>
            </w:r>
          </w:p>
        </w:tc>
        <w:tc>
          <w:tcPr>
            <w:tcW w:w="551" w:type="pct"/>
            <w:gridSpan w:val="2"/>
            <w:shd w:val="clear" w:color="auto" w:fill="BDD7EE"/>
            <w:noWrap/>
            <w:vAlign w:val="center"/>
          </w:tcPr>
          <w:p w14:paraId="5D713506" w14:textId="77777777" w:rsidR="004C6421" w:rsidRDefault="009D1962">
            <w:pPr>
              <w:pStyle w:val="P68B1DB1-Normal3"/>
              <w:jc w:val="center"/>
              <w:rPr>
                <w:noProof/>
              </w:rPr>
            </w:pPr>
            <w:r>
              <w:rPr>
                <w:noProof/>
              </w:rPr>
              <w:t>Orientacyjny harmonogram zakończenia działania</w:t>
            </w:r>
          </w:p>
        </w:tc>
        <w:tc>
          <w:tcPr>
            <w:tcW w:w="1047" w:type="pct"/>
            <w:vMerge w:val="restart"/>
            <w:shd w:val="clear" w:color="auto" w:fill="BDD7EE"/>
            <w:noWrap/>
            <w:vAlign w:val="center"/>
          </w:tcPr>
          <w:p w14:paraId="5B0C08CF" w14:textId="77777777" w:rsidR="004C6421" w:rsidRDefault="004C6421">
            <w:pPr>
              <w:jc w:val="center"/>
              <w:rPr>
                <w:rFonts w:ascii="Arial Narrow" w:eastAsia="Calibri" w:hAnsi="Arial Narrow"/>
                <w:noProof/>
                <w:color w:val="006100"/>
                <w:sz w:val="20"/>
              </w:rPr>
            </w:pPr>
          </w:p>
          <w:p w14:paraId="77BAE109" w14:textId="77777777" w:rsidR="004C6421" w:rsidRDefault="009D1962">
            <w:pPr>
              <w:pStyle w:val="P68B1DB1-Normal3"/>
              <w:jc w:val="center"/>
              <w:rPr>
                <w:rFonts w:eastAsia="Calibri"/>
                <w:noProof/>
                <w:color w:val="006100"/>
              </w:rPr>
            </w:pPr>
            <w:r>
              <w:rPr>
                <w:noProof/>
              </w:rPr>
              <w:t>Opis każdego kamienia milowego i każdej wartości docelowej</w:t>
            </w:r>
          </w:p>
        </w:tc>
      </w:tr>
      <w:tr w:rsidR="004C6421" w14:paraId="4B710ACF" w14:textId="77777777">
        <w:trPr>
          <w:trHeight w:val="313"/>
          <w:tblHeader/>
          <w:jc w:val="center"/>
        </w:trPr>
        <w:tc>
          <w:tcPr>
            <w:tcW w:w="377" w:type="pct"/>
            <w:vMerge/>
            <w:noWrap/>
            <w:vAlign w:val="center"/>
          </w:tcPr>
          <w:p w14:paraId="6854BDDC" w14:textId="77777777" w:rsidR="004C6421" w:rsidRDefault="004C6421">
            <w:pPr>
              <w:jc w:val="center"/>
              <w:rPr>
                <w:rFonts w:ascii="Arial Narrow" w:hAnsi="Arial Narrow"/>
                <w:noProof/>
                <w:sz w:val="20"/>
              </w:rPr>
            </w:pPr>
          </w:p>
        </w:tc>
        <w:tc>
          <w:tcPr>
            <w:tcW w:w="520" w:type="pct"/>
            <w:vMerge/>
            <w:noWrap/>
            <w:vAlign w:val="center"/>
          </w:tcPr>
          <w:p w14:paraId="16048507" w14:textId="77777777" w:rsidR="004C6421" w:rsidRDefault="004C6421">
            <w:pPr>
              <w:jc w:val="center"/>
              <w:rPr>
                <w:rFonts w:ascii="Arial Narrow" w:hAnsi="Arial Narrow"/>
                <w:noProof/>
                <w:sz w:val="20"/>
              </w:rPr>
            </w:pPr>
          </w:p>
        </w:tc>
        <w:tc>
          <w:tcPr>
            <w:tcW w:w="378" w:type="pct"/>
            <w:vMerge/>
            <w:noWrap/>
            <w:vAlign w:val="center"/>
          </w:tcPr>
          <w:p w14:paraId="46702ACB" w14:textId="77777777" w:rsidR="004C6421" w:rsidRDefault="004C6421">
            <w:pPr>
              <w:jc w:val="center"/>
              <w:rPr>
                <w:rFonts w:ascii="Arial Narrow" w:hAnsi="Arial Narrow"/>
                <w:noProof/>
                <w:sz w:val="20"/>
              </w:rPr>
            </w:pPr>
          </w:p>
        </w:tc>
        <w:tc>
          <w:tcPr>
            <w:tcW w:w="520" w:type="pct"/>
            <w:vMerge/>
            <w:noWrap/>
            <w:vAlign w:val="center"/>
          </w:tcPr>
          <w:p w14:paraId="58269200" w14:textId="77777777" w:rsidR="004C6421" w:rsidRDefault="004C6421">
            <w:pPr>
              <w:jc w:val="center"/>
              <w:rPr>
                <w:rFonts w:ascii="Arial Narrow" w:hAnsi="Arial Narrow"/>
                <w:noProof/>
                <w:sz w:val="20"/>
              </w:rPr>
            </w:pPr>
          </w:p>
        </w:tc>
        <w:tc>
          <w:tcPr>
            <w:tcW w:w="520" w:type="pct"/>
            <w:vMerge/>
            <w:noWrap/>
            <w:vAlign w:val="center"/>
          </w:tcPr>
          <w:p w14:paraId="5ABBE530" w14:textId="77777777" w:rsidR="004C6421" w:rsidRDefault="004C6421">
            <w:pPr>
              <w:jc w:val="center"/>
              <w:rPr>
                <w:rFonts w:ascii="Arial Narrow" w:eastAsia="Calibri" w:hAnsi="Arial Narrow"/>
                <w:noProof/>
                <w:sz w:val="20"/>
              </w:rPr>
            </w:pPr>
          </w:p>
        </w:tc>
        <w:tc>
          <w:tcPr>
            <w:tcW w:w="331" w:type="pct"/>
            <w:shd w:val="clear" w:color="auto" w:fill="BDD7EE"/>
            <w:noWrap/>
            <w:vAlign w:val="center"/>
          </w:tcPr>
          <w:p w14:paraId="75543E72" w14:textId="77777777" w:rsidR="004C6421" w:rsidRDefault="009D1962">
            <w:pPr>
              <w:pStyle w:val="P68B1DB1-Normal3"/>
              <w:jc w:val="center"/>
              <w:rPr>
                <w:noProof/>
              </w:rPr>
            </w:pPr>
            <w:r>
              <w:rPr>
                <w:noProof/>
              </w:rPr>
              <w:t>Jednostka miary</w:t>
            </w:r>
          </w:p>
        </w:tc>
        <w:tc>
          <w:tcPr>
            <w:tcW w:w="332" w:type="pct"/>
            <w:shd w:val="clear" w:color="auto" w:fill="BDD7EE"/>
            <w:noWrap/>
            <w:vAlign w:val="center"/>
          </w:tcPr>
          <w:p w14:paraId="3BEC9DB7" w14:textId="77777777" w:rsidR="004C6421" w:rsidRDefault="009D1962">
            <w:pPr>
              <w:pStyle w:val="P68B1DB1-Normal3"/>
              <w:jc w:val="center"/>
              <w:rPr>
                <w:noProof/>
              </w:rPr>
            </w:pPr>
            <w:r>
              <w:rPr>
                <w:noProof/>
              </w:rPr>
              <w:t>Bazowy</w:t>
            </w:r>
          </w:p>
        </w:tc>
        <w:tc>
          <w:tcPr>
            <w:tcW w:w="424" w:type="pct"/>
            <w:shd w:val="clear" w:color="auto" w:fill="BDD7EE"/>
            <w:noWrap/>
            <w:vAlign w:val="center"/>
          </w:tcPr>
          <w:p w14:paraId="7F6B4A85" w14:textId="77777777" w:rsidR="004C6421" w:rsidRDefault="009D1962">
            <w:pPr>
              <w:pStyle w:val="P68B1DB1-Normal3"/>
              <w:jc w:val="center"/>
              <w:rPr>
                <w:noProof/>
              </w:rPr>
            </w:pPr>
            <w:r>
              <w:rPr>
                <w:noProof/>
              </w:rPr>
              <w:t>Cel</w:t>
            </w:r>
          </w:p>
        </w:tc>
        <w:tc>
          <w:tcPr>
            <w:tcW w:w="332" w:type="pct"/>
            <w:shd w:val="clear" w:color="auto" w:fill="BDD7EE"/>
            <w:noWrap/>
            <w:vAlign w:val="center"/>
          </w:tcPr>
          <w:p w14:paraId="5216D6BD" w14:textId="77777777" w:rsidR="004C6421" w:rsidRDefault="009D1962">
            <w:pPr>
              <w:pStyle w:val="P68B1DB1-Normal3"/>
              <w:jc w:val="center"/>
              <w:rPr>
                <w:noProof/>
              </w:rPr>
            </w:pPr>
            <w:r>
              <w:rPr>
                <w:noProof/>
              </w:rPr>
              <w:t>Kwartał</w:t>
            </w:r>
          </w:p>
        </w:tc>
        <w:tc>
          <w:tcPr>
            <w:tcW w:w="220" w:type="pct"/>
            <w:shd w:val="clear" w:color="auto" w:fill="BDD7EE"/>
            <w:noWrap/>
            <w:vAlign w:val="center"/>
          </w:tcPr>
          <w:p w14:paraId="5138E567" w14:textId="77777777" w:rsidR="004C6421" w:rsidRDefault="009D1962">
            <w:pPr>
              <w:pStyle w:val="P68B1DB1-Normal3"/>
              <w:jc w:val="center"/>
              <w:rPr>
                <w:noProof/>
              </w:rPr>
            </w:pPr>
            <w:r>
              <w:rPr>
                <w:noProof/>
              </w:rPr>
              <w:t>Rok</w:t>
            </w:r>
          </w:p>
        </w:tc>
        <w:tc>
          <w:tcPr>
            <w:tcW w:w="1047" w:type="pct"/>
            <w:vMerge/>
            <w:noWrap/>
            <w:vAlign w:val="center"/>
          </w:tcPr>
          <w:p w14:paraId="0EC58AF8" w14:textId="77777777" w:rsidR="004C6421" w:rsidRDefault="004C6421">
            <w:pPr>
              <w:jc w:val="center"/>
              <w:rPr>
                <w:rFonts w:ascii="Arial Narrow" w:eastAsia="Calibri" w:hAnsi="Arial Narrow"/>
                <w:noProof/>
                <w:color w:val="006100"/>
                <w:sz w:val="20"/>
              </w:rPr>
            </w:pPr>
          </w:p>
        </w:tc>
      </w:tr>
      <w:tr w:rsidR="004C6421" w14:paraId="4E48322E" w14:textId="77777777">
        <w:trPr>
          <w:trHeight w:val="313"/>
          <w:jc w:val="center"/>
        </w:trPr>
        <w:tc>
          <w:tcPr>
            <w:tcW w:w="377" w:type="pct"/>
            <w:shd w:val="clear" w:color="auto" w:fill="C6EFCE"/>
            <w:noWrap/>
            <w:vAlign w:val="center"/>
          </w:tcPr>
          <w:p w14:paraId="4AB88250" w14:textId="77777777" w:rsidR="004C6421" w:rsidRDefault="009D1962">
            <w:pPr>
              <w:pStyle w:val="P68B1DB1-Normal4"/>
              <w:jc w:val="center"/>
              <w:rPr>
                <w:noProof/>
              </w:rPr>
            </w:pPr>
            <w:r>
              <w:rPr>
                <w:noProof/>
              </w:rPr>
              <w:t>M1C3-12</w:t>
            </w:r>
          </w:p>
        </w:tc>
        <w:tc>
          <w:tcPr>
            <w:tcW w:w="520" w:type="pct"/>
            <w:shd w:val="clear" w:color="auto" w:fill="C6EFCE"/>
            <w:noWrap/>
            <w:vAlign w:val="center"/>
          </w:tcPr>
          <w:p w14:paraId="236C0C1C" w14:textId="77777777" w:rsidR="004C6421" w:rsidRDefault="009D1962">
            <w:pPr>
              <w:pStyle w:val="P68B1DB1-Normal4"/>
              <w:jc w:val="center"/>
              <w:rPr>
                <w:noProof/>
              </w:rPr>
            </w:pPr>
            <w:r>
              <w:rPr>
                <w:noProof/>
              </w:rPr>
              <w:t>Inwestycje 2.1 – Czynność małego miasta historycznego</w:t>
            </w:r>
          </w:p>
        </w:tc>
        <w:tc>
          <w:tcPr>
            <w:tcW w:w="378" w:type="pct"/>
            <w:shd w:val="clear" w:color="auto" w:fill="C6EFCE"/>
            <w:noWrap/>
            <w:vAlign w:val="center"/>
          </w:tcPr>
          <w:p w14:paraId="031947DF" w14:textId="6ABBBF24" w:rsidR="004C6421" w:rsidRDefault="00CC179E">
            <w:pPr>
              <w:pStyle w:val="P68B1DB1-Normal4"/>
              <w:jc w:val="center"/>
              <w:rPr>
                <w:noProof/>
              </w:rPr>
            </w:pPr>
            <w:r>
              <w:rPr>
                <w:noProof/>
              </w:rPr>
              <w:t>Milowy</w:t>
            </w:r>
          </w:p>
        </w:tc>
        <w:tc>
          <w:tcPr>
            <w:tcW w:w="520" w:type="pct"/>
            <w:shd w:val="clear" w:color="auto" w:fill="C6EFCE"/>
            <w:noWrap/>
            <w:vAlign w:val="center"/>
          </w:tcPr>
          <w:p w14:paraId="7BE6E43D" w14:textId="77777777" w:rsidR="004C6421" w:rsidRDefault="009D1962">
            <w:pPr>
              <w:pStyle w:val="P68B1DB1-Normal4"/>
              <w:jc w:val="center"/>
              <w:rPr>
                <w:noProof/>
              </w:rPr>
            </w:pPr>
            <w:r>
              <w:rPr>
                <w:noProof/>
              </w:rPr>
              <w:t>Wejście w życie dekretu Ministerstwa Kultury w sprawie przydziału środków gminom w celu zwiększenia atrakcyjności małych miast historycznych</w:t>
            </w:r>
          </w:p>
        </w:tc>
        <w:tc>
          <w:tcPr>
            <w:tcW w:w="520" w:type="pct"/>
            <w:shd w:val="clear" w:color="auto" w:fill="C6EFCE"/>
            <w:noWrap/>
            <w:vAlign w:val="center"/>
          </w:tcPr>
          <w:p w14:paraId="63CEFB23" w14:textId="77777777" w:rsidR="004C6421" w:rsidRDefault="009D1962">
            <w:pPr>
              <w:pStyle w:val="P68B1DB1-Normal4"/>
              <w:jc w:val="center"/>
              <w:rPr>
                <w:noProof/>
              </w:rPr>
            </w:pPr>
            <w:r>
              <w:rPr>
                <w:noProof/>
              </w:rPr>
              <w:t>Przepis w dekrecie wskazujący na wejście w życie dekretu Ministerstwa Kultury dotyczący przydziału środków gminom w celu zwiększenia atrakcyjności małych miast historycznych NIE DOT.</w:t>
            </w:r>
          </w:p>
        </w:tc>
        <w:tc>
          <w:tcPr>
            <w:tcW w:w="331" w:type="pct"/>
            <w:shd w:val="clear" w:color="auto" w:fill="C6EFCE"/>
            <w:noWrap/>
            <w:vAlign w:val="center"/>
          </w:tcPr>
          <w:p w14:paraId="16854BC1" w14:textId="77777777" w:rsidR="004C6421" w:rsidRDefault="009D1962">
            <w:pPr>
              <w:pStyle w:val="P68B1DB1-Normal4"/>
              <w:jc w:val="center"/>
              <w:rPr>
                <w:noProof/>
              </w:rPr>
            </w:pPr>
            <w:r>
              <w:rPr>
                <w:noProof/>
              </w:rPr>
              <w:t>NIE DOT.</w:t>
            </w:r>
          </w:p>
        </w:tc>
        <w:tc>
          <w:tcPr>
            <w:tcW w:w="332" w:type="pct"/>
            <w:shd w:val="clear" w:color="auto" w:fill="C6EFCE"/>
            <w:noWrap/>
            <w:vAlign w:val="center"/>
          </w:tcPr>
          <w:p w14:paraId="12B7DD05" w14:textId="77777777" w:rsidR="004C6421" w:rsidRDefault="009D1962">
            <w:pPr>
              <w:pStyle w:val="P68B1DB1-Normal4"/>
              <w:jc w:val="center"/>
              <w:rPr>
                <w:noProof/>
              </w:rPr>
            </w:pPr>
            <w:r>
              <w:rPr>
                <w:noProof/>
              </w:rPr>
              <w:t>NIE DOT.</w:t>
            </w:r>
          </w:p>
        </w:tc>
        <w:tc>
          <w:tcPr>
            <w:tcW w:w="424" w:type="pct"/>
            <w:shd w:val="clear" w:color="auto" w:fill="C6EFCE"/>
            <w:noWrap/>
            <w:vAlign w:val="center"/>
          </w:tcPr>
          <w:p w14:paraId="32A6BB3F" w14:textId="77777777" w:rsidR="004C6421" w:rsidRDefault="009D1962">
            <w:pPr>
              <w:pStyle w:val="P68B1DB1-Normal4"/>
              <w:jc w:val="center"/>
              <w:rPr>
                <w:noProof/>
              </w:rPr>
            </w:pPr>
            <w:r>
              <w:rPr>
                <w:noProof/>
              </w:rPr>
              <w:t>NIE DOT.</w:t>
            </w:r>
          </w:p>
        </w:tc>
        <w:tc>
          <w:tcPr>
            <w:tcW w:w="332" w:type="pct"/>
            <w:shd w:val="clear" w:color="auto" w:fill="C6EFCE"/>
            <w:noWrap/>
            <w:vAlign w:val="center"/>
          </w:tcPr>
          <w:p w14:paraId="416A1CBB" w14:textId="77777777" w:rsidR="004C6421" w:rsidRDefault="009D1962">
            <w:pPr>
              <w:pStyle w:val="P68B1DB1-Normal4"/>
              <w:jc w:val="center"/>
              <w:rPr>
                <w:noProof/>
              </w:rPr>
            </w:pPr>
            <w:r>
              <w:rPr>
                <w:noProof/>
              </w:rPr>
              <w:t>II KW.</w:t>
            </w:r>
          </w:p>
        </w:tc>
        <w:tc>
          <w:tcPr>
            <w:tcW w:w="220" w:type="pct"/>
            <w:shd w:val="clear" w:color="auto" w:fill="C6EFCE"/>
            <w:noWrap/>
            <w:vAlign w:val="center"/>
          </w:tcPr>
          <w:p w14:paraId="1EDCF84B" w14:textId="77777777" w:rsidR="004C6421" w:rsidRDefault="009D1962">
            <w:pPr>
              <w:pStyle w:val="P68B1DB1-Normal4"/>
              <w:jc w:val="center"/>
              <w:rPr>
                <w:noProof/>
              </w:rPr>
            </w:pPr>
            <w:r>
              <w:rPr>
                <w:noProof/>
              </w:rPr>
              <w:t>2022</w:t>
            </w:r>
          </w:p>
        </w:tc>
        <w:tc>
          <w:tcPr>
            <w:tcW w:w="1047" w:type="pct"/>
            <w:shd w:val="clear" w:color="auto" w:fill="C6EFCE"/>
            <w:noWrap/>
            <w:vAlign w:val="center"/>
          </w:tcPr>
          <w:p w14:paraId="1E2E1E3B" w14:textId="77777777" w:rsidR="004C6421" w:rsidRDefault="009D1962">
            <w:pPr>
              <w:pStyle w:val="P68B1DB1-Normal4"/>
              <w:rPr>
                <w:noProof/>
              </w:rPr>
            </w:pPr>
            <w:r>
              <w:rPr>
                <w:noProof/>
              </w:rPr>
              <w:t>Dekret Ministerstwa Kultury przydziela gminom środki na atrakcyjność małych miast historycznych.</w:t>
            </w:r>
          </w:p>
          <w:p w14:paraId="6A4A6DC3" w14:textId="77777777" w:rsidR="004C6421" w:rsidRDefault="004C6421">
            <w:pPr>
              <w:rPr>
                <w:rFonts w:ascii="Arial Narrow" w:hAnsi="Arial Narrow"/>
                <w:noProof/>
                <w:color w:val="006100"/>
                <w:sz w:val="20"/>
              </w:rPr>
            </w:pPr>
          </w:p>
          <w:p w14:paraId="4461B1C0" w14:textId="77777777" w:rsidR="004C6421" w:rsidRDefault="009D1962">
            <w:pPr>
              <w:pStyle w:val="P68B1DB1-Normal4"/>
              <w:rPr>
                <w:noProof/>
              </w:rPr>
            </w:pPr>
            <w:r>
              <w:rPr>
                <w:noProof/>
              </w:rPr>
              <w:t>Gminy zaangażowane w zwiększenie atrakcyjności małego historycznego miasta odnoszą się do 250 gmin/wsi, które przekazały Ministerstwu Kultury programy interwencji.</w:t>
            </w:r>
          </w:p>
          <w:p w14:paraId="72ECD968" w14:textId="77777777" w:rsidR="004C6421" w:rsidRDefault="004C6421">
            <w:pPr>
              <w:rPr>
                <w:rFonts w:ascii="Arial Narrow" w:hAnsi="Arial Narrow"/>
                <w:noProof/>
                <w:color w:val="006100"/>
                <w:sz w:val="20"/>
              </w:rPr>
            </w:pPr>
          </w:p>
          <w:p w14:paraId="035D4FA4" w14:textId="77777777" w:rsidR="004C6421" w:rsidRDefault="009D1962">
            <w:pPr>
              <w:pStyle w:val="P68B1DB1-Normal8"/>
              <w:rPr>
                <w:rFonts w:ascii="Arial Narrow" w:hAnsi="Arial Narrow"/>
                <w:noProof/>
              </w:rPr>
            </w:pPr>
            <w:r>
              <w:rPr>
                <w:rFonts w:ascii="Arial Narrow" w:hAnsi="Arial Narrow"/>
                <w:noProof/>
              </w:rPr>
              <w:t>Kryteria wyboru 250 wsi (Inv. 2.1) są udostępniane MiC, regionom, ANCI i obszarom wewnętrznym, które; wstępnie określają one obszary terytorialne kwalifikujące się do (Inv2.1) ze względu na komplementarność różnych programów. Następnie wyboru wsi dokonuje się na podstawie a) kryteriów terytorialnych, gospodarczych i społecznych (wskaźników statystycznych), b) zdolności projektu do wywierania wpływu na atrakcyjność turystyczną i zwiększenia uczestnictwa w kulturze. Wzięto pod uwagę następujące wskaźniki statystyczne: Wielkość demograficzna (gminy z ok. &amp; 5000 inhab.) i tendencja; ruch turystyczny, odwiedzający muzeum; wielkość demograficzna (gminy z pop. &amp;</w:t>
            </w:r>
            <w:r>
              <w:rPr>
                <w:noProof/>
              </w:rPr>
              <w:t xml:space="preserve"> </w:t>
            </w:r>
            <w:r>
              <w:rPr>
                <w:rFonts w:ascii="Arial Narrow" w:hAnsi="Arial Narrow"/>
                <w:noProof/>
              </w:rPr>
              <w:t>5000 inhab.) i tendencja; przepływy turystyczne, osoby odwiedzające muzea; spójność oferty turystycznej (hotele i inne hotele, B&amp;B, pokoje i wynajmowane zakwaterowanie); tendencja demograficzna gminy; stopień uczestnictwa społeczeństwa w życiu kulturalnym; spójność przedsiębiorstw działających w sektorze kultury, sektorze kreatywnym i turystyce (nastawionych i nienastawionych na zysk) oraz powiązanych pracowników.</w:t>
            </w:r>
          </w:p>
          <w:p w14:paraId="2DC4E693" w14:textId="77777777" w:rsidR="004C6421" w:rsidRDefault="009D1962">
            <w:pPr>
              <w:pStyle w:val="P68B1DB1-Normal4"/>
              <w:rPr>
                <w:noProof/>
              </w:rPr>
            </w:pPr>
            <w:r>
              <w:rPr>
                <w:noProof/>
              </w:rPr>
              <w:t xml:space="preserve">Spójność przedsiębiorstw z branży kultury, branży twórczej i turystycznej (nastawionych na zysk i nienastawionych na zysk) oraz powiązanych pracowników. Udzielanie zamówień na projekty wybrane w ramach konkurencyjnych zaproszeń do składania wniosków obejmuje: </w:t>
            </w:r>
          </w:p>
          <w:p w14:paraId="75CE5E61" w14:textId="77777777" w:rsidR="004C6421" w:rsidRDefault="009D1962">
            <w:pPr>
              <w:pStyle w:val="P68B1DB1-Normal4"/>
              <w:rPr>
                <w:noProof/>
              </w:rPr>
            </w:pPr>
            <w:r>
              <w:rPr>
                <w:noProof/>
              </w:rPr>
              <w:t xml:space="preserve">kryteria kwalifikowalności, które zapewniają zgodność wybranych projektów z wytycznymi technicznymi dotyczącymi zasady „nie czyń poważnych szkód” (2021/C58/01) poprzez wykorzystanie listy wykluczenia i wymóg zgodności z odpowiednimi unijnymi i krajowymi przepisami w zakresie ochrony środowiska. </w:t>
            </w:r>
          </w:p>
          <w:p w14:paraId="0907AC4C" w14:textId="77777777" w:rsidR="004C6421" w:rsidRDefault="009D1962">
            <w:pPr>
              <w:pStyle w:val="P68B1DB1-Normal4"/>
              <w:rPr>
                <w:noProof/>
              </w:rPr>
            </w:pPr>
            <w:r>
              <w:rPr>
                <w:noProof/>
              </w:rPr>
              <w:t xml:space="preserve">b) Zobowiązanie, że wkład inwestycji w działania na rzecz klimatu zgodnie z metodyką określoną w załączniku VI do rozporządzenia (UE) 2021/241 musi stanowić co najmniej 25 % łącznych kosztów inwestycji wspieranej z RRF. </w:t>
            </w:r>
          </w:p>
          <w:p w14:paraId="0669993C" w14:textId="77777777" w:rsidR="004C6421" w:rsidRDefault="009D1962">
            <w:pPr>
              <w:pStyle w:val="P68B1DB1-Normal4"/>
              <w:rPr>
                <w:noProof/>
              </w:rPr>
            </w:pPr>
            <w:r>
              <w:rPr>
                <w:noProof/>
              </w:rPr>
              <w:t>C) Zobowiązanie do składania sprawozdań z realizacji środka w połowie okresu obowiązywania programu i zakończenia programu.</w:t>
            </w:r>
          </w:p>
          <w:p w14:paraId="1C283A10" w14:textId="77777777" w:rsidR="004C6421" w:rsidRDefault="004C6421">
            <w:pPr>
              <w:rPr>
                <w:rFonts w:ascii="Arial Narrow" w:hAnsi="Arial Narrow"/>
                <w:noProof/>
                <w:color w:val="006100"/>
                <w:sz w:val="20"/>
              </w:rPr>
            </w:pPr>
          </w:p>
        </w:tc>
      </w:tr>
      <w:tr w:rsidR="004C6421" w14:paraId="0113A019" w14:textId="77777777">
        <w:trPr>
          <w:trHeight w:val="313"/>
          <w:jc w:val="center"/>
        </w:trPr>
        <w:tc>
          <w:tcPr>
            <w:tcW w:w="377" w:type="pct"/>
            <w:shd w:val="clear" w:color="auto" w:fill="C6EFCE"/>
            <w:noWrap/>
            <w:vAlign w:val="center"/>
          </w:tcPr>
          <w:p w14:paraId="42B9FBA8" w14:textId="77777777" w:rsidR="004C6421" w:rsidRDefault="009D1962">
            <w:pPr>
              <w:pStyle w:val="P68B1DB1-Normal4"/>
              <w:jc w:val="center"/>
              <w:rPr>
                <w:noProof/>
              </w:rPr>
            </w:pPr>
            <w:r>
              <w:rPr>
                <w:noProof/>
              </w:rPr>
              <w:t>M1C3-13</w:t>
            </w:r>
          </w:p>
        </w:tc>
        <w:tc>
          <w:tcPr>
            <w:tcW w:w="520" w:type="pct"/>
            <w:shd w:val="clear" w:color="auto" w:fill="C6EFCE"/>
            <w:noWrap/>
            <w:vAlign w:val="center"/>
          </w:tcPr>
          <w:p w14:paraId="73F839EA" w14:textId="77777777" w:rsidR="004C6421" w:rsidRDefault="009D1962">
            <w:pPr>
              <w:pStyle w:val="P68B1DB1-Normal4"/>
              <w:jc w:val="center"/>
              <w:rPr>
                <w:noProof/>
              </w:rPr>
            </w:pPr>
            <w:r>
              <w:rPr>
                <w:noProof/>
              </w:rPr>
              <w:t>Inwestycje 2.2 – Ochrona i poprawa architektury i krajobrazu obszarów wiejskich</w:t>
            </w:r>
          </w:p>
        </w:tc>
        <w:tc>
          <w:tcPr>
            <w:tcW w:w="378" w:type="pct"/>
            <w:shd w:val="clear" w:color="auto" w:fill="C6EFCE"/>
            <w:noWrap/>
            <w:vAlign w:val="center"/>
          </w:tcPr>
          <w:p w14:paraId="14D2B6B4" w14:textId="3FA0C9EE" w:rsidR="004C6421" w:rsidRDefault="00CC179E">
            <w:pPr>
              <w:pStyle w:val="P68B1DB1-Normal4"/>
              <w:jc w:val="center"/>
              <w:rPr>
                <w:noProof/>
              </w:rPr>
            </w:pPr>
            <w:r>
              <w:rPr>
                <w:noProof/>
              </w:rPr>
              <w:t>Milowy</w:t>
            </w:r>
          </w:p>
        </w:tc>
        <w:tc>
          <w:tcPr>
            <w:tcW w:w="520" w:type="pct"/>
            <w:shd w:val="clear" w:color="auto" w:fill="C6EFCE"/>
            <w:noWrap/>
            <w:vAlign w:val="center"/>
          </w:tcPr>
          <w:p w14:paraId="72B7D20F" w14:textId="77777777" w:rsidR="004C6421" w:rsidRDefault="009D1962">
            <w:pPr>
              <w:pStyle w:val="P68B1DB1-Normal4"/>
              <w:jc w:val="center"/>
              <w:rPr>
                <w:noProof/>
              </w:rPr>
            </w:pPr>
            <w:r>
              <w:rPr>
                <w:noProof/>
              </w:rPr>
              <w:t>Wejście w życie dekretu Ministerstwa Kultury w sprawie przydziału zasobów:</w:t>
            </w:r>
          </w:p>
          <w:p w14:paraId="11026BE8" w14:textId="77777777" w:rsidR="004C6421" w:rsidRDefault="009D1962">
            <w:pPr>
              <w:pStyle w:val="P68B1DB1-Normal4"/>
              <w:jc w:val="center"/>
              <w:rPr>
                <w:noProof/>
              </w:rPr>
            </w:pPr>
            <w:r>
              <w:rPr>
                <w:noProof/>
              </w:rPr>
              <w:t>na rzecz ochrony i poprawy architektury i krajobrazu obszarów wiejskich</w:t>
            </w:r>
          </w:p>
        </w:tc>
        <w:tc>
          <w:tcPr>
            <w:tcW w:w="520" w:type="pct"/>
            <w:shd w:val="clear" w:color="auto" w:fill="C6EFCE"/>
            <w:noWrap/>
            <w:vAlign w:val="center"/>
          </w:tcPr>
          <w:p w14:paraId="24F270D6" w14:textId="77777777" w:rsidR="004C6421" w:rsidRDefault="009D1962">
            <w:pPr>
              <w:pStyle w:val="P68B1DB1-Normal4"/>
              <w:jc w:val="center"/>
              <w:rPr>
                <w:noProof/>
              </w:rPr>
            </w:pPr>
            <w:r>
              <w:rPr>
                <w:noProof/>
              </w:rPr>
              <w:t>Przepis w dekrecie wskazujący na wejście w życie dekretu Ministerstwa Kultury (MIC) w sprawie przydziału zasobów</w:t>
            </w:r>
          </w:p>
          <w:p w14:paraId="03DF7526" w14:textId="77777777" w:rsidR="004C6421" w:rsidRDefault="009D1962">
            <w:pPr>
              <w:pStyle w:val="P68B1DB1-Normal4"/>
              <w:jc w:val="center"/>
              <w:rPr>
                <w:noProof/>
              </w:rPr>
            </w:pPr>
            <w:r>
              <w:rPr>
                <w:noProof/>
              </w:rPr>
              <w:t>na rzecz ochrony i poprawy architektury i krajobrazu obszarów wiejskich</w:t>
            </w:r>
          </w:p>
        </w:tc>
        <w:tc>
          <w:tcPr>
            <w:tcW w:w="331" w:type="pct"/>
            <w:shd w:val="clear" w:color="auto" w:fill="C6EFCE"/>
            <w:noWrap/>
            <w:vAlign w:val="center"/>
          </w:tcPr>
          <w:p w14:paraId="2E9DD725" w14:textId="77777777" w:rsidR="004C6421" w:rsidRDefault="009D1962">
            <w:pPr>
              <w:pStyle w:val="P68B1DB1-Normal4"/>
              <w:jc w:val="center"/>
              <w:rPr>
                <w:noProof/>
              </w:rPr>
            </w:pPr>
            <w:r>
              <w:rPr>
                <w:noProof/>
              </w:rPr>
              <w:t>NIE DOT.</w:t>
            </w:r>
          </w:p>
        </w:tc>
        <w:tc>
          <w:tcPr>
            <w:tcW w:w="332" w:type="pct"/>
            <w:shd w:val="clear" w:color="auto" w:fill="C6EFCE"/>
            <w:noWrap/>
            <w:vAlign w:val="center"/>
          </w:tcPr>
          <w:p w14:paraId="785383F3" w14:textId="77777777" w:rsidR="004C6421" w:rsidRDefault="009D1962">
            <w:pPr>
              <w:pStyle w:val="P68B1DB1-Normal4"/>
              <w:jc w:val="center"/>
              <w:rPr>
                <w:noProof/>
              </w:rPr>
            </w:pPr>
            <w:r>
              <w:rPr>
                <w:noProof/>
              </w:rPr>
              <w:t>NIE DOT.</w:t>
            </w:r>
          </w:p>
        </w:tc>
        <w:tc>
          <w:tcPr>
            <w:tcW w:w="424" w:type="pct"/>
            <w:shd w:val="clear" w:color="auto" w:fill="C6EFCE"/>
            <w:noWrap/>
            <w:vAlign w:val="center"/>
          </w:tcPr>
          <w:p w14:paraId="36F9F57E" w14:textId="77777777" w:rsidR="004C6421" w:rsidRDefault="009D1962">
            <w:pPr>
              <w:pStyle w:val="P68B1DB1-Normal4"/>
              <w:jc w:val="center"/>
              <w:rPr>
                <w:noProof/>
              </w:rPr>
            </w:pPr>
            <w:r>
              <w:rPr>
                <w:noProof/>
              </w:rPr>
              <w:t>NIE DOT.</w:t>
            </w:r>
          </w:p>
        </w:tc>
        <w:tc>
          <w:tcPr>
            <w:tcW w:w="332" w:type="pct"/>
            <w:shd w:val="clear" w:color="auto" w:fill="C6EFCE"/>
            <w:noWrap/>
            <w:vAlign w:val="center"/>
          </w:tcPr>
          <w:p w14:paraId="2E4BB220" w14:textId="77777777" w:rsidR="004C6421" w:rsidRDefault="009D1962">
            <w:pPr>
              <w:pStyle w:val="P68B1DB1-Normal4"/>
              <w:jc w:val="center"/>
              <w:rPr>
                <w:noProof/>
              </w:rPr>
            </w:pPr>
            <w:r>
              <w:rPr>
                <w:noProof/>
              </w:rPr>
              <w:t>II KW.</w:t>
            </w:r>
          </w:p>
        </w:tc>
        <w:tc>
          <w:tcPr>
            <w:tcW w:w="220" w:type="pct"/>
            <w:shd w:val="clear" w:color="auto" w:fill="C6EFCE"/>
            <w:noWrap/>
            <w:vAlign w:val="center"/>
          </w:tcPr>
          <w:p w14:paraId="28FD36D0" w14:textId="77777777" w:rsidR="004C6421" w:rsidRDefault="009D1962">
            <w:pPr>
              <w:pStyle w:val="P68B1DB1-Normal4"/>
              <w:jc w:val="center"/>
              <w:rPr>
                <w:noProof/>
              </w:rPr>
            </w:pPr>
            <w:r>
              <w:rPr>
                <w:noProof/>
              </w:rPr>
              <w:t>2022</w:t>
            </w:r>
          </w:p>
        </w:tc>
        <w:tc>
          <w:tcPr>
            <w:tcW w:w="1047" w:type="pct"/>
            <w:shd w:val="clear" w:color="auto" w:fill="C6EFCE"/>
            <w:noWrap/>
            <w:vAlign w:val="center"/>
          </w:tcPr>
          <w:p w14:paraId="152CA474" w14:textId="77777777" w:rsidR="004C6421" w:rsidRDefault="009D1962">
            <w:pPr>
              <w:pStyle w:val="P68B1DB1-Normal4"/>
              <w:rPr>
                <w:noProof/>
              </w:rPr>
            </w:pPr>
            <w:r>
              <w:rPr>
                <w:noProof/>
              </w:rPr>
              <w:t>Dekret Ministerstwa Kultury przydziela środki</w:t>
            </w:r>
          </w:p>
          <w:p w14:paraId="6CADB647" w14:textId="77777777" w:rsidR="004C6421" w:rsidRDefault="009D1962">
            <w:pPr>
              <w:pStyle w:val="P68B1DB1-Normal4"/>
              <w:rPr>
                <w:noProof/>
              </w:rPr>
            </w:pPr>
            <w:r>
              <w:rPr>
                <w:noProof/>
              </w:rPr>
              <w:t xml:space="preserve">na rzecz ochrony i poprawy architektury i krajobrazu obszarów wiejskich. </w:t>
            </w:r>
          </w:p>
          <w:p w14:paraId="5F36AE36" w14:textId="77777777" w:rsidR="004C6421" w:rsidRDefault="004C6421">
            <w:pPr>
              <w:rPr>
                <w:rFonts w:ascii="Arial Narrow" w:hAnsi="Arial Narrow"/>
                <w:noProof/>
                <w:color w:val="006100"/>
                <w:sz w:val="20"/>
              </w:rPr>
            </w:pPr>
          </w:p>
          <w:p w14:paraId="4FC64786" w14:textId="77777777" w:rsidR="004C6421" w:rsidRDefault="009D1962">
            <w:pPr>
              <w:pStyle w:val="P68B1DB1-Normal4"/>
              <w:rPr>
                <w:noProof/>
              </w:rPr>
            </w:pPr>
            <w:r>
              <w:rPr>
                <w:noProof/>
              </w:rPr>
              <w:t>W celu ochrony i poprawy architektury i krajobrazu wiejskiego (Inv 2.2) wybór aktywów, które mają zostać odzyskane, sprzyja zdolności inwestycji do wywarcia wpływu na cele ochrony wartości krajobrazu. Pierwszeństwo przyznaje się:</w:t>
            </w:r>
          </w:p>
          <w:p w14:paraId="04B2CDD4" w14:textId="77777777" w:rsidR="004C6421" w:rsidRDefault="009D1962">
            <w:pPr>
              <w:pStyle w:val="P68B1DB1-Normal4"/>
              <w:rPr>
                <w:noProof/>
              </w:rPr>
            </w:pPr>
            <w:r>
              <w:rPr>
                <w:noProof/>
              </w:rPr>
              <w:t>— do aktywów znajdujących się na obszarach terytorialnych o wysokiej wartości krajobrazowej (aktywa zlokalizowane na obszarach będących przedmiotem zainteresowania krajobrazu lub w istotnym interesie publicznym (art. 142–149 DLgs 42/2004), do krajobrazów uznanych przez UNESCO, GIAHS FAO;</w:t>
            </w:r>
          </w:p>
          <w:p w14:paraId="5A8EF1F1" w14:textId="77777777" w:rsidR="004C6421" w:rsidRDefault="009D1962">
            <w:pPr>
              <w:pStyle w:val="P68B1DB1-Normal4"/>
              <w:rPr>
                <w:noProof/>
              </w:rPr>
            </w:pPr>
            <w:r>
              <w:rPr>
                <w:noProof/>
              </w:rPr>
              <w:t>— do aktywów już dostępnych do użytku publicznego lub do aktywów, które właściciel zgadza się na dostępność, w tym w ramach lokalnych i zintegrowanych układów i sieci;</w:t>
            </w:r>
          </w:p>
          <w:p w14:paraId="38E47FAC" w14:textId="77777777" w:rsidR="004C6421" w:rsidRDefault="009D1962">
            <w:pPr>
              <w:pStyle w:val="P68B1DB1-Normal4"/>
              <w:rPr>
                <w:noProof/>
              </w:rPr>
            </w:pPr>
            <w:r>
              <w:rPr>
                <w:noProof/>
              </w:rPr>
              <w:t>— do „projektów obszarowych”, przedstawionych w podziale na tematy zagregowane, zdolnych do skuteczniejszego osiągnięcia celów w zakresie rewitalizacji krajobrazu;</w:t>
            </w:r>
          </w:p>
          <w:p w14:paraId="3102AA26" w14:textId="77777777" w:rsidR="004C6421" w:rsidRDefault="009D1962">
            <w:pPr>
              <w:pStyle w:val="P68B1DB1-Normal4"/>
              <w:rPr>
                <w:noProof/>
              </w:rPr>
            </w:pPr>
            <w:r>
              <w:rPr>
                <w:noProof/>
              </w:rPr>
              <w:t>— projekty zlokalizowane na obszarach, które wzmacniają integrację i synergię z innymi kandydatami do PNR i innymi planami/projektami o charakterze terytorialnym wspieranymi w ramach programowania krajowego (Ministerstwo Kultury).</w:t>
            </w:r>
          </w:p>
          <w:p w14:paraId="4E464447" w14:textId="77777777" w:rsidR="004C6421" w:rsidRDefault="009D1962">
            <w:pPr>
              <w:pStyle w:val="P68B1DB1-Normal4"/>
              <w:rPr>
                <w:noProof/>
              </w:rPr>
            </w:pPr>
            <w:r>
              <w:rPr>
                <w:noProof/>
              </w:rPr>
              <w:t>W celu określenia rodzajów architektury obszarów wiejskich będących przedmiotem interwencji można odnieść się do dekretu MiBAC z dnia 6 października 2005 r. (w wykonaniu ustawy z dnia 24 grudnia 2003 r., nr 378 – ochrona i poprawa architektury obszarów wiejskich). Wstępnie kryteria mogą dotyczyć: stan ochrony aktywów, poziomy wykorzystania, rola, jaką aktywa te odgrywają w kontekście terytorialnym i miejskim.</w:t>
            </w:r>
          </w:p>
          <w:p w14:paraId="78B634C7" w14:textId="77777777" w:rsidR="004C6421" w:rsidRDefault="009D1962">
            <w:pPr>
              <w:pStyle w:val="P68B1DB1-Normal4"/>
              <w:rPr>
                <w:noProof/>
              </w:rPr>
            </w:pPr>
            <w:r>
              <w:rPr>
                <w:noProof/>
              </w:rPr>
              <w:t>Udzielanie zamówień na projekty wybrane w ramach konkurencyjnych zaproszeń do składania wniosków musi być zgodne z wytycznymi technicznymi dotyczącymi zasady „nie czyń poważnych szkód” (2021/C58/01) poprzez wykorzystanie listy wykluczenia oraz wymóg zgodności z odpowiednimi unijnymi i krajowymi przepisami w zakresie ochrony środowiska.</w:t>
            </w:r>
          </w:p>
        </w:tc>
      </w:tr>
      <w:tr w:rsidR="004C6421" w14:paraId="17974687" w14:textId="77777777">
        <w:trPr>
          <w:trHeight w:val="313"/>
          <w:jc w:val="center"/>
        </w:trPr>
        <w:tc>
          <w:tcPr>
            <w:tcW w:w="377" w:type="pct"/>
            <w:shd w:val="clear" w:color="auto" w:fill="C6EFCE"/>
            <w:noWrap/>
            <w:vAlign w:val="center"/>
          </w:tcPr>
          <w:p w14:paraId="68F17E7A" w14:textId="77777777" w:rsidR="004C6421" w:rsidRDefault="009D1962">
            <w:pPr>
              <w:pStyle w:val="P68B1DB1-Normal4"/>
              <w:jc w:val="center"/>
              <w:rPr>
                <w:noProof/>
              </w:rPr>
            </w:pPr>
            <w:r>
              <w:rPr>
                <w:noProof/>
              </w:rPr>
              <w:t>M1C3-14</w:t>
            </w:r>
          </w:p>
        </w:tc>
        <w:tc>
          <w:tcPr>
            <w:tcW w:w="520" w:type="pct"/>
            <w:shd w:val="clear" w:color="auto" w:fill="C6EFCE"/>
            <w:noWrap/>
            <w:vAlign w:val="center"/>
          </w:tcPr>
          <w:p w14:paraId="138DEC49" w14:textId="77777777" w:rsidR="004C6421" w:rsidRDefault="009D1962">
            <w:pPr>
              <w:pStyle w:val="P68B1DB1-Normal4"/>
              <w:jc w:val="center"/>
              <w:rPr>
                <w:noProof/>
              </w:rPr>
            </w:pPr>
            <w:r>
              <w:rPr>
                <w:noProof/>
              </w:rPr>
              <w:t>Inwestycje 2.3 – Programy mające na celu wzmocnienie tożsamości miejsc, parków i ogrodów historycznych</w:t>
            </w:r>
          </w:p>
        </w:tc>
        <w:tc>
          <w:tcPr>
            <w:tcW w:w="378" w:type="pct"/>
            <w:shd w:val="clear" w:color="auto" w:fill="C6EFCE"/>
            <w:noWrap/>
            <w:vAlign w:val="center"/>
          </w:tcPr>
          <w:p w14:paraId="46AE62EB" w14:textId="166F80FC" w:rsidR="004C6421" w:rsidRDefault="00CC179E">
            <w:pPr>
              <w:pStyle w:val="P68B1DB1-Normal4"/>
              <w:jc w:val="center"/>
              <w:rPr>
                <w:noProof/>
              </w:rPr>
            </w:pPr>
            <w:r>
              <w:rPr>
                <w:noProof/>
              </w:rPr>
              <w:t>Milowy</w:t>
            </w:r>
          </w:p>
        </w:tc>
        <w:tc>
          <w:tcPr>
            <w:tcW w:w="520" w:type="pct"/>
            <w:shd w:val="clear" w:color="auto" w:fill="C6EFCE"/>
            <w:noWrap/>
            <w:vAlign w:val="center"/>
          </w:tcPr>
          <w:p w14:paraId="2B15A644" w14:textId="77777777" w:rsidR="004C6421" w:rsidRDefault="009D1962">
            <w:pPr>
              <w:pStyle w:val="P68B1DB1-Normal4"/>
              <w:jc w:val="center"/>
              <w:rPr>
                <w:noProof/>
              </w:rPr>
            </w:pPr>
            <w:r>
              <w:rPr>
                <w:noProof/>
              </w:rPr>
              <w:t>Wejście w życie dekretu Ministerstwa Kultury w sprawie przydziału zasobów: projekty mające na celu poprawę tożsamości miejsc, parków i ogrodów historycznych</w:t>
            </w:r>
          </w:p>
          <w:p w14:paraId="789850D2" w14:textId="77777777" w:rsidR="004C6421" w:rsidRDefault="004C6421">
            <w:pPr>
              <w:jc w:val="center"/>
              <w:rPr>
                <w:rFonts w:ascii="Arial Narrow" w:hAnsi="Arial Narrow"/>
                <w:noProof/>
                <w:color w:val="006100"/>
                <w:sz w:val="20"/>
              </w:rPr>
            </w:pPr>
          </w:p>
        </w:tc>
        <w:tc>
          <w:tcPr>
            <w:tcW w:w="520" w:type="pct"/>
            <w:shd w:val="clear" w:color="auto" w:fill="C6EFCE"/>
            <w:noWrap/>
            <w:vAlign w:val="center"/>
          </w:tcPr>
          <w:p w14:paraId="06618B7E" w14:textId="77777777" w:rsidR="004C6421" w:rsidRDefault="009D1962">
            <w:pPr>
              <w:pStyle w:val="P68B1DB1-Normal4"/>
              <w:jc w:val="center"/>
              <w:rPr>
                <w:noProof/>
              </w:rPr>
            </w:pPr>
            <w:r>
              <w:rPr>
                <w:noProof/>
              </w:rPr>
              <w:t>Przepis dekretu wskazujący na wejście w życie dekretu Ministerstwa Kultury dotyczący przydziału środków na projekty mające na celu poprawę tożsamości miejsc, parków i ogrodów historycznych NIE DOT.</w:t>
            </w:r>
          </w:p>
        </w:tc>
        <w:tc>
          <w:tcPr>
            <w:tcW w:w="331" w:type="pct"/>
            <w:shd w:val="clear" w:color="auto" w:fill="C6EFCE"/>
            <w:noWrap/>
            <w:vAlign w:val="center"/>
          </w:tcPr>
          <w:p w14:paraId="67311658" w14:textId="77777777" w:rsidR="004C6421" w:rsidRDefault="009D1962">
            <w:pPr>
              <w:pStyle w:val="P68B1DB1-Normal4"/>
              <w:jc w:val="center"/>
              <w:rPr>
                <w:noProof/>
              </w:rPr>
            </w:pPr>
            <w:r>
              <w:rPr>
                <w:noProof/>
              </w:rPr>
              <w:t>NIE DOT.</w:t>
            </w:r>
          </w:p>
        </w:tc>
        <w:tc>
          <w:tcPr>
            <w:tcW w:w="332" w:type="pct"/>
            <w:shd w:val="clear" w:color="auto" w:fill="C6EFCE"/>
            <w:noWrap/>
            <w:vAlign w:val="center"/>
          </w:tcPr>
          <w:p w14:paraId="6133294D" w14:textId="77777777" w:rsidR="004C6421" w:rsidRDefault="009D1962">
            <w:pPr>
              <w:pStyle w:val="P68B1DB1-Normal4"/>
              <w:jc w:val="center"/>
              <w:rPr>
                <w:noProof/>
              </w:rPr>
            </w:pPr>
            <w:r>
              <w:rPr>
                <w:noProof/>
              </w:rPr>
              <w:t>NIE DOT.</w:t>
            </w:r>
          </w:p>
        </w:tc>
        <w:tc>
          <w:tcPr>
            <w:tcW w:w="424" w:type="pct"/>
            <w:shd w:val="clear" w:color="auto" w:fill="C6EFCE"/>
            <w:noWrap/>
            <w:vAlign w:val="center"/>
          </w:tcPr>
          <w:p w14:paraId="02C44811" w14:textId="77777777" w:rsidR="004C6421" w:rsidRDefault="009D1962">
            <w:pPr>
              <w:pStyle w:val="P68B1DB1-Normal4"/>
              <w:jc w:val="center"/>
              <w:rPr>
                <w:noProof/>
              </w:rPr>
            </w:pPr>
            <w:r>
              <w:rPr>
                <w:noProof/>
              </w:rPr>
              <w:t>NIE DOT.</w:t>
            </w:r>
          </w:p>
        </w:tc>
        <w:tc>
          <w:tcPr>
            <w:tcW w:w="332" w:type="pct"/>
            <w:shd w:val="clear" w:color="auto" w:fill="C6EFCE"/>
            <w:noWrap/>
            <w:vAlign w:val="center"/>
          </w:tcPr>
          <w:p w14:paraId="3F0D6687" w14:textId="77777777" w:rsidR="004C6421" w:rsidRDefault="009D1962">
            <w:pPr>
              <w:pStyle w:val="P68B1DB1-Normal4"/>
              <w:jc w:val="center"/>
              <w:rPr>
                <w:noProof/>
              </w:rPr>
            </w:pPr>
            <w:r>
              <w:rPr>
                <w:noProof/>
              </w:rPr>
              <w:t>II KW.</w:t>
            </w:r>
          </w:p>
        </w:tc>
        <w:tc>
          <w:tcPr>
            <w:tcW w:w="220" w:type="pct"/>
            <w:shd w:val="clear" w:color="auto" w:fill="C6EFCE"/>
            <w:noWrap/>
            <w:vAlign w:val="center"/>
          </w:tcPr>
          <w:p w14:paraId="00232549" w14:textId="77777777" w:rsidR="004C6421" w:rsidRDefault="009D1962">
            <w:pPr>
              <w:pStyle w:val="P68B1DB1-Normal4"/>
              <w:jc w:val="center"/>
              <w:rPr>
                <w:noProof/>
              </w:rPr>
            </w:pPr>
            <w:r>
              <w:rPr>
                <w:noProof/>
              </w:rPr>
              <w:t>2022</w:t>
            </w:r>
          </w:p>
        </w:tc>
        <w:tc>
          <w:tcPr>
            <w:tcW w:w="1047" w:type="pct"/>
            <w:shd w:val="clear" w:color="auto" w:fill="C6EFCE"/>
            <w:noWrap/>
            <w:vAlign w:val="center"/>
          </w:tcPr>
          <w:p w14:paraId="5F5A1CA3" w14:textId="77777777" w:rsidR="004C6421" w:rsidRDefault="009D1962">
            <w:pPr>
              <w:pStyle w:val="P68B1DB1-Normal4"/>
              <w:rPr>
                <w:noProof/>
              </w:rPr>
            </w:pPr>
            <w:r>
              <w:rPr>
                <w:noProof/>
              </w:rPr>
              <w:t>Dekret Ministerstwa Kultury przydziela środki organom administracji odpowiedzialnej za projekty mające na celu poprawę tożsamości miejsc, parków i ogrodów historycznych.</w:t>
            </w:r>
          </w:p>
          <w:p w14:paraId="1F097F1F" w14:textId="77777777" w:rsidR="004C6421" w:rsidRDefault="004C6421">
            <w:pPr>
              <w:rPr>
                <w:rFonts w:ascii="Arial Narrow" w:hAnsi="Arial Narrow"/>
                <w:noProof/>
                <w:color w:val="006100"/>
                <w:sz w:val="20"/>
              </w:rPr>
            </w:pPr>
          </w:p>
          <w:p w14:paraId="4A5E8B52" w14:textId="77777777" w:rsidR="004C6421" w:rsidRDefault="009D1962">
            <w:pPr>
              <w:pStyle w:val="P68B1DB1-Normal4"/>
              <w:rPr>
                <w:noProof/>
              </w:rPr>
            </w:pPr>
            <w:r>
              <w:rPr>
                <w:noProof/>
              </w:rPr>
              <w:t>Historyczne parki i ogrody (Inv. 2.3) podlegają interwencji wyłącznie chronione dobra kultury, w odniesieniu do których zgłoszono interesy artystyczne lub historyczne. Mogą one należeć zarówno do Państwowego Ministerstwa Kultury, jak i do majątku niepaństwowego. Wyboru dokonuje się na podstawie kryteriów określonych przez grupę koordynacyjną techniczno-naukową, w skład której wchodzą przedstawiciele MiC, Uniwersytetu, ANCI, stowarzyszeń sektorowych.</w:t>
            </w:r>
          </w:p>
          <w:p w14:paraId="2813B86F" w14:textId="77777777" w:rsidR="004C6421" w:rsidRDefault="009D1962">
            <w:pPr>
              <w:pStyle w:val="P68B1DB1-Normal4"/>
              <w:rPr>
                <w:noProof/>
              </w:rPr>
            </w:pPr>
            <w:r>
              <w:rPr>
                <w:noProof/>
              </w:rPr>
              <w:t>Udzielanie zamówień na projekty wybrane w ramach konkurencyjnych zaproszeń do składania wniosków musi być zgodne z wytycznymi technicznymi dotyczącymi zasady „nie czyń poważnych szkód” (2021/C58/01) poprzez wykorzystanie listy wykluczenia oraz wymóg zgodności z odpowiednimi unijnymi i krajowymi przepisami w zakresie ochrony środowiska.</w:t>
            </w:r>
          </w:p>
        </w:tc>
      </w:tr>
      <w:tr w:rsidR="004C6421" w14:paraId="5845AAAB" w14:textId="77777777">
        <w:trPr>
          <w:trHeight w:val="313"/>
          <w:jc w:val="center"/>
        </w:trPr>
        <w:tc>
          <w:tcPr>
            <w:tcW w:w="377" w:type="pct"/>
            <w:shd w:val="clear" w:color="auto" w:fill="C6EFCE"/>
            <w:noWrap/>
            <w:vAlign w:val="center"/>
          </w:tcPr>
          <w:p w14:paraId="21797878" w14:textId="77777777" w:rsidR="004C6421" w:rsidRDefault="009D1962">
            <w:pPr>
              <w:pStyle w:val="P68B1DB1-Normal4"/>
              <w:jc w:val="center"/>
              <w:rPr>
                <w:noProof/>
              </w:rPr>
            </w:pPr>
            <w:r>
              <w:rPr>
                <w:noProof/>
              </w:rPr>
              <w:t>M1C3-15</w:t>
            </w:r>
          </w:p>
        </w:tc>
        <w:tc>
          <w:tcPr>
            <w:tcW w:w="520" w:type="pct"/>
            <w:shd w:val="clear" w:color="auto" w:fill="C6EFCE"/>
            <w:noWrap/>
            <w:vAlign w:val="center"/>
          </w:tcPr>
          <w:p w14:paraId="4C0F5BC0" w14:textId="77777777" w:rsidR="004C6421" w:rsidRDefault="009D1962">
            <w:pPr>
              <w:pStyle w:val="P68B1DB1-Normal4"/>
              <w:jc w:val="center"/>
              <w:rPr>
                <w:noProof/>
              </w:rPr>
            </w:pPr>
            <w:r>
              <w:rPr>
                <w:noProof/>
              </w:rPr>
              <w:t>Inwestycja 2.4 – Bezpieczeństwo sejsmiczne miejsc kultu, renowacja dziedzictwa FEC i schronisk dla dzieł sztuki</w:t>
            </w:r>
          </w:p>
        </w:tc>
        <w:tc>
          <w:tcPr>
            <w:tcW w:w="378" w:type="pct"/>
            <w:shd w:val="clear" w:color="auto" w:fill="C6EFCE"/>
            <w:noWrap/>
            <w:vAlign w:val="center"/>
          </w:tcPr>
          <w:p w14:paraId="043FAB85" w14:textId="4EB40F00" w:rsidR="004C6421" w:rsidRDefault="00CC179E">
            <w:pPr>
              <w:pStyle w:val="P68B1DB1-Normal4"/>
              <w:jc w:val="center"/>
              <w:rPr>
                <w:noProof/>
              </w:rPr>
            </w:pPr>
            <w:r>
              <w:rPr>
                <w:noProof/>
              </w:rPr>
              <w:t>Milowy</w:t>
            </w:r>
          </w:p>
        </w:tc>
        <w:tc>
          <w:tcPr>
            <w:tcW w:w="520" w:type="pct"/>
            <w:shd w:val="clear" w:color="auto" w:fill="C6EFCE"/>
            <w:noWrap/>
            <w:vAlign w:val="center"/>
          </w:tcPr>
          <w:p w14:paraId="19A3CDD5" w14:textId="77777777" w:rsidR="004C6421" w:rsidRDefault="009D1962">
            <w:pPr>
              <w:pStyle w:val="P68B1DB1-Normal4"/>
              <w:jc w:val="center"/>
              <w:rPr>
                <w:noProof/>
              </w:rPr>
            </w:pPr>
            <w:r>
              <w:rPr>
                <w:noProof/>
              </w:rPr>
              <w:t>Wejście w życie dekretu Ministerstwa Kultury w sprawie przydziału zasobów:</w:t>
            </w:r>
          </w:p>
          <w:p w14:paraId="3C1C26EA" w14:textId="77777777" w:rsidR="004C6421" w:rsidRDefault="009D1962">
            <w:pPr>
              <w:pStyle w:val="P68B1DB1-Normal4"/>
              <w:jc w:val="center"/>
              <w:rPr>
                <w:noProof/>
              </w:rPr>
            </w:pPr>
            <w:r>
              <w:rPr>
                <w:noProof/>
              </w:rPr>
              <w:t>na potrzeby bezpieczeństwa sejsmicznego zamiast kultu i odbudowy dziedzictwa FEC (Fondo Edifici di Culto)</w:t>
            </w:r>
          </w:p>
        </w:tc>
        <w:tc>
          <w:tcPr>
            <w:tcW w:w="520" w:type="pct"/>
            <w:shd w:val="clear" w:color="auto" w:fill="C6EFCE"/>
            <w:noWrap/>
            <w:vAlign w:val="center"/>
          </w:tcPr>
          <w:p w14:paraId="1F0DC43D" w14:textId="77777777" w:rsidR="004C6421" w:rsidRDefault="009D1962">
            <w:pPr>
              <w:pStyle w:val="P68B1DB1-Normal4"/>
              <w:jc w:val="center"/>
              <w:rPr>
                <w:noProof/>
              </w:rPr>
            </w:pPr>
            <w:r>
              <w:rPr>
                <w:noProof/>
              </w:rPr>
              <w:t>Przepis w dekrecie wskazujący na wejście w życie dekretu Ministerstwa Kultury w sprawie przydziału zasobów</w:t>
            </w:r>
          </w:p>
          <w:p w14:paraId="6E2E1AD8" w14:textId="77777777" w:rsidR="004C6421" w:rsidRDefault="009D1962">
            <w:pPr>
              <w:pStyle w:val="P68B1DB1-Normal4"/>
              <w:jc w:val="center"/>
              <w:rPr>
                <w:noProof/>
              </w:rPr>
            </w:pPr>
            <w:r>
              <w:rPr>
                <w:noProof/>
              </w:rPr>
              <w:t>na potrzeby bezpieczeństwa sejsmicznego zamiast kultu i odbudowy dziedzictwa FEC (Fondo Edifici di Culto)</w:t>
            </w:r>
          </w:p>
        </w:tc>
        <w:tc>
          <w:tcPr>
            <w:tcW w:w="331" w:type="pct"/>
            <w:shd w:val="clear" w:color="auto" w:fill="C6EFCE"/>
            <w:noWrap/>
            <w:vAlign w:val="center"/>
          </w:tcPr>
          <w:p w14:paraId="79C8C3A1" w14:textId="77777777" w:rsidR="004C6421" w:rsidRDefault="009D1962">
            <w:pPr>
              <w:pStyle w:val="P68B1DB1-Normal4"/>
              <w:jc w:val="center"/>
              <w:rPr>
                <w:noProof/>
              </w:rPr>
            </w:pPr>
            <w:r>
              <w:rPr>
                <w:noProof/>
              </w:rPr>
              <w:t>NIE DOT.</w:t>
            </w:r>
          </w:p>
        </w:tc>
        <w:tc>
          <w:tcPr>
            <w:tcW w:w="332" w:type="pct"/>
            <w:shd w:val="clear" w:color="auto" w:fill="C6EFCE"/>
            <w:noWrap/>
            <w:vAlign w:val="center"/>
          </w:tcPr>
          <w:p w14:paraId="2605FEBC" w14:textId="77777777" w:rsidR="004C6421" w:rsidRDefault="009D1962">
            <w:pPr>
              <w:pStyle w:val="P68B1DB1-Normal4"/>
              <w:jc w:val="center"/>
              <w:rPr>
                <w:noProof/>
              </w:rPr>
            </w:pPr>
            <w:r>
              <w:rPr>
                <w:noProof/>
              </w:rPr>
              <w:t>NIE DOT.</w:t>
            </w:r>
          </w:p>
        </w:tc>
        <w:tc>
          <w:tcPr>
            <w:tcW w:w="424" w:type="pct"/>
            <w:shd w:val="clear" w:color="auto" w:fill="C6EFCE"/>
            <w:noWrap/>
            <w:vAlign w:val="center"/>
          </w:tcPr>
          <w:p w14:paraId="4F0A46E4" w14:textId="77777777" w:rsidR="004C6421" w:rsidRDefault="009D1962">
            <w:pPr>
              <w:pStyle w:val="P68B1DB1-Normal4"/>
              <w:jc w:val="center"/>
              <w:rPr>
                <w:noProof/>
              </w:rPr>
            </w:pPr>
            <w:r>
              <w:rPr>
                <w:noProof/>
              </w:rPr>
              <w:t>NIE DOT.</w:t>
            </w:r>
          </w:p>
        </w:tc>
        <w:tc>
          <w:tcPr>
            <w:tcW w:w="332" w:type="pct"/>
            <w:shd w:val="clear" w:color="auto" w:fill="C6EFCE"/>
            <w:noWrap/>
            <w:vAlign w:val="center"/>
          </w:tcPr>
          <w:p w14:paraId="584E7570" w14:textId="77777777" w:rsidR="004C6421" w:rsidRDefault="009D1962">
            <w:pPr>
              <w:pStyle w:val="P68B1DB1-Normal4"/>
              <w:jc w:val="center"/>
              <w:rPr>
                <w:noProof/>
              </w:rPr>
            </w:pPr>
            <w:r>
              <w:rPr>
                <w:noProof/>
              </w:rPr>
              <w:t>II KW.</w:t>
            </w:r>
          </w:p>
        </w:tc>
        <w:tc>
          <w:tcPr>
            <w:tcW w:w="220" w:type="pct"/>
            <w:shd w:val="clear" w:color="auto" w:fill="C6EFCE"/>
            <w:noWrap/>
            <w:vAlign w:val="center"/>
          </w:tcPr>
          <w:p w14:paraId="54FC3702" w14:textId="77777777" w:rsidR="004C6421" w:rsidRDefault="009D1962">
            <w:pPr>
              <w:pStyle w:val="P68B1DB1-Normal4"/>
              <w:jc w:val="center"/>
              <w:rPr>
                <w:noProof/>
              </w:rPr>
            </w:pPr>
            <w:r>
              <w:rPr>
                <w:noProof/>
              </w:rPr>
              <w:t>2022</w:t>
            </w:r>
          </w:p>
        </w:tc>
        <w:tc>
          <w:tcPr>
            <w:tcW w:w="1047" w:type="pct"/>
            <w:shd w:val="clear" w:color="auto" w:fill="C6EFCE"/>
            <w:noWrap/>
            <w:vAlign w:val="center"/>
          </w:tcPr>
          <w:p w14:paraId="6AD72216" w14:textId="77777777" w:rsidR="004C6421" w:rsidRDefault="004C6421">
            <w:pPr>
              <w:rPr>
                <w:rFonts w:ascii="Arial Narrow" w:hAnsi="Arial Narrow"/>
                <w:noProof/>
                <w:color w:val="006100"/>
                <w:sz w:val="20"/>
              </w:rPr>
            </w:pPr>
          </w:p>
          <w:p w14:paraId="5A43A871" w14:textId="77777777" w:rsidR="004C6421" w:rsidRDefault="009D1962">
            <w:pPr>
              <w:pStyle w:val="P68B1DB1-Normal4"/>
              <w:rPr>
                <w:noProof/>
              </w:rPr>
            </w:pPr>
            <w:r>
              <w:rPr>
                <w:noProof/>
              </w:rPr>
              <w:t>Dekret Ministerstwa Kultury określa podmiot wdrażający oraz kwalifikowalność i finansowanie budynków objętych interwencjami.</w:t>
            </w:r>
          </w:p>
          <w:p w14:paraId="70A1DA07" w14:textId="77777777" w:rsidR="004C6421" w:rsidRDefault="009D1962">
            <w:pPr>
              <w:pStyle w:val="P68B1DB1-Normal4"/>
              <w:rPr>
                <w:noProof/>
              </w:rPr>
            </w:pPr>
            <w:r>
              <w:rPr>
                <w:noProof/>
              </w:rPr>
              <w:t>oraz typologię.</w:t>
            </w:r>
          </w:p>
          <w:p w14:paraId="0C363CBA" w14:textId="77777777" w:rsidR="004C6421" w:rsidRDefault="004C6421">
            <w:pPr>
              <w:rPr>
                <w:rFonts w:ascii="Arial Narrow" w:hAnsi="Arial Narrow"/>
                <w:noProof/>
                <w:color w:val="006100"/>
                <w:sz w:val="20"/>
              </w:rPr>
            </w:pPr>
          </w:p>
          <w:p w14:paraId="17C45A8E" w14:textId="77777777" w:rsidR="004C6421" w:rsidRDefault="009D1962">
            <w:pPr>
              <w:pStyle w:val="P68B1DB1-Normal4"/>
              <w:rPr>
                <w:noProof/>
              </w:rPr>
            </w:pPr>
            <w:r>
              <w:rPr>
                <w:noProof/>
              </w:rPr>
              <w:t>(INV 2.4) Środki zapobiegania sejsmizmowi i bezpieczeństwa miejsc kultu dotyczą obszarów dotkniętych kilkoma trzęsieniami ziemi, które od 2009 r. dotykają regiony Włoch (Abruzja, Lacjum, Marche i Umbria).</w:t>
            </w:r>
          </w:p>
          <w:p w14:paraId="62D2A8CA" w14:textId="77777777" w:rsidR="004C6421" w:rsidRDefault="009D1962">
            <w:pPr>
              <w:pStyle w:val="P68B1DB1-Normal4"/>
              <w:rPr>
                <w:noProof/>
              </w:rPr>
            </w:pPr>
            <w:r>
              <w:rPr>
                <w:noProof/>
              </w:rPr>
              <w:t>Interwencje FEC (Fondo Edifici di Culto) są wybierane na podstawie stanu zachowania aktywów dziedzictwa FEC (Fondo Edifici di Culto).</w:t>
            </w:r>
          </w:p>
          <w:p w14:paraId="46A237DB" w14:textId="77777777" w:rsidR="004C6421" w:rsidRDefault="009D1962">
            <w:pPr>
              <w:pStyle w:val="P68B1DB1-Normal4"/>
              <w:rPr>
                <w:noProof/>
              </w:rPr>
            </w:pPr>
            <w:r>
              <w:rPr>
                <w:noProof/>
              </w:rPr>
              <w:t>Udzielanie zamówień na projekty wybrane w ramach konkurencyjnych zaproszeń do składania wniosków musi być zgodne z wytycznymi technicznymi dotyczącymi zasady „nie czyń poważnych szkód” (2021/C58/01) poprzez wykorzystanie listy wykluczenia oraz wymóg zgodności z odpowiednimi unijnymi i krajowymi przepisami w zakresie ochrony środowiska.</w:t>
            </w:r>
          </w:p>
        </w:tc>
      </w:tr>
      <w:tr w:rsidR="004C6421" w14:paraId="36E66D2D" w14:textId="77777777">
        <w:trPr>
          <w:trHeight w:val="313"/>
          <w:jc w:val="center"/>
        </w:trPr>
        <w:tc>
          <w:tcPr>
            <w:tcW w:w="377" w:type="pct"/>
            <w:shd w:val="clear" w:color="auto" w:fill="C6EFCE"/>
            <w:noWrap/>
            <w:vAlign w:val="center"/>
            <w:hideMark/>
          </w:tcPr>
          <w:p w14:paraId="03B1415C" w14:textId="77777777" w:rsidR="004C6421" w:rsidRDefault="009D1962">
            <w:pPr>
              <w:pStyle w:val="P68B1DB1-Normal4"/>
              <w:jc w:val="center"/>
              <w:rPr>
                <w:noProof/>
              </w:rPr>
            </w:pPr>
            <w:r>
              <w:rPr>
                <w:noProof/>
              </w:rPr>
              <w:t>M1C3-16</w:t>
            </w:r>
          </w:p>
        </w:tc>
        <w:tc>
          <w:tcPr>
            <w:tcW w:w="520" w:type="pct"/>
            <w:shd w:val="clear" w:color="auto" w:fill="C6EFCE"/>
            <w:noWrap/>
            <w:vAlign w:val="center"/>
          </w:tcPr>
          <w:p w14:paraId="422514BA" w14:textId="77777777" w:rsidR="004C6421" w:rsidRDefault="009D1962">
            <w:pPr>
              <w:pStyle w:val="P68B1DB1-Normal4"/>
              <w:jc w:val="center"/>
              <w:rPr>
                <w:noProof/>
              </w:rPr>
            </w:pPr>
            <w:r>
              <w:rPr>
                <w:noProof/>
              </w:rPr>
              <w:t>Inwestycje – 2.1 Czynność małych historycznych miast</w:t>
            </w:r>
          </w:p>
        </w:tc>
        <w:tc>
          <w:tcPr>
            <w:tcW w:w="378" w:type="pct"/>
            <w:shd w:val="clear" w:color="auto" w:fill="C6EFCE"/>
            <w:noWrap/>
            <w:vAlign w:val="center"/>
            <w:hideMark/>
          </w:tcPr>
          <w:p w14:paraId="23990727" w14:textId="77777777" w:rsidR="004C6421" w:rsidRDefault="009D1962">
            <w:pPr>
              <w:pStyle w:val="P68B1DB1-Normal4"/>
              <w:jc w:val="center"/>
              <w:rPr>
                <w:noProof/>
              </w:rPr>
            </w:pPr>
            <w:r>
              <w:rPr>
                <w:noProof/>
              </w:rPr>
              <w:t>Cel</w:t>
            </w:r>
          </w:p>
        </w:tc>
        <w:tc>
          <w:tcPr>
            <w:tcW w:w="520" w:type="pct"/>
            <w:shd w:val="clear" w:color="auto" w:fill="C6EFCE"/>
            <w:noWrap/>
            <w:vAlign w:val="center"/>
          </w:tcPr>
          <w:p w14:paraId="40B42601" w14:textId="77777777" w:rsidR="004C6421" w:rsidRDefault="009D1962">
            <w:pPr>
              <w:pStyle w:val="P68B1DB1-Normal4"/>
              <w:jc w:val="center"/>
              <w:rPr>
                <w:noProof/>
              </w:rPr>
            </w:pPr>
            <w:r>
              <w:rPr>
                <w:noProof/>
              </w:rPr>
              <w:t>Zakończenie interwencji na rzecz poprawy jakości obiektów kulturalnych lub turystycznych</w:t>
            </w:r>
          </w:p>
        </w:tc>
        <w:tc>
          <w:tcPr>
            <w:tcW w:w="520" w:type="pct"/>
            <w:shd w:val="clear" w:color="auto" w:fill="C6EFCE"/>
            <w:noWrap/>
            <w:vAlign w:val="center"/>
            <w:hideMark/>
          </w:tcPr>
          <w:p w14:paraId="5A22CF1A" w14:textId="77777777" w:rsidR="004C6421" w:rsidRDefault="009D1962">
            <w:pPr>
              <w:pStyle w:val="P68B1DB1-Normal4"/>
              <w:jc w:val="center"/>
              <w:rPr>
                <w:noProof/>
              </w:rPr>
            </w:pPr>
            <w:r>
              <w:rPr>
                <w:noProof/>
              </w:rPr>
              <w:t>NIE DOT.</w:t>
            </w:r>
          </w:p>
        </w:tc>
        <w:tc>
          <w:tcPr>
            <w:tcW w:w="331" w:type="pct"/>
            <w:shd w:val="clear" w:color="auto" w:fill="C6EFCE"/>
            <w:noWrap/>
            <w:vAlign w:val="center"/>
            <w:hideMark/>
          </w:tcPr>
          <w:p w14:paraId="046FF104" w14:textId="77777777" w:rsidR="004C6421" w:rsidRDefault="009D1962">
            <w:pPr>
              <w:pStyle w:val="P68B1DB1-Normal4"/>
              <w:jc w:val="center"/>
              <w:rPr>
                <w:noProof/>
              </w:rPr>
            </w:pPr>
            <w:r>
              <w:rPr>
                <w:noProof/>
              </w:rPr>
              <w:t>Numer</w:t>
            </w:r>
          </w:p>
        </w:tc>
        <w:tc>
          <w:tcPr>
            <w:tcW w:w="332" w:type="pct"/>
            <w:shd w:val="clear" w:color="auto" w:fill="C6EFCE"/>
            <w:noWrap/>
            <w:vAlign w:val="center"/>
          </w:tcPr>
          <w:p w14:paraId="557DCE64" w14:textId="77777777" w:rsidR="004C6421" w:rsidRDefault="009D1962">
            <w:pPr>
              <w:pStyle w:val="P68B1DB1-Normal4"/>
              <w:jc w:val="center"/>
              <w:rPr>
                <w:noProof/>
              </w:rPr>
            </w:pPr>
            <w:r>
              <w:rPr>
                <w:noProof/>
              </w:rPr>
              <w:t>0</w:t>
            </w:r>
          </w:p>
        </w:tc>
        <w:tc>
          <w:tcPr>
            <w:tcW w:w="424" w:type="pct"/>
            <w:shd w:val="clear" w:color="auto" w:fill="C6EFCE"/>
            <w:noWrap/>
            <w:vAlign w:val="center"/>
          </w:tcPr>
          <w:p w14:paraId="5663A50C" w14:textId="77777777" w:rsidR="004C6421" w:rsidRDefault="009D1962">
            <w:pPr>
              <w:pStyle w:val="P68B1DB1-Normal4"/>
              <w:jc w:val="center"/>
              <w:rPr>
                <w:noProof/>
              </w:rPr>
            </w:pPr>
            <w:r>
              <w:rPr>
                <w:noProof/>
              </w:rPr>
              <w:t>1 300</w:t>
            </w:r>
          </w:p>
        </w:tc>
        <w:tc>
          <w:tcPr>
            <w:tcW w:w="332" w:type="pct"/>
            <w:shd w:val="clear" w:color="auto" w:fill="C6EFCE"/>
            <w:noWrap/>
            <w:vAlign w:val="center"/>
            <w:hideMark/>
          </w:tcPr>
          <w:p w14:paraId="47BFAB94" w14:textId="77777777" w:rsidR="004C6421" w:rsidRDefault="009D1962">
            <w:pPr>
              <w:pStyle w:val="P68B1DB1-Normal4"/>
              <w:jc w:val="center"/>
              <w:rPr>
                <w:noProof/>
              </w:rPr>
            </w:pPr>
            <w:r>
              <w:rPr>
                <w:noProof/>
              </w:rPr>
              <w:t>II KW.</w:t>
            </w:r>
          </w:p>
        </w:tc>
        <w:tc>
          <w:tcPr>
            <w:tcW w:w="220" w:type="pct"/>
            <w:shd w:val="clear" w:color="auto" w:fill="C6EFCE"/>
            <w:noWrap/>
            <w:vAlign w:val="center"/>
            <w:hideMark/>
          </w:tcPr>
          <w:p w14:paraId="1F262E06" w14:textId="77777777" w:rsidR="004C6421" w:rsidRDefault="009D1962">
            <w:pPr>
              <w:pStyle w:val="P68B1DB1-Normal4"/>
              <w:jc w:val="center"/>
              <w:rPr>
                <w:noProof/>
              </w:rPr>
            </w:pPr>
            <w:r>
              <w:rPr>
                <w:noProof/>
              </w:rPr>
              <w:t>2025</w:t>
            </w:r>
          </w:p>
        </w:tc>
        <w:tc>
          <w:tcPr>
            <w:tcW w:w="1047" w:type="pct"/>
            <w:shd w:val="clear" w:color="auto" w:fill="C6EFCE"/>
            <w:noWrap/>
            <w:vAlign w:val="center"/>
            <w:hideMark/>
          </w:tcPr>
          <w:p w14:paraId="16C06D2E" w14:textId="77777777" w:rsidR="004C6421" w:rsidRDefault="009D1962">
            <w:pPr>
              <w:pStyle w:val="P68B1DB1-Normal8"/>
              <w:rPr>
                <w:rFonts w:ascii="Arial Narrow" w:hAnsi="Arial Narrow"/>
                <w:noProof/>
              </w:rPr>
            </w:pPr>
            <w:r>
              <w:rPr>
                <w:rFonts w:ascii="Arial Narrow" w:hAnsi="Arial Narrow"/>
                <w:noProof/>
              </w:rPr>
              <w:t>Inwestycje – 2.1 Czynność małych historycznych miast Cel Zakończenie interwencji na rzecz poprawy jakości obiektów</w:t>
            </w:r>
            <w:r>
              <w:rPr>
                <w:noProof/>
              </w:rPr>
              <w:t xml:space="preserve"> </w:t>
            </w:r>
            <w:r>
              <w:rPr>
                <w:rFonts w:ascii="Arial Narrow" w:hAnsi="Arial Narrow"/>
                <w:noProof/>
              </w:rPr>
              <w:t>kulturalnych lub turystycznych NIE DOT. Liczba KW. 2</w:t>
            </w:r>
          </w:p>
          <w:p w14:paraId="6F293EBF" w14:textId="77777777" w:rsidR="004C6421" w:rsidRDefault="004C6421">
            <w:pPr>
              <w:rPr>
                <w:rFonts w:ascii="Arial Narrow" w:hAnsi="Arial Narrow"/>
                <w:noProof/>
                <w:color w:val="006100"/>
                <w:sz w:val="20"/>
              </w:rPr>
            </w:pPr>
          </w:p>
          <w:p w14:paraId="1C5918B4" w14:textId="77777777" w:rsidR="004C6421" w:rsidRDefault="009D1962">
            <w:pPr>
              <w:pStyle w:val="P68B1DB1-Normal4"/>
              <w:rPr>
                <w:noProof/>
              </w:rPr>
            </w:pPr>
            <w:r>
              <w:rPr>
                <w:noProof/>
              </w:rPr>
              <w:t>Zadowalające osiągnięcie celu zależy również od wsparcia co najmniej 1800 MŚP dla projektów w małych miastach historycznych. Celem jest pomiar liczby przeprowadzonych interwencji na rzecz poprawy obiektów kultury i turystyki, wykazanych w indywidualnych certyfikatach regularnej realizacji (odbudowa i rewitalizacja dziedzictwa kulturowego, budynki przeznaczone do świadczenia usług kulturalnych i turystycznych, mała infrastruktura turystyczna). Informacje te obejmują:</w:t>
            </w:r>
          </w:p>
          <w:p w14:paraId="211579D9" w14:textId="77777777" w:rsidR="004C6421" w:rsidRDefault="009D1962">
            <w:pPr>
              <w:pStyle w:val="P68B1DB1-Normal4"/>
              <w:rPr>
                <w:noProof/>
              </w:rPr>
            </w:pPr>
            <w:r>
              <w:rPr>
                <w:noProof/>
              </w:rPr>
              <w:t>—Przystosowawne ponowne wykorzystanie oraz przebudowa funkcjonalnych, strukturalnych i przemysłowych budynków i przestrzeni publicznych na potrzeby usług kulturalnych (takich jak muzea i biblioteki), poprawa efektywności energetycznej, wykorzystanie energii alternatywnej i odnawialnej oraz usunięcie barier ograniczających dostęp dla osób niepełnosprawnych.</w:t>
            </w:r>
          </w:p>
          <w:p w14:paraId="4FF0461C" w14:textId="77777777" w:rsidR="004C6421" w:rsidRDefault="009D1962">
            <w:pPr>
              <w:pStyle w:val="P68B1DB1-Normal4"/>
              <w:rPr>
                <w:noProof/>
              </w:rPr>
            </w:pPr>
            <w:r>
              <w:rPr>
                <w:noProof/>
              </w:rPr>
              <w:t>Ochrona i waloryzacja dziedzictwa kulturowego (takiego jak archeologiczny, historyczno-artystyczny, architektoniczny, demo-etno-antropologiczny);</w:t>
            </w:r>
          </w:p>
          <w:p w14:paraId="4FBE7690" w14:textId="77777777" w:rsidR="004C6421" w:rsidRDefault="009D1962">
            <w:pPr>
              <w:pStyle w:val="P68B1DB1-Normal4"/>
              <w:rPr>
                <w:noProof/>
              </w:rPr>
            </w:pPr>
            <w:r>
              <w:rPr>
                <w:noProof/>
              </w:rPr>
              <w:t>—tworzenie platform wiedzy i informacji oraz zintegrowanych systemów informacyjnych;</w:t>
            </w:r>
          </w:p>
          <w:p w14:paraId="58D75CB6" w14:textId="77777777" w:rsidR="004C6421" w:rsidRDefault="009D1962">
            <w:pPr>
              <w:pStyle w:val="P68B1DB1-Normal4"/>
              <w:rPr>
                <w:noProof/>
              </w:rPr>
            </w:pPr>
            <w:r>
              <w:rPr>
                <w:noProof/>
              </w:rPr>
              <w:t>—tworzenie działalności kulturalnej i artystycznej, tworzenie i promowanie tras kulturalnych i tematycznych, tras historycznych, szlaków rowerowych lub pieszych w celu połączenia i wykorzystania miejsc o znaczeniu turystyczno-kulturalnym (takich jak muzea, zabytki, obiekty Unesco, biblioteki, obszary archeologiczne i inne atrakcje kulturalne, religijne i artystyczne);</w:t>
            </w:r>
          </w:p>
          <w:p w14:paraId="590C8942" w14:textId="77777777" w:rsidR="004C6421" w:rsidRDefault="009D1962">
            <w:pPr>
              <w:pStyle w:val="P68B1DB1-Normal4"/>
              <w:rPr>
                <w:noProof/>
              </w:rPr>
            </w:pPr>
            <w:r>
              <w:rPr>
                <w:noProof/>
              </w:rPr>
              <w:t>Wsparcie dla przedsiębiorstw kulturalnych, turystycznych, handlowych, rolno-spożywczych i rzemieślniczych.</w:t>
            </w:r>
          </w:p>
          <w:p w14:paraId="50FA8C55" w14:textId="77777777" w:rsidR="004C6421" w:rsidRDefault="009D1962">
            <w:pPr>
              <w:pStyle w:val="P68B1DB1-Normal4"/>
              <w:rPr>
                <w:noProof/>
              </w:rPr>
            </w:pPr>
            <w:r>
              <w:rPr>
                <w:noProof/>
              </w:rPr>
              <w:t>37 % interwencji przeprowadza się w regionach słabiej rozwiniętych.</w:t>
            </w:r>
          </w:p>
        </w:tc>
      </w:tr>
      <w:tr w:rsidR="004C6421" w14:paraId="29FC0882" w14:textId="77777777">
        <w:trPr>
          <w:trHeight w:val="313"/>
          <w:jc w:val="center"/>
        </w:trPr>
        <w:tc>
          <w:tcPr>
            <w:tcW w:w="377" w:type="pct"/>
            <w:shd w:val="clear" w:color="auto" w:fill="C6EFCE"/>
            <w:noWrap/>
            <w:vAlign w:val="center"/>
            <w:hideMark/>
          </w:tcPr>
          <w:p w14:paraId="40F71816" w14:textId="77777777" w:rsidR="004C6421" w:rsidRDefault="009D1962">
            <w:pPr>
              <w:pStyle w:val="P68B1DB1-Normal4"/>
              <w:jc w:val="center"/>
              <w:rPr>
                <w:noProof/>
              </w:rPr>
            </w:pPr>
            <w:r>
              <w:rPr>
                <w:noProof/>
              </w:rPr>
              <w:t>M1C3-17</w:t>
            </w:r>
          </w:p>
        </w:tc>
        <w:tc>
          <w:tcPr>
            <w:tcW w:w="520" w:type="pct"/>
            <w:shd w:val="clear" w:color="auto" w:fill="C6EFCE"/>
            <w:noWrap/>
            <w:vAlign w:val="center"/>
            <w:hideMark/>
          </w:tcPr>
          <w:p w14:paraId="6263DB6F" w14:textId="77777777" w:rsidR="004C6421" w:rsidRDefault="009D1962">
            <w:pPr>
              <w:pStyle w:val="P68B1DB1-Normal4"/>
              <w:jc w:val="center"/>
              <w:rPr>
                <w:noProof/>
              </w:rPr>
            </w:pPr>
            <w:r>
              <w:rPr>
                <w:noProof/>
              </w:rPr>
              <w:t>Inwestycje – 2.2 Ochrona i poprawa architektury i krajobrazu obszarów wiejskich</w:t>
            </w:r>
          </w:p>
        </w:tc>
        <w:tc>
          <w:tcPr>
            <w:tcW w:w="378" w:type="pct"/>
            <w:shd w:val="clear" w:color="auto" w:fill="C6EFCE"/>
            <w:noWrap/>
            <w:vAlign w:val="center"/>
            <w:hideMark/>
          </w:tcPr>
          <w:p w14:paraId="2BE60A31" w14:textId="77777777" w:rsidR="004C6421" w:rsidRDefault="009D1962">
            <w:pPr>
              <w:pStyle w:val="P68B1DB1-Normal4"/>
              <w:jc w:val="center"/>
              <w:rPr>
                <w:noProof/>
              </w:rPr>
            </w:pPr>
            <w:r>
              <w:rPr>
                <w:noProof/>
              </w:rPr>
              <w:t>Cel</w:t>
            </w:r>
          </w:p>
        </w:tc>
        <w:tc>
          <w:tcPr>
            <w:tcW w:w="520" w:type="pct"/>
            <w:shd w:val="clear" w:color="auto" w:fill="C6EFCE"/>
            <w:noWrap/>
            <w:vAlign w:val="center"/>
            <w:hideMark/>
          </w:tcPr>
          <w:p w14:paraId="3321BD9D" w14:textId="77777777" w:rsidR="004C6421" w:rsidRDefault="009D1962">
            <w:pPr>
              <w:pStyle w:val="P68B1DB1-Normal4"/>
              <w:jc w:val="center"/>
              <w:rPr>
                <w:noProof/>
              </w:rPr>
            </w:pPr>
            <w:r>
              <w:rPr>
                <w:noProof/>
              </w:rPr>
              <w:t>Zakończenie interwencji na rzecz ochrony i poprawy architektury i krajobrazu obszarów wiejskich</w:t>
            </w:r>
          </w:p>
        </w:tc>
        <w:tc>
          <w:tcPr>
            <w:tcW w:w="520" w:type="pct"/>
            <w:shd w:val="clear" w:color="auto" w:fill="C6EFCE"/>
            <w:noWrap/>
            <w:vAlign w:val="center"/>
            <w:hideMark/>
          </w:tcPr>
          <w:p w14:paraId="3073F246" w14:textId="77777777" w:rsidR="004C6421" w:rsidRDefault="009D1962">
            <w:pPr>
              <w:pStyle w:val="P68B1DB1-Normal4"/>
              <w:jc w:val="center"/>
              <w:rPr>
                <w:noProof/>
              </w:rPr>
            </w:pPr>
            <w:r>
              <w:rPr>
                <w:noProof/>
              </w:rPr>
              <w:t>NIE DOT.</w:t>
            </w:r>
          </w:p>
        </w:tc>
        <w:tc>
          <w:tcPr>
            <w:tcW w:w="331" w:type="pct"/>
            <w:shd w:val="clear" w:color="auto" w:fill="C6EFCE"/>
            <w:noWrap/>
            <w:vAlign w:val="center"/>
            <w:hideMark/>
          </w:tcPr>
          <w:p w14:paraId="6B2230C8" w14:textId="77777777" w:rsidR="004C6421" w:rsidRDefault="009D1962">
            <w:pPr>
              <w:pStyle w:val="P68B1DB1-Normal4"/>
              <w:jc w:val="center"/>
              <w:rPr>
                <w:noProof/>
              </w:rPr>
            </w:pPr>
            <w:r>
              <w:rPr>
                <w:noProof/>
              </w:rPr>
              <w:t>Numer</w:t>
            </w:r>
          </w:p>
        </w:tc>
        <w:tc>
          <w:tcPr>
            <w:tcW w:w="332" w:type="pct"/>
            <w:shd w:val="clear" w:color="auto" w:fill="C6EFCE"/>
            <w:noWrap/>
            <w:vAlign w:val="center"/>
            <w:hideMark/>
          </w:tcPr>
          <w:p w14:paraId="19B66231" w14:textId="77777777" w:rsidR="004C6421" w:rsidRDefault="009D1962">
            <w:pPr>
              <w:pStyle w:val="P68B1DB1-Normal4"/>
              <w:jc w:val="center"/>
              <w:rPr>
                <w:noProof/>
              </w:rPr>
            </w:pPr>
            <w:r>
              <w:rPr>
                <w:noProof/>
              </w:rPr>
              <w:t>0</w:t>
            </w:r>
          </w:p>
        </w:tc>
        <w:tc>
          <w:tcPr>
            <w:tcW w:w="424" w:type="pct"/>
            <w:shd w:val="clear" w:color="auto" w:fill="C6EFCE"/>
            <w:noWrap/>
            <w:vAlign w:val="center"/>
            <w:hideMark/>
          </w:tcPr>
          <w:p w14:paraId="04E1BD42" w14:textId="77777777" w:rsidR="004C6421" w:rsidRDefault="009D1962">
            <w:pPr>
              <w:pStyle w:val="P68B1DB1-Normal4"/>
              <w:jc w:val="center"/>
              <w:rPr>
                <w:noProof/>
              </w:rPr>
            </w:pPr>
            <w:r>
              <w:rPr>
                <w:noProof/>
              </w:rPr>
              <w:t>3 000</w:t>
            </w:r>
          </w:p>
        </w:tc>
        <w:tc>
          <w:tcPr>
            <w:tcW w:w="332" w:type="pct"/>
            <w:shd w:val="clear" w:color="auto" w:fill="C6EFCE"/>
            <w:noWrap/>
            <w:vAlign w:val="center"/>
            <w:hideMark/>
          </w:tcPr>
          <w:p w14:paraId="63263D14" w14:textId="6CB04977" w:rsidR="004C6421" w:rsidRDefault="00CC179E">
            <w:pPr>
              <w:pStyle w:val="P68B1DB1-Normal4"/>
              <w:jc w:val="center"/>
              <w:rPr>
                <w:noProof/>
              </w:rPr>
            </w:pPr>
            <w:r>
              <w:rPr>
                <w:noProof/>
              </w:rPr>
              <w:t>KW. 4</w:t>
            </w:r>
          </w:p>
        </w:tc>
        <w:tc>
          <w:tcPr>
            <w:tcW w:w="220" w:type="pct"/>
            <w:shd w:val="clear" w:color="auto" w:fill="C6EFCE"/>
            <w:noWrap/>
            <w:vAlign w:val="center"/>
            <w:hideMark/>
          </w:tcPr>
          <w:p w14:paraId="4D0219A2" w14:textId="77777777" w:rsidR="004C6421" w:rsidRDefault="009D1962">
            <w:pPr>
              <w:pStyle w:val="P68B1DB1-Normal4"/>
              <w:jc w:val="center"/>
              <w:rPr>
                <w:noProof/>
              </w:rPr>
            </w:pPr>
            <w:r>
              <w:rPr>
                <w:noProof/>
              </w:rPr>
              <w:t>2025</w:t>
            </w:r>
          </w:p>
        </w:tc>
        <w:tc>
          <w:tcPr>
            <w:tcW w:w="1047" w:type="pct"/>
            <w:shd w:val="clear" w:color="auto" w:fill="C6EFCE"/>
            <w:noWrap/>
            <w:vAlign w:val="center"/>
            <w:hideMark/>
          </w:tcPr>
          <w:p w14:paraId="649E2EDF" w14:textId="77777777" w:rsidR="004C6421" w:rsidRDefault="009D1962">
            <w:pPr>
              <w:pStyle w:val="P68B1DB1-Normal4"/>
              <w:rPr>
                <w:noProof/>
              </w:rPr>
            </w:pPr>
            <w:r>
              <w:rPr>
                <w:noProof/>
              </w:rPr>
              <w:t>Celem jest wykrycie całkowitej liczby aktywów podlegających ukończonym interwencjom (co potwierdza zaświadczenie o prawidłowym wykonaniu robót).</w:t>
            </w:r>
          </w:p>
          <w:p w14:paraId="237904BE" w14:textId="77777777" w:rsidR="004C6421" w:rsidRDefault="004C6421">
            <w:pPr>
              <w:rPr>
                <w:rFonts w:ascii="Arial Narrow" w:hAnsi="Arial Narrow"/>
                <w:noProof/>
                <w:color w:val="006100"/>
                <w:sz w:val="20"/>
              </w:rPr>
            </w:pPr>
          </w:p>
          <w:p w14:paraId="74B7BDCB" w14:textId="77777777" w:rsidR="004C6421" w:rsidRDefault="009D1962">
            <w:pPr>
              <w:pStyle w:val="P68B1DB1-Normal4"/>
              <w:rPr>
                <w:noProof/>
              </w:rPr>
            </w:pPr>
            <w:r>
              <w:rPr>
                <w:noProof/>
              </w:rPr>
              <w:t>Zadowalające osiągnięcie celu zależy również od rozpoczęcia 900 dodatkowych prac w zakresie ochrony i poprawy architektury obszarów wiejskich i ochrony krajobrazu (co potwierdza świadectwo rozpoczęcia prac).</w:t>
            </w:r>
          </w:p>
          <w:p w14:paraId="47F90D9B" w14:textId="77777777" w:rsidR="004C6421" w:rsidRDefault="004C6421">
            <w:pPr>
              <w:rPr>
                <w:rFonts w:ascii="Arial Narrow" w:hAnsi="Arial Narrow"/>
                <w:noProof/>
                <w:color w:val="006100"/>
                <w:sz w:val="20"/>
              </w:rPr>
            </w:pPr>
          </w:p>
          <w:p w14:paraId="388BCCB3" w14:textId="77777777" w:rsidR="004C6421" w:rsidRDefault="009D1962">
            <w:pPr>
              <w:pStyle w:val="P68B1DB1-Normal4"/>
              <w:rPr>
                <w:noProof/>
              </w:rPr>
            </w:pPr>
            <w:r>
              <w:rPr>
                <w:noProof/>
              </w:rPr>
              <w:t>Rodzaje interwencji, które należy uzupełnić, obejmują:</w:t>
            </w:r>
          </w:p>
          <w:p w14:paraId="6638BD40" w14:textId="77777777" w:rsidR="004C6421" w:rsidRDefault="004C6421">
            <w:pPr>
              <w:rPr>
                <w:rFonts w:ascii="Arial Narrow" w:hAnsi="Arial Narrow"/>
                <w:noProof/>
                <w:color w:val="006100"/>
                <w:sz w:val="20"/>
              </w:rPr>
            </w:pPr>
          </w:p>
          <w:p w14:paraId="29C1325E" w14:textId="77777777" w:rsidR="004C6421" w:rsidRDefault="009D1962">
            <w:pPr>
              <w:pStyle w:val="P68B1DB1-Normal4"/>
              <w:rPr>
                <w:noProof/>
              </w:rPr>
            </w:pPr>
            <w:r>
              <w:rPr>
                <w:noProof/>
              </w:rPr>
              <w:t>1. Konserwatywna rekultywacja i odbudowa funkcjonalna osiedli rolniczych, artefaktów i historycznych budynków wiejskich, upraw rolnych o znaczeniu historycznym oraz typowych elementów architektury i krajobrazu wiejskiego. Wśród technik odbudowy i regulacji strukturalnej należy preferować rozwiązania zgodne z zasadami ekologicznymi oraz wykorzystanie alternatywnych źródeł energii.</w:t>
            </w:r>
          </w:p>
          <w:p w14:paraId="73B60C1F" w14:textId="77777777" w:rsidR="004C6421" w:rsidRDefault="009D1962">
            <w:pPr>
              <w:pStyle w:val="P68B1DB1-Normal4"/>
              <w:rPr>
                <w:noProof/>
              </w:rPr>
            </w:pPr>
            <w:r>
              <w:rPr>
                <w:noProof/>
              </w:rPr>
              <w:t>2. Zakończenie spisu dziedzictwa zbudowanego na obszarach wiejskich oraz wdrożenie krajowych i regionalnych narzędzi informacyjnych</w:t>
            </w:r>
          </w:p>
        </w:tc>
      </w:tr>
      <w:tr w:rsidR="004C6421" w14:paraId="6FF49E31" w14:textId="77777777">
        <w:trPr>
          <w:trHeight w:val="364"/>
          <w:jc w:val="center"/>
        </w:trPr>
        <w:tc>
          <w:tcPr>
            <w:tcW w:w="377" w:type="pct"/>
            <w:shd w:val="clear" w:color="auto" w:fill="C6EFCE"/>
            <w:noWrap/>
            <w:vAlign w:val="center"/>
            <w:hideMark/>
          </w:tcPr>
          <w:p w14:paraId="44DF37D2" w14:textId="77777777" w:rsidR="004C6421" w:rsidRDefault="009D1962">
            <w:pPr>
              <w:pStyle w:val="P68B1DB1-Normal4"/>
              <w:jc w:val="center"/>
              <w:rPr>
                <w:noProof/>
              </w:rPr>
            </w:pPr>
            <w:r>
              <w:rPr>
                <w:noProof/>
              </w:rPr>
              <w:t>M1C3-18</w:t>
            </w:r>
          </w:p>
        </w:tc>
        <w:tc>
          <w:tcPr>
            <w:tcW w:w="520" w:type="pct"/>
            <w:shd w:val="clear" w:color="auto" w:fill="C6EFCE"/>
            <w:noWrap/>
            <w:vAlign w:val="center"/>
            <w:hideMark/>
          </w:tcPr>
          <w:p w14:paraId="426D4FE7" w14:textId="77777777" w:rsidR="004C6421" w:rsidRDefault="009D1962">
            <w:pPr>
              <w:pStyle w:val="P68B1DB1-Normal4"/>
              <w:jc w:val="center"/>
              <w:rPr>
                <w:noProof/>
              </w:rPr>
            </w:pPr>
            <w:r>
              <w:rPr>
                <w:noProof/>
              </w:rPr>
              <w:t>Inwestycje 2.3 Programy mające na celu wzmocnienie tożsamości miejsc: parki i ogrody historyczne</w:t>
            </w:r>
          </w:p>
        </w:tc>
        <w:tc>
          <w:tcPr>
            <w:tcW w:w="378" w:type="pct"/>
            <w:shd w:val="clear" w:color="auto" w:fill="C6EFCE"/>
            <w:noWrap/>
            <w:vAlign w:val="center"/>
            <w:hideMark/>
          </w:tcPr>
          <w:p w14:paraId="769F17DF" w14:textId="77777777" w:rsidR="004C6421" w:rsidRDefault="009D1962">
            <w:pPr>
              <w:pStyle w:val="P68B1DB1-Normal4"/>
              <w:jc w:val="center"/>
              <w:rPr>
                <w:noProof/>
              </w:rPr>
            </w:pPr>
            <w:r>
              <w:rPr>
                <w:noProof/>
              </w:rPr>
              <w:t>Cel</w:t>
            </w:r>
          </w:p>
        </w:tc>
        <w:tc>
          <w:tcPr>
            <w:tcW w:w="520" w:type="pct"/>
            <w:shd w:val="clear" w:color="auto" w:fill="C6EFCE"/>
            <w:noWrap/>
            <w:vAlign w:val="center"/>
            <w:hideMark/>
          </w:tcPr>
          <w:p w14:paraId="5063C6BD" w14:textId="77777777" w:rsidR="004C6421" w:rsidRDefault="009D1962">
            <w:pPr>
              <w:pStyle w:val="P68B1DB1-Normal4"/>
              <w:jc w:val="center"/>
              <w:rPr>
                <w:noProof/>
              </w:rPr>
            </w:pPr>
            <w:r>
              <w:rPr>
                <w:noProof/>
              </w:rPr>
              <w:t>Liczba przekwalifikowanych parków i ogrodów historycznych</w:t>
            </w:r>
          </w:p>
        </w:tc>
        <w:tc>
          <w:tcPr>
            <w:tcW w:w="520" w:type="pct"/>
            <w:shd w:val="clear" w:color="auto" w:fill="C6EFCE"/>
            <w:noWrap/>
            <w:vAlign w:val="center"/>
            <w:hideMark/>
          </w:tcPr>
          <w:p w14:paraId="1ECC1CE6" w14:textId="77777777" w:rsidR="004C6421" w:rsidRDefault="009D1962">
            <w:pPr>
              <w:pStyle w:val="P68B1DB1-Normal4"/>
              <w:jc w:val="center"/>
              <w:rPr>
                <w:noProof/>
              </w:rPr>
            </w:pPr>
            <w:r>
              <w:rPr>
                <w:noProof/>
              </w:rPr>
              <w:t>NIE DOT.</w:t>
            </w:r>
          </w:p>
        </w:tc>
        <w:tc>
          <w:tcPr>
            <w:tcW w:w="331" w:type="pct"/>
            <w:shd w:val="clear" w:color="auto" w:fill="C6EFCE"/>
            <w:noWrap/>
            <w:vAlign w:val="center"/>
            <w:hideMark/>
          </w:tcPr>
          <w:p w14:paraId="177D6E09" w14:textId="77777777" w:rsidR="004C6421" w:rsidRDefault="009D1962">
            <w:pPr>
              <w:pStyle w:val="P68B1DB1-Normal4"/>
              <w:jc w:val="center"/>
              <w:rPr>
                <w:noProof/>
              </w:rPr>
            </w:pPr>
            <w:r>
              <w:rPr>
                <w:noProof/>
              </w:rPr>
              <w:t>Numer</w:t>
            </w:r>
          </w:p>
        </w:tc>
        <w:tc>
          <w:tcPr>
            <w:tcW w:w="332" w:type="pct"/>
            <w:shd w:val="clear" w:color="auto" w:fill="C6EFCE"/>
            <w:noWrap/>
            <w:vAlign w:val="center"/>
            <w:hideMark/>
          </w:tcPr>
          <w:p w14:paraId="41F317E0" w14:textId="77777777" w:rsidR="004C6421" w:rsidRDefault="009D1962">
            <w:pPr>
              <w:pStyle w:val="P68B1DB1-Normal4"/>
              <w:jc w:val="center"/>
              <w:rPr>
                <w:noProof/>
              </w:rPr>
            </w:pPr>
            <w:r>
              <w:rPr>
                <w:noProof/>
              </w:rPr>
              <w:t>0</w:t>
            </w:r>
          </w:p>
        </w:tc>
        <w:tc>
          <w:tcPr>
            <w:tcW w:w="424" w:type="pct"/>
            <w:shd w:val="clear" w:color="auto" w:fill="C6EFCE"/>
            <w:noWrap/>
            <w:vAlign w:val="center"/>
            <w:hideMark/>
          </w:tcPr>
          <w:p w14:paraId="25E7C697" w14:textId="77777777" w:rsidR="004C6421" w:rsidRDefault="009D1962">
            <w:pPr>
              <w:pStyle w:val="P68B1DB1-Normal4"/>
              <w:jc w:val="center"/>
              <w:rPr>
                <w:noProof/>
              </w:rPr>
            </w:pPr>
            <w:r>
              <w:rPr>
                <w:noProof/>
              </w:rPr>
              <w:t>40</w:t>
            </w:r>
          </w:p>
        </w:tc>
        <w:tc>
          <w:tcPr>
            <w:tcW w:w="332" w:type="pct"/>
            <w:shd w:val="clear" w:color="auto" w:fill="C6EFCE"/>
            <w:noWrap/>
            <w:vAlign w:val="center"/>
            <w:hideMark/>
          </w:tcPr>
          <w:p w14:paraId="47BA5D01" w14:textId="41FF4B99" w:rsidR="004C6421" w:rsidRDefault="00CC179E">
            <w:pPr>
              <w:pStyle w:val="P68B1DB1-Normal4"/>
              <w:jc w:val="center"/>
              <w:rPr>
                <w:noProof/>
              </w:rPr>
            </w:pPr>
            <w:r>
              <w:rPr>
                <w:noProof/>
              </w:rPr>
              <w:t>KW. 4</w:t>
            </w:r>
          </w:p>
        </w:tc>
        <w:tc>
          <w:tcPr>
            <w:tcW w:w="220" w:type="pct"/>
            <w:shd w:val="clear" w:color="auto" w:fill="C6EFCE"/>
            <w:noWrap/>
            <w:vAlign w:val="center"/>
            <w:hideMark/>
          </w:tcPr>
          <w:p w14:paraId="538EDA83" w14:textId="77777777" w:rsidR="004C6421" w:rsidRDefault="009D1962">
            <w:pPr>
              <w:pStyle w:val="P68B1DB1-Normal4"/>
              <w:jc w:val="center"/>
              <w:rPr>
                <w:noProof/>
              </w:rPr>
            </w:pPr>
            <w:r>
              <w:rPr>
                <w:noProof/>
              </w:rPr>
              <w:t>2025</w:t>
            </w:r>
          </w:p>
        </w:tc>
        <w:tc>
          <w:tcPr>
            <w:tcW w:w="1047" w:type="pct"/>
            <w:shd w:val="clear" w:color="auto" w:fill="C6EFCE"/>
            <w:noWrap/>
            <w:vAlign w:val="center"/>
            <w:hideMark/>
          </w:tcPr>
          <w:p w14:paraId="2A61A3B1" w14:textId="77777777" w:rsidR="004C6421" w:rsidRDefault="009D1962">
            <w:pPr>
              <w:pStyle w:val="P68B1DB1-Normal4"/>
              <w:rPr>
                <w:noProof/>
              </w:rPr>
            </w:pPr>
            <w:r>
              <w:rPr>
                <w:noProof/>
              </w:rPr>
              <w:t>Wskaźnik ten odnosi się do liczby przekwalifikowanych parków i ogrodów historycznych (co potwierdza świadectwo regularnej realizacji prac).</w:t>
            </w:r>
          </w:p>
          <w:p w14:paraId="7ED17771" w14:textId="77777777" w:rsidR="004C6421" w:rsidRDefault="004C6421">
            <w:pPr>
              <w:rPr>
                <w:rFonts w:ascii="Arial Narrow" w:hAnsi="Arial Narrow"/>
                <w:noProof/>
                <w:color w:val="006100"/>
                <w:sz w:val="20"/>
              </w:rPr>
            </w:pPr>
          </w:p>
          <w:p w14:paraId="44E02874" w14:textId="77777777" w:rsidR="004C6421" w:rsidRDefault="009D1962">
            <w:pPr>
              <w:pStyle w:val="P68B1DB1-Normal8"/>
              <w:rPr>
                <w:rFonts w:ascii="Arial Narrow" w:hAnsi="Arial Narrow"/>
                <w:noProof/>
              </w:rPr>
            </w:pPr>
            <w:r>
              <w:rPr>
                <w:rFonts w:ascii="Arial Narrow" w:hAnsi="Arial Narrow"/>
                <w:noProof/>
              </w:rPr>
              <w:t>Zadowalające osiągnięcie celu zależy również od ukończenia działań szkoleniowych dla co najmniej 1260</w:t>
            </w:r>
            <w:r>
              <w:rPr>
                <w:noProof/>
              </w:rPr>
              <w:t xml:space="preserve"> </w:t>
            </w:r>
            <w:r>
              <w:rPr>
                <w:rFonts w:ascii="Arial Narrow" w:hAnsi="Arial Narrow"/>
                <w:noProof/>
              </w:rPr>
              <w:t>operatorów.</w:t>
            </w:r>
          </w:p>
          <w:p w14:paraId="667CD476" w14:textId="77777777" w:rsidR="004C6421" w:rsidRDefault="009D1962">
            <w:pPr>
              <w:pStyle w:val="P68B1DB1-Normal4"/>
              <w:rPr>
                <w:noProof/>
              </w:rPr>
            </w:pPr>
            <w:r>
              <w:rPr>
                <w:noProof/>
              </w:rPr>
              <w:t>Rodzaje interwencji, które należy przeprowadzić w celu zadowalającej realizacji przekwalifikowywania parków i ogrodów historycznych, obejmują:</w:t>
            </w:r>
          </w:p>
          <w:p w14:paraId="5DEFA967" w14:textId="77777777" w:rsidR="004C6421" w:rsidRDefault="009D1962">
            <w:pPr>
              <w:pStyle w:val="P68B1DB1-ListParagraph5"/>
              <w:numPr>
                <w:ilvl w:val="0"/>
                <w:numId w:val="81"/>
              </w:numPr>
              <w:ind w:left="220" w:hanging="142"/>
              <w:rPr>
                <w:noProof/>
              </w:rPr>
            </w:pPr>
            <w:r>
              <w:rPr>
                <w:noProof/>
              </w:rPr>
              <w:t xml:space="preserve">utrzymanie/odbudowa/zarządzanie ewolucją składnika roślinności; </w:t>
            </w:r>
          </w:p>
          <w:p w14:paraId="4E42BBE5" w14:textId="77777777" w:rsidR="004C6421" w:rsidRDefault="009D1962">
            <w:pPr>
              <w:pStyle w:val="P68B1DB1-ListParagraph5"/>
              <w:numPr>
                <w:ilvl w:val="0"/>
                <w:numId w:val="81"/>
              </w:numPr>
              <w:ind w:left="220" w:hanging="142"/>
              <w:rPr>
                <w:noProof/>
              </w:rPr>
            </w:pPr>
            <w:r>
              <w:rPr>
                <w:noProof/>
              </w:rPr>
              <w:t xml:space="preserve">renowacja obecnych elementów architektonicznych i zabytkowych (takich jak małe budynki, dystrybutory i wyposażenie); </w:t>
            </w:r>
          </w:p>
          <w:p w14:paraId="712F141C" w14:textId="77777777" w:rsidR="004C6421" w:rsidRDefault="009D1962">
            <w:pPr>
              <w:pStyle w:val="P68B1DB1-ListParagraph5"/>
              <w:numPr>
                <w:ilvl w:val="0"/>
                <w:numId w:val="81"/>
              </w:numPr>
              <w:ind w:left="220" w:hanging="142"/>
              <w:rPr>
                <w:noProof/>
              </w:rPr>
            </w:pPr>
            <w:r>
              <w:rPr>
                <w:noProof/>
              </w:rPr>
              <w:t xml:space="preserve">analiza i optymalizacja obecnych metod wykorzystania przestrzeni w celu umożliwienia ich optymalnego wykorzystania, </w:t>
            </w:r>
          </w:p>
          <w:p w14:paraId="362360CC" w14:textId="77777777" w:rsidR="004C6421" w:rsidRDefault="009D1962">
            <w:pPr>
              <w:pStyle w:val="P68B1DB1-ListParagraph5"/>
              <w:numPr>
                <w:ilvl w:val="0"/>
                <w:numId w:val="81"/>
              </w:numPr>
              <w:ind w:left="220" w:hanging="142"/>
              <w:rPr>
                <w:noProof/>
              </w:rPr>
            </w:pPr>
            <w:r>
              <w:rPr>
                <w:noProof/>
              </w:rPr>
              <w:t xml:space="preserve">poszanowanie najbardziej wrażliwych lub najcenniejszych obszarów; </w:t>
            </w:r>
          </w:p>
          <w:p w14:paraId="064537DF" w14:textId="77777777" w:rsidR="004C6421" w:rsidRDefault="009D1962">
            <w:pPr>
              <w:pStyle w:val="P68B1DB1-ListParagraph5"/>
              <w:numPr>
                <w:ilvl w:val="0"/>
                <w:numId w:val="81"/>
              </w:numPr>
              <w:ind w:left="220" w:hanging="142"/>
              <w:rPr>
                <w:noProof/>
              </w:rPr>
            </w:pPr>
            <w:r>
              <w:rPr>
                <w:noProof/>
              </w:rPr>
              <w:t xml:space="preserve">interwencje mające na celu zapewnienie dostępności dla osób o ograniczonej funkcjonalności, </w:t>
            </w:r>
          </w:p>
          <w:p w14:paraId="287D1D9C" w14:textId="77777777" w:rsidR="004C6421" w:rsidRDefault="009D1962">
            <w:pPr>
              <w:pStyle w:val="P68B1DB1-ListParagraph5"/>
              <w:numPr>
                <w:ilvl w:val="0"/>
                <w:numId w:val="81"/>
              </w:numPr>
              <w:ind w:left="220" w:hanging="142"/>
              <w:rPr>
                <w:noProof/>
              </w:rPr>
            </w:pPr>
            <w:r>
              <w:rPr>
                <w:noProof/>
              </w:rPr>
              <w:t xml:space="preserve">zabezpieczenie ogrodzonych obszarów, bram wejściowych, systemów monitoringu wizyjnego; </w:t>
            </w:r>
          </w:p>
          <w:p w14:paraId="62E5BAF8" w14:textId="77777777" w:rsidR="004C6421" w:rsidRDefault="009D1962">
            <w:pPr>
              <w:pStyle w:val="P68B1DB1-ListParagraph5"/>
              <w:numPr>
                <w:ilvl w:val="0"/>
                <w:numId w:val="81"/>
              </w:numPr>
              <w:ind w:left="220" w:hanging="142"/>
              <w:rPr>
                <w:noProof/>
              </w:rPr>
            </w:pPr>
            <w:r>
              <w:rPr>
                <w:noProof/>
              </w:rPr>
              <w:t xml:space="preserve">opracowanie narzędzi informacyjnych (takich jak plakaty i przewodniki) w celu promowania wiedzy i świadomego wykorzystania przez obywateli; </w:t>
            </w:r>
          </w:p>
          <w:p w14:paraId="22429902" w14:textId="77777777" w:rsidR="004C6421" w:rsidRDefault="009D1962">
            <w:pPr>
              <w:pStyle w:val="P68B1DB1-ListParagraph5"/>
              <w:numPr>
                <w:ilvl w:val="0"/>
                <w:numId w:val="81"/>
              </w:numPr>
              <w:ind w:left="220" w:hanging="142"/>
              <w:rPr>
                <w:noProof/>
              </w:rPr>
            </w:pPr>
            <w:r>
              <w:rPr>
                <w:noProof/>
              </w:rPr>
              <w:t>działania na rzecz waloryzacji w celu promowania wykorzystania kulturalnego, edukacyjnego i rekreacyjnego.</w:t>
            </w:r>
          </w:p>
        </w:tc>
      </w:tr>
      <w:tr w:rsidR="004C6421" w14:paraId="5AC2B2B9" w14:textId="77777777">
        <w:trPr>
          <w:trHeight w:val="313"/>
          <w:jc w:val="center"/>
        </w:trPr>
        <w:tc>
          <w:tcPr>
            <w:tcW w:w="377" w:type="pct"/>
            <w:shd w:val="clear" w:color="auto" w:fill="C6EFCE"/>
            <w:noWrap/>
            <w:vAlign w:val="center"/>
            <w:hideMark/>
          </w:tcPr>
          <w:p w14:paraId="1665AE0C" w14:textId="77777777" w:rsidR="004C6421" w:rsidRDefault="009D1962">
            <w:pPr>
              <w:pStyle w:val="P68B1DB1-Normal4"/>
              <w:jc w:val="center"/>
              <w:rPr>
                <w:noProof/>
              </w:rPr>
            </w:pPr>
            <w:r>
              <w:rPr>
                <w:noProof/>
              </w:rPr>
              <w:t>M1C3-19</w:t>
            </w:r>
          </w:p>
        </w:tc>
        <w:tc>
          <w:tcPr>
            <w:tcW w:w="520" w:type="pct"/>
            <w:shd w:val="clear" w:color="auto" w:fill="C6EFCE"/>
            <w:noWrap/>
            <w:vAlign w:val="center"/>
            <w:hideMark/>
          </w:tcPr>
          <w:p w14:paraId="55D2B9BB" w14:textId="77777777" w:rsidR="004C6421" w:rsidRDefault="009D1962">
            <w:pPr>
              <w:pStyle w:val="P68B1DB1-Normal4"/>
              <w:jc w:val="center"/>
              <w:rPr>
                <w:noProof/>
              </w:rPr>
            </w:pPr>
            <w:r>
              <w:rPr>
                <w:noProof/>
              </w:rPr>
              <w:t>Inwestycje – 2.4 Bezpieczeństwo sejsmiczne miejsc kultu, renowacja dziedzictwa FEC (Fondo Edifici di Culto) oraz schroniska dla dzieł sztuki (Recovery Art)</w:t>
            </w:r>
          </w:p>
        </w:tc>
        <w:tc>
          <w:tcPr>
            <w:tcW w:w="378" w:type="pct"/>
            <w:shd w:val="clear" w:color="auto" w:fill="C6EFCE"/>
            <w:noWrap/>
            <w:vAlign w:val="center"/>
            <w:hideMark/>
          </w:tcPr>
          <w:p w14:paraId="102C1DB1" w14:textId="77777777" w:rsidR="004C6421" w:rsidRDefault="009D1962">
            <w:pPr>
              <w:pStyle w:val="P68B1DB1-Normal4"/>
              <w:jc w:val="center"/>
              <w:rPr>
                <w:noProof/>
              </w:rPr>
            </w:pPr>
            <w:r>
              <w:rPr>
                <w:noProof/>
              </w:rPr>
              <w:t>Cel</w:t>
            </w:r>
          </w:p>
        </w:tc>
        <w:tc>
          <w:tcPr>
            <w:tcW w:w="520" w:type="pct"/>
            <w:shd w:val="clear" w:color="auto" w:fill="C6EFCE"/>
            <w:noWrap/>
            <w:vAlign w:val="center"/>
            <w:hideMark/>
          </w:tcPr>
          <w:p w14:paraId="077BD237" w14:textId="77777777" w:rsidR="004C6421" w:rsidRDefault="009D1962">
            <w:pPr>
              <w:pStyle w:val="P68B1DB1-Normal4"/>
              <w:jc w:val="center"/>
              <w:rPr>
                <w:noProof/>
              </w:rPr>
            </w:pPr>
            <w:r>
              <w:rPr>
                <w:noProof/>
              </w:rPr>
              <w:t>Działania na rzecz bezpieczeństwa sejsmicznego w miejscach kultu, odbudowy dziedzictwa FEC (Fondo Edifici di Culto) oraz schronisk dzieł sztuki</w:t>
            </w:r>
          </w:p>
        </w:tc>
        <w:tc>
          <w:tcPr>
            <w:tcW w:w="520" w:type="pct"/>
            <w:shd w:val="clear" w:color="auto" w:fill="C6EFCE"/>
            <w:noWrap/>
            <w:vAlign w:val="center"/>
            <w:hideMark/>
          </w:tcPr>
          <w:p w14:paraId="343C4353" w14:textId="77777777" w:rsidR="004C6421" w:rsidRDefault="009D1962">
            <w:pPr>
              <w:pStyle w:val="P68B1DB1-Normal4"/>
              <w:jc w:val="center"/>
              <w:rPr>
                <w:noProof/>
              </w:rPr>
            </w:pPr>
            <w:r>
              <w:rPr>
                <w:noProof/>
              </w:rPr>
              <w:t>NIE DOT.</w:t>
            </w:r>
          </w:p>
        </w:tc>
        <w:tc>
          <w:tcPr>
            <w:tcW w:w="331" w:type="pct"/>
            <w:shd w:val="clear" w:color="auto" w:fill="C6EFCE"/>
            <w:noWrap/>
            <w:vAlign w:val="center"/>
            <w:hideMark/>
          </w:tcPr>
          <w:p w14:paraId="06EF9B9A" w14:textId="77777777" w:rsidR="004C6421" w:rsidRDefault="009D1962">
            <w:pPr>
              <w:pStyle w:val="P68B1DB1-Normal4"/>
              <w:jc w:val="center"/>
              <w:rPr>
                <w:noProof/>
              </w:rPr>
            </w:pPr>
            <w:r>
              <w:rPr>
                <w:noProof/>
              </w:rPr>
              <w:t>Numer</w:t>
            </w:r>
          </w:p>
        </w:tc>
        <w:tc>
          <w:tcPr>
            <w:tcW w:w="332" w:type="pct"/>
            <w:shd w:val="clear" w:color="auto" w:fill="C6EFCE"/>
            <w:noWrap/>
            <w:vAlign w:val="center"/>
            <w:hideMark/>
          </w:tcPr>
          <w:p w14:paraId="31310B42" w14:textId="77777777" w:rsidR="004C6421" w:rsidRDefault="009D1962">
            <w:pPr>
              <w:pStyle w:val="P68B1DB1-Normal4"/>
              <w:jc w:val="center"/>
              <w:rPr>
                <w:noProof/>
              </w:rPr>
            </w:pPr>
            <w:r>
              <w:rPr>
                <w:noProof/>
              </w:rPr>
              <w:t>0</w:t>
            </w:r>
          </w:p>
        </w:tc>
        <w:tc>
          <w:tcPr>
            <w:tcW w:w="424" w:type="pct"/>
            <w:shd w:val="clear" w:color="auto" w:fill="C6EFCE"/>
            <w:noWrap/>
            <w:vAlign w:val="center"/>
            <w:hideMark/>
          </w:tcPr>
          <w:p w14:paraId="4189B22D" w14:textId="77777777" w:rsidR="004C6421" w:rsidRDefault="009D1962">
            <w:pPr>
              <w:pStyle w:val="P68B1DB1-Normal4"/>
              <w:jc w:val="center"/>
              <w:rPr>
                <w:noProof/>
              </w:rPr>
            </w:pPr>
            <w:r>
              <w:rPr>
                <w:noProof/>
              </w:rPr>
              <w:t>300</w:t>
            </w:r>
          </w:p>
        </w:tc>
        <w:tc>
          <w:tcPr>
            <w:tcW w:w="332" w:type="pct"/>
            <w:shd w:val="clear" w:color="auto" w:fill="C6EFCE"/>
            <w:noWrap/>
            <w:vAlign w:val="center"/>
            <w:hideMark/>
          </w:tcPr>
          <w:p w14:paraId="5A8541F6" w14:textId="7A03FFAD" w:rsidR="004C6421" w:rsidRDefault="00CC179E">
            <w:pPr>
              <w:pStyle w:val="P68B1DB1-Normal4"/>
              <w:jc w:val="center"/>
              <w:rPr>
                <w:noProof/>
              </w:rPr>
            </w:pPr>
            <w:r>
              <w:rPr>
                <w:noProof/>
              </w:rPr>
              <w:t>KW. 4</w:t>
            </w:r>
          </w:p>
        </w:tc>
        <w:tc>
          <w:tcPr>
            <w:tcW w:w="220" w:type="pct"/>
            <w:shd w:val="clear" w:color="auto" w:fill="C6EFCE"/>
            <w:noWrap/>
            <w:vAlign w:val="center"/>
            <w:hideMark/>
          </w:tcPr>
          <w:p w14:paraId="45405D7F" w14:textId="77777777" w:rsidR="004C6421" w:rsidRDefault="009D1962">
            <w:pPr>
              <w:pStyle w:val="P68B1DB1-Normal4"/>
              <w:jc w:val="center"/>
              <w:rPr>
                <w:noProof/>
              </w:rPr>
            </w:pPr>
            <w:r>
              <w:rPr>
                <w:noProof/>
              </w:rPr>
              <w:t>2025</w:t>
            </w:r>
          </w:p>
        </w:tc>
        <w:tc>
          <w:tcPr>
            <w:tcW w:w="1047" w:type="pct"/>
            <w:shd w:val="clear" w:color="auto" w:fill="C6EFCE"/>
            <w:noWrap/>
            <w:vAlign w:val="center"/>
            <w:hideMark/>
          </w:tcPr>
          <w:p w14:paraId="514FB6E3" w14:textId="77777777" w:rsidR="004C6421" w:rsidRDefault="009D1962">
            <w:pPr>
              <w:pStyle w:val="P68B1DB1-Normal4"/>
              <w:rPr>
                <w:noProof/>
              </w:rPr>
            </w:pPr>
            <w:r>
              <w:rPr>
                <w:noProof/>
              </w:rPr>
              <w:t>Celem jest pomiar liczby interwencji w zakresie bezpieczeństwa antysejsmicznego miejsc kultu, przywrócenia FEC (Fondo Edifici di Culto), schronienia dla dzieł sztuki w przypadku zakończonych klęsk żywiołowych (co potwierdza świadectwo regularnej realizacji prac).</w:t>
            </w:r>
          </w:p>
          <w:p w14:paraId="7A2815ED" w14:textId="77777777" w:rsidR="004C6421" w:rsidRDefault="009D1962">
            <w:pPr>
              <w:pStyle w:val="P68B1DB1-Normal4"/>
              <w:rPr>
                <w:noProof/>
              </w:rPr>
            </w:pPr>
            <w:r>
              <w:rPr>
                <w:noProof/>
              </w:rPr>
              <w:t xml:space="preserve">Interwencje obejmują: </w:t>
            </w:r>
          </w:p>
          <w:p w14:paraId="6EDE21C7" w14:textId="77777777" w:rsidR="004C6421" w:rsidRDefault="009D1962">
            <w:pPr>
              <w:rPr>
                <w:rFonts w:ascii="Arial Narrow" w:hAnsi="Arial Narrow"/>
                <w:noProof/>
                <w:color w:val="006100"/>
                <w:sz w:val="20"/>
              </w:rPr>
            </w:pPr>
            <w:r>
              <w:rPr>
                <w:rFonts w:ascii="Arial Narrow" w:hAnsi="Arial Narrow"/>
                <w:noProof/>
                <w:color w:val="006100"/>
                <w:sz w:val="20"/>
              </w:rPr>
              <w:t>zapobiegawcze interwencje antysejsmiczne dotyczące zasobów architektonicznych w celu przywrócenia istniejących szkód i zabezpieczenia dziedzictwa kulturowego;</w:t>
            </w:r>
            <w:r>
              <w:rPr>
                <w:rFonts w:ascii="Arial Narrow" w:hAnsi="Arial Narrow"/>
                <w:noProof/>
              </w:rPr>
              <w:t xml:space="preserve"> </w:t>
            </w:r>
            <w:r>
              <w:rPr>
                <w:noProof/>
              </w:rPr>
              <w:t xml:space="preserve">  </w:t>
            </w:r>
            <w:r>
              <w:rPr>
                <w:noProof/>
              </w:rPr>
              <w:br/>
            </w:r>
            <w:r>
              <w:rPr>
                <w:rFonts w:ascii="Arial Narrow" w:hAnsi="Arial Narrow"/>
                <w:noProof/>
                <w:color w:val="006100"/>
                <w:sz w:val="20"/>
              </w:rPr>
              <w:t>projekt odbudowy Art. Zabezpieczenie tworzy tymczasowe i chronione złoża w celu ochrony ruchomości w przypadku klęski żywiołowej.</w:t>
            </w:r>
          </w:p>
        </w:tc>
      </w:tr>
      <w:tr w:rsidR="004C6421" w14:paraId="2FD972DC" w14:textId="77777777">
        <w:trPr>
          <w:trHeight w:val="313"/>
          <w:jc w:val="center"/>
        </w:trPr>
        <w:tc>
          <w:tcPr>
            <w:tcW w:w="377" w:type="pct"/>
            <w:shd w:val="clear" w:color="auto" w:fill="C6EFCE"/>
            <w:noWrap/>
            <w:vAlign w:val="center"/>
            <w:hideMark/>
          </w:tcPr>
          <w:p w14:paraId="7A4F3E8B" w14:textId="77777777" w:rsidR="004C6421" w:rsidRDefault="009D1962">
            <w:pPr>
              <w:pStyle w:val="P68B1DB1-Normal4"/>
              <w:jc w:val="center"/>
              <w:rPr>
                <w:noProof/>
              </w:rPr>
            </w:pPr>
            <w:r>
              <w:rPr>
                <w:noProof/>
              </w:rPr>
              <w:t>„M1C3-20</w:t>
            </w:r>
          </w:p>
        </w:tc>
        <w:tc>
          <w:tcPr>
            <w:tcW w:w="520" w:type="pct"/>
            <w:shd w:val="clear" w:color="auto" w:fill="C6EFCE"/>
            <w:noWrap/>
            <w:vAlign w:val="center"/>
            <w:hideMark/>
          </w:tcPr>
          <w:p w14:paraId="4D1F4472" w14:textId="77777777" w:rsidR="004C6421" w:rsidRDefault="009D1962">
            <w:pPr>
              <w:pStyle w:val="P68B1DB1-Normal4"/>
              <w:jc w:val="center"/>
              <w:rPr>
                <w:noProof/>
              </w:rPr>
            </w:pPr>
            <w:r>
              <w:rPr>
                <w:noProof/>
              </w:rPr>
              <w:t>Inwestycje – 3.2 Rozwój przemysłu filmowego (projekt Cinecittà)</w:t>
            </w:r>
          </w:p>
        </w:tc>
        <w:tc>
          <w:tcPr>
            <w:tcW w:w="378" w:type="pct"/>
            <w:shd w:val="clear" w:color="auto" w:fill="C6EFCE"/>
            <w:noWrap/>
            <w:vAlign w:val="center"/>
            <w:hideMark/>
          </w:tcPr>
          <w:p w14:paraId="43919D42" w14:textId="06747A8D" w:rsidR="004C6421" w:rsidRDefault="00CC179E">
            <w:pPr>
              <w:pStyle w:val="P68B1DB1-Normal4"/>
              <w:jc w:val="center"/>
              <w:rPr>
                <w:noProof/>
              </w:rPr>
            </w:pPr>
            <w:r>
              <w:rPr>
                <w:noProof/>
              </w:rPr>
              <w:t>Milowy</w:t>
            </w:r>
          </w:p>
        </w:tc>
        <w:tc>
          <w:tcPr>
            <w:tcW w:w="520" w:type="pct"/>
            <w:shd w:val="clear" w:color="auto" w:fill="C6EFCE"/>
            <w:noWrap/>
            <w:vAlign w:val="center"/>
            <w:hideMark/>
          </w:tcPr>
          <w:p w14:paraId="444AD0A2" w14:textId="77777777" w:rsidR="004C6421" w:rsidRDefault="009D1962">
            <w:pPr>
              <w:pStyle w:val="P68B1DB1-Normal4"/>
              <w:jc w:val="center"/>
              <w:rPr>
                <w:noProof/>
              </w:rPr>
            </w:pPr>
            <w:r>
              <w:rPr>
                <w:noProof/>
              </w:rPr>
              <w:t>Podpisanie umów między podmiotem wdrażającym Cinecittà SPA a spółkami dotyczącymi budowy dziewięciu studiów</w:t>
            </w:r>
          </w:p>
        </w:tc>
        <w:tc>
          <w:tcPr>
            <w:tcW w:w="520" w:type="pct"/>
            <w:shd w:val="clear" w:color="auto" w:fill="C6EFCE"/>
            <w:noWrap/>
            <w:vAlign w:val="center"/>
            <w:hideMark/>
          </w:tcPr>
          <w:p w14:paraId="0532A0A9" w14:textId="77777777" w:rsidR="004C6421" w:rsidRDefault="009D1962">
            <w:pPr>
              <w:pStyle w:val="P68B1DB1-Normal4"/>
              <w:jc w:val="center"/>
              <w:rPr>
                <w:noProof/>
              </w:rPr>
            </w:pPr>
            <w:r>
              <w:rPr>
                <w:noProof/>
              </w:rPr>
              <w:t>Podpisanie umów</w:t>
            </w:r>
          </w:p>
        </w:tc>
        <w:tc>
          <w:tcPr>
            <w:tcW w:w="331" w:type="pct"/>
            <w:shd w:val="clear" w:color="auto" w:fill="C6EFCE"/>
            <w:noWrap/>
            <w:vAlign w:val="center"/>
            <w:hideMark/>
          </w:tcPr>
          <w:p w14:paraId="024A23A7" w14:textId="77777777" w:rsidR="004C6421" w:rsidRDefault="009D1962">
            <w:pPr>
              <w:pStyle w:val="P68B1DB1-Normal4"/>
              <w:spacing w:before="120" w:after="120"/>
              <w:jc w:val="center"/>
              <w:rPr>
                <w:noProof/>
              </w:rPr>
            </w:pPr>
            <w:r>
              <w:rPr>
                <w:noProof/>
              </w:rPr>
              <w:t>NIE DOT.</w:t>
            </w:r>
          </w:p>
        </w:tc>
        <w:tc>
          <w:tcPr>
            <w:tcW w:w="332" w:type="pct"/>
            <w:shd w:val="clear" w:color="auto" w:fill="C6EFCE"/>
            <w:noWrap/>
            <w:vAlign w:val="center"/>
            <w:hideMark/>
          </w:tcPr>
          <w:p w14:paraId="7146703E" w14:textId="77777777" w:rsidR="004C6421" w:rsidRDefault="009D1962">
            <w:pPr>
              <w:pStyle w:val="P68B1DB1-Normal4"/>
              <w:jc w:val="center"/>
              <w:rPr>
                <w:noProof/>
              </w:rPr>
            </w:pPr>
            <w:r>
              <w:rPr>
                <w:noProof/>
              </w:rPr>
              <w:t>NIE DOT.</w:t>
            </w:r>
          </w:p>
        </w:tc>
        <w:tc>
          <w:tcPr>
            <w:tcW w:w="424" w:type="pct"/>
            <w:shd w:val="clear" w:color="auto" w:fill="C6EFCE"/>
            <w:noWrap/>
            <w:vAlign w:val="center"/>
            <w:hideMark/>
          </w:tcPr>
          <w:p w14:paraId="364CEBAB" w14:textId="77777777" w:rsidR="004C6421" w:rsidRDefault="009D1962">
            <w:pPr>
              <w:pStyle w:val="P68B1DB1-Normal4"/>
              <w:jc w:val="center"/>
              <w:rPr>
                <w:noProof/>
              </w:rPr>
            </w:pPr>
            <w:r>
              <w:rPr>
                <w:noProof/>
              </w:rPr>
              <w:t>NIE DOT.</w:t>
            </w:r>
          </w:p>
        </w:tc>
        <w:tc>
          <w:tcPr>
            <w:tcW w:w="332" w:type="pct"/>
            <w:shd w:val="clear" w:color="auto" w:fill="C6EFCE"/>
            <w:noWrap/>
            <w:vAlign w:val="center"/>
            <w:hideMark/>
          </w:tcPr>
          <w:p w14:paraId="3FF9D451" w14:textId="77777777" w:rsidR="004C6421" w:rsidRDefault="009D1962">
            <w:pPr>
              <w:pStyle w:val="P68B1DB1-Normal4"/>
              <w:jc w:val="center"/>
              <w:rPr>
                <w:noProof/>
              </w:rPr>
            </w:pPr>
            <w:r>
              <w:rPr>
                <w:noProof/>
              </w:rPr>
              <w:t>II KW.</w:t>
            </w:r>
          </w:p>
        </w:tc>
        <w:tc>
          <w:tcPr>
            <w:tcW w:w="220" w:type="pct"/>
            <w:shd w:val="clear" w:color="auto" w:fill="C6EFCE"/>
            <w:noWrap/>
            <w:vAlign w:val="center"/>
            <w:hideMark/>
          </w:tcPr>
          <w:p w14:paraId="6E52EF0E" w14:textId="77777777" w:rsidR="004C6421" w:rsidRDefault="009D1962">
            <w:pPr>
              <w:pStyle w:val="P68B1DB1-Normal4"/>
              <w:jc w:val="center"/>
              <w:rPr>
                <w:noProof/>
              </w:rPr>
            </w:pPr>
            <w:r>
              <w:rPr>
                <w:noProof/>
              </w:rPr>
              <w:t>2023</w:t>
            </w:r>
          </w:p>
        </w:tc>
        <w:tc>
          <w:tcPr>
            <w:tcW w:w="1047" w:type="pct"/>
            <w:shd w:val="clear" w:color="auto" w:fill="C6EFCE"/>
            <w:noWrap/>
            <w:vAlign w:val="center"/>
            <w:hideMark/>
          </w:tcPr>
          <w:p w14:paraId="7EA9DECC" w14:textId="77777777" w:rsidR="004C6421" w:rsidRDefault="009D1962">
            <w:pPr>
              <w:pStyle w:val="P68B1DB1-Normal4"/>
              <w:rPr>
                <w:noProof/>
              </w:rPr>
            </w:pPr>
            <w:r>
              <w:rPr>
                <w:noProof/>
              </w:rPr>
              <w:t xml:space="preserve">Podpisanie umów między organem wdrażającym, Cinecittà SPA i spółkami w sprawie budowy dziewięciu studiów. </w:t>
            </w:r>
          </w:p>
          <w:p w14:paraId="55D53BE8" w14:textId="77777777" w:rsidR="004C6421" w:rsidRDefault="009D1962">
            <w:pPr>
              <w:pStyle w:val="P68B1DB1-Normal4"/>
              <w:rPr>
                <w:noProof/>
              </w:rPr>
            </w:pPr>
            <w:r>
              <w:rPr>
                <w:noProof/>
              </w:rPr>
              <w:t xml:space="preserve"> </w:t>
            </w:r>
          </w:p>
          <w:p w14:paraId="70682099" w14:textId="77777777" w:rsidR="004C6421" w:rsidRDefault="009D1962">
            <w:pPr>
              <w:pStyle w:val="P68B1DB1-Normal4"/>
              <w:rPr>
                <w:noProof/>
              </w:rPr>
            </w:pPr>
            <w:r>
              <w:rPr>
                <w:noProof/>
              </w:rPr>
              <w:t>Interwencja ta obejmuje budowę nowych studiów, rewitalizację istniejących studiów, inwestycje w nowe technologie cyfrowe, systemy i usługi mające na celu wzmocnienie studiów filmowych Cinecittà zarządzanych przez Cinecittà S.p.A.</w:t>
            </w:r>
          </w:p>
          <w:p w14:paraId="65B78E4F" w14:textId="77777777" w:rsidR="004C6421" w:rsidRDefault="004C6421">
            <w:pPr>
              <w:rPr>
                <w:rFonts w:ascii="Arial Narrow" w:hAnsi="Arial Narrow"/>
                <w:noProof/>
                <w:color w:val="006100"/>
                <w:sz w:val="20"/>
              </w:rPr>
            </w:pPr>
          </w:p>
          <w:p w14:paraId="4DDB48EF" w14:textId="77777777" w:rsidR="004C6421" w:rsidRDefault="009D1962">
            <w:pPr>
              <w:pStyle w:val="P68B1DB1-Normal4"/>
              <w:rPr>
                <w:noProof/>
              </w:rPr>
            </w:pPr>
            <w:r>
              <w:rPr>
                <w:noProof/>
              </w:rPr>
              <w:t>Umowa między podmiotem realizującym Cinecittà S.p.A. a przedsiębiorstwami zawiera kryteria wyboru/kwalifikowalności do celów zgodności z wytycznymi technicznymi DNSH (2021/C58/01) objętych wsparciem aktywów/działań lub przedsiębiorstw.</w:t>
            </w:r>
          </w:p>
          <w:p w14:paraId="7089E9AA" w14:textId="77777777" w:rsidR="004C6421" w:rsidRDefault="004C6421">
            <w:pPr>
              <w:rPr>
                <w:rFonts w:ascii="Arial Narrow" w:hAnsi="Arial Narrow"/>
                <w:noProof/>
                <w:color w:val="006100"/>
                <w:sz w:val="20"/>
              </w:rPr>
            </w:pPr>
          </w:p>
          <w:p w14:paraId="75D60DB9" w14:textId="77777777" w:rsidR="004C6421" w:rsidRDefault="009D1962">
            <w:pPr>
              <w:pStyle w:val="P68B1DB1-Normal4"/>
              <w:rPr>
                <w:noProof/>
              </w:rPr>
            </w:pPr>
            <w:r>
              <w:rPr>
                <w:noProof/>
              </w:rPr>
              <w:t>Zobowiązanie/cel dotyczący zainwestowania 20 % w aktywa/działania lub przedsiębiorstwa spełniające kryteria wyboru dotyczące znakowania cyfrowego i 70 % z kryteriami wyboru w odniesieniu do monitorowania wydatków na cele związane z klimatem.</w:t>
            </w:r>
          </w:p>
        </w:tc>
      </w:tr>
      <w:tr w:rsidR="004C6421" w14:paraId="1594677F" w14:textId="77777777">
        <w:trPr>
          <w:trHeight w:val="313"/>
          <w:jc w:val="center"/>
        </w:trPr>
        <w:tc>
          <w:tcPr>
            <w:tcW w:w="377" w:type="pct"/>
            <w:shd w:val="clear" w:color="auto" w:fill="C6EFCE"/>
            <w:noWrap/>
            <w:vAlign w:val="center"/>
            <w:hideMark/>
          </w:tcPr>
          <w:p w14:paraId="4418371E" w14:textId="77777777" w:rsidR="004C6421" w:rsidRDefault="009D1962">
            <w:pPr>
              <w:pStyle w:val="P68B1DB1-Normal4"/>
              <w:jc w:val="center"/>
              <w:rPr>
                <w:noProof/>
              </w:rPr>
            </w:pPr>
            <w:r>
              <w:rPr>
                <w:noProof/>
              </w:rPr>
              <w:t>M1C3-21</w:t>
            </w:r>
          </w:p>
        </w:tc>
        <w:tc>
          <w:tcPr>
            <w:tcW w:w="520" w:type="pct"/>
            <w:shd w:val="clear" w:color="auto" w:fill="C6EFCE"/>
            <w:noWrap/>
            <w:vAlign w:val="center"/>
            <w:hideMark/>
          </w:tcPr>
          <w:p w14:paraId="70074187" w14:textId="77777777" w:rsidR="004C6421" w:rsidRDefault="009D1962">
            <w:pPr>
              <w:pStyle w:val="P68B1DB1-Normal4"/>
              <w:jc w:val="center"/>
              <w:rPr>
                <w:noProof/>
              </w:rPr>
            </w:pPr>
            <w:r>
              <w:rPr>
                <w:noProof/>
              </w:rPr>
              <w:t>Inwestycje – 3.2 Rozwój przemysłu filmowego (projekt Cinecittà)</w:t>
            </w:r>
          </w:p>
        </w:tc>
        <w:tc>
          <w:tcPr>
            <w:tcW w:w="378" w:type="pct"/>
            <w:shd w:val="clear" w:color="auto" w:fill="C6EFCE"/>
            <w:noWrap/>
            <w:vAlign w:val="center"/>
            <w:hideMark/>
          </w:tcPr>
          <w:p w14:paraId="6169CAC2" w14:textId="77777777" w:rsidR="004C6421" w:rsidRDefault="009D1962">
            <w:pPr>
              <w:pStyle w:val="P68B1DB1-Normal4"/>
              <w:jc w:val="center"/>
              <w:rPr>
                <w:noProof/>
              </w:rPr>
            </w:pPr>
            <w:r>
              <w:rPr>
                <w:noProof/>
              </w:rPr>
              <w:t>Cel</w:t>
            </w:r>
          </w:p>
        </w:tc>
        <w:tc>
          <w:tcPr>
            <w:tcW w:w="520" w:type="pct"/>
            <w:shd w:val="clear" w:color="auto" w:fill="C6EFCE"/>
            <w:noWrap/>
            <w:vAlign w:val="center"/>
            <w:hideMark/>
          </w:tcPr>
          <w:p w14:paraId="329451EA" w14:textId="77777777" w:rsidR="004C6421" w:rsidRDefault="009D1962">
            <w:pPr>
              <w:pStyle w:val="P68B1DB1-Normal4"/>
              <w:jc w:val="center"/>
              <w:rPr>
                <w:noProof/>
              </w:rPr>
            </w:pPr>
            <w:r>
              <w:rPr>
                <w:noProof/>
              </w:rPr>
              <w:t>Liczba studiów, których prace w zakresie przebudowy, modernizacji, budowy zostały ukończone</w:t>
            </w:r>
          </w:p>
        </w:tc>
        <w:tc>
          <w:tcPr>
            <w:tcW w:w="520" w:type="pct"/>
            <w:shd w:val="clear" w:color="auto" w:fill="C6EFCE"/>
            <w:noWrap/>
            <w:vAlign w:val="center"/>
            <w:hideMark/>
          </w:tcPr>
          <w:p w14:paraId="7F1744E3" w14:textId="77777777" w:rsidR="004C6421" w:rsidRDefault="009D1962">
            <w:pPr>
              <w:pStyle w:val="P68B1DB1-Normal4"/>
              <w:jc w:val="center"/>
              <w:rPr>
                <w:noProof/>
              </w:rPr>
            </w:pPr>
            <w:r>
              <w:rPr>
                <w:noProof/>
              </w:rPr>
              <w:t>NIE DOT.</w:t>
            </w:r>
          </w:p>
        </w:tc>
        <w:tc>
          <w:tcPr>
            <w:tcW w:w="331" w:type="pct"/>
            <w:shd w:val="clear" w:color="auto" w:fill="C6EFCE"/>
            <w:noWrap/>
            <w:vAlign w:val="center"/>
            <w:hideMark/>
          </w:tcPr>
          <w:p w14:paraId="3ABAB239" w14:textId="77777777" w:rsidR="004C6421" w:rsidRDefault="009D1962">
            <w:pPr>
              <w:pStyle w:val="P68B1DB1-Normal4"/>
              <w:jc w:val="center"/>
              <w:rPr>
                <w:noProof/>
              </w:rPr>
            </w:pPr>
            <w:r>
              <w:rPr>
                <w:noProof/>
              </w:rPr>
              <w:t>Numer</w:t>
            </w:r>
          </w:p>
        </w:tc>
        <w:tc>
          <w:tcPr>
            <w:tcW w:w="332" w:type="pct"/>
            <w:shd w:val="clear" w:color="auto" w:fill="C6EFCE"/>
            <w:noWrap/>
            <w:vAlign w:val="center"/>
            <w:hideMark/>
          </w:tcPr>
          <w:p w14:paraId="275414FE" w14:textId="77777777" w:rsidR="004C6421" w:rsidRDefault="009D1962">
            <w:pPr>
              <w:pStyle w:val="P68B1DB1-Normal4"/>
              <w:jc w:val="center"/>
              <w:rPr>
                <w:noProof/>
              </w:rPr>
            </w:pPr>
            <w:r>
              <w:rPr>
                <w:noProof/>
              </w:rPr>
              <w:t>0</w:t>
            </w:r>
          </w:p>
        </w:tc>
        <w:tc>
          <w:tcPr>
            <w:tcW w:w="424" w:type="pct"/>
            <w:shd w:val="clear" w:color="auto" w:fill="C6EFCE"/>
            <w:noWrap/>
            <w:vAlign w:val="center"/>
            <w:hideMark/>
          </w:tcPr>
          <w:p w14:paraId="5FB61768" w14:textId="77777777" w:rsidR="004C6421" w:rsidRDefault="009D1962">
            <w:pPr>
              <w:pStyle w:val="P68B1DB1-Normal4"/>
              <w:jc w:val="center"/>
              <w:rPr>
                <w:noProof/>
              </w:rPr>
            </w:pPr>
            <w:r>
              <w:rPr>
                <w:noProof/>
              </w:rPr>
              <w:t>9</w:t>
            </w:r>
          </w:p>
        </w:tc>
        <w:tc>
          <w:tcPr>
            <w:tcW w:w="332" w:type="pct"/>
            <w:shd w:val="clear" w:color="auto" w:fill="C6EFCE"/>
            <w:noWrap/>
            <w:vAlign w:val="center"/>
            <w:hideMark/>
          </w:tcPr>
          <w:p w14:paraId="67ACE764" w14:textId="77777777" w:rsidR="004C6421" w:rsidRDefault="009D1962">
            <w:pPr>
              <w:pStyle w:val="P68B1DB1-Normal4"/>
              <w:jc w:val="center"/>
              <w:rPr>
                <w:noProof/>
              </w:rPr>
            </w:pPr>
            <w:r>
              <w:rPr>
                <w:noProof/>
              </w:rPr>
              <w:t>II KW.</w:t>
            </w:r>
          </w:p>
        </w:tc>
        <w:tc>
          <w:tcPr>
            <w:tcW w:w="220" w:type="pct"/>
            <w:shd w:val="clear" w:color="auto" w:fill="C6EFCE"/>
            <w:noWrap/>
            <w:vAlign w:val="center"/>
            <w:hideMark/>
          </w:tcPr>
          <w:p w14:paraId="6F35D5C5" w14:textId="77777777" w:rsidR="004C6421" w:rsidRDefault="009D1962">
            <w:pPr>
              <w:pStyle w:val="P68B1DB1-Normal4"/>
              <w:jc w:val="center"/>
              <w:rPr>
                <w:noProof/>
              </w:rPr>
            </w:pPr>
            <w:r>
              <w:rPr>
                <w:noProof/>
              </w:rPr>
              <w:t>2026</w:t>
            </w:r>
          </w:p>
        </w:tc>
        <w:tc>
          <w:tcPr>
            <w:tcW w:w="1047" w:type="pct"/>
            <w:shd w:val="clear" w:color="auto" w:fill="C6EFCE"/>
            <w:noWrap/>
            <w:vAlign w:val="center"/>
            <w:hideMark/>
          </w:tcPr>
          <w:p w14:paraId="7F56DCBA" w14:textId="77777777" w:rsidR="004C6421" w:rsidRDefault="009D1962">
            <w:pPr>
              <w:pStyle w:val="P68B1DB1-Normal4"/>
              <w:rPr>
                <w:noProof/>
              </w:rPr>
            </w:pPr>
            <w:r>
              <w:rPr>
                <w:noProof/>
              </w:rPr>
              <w:t xml:space="preserve">Interwencje dotyczą </w:t>
            </w:r>
          </w:p>
          <w:p w14:paraId="425EB6A5" w14:textId="77777777" w:rsidR="004C6421" w:rsidRDefault="009D1962">
            <w:pPr>
              <w:pStyle w:val="P68B1DB1-Normal4"/>
              <w:rPr>
                <w:noProof/>
              </w:rPr>
            </w:pPr>
            <w:r>
              <w:rPr>
                <w:noProof/>
              </w:rPr>
              <w:t xml:space="preserve">budowa pięciu nowych studiów oraz </w:t>
            </w:r>
          </w:p>
          <w:p w14:paraId="4691A125" w14:textId="77777777" w:rsidR="004C6421" w:rsidRDefault="009D1962">
            <w:pPr>
              <w:pStyle w:val="P68B1DB1-Normal4"/>
              <w:rPr>
                <w:noProof/>
              </w:rPr>
            </w:pPr>
            <w:r>
              <w:rPr>
                <w:noProof/>
              </w:rPr>
              <w:t>— remont czterech istniejących studiów.</w:t>
            </w:r>
          </w:p>
          <w:p w14:paraId="5BDFF409" w14:textId="77777777" w:rsidR="004C6421" w:rsidRDefault="004C6421">
            <w:pPr>
              <w:rPr>
                <w:rFonts w:ascii="Arial Narrow" w:hAnsi="Arial Narrow"/>
                <w:noProof/>
                <w:color w:val="006100"/>
                <w:sz w:val="20"/>
              </w:rPr>
            </w:pPr>
          </w:p>
          <w:p w14:paraId="39A1F72E" w14:textId="77777777" w:rsidR="004C6421" w:rsidRDefault="009D1962">
            <w:pPr>
              <w:pStyle w:val="P68B1DB1-Normal4"/>
              <w:rPr>
                <w:noProof/>
              </w:rPr>
            </w:pPr>
            <w:r>
              <w:rPr>
                <w:noProof/>
              </w:rPr>
              <w:t>Zadowalające osiągnięcie celu zależy również od zakończenia interwencji wskazanych w wierszach B i C w opisie środka.</w:t>
            </w:r>
          </w:p>
        </w:tc>
      </w:tr>
      <w:tr w:rsidR="004C6421" w14:paraId="14AC9196" w14:textId="77777777">
        <w:trPr>
          <w:trHeight w:val="313"/>
          <w:jc w:val="center"/>
        </w:trPr>
        <w:tc>
          <w:tcPr>
            <w:tcW w:w="377" w:type="pct"/>
            <w:shd w:val="clear" w:color="auto" w:fill="C6EFCE"/>
            <w:noWrap/>
            <w:vAlign w:val="center"/>
          </w:tcPr>
          <w:p w14:paraId="7953270F" w14:textId="77777777" w:rsidR="004C6421" w:rsidRDefault="009D1962">
            <w:pPr>
              <w:pStyle w:val="P68B1DB1-Normal4"/>
              <w:jc w:val="center"/>
              <w:rPr>
                <w:noProof/>
              </w:rPr>
            </w:pPr>
            <w:r>
              <w:rPr>
                <w:noProof/>
              </w:rPr>
              <w:t>M1C3-22</w:t>
            </w:r>
          </w:p>
        </w:tc>
        <w:tc>
          <w:tcPr>
            <w:tcW w:w="520" w:type="pct"/>
            <w:shd w:val="clear" w:color="auto" w:fill="C6EFCE"/>
            <w:noWrap/>
            <w:vAlign w:val="center"/>
          </w:tcPr>
          <w:p w14:paraId="060E65EF" w14:textId="77777777" w:rsidR="004C6421" w:rsidRDefault="009D1962">
            <w:pPr>
              <w:pStyle w:val="P68B1DB1-Normal4"/>
              <w:jc w:val="center"/>
              <w:rPr>
                <w:noProof/>
              </w:rPr>
            </w:pPr>
            <w:r>
              <w:rPr>
                <w:noProof/>
              </w:rPr>
              <w:t>Inwestycje 4.2 Fundusze na rzecz konkurencyjności przedsiębiorstw turystycznych</w:t>
            </w:r>
          </w:p>
        </w:tc>
        <w:tc>
          <w:tcPr>
            <w:tcW w:w="378" w:type="pct"/>
            <w:shd w:val="clear" w:color="auto" w:fill="C6EFCE"/>
            <w:noWrap/>
            <w:vAlign w:val="center"/>
          </w:tcPr>
          <w:p w14:paraId="7169427C" w14:textId="3D8E1983" w:rsidR="004C6421" w:rsidRDefault="00CC179E">
            <w:pPr>
              <w:pStyle w:val="P68B1DB1-Normal4"/>
              <w:jc w:val="center"/>
              <w:rPr>
                <w:noProof/>
              </w:rPr>
            </w:pPr>
            <w:r>
              <w:rPr>
                <w:noProof/>
              </w:rPr>
              <w:t>Milowy</w:t>
            </w:r>
          </w:p>
        </w:tc>
        <w:tc>
          <w:tcPr>
            <w:tcW w:w="520" w:type="pct"/>
            <w:shd w:val="clear" w:color="auto" w:fill="C6EFCE"/>
            <w:noWrap/>
            <w:vAlign w:val="center"/>
          </w:tcPr>
          <w:p w14:paraId="6E2885E1" w14:textId="77777777" w:rsidR="004C6421" w:rsidRDefault="009D1962">
            <w:pPr>
              <w:pStyle w:val="P68B1DB1-Normal4"/>
              <w:jc w:val="center"/>
              <w:rPr>
                <w:noProof/>
              </w:rPr>
            </w:pPr>
            <w:r>
              <w:rPr>
                <w:noProof/>
              </w:rPr>
              <w:t>Polityka inwestycyjna na rzecz:</w:t>
            </w:r>
          </w:p>
          <w:p w14:paraId="23A50C3D" w14:textId="77777777" w:rsidR="004C6421" w:rsidRDefault="009D1962">
            <w:pPr>
              <w:pStyle w:val="P68B1DB1-Normal4"/>
              <w:jc w:val="center"/>
              <w:rPr>
                <w:noProof/>
              </w:rPr>
            </w:pPr>
            <w:r>
              <w:rPr>
                <w:noProof/>
              </w:rPr>
              <w:t>Fundusz tematyczny Europejskiego Banku Inwestycyjnego;</w:t>
            </w:r>
          </w:p>
        </w:tc>
        <w:tc>
          <w:tcPr>
            <w:tcW w:w="520" w:type="pct"/>
            <w:shd w:val="clear" w:color="auto" w:fill="C6EFCE"/>
            <w:noWrap/>
            <w:vAlign w:val="center"/>
          </w:tcPr>
          <w:p w14:paraId="0DD3519C" w14:textId="77777777" w:rsidR="004C6421" w:rsidRDefault="009D1962">
            <w:pPr>
              <w:pStyle w:val="P68B1DB1-Normal4"/>
              <w:jc w:val="center"/>
              <w:rPr>
                <w:noProof/>
              </w:rPr>
            </w:pPr>
            <w:r>
              <w:rPr>
                <w:noProof/>
              </w:rPr>
              <w:t>Przyjęcie polityki inwestycyjnej</w:t>
            </w:r>
          </w:p>
        </w:tc>
        <w:tc>
          <w:tcPr>
            <w:tcW w:w="331" w:type="pct"/>
            <w:shd w:val="clear" w:color="auto" w:fill="C6EFCE"/>
            <w:noWrap/>
            <w:vAlign w:val="center"/>
          </w:tcPr>
          <w:p w14:paraId="7EEE9227" w14:textId="77777777" w:rsidR="004C6421" w:rsidRDefault="009D1962">
            <w:pPr>
              <w:pStyle w:val="P68B1DB1-Normal4"/>
              <w:jc w:val="center"/>
              <w:rPr>
                <w:noProof/>
              </w:rPr>
            </w:pPr>
            <w:r>
              <w:rPr>
                <w:noProof/>
              </w:rPr>
              <w:t>NIE DOT.</w:t>
            </w:r>
          </w:p>
        </w:tc>
        <w:tc>
          <w:tcPr>
            <w:tcW w:w="332" w:type="pct"/>
            <w:shd w:val="clear" w:color="auto" w:fill="C6EFCE"/>
            <w:noWrap/>
            <w:vAlign w:val="center"/>
          </w:tcPr>
          <w:p w14:paraId="2169E31F" w14:textId="77777777" w:rsidR="004C6421" w:rsidRDefault="009D1962">
            <w:pPr>
              <w:pStyle w:val="P68B1DB1-Normal4"/>
              <w:jc w:val="center"/>
              <w:rPr>
                <w:noProof/>
              </w:rPr>
            </w:pPr>
            <w:r>
              <w:rPr>
                <w:noProof/>
              </w:rPr>
              <w:t>NIE DOT.</w:t>
            </w:r>
          </w:p>
        </w:tc>
        <w:tc>
          <w:tcPr>
            <w:tcW w:w="424" w:type="pct"/>
            <w:shd w:val="clear" w:color="auto" w:fill="C6EFCE"/>
            <w:noWrap/>
            <w:vAlign w:val="center"/>
          </w:tcPr>
          <w:p w14:paraId="763AE6F6" w14:textId="77777777" w:rsidR="004C6421" w:rsidRDefault="009D1962">
            <w:pPr>
              <w:pStyle w:val="P68B1DB1-Normal4"/>
              <w:jc w:val="center"/>
              <w:rPr>
                <w:noProof/>
              </w:rPr>
            </w:pPr>
            <w:r>
              <w:rPr>
                <w:noProof/>
              </w:rPr>
              <w:t>NIE DOT.</w:t>
            </w:r>
          </w:p>
        </w:tc>
        <w:tc>
          <w:tcPr>
            <w:tcW w:w="332" w:type="pct"/>
            <w:shd w:val="clear" w:color="auto" w:fill="C6EFCE"/>
            <w:noWrap/>
            <w:vAlign w:val="center"/>
          </w:tcPr>
          <w:p w14:paraId="4CBB6F3E" w14:textId="0F758977" w:rsidR="004C6421" w:rsidRDefault="00CC179E">
            <w:pPr>
              <w:pStyle w:val="P68B1DB1-Normal4"/>
              <w:jc w:val="center"/>
              <w:rPr>
                <w:noProof/>
              </w:rPr>
            </w:pPr>
            <w:r>
              <w:rPr>
                <w:noProof/>
              </w:rPr>
              <w:t>KW. 4</w:t>
            </w:r>
          </w:p>
        </w:tc>
        <w:tc>
          <w:tcPr>
            <w:tcW w:w="220" w:type="pct"/>
            <w:shd w:val="clear" w:color="auto" w:fill="C6EFCE"/>
            <w:noWrap/>
            <w:vAlign w:val="center"/>
          </w:tcPr>
          <w:p w14:paraId="4DA76B60" w14:textId="77777777" w:rsidR="004C6421" w:rsidRDefault="009D1962">
            <w:pPr>
              <w:pStyle w:val="P68B1DB1-Normal4"/>
              <w:jc w:val="center"/>
              <w:rPr>
                <w:noProof/>
              </w:rPr>
            </w:pPr>
            <w:r>
              <w:rPr>
                <w:noProof/>
              </w:rPr>
              <w:t>2021</w:t>
            </w:r>
          </w:p>
        </w:tc>
        <w:tc>
          <w:tcPr>
            <w:tcW w:w="1047" w:type="pct"/>
            <w:shd w:val="clear" w:color="auto" w:fill="C6EFCE"/>
            <w:noWrap/>
            <w:vAlign w:val="center"/>
          </w:tcPr>
          <w:p w14:paraId="2ACF1127" w14:textId="77777777" w:rsidR="004C6421" w:rsidRDefault="009D1962">
            <w:pPr>
              <w:pStyle w:val="P68B1DB1-Normal4"/>
              <w:rPr>
                <w:noProof/>
              </w:rPr>
            </w:pPr>
            <w:r>
              <w:rPr>
                <w:noProof/>
              </w:rPr>
              <w:t>W polityce inwestycyjnej określa się co najmniej: charakter, zakres i operacje objęte wsparciem, beneficjentów objętych pomocą, kryteria kwalifikowalności beneficjentów finansowych i ich wybór w drodze otwartego zaproszenia; oraz przepisy dotyczące reinwestowania potencjalnych środków powracających na te same cele polityki.</w:t>
            </w:r>
          </w:p>
          <w:p w14:paraId="64D1BF63" w14:textId="77777777" w:rsidR="004C6421" w:rsidRDefault="009D1962">
            <w:pPr>
              <w:pStyle w:val="P68B1DB1-Normal4"/>
              <w:rPr>
                <w:noProof/>
              </w:rPr>
            </w:pPr>
            <w:r>
              <w:rPr>
                <w:noProof/>
              </w:rPr>
              <w:t>W polityce inwestycyjnej przewiduje się, że 50 % funduszu przeznacza się na środki w zakresie efektywności energetycznej.</w:t>
            </w:r>
          </w:p>
          <w:p w14:paraId="5DA817F9" w14:textId="77777777" w:rsidR="004C6421" w:rsidRDefault="009D1962">
            <w:pPr>
              <w:pStyle w:val="P68B1DB1-Normal4"/>
              <w:rPr>
                <w:noProof/>
              </w:rPr>
            </w:pPr>
            <w:r>
              <w:rPr>
                <w:noProof/>
              </w:rPr>
              <w:t>Polityka inwestycyjna obejmuje kryteria wyboru w celu zapewnienia zgodności z wytycznymi technicznymi dotyczącymi zasady „nie czyń poważnych szkód” (2021/C58/01) transakcji objętych wsparciem w ramach tego środka poprzez zastosowanie kontroli zrównoważonego charakteru projektów, wykazu wyłączeń oraz wymogu zgodności z odpowiednimi unijnymi i krajowymi przepisami w zakresie ochrony środowiska.</w:t>
            </w:r>
          </w:p>
        </w:tc>
      </w:tr>
      <w:tr w:rsidR="004C6421" w14:paraId="5F8D3BCE" w14:textId="77777777">
        <w:trPr>
          <w:trHeight w:val="313"/>
          <w:jc w:val="center"/>
        </w:trPr>
        <w:tc>
          <w:tcPr>
            <w:tcW w:w="377" w:type="pct"/>
            <w:shd w:val="clear" w:color="auto" w:fill="C6EFCE"/>
            <w:noWrap/>
            <w:vAlign w:val="center"/>
          </w:tcPr>
          <w:p w14:paraId="3B59F113" w14:textId="77777777" w:rsidR="004C6421" w:rsidRDefault="009D1962">
            <w:pPr>
              <w:pStyle w:val="P68B1DB1-Normal4"/>
              <w:jc w:val="center"/>
              <w:rPr>
                <w:noProof/>
              </w:rPr>
            </w:pPr>
            <w:r>
              <w:rPr>
                <w:noProof/>
              </w:rPr>
              <w:t>M1C3-23</w:t>
            </w:r>
          </w:p>
        </w:tc>
        <w:tc>
          <w:tcPr>
            <w:tcW w:w="520" w:type="pct"/>
            <w:shd w:val="clear" w:color="auto" w:fill="C6EFCE"/>
            <w:noWrap/>
            <w:vAlign w:val="center"/>
          </w:tcPr>
          <w:p w14:paraId="0482279E" w14:textId="77777777" w:rsidR="004C6421" w:rsidRDefault="009D1962">
            <w:pPr>
              <w:pStyle w:val="P68B1DB1-Normal4"/>
              <w:jc w:val="center"/>
              <w:rPr>
                <w:noProof/>
              </w:rPr>
            </w:pPr>
            <w:r>
              <w:rPr>
                <w:noProof/>
              </w:rPr>
              <w:t>Inwestycje 4.2:  Fundusze na konkurencyjność przedsiębiorstw turystycznych</w:t>
            </w:r>
          </w:p>
        </w:tc>
        <w:tc>
          <w:tcPr>
            <w:tcW w:w="378" w:type="pct"/>
            <w:shd w:val="clear" w:color="auto" w:fill="C6EFCE"/>
            <w:noWrap/>
            <w:vAlign w:val="center"/>
          </w:tcPr>
          <w:p w14:paraId="10369757" w14:textId="2B2749A9" w:rsidR="004C6421" w:rsidRDefault="00CC179E">
            <w:pPr>
              <w:pStyle w:val="P68B1DB1-Normal4"/>
              <w:jc w:val="center"/>
              <w:rPr>
                <w:noProof/>
              </w:rPr>
            </w:pPr>
            <w:r>
              <w:rPr>
                <w:noProof/>
              </w:rPr>
              <w:t>Milowy</w:t>
            </w:r>
          </w:p>
        </w:tc>
        <w:tc>
          <w:tcPr>
            <w:tcW w:w="520" w:type="pct"/>
            <w:shd w:val="clear" w:color="auto" w:fill="C6EFCE"/>
            <w:noWrap/>
            <w:vAlign w:val="center"/>
          </w:tcPr>
          <w:p w14:paraId="1958AE43" w14:textId="77777777" w:rsidR="004C6421" w:rsidRDefault="009D1962">
            <w:pPr>
              <w:pStyle w:val="P68B1DB1-Normal4"/>
              <w:jc w:val="center"/>
              <w:rPr>
                <w:noProof/>
              </w:rPr>
            </w:pPr>
            <w:r>
              <w:rPr>
                <w:noProof/>
              </w:rPr>
              <w:t>Polityka inwestycyjna dla Narodowego Funduszu Turystyki,</w:t>
            </w:r>
          </w:p>
        </w:tc>
        <w:tc>
          <w:tcPr>
            <w:tcW w:w="520" w:type="pct"/>
            <w:shd w:val="clear" w:color="auto" w:fill="C6EFCE"/>
            <w:noWrap/>
            <w:vAlign w:val="center"/>
          </w:tcPr>
          <w:p w14:paraId="7A220904" w14:textId="77777777" w:rsidR="004C6421" w:rsidRDefault="009D1962">
            <w:pPr>
              <w:pStyle w:val="P68B1DB1-Normal4"/>
              <w:jc w:val="center"/>
              <w:rPr>
                <w:noProof/>
              </w:rPr>
            </w:pPr>
            <w:r>
              <w:rPr>
                <w:noProof/>
              </w:rPr>
              <w:t>Przyjęcie polityki inwestycyjnej</w:t>
            </w:r>
          </w:p>
        </w:tc>
        <w:tc>
          <w:tcPr>
            <w:tcW w:w="331" w:type="pct"/>
            <w:shd w:val="clear" w:color="auto" w:fill="C6EFCE"/>
            <w:noWrap/>
            <w:vAlign w:val="center"/>
          </w:tcPr>
          <w:p w14:paraId="06C0E601" w14:textId="77777777" w:rsidR="004C6421" w:rsidRDefault="009D1962">
            <w:pPr>
              <w:pStyle w:val="P68B1DB1-Normal4"/>
              <w:jc w:val="center"/>
              <w:rPr>
                <w:noProof/>
              </w:rPr>
            </w:pPr>
            <w:r>
              <w:rPr>
                <w:noProof/>
              </w:rPr>
              <w:t>NIE DOT.</w:t>
            </w:r>
          </w:p>
        </w:tc>
        <w:tc>
          <w:tcPr>
            <w:tcW w:w="332" w:type="pct"/>
            <w:shd w:val="clear" w:color="auto" w:fill="C6EFCE"/>
            <w:noWrap/>
            <w:vAlign w:val="center"/>
          </w:tcPr>
          <w:p w14:paraId="3144581B" w14:textId="77777777" w:rsidR="004C6421" w:rsidRDefault="009D1962">
            <w:pPr>
              <w:pStyle w:val="P68B1DB1-Normal4"/>
              <w:jc w:val="center"/>
              <w:rPr>
                <w:noProof/>
              </w:rPr>
            </w:pPr>
            <w:r>
              <w:rPr>
                <w:noProof/>
              </w:rPr>
              <w:t>NIE DOT.</w:t>
            </w:r>
          </w:p>
        </w:tc>
        <w:tc>
          <w:tcPr>
            <w:tcW w:w="424" w:type="pct"/>
            <w:shd w:val="clear" w:color="auto" w:fill="C6EFCE"/>
            <w:noWrap/>
            <w:vAlign w:val="center"/>
          </w:tcPr>
          <w:p w14:paraId="25F4CFF0" w14:textId="77777777" w:rsidR="004C6421" w:rsidRDefault="009D1962">
            <w:pPr>
              <w:pStyle w:val="P68B1DB1-Normal4"/>
              <w:jc w:val="center"/>
              <w:rPr>
                <w:noProof/>
              </w:rPr>
            </w:pPr>
            <w:r>
              <w:rPr>
                <w:noProof/>
              </w:rPr>
              <w:t>NIE DOT.</w:t>
            </w:r>
          </w:p>
        </w:tc>
        <w:tc>
          <w:tcPr>
            <w:tcW w:w="332" w:type="pct"/>
            <w:shd w:val="clear" w:color="auto" w:fill="C6EFCE"/>
            <w:noWrap/>
            <w:vAlign w:val="center"/>
          </w:tcPr>
          <w:p w14:paraId="3BD9F2A5" w14:textId="1D41B169" w:rsidR="004C6421" w:rsidRDefault="00CC179E">
            <w:pPr>
              <w:pStyle w:val="P68B1DB1-Normal4"/>
              <w:jc w:val="center"/>
              <w:rPr>
                <w:noProof/>
              </w:rPr>
            </w:pPr>
            <w:r>
              <w:rPr>
                <w:noProof/>
              </w:rPr>
              <w:t>KW. 4</w:t>
            </w:r>
          </w:p>
        </w:tc>
        <w:tc>
          <w:tcPr>
            <w:tcW w:w="220" w:type="pct"/>
            <w:shd w:val="clear" w:color="auto" w:fill="C6EFCE"/>
            <w:noWrap/>
            <w:vAlign w:val="center"/>
          </w:tcPr>
          <w:p w14:paraId="333E7038" w14:textId="77777777" w:rsidR="004C6421" w:rsidRDefault="009D1962">
            <w:pPr>
              <w:pStyle w:val="P68B1DB1-Normal4"/>
              <w:jc w:val="center"/>
              <w:rPr>
                <w:noProof/>
              </w:rPr>
            </w:pPr>
            <w:r>
              <w:rPr>
                <w:noProof/>
              </w:rPr>
              <w:t>2021</w:t>
            </w:r>
          </w:p>
        </w:tc>
        <w:tc>
          <w:tcPr>
            <w:tcW w:w="1047" w:type="pct"/>
            <w:shd w:val="clear" w:color="auto" w:fill="C6EFCE"/>
            <w:noWrap/>
            <w:vAlign w:val="center"/>
          </w:tcPr>
          <w:p w14:paraId="7D63EABC" w14:textId="77777777" w:rsidR="004C6421" w:rsidRDefault="009D1962">
            <w:pPr>
              <w:pStyle w:val="P68B1DB1-Normal4"/>
              <w:rPr>
                <w:noProof/>
              </w:rPr>
            </w:pPr>
            <w:r>
              <w:rPr>
                <w:noProof/>
              </w:rPr>
              <w:t xml:space="preserve">Fundusz jest przeznaczony na zakup, restrukturyzację i rekwalifikację włoskich nieruchomości w celu wsparcia rozwoju turystyki na obszarach najbardziej dotkniętych kryzysem lub na obszarach marginalnych (obszary przybrzeżne, mniejsze wyspy, regiony ultraperyferyjne oraz obszary wiejskie i górskie). </w:t>
            </w:r>
          </w:p>
          <w:p w14:paraId="7D3118B1" w14:textId="77777777" w:rsidR="004C6421" w:rsidRDefault="009D1962">
            <w:pPr>
              <w:pStyle w:val="P68B1DB1-Normal4"/>
              <w:rPr>
                <w:noProof/>
              </w:rPr>
            </w:pPr>
            <w:r>
              <w:rPr>
                <w:noProof/>
              </w:rPr>
              <w:t>Polityka inwestycyjna obejmuje kryteria wyboru w celu zapewnienia zgodności z wytycznymi technicznymi dotyczącymi zasady „nie czyń poważnych szkód” (2021/C58/01) transakcji objętych wsparciem w ramach tego środka poprzez zastosowanie kontroli zrównoważonego charakteru projektów, wykazu wyłączeń oraz wymogu zgodności z odpowiednimi unijnymi i krajowymi przepisami w zakresie ochrony środowiska.</w:t>
            </w:r>
          </w:p>
        </w:tc>
      </w:tr>
      <w:tr w:rsidR="004C6421" w14:paraId="21AF6470" w14:textId="77777777">
        <w:trPr>
          <w:trHeight w:val="313"/>
          <w:jc w:val="center"/>
        </w:trPr>
        <w:tc>
          <w:tcPr>
            <w:tcW w:w="377" w:type="pct"/>
            <w:shd w:val="clear" w:color="auto" w:fill="C6EFCE"/>
            <w:noWrap/>
            <w:vAlign w:val="center"/>
          </w:tcPr>
          <w:p w14:paraId="483C3144" w14:textId="77777777" w:rsidR="004C6421" w:rsidRDefault="009D1962">
            <w:pPr>
              <w:pStyle w:val="P68B1DB1-Normal4"/>
              <w:jc w:val="center"/>
              <w:rPr>
                <w:noProof/>
              </w:rPr>
            </w:pPr>
            <w:r>
              <w:rPr>
                <w:noProof/>
              </w:rPr>
              <w:t>M1C3-24</w:t>
            </w:r>
          </w:p>
        </w:tc>
        <w:tc>
          <w:tcPr>
            <w:tcW w:w="520" w:type="pct"/>
            <w:shd w:val="clear" w:color="auto" w:fill="C6EFCE"/>
            <w:noWrap/>
            <w:vAlign w:val="center"/>
          </w:tcPr>
          <w:p w14:paraId="483AD8F7" w14:textId="77777777" w:rsidR="004C6421" w:rsidRDefault="009D1962">
            <w:pPr>
              <w:pStyle w:val="P68B1DB1-Normal4"/>
              <w:jc w:val="center"/>
              <w:rPr>
                <w:noProof/>
              </w:rPr>
            </w:pPr>
            <w:r>
              <w:rPr>
                <w:noProof/>
              </w:rPr>
              <w:t>Inwestycje 4.2 Fundusze na rzecz konkurencyjności przedsiębiorstw turystycznych</w:t>
            </w:r>
          </w:p>
        </w:tc>
        <w:tc>
          <w:tcPr>
            <w:tcW w:w="378" w:type="pct"/>
            <w:shd w:val="clear" w:color="auto" w:fill="C6EFCE"/>
            <w:noWrap/>
            <w:vAlign w:val="center"/>
          </w:tcPr>
          <w:p w14:paraId="14A25EB7" w14:textId="7C3FDAE3" w:rsidR="004C6421" w:rsidRDefault="00CC179E">
            <w:pPr>
              <w:pStyle w:val="P68B1DB1-Normal4"/>
              <w:jc w:val="center"/>
              <w:rPr>
                <w:noProof/>
              </w:rPr>
            </w:pPr>
            <w:r>
              <w:rPr>
                <w:noProof/>
              </w:rPr>
              <w:t>Milowy</w:t>
            </w:r>
          </w:p>
        </w:tc>
        <w:tc>
          <w:tcPr>
            <w:tcW w:w="520" w:type="pct"/>
            <w:shd w:val="clear" w:color="auto" w:fill="C6EFCE"/>
            <w:noWrap/>
            <w:vAlign w:val="center"/>
          </w:tcPr>
          <w:p w14:paraId="341843EF" w14:textId="77777777" w:rsidR="004C6421" w:rsidRDefault="009D1962">
            <w:pPr>
              <w:pStyle w:val="P68B1DB1-Normal4"/>
              <w:jc w:val="center"/>
              <w:rPr>
                <w:noProof/>
              </w:rPr>
            </w:pPr>
            <w:r>
              <w:rPr>
                <w:noProof/>
              </w:rPr>
              <w:t>Polityka inwestycyjna na rzecz: Fundusz Gwarancyjny dla MŚP,</w:t>
            </w:r>
          </w:p>
        </w:tc>
        <w:tc>
          <w:tcPr>
            <w:tcW w:w="520" w:type="pct"/>
            <w:shd w:val="clear" w:color="auto" w:fill="C6EFCE"/>
            <w:noWrap/>
            <w:vAlign w:val="center"/>
          </w:tcPr>
          <w:p w14:paraId="21F2FD2B" w14:textId="77777777" w:rsidR="004C6421" w:rsidRDefault="009D1962">
            <w:pPr>
              <w:pStyle w:val="P68B1DB1-Normal4"/>
              <w:jc w:val="center"/>
              <w:rPr>
                <w:noProof/>
              </w:rPr>
            </w:pPr>
            <w:r>
              <w:rPr>
                <w:noProof/>
              </w:rPr>
              <w:t>Przyjęcie polityki inwestycyjnej</w:t>
            </w:r>
          </w:p>
        </w:tc>
        <w:tc>
          <w:tcPr>
            <w:tcW w:w="331" w:type="pct"/>
            <w:shd w:val="clear" w:color="auto" w:fill="C6EFCE"/>
            <w:noWrap/>
            <w:vAlign w:val="center"/>
          </w:tcPr>
          <w:p w14:paraId="01E73031" w14:textId="77777777" w:rsidR="004C6421" w:rsidRDefault="009D1962">
            <w:pPr>
              <w:pStyle w:val="P68B1DB1-Normal4"/>
              <w:jc w:val="center"/>
              <w:rPr>
                <w:noProof/>
              </w:rPr>
            </w:pPr>
            <w:r>
              <w:rPr>
                <w:noProof/>
              </w:rPr>
              <w:t>NIE DOT.</w:t>
            </w:r>
          </w:p>
        </w:tc>
        <w:tc>
          <w:tcPr>
            <w:tcW w:w="332" w:type="pct"/>
            <w:shd w:val="clear" w:color="auto" w:fill="C6EFCE"/>
            <w:noWrap/>
            <w:vAlign w:val="center"/>
          </w:tcPr>
          <w:p w14:paraId="1D308BEA" w14:textId="77777777" w:rsidR="004C6421" w:rsidRDefault="009D1962">
            <w:pPr>
              <w:pStyle w:val="P68B1DB1-Normal4"/>
              <w:jc w:val="center"/>
              <w:rPr>
                <w:noProof/>
              </w:rPr>
            </w:pPr>
            <w:r>
              <w:rPr>
                <w:noProof/>
              </w:rPr>
              <w:t>NIE DOT.</w:t>
            </w:r>
          </w:p>
        </w:tc>
        <w:tc>
          <w:tcPr>
            <w:tcW w:w="424" w:type="pct"/>
            <w:shd w:val="clear" w:color="auto" w:fill="C6EFCE"/>
            <w:noWrap/>
            <w:vAlign w:val="center"/>
          </w:tcPr>
          <w:p w14:paraId="6A7447C1" w14:textId="77777777" w:rsidR="004C6421" w:rsidRDefault="009D1962">
            <w:pPr>
              <w:pStyle w:val="P68B1DB1-Normal4"/>
              <w:jc w:val="center"/>
              <w:rPr>
                <w:noProof/>
              </w:rPr>
            </w:pPr>
            <w:r>
              <w:rPr>
                <w:noProof/>
              </w:rPr>
              <w:t>NIE DOT.</w:t>
            </w:r>
          </w:p>
        </w:tc>
        <w:tc>
          <w:tcPr>
            <w:tcW w:w="332" w:type="pct"/>
            <w:shd w:val="clear" w:color="auto" w:fill="C6EFCE"/>
            <w:noWrap/>
            <w:vAlign w:val="center"/>
          </w:tcPr>
          <w:p w14:paraId="09F1AD5B" w14:textId="38BD3D30" w:rsidR="004C6421" w:rsidRDefault="00CC179E">
            <w:pPr>
              <w:pStyle w:val="P68B1DB1-Normal4"/>
              <w:jc w:val="center"/>
              <w:rPr>
                <w:noProof/>
              </w:rPr>
            </w:pPr>
            <w:r>
              <w:rPr>
                <w:noProof/>
              </w:rPr>
              <w:t>KW. 4</w:t>
            </w:r>
          </w:p>
        </w:tc>
        <w:tc>
          <w:tcPr>
            <w:tcW w:w="220" w:type="pct"/>
            <w:shd w:val="clear" w:color="auto" w:fill="C6EFCE"/>
            <w:noWrap/>
            <w:vAlign w:val="center"/>
          </w:tcPr>
          <w:p w14:paraId="1794214D" w14:textId="77777777" w:rsidR="004C6421" w:rsidRDefault="009D1962">
            <w:pPr>
              <w:pStyle w:val="P68B1DB1-Normal4"/>
              <w:jc w:val="center"/>
              <w:rPr>
                <w:noProof/>
              </w:rPr>
            </w:pPr>
            <w:r>
              <w:rPr>
                <w:noProof/>
              </w:rPr>
              <w:t>2021</w:t>
            </w:r>
          </w:p>
        </w:tc>
        <w:tc>
          <w:tcPr>
            <w:tcW w:w="1047" w:type="pct"/>
            <w:shd w:val="clear" w:color="auto" w:fill="C6EFCE"/>
            <w:noWrap/>
            <w:vAlign w:val="center"/>
          </w:tcPr>
          <w:p w14:paraId="28CE4504" w14:textId="77777777" w:rsidR="004C6421" w:rsidRDefault="009D1962">
            <w:pPr>
              <w:pStyle w:val="P68B1DB1-Normal4"/>
              <w:rPr>
                <w:noProof/>
              </w:rPr>
            </w:pPr>
            <w:r>
              <w:rPr>
                <w:noProof/>
              </w:rPr>
              <w:t>W polityce inwestycyjnej przewiduje się, że 50 % funduszu przeznacza się na środki w zakresie efektywności energetycznej.</w:t>
            </w:r>
          </w:p>
          <w:p w14:paraId="0C3A6D38" w14:textId="77777777" w:rsidR="004C6421" w:rsidRDefault="009D1962">
            <w:pPr>
              <w:pStyle w:val="P68B1DB1-Normal4"/>
              <w:rPr>
                <w:noProof/>
              </w:rPr>
            </w:pPr>
            <w:r>
              <w:rPr>
                <w:noProof/>
              </w:rPr>
              <w:t>Polityka inwestycyjna obejmuje kryteria wyboru w celu zapewnienia zgodności z wytycznymi technicznymi dotyczącymi zasady „nie czyń poważnych szkód” (2021/C58/01) transakcji objętych wsparciem w ramach tego środka poprzez zastosowanie kontroli zrównoważonego charakteru projektów, wykazu wyłączeń oraz wymogu zgodności z odpowiednimi unijnymi i krajowymi przepisami w zakresie ochrony środowiska.</w:t>
            </w:r>
          </w:p>
          <w:p w14:paraId="387CAAC0" w14:textId="77777777" w:rsidR="004C6421" w:rsidRDefault="004C6421">
            <w:pPr>
              <w:rPr>
                <w:rFonts w:ascii="Arial Narrow" w:hAnsi="Arial Narrow"/>
                <w:noProof/>
                <w:color w:val="006100"/>
                <w:sz w:val="20"/>
              </w:rPr>
            </w:pPr>
          </w:p>
        </w:tc>
      </w:tr>
      <w:tr w:rsidR="004C6421" w14:paraId="377B7E7F" w14:textId="77777777">
        <w:trPr>
          <w:trHeight w:val="313"/>
          <w:jc w:val="center"/>
        </w:trPr>
        <w:tc>
          <w:tcPr>
            <w:tcW w:w="377" w:type="pct"/>
            <w:shd w:val="clear" w:color="auto" w:fill="C6EFCE"/>
            <w:noWrap/>
            <w:vAlign w:val="center"/>
          </w:tcPr>
          <w:p w14:paraId="60ACEA9C" w14:textId="77777777" w:rsidR="004C6421" w:rsidRDefault="009D1962">
            <w:pPr>
              <w:pStyle w:val="P68B1DB1-Normal4"/>
              <w:jc w:val="center"/>
              <w:rPr>
                <w:noProof/>
              </w:rPr>
            </w:pPr>
            <w:r>
              <w:rPr>
                <w:noProof/>
              </w:rPr>
              <w:t>M1C3-25</w:t>
            </w:r>
          </w:p>
        </w:tc>
        <w:tc>
          <w:tcPr>
            <w:tcW w:w="520" w:type="pct"/>
            <w:shd w:val="clear" w:color="auto" w:fill="C6EFCE"/>
            <w:noWrap/>
            <w:vAlign w:val="center"/>
          </w:tcPr>
          <w:p w14:paraId="64B15F47" w14:textId="77777777" w:rsidR="004C6421" w:rsidRDefault="009D1962">
            <w:pPr>
              <w:pStyle w:val="P68B1DB1-Normal4"/>
              <w:jc w:val="center"/>
              <w:rPr>
                <w:noProof/>
              </w:rPr>
            </w:pPr>
            <w:r>
              <w:rPr>
                <w:noProof/>
              </w:rPr>
              <w:t>Inwestycje 4.2:  Fundusze na konkurencyjność przedsiębiorstw turystycznych</w:t>
            </w:r>
          </w:p>
        </w:tc>
        <w:tc>
          <w:tcPr>
            <w:tcW w:w="378" w:type="pct"/>
            <w:shd w:val="clear" w:color="auto" w:fill="C6EFCE"/>
            <w:noWrap/>
            <w:vAlign w:val="center"/>
          </w:tcPr>
          <w:p w14:paraId="03A10342" w14:textId="4EE124B1" w:rsidR="004C6421" w:rsidRDefault="00CC179E">
            <w:pPr>
              <w:pStyle w:val="P68B1DB1-Normal4"/>
              <w:jc w:val="center"/>
              <w:rPr>
                <w:noProof/>
              </w:rPr>
            </w:pPr>
            <w:r>
              <w:rPr>
                <w:noProof/>
              </w:rPr>
              <w:t>Milowy</w:t>
            </w:r>
          </w:p>
        </w:tc>
        <w:tc>
          <w:tcPr>
            <w:tcW w:w="520" w:type="pct"/>
            <w:shd w:val="clear" w:color="auto" w:fill="C6EFCE"/>
            <w:noWrap/>
            <w:vAlign w:val="center"/>
          </w:tcPr>
          <w:p w14:paraId="5306B3FF" w14:textId="77777777" w:rsidR="004C6421" w:rsidRDefault="009D1962">
            <w:pPr>
              <w:pStyle w:val="P68B1DB1-Normal4"/>
              <w:jc w:val="center"/>
              <w:rPr>
                <w:noProof/>
              </w:rPr>
            </w:pPr>
            <w:r>
              <w:rPr>
                <w:noProof/>
              </w:rPr>
              <w:t>Polityka inwestycyjna dla Fondo Rotativo</w:t>
            </w:r>
          </w:p>
        </w:tc>
        <w:tc>
          <w:tcPr>
            <w:tcW w:w="520" w:type="pct"/>
            <w:shd w:val="clear" w:color="auto" w:fill="C6EFCE"/>
            <w:noWrap/>
            <w:vAlign w:val="center"/>
          </w:tcPr>
          <w:p w14:paraId="4334203E" w14:textId="77777777" w:rsidR="004C6421" w:rsidRDefault="009D1962">
            <w:pPr>
              <w:pStyle w:val="P68B1DB1-Normal4"/>
              <w:jc w:val="center"/>
              <w:rPr>
                <w:noProof/>
              </w:rPr>
            </w:pPr>
            <w:r>
              <w:rPr>
                <w:noProof/>
              </w:rPr>
              <w:t>Przyjęcie polityki inwestycyjnej</w:t>
            </w:r>
          </w:p>
        </w:tc>
        <w:tc>
          <w:tcPr>
            <w:tcW w:w="331" w:type="pct"/>
            <w:shd w:val="clear" w:color="auto" w:fill="C6EFCE"/>
            <w:noWrap/>
            <w:vAlign w:val="center"/>
          </w:tcPr>
          <w:p w14:paraId="41C5C5DC" w14:textId="77777777" w:rsidR="004C6421" w:rsidRDefault="009D1962">
            <w:pPr>
              <w:pStyle w:val="P68B1DB1-Normal4"/>
              <w:jc w:val="center"/>
              <w:rPr>
                <w:noProof/>
              </w:rPr>
            </w:pPr>
            <w:r>
              <w:rPr>
                <w:noProof/>
              </w:rPr>
              <w:t>NIE DOT.</w:t>
            </w:r>
          </w:p>
        </w:tc>
        <w:tc>
          <w:tcPr>
            <w:tcW w:w="332" w:type="pct"/>
            <w:shd w:val="clear" w:color="auto" w:fill="C6EFCE"/>
            <w:noWrap/>
            <w:vAlign w:val="center"/>
          </w:tcPr>
          <w:p w14:paraId="5B4472DE" w14:textId="77777777" w:rsidR="004C6421" w:rsidRDefault="009D1962">
            <w:pPr>
              <w:pStyle w:val="P68B1DB1-Normal4"/>
              <w:jc w:val="center"/>
              <w:rPr>
                <w:noProof/>
              </w:rPr>
            </w:pPr>
            <w:r>
              <w:rPr>
                <w:noProof/>
              </w:rPr>
              <w:t>NIE DOT.</w:t>
            </w:r>
          </w:p>
        </w:tc>
        <w:tc>
          <w:tcPr>
            <w:tcW w:w="424" w:type="pct"/>
            <w:shd w:val="clear" w:color="auto" w:fill="C6EFCE"/>
            <w:noWrap/>
            <w:vAlign w:val="center"/>
          </w:tcPr>
          <w:p w14:paraId="6BF7A8B4" w14:textId="77777777" w:rsidR="004C6421" w:rsidRDefault="009D1962">
            <w:pPr>
              <w:pStyle w:val="P68B1DB1-Normal4"/>
              <w:jc w:val="center"/>
              <w:rPr>
                <w:noProof/>
              </w:rPr>
            </w:pPr>
            <w:r>
              <w:rPr>
                <w:noProof/>
              </w:rPr>
              <w:t>NIE DOT.</w:t>
            </w:r>
          </w:p>
        </w:tc>
        <w:tc>
          <w:tcPr>
            <w:tcW w:w="332" w:type="pct"/>
            <w:shd w:val="clear" w:color="auto" w:fill="C6EFCE"/>
            <w:noWrap/>
            <w:vAlign w:val="center"/>
          </w:tcPr>
          <w:p w14:paraId="170FFD7A" w14:textId="2E49745E" w:rsidR="004C6421" w:rsidRDefault="00CC179E">
            <w:pPr>
              <w:pStyle w:val="P68B1DB1-Normal4"/>
              <w:jc w:val="center"/>
              <w:rPr>
                <w:noProof/>
              </w:rPr>
            </w:pPr>
            <w:r>
              <w:rPr>
                <w:noProof/>
              </w:rPr>
              <w:t>KW. 4</w:t>
            </w:r>
          </w:p>
        </w:tc>
        <w:tc>
          <w:tcPr>
            <w:tcW w:w="220" w:type="pct"/>
            <w:shd w:val="clear" w:color="auto" w:fill="C6EFCE"/>
            <w:noWrap/>
            <w:vAlign w:val="center"/>
          </w:tcPr>
          <w:p w14:paraId="5B7BDD01" w14:textId="77777777" w:rsidR="004C6421" w:rsidRDefault="009D1962">
            <w:pPr>
              <w:pStyle w:val="P68B1DB1-Normal4"/>
              <w:jc w:val="center"/>
              <w:rPr>
                <w:noProof/>
              </w:rPr>
            </w:pPr>
            <w:r>
              <w:rPr>
                <w:noProof/>
              </w:rPr>
              <w:t>2021</w:t>
            </w:r>
          </w:p>
        </w:tc>
        <w:tc>
          <w:tcPr>
            <w:tcW w:w="1047" w:type="pct"/>
            <w:shd w:val="clear" w:color="auto" w:fill="C6EFCE"/>
            <w:noWrap/>
            <w:vAlign w:val="center"/>
          </w:tcPr>
          <w:p w14:paraId="39DA453B" w14:textId="77777777" w:rsidR="004C6421" w:rsidRDefault="009D1962">
            <w:pPr>
              <w:pStyle w:val="P68B1DB1-Normal4"/>
              <w:rPr>
                <w:noProof/>
              </w:rPr>
            </w:pPr>
            <w:r>
              <w:rPr>
                <w:noProof/>
              </w:rPr>
              <w:t>W polityce inwestycyjnej przewiduje się, że 50 % funduszu przeznacza się na środki w zakresie efektywności energetycznej.</w:t>
            </w:r>
          </w:p>
          <w:p w14:paraId="059EC86C" w14:textId="77777777" w:rsidR="004C6421" w:rsidRDefault="009D1962">
            <w:pPr>
              <w:pStyle w:val="P68B1DB1-Normal4"/>
              <w:rPr>
                <w:noProof/>
              </w:rPr>
            </w:pPr>
            <w:r>
              <w:rPr>
                <w:noProof/>
              </w:rPr>
              <w:t>Polityka inwestycyjna obejmuje kryteria wyboru w celu zapewnienia zgodności z wytycznymi technicznymi dotyczącymi zasady „nie czyń poważnych szkód” (2021/C58/01) transakcji objętych wsparciem w ramach tego środka poprzez zastosowanie kontroli zrównoważonego charakteru projektów, wykazu wyłączeń oraz wymogu zgodności z odpowiednimi unijnymi i krajowymi przepisami w zakresie ochrony środowiska.</w:t>
            </w:r>
          </w:p>
        </w:tc>
      </w:tr>
      <w:tr w:rsidR="004C6421" w14:paraId="7C130CCB" w14:textId="77777777">
        <w:trPr>
          <w:trHeight w:val="313"/>
          <w:jc w:val="center"/>
        </w:trPr>
        <w:tc>
          <w:tcPr>
            <w:tcW w:w="377" w:type="pct"/>
            <w:shd w:val="clear" w:color="auto" w:fill="C6EFCE"/>
            <w:noWrap/>
            <w:vAlign w:val="center"/>
            <w:hideMark/>
          </w:tcPr>
          <w:p w14:paraId="17B0AEDF" w14:textId="77777777" w:rsidR="004C6421" w:rsidRDefault="009D1962">
            <w:pPr>
              <w:pStyle w:val="P68B1DB1-Normal4"/>
              <w:jc w:val="center"/>
              <w:rPr>
                <w:noProof/>
              </w:rPr>
            </w:pPr>
            <w:r>
              <w:rPr>
                <w:noProof/>
              </w:rPr>
              <w:t>M1C3-26</w:t>
            </w:r>
          </w:p>
        </w:tc>
        <w:tc>
          <w:tcPr>
            <w:tcW w:w="520" w:type="pct"/>
            <w:shd w:val="clear" w:color="auto" w:fill="C6EFCE"/>
            <w:noWrap/>
            <w:vAlign w:val="center"/>
            <w:hideMark/>
          </w:tcPr>
          <w:p w14:paraId="70316797" w14:textId="77777777" w:rsidR="004C6421" w:rsidRDefault="009D1962">
            <w:pPr>
              <w:pStyle w:val="P68B1DB1-Normal4"/>
              <w:jc w:val="center"/>
              <w:rPr>
                <w:noProof/>
              </w:rPr>
            </w:pPr>
            <w:r>
              <w:rPr>
                <w:noProof/>
              </w:rPr>
              <w:t>Inwestycje 4.2:  Fundusze na konkurencyjność przedsiębiorstw turystycznych</w:t>
            </w:r>
          </w:p>
        </w:tc>
        <w:tc>
          <w:tcPr>
            <w:tcW w:w="378" w:type="pct"/>
            <w:shd w:val="clear" w:color="auto" w:fill="C6EFCE"/>
            <w:noWrap/>
            <w:vAlign w:val="center"/>
            <w:hideMark/>
          </w:tcPr>
          <w:p w14:paraId="3260101B" w14:textId="5301FA5C" w:rsidR="004C6421" w:rsidRDefault="00CC179E">
            <w:pPr>
              <w:pStyle w:val="P68B1DB1-Normal4"/>
              <w:jc w:val="center"/>
              <w:rPr>
                <w:noProof/>
              </w:rPr>
            </w:pPr>
            <w:r>
              <w:rPr>
                <w:noProof/>
              </w:rPr>
              <w:t>Milowy</w:t>
            </w:r>
          </w:p>
        </w:tc>
        <w:tc>
          <w:tcPr>
            <w:tcW w:w="520" w:type="pct"/>
            <w:shd w:val="clear" w:color="auto" w:fill="C6EFCE"/>
            <w:noWrap/>
            <w:vAlign w:val="center"/>
            <w:hideMark/>
          </w:tcPr>
          <w:p w14:paraId="2A56A637" w14:textId="77777777" w:rsidR="004C6421" w:rsidRDefault="009D1962">
            <w:pPr>
              <w:pStyle w:val="P68B1DB1-Normal4"/>
              <w:jc w:val="center"/>
              <w:rPr>
                <w:noProof/>
              </w:rPr>
            </w:pPr>
            <w:r>
              <w:rPr>
                <w:noProof/>
              </w:rPr>
              <w:t>Wejście w życie dekretu wykonawczego w sprawie ulgi podatkowej na przebudowę obiektów zakwaterowania.</w:t>
            </w:r>
          </w:p>
        </w:tc>
        <w:tc>
          <w:tcPr>
            <w:tcW w:w="520" w:type="pct"/>
            <w:shd w:val="clear" w:color="auto" w:fill="C6EFCE"/>
            <w:noWrap/>
            <w:vAlign w:val="center"/>
            <w:hideMark/>
          </w:tcPr>
          <w:p w14:paraId="59334D9E" w14:textId="77777777" w:rsidR="004C6421" w:rsidRDefault="009D1962">
            <w:pPr>
              <w:pStyle w:val="P68B1DB1-Normal4"/>
              <w:jc w:val="center"/>
              <w:rPr>
                <w:noProof/>
              </w:rPr>
            </w:pPr>
            <w:r>
              <w:rPr>
                <w:noProof/>
              </w:rPr>
              <w:t>Przepis ustawy wskazujący na wejście w życie ustawy budżetowej umożliwiający ulgi podatkowe oraz przepis w powiązanych aktach wykonawczych wskazujący na ich wejście w życie NIE DOT.</w:t>
            </w:r>
          </w:p>
        </w:tc>
        <w:tc>
          <w:tcPr>
            <w:tcW w:w="331" w:type="pct"/>
            <w:shd w:val="clear" w:color="auto" w:fill="C6EFCE"/>
            <w:noWrap/>
            <w:vAlign w:val="center"/>
            <w:hideMark/>
          </w:tcPr>
          <w:p w14:paraId="203584BC" w14:textId="77777777" w:rsidR="004C6421" w:rsidRDefault="009D1962">
            <w:pPr>
              <w:pStyle w:val="P68B1DB1-Normal4"/>
              <w:jc w:val="center"/>
              <w:rPr>
                <w:noProof/>
              </w:rPr>
            </w:pPr>
            <w:r>
              <w:rPr>
                <w:noProof/>
              </w:rPr>
              <w:t>NIE DOT.</w:t>
            </w:r>
          </w:p>
        </w:tc>
        <w:tc>
          <w:tcPr>
            <w:tcW w:w="332" w:type="pct"/>
            <w:shd w:val="clear" w:color="auto" w:fill="C6EFCE"/>
            <w:noWrap/>
            <w:vAlign w:val="center"/>
            <w:hideMark/>
          </w:tcPr>
          <w:p w14:paraId="4031EE13" w14:textId="77777777" w:rsidR="004C6421" w:rsidRDefault="009D1962">
            <w:pPr>
              <w:pStyle w:val="P68B1DB1-Normal4"/>
              <w:jc w:val="center"/>
              <w:rPr>
                <w:noProof/>
              </w:rPr>
            </w:pPr>
            <w:r>
              <w:rPr>
                <w:noProof/>
              </w:rPr>
              <w:t>NIE DOT.</w:t>
            </w:r>
          </w:p>
        </w:tc>
        <w:tc>
          <w:tcPr>
            <w:tcW w:w="424" w:type="pct"/>
            <w:shd w:val="clear" w:color="auto" w:fill="C6EFCE"/>
            <w:noWrap/>
            <w:vAlign w:val="center"/>
            <w:hideMark/>
          </w:tcPr>
          <w:p w14:paraId="56871735" w14:textId="77777777" w:rsidR="004C6421" w:rsidRDefault="009D1962">
            <w:pPr>
              <w:pStyle w:val="P68B1DB1-Normal4"/>
              <w:jc w:val="center"/>
              <w:rPr>
                <w:noProof/>
              </w:rPr>
            </w:pPr>
            <w:r>
              <w:rPr>
                <w:noProof/>
              </w:rPr>
              <w:t>NIE DOT.</w:t>
            </w:r>
          </w:p>
        </w:tc>
        <w:tc>
          <w:tcPr>
            <w:tcW w:w="332" w:type="pct"/>
            <w:shd w:val="clear" w:color="auto" w:fill="C6EFCE"/>
            <w:noWrap/>
            <w:vAlign w:val="center"/>
            <w:hideMark/>
          </w:tcPr>
          <w:p w14:paraId="179230F6" w14:textId="0DEE8ED1" w:rsidR="004C6421" w:rsidRDefault="00CC179E">
            <w:pPr>
              <w:pStyle w:val="P68B1DB1-Normal4"/>
              <w:jc w:val="center"/>
              <w:rPr>
                <w:noProof/>
              </w:rPr>
            </w:pPr>
            <w:r>
              <w:rPr>
                <w:noProof/>
              </w:rPr>
              <w:t>KW. 4</w:t>
            </w:r>
          </w:p>
        </w:tc>
        <w:tc>
          <w:tcPr>
            <w:tcW w:w="220" w:type="pct"/>
            <w:shd w:val="clear" w:color="auto" w:fill="C6EFCE"/>
            <w:noWrap/>
            <w:vAlign w:val="center"/>
            <w:hideMark/>
          </w:tcPr>
          <w:p w14:paraId="5E6D05A3" w14:textId="77777777" w:rsidR="004C6421" w:rsidRDefault="009D1962">
            <w:pPr>
              <w:pStyle w:val="P68B1DB1-Normal4"/>
              <w:jc w:val="center"/>
              <w:rPr>
                <w:noProof/>
              </w:rPr>
            </w:pPr>
            <w:r>
              <w:rPr>
                <w:noProof/>
              </w:rPr>
              <w:t>2021</w:t>
            </w:r>
          </w:p>
        </w:tc>
        <w:tc>
          <w:tcPr>
            <w:tcW w:w="1047" w:type="pct"/>
            <w:shd w:val="clear" w:color="auto" w:fill="C6EFCE"/>
            <w:noWrap/>
            <w:vAlign w:val="center"/>
            <w:hideMark/>
          </w:tcPr>
          <w:p w14:paraId="177E27DE" w14:textId="77777777" w:rsidR="004C6421" w:rsidRDefault="009D1962">
            <w:pPr>
              <w:pStyle w:val="P68B1DB1-Normal4"/>
              <w:rPr>
                <w:noProof/>
              </w:rPr>
            </w:pPr>
            <w:r>
              <w:rPr>
                <w:noProof/>
              </w:rPr>
              <w:t>Aktem odniesienia dla przyznania ulgi podatkowej jest ustawa nr 83 z dnia 31 maja 2014 r., w której wprowadzono przyznanie ulgi podatkowej na interwencje związane z przebudową obiektów zakwaterowania turystycznego.</w:t>
            </w:r>
          </w:p>
          <w:p w14:paraId="5DCC2778" w14:textId="77777777" w:rsidR="004C6421" w:rsidRDefault="009D1962">
            <w:pPr>
              <w:pStyle w:val="P68B1DB1-Normal4"/>
              <w:rPr>
                <w:noProof/>
              </w:rPr>
            </w:pPr>
            <w:r>
              <w:rPr>
                <w:noProof/>
              </w:rPr>
              <w:t>Kryteria wyboru/kwalifikacji dotyczące zgodności wspieranych aktywów/działań i beneficjentów z wytycznymi technicznymi dotyczącymi zasady „nie czyń poważnych szkód” (2021/C58/01), wymagające co najmniej stosowania wykazu wykluczenia oraz zgodności wspieranych aktywów/działań i beneficjentów z odpowiednim unijnym i krajowym dorobkiem prawnym w zakresie ochrony środowiska, a także zapewnienie zgodności.</w:t>
            </w:r>
          </w:p>
        </w:tc>
      </w:tr>
      <w:tr w:rsidR="004C6421" w14:paraId="4434981A" w14:textId="77777777">
        <w:trPr>
          <w:trHeight w:val="313"/>
          <w:jc w:val="center"/>
        </w:trPr>
        <w:tc>
          <w:tcPr>
            <w:tcW w:w="377" w:type="pct"/>
            <w:shd w:val="clear" w:color="auto" w:fill="C6EFCE"/>
            <w:noWrap/>
            <w:vAlign w:val="center"/>
            <w:hideMark/>
          </w:tcPr>
          <w:p w14:paraId="01DEBEA9" w14:textId="77777777" w:rsidR="004C6421" w:rsidRDefault="009D1962">
            <w:pPr>
              <w:pStyle w:val="P68B1DB1-Normal4"/>
              <w:jc w:val="center"/>
              <w:rPr>
                <w:noProof/>
              </w:rPr>
            </w:pPr>
            <w:r>
              <w:rPr>
                <w:noProof/>
              </w:rPr>
              <w:t>M1C3-27</w:t>
            </w:r>
          </w:p>
        </w:tc>
        <w:tc>
          <w:tcPr>
            <w:tcW w:w="520" w:type="pct"/>
            <w:shd w:val="clear" w:color="auto" w:fill="C6EFCE"/>
            <w:noWrap/>
            <w:vAlign w:val="center"/>
            <w:hideMark/>
          </w:tcPr>
          <w:p w14:paraId="5945170F" w14:textId="77777777" w:rsidR="004C6421" w:rsidRDefault="009D1962">
            <w:pPr>
              <w:pStyle w:val="P68B1DB1-Normal4"/>
              <w:jc w:val="center"/>
              <w:rPr>
                <w:noProof/>
              </w:rPr>
            </w:pPr>
            <w:r>
              <w:rPr>
                <w:noProof/>
              </w:rPr>
              <w:t>Inwestycje – 4.3 Caput Mundi-Next Generation EU na rzecz wielkich imprez turystycznych</w:t>
            </w:r>
          </w:p>
        </w:tc>
        <w:tc>
          <w:tcPr>
            <w:tcW w:w="378" w:type="pct"/>
            <w:shd w:val="clear" w:color="auto" w:fill="C6EFCE"/>
            <w:noWrap/>
            <w:vAlign w:val="center"/>
            <w:hideMark/>
          </w:tcPr>
          <w:p w14:paraId="4A928719" w14:textId="77777777" w:rsidR="004C6421" w:rsidRDefault="009D1962">
            <w:pPr>
              <w:pStyle w:val="P68B1DB1-Normal4"/>
              <w:jc w:val="center"/>
              <w:rPr>
                <w:noProof/>
              </w:rPr>
            </w:pPr>
            <w:r>
              <w:rPr>
                <w:noProof/>
              </w:rPr>
              <w:t>Cel</w:t>
            </w:r>
          </w:p>
        </w:tc>
        <w:tc>
          <w:tcPr>
            <w:tcW w:w="520" w:type="pct"/>
            <w:shd w:val="clear" w:color="auto" w:fill="C6EFCE"/>
            <w:noWrap/>
            <w:vAlign w:val="center"/>
            <w:hideMark/>
          </w:tcPr>
          <w:p w14:paraId="7255A318" w14:textId="77777777" w:rsidR="004C6421" w:rsidRDefault="009D1962">
            <w:pPr>
              <w:pStyle w:val="P68B1DB1-Normal4"/>
              <w:jc w:val="center"/>
              <w:rPr>
                <w:noProof/>
              </w:rPr>
            </w:pPr>
            <w:r>
              <w:rPr>
                <w:noProof/>
              </w:rPr>
              <w:t>Liczba</w:t>
            </w:r>
          </w:p>
          <w:p w14:paraId="5A5EC7D4" w14:textId="77777777" w:rsidR="004C6421" w:rsidRDefault="009D1962">
            <w:pPr>
              <w:pStyle w:val="P68B1DB1-Normal4"/>
              <w:jc w:val="center"/>
              <w:rPr>
                <w:noProof/>
              </w:rPr>
            </w:pPr>
            <w:r>
              <w:rPr>
                <w:noProof/>
              </w:rPr>
              <w:t>obiekty kulturalne i turystyczne, których przekwalifikowanie osiągnęło średnio 50 % udziałów Stato Avanzamento Lavori (SAL) (pierwsza partia)</w:t>
            </w:r>
          </w:p>
        </w:tc>
        <w:tc>
          <w:tcPr>
            <w:tcW w:w="520" w:type="pct"/>
            <w:shd w:val="clear" w:color="auto" w:fill="C6EFCE"/>
            <w:noWrap/>
            <w:vAlign w:val="center"/>
            <w:hideMark/>
          </w:tcPr>
          <w:p w14:paraId="0124F074" w14:textId="77777777" w:rsidR="004C6421" w:rsidRDefault="009D1962">
            <w:pPr>
              <w:pStyle w:val="P68B1DB1-Normal4"/>
              <w:jc w:val="center"/>
              <w:rPr>
                <w:noProof/>
              </w:rPr>
            </w:pPr>
            <w:r>
              <w:rPr>
                <w:noProof/>
              </w:rPr>
              <w:t>NIE DOT.</w:t>
            </w:r>
          </w:p>
        </w:tc>
        <w:tc>
          <w:tcPr>
            <w:tcW w:w="331" w:type="pct"/>
            <w:shd w:val="clear" w:color="auto" w:fill="C6EFCE"/>
            <w:noWrap/>
            <w:vAlign w:val="center"/>
            <w:hideMark/>
          </w:tcPr>
          <w:p w14:paraId="01293CDB" w14:textId="77777777" w:rsidR="004C6421" w:rsidRDefault="009D1962">
            <w:pPr>
              <w:pStyle w:val="P68B1DB1-Normal4"/>
              <w:jc w:val="center"/>
              <w:rPr>
                <w:noProof/>
              </w:rPr>
            </w:pPr>
            <w:r>
              <w:rPr>
                <w:noProof/>
              </w:rPr>
              <w:t>Numer</w:t>
            </w:r>
          </w:p>
        </w:tc>
        <w:tc>
          <w:tcPr>
            <w:tcW w:w="332" w:type="pct"/>
            <w:shd w:val="clear" w:color="auto" w:fill="C6EFCE"/>
            <w:noWrap/>
            <w:vAlign w:val="center"/>
            <w:hideMark/>
          </w:tcPr>
          <w:p w14:paraId="26103F34" w14:textId="77777777" w:rsidR="004C6421" w:rsidRDefault="009D1962">
            <w:pPr>
              <w:pStyle w:val="P68B1DB1-Normal4"/>
              <w:jc w:val="center"/>
              <w:rPr>
                <w:noProof/>
              </w:rPr>
            </w:pPr>
            <w:r>
              <w:rPr>
                <w:noProof/>
              </w:rPr>
              <w:t>0</w:t>
            </w:r>
          </w:p>
        </w:tc>
        <w:tc>
          <w:tcPr>
            <w:tcW w:w="424" w:type="pct"/>
            <w:shd w:val="clear" w:color="auto" w:fill="C6EFCE"/>
            <w:noWrap/>
            <w:vAlign w:val="center"/>
            <w:hideMark/>
          </w:tcPr>
          <w:p w14:paraId="58558238" w14:textId="77777777" w:rsidR="004C6421" w:rsidRDefault="009D1962">
            <w:pPr>
              <w:pStyle w:val="P68B1DB1-Normal4"/>
              <w:jc w:val="center"/>
              <w:rPr>
                <w:noProof/>
              </w:rPr>
            </w:pPr>
            <w:r>
              <w:rPr>
                <w:noProof/>
              </w:rPr>
              <w:t>100</w:t>
            </w:r>
          </w:p>
        </w:tc>
        <w:tc>
          <w:tcPr>
            <w:tcW w:w="332" w:type="pct"/>
            <w:shd w:val="clear" w:color="auto" w:fill="C6EFCE"/>
            <w:noWrap/>
            <w:vAlign w:val="center"/>
            <w:hideMark/>
          </w:tcPr>
          <w:p w14:paraId="6371851B" w14:textId="13E990EA" w:rsidR="004C6421" w:rsidRDefault="00CC179E">
            <w:pPr>
              <w:pStyle w:val="P68B1DB1-Normal4"/>
              <w:jc w:val="center"/>
              <w:rPr>
                <w:noProof/>
              </w:rPr>
            </w:pPr>
            <w:r>
              <w:rPr>
                <w:noProof/>
              </w:rPr>
              <w:t>KW. 4</w:t>
            </w:r>
          </w:p>
        </w:tc>
        <w:tc>
          <w:tcPr>
            <w:tcW w:w="220" w:type="pct"/>
            <w:shd w:val="clear" w:color="auto" w:fill="C6EFCE"/>
            <w:noWrap/>
            <w:vAlign w:val="center"/>
            <w:hideMark/>
          </w:tcPr>
          <w:p w14:paraId="150C4E67" w14:textId="77777777" w:rsidR="004C6421" w:rsidRDefault="009D1962">
            <w:pPr>
              <w:pStyle w:val="P68B1DB1-Normal4"/>
              <w:jc w:val="center"/>
              <w:rPr>
                <w:noProof/>
              </w:rPr>
            </w:pPr>
            <w:r>
              <w:rPr>
                <w:noProof/>
              </w:rPr>
              <w:t>2024</w:t>
            </w:r>
          </w:p>
        </w:tc>
        <w:tc>
          <w:tcPr>
            <w:tcW w:w="1047" w:type="pct"/>
            <w:shd w:val="clear" w:color="auto" w:fill="C6EFCE"/>
            <w:noWrap/>
            <w:vAlign w:val="center"/>
            <w:hideMark/>
          </w:tcPr>
          <w:p w14:paraId="142886FC" w14:textId="77777777" w:rsidR="004C6421" w:rsidRDefault="009D1962">
            <w:pPr>
              <w:pStyle w:val="P68B1DB1-Normal4"/>
              <w:rPr>
                <w:noProof/>
              </w:rPr>
            </w:pPr>
            <w:r>
              <w:rPr>
                <w:noProof/>
              </w:rPr>
              <w:t>Inwestycja obejmuje interwencje obejmujące:</w:t>
            </w:r>
          </w:p>
          <w:p w14:paraId="71CF228C" w14:textId="77777777" w:rsidR="004C6421" w:rsidRDefault="009D1962">
            <w:pPr>
              <w:pStyle w:val="P68B1DB1-ListParagraph5"/>
              <w:numPr>
                <w:ilvl w:val="0"/>
                <w:numId w:val="91"/>
              </w:numPr>
              <w:ind w:left="362" w:hanging="284"/>
              <w:jc w:val="left"/>
              <w:rPr>
                <w:noProof/>
              </w:rPr>
            </w:pPr>
            <w:r>
              <w:rPr>
                <w:noProof/>
              </w:rPr>
              <w:t xml:space="preserve"> 1.rewitalizacja i odbudowa dziedzictwa kulturowego i miejskiego oraz kompleksów o wysokiej wartości historycznej i architektonicznej miasta Rzym w linii inwestycyjnej „Romskie dziedzictwo kulturowe dla pokolenia UE-Next Generation”;  </w:t>
            </w:r>
          </w:p>
          <w:p w14:paraId="326D4D1F" w14:textId="77777777" w:rsidR="004C6421" w:rsidRDefault="009D1962">
            <w:pPr>
              <w:pStyle w:val="P68B1DB1-ListParagraph5"/>
              <w:numPr>
                <w:ilvl w:val="0"/>
                <w:numId w:val="91"/>
              </w:numPr>
              <w:tabs>
                <w:tab w:val="left" w:pos="1340"/>
                <w:tab w:val="left" w:pos="1341"/>
              </w:tabs>
              <w:ind w:left="362" w:right="-7" w:hanging="284"/>
              <w:jc w:val="left"/>
              <w:rPr>
                <w:noProof/>
              </w:rPr>
            </w:pPr>
            <w:r>
              <w:rPr>
                <w:noProof/>
              </w:rPr>
              <w:t>poprawa, bezpieczeństwo, konsolidacja antysejsmiczna, renowacja miejsc i budynków o znaczeniu historycznym oraz ścieżki archeologiczne dla linii inwestycyjnej „ścieżki czerwcowe”;</w:t>
            </w:r>
          </w:p>
          <w:p w14:paraId="26346645" w14:textId="77777777" w:rsidR="004C6421" w:rsidRDefault="009D1962">
            <w:pPr>
              <w:pStyle w:val="P68B1DB1-ListParagraph5"/>
              <w:numPr>
                <w:ilvl w:val="0"/>
                <w:numId w:val="91"/>
              </w:numPr>
              <w:tabs>
                <w:tab w:val="left" w:pos="1340"/>
                <w:tab w:val="left" w:pos="1341"/>
              </w:tabs>
              <w:ind w:left="362" w:right="-7" w:hanging="284"/>
              <w:jc w:val="left"/>
              <w:rPr>
                <w:noProof/>
              </w:rPr>
            </w:pPr>
            <w:r>
              <w:rPr>
                <w:noProof/>
              </w:rPr>
              <w:t>przebudowę terenów na obszarach peryferyjnych w ramach linii inwestycyjnej „#LaCittàCondivisa”;</w:t>
            </w:r>
          </w:p>
          <w:p w14:paraId="43442DE6" w14:textId="77777777" w:rsidR="004C6421" w:rsidRDefault="009D1962">
            <w:pPr>
              <w:pStyle w:val="P68B1DB1-ListParagraph5"/>
              <w:numPr>
                <w:ilvl w:val="0"/>
                <w:numId w:val="91"/>
              </w:numPr>
              <w:tabs>
                <w:tab w:val="left" w:pos="1340"/>
                <w:tab w:val="left" w:pos="1341"/>
              </w:tabs>
              <w:ind w:left="362" w:right="-7" w:hanging="284"/>
              <w:jc w:val="left"/>
              <w:rPr>
                <w:noProof/>
              </w:rPr>
            </w:pPr>
            <w:r>
              <w:rPr>
                <w:noProof/>
              </w:rPr>
              <w:t>interwencje w parkach, ogrodach historycznych, forach i fontannach w ramach linii inwestycyjnej #Mitingodiverde;</w:t>
            </w:r>
          </w:p>
          <w:p w14:paraId="29A19950" w14:textId="77777777" w:rsidR="004C6421" w:rsidRDefault="009D1962">
            <w:pPr>
              <w:pStyle w:val="P68B1DB1-ListParagraph5"/>
              <w:numPr>
                <w:ilvl w:val="0"/>
                <w:numId w:val="91"/>
              </w:numPr>
              <w:tabs>
                <w:tab w:val="left" w:pos="1340"/>
                <w:tab w:val="left" w:pos="1341"/>
              </w:tabs>
              <w:ind w:left="362" w:right="-7" w:hanging="284"/>
              <w:jc w:val="left"/>
              <w:rPr>
                <w:noProof/>
              </w:rPr>
            </w:pPr>
            <w:r>
              <w:rPr>
                <w:noProof/>
              </w:rPr>
              <w:t>cyfryzacji usług kulturalnych i rozwoju aplikacji dla turystów lub linii inwestycyjnej #Roma 4.0;</w:t>
            </w:r>
          </w:p>
          <w:p w14:paraId="378353DA" w14:textId="77777777" w:rsidR="004C6421" w:rsidRDefault="009D1962">
            <w:pPr>
              <w:pStyle w:val="P68B1DB1-ListParagraph5"/>
              <w:numPr>
                <w:ilvl w:val="0"/>
                <w:numId w:val="91"/>
              </w:numPr>
              <w:tabs>
                <w:tab w:val="left" w:pos="1340"/>
                <w:tab w:val="left" w:pos="1341"/>
              </w:tabs>
              <w:ind w:left="362" w:right="-7" w:hanging="284"/>
              <w:jc w:val="left"/>
              <w:rPr>
                <w:noProof/>
              </w:rPr>
            </w:pPr>
            <w:r>
              <w:rPr>
                <w:noProof/>
              </w:rPr>
              <w:t>Interwencje mające na celu zwiększenie oferty kulturalnej dla peryferiów na rzecz integracji społecznej w ramach linii inwestycyjnej #Amanotesa.</w:t>
            </w:r>
          </w:p>
        </w:tc>
      </w:tr>
      <w:tr w:rsidR="004C6421" w14:paraId="437713F2" w14:textId="77777777">
        <w:trPr>
          <w:trHeight w:val="313"/>
          <w:jc w:val="center"/>
        </w:trPr>
        <w:tc>
          <w:tcPr>
            <w:tcW w:w="377" w:type="pct"/>
            <w:shd w:val="clear" w:color="auto" w:fill="C6EFCE"/>
            <w:noWrap/>
            <w:vAlign w:val="center"/>
            <w:hideMark/>
          </w:tcPr>
          <w:p w14:paraId="30BC0958" w14:textId="77777777" w:rsidR="004C6421" w:rsidRDefault="009D1962">
            <w:pPr>
              <w:pStyle w:val="P68B1DB1-Normal4"/>
              <w:jc w:val="center"/>
              <w:rPr>
                <w:noProof/>
              </w:rPr>
            </w:pPr>
            <w:r>
              <w:rPr>
                <w:noProof/>
              </w:rPr>
              <w:t>M1C3-28</w:t>
            </w:r>
          </w:p>
        </w:tc>
        <w:tc>
          <w:tcPr>
            <w:tcW w:w="520" w:type="pct"/>
            <w:shd w:val="clear" w:color="auto" w:fill="C6EFCE"/>
            <w:noWrap/>
            <w:vAlign w:val="center"/>
            <w:hideMark/>
          </w:tcPr>
          <w:p w14:paraId="38BF3E06" w14:textId="77777777" w:rsidR="004C6421" w:rsidRDefault="009D1962">
            <w:pPr>
              <w:pStyle w:val="P68B1DB1-Normal4"/>
              <w:jc w:val="center"/>
              <w:rPr>
                <w:noProof/>
              </w:rPr>
            </w:pPr>
            <w:r>
              <w:rPr>
                <w:noProof/>
              </w:rPr>
              <w:t>Inwestycje 4.2:  Fundusze na konkurencyjność przedsiębiorstw turystycznych</w:t>
            </w:r>
          </w:p>
        </w:tc>
        <w:tc>
          <w:tcPr>
            <w:tcW w:w="378" w:type="pct"/>
            <w:shd w:val="clear" w:color="auto" w:fill="C6EFCE"/>
            <w:noWrap/>
            <w:vAlign w:val="center"/>
            <w:hideMark/>
          </w:tcPr>
          <w:p w14:paraId="1BBB49D8" w14:textId="77777777" w:rsidR="004C6421" w:rsidRDefault="009D1962">
            <w:pPr>
              <w:pStyle w:val="P68B1DB1-Normal4"/>
              <w:jc w:val="center"/>
              <w:rPr>
                <w:noProof/>
              </w:rPr>
            </w:pPr>
            <w:r>
              <w:rPr>
                <w:noProof/>
              </w:rPr>
              <w:t>Cel</w:t>
            </w:r>
          </w:p>
        </w:tc>
        <w:tc>
          <w:tcPr>
            <w:tcW w:w="520" w:type="pct"/>
            <w:shd w:val="clear" w:color="auto" w:fill="C6EFCE"/>
            <w:noWrap/>
            <w:vAlign w:val="center"/>
            <w:hideMark/>
          </w:tcPr>
          <w:p w14:paraId="7B0C98E4" w14:textId="77777777" w:rsidR="004C6421" w:rsidRDefault="009D1962">
            <w:pPr>
              <w:pStyle w:val="P68B1DB1-Normal4"/>
              <w:jc w:val="center"/>
              <w:rPr>
                <w:noProof/>
              </w:rPr>
            </w:pPr>
            <w:r>
              <w:rPr>
                <w:noProof/>
              </w:rPr>
              <w:t>Liczba przedsiębiorstw turystycznych objętych ulgą podatkową na infrastrukturę lub usługi;</w:t>
            </w:r>
          </w:p>
        </w:tc>
        <w:tc>
          <w:tcPr>
            <w:tcW w:w="520" w:type="pct"/>
            <w:shd w:val="clear" w:color="auto" w:fill="C6EFCE"/>
            <w:noWrap/>
            <w:vAlign w:val="center"/>
            <w:hideMark/>
          </w:tcPr>
          <w:p w14:paraId="2D52503A" w14:textId="77777777" w:rsidR="004C6421" w:rsidRDefault="009D1962">
            <w:pPr>
              <w:pStyle w:val="P68B1DB1-Normal4"/>
              <w:jc w:val="center"/>
              <w:rPr>
                <w:noProof/>
              </w:rPr>
            </w:pPr>
            <w:r>
              <w:rPr>
                <w:noProof/>
              </w:rPr>
              <w:t>NIE DOT.</w:t>
            </w:r>
          </w:p>
        </w:tc>
        <w:tc>
          <w:tcPr>
            <w:tcW w:w="331" w:type="pct"/>
            <w:shd w:val="clear" w:color="auto" w:fill="C6EFCE"/>
            <w:noWrap/>
            <w:vAlign w:val="center"/>
            <w:hideMark/>
          </w:tcPr>
          <w:p w14:paraId="49DC7C0A" w14:textId="77777777" w:rsidR="004C6421" w:rsidRDefault="009D1962">
            <w:pPr>
              <w:pStyle w:val="P68B1DB1-Normal4"/>
              <w:jc w:val="center"/>
              <w:rPr>
                <w:noProof/>
              </w:rPr>
            </w:pPr>
            <w:r>
              <w:rPr>
                <w:noProof/>
              </w:rPr>
              <w:t>Numer</w:t>
            </w:r>
          </w:p>
        </w:tc>
        <w:tc>
          <w:tcPr>
            <w:tcW w:w="332" w:type="pct"/>
            <w:shd w:val="clear" w:color="auto" w:fill="C6EFCE"/>
            <w:noWrap/>
            <w:vAlign w:val="center"/>
            <w:hideMark/>
          </w:tcPr>
          <w:p w14:paraId="2A8F639A" w14:textId="77777777" w:rsidR="004C6421" w:rsidRDefault="009D1962">
            <w:pPr>
              <w:pStyle w:val="P68B1DB1-Normal4"/>
              <w:jc w:val="center"/>
              <w:rPr>
                <w:noProof/>
              </w:rPr>
            </w:pPr>
            <w:r>
              <w:rPr>
                <w:noProof/>
              </w:rPr>
              <w:t>0</w:t>
            </w:r>
          </w:p>
        </w:tc>
        <w:tc>
          <w:tcPr>
            <w:tcW w:w="424" w:type="pct"/>
            <w:shd w:val="clear" w:color="auto" w:fill="C6EFCE"/>
            <w:noWrap/>
            <w:vAlign w:val="center"/>
            <w:hideMark/>
          </w:tcPr>
          <w:p w14:paraId="59ECC7DC" w14:textId="77777777" w:rsidR="004C6421" w:rsidRDefault="009D1962">
            <w:pPr>
              <w:pStyle w:val="P68B1DB1-Normal4"/>
              <w:jc w:val="center"/>
              <w:rPr>
                <w:noProof/>
              </w:rPr>
            </w:pPr>
            <w:r>
              <w:rPr>
                <w:noProof/>
              </w:rPr>
              <w:t>3 500</w:t>
            </w:r>
          </w:p>
        </w:tc>
        <w:tc>
          <w:tcPr>
            <w:tcW w:w="332" w:type="pct"/>
            <w:shd w:val="clear" w:color="auto" w:fill="C6EFCE"/>
            <w:noWrap/>
            <w:vAlign w:val="center"/>
            <w:hideMark/>
          </w:tcPr>
          <w:p w14:paraId="6BBC369C" w14:textId="02692233" w:rsidR="004C6421" w:rsidRDefault="00CC179E">
            <w:pPr>
              <w:pStyle w:val="P68B1DB1-Normal4"/>
              <w:jc w:val="center"/>
              <w:rPr>
                <w:noProof/>
              </w:rPr>
            </w:pPr>
            <w:r>
              <w:rPr>
                <w:noProof/>
              </w:rPr>
              <w:t>KW. 4</w:t>
            </w:r>
          </w:p>
        </w:tc>
        <w:tc>
          <w:tcPr>
            <w:tcW w:w="220" w:type="pct"/>
            <w:shd w:val="clear" w:color="auto" w:fill="C6EFCE"/>
            <w:noWrap/>
            <w:vAlign w:val="center"/>
            <w:hideMark/>
          </w:tcPr>
          <w:p w14:paraId="2E87E9E5" w14:textId="77777777" w:rsidR="004C6421" w:rsidRDefault="009D1962">
            <w:pPr>
              <w:pStyle w:val="P68B1DB1-Normal4"/>
              <w:jc w:val="center"/>
              <w:rPr>
                <w:noProof/>
              </w:rPr>
            </w:pPr>
            <w:r>
              <w:rPr>
                <w:noProof/>
              </w:rPr>
              <w:t>2025</w:t>
            </w:r>
          </w:p>
        </w:tc>
        <w:tc>
          <w:tcPr>
            <w:tcW w:w="1047" w:type="pct"/>
            <w:shd w:val="clear" w:color="auto" w:fill="C6EFCE"/>
            <w:noWrap/>
            <w:vAlign w:val="center"/>
            <w:hideMark/>
          </w:tcPr>
          <w:p w14:paraId="2F24CD56" w14:textId="77777777" w:rsidR="004C6421" w:rsidRDefault="009D1962">
            <w:pPr>
              <w:pStyle w:val="P68B1DB1-Normal8"/>
              <w:rPr>
                <w:rFonts w:ascii="Arial Narrow" w:hAnsi="Arial Narrow"/>
                <w:noProof/>
              </w:rPr>
            </w:pPr>
            <w:r>
              <w:rPr>
                <w:rFonts w:ascii="Arial Narrow" w:hAnsi="Arial Narrow"/>
                <w:noProof/>
              </w:rPr>
              <w:t>Co najmniej 3500</w:t>
            </w:r>
            <w:r>
              <w:rPr>
                <w:noProof/>
              </w:rPr>
              <w:t xml:space="preserve"> </w:t>
            </w:r>
            <w:r>
              <w:rPr>
                <w:rFonts w:ascii="Arial Narrow" w:hAnsi="Arial Narrow"/>
                <w:noProof/>
              </w:rPr>
              <w:t>przedsiębiorstw turystycznych wspieranych przez ulgę podatkową na infrastrukturę lub usługi;</w:t>
            </w:r>
          </w:p>
          <w:p w14:paraId="31E6193C" w14:textId="77777777" w:rsidR="004C6421" w:rsidRDefault="009D1962">
            <w:pPr>
              <w:pStyle w:val="P68B1DB1-Normal4"/>
              <w:rPr>
                <w:noProof/>
              </w:rPr>
            </w:pPr>
            <w:r>
              <w:rPr>
                <w:noProof/>
              </w:rPr>
              <w:t xml:space="preserve">Wsparcie udzielane w ramach ulgi podatkowej podnosi jakość turystycznej hotelarsko-gastronomicznej poprzez: </w:t>
            </w:r>
          </w:p>
          <w:p w14:paraId="6362E717" w14:textId="77777777" w:rsidR="004C6421" w:rsidRDefault="009D1962">
            <w:pPr>
              <w:pStyle w:val="P68B1DB1-ListParagraph5"/>
              <w:numPr>
                <w:ilvl w:val="0"/>
                <w:numId w:val="93"/>
              </w:numPr>
              <w:ind w:left="310" w:hanging="310"/>
              <w:jc w:val="left"/>
              <w:rPr>
                <w:noProof/>
              </w:rPr>
            </w:pPr>
            <w:r>
              <w:rPr>
                <w:noProof/>
              </w:rPr>
              <w:t>inwestycje na rzecz zrównoważenia środowiskowego (źródła odnawialne mniej energochłonne)</w:t>
            </w:r>
          </w:p>
          <w:p w14:paraId="64484474" w14:textId="77777777" w:rsidR="004C6421" w:rsidRDefault="009D1962">
            <w:pPr>
              <w:pStyle w:val="P68B1DB1-ListParagraph5"/>
              <w:numPr>
                <w:ilvl w:val="0"/>
                <w:numId w:val="93"/>
              </w:numPr>
              <w:ind w:left="310" w:hanging="310"/>
              <w:jc w:val="left"/>
              <w:rPr>
                <w:noProof/>
              </w:rPr>
            </w:pPr>
            <w:r>
              <w:rPr>
                <w:noProof/>
              </w:rPr>
              <w:t>przebudowę i podniesienie standardów jakości włoskich obiektów noclegowych </w:t>
            </w:r>
          </w:p>
        </w:tc>
      </w:tr>
      <w:tr w:rsidR="004C6421" w14:paraId="53D502C8" w14:textId="77777777">
        <w:trPr>
          <w:trHeight w:val="313"/>
          <w:jc w:val="center"/>
        </w:trPr>
        <w:tc>
          <w:tcPr>
            <w:tcW w:w="377" w:type="pct"/>
            <w:shd w:val="clear" w:color="auto" w:fill="C6EFCE"/>
            <w:noWrap/>
            <w:vAlign w:val="center"/>
            <w:hideMark/>
          </w:tcPr>
          <w:p w14:paraId="4A4503C7" w14:textId="77777777" w:rsidR="004C6421" w:rsidRDefault="009D1962">
            <w:pPr>
              <w:pStyle w:val="P68B1DB1-Normal4"/>
              <w:jc w:val="center"/>
              <w:rPr>
                <w:noProof/>
              </w:rPr>
            </w:pPr>
            <w:r>
              <w:rPr>
                <w:noProof/>
              </w:rPr>
              <w:t>M1C3-29</w:t>
            </w:r>
          </w:p>
        </w:tc>
        <w:tc>
          <w:tcPr>
            <w:tcW w:w="520" w:type="pct"/>
            <w:shd w:val="clear" w:color="auto" w:fill="C6EFCE"/>
            <w:noWrap/>
            <w:vAlign w:val="center"/>
            <w:hideMark/>
          </w:tcPr>
          <w:p w14:paraId="54AED377" w14:textId="77777777" w:rsidR="004C6421" w:rsidRDefault="009D1962">
            <w:pPr>
              <w:pStyle w:val="P68B1DB1-Normal4"/>
              <w:jc w:val="center"/>
              <w:rPr>
                <w:noProof/>
              </w:rPr>
            </w:pPr>
            <w:r>
              <w:rPr>
                <w:noProof/>
              </w:rPr>
              <w:t>Inwestycje 4.2:  Fundusze na konkurencyjność przedsiębiorstw turystycznych</w:t>
            </w:r>
          </w:p>
        </w:tc>
        <w:tc>
          <w:tcPr>
            <w:tcW w:w="378" w:type="pct"/>
            <w:shd w:val="clear" w:color="auto" w:fill="C6EFCE"/>
            <w:noWrap/>
            <w:vAlign w:val="center"/>
            <w:hideMark/>
          </w:tcPr>
          <w:p w14:paraId="51F364D4" w14:textId="77777777" w:rsidR="004C6421" w:rsidRDefault="009D1962">
            <w:pPr>
              <w:pStyle w:val="P68B1DB1-Normal4"/>
              <w:jc w:val="center"/>
              <w:rPr>
                <w:noProof/>
              </w:rPr>
            </w:pPr>
            <w:r>
              <w:rPr>
                <w:noProof/>
              </w:rPr>
              <w:t>Cel</w:t>
            </w:r>
          </w:p>
        </w:tc>
        <w:tc>
          <w:tcPr>
            <w:tcW w:w="520" w:type="pct"/>
            <w:shd w:val="clear" w:color="auto" w:fill="C6EFCE"/>
            <w:noWrap/>
            <w:vAlign w:val="center"/>
            <w:hideMark/>
          </w:tcPr>
          <w:p w14:paraId="017008BD" w14:textId="77777777" w:rsidR="004C6421" w:rsidRDefault="009D1962">
            <w:pPr>
              <w:pStyle w:val="P68B1DB1-Normal4"/>
              <w:jc w:val="center"/>
              <w:rPr>
                <w:noProof/>
              </w:rPr>
            </w:pPr>
            <w:r>
              <w:rPr>
                <w:noProof/>
              </w:rPr>
              <w:t>Liczba projektów turystycznych, które mają być wspierane z funduszy tematycznych Europejskiego Banku Inwestycyjnego</w:t>
            </w:r>
          </w:p>
        </w:tc>
        <w:tc>
          <w:tcPr>
            <w:tcW w:w="520" w:type="pct"/>
            <w:shd w:val="clear" w:color="auto" w:fill="C6EFCE"/>
            <w:noWrap/>
            <w:vAlign w:val="center"/>
            <w:hideMark/>
          </w:tcPr>
          <w:p w14:paraId="420BE778" w14:textId="77777777" w:rsidR="004C6421" w:rsidRDefault="009D1962">
            <w:pPr>
              <w:pStyle w:val="P68B1DB1-Normal4"/>
              <w:jc w:val="center"/>
              <w:rPr>
                <w:noProof/>
              </w:rPr>
            </w:pPr>
            <w:r>
              <w:rPr>
                <w:noProof/>
              </w:rPr>
              <w:t>NIE DOT.</w:t>
            </w:r>
          </w:p>
        </w:tc>
        <w:tc>
          <w:tcPr>
            <w:tcW w:w="331" w:type="pct"/>
            <w:shd w:val="clear" w:color="auto" w:fill="C6EFCE"/>
            <w:noWrap/>
            <w:vAlign w:val="center"/>
            <w:hideMark/>
          </w:tcPr>
          <w:p w14:paraId="5DBBB1E5" w14:textId="77777777" w:rsidR="004C6421" w:rsidRDefault="009D1962">
            <w:pPr>
              <w:pStyle w:val="P68B1DB1-Normal4"/>
              <w:jc w:val="center"/>
              <w:rPr>
                <w:noProof/>
              </w:rPr>
            </w:pPr>
            <w:r>
              <w:rPr>
                <w:noProof/>
              </w:rPr>
              <w:t>Numer</w:t>
            </w:r>
          </w:p>
        </w:tc>
        <w:tc>
          <w:tcPr>
            <w:tcW w:w="332" w:type="pct"/>
            <w:shd w:val="clear" w:color="auto" w:fill="C6EFCE"/>
            <w:noWrap/>
            <w:vAlign w:val="center"/>
            <w:hideMark/>
          </w:tcPr>
          <w:p w14:paraId="04A4988E" w14:textId="77777777" w:rsidR="004C6421" w:rsidRDefault="009D1962">
            <w:pPr>
              <w:pStyle w:val="P68B1DB1-Normal4"/>
              <w:jc w:val="center"/>
              <w:rPr>
                <w:noProof/>
              </w:rPr>
            </w:pPr>
            <w:r>
              <w:rPr>
                <w:noProof/>
              </w:rPr>
              <w:t>0</w:t>
            </w:r>
          </w:p>
        </w:tc>
        <w:tc>
          <w:tcPr>
            <w:tcW w:w="424" w:type="pct"/>
            <w:shd w:val="clear" w:color="auto" w:fill="C6EFCE"/>
            <w:noWrap/>
            <w:vAlign w:val="center"/>
            <w:hideMark/>
          </w:tcPr>
          <w:p w14:paraId="397D2474" w14:textId="77777777" w:rsidR="004C6421" w:rsidRDefault="009D1962">
            <w:pPr>
              <w:pStyle w:val="P68B1DB1-Normal4"/>
              <w:jc w:val="center"/>
              <w:rPr>
                <w:noProof/>
              </w:rPr>
            </w:pPr>
            <w:r>
              <w:rPr>
                <w:noProof/>
              </w:rPr>
              <w:t>170</w:t>
            </w:r>
          </w:p>
        </w:tc>
        <w:tc>
          <w:tcPr>
            <w:tcW w:w="332" w:type="pct"/>
            <w:shd w:val="clear" w:color="auto" w:fill="C6EFCE"/>
            <w:noWrap/>
            <w:vAlign w:val="center"/>
            <w:hideMark/>
          </w:tcPr>
          <w:p w14:paraId="10EC37B5" w14:textId="77777777" w:rsidR="004C6421" w:rsidRDefault="009D1962">
            <w:pPr>
              <w:pStyle w:val="P68B1DB1-Normal4"/>
              <w:jc w:val="center"/>
              <w:rPr>
                <w:noProof/>
              </w:rPr>
            </w:pPr>
            <w:r>
              <w:rPr>
                <w:noProof/>
              </w:rPr>
              <w:t>II KW.</w:t>
            </w:r>
          </w:p>
        </w:tc>
        <w:tc>
          <w:tcPr>
            <w:tcW w:w="220" w:type="pct"/>
            <w:shd w:val="clear" w:color="auto" w:fill="C6EFCE"/>
            <w:noWrap/>
            <w:vAlign w:val="center"/>
            <w:hideMark/>
          </w:tcPr>
          <w:p w14:paraId="5121CBC2" w14:textId="77777777" w:rsidR="004C6421" w:rsidRDefault="009D1962">
            <w:pPr>
              <w:pStyle w:val="P68B1DB1-Normal4"/>
              <w:jc w:val="center"/>
              <w:rPr>
                <w:noProof/>
              </w:rPr>
            </w:pPr>
            <w:r>
              <w:rPr>
                <w:noProof/>
              </w:rPr>
              <w:t>2026</w:t>
            </w:r>
          </w:p>
        </w:tc>
        <w:tc>
          <w:tcPr>
            <w:tcW w:w="1047" w:type="pct"/>
            <w:shd w:val="clear" w:color="auto" w:fill="C6EFCE"/>
            <w:noWrap/>
            <w:vAlign w:val="center"/>
            <w:hideMark/>
          </w:tcPr>
          <w:p w14:paraId="1892A360" w14:textId="77777777" w:rsidR="004C6421" w:rsidRDefault="009D1962">
            <w:pPr>
              <w:pStyle w:val="P68B1DB1-Normal4"/>
              <w:rPr>
                <w:noProof/>
              </w:rPr>
            </w:pPr>
            <w:r>
              <w:rPr>
                <w:noProof/>
              </w:rPr>
              <w:t>Wsparcie dla co najmniej 170 projektów turystycznych;</w:t>
            </w:r>
          </w:p>
          <w:p w14:paraId="4C9261CE" w14:textId="77777777" w:rsidR="004C6421" w:rsidRDefault="009D1962">
            <w:pPr>
              <w:pStyle w:val="P68B1DB1-Normal4"/>
              <w:rPr>
                <w:noProof/>
              </w:rPr>
            </w:pPr>
            <w:r>
              <w:rPr>
                <w:noProof/>
              </w:rPr>
              <w:t xml:space="preserve">Wsparcie udzielane za pośrednictwem funduszy tematycznych Europejskiego Banku Inwestycyjnego ma na celu: </w:t>
            </w:r>
          </w:p>
          <w:p w14:paraId="26BF0410" w14:textId="77777777" w:rsidR="004C6421" w:rsidRDefault="009D1962">
            <w:pPr>
              <w:pStyle w:val="P68B1DB1-ListParagraph5"/>
              <w:numPr>
                <w:ilvl w:val="0"/>
                <w:numId w:val="109"/>
              </w:numPr>
              <w:jc w:val="left"/>
              <w:rPr>
                <w:noProof/>
              </w:rPr>
            </w:pPr>
            <w:r>
              <w:rPr>
                <w:noProof/>
              </w:rPr>
              <w:t>wspieranie innowacyjnych inwestycji na rzecz transformacji cyfrowej</w:t>
            </w:r>
          </w:p>
          <w:p w14:paraId="090BA6B1" w14:textId="77777777" w:rsidR="004C6421" w:rsidRDefault="009D1962">
            <w:pPr>
              <w:pStyle w:val="P68B1DB1-ListParagraph5"/>
              <w:numPr>
                <w:ilvl w:val="0"/>
                <w:numId w:val="109"/>
              </w:numPr>
              <w:jc w:val="left"/>
              <w:rPr>
                <w:noProof/>
              </w:rPr>
            </w:pPr>
            <w:r>
              <w:rPr>
                <w:noProof/>
              </w:rPr>
              <w:t>zwiększenie oferty usług dla turystyki</w:t>
            </w:r>
          </w:p>
          <w:p w14:paraId="1F0695B7" w14:textId="77777777" w:rsidR="004C6421" w:rsidRDefault="009D1962">
            <w:pPr>
              <w:pStyle w:val="P68B1DB1-ListParagraph5"/>
              <w:numPr>
                <w:ilvl w:val="0"/>
                <w:numId w:val="109"/>
              </w:numPr>
              <w:jc w:val="left"/>
              <w:rPr>
                <w:noProof/>
              </w:rPr>
            </w:pPr>
            <w:r>
              <w:rPr>
                <w:noProof/>
              </w:rPr>
              <w:t>wspieranie procesów agregacji przedsiębiorstw</w:t>
            </w:r>
          </w:p>
          <w:p w14:paraId="5AAA56E9" w14:textId="77777777" w:rsidR="004C6421" w:rsidRDefault="004C6421">
            <w:pPr>
              <w:rPr>
                <w:rFonts w:ascii="Arial Narrow" w:hAnsi="Arial Narrow"/>
                <w:noProof/>
                <w:color w:val="006100"/>
                <w:sz w:val="20"/>
              </w:rPr>
            </w:pPr>
          </w:p>
        </w:tc>
      </w:tr>
      <w:tr w:rsidR="004C6421" w14:paraId="5FDEA7A4" w14:textId="77777777">
        <w:trPr>
          <w:trHeight w:val="313"/>
          <w:jc w:val="center"/>
        </w:trPr>
        <w:tc>
          <w:tcPr>
            <w:tcW w:w="377" w:type="pct"/>
            <w:shd w:val="clear" w:color="auto" w:fill="C6EFCE"/>
            <w:noWrap/>
            <w:vAlign w:val="center"/>
          </w:tcPr>
          <w:p w14:paraId="2DD8A034" w14:textId="77777777" w:rsidR="004C6421" w:rsidRDefault="009D1962">
            <w:pPr>
              <w:pStyle w:val="P68B1DB1-Normal4"/>
              <w:jc w:val="center"/>
              <w:rPr>
                <w:noProof/>
              </w:rPr>
            </w:pPr>
            <w:r>
              <w:rPr>
                <w:noProof/>
              </w:rPr>
              <w:t>M1C3-30</w:t>
            </w:r>
          </w:p>
        </w:tc>
        <w:tc>
          <w:tcPr>
            <w:tcW w:w="520" w:type="pct"/>
            <w:shd w:val="clear" w:color="auto" w:fill="C6EFCE"/>
            <w:noWrap/>
            <w:vAlign w:val="center"/>
          </w:tcPr>
          <w:p w14:paraId="6A86B3CB" w14:textId="77777777" w:rsidR="004C6421" w:rsidRDefault="009D1962">
            <w:pPr>
              <w:pStyle w:val="P68B1DB1-Normal4"/>
              <w:jc w:val="center"/>
              <w:rPr>
                <w:noProof/>
              </w:rPr>
            </w:pPr>
            <w:r>
              <w:rPr>
                <w:noProof/>
              </w:rPr>
              <w:t>Inwestycje 4.2:  Fundusze na konkurencyjność turystyki</w:t>
            </w:r>
          </w:p>
          <w:p w14:paraId="4CAC68D5" w14:textId="77777777" w:rsidR="004C6421" w:rsidRDefault="009D1962">
            <w:pPr>
              <w:pStyle w:val="P68B1DB1-Normal4"/>
              <w:jc w:val="center"/>
              <w:rPr>
                <w:noProof/>
              </w:rPr>
            </w:pPr>
            <w:r>
              <w:rPr>
                <w:noProof/>
              </w:rPr>
              <w:t>przedsiębiorstwa</w:t>
            </w:r>
          </w:p>
        </w:tc>
        <w:tc>
          <w:tcPr>
            <w:tcW w:w="378" w:type="pct"/>
            <w:shd w:val="clear" w:color="auto" w:fill="C6EFCE"/>
            <w:noWrap/>
            <w:vAlign w:val="center"/>
          </w:tcPr>
          <w:p w14:paraId="0D3E9769" w14:textId="77777777" w:rsidR="004C6421" w:rsidRDefault="009D1962">
            <w:pPr>
              <w:pStyle w:val="P68B1DB1-Normal4"/>
              <w:jc w:val="center"/>
              <w:rPr>
                <w:noProof/>
              </w:rPr>
            </w:pPr>
            <w:r>
              <w:rPr>
                <w:noProof/>
              </w:rPr>
              <w:t>Cel</w:t>
            </w:r>
          </w:p>
        </w:tc>
        <w:tc>
          <w:tcPr>
            <w:tcW w:w="520" w:type="pct"/>
            <w:shd w:val="clear" w:color="auto" w:fill="C6EFCE"/>
            <w:noWrap/>
            <w:vAlign w:val="center"/>
          </w:tcPr>
          <w:p w14:paraId="35435D6E" w14:textId="77777777" w:rsidR="004C6421" w:rsidRDefault="009D1962">
            <w:pPr>
              <w:pStyle w:val="P68B1DB1-Normal4"/>
              <w:jc w:val="center"/>
              <w:rPr>
                <w:noProof/>
              </w:rPr>
            </w:pPr>
            <w:r>
              <w:rPr>
                <w:noProof/>
              </w:rPr>
              <w:t>Fundusze tematyczne Europejskiego Banku Inwestycyjnego:</w:t>
            </w:r>
          </w:p>
          <w:p w14:paraId="746406F8" w14:textId="77777777" w:rsidR="004C6421" w:rsidRDefault="009D1962">
            <w:pPr>
              <w:pStyle w:val="P68B1DB1-Normal8"/>
              <w:jc w:val="center"/>
              <w:rPr>
                <w:rFonts w:ascii="Arial Narrow" w:hAnsi="Arial Narrow"/>
                <w:noProof/>
              </w:rPr>
            </w:pPr>
            <w:r>
              <w:rPr>
                <w:rFonts w:ascii="Arial Narrow" w:hAnsi="Arial Narrow"/>
                <w:noProof/>
              </w:rPr>
              <w:t>Wypłata na rzecz Funduszu łącznej kwoty 350000000 EUR</w:t>
            </w:r>
            <w:r>
              <w:rPr>
                <w:noProof/>
              </w:rPr>
              <w:t xml:space="preserve"> </w:t>
            </w:r>
          </w:p>
        </w:tc>
        <w:tc>
          <w:tcPr>
            <w:tcW w:w="520" w:type="pct"/>
            <w:shd w:val="clear" w:color="auto" w:fill="C6EFCE"/>
            <w:noWrap/>
            <w:vAlign w:val="center"/>
          </w:tcPr>
          <w:p w14:paraId="3C6C5945" w14:textId="77777777" w:rsidR="004C6421" w:rsidRDefault="009D1962">
            <w:pPr>
              <w:pStyle w:val="P68B1DB1-Normal4"/>
              <w:jc w:val="center"/>
              <w:rPr>
                <w:noProof/>
              </w:rPr>
            </w:pPr>
            <w:r>
              <w:rPr>
                <w:noProof/>
              </w:rPr>
              <w:t>NIE DOT.</w:t>
            </w:r>
          </w:p>
        </w:tc>
        <w:tc>
          <w:tcPr>
            <w:tcW w:w="331" w:type="pct"/>
            <w:shd w:val="clear" w:color="auto" w:fill="C6EFCE"/>
            <w:noWrap/>
            <w:vAlign w:val="center"/>
          </w:tcPr>
          <w:p w14:paraId="23A98B9A" w14:textId="77777777" w:rsidR="004C6421" w:rsidRDefault="009D1962">
            <w:pPr>
              <w:pStyle w:val="P68B1DB1-Normal4"/>
              <w:jc w:val="center"/>
              <w:rPr>
                <w:noProof/>
              </w:rPr>
            </w:pPr>
            <w:r>
              <w:rPr>
                <w:noProof/>
              </w:rPr>
              <w:t>Numer</w:t>
            </w:r>
          </w:p>
        </w:tc>
        <w:tc>
          <w:tcPr>
            <w:tcW w:w="332" w:type="pct"/>
            <w:shd w:val="clear" w:color="auto" w:fill="C6EFCE"/>
            <w:noWrap/>
            <w:vAlign w:val="center"/>
          </w:tcPr>
          <w:p w14:paraId="3A5D5D20" w14:textId="77777777" w:rsidR="004C6421" w:rsidRDefault="009D1962">
            <w:pPr>
              <w:pStyle w:val="P68B1DB1-Normal4"/>
              <w:jc w:val="center"/>
              <w:rPr>
                <w:noProof/>
              </w:rPr>
            </w:pPr>
            <w:r>
              <w:rPr>
                <w:noProof/>
              </w:rPr>
              <w:t>0</w:t>
            </w:r>
          </w:p>
        </w:tc>
        <w:tc>
          <w:tcPr>
            <w:tcW w:w="424" w:type="pct"/>
            <w:shd w:val="clear" w:color="auto" w:fill="C6EFCE"/>
            <w:noWrap/>
            <w:vAlign w:val="center"/>
          </w:tcPr>
          <w:p w14:paraId="2ACA67B9" w14:textId="77777777" w:rsidR="004C6421" w:rsidRDefault="009D1962">
            <w:pPr>
              <w:pStyle w:val="P68B1DB1-Normal4"/>
              <w:jc w:val="center"/>
              <w:rPr>
                <w:noProof/>
              </w:rPr>
            </w:pPr>
            <w:r>
              <w:rPr>
                <w:noProof/>
              </w:rPr>
              <w:t>350 000 000</w:t>
            </w:r>
          </w:p>
        </w:tc>
        <w:tc>
          <w:tcPr>
            <w:tcW w:w="332" w:type="pct"/>
            <w:shd w:val="clear" w:color="auto" w:fill="C6EFCE"/>
            <w:noWrap/>
            <w:vAlign w:val="center"/>
          </w:tcPr>
          <w:p w14:paraId="31F9E88B" w14:textId="1651B30E" w:rsidR="004C6421" w:rsidRDefault="00CC179E">
            <w:pPr>
              <w:pStyle w:val="P68B1DB1-Normal4"/>
              <w:jc w:val="center"/>
              <w:rPr>
                <w:noProof/>
              </w:rPr>
            </w:pPr>
            <w:r>
              <w:rPr>
                <w:noProof/>
              </w:rPr>
              <w:t>KW. 4</w:t>
            </w:r>
          </w:p>
        </w:tc>
        <w:tc>
          <w:tcPr>
            <w:tcW w:w="220" w:type="pct"/>
            <w:shd w:val="clear" w:color="auto" w:fill="C6EFCE"/>
            <w:noWrap/>
            <w:vAlign w:val="center"/>
          </w:tcPr>
          <w:p w14:paraId="5B5AE925" w14:textId="77777777" w:rsidR="004C6421" w:rsidRDefault="009D1962">
            <w:pPr>
              <w:pStyle w:val="P68B1DB1-Normal4"/>
              <w:jc w:val="center"/>
              <w:rPr>
                <w:noProof/>
              </w:rPr>
            </w:pPr>
            <w:r>
              <w:rPr>
                <w:noProof/>
              </w:rPr>
              <w:t>2022</w:t>
            </w:r>
          </w:p>
        </w:tc>
        <w:tc>
          <w:tcPr>
            <w:tcW w:w="1047" w:type="pct"/>
            <w:shd w:val="clear" w:color="auto" w:fill="C6EFCE"/>
            <w:noWrap/>
            <w:vAlign w:val="center"/>
          </w:tcPr>
          <w:p w14:paraId="49AF29AD" w14:textId="77777777" w:rsidR="004C6421" w:rsidRDefault="009D1962">
            <w:pPr>
              <w:pStyle w:val="P68B1DB1-Normal4"/>
              <w:rPr>
                <w:noProof/>
              </w:rPr>
            </w:pPr>
            <w:r>
              <w:rPr>
                <w:noProof/>
              </w:rPr>
              <w:t>Wypłata środków jest zgodna z polityką inwestycyjną określoną w kamieniu Kamień milowy.</w:t>
            </w:r>
          </w:p>
        </w:tc>
      </w:tr>
      <w:tr w:rsidR="004C6421" w14:paraId="7EF7D6BA" w14:textId="77777777">
        <w:trPr>
          <w:trHeight w:val="313"/>
          <w:jc w:val="center"/>
        </w:trPr>
        <w:tc>
          <w:tcPr>
            <w:tcW w:w="377" w:type="pct"/>
            <w:shd w:val="clear" w:color="auto" w:fill="C6EFCE"/>
            <w:noWrap/>
            <w:vAlign w:val="center"/>
          </w:tcPr>
          <w:p w14:paraId="7BD21797" w14:textId="77777777" w:rsidR="004C6421" w:rsidRDefault="009D1962">
            <w:pPr>
              <w:pStyle w:val="P68B1DB1-Normal4"/>
              <w:jc w:val="center"/>
              <w:rPr>
                <w:noProof/>
              </w:rPr>
            </w:pPr>
            <w:r>
              <w:rPr>
                <w:noProof/>
              </w:rPr>
              <w:t>M1C3-31</w:t>
            </w:r>
          </w:p>
        </w:tc>
        <w:tc>
          <w:tcPr>
            <w:tcW w:w="520" w:type="pct"/>
            <w:shd w:val="clear" w:color="auto" w:fill="C6EFCE"/>
            <w:noWrap/>
            <w:vAlign w:val="center"/>
          </w:tcPr>
          <w:p w14:paraId="45DFF3F7" w14:textId="77777777" w:rsidR="004C6421" w:rsidRDefault="009D1962">
            <w:pPr>
              <w:pStyle w:val="P68B1DB1-Normal4"/>
              <w:jc w:val="center"/>
              <w:rPr>
                <w:noProof/>
              </w:rPr>
            </w:pPr>
            <w:r>
              <w:rPr>
                <w:noProof/>
              </w:rPr>
              <w:t>Inwestycje 4.2:  Fundusze na konkurencyjność przedsiębiorstw turystycznych</w:t>
            </w:r>
          </w:p>
        </w:tc>
        <w:tc>
          <w:tcPr>
            <w:tcW w:w="378" w:type="pct"/>
            <w:shd w:val="clear" w:color="auto" w:fill="C6EFCE"/>
            <w:noWrap/>
            <w:vAlign w:val="center"/>
          </w:tcPr>
          <w:p w14:paraId="3B9F2B2A" w14:textId="77777777" w:rsidR="004C6421" w:rsidRDefault="009D1962">
            <w:pPr>
              <w:pStyle w:val="P68B1DB1-Normal4"/>
              <w:jc w:val="center"/>
              <w:rPr>
                <w:noProof/>
              </w:rPr>
            </w:pPr>
            <w:r>
              <w:rPr>
                <w:noProof/>
              </w:rPr>
              <w:t>Cel</w:t>
            </w:r>
          </w:p>
        </w:tc>
        <w:tc>
          <w:tcPr>
            <w:tcW w:w="520" w:type="pct"/>
            <w:shd w:val="clear" w:color="auto" w:fill="C6EFCE"/>
            <w:noWrap/>
            <w:vAlign w:val="center"/>
          </w:tcPr>
          <w:p w14:paraId="6447BB54" w14:textId="77777777" w:rsidR="004C6421" w:rsidRDefault="004C6421">
            <w:pPr>
              <w:jc w:val="center"/>
              <w:rPr>
                <w:rFonts w:ascii="Arial Narrow" w:hAnsi="Arial Narrow"/>
                <w:noProof/>
                <w:color w:val="006100"/>
                <w:sz w:val="20"/>
              </w:rPr>
            </w:pPr>
          </w:p>
          <w:p w14:paraId="2EEA73E3" w14:textId="77777777" w:rsidR="004C6421" w:rsidRDefault="009D1962">
            <w:pPr>
              <w:pStyle w:val="P68B1DB1-Normal4"/>
              <w:jc w:val="center"/>
              <w:rPr>
                <w:noProof/>
              </w:rPr>
            </w:pPr>
            <w:r>
              <w:rPr>
                <w:noProof/>
              </w:rPr>
              <w:t>Narodowy Fundusz Turystyki:</w:t>
            </w:r>
          </w:p>
          <w:p w14:paraId="736C944B" w14:textId="77777777" w:rsidR="004C6421" w:rsidRDefault="009D1962">
            <w:pPr>
              <w:pStyle w:val="P68B1DB1-Normal8"/>
              <w:jc w:val="center"/>
              <w:rPr>
                <w:rFonts w:ascii="Arial Narrow" w:hAnsi="Arial Narrow"/>
                <w:noProof/>
              </w:rPr>
            </w:pPr>
            <w:r>
              <w:rPr>
                <w:rFonts w:ascii="Arial Narrow" w:hAnsi="Arial Narrow"/>
                <w:noProof/>
              </w:rPr>
              <w:t>Wypłata na rzecz Funduszu łącznej kwoty 150 000 000 EUR</w:t>
            </w:r>
            <w:r>
              <w:rPr>
                <w:noProof/>
              </w:rPr>
              <w:t xml:space="preserve">  </w:t>
            </w:r>
            <w:r>
              <w:rPr>
                <w:rFonts w:ascii="Arial Narrow" w:hAnsi="Arial Narrow"/>
                <w:noProof/>
              </w:rPr>
              <w:t>na wsparcie kapitałowe</w:t>
            </w:r>
          </w:p>
        </w:tc>
        <w:tc>
          <w:tcPr>
            <w:tcW w:w="520" w:type="pct"/>
            <w:shd w:val="clear" w:color="auto" w:fill="C6EFCE"/>
            <w:noWrap/>
            <w:vAlign w:val="center"/>
          </w:tcPr>
          <w:p w14:paraId="2781F05E" w14:textId="77777777" w:rsidR="004C6421" w:rsidRDefault="009D1962">
            <w:pPr>
              <w:pStyle w:val="P68B1DB1-Normal4"/>
              <w:jc w:val="center"/>
              <w:rPr>
                <w:noProof/>
              </w:rPr>
            </w:pPr>
            <w:r>
              <w:rPr>
                <w:noProof/>
              </w:rPr>
              <w:t>NIE DOT.</w:t>
            </w:r>
          </w:p>
        </w:tc>
        <w:tc>
          <w:tcPr>
            <w:tcW w:w="331" w:type="pct"/>
            <w:shd w:val="clear" w:color="auto" w:fill="C6EFCE"/>
            <w:noWrap/>
            <w:vAlign w:val="center"/>
          </w:tcPr>
          <w:p w14:paraId="3EEF0803" w14:textId="77777777" w:rsidR="004C6421" w:rsidRDefault="009D1962">
            <w:pPr>
              <w:pStyle w:val="P68B1DB1-Normal4"/>
              <w:jc w:val="center"/>
              <w:rPr>
                <w:noProof/>
              </w:rPr>
            </w:pPr>
            <w:r>
              <w:rPr>
                <w:noProof/>
              </w:rPr>
              <w:t>Numer</w:t>
            </w:r>
          </w:p>
        </w:tc>
        <w:tc>
          <w:tcPr>
            <w:tcW w:w="332" w:type="pct"/>
            <w:shd w:val="clear" w:color="auto" w:fill="C6EFCE"/>
            <w:noWrap/>
            <w:vAlign w:val="center"/>
          </w:tcPr>
          <w:p w14:paraId="731327F7" w14:textId="77777777" w:rsidR="004C6421" w:rsidRDefault="009D1962">
            <w:pPr>
              <w:pStyle w:val="P68B1DB1-Normal4"/>
              <w:jc w:val="center"/>
              <w:rPr>
                <w:noProof/>
              </w:rPr>
            </w:pPr>
            <w:r>
              <w:rPr>
                <w:noProof/>
              </w:rPr>
              <w:t>0</w:t>
            </w:r>
          </w:p>
        </w:tc>
        <w:tc>
          <w:tcPr>
            <w:tcW w:w="424" w:type="pct"/>
            <w:shd w:val="clear" w:color="auto" w:fill="C6EFCE"/>
            <w:noWrap/>
            <w:vAlign w:val="center"/>
          </w:tcPr>
          <w:p w14:paraId="40F11682" w14:textId="77777777" w:rsidR="004C6421" w:rsidRDefault="009D1962">
            <w:pPr>
              <w:pStyle w:val="P68B1DB1-Normal4"/>
              <w:jc w:val="center"/>
              <w:rPr>
                <w:noProof/>
              </w:rPr>
            </w:pPr>
            <w:r>
              <w:rPr>
                <w:noProof/>
              </w:rPr>
              <w:t>150 000 000</w:t>
            </w:r>
          </w:p>
        </w:tc>
        <w:tc>
          <w:tcPr>
            <w:tcW w:w="332" w:type="pct"/>
            <w:shd w:val="clear" w:color="auto" w:fill="C6EFCE"/>
            <w:noWrap/>
            <w:vAlign w:val="center"/>
          </w:tcPr>
          <w:p w14:paraId="7BF942BA" w14:textId="574EE03A" w:rsidR="004C6421" w:rsidRDefault="00CC179E">
            <w:pPr>
              <w:pStyle w:val="P68B1DB1-Normal4"/>
              <w:jc w:val="center"/>
              <w:rPr>
                <w:noProof/>
              </w:rPr>
            </w:pPr>
            <w:r>
              <w:rPr>
                <w:noProof/>
              </w:rPr>
              <w:t>KW. 4</w:t>
            </w:r>
          </w:p>
        </w:tc>
        <w:tc>
          <w:tcPr>
            <w:tcW w:w="220" w:type="pct"/>
            <w:shd w:val="clear" w:color="auto" w:fill="C6EFCE"/>
            <w:noWrap/>
            <w:vAlign w:val="center"/>
          </w:tcPr>
          <w:p w14:paraId="2481E10B" w14:textId="77777777" w:rsidR="004C6421" w:rsidRDefault="009D1962">
            <w:pPr>
              <w:pStyle w:val="P68B1DB1-Normal4"/>
              <w:jc w:val="center"/>
              <w:rPr>
                <w:noProof/>
              </w:rPr>
            </w:pPr>
            <w:r>
              <w:rPr>
                <w:noProof/>
              </w:rPr>
              <w:t>2022</w:t>
            </w:r>
          </w:p>
        </w:tc>
        <w:tc>
          <w:tcPr>
            <w:tcW w:w="1047" w:type="pct"/>
            <w:shd w:val="clear" w:color="auto" w:fill="C6EFCE"/>
            <w:noWrap/>
            <w:vAlign w:val="center"/>
          </w:tcPr>
          <w:p w14:paraId="25A3260F" w14:textId="77777777" w:rsidR="004C6421" w:rsidRDefault="009D1962">
            <w:pPr>
              <w:pStyle w:val="P68B1DB1-Normal4"/>
              <w:rPr>
                <w:noProof/>
              </w:rPr>
            </w:pPr>
            <w:r>
              <w:rPr>
                <w:noProof/>
              </w:rPr>
              <w:t>Wypłata środków jest zgodna z polityką inwestycyjną określoną w kamieniu Kamień milowy.</w:t>
            </w:r>
          </w:p>
        </w:tc>
      </w:tr>
      <w:tr w:rsidR="004C6421" w14:paraId="6747043E" w14:textId="77777777">
        <w:trPr>
          <w:trHeight w:val="313"/>
          <w:jc w:val="center"/>
        </w:trPr>
        <w:tc>
          <w:tcPr>
            <w:tcW w:w="377" w:type="pct"/>
            <w:shd w:val="clear" w:color="auto" w:fill="C6EFCE"/>
            <w:noWrap/>
            <w:vAlign w:val="center"/>
            <w:hideMark/>
          </w:tcPr>
          <w:p w14:paraId="04F59024" w14:textId="77777777" w:rsidR="004C6421" w:rsidRDefault="009D1962">
            <w:pPr>
              <w:pStyle w:val="P68B1DB1-Normal4"/>
              <w:jc w:val="center"/>
              <w:rPr>
                <w:noProof/>
              </w:rPr>
            </w:pPr>
            <w:r>
              <w:rPr>
                <w:noProof/>
              </w:rPr>
              <w:t>M1C3-32</w:t>
            </w:r>
          </w:p>
        </w:tc>
        <w:tc>
          <w:tcPr>
            <w:tcW w:w="520" w:type="pct"/>
            <w:shd w:val="clear" w:color="auto" w:fill="C6EFCE"/>
            <w:noWrap/>
            <w:vAlign w:val="center"/>
            <w:hideMark/>
          </w:tcPr>
          <w:p w14:paraId="5BA75E36" w14:textId="77777777" w:rsidR="004C6421" w:rsidRDefault="009D1962">
            <w:pPr>
              <w:pStyle w:val="P68B1DB1-Normal4"/>
              <w:jc w:val="center"/>
              <w:rPr>
                <w:noProof/>
              </w:rPr>
            </w:pPr>
            <w:r>
              <w:rPr>
                <w:noProof/>
              </w:rPr>
              <w:t>Inwestycje 4.2:  Fundusze na konkurencyjność przedsiębiorstw turystycznych</w:t>
            </w:r>
          </w:p>
        </w:tc>
        <w:tc>
          <w:tcPr>
            <w:tcW w:w="378" w:type="pct"/>
            <w:shd w:val="clear" w:color="auto" w:fill="C6EFCE"/>
            <w:noWrap/>
            <w:vAlign w:val="center"/>
            <w:hideMark/>
          </w:tcPr>
          <w:p w14:paraId="3ED6331B" w14:textId="77777777" w:rsidR="004C6421" w:rsidRDefault="009D1962">
            <w:pPr>
              <w:pStyle w:val="P68B1DB1-Normal4"/>
              <w:jc w:val="center"/>
              <w:rPr>
                <w:noProof/>
              </w:rPr>
            </w:pPr>
            <w:r>
              <w:rPr>
                <w:noProof/>
              </w:rPr>
              <w:t>Cel</w:t>
            </w:r>
          </w:p>
        </w:tc>
        <w:tc>
          <w:tcPr>
            <w:tcW w:w="520" w:type="pct"/>
            <w:shd w:val="clear" w:color="auto" w:fill="C6EFCE"/>
            <w:noWrap/>
            <w:vAlign w:val="center"/>
            <w:hideMark/>
          </w:tcPr>
          <w:p w14:paraId="3A736575" w14:textId="77777777" w:rsidR="004C6421" w:rsidRDefault="004C6421">
            <w:pPr>
              <w:jc w:val="center"/>
              <w:rPr>
                <w:rFonts w:ascii="Arial Narrow" w:hAnsi="Arial Narrow"/>
                <w:noProof/>
                <w:color w:val="006100"/>
                <w:sz w:val="20"/>
              </w:rPr>
            </w:pPr>
          </w:p>
          <w:p w14:paraId="7807FA64" w14:textId="77777777" w:rsidR="004C6421" w:rsidRDefault="009D1962">
            <w:pPr>
              <w:pStyle w:val="P68B1DB1-Normal4"/>
              <w:jc w:val="center"/>
              <w:rPr>
                <w:noProof/>
              </w:rPr>
            </w:pPr>
            <w:r>
              <w:rPr>
                <w:noProof/>
              </w:rPr>
              <w:t>Liczba przedsiębiorstw turystycznych, które mają otrzymać wsparcie z Funduszu Gwarancyjnego dla MŚP</w:t>
            </w:r>
          </w:p>
        </w:tc>
        <w:tc>
          <w:tcPr>
            <w:tcW w:w="520" w:type="pct"/>
            <w:shd w:val="clear" w:color="auto" w:fill="C6EFCE"/>
            <w:noWrap/>
            <w:vAlign w:val="center"/>
            <w:hideMark/>
          </w:tcPr>
          <w:p w14:paraId="651DB3B4" w14:textId="77777777" w:rsidR="004C6421" w:rsidRDefault="009D1962">
            <w:pPr>
              <w:pStyle w:val="P68B1DB1-Normal4"/>
              <w:jc w:val="center"/>
              <w:rPr>
                <w:noProof/>
              </w:rPr>
            </w:pPr>
            <w:r>
              <w:rPr>
                <w:noProof/>
              </w:rPr>
              <w:t>NIE DOT.</w:t>
            </w:r>
          </w:p>
        </w:tc>
        <w:tc>
          <w:tcPr>
            <w:tcW w:w="331" w:type="pct"/>
            <w:shd w:val="clear" w:color="auto" w:fill="C6EFCE"/>
            <w:noWrap/>
            <w:vAlign w:val="center"/>
            <w:hideMark/>
          </w:tcPr>
          <w:p w14:paraId="3F83F774" w14:textId="77777777" w:rsidR="004C6421" w:rsidRDefault="009D1962">
            <w:pPr>
              <w:pStyle w:val="P68B1DB1-Normal4"/>
              <w:jc w:val="center"/>
              <w:rPr>
                <w:noProof/>
              </w:rPr>
            </w:pPr>
            <w:r>
              <w:rPr>
                <w:noProof/>
              </w:rPr>
              <w:t>Numer</w:t>
            </w:r>
          </w:p>
        </w:tc>
        <w:tc>
          <w:tcPr>
            <w:tcW w:w="332" w:type="pct"/>
            <w:shd w:val="clear" w:color="auto" w:fill="C6EFCE"/>
            <w:noWrap/>
            <w:vAlign w:val="center"/>
            <w:hideMark/>
          </w:tcPr>
          <w:p w14:paraId="44B8E8AB" w14:textId="77777777" w:rsidR="004C6421" w:rsidRDefault="009D1962">
            <w:pPr>
              <w:pStyle w:val="P68B1DB1-Normal4"/>
              <w:jc w:val="center"/>
              <w:rPr>
                <w:noProof/>
              </w:rPr>
            </w:pPr>
            <w:r>
              <w:rPr>
                <w:noProof/>
              </w:rPr>
              <w:t>0</w:t>
            </w:r>
          </w:p>
        </w:tc>
        <w:tc>
          <w:tcPr>
            <w:tcW w:w="424" w:type="pct"/>
            <w:shd w:val="clear" w:color="auto" w:fill="C6EFCE"/>
            <w:noWrap/>
            <w:vAlign w:val="center"/>
            <w:hideMark/>
          </w:tcPr>
          <w:p w14:paraId="04C2C590" w14:textId="77777777" w:rsidR="004C6421" w:rsidRDefault="009D1962">
            <w:pPr>
              <w:pStyle w:val="P68B1DB1-Normal4"/>
              <w:jc w:val="center"/>
              <w:rPr>
                <w:noProof/>
              </w:rPr>
            </w:pPr>
            <w:r>
              <w:rPr>
                <w:noProof/>
              </w:rPr>
              <w:t>1 000</w:t>
            </w:r>
          </w:p>
        </w:tc>
        <w:tc>
          <w:tcPr>
            <w:tcW w:w="332" w:type="pct"/>
            <w:shd w:val="clear" w:color="auto" w:fill="C6EFCE"/>
            <w:noWrap/>
            <w:vAlign w:val="center"/>
            <w:hideMark/>
          </w:tcPr>
          <w:p w14:paraId="3F21C5D5" w14:textId="07FCEE23" w:rsidR="004C6421" w:rsidRDefault="00CC179E">
            <w:pPr>
              <w:pStyle w:val="P68B1DB1-Normal4"/>
              <w:jc w:val="center"/>
              <w:rPr>
                <w:noProof/>
              </w:rPr>
            </w:pPr>
            <w:r>
              <w:rPr>
                <w:noProof/>
              </w:rPr>
              <w:t>KW. 4</w:t>
            </w:r>
          </w:p>
        </w:tc>
        <w:tc>
          <w:tcPr>
            <w:tcW w:w="220" w:type="pct"/>
            <w:shd w:val="clear" w:color="auto" w:fill="C6EFCE"/>
            <w:noWrap/>
            <w:vAlign w:val="center"/>
            <w:hideMark/>
          </w:tcPr>
          <w:p w14:paraId="0DAF4FC7" w14:textId="77777777" w:rsidR="004C6421" w:rsidRDefault="009D1962">
            <w:pPr>
              <w:pStyle w:val="P68B1DB1-Normal4"/>
              <w:jc w:val="center"/>
              <w:rPr>
                <w:noProof/>
              </w:rPr>
            </w:pPr>
            <w:r>
              <w:rPr>
                <w:noProof/>
              </w:rPr>
              <w:t>2025</w:t>
            </w:r>
          </w:p>
        </w:tc>
        <w:tc>
          <w:tcPr>
            <w:tcW w:w="1047" w:type="pct"/>
            <w:shd w:val="clear" w:color="auto" w:fill="C6EFCE"/>
            <w:noWrap/>
            <w:vAlign w:val="center"/>
            <w:hideMark/>
          </w:tcPr>
          <w:p w14:paraId="19943F24" w14:textId="77777777" w:rsidR="004C6421" w:rsidRDefault="009D1962">
            <w:pPr>
              <w:pStyle w:val="P68B1DB1-Normal4"/>
              <w:rPr>
                <w:noProof/>
              </w:rPr>
            </w:pPr>
            <w:r>
              <w:rPr>
                <w:noProof/>
              </w:rPr>
              <w:t>Co najmniej 1000 przedsiębiorstw turystycznych wspieranych z Funduszu Gwarancyjnego MŚP.</w:t>
            </w:r>
          </w:p>
        </w:tc>
      </w:tr>
      <w:tr w:rsidR="004C6421" w14:paraId="7242A922" w14:textId="77777777">
        <w:trPr>
          <w:trHeight w:val="313"/>
          <w:jc w:val="center"/>
        </w:trPr>
        <w:tc>
          <w:tcPr>
            <w:tcW w:w="377" w:type="pct"/>
            <w:shd w:val="clear" w:color="auto" w:fill="C6EFCE"/>
            <w:noWrap/>
            <w:vAlign w:val="center"/>
            <w:hideMark/>
          </w:tcPr>
          <w:p w14:paraId="2A7AB942" w14:textId="77777777" w:rsidR="004C6421" w:rsidRDefault="009D1962">
            <w:pPr>
              <w:pStyle w:val="P68B1DB1-Normal4"/>
              <w:jc w:val="center"/>
              <w:rPr>
                <w:noProof/>
              </w:rPr>
            </w:pPr>
            <w:r>
              <w:rPr>
                <w:noProof/>
              </w:rPr>
              <w:t>M1C3-33</w:t>
            </w:r>
          </w:p>
        </w:tc>
        <w:tc>
          <w:tcPr>
            <w:tcW w:w="520" w:type="pct"/>
            <w:shd w:val="clear" w:color="auto" w:fill="C6EFCE"/>
            <w:noWrap/>
            <w:vAlign w:val="center"/>
            <w:hideMark/>
          </w:tcPr>
          <w:p w14:paraId="4121E0AF" w14:textId="77777777" w:rsidR="004C6421" w:rsidRDefault="009D1962">
            <w:pPr>
              <w:pStyle w:val="P68B1DB1-Normal4"/>
              <w:jc w:val="center"/>
              <w:rPr>
                <w:noProof/>
              </w:rPr>
            </w:pPr>
            <w:r>
              <w:rPr>
                <w:noProof/>
              </w:rPr>
              <w:t>Inwestycje 4.2 Fundusze na rzecz konkurencyjności przedsiębiorstw turystycznych</w:t>
            </w:r>
          </w:p>
        </w:tc>
        <w:tc>
          <w:tcPr>
            <w:tcW w:w="378" w:type="pct"/>
            <w:shd w:val="clear" w:color="auto" w:fill="C6EFCE"/>
            <w:noWrap/>
            <w:vAlign w:val="center"/>
            <w:hideMark/>
          </w:tcPr>
          <w:p w14:paraId="4BB56CE5" w14:textId="77777777" w:rsidR="004C6421" w:rsidRDefault="009D1962">
            <w:pPr>
              <w:pStyle w:val="P68B1DB1-Normal4"/>
              <w:jc w:val="center"/>
              <w:rPr>
                <w:noProof/>
              </w:rPr>
            </w:pPr>
            <w:r>
              <w:rPr>
                <w:noProof/>
              </w:rPr>
              <w:t>Cel</w:t>
            </w:r>
          </w:p>
        </w:tc>
        <w:tc>
          <w:tcPr>
            <w:tcW w:w="520" w:type="pct"/>
            <w:shd w:val="clear" w:color="auto" w:fill="C6EFCE"/>
            <w:noWrap/>
            <w:vAlign w:val="center"/>
            <w:hideMark/>
          </w:tcPr>
          <w:p w14:paraId="0A1F666F" w14:textId="77777777" w:rsidR="004C6421" w:rsidRDefault="009D1962">
            <w:pPr>
              <w:pStyle w:val="P68B1DB1-Normal4"/>
              <w:jc w:val="center"/>
              <w:rPr>
                <w:noProof/>
              </w:rPr>
            </w:pPr>
            <w:r>
              <w:rPr>
                <w:noProof/>
              </w:rPr>
              <w:t>Liczba przedsiębiorstw, które mają otrzymać wsparcie w ramach rotacji Fondo (pierwsza partia)</w:t>
            </w:r>
          </w:p>
        </w:tc>
        <w:tc>
          <w:tcPr>
            <w:tcW w:w="520" w:type="pct"/>
            <w:shd w:val="clear" w:color="auto" w:fill="C6EFCE"/>
            <w:noWrap/>
            <w:vAlign w:val="center"/>
            <w:hideMark/>
          </w:tcPr>
          <w:p w14:paraId="71A9709C" w14:textId="77777777" w:rsidR="004C6421" w:rsidRDefault="009D1962">
            <w:pPr>
              <w:pStyle w:val="P68B1DB1-Normal4"/>
              <w:jc w:val="center"/>
              <w:rPr>
                <w:noProof/>
              </w:rPr>
            </w:pPr>
            <w:r>
              <w:rPr>
                <w:noProof/>
              </w:rPr>
              <w:t>NIE DOT.</w:t>
            </w:r>
          </w:p>
        </w:tc>
        <w:tc>
          <w:tcPr>
            <w:tcW w:w="331" w:type="pct"/>
            <w:shd w:val="clear" w:color="auto" w:fill="C6EFCE"/>
            <w:noWrap/>
            <w:vAlign w:val="center"/>
            <w:hideMark/>
          </w:tcPr>
          <w:p w14:paraId="0C520B09" w14:textId="77777777" w:rsidR="004C6421" w:rsidRDefault="009D1962">
            <w:pPr>
              <w:pStyle w:val="P68B1DB1-Normal4"/>
              <w:jc w:val="center"/>
              <w:rPr>
                <w:noProof/>
              </w:rPr>
            </w:pPr>
            <w:r>
              <w:rPr>
                <w:noProof/>
              </w:rPr>
              <w:t>Numer</w:t>
            </w:r>
          </w:p>
        </w:tc>
        <w:tc>
          <w:tcPr>
            <w:tcW w:w="332" w:type="pct"/>
            <w:shd w:val="clear" w:color="auto" w:fill="C6EFCE"/>
            <w:noWrap/>
            <w:vAlign w:val="center"/>
            <w:hideMark/>
          </w:tcPr>
          <w:p w14:paraId="427DFD36" w14:textId="77777777" w:rsidR="004C6421" w:rsidRDefault="009D1962">
            <w:pPr>
              <w:pStyle w:val="P68B1DB1-Normal4"/>
              <w:jc w:val="center"/>
              <w:rPr>
                <w:noProof/>
              </w:rPr>
            </w:pPr>
            <w:r>
              <w:rPr>
                <w:noProof/>
              </w:rPr>
              <w:t>0</w:t>
            </w:r>
          </w:p>
        </w:tc>
        <w:tc>
          <w:tcPr>
            <w:tcW w:w="424" w:type="pct"/>
            <w:shd w:val="clear" w:color="auto" w:fill="C6EFCE"/>
            <w:noWrap/>
            <w:vAlign w:val="center"/>
            <w:hideMark/>
          </w:tcPr>
          <w:p w14:paraId="7667C925" w14:textId="77777777" w:rsidR="004C6421" w:rsidRDefault="009D1962">
            <w:pPr>
              <w:pStyle w:val="P68B1DB1-Normal4"/>
              <w:jc w:val="center"/>
              <w:rPr>
                <w:noProof/>
              </w:rPr>
            </w:pPr>
            <w:r>
              <w:rPr>
                <w:noProof/>
              </w:rPr>
              <w:t>300</w:t>
            </w:r>
          </w:p>
        </w:tc>
        <w:tc>
          <w:tcPr>
            <w:tcW w:w="332" w:type="pct"/>
            <w:shd w:val="clear" w:color="auto" w:fill="C6EFCE"/>
            <w:noWrap/>
            <w:vAlign w:val="center"/>
            <w:hideMark/>
          </w:tcPr>
          <w:p w14:paraId="069C8A0E" w14:textId="0D4858C2" w:rsidR="004C6421" w:rsidRDefault="00CC179E">
            <w:pPr>
              <w:pStyle w:val="P68B1DB1-Normal4"/>
              <w:jc w:val="center"/>
              <w:rPr>
                <w:noProof/>
              </w:rPr>
            </w:pPr>
            <w:r>
              <w:rPr>
                <w:noProof/>
              </w:rPr>
              <w:t>KW. 4</w:t>
            </w:r>
          </w:p>
        </w:tc>
        <w:tc>
          <w:tcPr>
            <w:tcW w:w="220" w:type="pct"/>
            <w:shd w:val="clear" w:color="auto" w:fill="C6EFCE"/>
            <w:noWrap/>
            <w:vAlign w:val="center"/>
            <w:hideMark/>
          </w:tcPr>
          <w:p w14:paraId="3E68E712" w14:textId="77777777" w:rsidR="004C6421" w:rsidRDefault="009D1962">
            <w:pPr>
              <w:pStyle w:val="P68B1DB1-Normal4"/>
              <w:jc w:val="center"/>
              <w:rPr>
                <w:noProof/>
              </w:rPr>
            </w:pPr>
            <w:r>
              <w:rPr>
                <w:noProof/>
              </w:rPr>
              <w:t>2025</w:t>
            </w:r>
          </w:p>
        </w:tc>
        <w:tc>
          <w:tcPr>
            <w:tcW w:w="1047" w:type="pct"/>
            <w:shd w:val="clear" w:color="auto" w:fill="C6EFCE"/>
            <w:noWrap/>
            <w:vAlign w:val="center"/>
            <w:hideMark/>
          </w:tcPr>
          <w:p w14:paraId="597568EA" w14:textId="77777777" w:rsidR="004C6421" w:rsidRDefault="009D1962">
            <w:pPr>
              <w:pStyle w:val="P68B1DB1-Normal4"/>
              <w:rPr>
                <w:noProof/>
              </w:rPr>
            </w:pPr>
            <w:r>
              <w:rPr>
                <w:noProof/>
              </w:rPr>
              <w:t>Co najmniej 300 przedsiębiorstw wspieranych przez Fondo Rotativo;</w:t>
            </w:r>
          </w:p>
          <w:p w14:paraId="0846CEE0" w14:textId="77777777" w:rsidR="004C6421" w:rsidRDefault="004C6421">
            <w:pPr>
              <w:rPr>
                <w:rFonts w:ascii="Arial Narrow" w:hAnsi="Arial Narrow"/>
                <w:noProof/>
                <w:color w:val="006100"/>
                <w:sz w:val="20"/>
              </w:rPr>
            </w:pPr>
          </w:p>
          <w:p w14:paraId="1F7B1023" w14:textId="77777777" w:rsidR="004C6421" w:rsidRDefault="009D1962">
            <w:pPr>
              <w:pStyle w:val="P68B1DB1-Normal4"/>
              <w:rPr>
                <w:noProof/>
              </w:rPr>
            </w:pPr>
            <w:r>
              <w:rPr>
                <w:noProof/>
              </w:rPr>
              <w:t>Interwencje finansowane za pośrednictwem Fondo Rotativo obejmują:</w:t>
            </w:r>
          </w:p>
          <w:p w14:paraId="4F26E15C" w14:textId="77777777" w:rsidR="004C6421" w:rsidRDefault="009D1962">
            <w:pPr>
              <w:pStyle w:val="P68B1DB1-ListParagraph5"/>
              <w:numPr>
                <w:ilvl w:val="0"/>
                <w:numId w:val="94"/>
              </w:numPr>
              <w:ind w:left="26" w:hanging="103"/>
              <w:jc w:val="left"/>
              <w:rPr>
                <w:noProof/>
              </w:rPr>
            </w:pPr>
            <w:r>
              <w:rPr>
                <w:noProof/>
              </w:rPr>
              <w:t>interwencje w zakresie przekwalifikowania energetycznego</w:t>
            </w:r>
          </w:p>
          <w:p w14:paraId="21A06DAD" w14:textId="77777777" w:rsidR="004C6421" w:rsidRDefault="009D1962">
            <w:pPr>
              <w:pStyle w:val="P68B1DB1-ListParagraph5"/>
              <w:numPr>
                <w:ilvl w:val="0"/>
                <w:numId w:val="94"/>
              </w:numPr>
              <w:ind w:left="26" w:hanging="103"/>
              <w:jc w:val="left"/>
              <w:rPr>
                <w:noProof/>
              </w:rPr>
            </w:pPr>
            <w:r>
              <w:rPr>
                <w:noProof/>
              </w:rPr>
              <w:t>interwencje dotyczące przegród zewnętrznych i renowacji budynków, zgodnie z art. 3 ust. 1 lit. b) DPR 380/2001 (jednolity tekst przepisów ustawowych i wykonawczych dotyczących budynków)</w:t>
            </w:r>
          </w:p>
          <w:p w14:paraId="229C44DD" w14:textId="77777777" w:rsidR="004C6421" w:rsidRDefault="009D1962">
            <w:pPr>
              <w:pStyle w:val="P68B1DB1-ListParagraph5"/>
              <w:numPr>
                <w:ilvl w:val="0"/>
                <w:numId w:val="94"/>
              </w:numPr>
              <w:ind w:left="26" w:hanging="103"/>
              <w:jc w:val="left"/>
              <w:rPr>
                <w:noProof/>
              </w:rPr>
            </w:pPr>
            <w:r>
              <w:rPr>
                <w:noProof/>
              </w:rPr>
              <w:t>interwencje na rzecz eliminacji barier architektonicznych.</w:t>
            </w:r>
          </w:p>
          <w:p w14:paraId="600AA2E8" w14:textId="77777777" w:rsidR="004C6421" w:rsidRDefault="009D1962">
            <w:pPr>
              <w:pStyle w:val="P68B1DB1-ListParagraph5"/>
              <w:numPr>
                <w:ilvl w:val="0"/>
                <w:numId w:val="94"/>
              </w:numPr>
              <w:ind w:left="26" w:hanging="103"/>
              <w:jc w:val="left"/>
              <w:rPr>
                <w:noProof/>
              </w:rPr>
            </w:pPr>
            <w:r>
              <w:rPr>
                <w:noProof/>
              </w:rPr>
              <w:t>interwencje polegające na pełnej lub częściowej wymianie systemów klimatyzacji.</w:t>
            </w:r>
          </w:p>
          <w:p w14:paraId="13188935" w14:textId="77777777" w:rsidR="004C6421" w:rsidRDefault="009D1962">
            <w:pPr>
              <w:pStyle w:val="P68B1DB1-ListParagraph5"/>
              <w:numPr>
                <w:ilvl w:val="0"/>
                <w:numId w:val="94"/>
              </w:numPr>
              <w:ind w:left="26" w:hanging="103"/>
              <w:jc w:val="left"/>
              <w:rPr>
                <w:noProof/>
              </w:rPr>
            </w:pPr>
            <w:r>
              <w:rPr>
                <w:noProof/>
              </w:rPr>
              <w:t>zakup mebli i elementów wyposażenia przeznaczonych wyłącznie do obiektów zakwaterowania objętych niniejszym dekretem</w:t>
            </w:r>
          </w:p>
          <w:p w14:paraId="2F547173" w14:textId="77777777" w:rsidR="004C6421" w:rsidRDefault="009D1962">
            <w:pPr>
              <w:pStyle w:val="P68B1DB1-ListParagraph5"/>
              <w:numPr>
                <w:ilvl w:val="0"/>
                <w:numId w:val="94"/>
              </w:numPr>
              <w:ind w:left="26" w:hanging="103"/>
              <w:jc w:val="left"/>
              <w:rPr>
                <w:noProof/>
              </w:rPr>
            </w:pPr>
            <w:r>
              <w:rPr>
                <w:noProof/>
              </w:rPr>
              <w:t>interwencje na rzecz przyjęcia środków antysejsmicznych</w:t>
            </w:r>
          </w:p>
          <w:p w14:paraId="55910F49" w14:textId="77777777" w:rsidR="004C6421" w:rsidRDefault="009D1962">
            <w:pPr>
              <w:pStyle w:val="P68B1DB1-ListParagraph5"/>
              <w:numPr>
                <w:ilvl w:val="0"/>
                <w:numId w:val="94"/>
              </w:numPr>
              <w:ind w:left="26" w:hanging="103"/>
              <w:jc w:val="left"/>
              <w:rPr>
                <w:noProof/>
              </w:rPr>
            </w:pPr>
            <w:r>
              <w:rPr>
                <w:noProof/>
              </w:rPr>
              <w:t>renowacja elementów wyposażenia.</w:t>
            </w:r>
          </w:p>
          <w:p w14:paraId="39043A70" w14:textId="77777777" w:rsidR="004C6421" w:rsidRDefault="009D1962">
            <w:pPr>
              <w:pStyle w:val="P68B1DB1-ListParagraph5"/>
              <w:numPr>
                <w:ilvl w:val="0"/>
                <w:numId w:val="94"/>
              </w:numPr>
              <w:ind w:left="26" w:hanging="103"/>
              <w:jc w:val="left"/>
              <w:rPr>
                <w:noProof/>
              </w:rPr>
            </w:pPr>
            <w:r>
              <w:rPr>
                <w:noProof/>
              </w:rPr>
              <w:t>realizacja pul cieplnych oraz zakup sprzętu i urządzeń niezbędnych do prowadzenia działalności uzdrowiskowej, a także do targów w celu odnowienia struktur wystawienniczych.</w:t>
            </w:r>
          </w:p>
        </w:tc>
      </w:tr>
      <w:tr w:rsidR="004C6421" w14:paraId="4E954770" w14:textId="77777777">
        <w:trPr>
          <w:trHeight w:val="313"/>
          <w:jc w:val="center"/>
        </w:trPr>
        <w:tc>
          <w:tcPr>
            <w:tcW w:w="377" w:type="pct"/>
            <w:shd w:val="clear" w:color="auto" w:fill="C6EFCE"/>
            <w:noWrap/>
            <w:vAlign w:val="center"/>
            <w:hideMark/>
          </w:tcPr>
          <w:p w14:paraId="025F8460" w14:textId="77777777" w:rsidR="004C6421" w:rsidRDefault="009D1962">
            <w:pPr>
              <w:pStyle w:val="P68B1DB1-Normal4"/>
              <w:jc w:val="center"/>
              <w:rPr>
                <w:noProof/>
              </w:rPr>
            </w:pPr>
            <w:r>
              <w:rPr>
                <w:noProof/>
              </w:rPr>
              <w:t>M1C3-34</w:t>
            </w:r>
          </w:p>
        </w:tc>
        <w:tc>
          <w:tcPr>
            <w:tcW w:w="520" w:type="pct"/>
            <w:shd w:val="clear" w:color="auto" w:fill="C6EFCE"/>
            <w:noWrap/>
            <w:vAlign w:val="center"/>
            <w:hideMark/>
          </w:tcPr>
          <w:p w14:paraId="256616A4" w14:textId="77777777" w:rsidR="004C6421" w:rsidRDefault="009D1962">
            <w:pPr>
              <w:pStyle w:val="P68B1DB1-Normal4"/>
              <w:jc w:val="center"/>
              <w:rPr>
                <w:noProof/>
              </w:rPr>
            </w:pPr>
            <w:r>
              <w:rPr>
                <w:noProof/>
              </w:rPr>
              <w:t>Inwestycje 4.2 Fundusze na rzecz konkurencyjności przedsiębiorstw turystycznych</w:t>
            </w:r>
          </w:p>
        </w:tc>
        <w:tc>
          <w:tcPr>
            <w:tcW w:w="378" w:type="pct"/>
            <w:shd w:val="clear" w:color="auto" w:fill="C6EFCE"/>
            <w:noWrap/>
            <w:vAlign w:val="center"/>
            <w:hideMark/>
          </w:tcPr>
          <w:p w14:paraId="587F5B29" w14:textId="77777777" w:rsidR="004C6421" w:rsidRDefault="009D1962">
            <w:pPr>
              <w:pStyle w:val="P68B1DB1-Normal4"/>
              <w:jc w:val="center"/>
              <w:rPr>
                <w:noProof/>
              </w:rPr>
            </w:pPr>
            <w:r>
              <w:rPr>
                <w:noProof/>
              </w:rPr>
              <w:t>Cel</w:t>
            </w:r>
          </w:p>
        </w:tc>
        <w:tc>
          <w:tcPr>
            <w:tcW w:w="520" w:type="pct"/>
            <w:shd w:val="clear" w:color="auto" w:fill="C6EFCE"/>
            <w:noWrap/>
            <w:vAlign w:val="center"/>
            <w:hideMark/>
          </w:tcPr>
          <w:p w14:paraId="28D90C9D" w14:textId="77777777" w:rsidR="004C6421" w:rsidRDefault="009D1962">
            <w:pPr>
              <w:pStyle w:val="P68B1DB1-Normal4"/>
              <w:jc w:val="center"/>
              <w:rPr>
                <w:noProof/>
              </w:rPr>
            </w:pPr>
            <w:r>
              <w:rPr>
                <w:noProof/>
              </w:rPr>
              <w:t>Liczba nieruchomości przebudowanych na potrzeby turystyki przez Narodowy Fundusz Turystyki</w:t>
            </w:r>
          </w:p>
        </w:tc>
        <w:tc>
          <w:tcPr>
            <w:tcW w:w="520" w:type="pct"/>
            <w:shd w:val="clear" w:color="auto" w:fill="C6EFCE"/>
            <w:noWrap/>
            <w:vAlign w:val="center"/>
            <w:hideMark/>
          </w:tcPr>
          <w:p w14:paraId="29C598E9" w14:textId="77777777" w:rsidR="004C6421" w:rsidRDefault="004C6421">
            <w:pPr>
              <w:jc w:val="center"/>
              <w:rPr>
                <w:rFonts w:ascii="Arial Narrow" w:hAnsi="Arial Narrow"/>
                <w:noProof/>
                <w:color w:val="006100"/>
                <w:sz w:val="20"/>
              </w:rPr>
            </w:pPr>
          </w:p>
        </w:tc>
        <w:tc>
          <w:tcPr>
            <w:tcW w:w="331" w:type="pct"/>
            <w:shd w:val="clear" w:color="auto" w:fill="C6EFCE"/>
            <w:noWrap/>
            <w:vAlign w:val="center"/>
            <w:hideMark/>
          </w:tcPr>
          <w:p w14:paraId="1C87ED20" w14:textId="77777777" w:rsidR="004C6421" w:rsidRDefault="009D1962">
            <w:pPr>
              <w:pStyle w:val="P68B1DB1-Normal4"/>
              <w:jc w:val="center"/>
              <w:rPr>
                <w:noProof/>
              </w:rPr>
            </w:pPr>
            <w:r>
              <w:rPr>
                <w:noProof/>
              </w:rPr>
              <w:t>Numer</w:t>
            </w:r>
          </w:p>
        </w:tc>
        <w:tc>
          <w:tcPr>
            <w:tcW w:w="332" w:type="pct"/>
            <w:shd w:val="clear" w:color="auto" w:fill="C6EFCE"/>
            <w:noWrap/>
            <w:vAlign w:val="center"/>
            <w:hideMark/>
          </w:tcPr>
          <w:p w14:paraId="25A0AD3C" w14:textId="77777777" w:rsidR="004C6421" w:rsidRDefault="009D1962">
            <w:pPr>
              <w:pStyle w:val="P68B1DB1-Normal4"/>
              <w:jc w:val="center"/>
              <w:rPr>
                <w:noProof/>
              </w:rPr>
            </w:pPr>
            <w:r>
              <w:rPr>
                <w:noProof/>
              </w:rPr>
              <w:t>0</w:t>
            </w:r>
          </w:p>
        </w:tc>
        <w:tc>
          <w:tcPr>
            <w:tcW w:w="424" w:type="pct"/>
            <w:shd w:val="clear" w:color="auto" w:fill="C6EFCE"/>
            <w:noWrap/>
            <w:vAlign w:val="center"/>
            <w:hideMark/>
          </w:tcPr>
          <w:p w14:paraId="20228AA6" w14:textId="77777777" w:rsidR="004C6421" w:rsidRDefault="009D1962">
            <w:pPr>
              <w:pStyle w:val="P68B1DB1-Normal4"/>
              <w:jc w:val="center"/>
              <w:rPr>
                <w:noProof/>
              </w:rPr>
            </w:pPr>
            <w:r>
              <w:rPr>
                <w:noProof/>
              </w:rPr>
              <w:t>12</w:t>
            </w:r>
          </w:p>
        </w:tc>
        <w:tc>
          <w:tcPr>
            <w:tcW w:w="332" w:type="pct"/>
            <w:shd w:val="clear" w:color="auto" w:fill="C6EFCE"/>
            <w:noWrap/>
            <w:vAlign w:val="center"/>
            <w:hideMark/>
          </w:tcPr>
          <w:p w14:paraId="682DD074" w14:textId="2B81CC1E" w:rsidR="004C6421" w:rsidRDefault="00CC179E">
            <w:pPr>
              <w:pStyle w:val="P68B1DB1-Normal4"/>
              <w:jc w:val="center"/>
              <w:rPr>
                <w:noProof/>
              </w:rPr>
            </w:pPr>
            <w:r>
              <w:rPr>
                <w:noProof/>
              </w:rPr>
              <w:t>KW. 4</w:t>
            </w:r>
          </w:p>
        </w:tc>
        <w:tc>
          <w:tcPr>
            <w:tcW w:w="220" w:type="pct"/>
            <w:shd w:val="clear" w:color="auto" w:fill="C6EFCE"/>
            <w:noWrap/>
            <w:vAlign w:val="center"/>
            <w:hideMark/>
          </w:tcPr>
          <w:p w14:paraId="40A2DD4A" w14:textId="77777777" w:rsidR="004C6421" w:rsidRDefault="009D1962">
            <w:pPr>
              <w:pStyle w:val="P68B1DB1-Normal4"/>
              <w:jc w:val="center"/>
              <w:rPr>
                <w:noProof/>
              </w:rPr>
            </w:pPr>
            <w:r>
              <w:rPr>
                <w:noProof/>
              </w:rPr>
              <w:t>2025</w:t>
            </w:r>
          </w:p>
        </w:tc>
        <w:tc>
          <w:tcPr>
            <w:tcW w:w="1047" w:type="pct"/>
            <w:shd w:val="clear" w:color="auto" w:fill="C6EFCE"/>
            <w:noWrap/>
            <w:vAlign w:val="center"/>
            <w:hideMark/>
          </w:tcPr>
          <w:p w14:paraId="43102FFB" w14:textId="77777777" w:rsidR="004C6421" w:rsidRDefault="009D1962">
            <w:pPr>
              <w:pStyle w:val="P68B1DB1-Normal4"/>
              <w:rPr>
                <w:noProof/>
              </w:rPr>
            </w:pPr>
            <w:r>
              <w:rPr>
                <w:noProof/>
              </w:rPr>
              <w:t>Co najmniej 12 nieruchomości przebudowanych z myślą o turystyce przez krajowy fundusz turystyczny, które mogłyby osiągnąć 17 nieruchomości, biorąc pod uwagę efekt dźwigni.</w:t>
            </w:r>
          </w:p>
          <w:p w14:paraId="5F0D90B1" w14:textId="77777777" w:rsidR="004C6421" w:rsidRDefault="009D1962">
            <w:pPr>
              <w:pStyle w:val="P68B1DB1-ListParagraph5"/>
              <w:ind w:left="26"/>
              <w:jc w:val="left"/>
              <w:rPr>
                <w:noProof/>
              </w:rPr>
            </w:pPr>
            <w:r>
              <w:rPr>
                <w:noProof/>
              </w:rPr>
              <w:t xml:space="preserve">Wsparcie z Narodowego Funduszu Turystyki ma na celu: </w:t>
            </w:r>
          </w:p>
          <w:p w14:paraId="2674AE58" w14:textId="77777777" w:rsidR="004C6421" w:rsidRDefault="009D1962">
            <w:pPr>
              <w:pStyle w:val="P68B1DB1-ListParagraph5"/>
              <w:numPr>
                <w:ilvl w:val="0"/>
                <w:numId w:val="94"/>
              </w:numPr>
              <w:ind w:left="26" w:hanging="103"/>
              <w:jc w:val="left"/>
              <w:rPr>
                <w:noProof/>
              </w:rPr>
            </w:pPr>
            <w:r>
              <w:rPr>
                <w:noProof/>
              </w:rPr>
              <w:t>Inwestowanie w innowacje w zakresie produktów, procesów i zarządzania w celu pobudzenia cyfrowej transformacji podaży usług turystycznych,</w:t>
            </w:r>
          </w:p>
          <w:p w14:paraId="655129DA" w14:textId="77777777" w:rsidR="004C6421" w:rsidRDefault="009D1962">
            <w:pPr>
              <w:pStyle w:val="P68B1DB1-ListParagraph5"/>
              <w:numPr>
                <w:ilvl w:val="0"/>
                <w:numId w:val="94"/>
              </w:numPr>
              <w:ind w:left="26" w:hanging="103"/>
              <w:jc w:val="left"/>
              <w:rPr>
                <w:noProof/>
              </w:rPr>
            </w:pPr>
            <w:r>
              <w:rPr>
                <w:noProof/>
              </w:rPr>
              <w:t xml:space="preserve">Inwestowanie zapewnia jakość standardów hotelarsko-gastronomicznych </w:t>
            </w:r>
          </w:p>
          <w:p w14:paraId="75BF7FC3" w14:textId="77777777" w:rsidR="004C6421" w:rsidRDefault="009D1962">
            <w:pPr>
              <w:pStyle w:val="P68B1DB1-ListParagraph5"/>
              <w:numPr>
                <w:ilvl w:val="0"/>
                <w:numId w:val="94"/>
              </w:numPr>
              <w:ind w:left="26" w:hanging="103"/>
              <w:jc w:val="left"/>
              <w:rPr>
                <w:noProof/>
              </w:rPr>
            </w:pPr>
            <w:r>
              <w:rPr>
                <w:noProof/>
              </w:rPr>
              <w:t>promowanie agregacji i rozwoju sieci biznesowych.</w:t>
            </w:r>
          </w:p>
        </w:tc>
      </w:tr>
      <w:tr w:rsidR="004C6421" w14:paraId="6FB41F4C" w14:textId="77777777">
        <w:trPr>
          <w:trHeight w:val="313"/>
          <w:jc w:val="center"/>
        </w:trPr>
        <w:tc>
          <w:tcPr>
            <w:tcW w:w="377" w:type="pct"/>
            <w:shd w:val="clear" w:color="auto" w:fill="C6EFCE"/>
            <w:noWrap/>
            <w:vAlign w:val="center"/>
            <w:hideMark/>
          </w:tcPr>
          <w:p w14:paraId="4FE2673B" w14:textId="77777777" w:rsidR="004C6421" w:rsidRDefault="009D1962">
            <w:pPr>
              <w:pStyle w:val="P68B1DB1-Normal4"/>
              <w:jc w:val="center"/>
              <w:rPr>
                <w:noProof/>
              </w:rPr>
            </w:pPr>
            <w:r>
              <w:rPr>
                <w:noProof/>
              </w:rPr>
              <w:t>M1C3-35</w:t>
            </w:r>
          </w:p>
        </w:tc>
        <w:tc>
          <w:tcPr>
            <w:tcW w:w="520" w:type="pct"/>
            <w:shd w:val="clear" w:color="auto" w:fill="C6EFCE"/>
            <w:noWrap/>
            <w:vAlign w:val="center"/>
            <w:hideMark/>
          </w:tcPr>
          <w:p w14:paraId="3B9F3094" w14:textId="77777777" w:rsidR="004C6421" w:rsidRDefault="009D1962">
            <w:pPr>
              <w:pStyle w:val="P68B1DB1-Normal4"/>
              <w:jc w:val="center"/>
              <w:rPr>
                <w:noProof/>
              </w:rPr>
            </w:pPr>
            <w:r>
              <w:rPr>
                <w:noProof/>
              </w:rPr>
              <w:t>Inwestycje – 4.3 Caput Mundi-Next Generation EU na rzecz wielkich imprez turystycznych</w:t>
            </w:r>
          </w:p>
        </w:tc>
        <w:tc>
          <w:tcPr>
            <w:tcW w:w="378" w:type="pct"/>
            <w:shd w:val="clear" w:color="auto" w:fill="C6EFCE"/>
            <w:noWrap/>
            <w:vAlign w:val="center"/>
            <w:hideMark/>
          </w:tcPr>
          <w:p w14:paraId="6517780D" w14:textId="2D8052DF" w:rsidR="004C6421" w:rsidRDefault="00CC179E">
            <w:pPr>
              <w:pStyle w:val="P68B1DB1-Normal4"/>
              <w:jc w:val="center"/>
              <w:rPr>
                <w:noProof/>
              </w:rPr>
            </w:pPr>
            <w:r>
              <w:rPr>
                <w:noProof/>
              </w:rPr>
              <w:t>Milowy</w:t>
            </w:r>
          </w:p>
        </w:tc>
        <w:tc>
          <w:tcPr>
            <w:tcW w:w="520" w:type="pct"/>
            <w:shd w:val="clear" w:color="auto" w:fill="C6EFCE"/>
            <w:noWrap/>
            <w:vAlign w:val="center"/>
            <w:hideMark/>
          </w:tcPr>
          <w:p w14:paraId="50658634" w14:textId="77777777" w:rsidR="004C6421" w:rsidRDefault="009D1962">
            <w:pPr>
              <w:pStyle w:val="P68B1DB1-Normal4"/>
              <w:jc w:val="center"/>
              <w:rPr>
                <w:noProof/>
              </w:rPr>
            </w:pPr>
            <w:r>
              <w:rPr>
                <w:noProof/>
              </w:rPr>
              <w:t>Podpisanie każdej umowy dotyczącej sześciu projektów między Ministerstwem Turystyki a beneficjentami/organami wdrażającymi</w:t>
            </w:r>
          </w:p>
        </w:tc>
        <w:tc>
          <w:tcPr>
            <w:tcW w:w="520" w:type="pct"/>
            <w:shd w:val="clear" w:color="auto" w:fill="C6EFCE"/>
            <w:noWrap/>
            <w:vAlign w:val="center"/>
            <w:hideMark/>
          </w:tcPr>
          <w:p w14:paraId="61DA5FEA" w14:textId="77777777" w:rsidR="004C6421" w:rsidRDefault="009D1962">
            <w:pPr>
              <w:pStyle w:val="P68B1DB1-Normal4"/>
              <w:jc w:val="center"/>
              <w:rPr>
                <w:noProof/>
              </w:rPr>
            </w:pPr>
            <w:r>
              <w:rPr>
                <w:noProof/>
              </w:rPr>
              <w:t>Publikacja umowy programowej między Ministerstwem Turystyki, gminą stolicy Rzymu i innymi zaangażowanymi podmiotami NIE DOT.</w:t>
            </w:r>
          </w:p>
        </w:tc>
        <w:tc>
          <w:tcPr>
            <w:tcW w:w="331" w:type="pct"/>
            <w:shd w:val="clear" w:color="auto" w:fill="C6EFCE"/>
            <w:noWrap/>
            <w:vAlign w:val="center"/>
            <w:hideMark/>
          </w:tcPr>
          <w:p w14:paraId="119E8AD9" w14:textId="77777777" w:rsidR="004C6421" w:rsidRDefault="009D1962">
            <w:pPr>
              <w:pStyle w:val="P68B1DB1-Normal4"/>
              <w:jc w:val="center"/>
              <w:rPr>
                <w:noProof/>
              </w:rPr>
            </w:pPr>
            <w:r>
              <w:rPr>
                <w:noProof/>
              </w:rPr>
              <w:t>NIE DOT.</w:t>
            </w:r>
          </w:p>
        </w:tc>
        <w:tc>
          <w:tcPr>
            <w:tcW w:w="332" w:type="pct"/>
            <w:shd w:val="clear" w:color="auto" w:fill="C6EFCE"/>
            <w:noWrap/>
            <w:vAlign w:val="center"/>
            <w:hideMark/>
          </w:tcPr>
          <w:p w14:paraId="0A415D75" w14:textId="77777777" w:rsidR="004C6421" w:rsidRDefault="009D1962">
            <w:pPr>
              <w:pStyle w:val="P68B1DB1-Normal4"/>
              <w:jc w:val="center"/>
              <w:rPr>
                <w:noProof/>
              </w:rPr>
            </w:pPr>
            <w:r>
              <w:rPr>
                <w:noProof/>
              </w:rPr>
              <w:t>NIE DOT.</w:t>
            </w:r>
          </w:p>
        </w:tc>
        <w:tc>
          <w:tcPr>
            <w:tcW w:w="424" w:type="pct"/>
            <w:shd w:val="clear" w:color="auto" w:fill="C6EFCE"/>
            <w:noWrap/>
            <w:vAlign w:val="center"/>
            <w:hideMark/>
          </w:tcPr>
          <w:p w14:paraId="08AB14F1" w14:textId="77777777" w:rsidR="004C6421" w:rsidRDefault="009D1962">
            <w:pPr>
              <w:pStyle w:val="P68B1DB1-Normal4"/>
              <w:jc w:val="center"/>
              <w:rPr>
                <w:noProof/>
              </w:rPr>
            </w:pPr>
            <w:r>
              <w:rPr>
                <w:noProof/>
              </w:rPr>
              <w:t>NIE DOT.</w:t>
            </w:r>
          </w:p>
        </w:tc>
        <w:tc>
          <w:tcPr>
            <w:tcW w:w="332" w:type="pct"/>
            <w:shd w:val="clear" w:color="auto" w:fill="C6EFCE"/>
            <w:noWrap/>
            <w:vAlign w:val="center"/>
            <w:hideMark/>
          </w:tcPr>
          <w:p w14:paraId="264F2750" w14:textId="77777777" w:rsidR="004C6421" w:rsidRDefault="009D1962">
            <w:pPr>
              <w:pStyle w:val="P68B1DB1-Normal4"/>
              <w:jc w:val="center"/>
              <w:rPr>
                <w:noProof/>
              </w:rPr>
            </w:pPr>
            <w:r>
              <w:rPr>
                <w:noProof/>
              </w:rPr>
              <w:t>II KW.</w:t>
            </w:r>
          </w:p>
        </w:tc>
        <w:tc>
          <w:tcPr>
            <w:tcW w:w="220" w:type="pct"/>
            <w:shd w:val="clear" w:color="auto" w:fill="C6EFCE"/>
            <w:noWrap/>
            <w:vAlign w:val="center"/>
            <w:hideMark/>
          </w:tcPr>
          <w:p w14:paraId="45A3DFA9" w14:textId="77777777" w:rsidR="004C6421" w:rsidRDefault="009D1962">
            <w:pPr>
              <w:pStyle w:val="P68B1DB1-Normal4"/>
              <w:jc w:val="center"/>
              <w:rPr>
                <w:noProof/>
              </w:rPr>
            </w:pPr>
            <w:r>
              <w:rPr>
                <w:noProof/>
              </w:rPr>
              <w:t>2022</w:t>
            </w:r>
          </w:p>
        </w:tc>
        <w:tc>
          <w:tcPr>
            <w:tcW w:w="1047" w:type="pct"/>
            <w:shd w:val="clear" w:color="auto" w:fill="C6EFCE"/>
            <w:noWrap/>
            <w:vAlign w:val="center"/>
            <w:hideMark/>
          </w:tcPr>
          <w:p w14:paraId="3AC827B1" w14:textId="77777777" w:rsidR="004C6421" w:rsidRDefault="004C6421">
            <w:pPr>
              <w:rPr>
                <w:rFonts w:ascii="Arial Narrow" w:hAnsi="Arial Narrow"/>
                <w:noProof/>
                <w:color w:val="006100"/>
                <w:sz w:val="20"/>
              </w:rPr>
            </w:pPr>
          </w:p>
          <w:p w14:paraId="2BA78E37" w14:textId="77777777" w:rsidR="004C6421" w:rsidRDefault="009D1962">
            <w:pPr>
              <w:rPr>
                <w:rFonts w:ascii="Arial Narrow" w:hAnsi="Arial Narrow"/>
                <w:noProof/>
                <w:color w:val="006100"/>
                <w:sz w:val="20"/>
              </w:rPr>
            </w:pPr>
            <w:r>
              <w:rPr>
                <w:rFonts w:ascii="Arial Narrow" w:hAnsi="Arial Narrow"/>
                <w:noProof/>
                <w:color w:val="006100"/>
                <w:sz w:val="20"/>
              </w:rPr>
              <w:t>Umowy podpisuje się w odniesieniu do 6 projektów:</w:t>
            </w:r>
            <w:r>
              <w:rPr>
                <w:rFonts w:ascii="Arial Narrow" w:hAnsi="Arial Narrow"/>
                <w:noProof/>
              </w:rPr>
              <w:t xml:space="preserve"> </w:t>
            </w:r>
            <w:r>
              <w:rPr>
                <w:noProof/>
              </w:rPr>
              <w:t xml:space="preserve">  </w:t>
            </w:r>
            <w:r>
              <w:rPr>
                <w:noProof/>
              </w:rPr>
              <w:br/>
            </w:r>
            <w:r>
              <w:rPr>
                <w:rFonts w:ascii="Arial Narrow" w:hAnsi="Arial Narrow"/>
                <w:noProof/>
                <w:color w:val="006100"/>
                <w:sz w:val="20"/>
              </w:rPr>
              <w:t>1) Rzymskie dziedzictwo kulturowe dla UE-Next Generation; Od Pagana Rzym do chrześcijańskiego Rzymu – drogi jubileuszowe; 3) #Lacittàcondivisa; 4) #Mitingodiverde; 5) Romowie 4,0; 6) #Amanotesa</w:t>
            </w:r>
          </w:p>
          <w:p w14:paraId="56079072" w14:textId="77777777" w:rsidR="004C6421" w:rsidRDefault="004C6421">
            <w:pPr>
              <w:rPr>
                <w:rFonts w:ascii="Arial Narrow" w:hAnsi="Arial Narrow"/>
                <w:noProof/>
                <w:color w:val="006100"/>
                <w:sz w:val="20"/>
              </w:rPr>
            </w:pPr>
          </w:p>
          <w:p w14:paraId="7B3D55A7" w14:textId="77777777" w:rsidR="004C6421" w:rsidRDefault="009D1962">
            <w:pPr>
              <w:pStyle w:val="P68B1DB1-Normal4"/>
              <w:rPr>
                <w:noProof/>
              </w:rPr>
            </w:pPr>
            <w:r>
              <w:rPr>
                <w:noProof/>
              </w:rPr>
              <w:t>Wykaz beneficjentów/organów wykonawczych obejmuje: Miasto stołeczne Rzymu; Archeologiczna nadrzędność dziedzictwa kulturowego, środowiskowego i krajobrazowego Rzymu (MIC); Park archeologiczny Colosseum;  Park archeologiczny Appia Antica; Diecezja Rzymu; Ministerstwo Turystyki; Region Lacjum.</w:t>
            </w:r>
          </w:p>
          <w:p w14:paraId="7B0BEB9D" w14:textId="77777777" w:rsidR="004C6421" w:rsidRDefault="004C6421">
            <w:pPr>
              <w:rPr>
                <w:rFonts w:ascii="Arial Narrow" w:hAnsi="Arial Narrow"/>
                <w:noProof/>
                <w:color w:val="006100"/>
                <w:sz w:val="20"/>
              </w:rPr>
            </w:pPr>
          </w:p>
          <w:p w14:paraId="135AE14C" w14:textId="77777777" w:rsidR="004C6421" w:rsidRDefault="009D1962">
            <w:pPr>
              <w:pStyle w:val="P68B1DB1-Normal4"/>
              <w:rPr>
                <w:noProof/>
              </w:rPr>
            </w:pPr>
            <w:r>
              <w:rPr>
                <w:noProof/>
              </w:rPr>
              <w:t>Przed ogłoszeniem zaproszenia do składania ofert kryteria wyboru i udzielenia zamówienia oraz specyfikę projektów określa się wraz z odpowiednimi zasobami.</w:t>
            </w:r>
          </w:p>
          <w:p w14:paraId="2081CC72" w14:textId="77777777" w:rsidR="004C6421" w:rsidRDefault="004C6421">
            <w:pPr>
              <w:rPr>
                <w:rFonts w:ascii="Arial Narrow" w:hAnsi="Arial Narrow"/>
                <w:noProof/>
                <w:color w:val="006100"/>
                <w:sz w:val="20"/>
              </w:rPr>
            </w:pPr>
          </w:p>
          <w:p w14:paraId="2E8CEEDB" w14:textId="77777777" w:rsidR="004C6421" w:rsidRDefault="009D1962">
            <w:pPr>
              <w:pStyle w:val="P68B1DB1-Normal4"/>
              <w:rPr>
                <w:noProof/>
              </w:rPr>
            </w:pPr>
            <w:r>
              <w:rPr>
                <w:noProof/>
              </w:rPr>
              <w:t>Udzielanie zamówień na projekty wybrane w ramach konkurencyjnych zaproszeń do składania wniosków musi być zgodne z wytycznymi technicznymi dotyczącymi zasady „nie czyń poważnych szkód” (2021/C58/01) poprzez wykorzystanie listy wykluczenia oraz wymóg zgodności z odpowiednimi unijnymi i krajowymi przepisami w zakresie ochrony środowiska.</w:t>
            </w:r>
          </w:p>
        </w:tc>
      </w:tr>
      <w:tr w:rsidR="004C6421" w14:paraId="16705D37" w14:textId="77777777">
        <w:trPr>
          <w:trHeight w:val="313"/>
          <w:jc w:val="center"/>
        </w:trPr>
        <w:tc>
          <w:tcPr>
            <w:tcW w:w="377" w:type="pct"/>
            <w:shd w:val="clear" w:color="auto" w:fill="C6EFCE"/>
            <w:noWrap/>
            <w:vAlign w:val="center"/>
            <w:hideMark/>
          </w:tcPr>
          <w:p w14:paraId="6C219B58" w14:textId="77777777" w:rsidR="004C6421" w:rsidRDefault="009D1962">
            <w:pPr>
              <w:pStyle w:val="P68B1DB1-Normal4"/>
              <w:jc w:val="center"/>
              <w:rPr>
                <w:noProof/>
              </w:rPr>
            </w:pPr>
            <w:r>
              <w:rPr>
                <w:noProof/>
              </w:rPr>
              <w:t>M1C3-36</w:t>
            </w:r>
          </w:p>
        </w:tc>
        <w:tc>
          <w:tcPr>
            <w:tcW w:w="520" w:type="pct"/>
            <w:shd w:val="clear" w:color="auto" w:fill="C6EFCE"/>
            <w:noWrap/>
            <w:vAlign w:val="center"/>
            <w:hideMark/>
          </w:tcPr>
          <w:p w14:paraId="60517F2B" w14:textId="77777777" w:rsidR="004C6421" w:rsidRDefault="009D1962">
            <w:pPr>
              <w:pStyle w:val="P68B1DB1-Normal4"/>
              <w:jc w:val="center"/>
              <w:rPr>
                <w:noProof/>
              </w:rPr>
            </w:pPr>
            <w:r>
              <w:rPr>
                <w:noProof/>
              </w:rPr>
              <w:t>Inwestycje – 4.3 Caput Mundi-Next Generation EU na rzecz wielkich imprez turystycznych</w:t>
            </w:r>
          </w:p>
        </w:tc>
        <w:tc>
          <w:tcPr>
            <w:tcW w:w="378" w:type="pct"/>
            <w:shd w:val="clear" w:color="auto" w:fill="C6EFCE"/>
            <w:noWrap/>
            <w:vAlign w:val="center"/>
            <w:hideMark/>
          </w:tcPr>
          <w:p w14:paraId="31888CBB" w14:textId="77777777" w:rsidR="004C6421" w:rsidRDefault="009D1962">
            <w:pPr>
              <w:pStyle w:val="P68B1DB1-Normal4"/>
              <w:jc w:val="center"/>
              <w:rPr>
                <w:noProof/>
              </w:rPr>
            </w:pPr>
            <w:r>
              <w:rPr>
                <w:noProof/>
              </w:rPr>
              <w:t>Cel</w:t>
            </w:r>
          </w:p>
        </w:tc>
        <w:tc>
          <w:tcPr>
            <w:tcW w:w="520" w:type="pct"/>
            <w:shd w:val="clear" w:color="auto" w:fill="C6EFCE"/>
            <w:noWrap/>
            <w:vAlign w:val="center"/>
            <w:hideMark/>
          </w:tcPr>
          <w:p w14:paraId="5E8BC24A" w14:textId="77777777" w:rsidR="004C6421" w:rsidRDefault="009D1962">
            <w:pPr>
              <w:pStyle w:val="P68B1DB1-Normal4"/>
              <w:jc w:val="center"/>
              <w:rPr>
                <w:noProof/>
              </w:rPr>
            </w:pPr>
            <w:r>
              <w:rPr>
                <w:noProof/>
              </w:rPr>
              <w:t>Liczba miejsc o charakterze kulturalnym i turystycznym, których przekwalifikowano</w:t>
            </w:r>
          </w:p>
        </w:tc>
        <w:tc>
          <w:tcPr>
            <w:tcW w:w="520" w:type="pct"/>
            <w:shd w:val="clear" w:color="auto" w:fill="C6EFCE"/>
            <w:noWrap/>
            <w:vAlign w:val="center"/>
            <w:hideMark/>
          </w:tcPr>
          <w:p w14:paraId="32A9815A" w14:textId="77777777" w:rsidR="004C6421" w:rsidRDefault="009D1962">
            <w:pPr>
              <w:pStyle w:val="P68B1DB1-Normal4"/>
              <w:jc w:val="center"/>
              <w:rPr>
                <w:noProof/>
              </w:rPr>
            </w:pPr>
            <w:r>
              <w:rPr>
                <w:noProof/>
              </w:rPr>
              <w:t>NIE DOT.</w:t>
            </w:r>
          </w:p>
        </w:tc>
        <w:tc>
          <w:tcPr>
            <w:tcW w:w="331" w:type="pct"/>
            <w:shd w:val="clear" w:color="auto" w:fill="C6EFCE"/>
            <w:noWrap/>
            <w:vAlign w:val="center"/>
            <w:hideMark/>
          </w:tcPr>
          <w:p w14:paraId="2BD425D3" w14:textId="77777777" w:rsidR="004C6421" w:rsidRDefault="009D1962">
            <w:pPr>
              <w:pStyle w:val="P68B1DB1-Normal4"/>
              <w:jc w:val="center"/>
              <w:rPr>
                <w:noProof/>
              </w:rPr>
            </w:pPr>
            <w:r>
              <w:rPr>
                <w:noProof/>
              </w:rPr>
              <w:t>Numer</w:t>
            </w:r>
          </w:p>
        </w:tc>
        <w:tc>
          <w:tcPr>
            <w:tcW w:w="332" w:type="pct"/>
            <w:shd w:val="clear" w:color="auto" w:fill="C6EFCE"/>
            <w:noWrap/>
            <w:vAlign w:val="center"/>
            <w:hideMark/>
          </w:tcPr>
          <w:p w14:paraId="04BBD81D" w14:textId="77777777" w:rsidR="004C6421" w:rsidRDefault="009D1962">
            <w:pPr>
              <w:pStyle w:val="P68B1DB1-Normal4"/>
              <w:jc w:val="center"/>
              <w:rPr>
                <w:noProof/>
              </w:rPr>
            </w:pPr>
            <w:r>
              <w:rPr>
                <w:noProof/>
              </w:rPr>
              <w:t>0</w:t>
            </w:r>
          </w:p>
        </w:tc>
        <w:tc>
          <w:tcPr>
            <w:tcW w:w="424" w:type="pct"/>
            <w:shd w:val="clear" w:color="auto" w:fill="C6EFCE"/>
            <w:noWrap/>
            <w:vAlign w:val="center"/>
            <w:hideMark/>
          </w:tcPr>
          <w:p w14:paraId="355E7673" w14:textId="77777777" w:rsidR="004C6421" w:rsidRDefault="009D1962">
            <w:pPr>
              <w:pStyle w:val="P68B1DB1-Normal4"/>
              <w:jc w:val="center"/>
              <w:rPr>
                <w:noProof/>
              </w:rPr>
            </w:pPr>
            <w:r>
              <w:rPr>
                <w:noProof/>
              </w:rPr>
              <w:t>200</w:t>
            </w:r>
          </w:p>
        </w:tc>
        <w:tc>
          <w:tcPr>
            <w:tcW w:w="332" w:type="pct"/>
            <w:shd w:val="clear" w:color="auto" w:fill="C6EFCE"/>
            <w:noWrap/>
            <w:vAlign w:val="center"/>
            <w:hideMark/>
          </w:tcPr>
          <w:p w14:paraId="03F2F02C" w14:textId="77777777" w:rsidR="004C6421" w:rsidRDefault="009D1962">
            <w:pPr>
              <w:pStyle w:val="P68B1DB1-Normal4"/>
              <w:jc w:val="center"/>
              <w:rPr>
                <w:noProof/>
              </w:rPr>
            </w:pPr>
            <w:r>
              <w:rPr>
                <w:noProof/>
              </w:rPr>
              <w:t>II KW.</w:t>
            </w:r>
          </w:p>
        </w:tc>
        <w:tc>
          <w:tcPr>
            <w:tcW w:w="220" w:type="pct"/>
            <w:shd w:val="clear" w:color="auto" w:fill="C6EFCE"/>
            <w:noWrap/>
            <w:vAlign w:val="center"/>
            <w:hideMark/>
          </w:tcPr>
          <w:p w14:paraId="19F48C06" w14:textId="77777777" w:rsidR="004C6421" w:rsidRDefault="009D1962">
            <w:pPr>
              <w:pStyle w:val="P68B1DB1-Normal4"/>
              <w:jc w:val="center"/>
              <w:rPr>
                <w:noProof/>
              </w:rPr>
            </w:pPr>
            <w:r>
              <w:rPr>
                <w:noProof/>
              </w:rPr>
              <w:t>2026</w:t>
            </w:r>
          </w:p>
        </w:tc>
        <w:tc>
          <w:tcPr>
            <w:tcW w:w="1047" w:type="pct"/>
            <w:shd w:val="clear" w:color="auto" w:fill="C6EFCE"/>
            <w:noWrap/>
            <w:vAlign w:val="center"/>
            <w:hideMark/>
          </w:tcPr>
          <w:p w14:paraId="55AC72F5" w14:textId="77777777" w:rsidR="004C6421" w:rsidRDefault="009D1962">
            <w:pPr>
              <w:pStyle w:val="P68B1DB1-Normal4"/>
              <w:rPr>
                <w:noProof/>
              </w:rPr>
            </w:pPr>
            <w:r>
              <w:rPr>
                <w:noProof/>
              </w:rPr>
              <w:t>Inwestycja obejmuje interwencje obejmujące:</w:t>
            </w:r>
          </w:p>
          <w:p w14:paraId="53C3045C" w14:textId="77777777" w:rsidR="004C6421" w:rsidRDefault="009D1962">
            <w:pPr>
              <w:pStyle w:val="P68B1DB1-ListParagraph5"/>
              <w:numPr>
                <w:ilvl w:val="0"/>
                <w:numId w:val="92"/>
              </w:numPr>
              <w:ind w:left="362" w:hanging="284"/>
              <w:jc w:val="left"/>
              <w:rPr>
                <w:noProof/>
              </w:rPr>
            </w:pPr>
            <w:r>
              <w:rPr>
                <w:noProof/>
              </w:rPr>
              <w:t xml:space="preserve">1.rewitalizacja i odbudowa dziedzictwa kulturowego i miejskiego oraz kompleksów o wysokiej wartości historycznej i architektonicznej miasta Rzym w linii inwestycyjnej „Romskie dziedzictwo kulturowe dla pokolenia UE-Next Generation”;  </w:t>
            </w:r>
          </w:p>
          <w:p w14:paraId="7B8B11B7" w14:textId="77777777" w:rsidR="004C6421" w:rsidRDefault="009D1962">
            <w:pPr>
              <w:pStyle w:val="P68B1DB1-ListParagraph5"/>
              <w:numPr>
                <w:ilvl w:val="0"/>
                <w:numId w:val="92"/>
              </w:numPr>
              <w:tabs>
                <w:tab w:val="left" w:pos="1340"/>
                <w:tab w:val="left" w:pos="1341"/>
              </w:tabs>
              <w:spacing w:after="0"/>
              <w:ind w:left="362" w:hanging="284"/>
              <w:jc w:val="left"/>
              <w:rPr>
                <w:noProof/>
              </w:rPr>
            </w:pPr>
            <w:r>
              <w:rPr>
                <w:noProof/>
              </w:rPr>
              <w:t>poprawa, bezpieczeństwo, konsolidacja antysejsmiczna, renowacja miejsc i budynków o znaczeniu historycznym oraz ścieżki archeologiczne dla linii inwestycyjnej „ścieżki czerwcowe”;</w:t>
            </w:r>
          </w:p>
          <w:p w14:paraId="21338096" w14:textId="77777777" w:rsidR="004C6421" w:rsidRDefault="009D1962">
            <w:pPr>
              <w:pStyle w:val="P68B1DB1-ListParagraph5"/>
              <w:numPr>
                <w:ilvl w:val="0"/>
                <w:numId w:val="92"/>
              </w:numPr>
              <w:tabs>
                <w:tab w:val="left" w:pos="1340"/>
                <w:tab w:val="left" w:pos="1341"/>
              </w:tabs>
              <w:spacing w:after="0"/>
              <w:ind w:left="362" w:hanging="284"/>
              <w:jc w:val="left"/>
              <w:rPr>
                <w:noProof/>
              </w:rPr>
            </w:pPr>
            <w:r>
              <w:rPr>
                <w:noProof/>
              </w:rPr>
              <w:t>przebudowę terenów na obszarach peryferyjnych w ramach linii inwestycyjnej „#LaCittàCondivisa”;</w:t>
            </w:r>
          </w:p>
          <w:p w14:paraId="4FD8AB92" w14:textId="77777777" w:rsidR="004C6421" w:rsidRDefault="009D1962">
            <w:pPr>
              <w:pStyle w:val="P68B1DB1-ListParagraph5"/>
              <w:numPr>
                <w:ilvl w:val="0"/>
                <w:numId w:val="92"/>
              </w:numPr>
              <w:ind w:left="362" w:hanging="284"/>
              <w:jc w:val="left"/>
              <w:rPr>
                <w:noProof/>
              </w:rPr>
            </w:pPr>
            <w:r>
              <w:rPr>
                <w:noProof/>
              </w:rPr>
              <w:t>interwencje w parkach, ogrodach historycznych, forach i fontannach w ramach linii inwestycyjnej #Mitingodiverde;</w:t>
            </w:r>
          </w:p>
          <w:p w14:paraId="463AD8E7" w14:textId="77777777" w:rsidR="004C6421" w:rsidRDefault="009D1962">
            <w:pPr>
              <w:pStyle w:val="P68B1DB1-ListParagraph5"/>
              <w:numPr>
                <w:ilvl w:val="0"/>
                <w:numId w:val="92"/>
              </w:numPr>
              <w:ind w:left="362" w:hanging="284"/>
              <w:jc w:val="left"/>
              <w:rPr>
                <w:noProof/>
              </w:rPr>
            </w:pPr>
            <w:r>
              <w:rPr>
                <w:noProof/>
              </w:rPr>
              <w:t>cyfryzacji usług kulturalnych i rozwoju aplikacji dla turystów lub linii inwestycyjnej #Roma 4.0;</w:t>
            </w:r>
          </w:p>
          <w:p w14:paraId="5AA00017" w14:textId="77777777" w:rsidR="004C6421" w:rsidRDefault="009D1962">
            <w:pPr>
              <w:pStyle w:val="P68B1DB1-ListParagraph5"/>
              <w:numPr>
                <w:ilvl w:val="0"/>
                <w:numId w:val="92"/>
              </w:numPr>
              <w:ind w:left="362" w:hanging="284"/>
              <w:jc w:val="left"/>
              <w:rPr>
                <w:noProof/>
              </w:rPr>
            </w:pPr>
            <w:r>
              <w:rPr>
                <w:noProof/>
              </w:rPr>
              <w:t>interwencje mające na celu zwiększenie oferty kulturalnej dla peryferiów na rzecz integracji społecznej w ramach linii inwestycyjnej #Amanotesa.</w:t>
            </w:r>
          </w:p>
          <w:p w14:paraId="47305AF5" w14:textId="77777777" w:rsidR="004C6421" w:rsidRDefault="004C6421">
            <w:pPr>
              <w:pStyle w:val="ListParagraph"/>
              <w:tabs>
                <w:tab w:val="left" w:pos="1340"/>
                <w:tab w:val="left" w:pos="1341"/>
              </w:tabs>
              <w:spacing w:after="0"/>
              <w:jc w:val="left"/>
              <w:rPr>
                <w:rFonts w:ascii="Arial Narrow" w:hAnsi="Arial Narrow"/>
                <w:noProof/>
                <w:color w:val="006100"/>
                <w:sz w:val="20"/>
              </w:rPr>
            </w:pPr>
          </w:p>
          <w:p w14:paraId="251E325C" w14:textId="77777777" w:rsidR="004C6421" w:rsidRDefault="009D1962">
            <w:pPr>
              <w:pStyle w:val="P68B1DB1-Normal4"/>
              <w:rPr>
                <w:noProof/>
              </w:rPr>
            </w:pPr>
            <w:r>
              <w:rPr>
                <w:noProof/>
              </w:rPr>
              <w:t xml:space="preserve">Inwestycja obejmuje działania w zakresie przekwalifikowania prowadzone w co najmniej 5 miejscach archeologicznych/kulturalnych w ramach linii inwestycyjnej „Rzymskie dziedzictwo kulturowe dla pokolenia UE-Next Generation”, co najmniej 125 stanowisk archeologicznych/kulturalnych na „ścieżki żużlowe”; co najmniej 50 stanowisk archeologicznych/kulturowych na #Lacittàcondivisa; co najmniej 15 stanowisk archeologicznych/kulturowych na #Mitingodiverde, co najmniej 5 stanowisk archeologicznych/kulturowych dla Romów 4,0 </w:t>
            </w:r>
          </w:p>
          <w:p w14:paraId="127EC698" w14:textId="77777777" w:rsidR="004C6421" w:rsidRDefault="004C6421">
            <w:pPr>
              <w:rPr>
                <w:rFonts w:ascii="Arial Narrow" w:hAnsi="Arial Narrow"/>
                <w:noProof/>
                <w:color w:val="006100"/>
                <w:sz w:val="20"/>
              </w:rPr>
            </w:pPr>
          </w:p>
          <w:p w14:paraId="24958086" w14:textId="77777777" w:rsidR="004C6421" w:rsidRDefault="009D1962">
            <w:pPr>
              <w:pStyle w:val="P68B1DB1-Normal4"/>
              <w:rPr>
                <w:noProof/>
              </w:rPr>
            </w:pPr>
            <w:r>
              <w:rPr>
                <w:noProof/>
              </w:rPr>
              <w:t>Zadowalające osiągnięcie celu zależy również od ukończenia wszystkich projektów w ramach linii inwestycyjnej „#Amanotesa” oraz od dostępności dla ogółu społeczeństwa aplikacji „CaputMundi – Roma4U”.</w:t>
            </w:r>
          </w:p>
        </w:tc>
      </w:tr>
    </w:tbl>
    <w:p w14:paraId="6FB4B3DC" w14:textId="77777777" w:rsidR="004C6421" w:rsidRDefault="004C6421">
      <w:pPr>
        <w:rPr>
          <w:b/>
          <w:noProof/>
        </w:rPr>
      </w:pPr>
    </w:p>
    <w:p w14:paraId="0264F78F" w14:textId="77777777" w:rsidR="004C6421" w:rsidRDefault="004C6421">
      <w:pPr>
        <w:rPr>
          <w:b/>
          <w:noProof/>
        </w:rPr>
      </w:pPr>
    </w:p>
    <w:p w14:paraId="7679ED81" w14:textId="77777777" w:rsidR="004C6421" w:rsidRDefault="004C6421">
      <w:pPr>
        <w:spacing w:before="120" w:after="120"/>
        <w:jc w:val="both"/>
        <w:rPr>
          <w:noProof/>
        </w:rPr>
        <w:sectPr w:rsidR="004C6421" w:rsidSect="00797973">
          <w:headerReference w:type="even" r:id="rId104"/>
          <w:headerReference w:type="default" r:id="rId105"/>
          <w:footerReference w:type="even" r:id="rId106"/>
          <w:footerReference w:type="default" r:id="rId107"/>
          <w:headerReference w:type="first" r:id="rId108"/>
          <w:footerReference w:type="first" r:id="rId109"/>
          <w:pgSz w:w="16839" w:h="11907" w:orient="landscape"/>
          <w:pgMar w:top="1134" w:right="1134" w:bottom="1134" w:left="1134" w:header="567" w:footer="567" w:gutter="0"/>
          <w:cols w:space="720"/>
          <w:docGrid w:linePitch="360"/>
        </w:sectPr>
      </w:pPr>
    </w:p>
    <w:p w14:paraId="3E9975C9" w14:textId="77777777" w:rsidR="004C6421" w:rsidRDefault="009D1962">
      <w:pPr>
        <w:pStyle w:val="Heading2"/>
        <w:numPr>
          <w:ilvl w:val="0"/>
          <w:numId w:val="0"/>
        </w:numPr>
        <w:ind w:left="850" w:hanging="850"/>
        <w:rPr>
          <w:noProof/>
        </w:rPr>
      </w:pPr>
      <w:r>
        <w:rPr>
          <w:noProof/>
        </w:rPr>
        <w:t>D. ZADANIE 2 – KOMPONENT 1: Gospodarka o obiegu zamkniętym, sektor rolno-spożywczy i transformacja ekologiczna</w:t>
      </w:r>
    </w:p>
    <w:p w14:paraId="20487D9B" w14:textId="77777777" w:rsidR="004C6421" w:rsidRDefault="009D1962">
      <w:pPr>
        <w:spacing w:before="120" w:after="120"/>
        <w:jc w:val="both"/>
        <w:rPr>
          <w:noProof/>
        </w:rPr>
      </w:pPr>
      <w:r>
        <w:rPr>
          <w:noProof/>
        </w:rPr>
        <w:t xml:space="preserve">Ten element włoskiego planu odbudowy i zwiększania odporności obejmuje inwestycje i reformy w zakresie gospodarowania odpadami, gospodarki o obiegu zamkniętym, wsparcia dla rolno-spożywczych łańcuchów wartości i transformacji ekologicznej. Uzupełnieniem tych reform i inwestycji są reformy mające na celu zwiększenie konkurencji w zakresie gospodarowania odpadami i lokalnych usług publicznych w ramach komponentu „otoczenie biznesu” oraz zwiększenie zużycia wody w rolnictwie. Komponent ten stanowi odpowiedź na zalecenia dla poszczególnych krajów dotyczące ukierunkowania inwestycji na transformację ekologiczną, w tym na gospodarkę o obiegu zamkniętym.  </w:t>
      </w:r>
    </w:p>
    <w:p w14:paraId="18077821" w14:textId="77777777" w:rsidR="004C6421" w:rsidRDefault="009D1962">
      <w:pPr>
        <w:spacing w:before="120" w:after="120"/>
        <w:jc w:val="both"/>
        <w:rPr>
          <w:noProof/>
        </w:rPr>
      </w:pPr>
      <w:r>
        <w:rPr>
          <w:noProof/>
        </w:rPr>
        <w:t>Inwestycje i reformy w ramach tego komponentu przyczyniają się do realizacji zaleceń dla poszczególnych krajów skierowanych do Włoch w latach 2020 i 2019 dotyczących potrzeby „koncentrowania inwestycji na zielonej i cyfrowej transformacji, w szczególności na [...] gospodarkę odpadami i gospodarką wodną” (zalecenie 3, 2020 r.) oraz „koncentrowania polityki gospodarczej związanej z inwestycjami na [...] i na jakości infrastruktury, z uwzględnieniem również różnic regionalnych” (zalecenie dla poszczególnych krajów nr 3, 2019).</w:t>
      </w:r>
    </w:p>
    <w:p w14:paraId="71985523" w14:textId="77777777" w:rsidR="004C6421" w:rsidRDefault="009D1962">
      <w:pPr>
        <w:spacing w:before="120" w:after="120"/>
        <w:jc w:val="both"/>
        <w:rPr>
          <w:noProof/>
        </w:rPr>
      </w:pPr>
      <w:r>
        <w:rPr>
          <w:noProof/>
        </w:rPr>
        <w:t xml:space="preserve">Oczekuje się, że żaden środek w ramach tego komponentu nie spowoduje znaczącej szkody w realizacji celów środowiskowych w rozumieniu art. 17 rozporządzenia (UE) 2020/852, biorąc pod uwagę opis środków i działań łagodzących określonych w planie odbudowy i zwiększania odporności zgodnie z wytycznymi technicznymi dotyczącymi zasady „nie czyń poważnych szkód” (2021/C58/01).  </w:t>
      </w:r>
    </w:p>
    <w:p w14:paraId="7C072708" w14:textId="77777777" w:rsidR="004C6421" w:rsidRDefault="009D1962">
      <w:pPr>
        <w:pStyle w:val="Heading3"/>
        <w:numPr>
          <w:ilvl w:val="0"/>
          <w:numId w:val="0"/>
        </w:numPr>
        <w:ind w:left="850" w:hanging="850"/>
        <w:rPr>
          <w:b/>
          <w:i w:val="0"/>
          <w:noProof/>
          <w:u w:val="single"/>
        </w:rPr>
      </w:pPr>
      <w:r>
        <w:rPr>
          <w:b/>
          <w:i w:val="0"/>
          <w:noProof/>
          <w:u w:val="single"/>
        </w:rPr>
        <w:t>D.1.</w:t>
      </w:r>
      <w:r>
        <w:rPr>
          <w:b/>
          <w:noProof/>
          <w:u w:val="single"/>
        </w:rPr>
        <w:t xml:space="preserve"> </w:t>
      </w:r>
      <w:r>
        <w:rPr>
          <w:noProof/>
        </w:rPr>
        <w:t xml:space="preserve"> </w:t>
      </w:r>
      <w:r>
        <w:rPr>
          <w:b/>
          <w:i w:val="0"/>
          <w:noProof/>
          <w:u w:val="single"/>
        </w:rPr>
        <w:t xml:space="preserve">Opis reform i inwestycji, które mają być finansowane z bezzwrotnego wsparcia finansowego </w:t>
      </w:r>
    </w:p>
    <w:p w14:paraId="39715FE8" w14:textId="77777777" w:rsidR="004C6421" w:rsidRDefault="009D1962">
      <w:pPr>
        <w:pStyle w:val="Axistitle"/>
        <w:ind w:left="0"/>
        <w:rPr>
          <w:noProof/>
        </w:rPr>
      </w:pPr>
      <w:r>
        <w:rPr>
          <w:noProof/>
        </w:rPr>
        <w:t xml:space="preserve">Gospodarki o obiegu zamkniętym </w:t>
      </w:r>
    </w:p>
    <w:p w14:paraId="4D7926D0" w14:textId="77777777" w:rsidR="004C6421" w:rsidRDefault="009D1962">
      <w:pPr>
        <w:pStyle w:val="P68B1DB1-Normal2"/>
        <w:spacing w:before="120" w:after="120"/>
        <w:jc w:val="both"/>
        <w:rPr>
          <w:noProof/>
        </w:rPr>
      </w:pPr>
      <w:r>
        <w:rPr>
          <w:noProof/>
        </w:rPr>
        <w:t>Reforma 1.1 – Krajowa strategia na rzecz gospodarki o obiegu zamkniętym</w:t>
      </w:r>
    </w:p>
    <w:p w14:paraId="3BD2EA1B" w14:textId="77777777" w:rsidR="004C6421" w:rsidRDefault="009D1962">
      <w:pPr>
        <w:spacing w:before="120" w:after="120"/>
        <w:jc w:val="both"/>
        <w:rPr>
          <w:noProof/>
        </w:rPr>
      </w:pPr>
      <w:r>
        <w:rPr>
          <w:noProof/>
        </w:rPr>
        <w:t>Reforma ta polega na przyjęciu szeroko zakrojonej krajowej strategii na rzecz gospodarki o obiegu zamkniętym obejmującej nowy cyfrowy system identyfikowalności odpadów, zachęty podatkowe wspierające działania w zakresie recyklingu i wykorzystania surowców wtórnych, przegląd opodatkowania środowiskowego, prawo do ponownego użycia i naprawy, reformę systemu rozszerzonej odpowiedzialności producenta i konsorcjów, wsparcie dla istniejących narzędzi regulacyjnych (takich jak przepisy dotyczące zniesienia statusu odpadów i minimalne kryteria środowiskowe w ramach zielonych zamówień publicznych) oraz wsparcie projektu symbiozy przemysłowej. Reforma systemu rozszerzonej odpowiedzialności producenta i konsorcjów uwzględnia również potrzebę bardziej efektywnego wykorzystania wkładu środowiskowego w celu zapewnienia stosowania przejrzystych i niedyskryminacyjnych kryteriów. Utworzony zostanie specjalny organ nadzorczy w celu monitorowania funkcjonowania i skuteczności systemów konsorcjów pod przewodnictwem Ministerstwa Transformacji Ekologicznej (MITE). Środek ten dotyczy wszystkich konsorcjów (nie tylko systemu pakowania CONAI).</w:t>
      </w:r>
    </w:p>
    <w:p w14:paraId="256BE0E8" w14:textId="77777777" w:rsidR="004C6421" w:rsidRDefault="009D1962">
      <w:pPr>
        <w:pStyle w:val="P68B1DB1-Normal2"/>
        <w:spacing w:before="120" w:after="120"/>
        <w:jc w:val="both"/>
        <w:rPr>
          <w:noProof/>
        </w:rPr>
      </w:pPr>
      <w:r>
        <w:rPr>
          <w:noProof/>
        </w:rPr>
        <w:t>Reforma 1.3 – Wsparcie techniczne dla władz lokalnych</w:t>
      </w:r>
    </w:p>
    <w:p w14:paraId="369FE89E" w14:textId="77777777" w:rsidR="004C6421" w:rsidRDefault="009D1962">
      <w:pPr>
        <w:spacing w:before="120" w:after="120"/>
        <w:jc w:val="both"/>
        <w:rPr>
          <w:noProof/>
        </w:rPr>
      </w:pPr>
      <w:r>
        <w:rPr>
          <w:noProof/>
        </w:rPr>
        <w:t>Reforma ta obejmuje wsparcie techniczne ze strony rządu dla władz lokalnych w zakresie wdrażania unijnych i krajowych regulacji w zakresie ochrony środowiska, opracowywania planów i projektów dotyczących gospodarowania odpadami oraz procedur przetargowych. Wsparcie w zakresie procedur przetargowych gwarantuje, że koncesje na gospodarowanie odpadami są przyznawane w sposób przejrzysty i niedyskryminacyjny, zwiększając konkurencyjne procesy w celu osiągnięcia lepszych standardów w zakresie usług publicznych. Reforma ta wspiera zatem wdrożenie reform gospodarowania odpadami zaproponowanych w ramach komponentu dotyczącego reformy otoczenia biznesu. Wsparcie techniczne obejmuje również zielone zamówienia publiczne.</w:t>
      </w:r>
    </w:p>
    <w:p w14:paraId="2FABC20D" w14:textId="77777777" w:rsidR="004C6421" w:rsidRDefault="004C6421">
      <w:pPr>
        <w:spacing w:before="120" w:after="120"/>
        <w:jc w:val="both"/>
        <w:rPr>
          <w:b/>
          <w:noProof/>
        </w:rPr>
        <w:sectPr w:rsidR="004C6421" w:rsidSect="00797973">
          <w:headerReference w:type="even" r:id="rId110"/>
          <w:headerReference w:type="default" r:id="rId111"/>
          <w:footerReference w:type="even" r:id="rId112"/>
          <w:footerReference w:type="default" r:id="rId113"/>
          <w:headerReference w:type="first" r:id="rId114"/>
          <w:footerReference w:type="first" r:id="rId115"/>
          <w:pgSz w:w="11907" w:h="16839"/>
          <w:pgMar w:top="1440" w:right="1440" w:bottom="1440" w:left="1440" w:header="567" w:footer="567" w:gutter="0"/>
          <w:cols w:space="720"/>
          <w:docGrid w:linePitch="360"/>
        </w:sectPr>
      </w:pPr>
    </w:p>
    <w:p w14:paraId="6B403F97" w14:textId="77777777" w:rsidR="004C6421" w:rsidRDefault="009D1962">
      <w:pPr>
        <w:pStyle w:val="P68B1DB1-Normal2"/>
        <w:spacing w:before="120" w:after="120"/>
        <w:jc w:val="both"/>
        <w:rPr>
          <w:noProof/>
        </w:rPr>
      </w:pPr>
      <w:r>
        <w:rPr>
          <w:noProof/>
        </w:rPr>
        <w:t>Inwestycje 2.1 – Plan logistyki dla sektorów rolno-spożywczego, rybołówstwa i akwakultury, leśnictwa, kwiaciarstwa i szkółek roślin</w:t>
      </w:r>
    </w:p>
    <w:p w14:paraId="1AD48004" w14:textId="77777777" w:rsidR="004C6421" w:rsidRDefault="009D1962">
      <w:pPr>
        <w:spacing w:before="120" w:after="120"/>
        <w:jc w:val="both"/>
        <w:rPr>
          <w:noProof/>
        </w:rPr>
      </w:pPr>
      <w:r>
        <w:rPr>
          <w:noProof/>
        </w:rPr>
        <w:t xml:space="preserve">Środek ten polega na przyznaniu wsparcia na rzecz inwestycji materialnych i niematerialnych (takich jak obiekty magazynowania surowców rolnych, przetwarzanie i ochrona surowców, cyfryzacja logistyki i interwencje infrastrukturalne na rynkach żywności), inwestycje w transport żywności i logistykę w celu zmniejszenia kosztów środowiskowych i gospodarczych oraz innowacji w zakresie procesów produkcyjnych, rolnictwo precyzyjne i identyfikowalność (takie jak łańcuch bloków). Kryteria wyboru muszą być spójne z oceną potrzeb opracowaną w ramach planu strategicznego wspólnej polityki rolnej przez Ministerstwo Polityki Rolnej, Żywnościowej i Leśnej. Środek ten ma na celu zachęcanie do redukcji emisji na etapach transportu i logistyki w sektorze rolno-spożywczym za pomocą pojazdów elektrycznych i systemów transportowych oraz pobudzanie cyfryzacji sektora i wykorzystania energii ze źródeł odnawialnych. </w:t>
      </w:r>
    </w:p>
    <w:p w14:paraId="653FCC2D" w14:textId="77777777" w:rsidR="004C6421" w:rsidRDefault="009D1962">
      <w:pPr>
        <w:pStyle w:val="P68B1DB1-Normal2"/>
        <w:spacing w:before="120" w:after="120"/>
        <w:jc w:val="both"/>
        <w:rPr>
          <w:noProof/>
        </w:rPr>
      </w:pPr>
      <w:r>
        <w:rPr>
          <w:noProof/>
        </w:rPr>
        <w:t>Inwestycje 2.2 – Park rolno-słoneczny</w:t>
      </w:r>
    </w:p>
    <w:p w14:paraId="5B88D96D" w14:textId="77777777" w:rsidR="004C6421" w:rsidRDefault="009D1962">
      <w:pPr>
        <w:spacing w:before="120" w:after="120"/>
        <w:jc w:val="both"/>
        <w:rPr>
          <w:noProof/>
        </w:rPr>
      </w:pPr>
      <w:r>
        <w:rPr>
          <w:noProof/>
        </w:rPr>
        <w:t xml:space="preserve">Środek ten polega na przyznaniu wsparcia na inwestycje w struktury produkcyjne sektora rolnego, hodowlanego i rolno-przemysłowego, usunięcie i unieszkodliwienie istniejącego dachu oraz budowę nowego izolowanego dachu, stworzenie automatycznych systemów wentylacji i/lub chłodzenia oraz instalację paneli słonecznych, inteligentne zarządzanie przepływami i akumulatorami. </w:t>
      </w:r>
    </w:p>
    <w:p w14:paraId="2C0A06D6" w14:textId="77777777" w:rsidR="004C6421" w:rsidRDefault="009D1962">
      <w:pPr>
        <w:pStyle w:val="P68B1DB1-Normal2"/>
        <w:spacing w:before="120" w:after="120"/>
        <w:jc w:val="both"/>
        <w:rPr>
          <w:noProof/>
        </w:rPr>
      </w:pPr>
      <w:r>
        <w:rPr>
          <w:noProof/>
        </w:rPr>
        <w:t>Inwestycje 2.3 – Innowacje i mechanizacja w sektorze rolnym i spożywczym</w:t>
      </w:r>
    </w:p>
    <w:p w14:paraId="17B50A39" w14:textId="77777777" w:rsidR="004C6421" w:rsidRDefault="009D1962">
      <w:pPr>
        <w:spacing w:before="120" w:after="120"/>
        <w:jc w:val="both"/>
        <w:rPr>
          <w:noProof/>
        </w:rPr>
      </w:pPr>
      <w:r>
        <w:rPr>
          <w:noProof/>
        </w:rPr>
        <w:t>Środek ten polega na przyznaniu wsparcia na inwestycje w rzeczowe aktywa trwałe oraz wartości niematerialne i prawne mające na celu:</w:t>
      </w:r>
    </w:p>
    <w:p w14:paraId="1755F551" w14:textId="77777777" w:rsidR="004C6421" w:rsidRDefault="009D1962">
      <w:pPr>
        <w:numPr>
          <w:ilvl w:val="0"/>
          <w:numId w:val="68"/>
        </w:numPr>
        <w:spacing w:before="120" w:after="120" w:line="259" w:lineRule="auto"/>
        <w:ind w:left="360"/>
        <w:contextualSpacing/>
        <w:jc w:val="both"/>
        <w:rPr>
          <w:noProof/>
        </w:rPr>
      </w:pPr>
      <w:r>
        <w:rPr>
          <w:noProof/>
        </w:rPr>
        <w:t>innowacje i mechanizacja rolnictwa, w szczególności maszyny terenowe;</w:t>
      </w:r>
    </w:p>
    <w:p w14:paraId="57B0D846" w14:textId="77777777" w:rsidR="004C6421" w:rsidRDefault="009D1962">
      <w:pPr>
        <w:numPr>
          <w:ilvl w:val="0"/>
          <w:numId w:val="68"/>
        </w:numPr>
        <w:spacing w:before="120" w:after="120" w:line="259" w:lineRule="auto"/>
        <w:ind w:left="360"/>
        <w:contextualSpacing/>
        <w:jc w:val="both"/>
        <w:rPr>
          <w:i/>
          <w:noProof/>
        </w:rPr>
      </w:pPr>
      <w:r>
        <w:rPr>
          <w:noProof/>
        </w:rPr>
        <w:t>innowacje w procesach przetwarzania, przechowywania i pakowania oliwy z oliwek najwyższej jakości z pierwszego tłoczenia.</w:t>
      </w:r>
    </w:p>
    <w:p w14:paraId="3665E9F2" w14:textId="77777777" w:rsidR="004C6421" w:rsidRDefault="009D1962">
      <w:pPr>
        <w:spacing w:before="120" w:after="120" w:line="259" w:lineRule="auto"/>
        <w:contextualSpacing/>
        <w:jc w:val="both"/>
        <w:rPr>
          <w:noProof/>
        </w:rPr>
      </w:pPr>
      <w:r>
        <w:rPr>
          <w:noProof/>
        </w:rPr>
        <w:t xml:space="preserve">Maszyny terenowe muszą być bezemisyjne lub są eksploatowane wyłącznie biometanem zgodnym z kryteriami określonymi w dyrektywie 2018/2001 (dyrektywa RED II). Producenci biopaliw i biometanu oraz biopaliw muszą przedstawić certyfikaty (dowód zrównoważonego rozwoju) wydawane przez niezależnych oceniających, jak przewidziano w dyrektywie 2018/2001. Operator nabywa świadectwa pochodzenia proporcjonalne do przewidywanego zużycia paliwa.  </w:t>
      </w:r>
    </w:p>
    <w:p w14:paraId="7ECCADB2" w14:textId="77777777" w:rsidR="004C6421" w:rsidRDefault="009D1962">
      <w:pPr>
        <w:pStyle w:val="P68B1DB1-Normal2"/>
        <w:spacing w:before="120" w:after="120"/>
        <w:jc w:val="both"/>
        <w:rPr>
          <w:noProof/>
        </w:rPr>
      </w:pPr>
      <w:r>
        <w:rPr>
          <w:noProof/>
        </w:rPr>
        <w:t>Inwestycje 3.3 – Kultura i świadomość w zakresie zagadnień i wyzwań środowiskowych</w:t>
      </w:r>
    </w:p>
    <w:p w14:paraId="0D307C21" w14:textId="77777777" w:rsidR="004C6421" w:rsidRDefault="009D1962">
      <w:pPr>
        <w:spacing w:before="120" w:after="120"/>
        <w:jc w:val="both"/>
        <w:rPr>
          <w:noProof/>
        </w:rPr>
        <w:sectPr w:rsidR="004C6421" w:rsidSect="00797973">
          <w:headerReference w:type="even" r:id="rId116"/>
          <w:headerReference w:type="default" r:id="rId117"/>
          <w:footerReference w:type="even" r:id="rId118"/>
          <w:footerReference w:type="default" r:id="rId119"/>
          <w:headerReference w:type="first" r:id="rId120"/>
          <w:footerReference w:type="first" r:id="rId121"/>
          <w:pgSz w:w="11907" w:h="16839"/>
          <w:pgMar w:top="1440" w:right="1440" w:bottom="1440" w:left="1440" w:header="567" w:footer="567" w:gutter="0"/>
          <w:cols w:space="720"/>
          <w:docGrid w:linePitch="360"/>
        </w:sectPr>
      </w:pPr>
      <w:r>
        <w:rPr>
          <w:noProof/>
        </w:rPr>
        <w:t>Inwestycja ta polega na projektowaniu i produkcji treści cyfrowych w celu zwiększenia świadomości na temat wyzwań środowiskowych i klimatycznych. Treści cyfrowe składają się z podcastów, lekcji, filmów wideo i artykułów. Tworzy się internetową, niezawierającą subskrypcji platformę, która ma stać się najbardziej kompleksowym „repozytorium” materiałów edukacyjnych i rekreacyjnych na tematy związane ze środowiskiem. Oczekuje się, że produkcja treści cyfrowych będzie angażować kluczowych influencerów. Przykładami tematów poruszanych różnymi kanałami mogą być: zasady transformacji, koszyk energetyczny i rola odnawialnych źródeł energii, zmiana klimatu, zrównoważony charakter atmosfery i temperatury na świecie, ukryta rola oceanów, rezerw wody, indywidualny i organizacyjny ślad ekologiczny, gospodarka o obiegu zamkniętym i nowe rolnictwo.</w:t>
      </w:r>
    </w:p>
    <w:p w14:paraId="1816B836" w14:textId="77777777" w:rsidR="004C6421" w:rsidRDefault="009D1962">
      <w:pPr>
        <w:pStyle w:val="Heading3"/>
        <w:numPr>
          <w:ilvl w:val="0"/>
          <w:numId w:val="0"/>
        </w:numPr>
        <w:ind w:left="850" w:hanging="850"/>
        <w:rPr>
          <w:b/>
          <w:i w:val="0"/>
          <w:noProof/>
          <w:u w:val="single"/>
        </w:rPr>
      </w:pPr>
      <w:r>
        <w:rPr>
          <w:b/>
          <w:i w:val="0"/>
          <w:noProof/>
          <w:u w:val="single"/>
        </w:rPr>
        <w:t xml:space="preserve">D.2. </w:t>
      </w:r>
      <w:r>
        <w:rPr>
          <w:noProof/>
        </w:rPr>
        <w:t xml:space="preserve"> </w:t>
      </w:r>
      <w:r>
        <w:rPr>
          <w:b/>
          <w:i w:val="0"/>
          <w:noProof/>
          <w:u w:val="single"/>
        </w:rPr>
        <w:t>Kamienie milowe, wartości docelowe, wskaźniki i harmonogram monitorowania i realizacji na potrzeby bezzwrotnego wsparcia finansowego</w:t>
      </w:r>
    </w:p>
    <w:tbl>
      <w:tblPr>
        <w:tblW w:w="15309" w:type="dxa"/>
        <w:jc w:val="center"/>
        <w:tblLayout w:type="fixed"/>
        <w:tblLook w:val="04A0" w:firstRow="1" w:lastRow="0" w:firstColumn="1" w:lastColumn="0" w:noHBand="0" w:noVBand="1"/>
      </w:tblPr>
      <w:tblGrid>
        <w:gridCol w:w="1129"/>
        <w:gridCol w:w="1701"/>
        <w:gridCol w:w="1134"/>
        <w:gridCol w:w="1701"/>
        <w:gridCol w:w="1843"/>
        <w:gridCol w:w="1180"/>
        <w:gridCol w:w="1159"/>
        <w:gridCol w:w="1347"/>
        <w:gridCol w:w="992"/>
        <w:gridCol w:w="680"/>
        <w:gridCol w:w="2443"/>
      </w:tblGrid>
      <w:tr w:rsidR="004C6421" w14:paraId="64C5546B" w14:textId="77777777">
        <w:trPr>
          <w:trHeight w:val="927"/>
          <w:tblHeader/>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AA5A843" w14:textId="77777777" w:rsidR="004C6421" w:rsidRDefault="009D1962">
            <w:pPr>
              <w:pStyle w:val="P68B1DB1-Normal3"/>
              <w:jc w:val="center"/>
              <w:rPr>
                <w:noProof/>
              </w:rPr>
            </w:pPr>
            <w:r>
              <w:rPr>
                <w:noProof/>
              </w:rPr>
              <w:t>Numer porządkowy</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034F879" w14:textId="77777777" w:rsidR="004C6421" w:rsidRDefault="009D1962">
            <w:pPr>
              <w:pStyle w:val="P68B1DB1-Normal3"/>
              <w:jc w:val="center"/>
              <w:rPr>
                <w:noProof/>
              </w:rPr>
            </w:pPr>
            <w:r>
              <w:rPr>
                <w:noProof/>
              </w:rPr>
              <w:t>Powiązane działanie (reforma lub inwestycja)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B2CDD2D" w14:textId="77777777" w:rsidR="004C6421" w:rsidRDefault="009D1962">
            <w:pPr>
              <w:pStyle w:val="P68B1DB1-Normal3"/>
              <w:jc w:val="center"/>
              <w:rPr>
                <w:noProof/>
              </w:rPr>
            </w:pPr>
            <w:r>
              <w:rPr>
                <w:noProof/>
              </w:rPr>
              <w:t>Kamień milowy/wartość docelowa</w:t>
            </w:r>
          </w:p>
        </w:tc>
        <w:tc>
          <w:tcPr>
            <w:tcW w:w="1701" w:type="dxa"/>
            <w:vMerge w:val="restart"/>
            <w:tcBorders>
              <w:top w:val="single" w:sz="4" w:space="0" w:color="auto"/>
              <w:left w:val="nil"/>
              <w:bottom w:val="single" w:sz="4" w:space="0" w:color="auto"/>
              <w:right w:val="single" w:sz="4" w:space="0" w:color="auto"/>
            </w:tcBorders>
            <w:shd w:val="clear" w:color="auto" w:fill="BDD7EE"/>
            <w:vAlign w:val="center"/>
            <w:hideMark/>
          </w:tcPr>
          <w:p w14:paraId="532DC90F" w14:textId="77777777" w:rsidR="004C6421" w:rsidRDefault="009D1962">
            <w:pPr>
              <w:pStyle w:val="P68B1DB1-Normal3"/>
              <w:jc w:val="center"/>
              <w:rPr>
                <w:noProof/>
              </w:rPr>
            </w:pPr>
            <w:r>
              <w:rPr>
                <w:noProof/>
              </w:rPr>
              <w:t>Nazwa</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E873822" w14:textId="77777777" w:rsidR="004C6421" w:rsidRDefault="009D1962">
            <w:pPr>
              <w:jc w:val="center"/>
              <w:rPr>
                <w:rFonts w:ascii="Arial Narrow" w:hAnsi="Arial Narrow"/>
                <w:b/>
                <w:noProof/>
                <w:sz w:val="20"/>
              </w:rPr>
            </w:pPr>
            <w:r>
              <w:rPr>
                <w:rFonts w:ascii="Arial Narrow" w:hAnsi="Arial Narrow"/>
                <w:b/>
                <w:noProof/>
                <w:sz w:val="20"/>
              </w:rPr>
              <w:t xml:space="preserve">Wskaźniki jakościowe </w:t>
            </w:r>
            <w:r>
              <w:rPr>
                <w:rFonts w:ascii="Arial Narrow" w:hAnsi="Arial Narrow"/>
                <w:noProof/>
              </w:rPr>
              <w:t xml:space="preserve"> </w:t>
            </w:r>
            <w:r>
              <w:rPr>
                <w:noProof/>
              </w:rPr>
              <w:t xml:space="preserve">  </w:t>
            </w:r>
            <w:r>
              <w:rPr>
                <w:noProof/>
              </w:rPr>
              <w:br/>
            </w:r>
            <w:r>
              <w:rPr>
                <w:rFonts w:ascii="Arial Narrow" w:hAnsi="Arial Narrow"/>
                <w:b/>
                <w:noProof/>
                <w:sz w:val="20"/>
              </w:rPr>
              <w:t>(dla kamieni milowych)</w:t>
            </w:r>
          </w:p>
        </w:tc>
        <w:tc>
          <w:tcPr>
            <w:tcW w:w="3686" w:type="dxa"/>
            <w:gridSpan w:val="3"/>
            <w:tcBorders>
              <w:top w:val="single" w:sz="4" w:space="0" w:color="auto"/>
              <w:left w:val="nil"/>
              <w:bottom w:val="single" w:sz="4" w:space="0" w:color="auto"/>
              <w:right w:val="single" w:sz="4" w:space="0" w:color="auto"/>
            </w:tcBorders>
            <w:shd w:val="clear" w:color="auto" w:fill="BDD7EE"/>
            <w:vAlign w:val="center"/>
            <w:hideMark/>
          </w:tcPr>
          <w:p w14:paraId="448125ED" w14:textId="77777777" w:rsidR="004C6421" w:rsidRDefault="009D1962">
            <w:pPr>
              <w:jc w:val="center"/>
              <w:rPr>
                <w:rFonts w:ascii="Arial Narrow" w:hAnsi="Arial Narrow"/>
                <w:b/>
                <w:noProof/>
                <w:sz w:val="20"/>
              </w:rPr>
            </w:pPr>
            <w:r>
              <w:rPr>
                <w:rFonts w:ascii="Arial Narrow" w:hAnsi="Arial Narrow"/>
                <w:b/>
                <w:noProof/>
                <w:sz w:val="20"/>
              </w:rPr>
              <w:t xml:space="preserve">Wskaźniki ilościowe </w:t>
            </w:r>
            <w:r>
              <w:rPr>
                <w:rFonts w:ascii="Arial Narrow" w:hAnsi="Arial Narrow"/>
                <w:noProof/>
              </w:rPr>
              <w:t xml:space="preserve"> </w:t>
            </w:r>
            <w:r>
              <w:rPr>
                <w:noProof/>
              </w:rPr>
              <w:t xml:space="preserve">  </w:t>
            </w:r>
            <w:r>
              <w:rPr>
                <w:noProof/>
              </w:rPr>
              <w:br/>
            </w:r>
            <w:r>
              <w:rPr>
                <w:rFonts w:ascii="Arial Narrow" w:hAnsi="Arial Narrow"/>
                <w:b/>
                <w:noProof/>
                <w:sz w:val="20"/>
              </w:rPr>
              <w:t>(dla wartości docelowych)</w:t>
            </w:r>
          </w:p>
        </w:tc>
        <w:tc>
          <w:tcPr>
            <w:tcW w:w="1672" w:type="dxa"/>
            <w:gridSpan w:val="2"/>
            <w:tcBorders>
              <w:top w:val="single" w:sz="4" w:space="0" w:color="auto"/>
              <w:left w:val="nil"/>
              <w:bottom w:val="single" w:sz="4" w:space="0" w:color="auto"/>
              <w:right w:val="single" w:sz="4" w:space="0" w:color="auto"/>
            </w:tcBorders>
            <w:shd w:val="clear" w:color="auto" w:fill="BDD7EE"/>
            <w:vAlign w:val="center"/>
            <w:hideMark/>
          </w:tcPr>
          <w:p w14:paraId="2998CA11" w14:textId="77777777" w:rsidR="004C6421" w:rsidRDefault="009D1962">
            <w:pPr>
              <w:pStyle w:val="P68B1DB1-Normal3"/>
              <w:jc w:val="center"/>
              <w:rPr>
                <w:noProof/>
              </w:rPr>
            </w:pPr>
            <w:r>
              <w:rPr>
                <w:noProof/>
              </w:rPr>
              <w:t>Orientacyjny harmonogram zakończenia działania</w:t>
            </w:r>
          </w:p>
        </w:tc>
        <w:tc>
          <w:tcPr>
            <w:tcW w:w="24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58CC743" w14:textId="77777777" w:rsidR="004C6421" w:rsidRDefault="009D1962">
            <w:pPr>
              <w:pStyle w:val="P68B1DB1-Normal3"/>
              <w:rPr>
                <w:noProof/>
              </w:rPr>
            </w:pPr>
            <w:r>
              <w:rPr>
                <w:noProof/>
              </w:rPr>
              <w:t>Opis każdego kamienia milowego i każdej wartości docelowej</w:t>
            </w:r>
          </w:p>
        </w:tc>
      </w:tr>
      <w:tr w:rsidR="004C6421" w14:paraId="15555A6B" w14:textId="77777777">
        <w:trPr>
          <w:trHeight w:val="617"/>
          <w:tblHeade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144691D" w14:textId="77777777" w:rsidR="004C6421" w:rsidRDefault="004C6421">
            <w:pPr>
              <w:jc w:val="center"/>
              <w:rPr>
                <w:rFonts w:ascii="Arial Narrow" w:hAnsi="Arial Narrow"/>
                <w:b/>
                <w:noProof/>
                <w:sz w:val="20"/>
              </w:rPr>
            </w:pPr>
          </w:p>
        </w:tc>
        <w:tc>
          <w:tcPr>
            <w:tcW w:w="1701" w:type="dxa"/>
            <w:vMerge/>
            <w:tcBorders>
              <w:left w:val="single" w:sz="4" w:space="0" w:color="auto"/>
              <w:bottom w:val="single" w:sz="4" w:space="0" w:color="auto"/>
              <w:right w:val="single" w:sz="4" w:space="0" w:color="auto"/>
            </w:tcBorders>
            <w:vAlign w:val="center"/>
            <w:hideMark/>
          </w:tcPr>
          <w:p w14:paraId="388121A7" w14:textId="77777777" w:rsidR="004C6421" w:rsidRDefault="004C6421">
            <w:pPr>
              <w:jc w:val="center"/>
              <w:rPr>
                <w:rFonts w:ascii="Arial Narrow" w:hAnsi="Arial Narrow"/>
                <w:b/>
                <w:noProof/>
                <w:sz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CF4CC46" w14:textId="77777777" w:rsidR="004C6421" w:rsidRDefault="004C6421">
            <w:pPr>
              <w:jc w:val="center"/>
              <w:rPr>
                <w:rFonts w:ascii="Arial Narrow" w:hAnsi="Arial Narrow"/>
                <w:b/>
                <w:noProof/>
                <w:sz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64D7F1B" w14:textId="77777777" w:rsidR="004C6421" w:rsidRDefault="004C6421">
            <w:pPr>
              <w:jc w:val="center"/>
              <w:rPr>
                <w:rFonts w:ascii="Arial Narrow" w:hAnsi="Arial Narrow"/>
                <w:b/>
                <w:noProof/>
                <w:sz w:val="20"/>
              </w:rPr>
            </w:pPr>
          </w:p>
        </w:tc>
        <w:tc>
          <w:tcPr>
            <w:tcW w:w="1843" w:type="dxa"/>
            <w:vMerge/>
            <w:tcBorders>
              <w:left w:val="single" w:sz="4" w:space="0" w:color="auto"/>
              <w:bottom w:val="single" w:sz="4" w:space="0" w:color="auto"/>
            </w:tcBorders>
            <w:vAlign w:val="center"/>
            <w:hideMark/>
          </w:tcPr>
          <w:p w14:paraId="46121B4E" w14:textId="77777777" w:rsidR="004C6421" w:rsidRDefault="004C6421">
            <w:pPr>
              <w:jc w:val="center"/>
              <w:rPr>
                <w:rFonts w:ascii="Arial Narrow" w:hAnsi="Arial Narrow"/>
                <w:b/>
                <w:noProof/>
                <w:sz w:val="20"/>
              </w:rPr>
            </w:pPr>
          </w:p>
        </w:tc>
        <w:tc>
          <w:tcPr>
            <w:tcW w:w="1180" w:type="dxa"/>
            <w:tcBorders>
              <w:top w:val="nil"/>
              <w:left w:val="single" w:sz="4" w:space="0" w:color="auto"/>
              <w:bottom w:val="single" w:sz="4" w:space="0" w:color="auto"/>
              <w:right w:val="single" w:sz="4" w:space="0" w:color="auto"/>
            </w:tcBorders>
            <w:shd w:val="clear" w:color="auto" w:fill="BDD7EE"/>
            <w:vAlign w:val="center"/>
            <w:hideMark/>
          </w:tcPr>
          <w:p w14:paraId="3FAE59C6" w14:textId="77777777" w:rsidR="004C6421" w:rsidRDefault="009D1962">
            <w:pPr>
              <w:pStyle w:val="P68B1DB1-Normal3"/>
              <w:jc w:val="center"/>
              <w:rPr>
                <w:noProof/>
              </w:rPr>
            </w:pPr>
            <w:r>
              <w:rPr>
                <w:noProof/>
              </w:rPr>
              <w:t>Jednostka miary</w:t>
            </w:r>
          </w:p>
        </w:tc>
        <w:tc>
          <w:tcPr>
            <w:tcW w:w="1159" w:type="dxa"/>
            <w:tcBorders>
              <w:top w:val="nil"/>
              <w:left w:val="nil"/>
              <w:bottom w:val="single" w:sz="4" w:space="0" w:color="auto"/>
              <w:right w:val="single" w:sz="4" w:space="0" w:color="auto"/>
            </w:tcBorders>
            <w:shd w:val="clear" w:color="auto" w:fill="BDD7EE"/>
            <w:vAlign w:val="center"/>
            <w:hideMark/>
          </w:tcPr>
          <w:p w14:paraId="1EB6E3FD" w14:textId="77777777" w:rsidR="004C6421" w:rsidRDefault="009D1962">
            <w:pPr>
              <w:pStyle w:val="P68B1DB1-Normal3"/>
              <w:jc w:val="center"/>
              <w:rPr>
                <w:noProof/>
              </w:rPr>
            </w:pPr>
            <w:r>
              <w:rPr>
                <w:noProof/>
              </w:rPr>
              <w:t>Bazowy</w:t>
            </w:r>
          </w:p>
        </w:tc>
        <w:tc>
          <w:tcPr>
            <w:tcW w:w="1347" w:type="dxa"/>
            <w:tcBorders>
              <w:top w:val="nil"/>
              <w:left w:val="nil"/>
              <w:bottom w:val="single" w:sz="4" w:space="0" w:color="auto"/>
              <w:right w:val="single" w:sz="4" w:space="0" w:color="auto"/>
            </w:tcBorders>
            <w:shd w:val="clear" w:color="auto" w:fill="BDD7EE"/>
            <w:vAlign w:val="center"/>
            <w:hideMark/>
          </w:tcPr>
          <w:p w14:paraId="69551954" w14:textId="77777777" w:rsidR="004C6421" w:rsidRDefault="009D1962">
            <w:pPr>
              <w:pStyle w:val="P68B1DB1-Normal3"/>
              <w:jc w:val="center"/>
              <w:rPr>
                <w:noProof/>
              </w:rPr>
            </w:pPr>
            <w:r>
              <w:rPr>
                <w:noProof/>
              </w:rPr>
              <w:t>Cel</w:t>
            </w:r>
          </w:p>
        </w:tc>
        <w:tc>
          <w:tcPr>
            <w:tcW w:w="992" w:type="dxa"/>
            <w:tcBorders>
              <w:top w:val="nil"/>
              <w:left w:val="nil"/>
              <w:bottom w:val="single" w:sz="4" w:space="0" w:color="auto"/>
              <w:right w:val="single" w:sz="4" w:space="0" w:color="auto"/>
            </w:tcBorders>
            <w:shd w:val="clear" w:color="auto" w:fill="BDD7EE"/>
            <w:vAlign w:val="center"/>
            <w:hideMark/>
          </w:tcPr>
          <w:p w14:paraId="00B9A31B" w14:textId="77777777" w:rsidR="004C6421" w:rsidRDefault="009D1962">
            <w:pPr>
              <w:pStyle w:val="P68B1DB1-Normal3"/>
              <w:jc w:val="center"/>
              <w:rPr>
                <w:noProof/>
              </w:rPr>
            </w:pPr>
            <w:r>
              <w:rPr>
                <w:noProof/>
              </w:rPr>
              <w:t>Kwartał</w:t>
            </w:r>
          </w:p>
        </w:tc>
        <w:tc>
          <w:tcPr>
            <w:tcW w:w="680" w:type="dxa"/>
            <w:tcBorders>
              <w:top w:val="nil"/>
              <w:left w:val="nil"/>
              <w:bottom w:val="single" w:sz="4" w:space="0" w:color="auto"/>
              <w:right w:val="single" w:sz="4" w:space="0" w:color="auto"/>
            </w:tcBorders>
            <w:shd w:val="clear" w:color="auto" w:fill="BDD7EE"/>
            <w:vAlign w:val="center"/>
            <w:hideMark/>
          </w:tcPr>
          <w:p w14:paraId="6CB2F263" w14:textId="77777777" w:rsidR="004C6421" w:rsidRDefault="009D1962">
            <w:pPr>
              <w:pStyle w:val="P68B1DB1-Normal3"/>
              <w:jc w:val="center"/>
              <w:rPr>
                <w:noProof/>
              </w:rPr>
            </w:pPr>
            <w:r>
              <w:rPr>
                <w:noProof/>
              </w:rPr>
              <w:t>Rok</w:t>
            </w:r>
          </w:p>
        </w:tc>
        <w:tc>
          <w:tcPr>
            <w:tcW w:w="2443" w:type="dxa"/>
            <w:vMerge/>
            <w:tcBorders>
              <w:top w:val="single" w:sz="4" w:space="0" w:color="auto"/>
              <w:bottom w:val="single" w:sz="4" w:space="0" w:color="auto"/>
              <w:right w:val="single" w:sz="4" w:space="0" w:color="auto"/>
            </w:tcBorders>
            <w:vAlign w:val="center"/>
            <w:hideMark/>
          </w:tcPr>
          <w:p w14:paraId="2809A6EB" w14:textId="77777777" w:rsidR="004C6421" w:rsidRDefault="004C6421">
            <w:pPr>
              <w:rPr>
                <w:rFonts w:ascii="Arial Narrow" w:hAnsi="Arial Narrow"/>
                <w:b/>
                <w:noProof/>
                <w:sz w:val="20"/>
              </w:rPr>
            </w:pPr>
          </w:p>
        </w:tc>
      </w:tr>
      <w:tr w:rsidR="004C6421" w14:paraId="2E4F8A51" w14:textId="77777777">
        <w:trPr>
          <w:trHeight w:val="309"/>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67A7492" w14:textId="77777777" w:rsidR="004C6421" w:rsidRDefault="009D1962">
            <w:pPr>
              <w:pStyle w:val="P68B1DB1-Normal4"/>
              <w:spacing w:line="276" w:lineRule="auto"/>
              <w:jc w:val="center"/>
              <w:rPr>
                <w:noProof/>
              </w:rPr>
            </w:pPr>
            <w:r>
              <w:rPr>
                <w:noProof/>
              </w:rPr>
              <w:t>M2C1-1</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2D6B346" w14:textId="77777777" w:rsidR="004C6421" w:rsidRDefault="009D1962">
            <w:pPr>
              <w:pStyle w:val="P68B1DB1-Normal4"/>
              <w:spacing w:line="276" w:lineRule="auto"/>
              <w:jc w:val="center"/>
              <w:rPr>
                <w:noProof/>
              </w:rPr>
            </w:pPr>
            <w:r>
              <w:rPr>
                <w:noProof/>
              </w:rPr>
              <w:t>Reforma 1.1 – Krajowa strategia na rzecz gospodarki o obiegu zamkniętym</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1A83AAE" w14:textId="55588268" w:rsidR="004C6421" w:rsidRDefault="00CC179E">
            <w:pPr>
              <w:pStyle w:val="P68B1DB1-Normal4"/>
              <w:spacing w:line="276" w:lineRule="auto"/>
              <w:jc w:val="center"/>
              <w:rPr>
                <w:noProof/>
              </w:rPr>
            </w:pPr>
            <w:r>
              <w:rPr>
                <w:noProof/>
              </w:rPr>
              <w:t>Milowy</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DDFEC2B" w14:textId="77777777" w:rsidR="004C6421" w:rsidRDefault="009D1962">
            <w:pPr>
              <w:pStyle w:val="P68B1DB1-Normal4"/>
              <w:spacing w:line="276" w:lineRule="auto"/>
              <w:jc w:val="center"/>
              <w:rPr>
                <w:noProof/>
              </w:rPr>
            </w:pPr>
            <w:r>
              <w:rPr>
                <w:noProof/>
              </w:rPr>
              <w:t>Wejście w życie dekretu ministerialnego w sprawie przyjęcia krajowej strategii na rzecz gospodarki o obiegu zamkniętym</w:t>
            </w:r>
          </w:p>
        </w:tc>
        <w:tc>
          <w:tcPr>
            <w:tcW w:w="184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27407FD" w14:textId="77777777" w:rsidR="004C6421" w:rsidRDefault="009D1962">
            <w:pPr>
              <w:pStyle w:val="P68B1DB1-Normal4"/>
              <w:spacing w:line="276" w:lineRule="auto"/>
              <w:jc w:val="center"/>
              <w:rPr>
                <w:noProof/>
              </w:rPr>
            </w:pPr>
            <w:r>
              <w:rPr>
                <w:noProof/>
              </w:rPr>
              <w:t>Przepis dekretu ministerialnego wskazujący na wejście w życie NIE DOT.</w:t>
            </w:r>
          </w:p>
        </w:tc>
        <w:tc>
          <w:tcPr>
            <w:tcW w:w="1180"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8632AA2" w14:textId="77777777" w:rsidR="004C6421" w:rsidRDefault="009D1962">
            <w:pPr>
              <w:pStyle w:val="P68B1DB1-Normal4"/>
              <w:spacing w:line="276" w:lineRule="auto"/>
              <w:jc w:val="center"/>
              <w:rPr>
                <w:noProof/>
              </w:rPr>
            </w:pPr>
            <w:r>
              <w:rPr>
                <w:noProof/>
              </w:rPr>
              <w:t>NIE DOT.</w:t>
            </w:r>
          </w:p>
        </w:tc>
        <w:tc>
          <w:tcPr>
            <w:tcW w:w="1159"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F676BC1" w14:textId="77777777" w:rsidR="004C6421" w:rsidRDefault="009D1962">
            <w:pPr>
              <w:pStyle w:val="P68B1DB1-Normal4"/>
              <w:spacing w:line="276" w:lineRule="auto"/>
              <w:jc w:val="center"/>
              <w:rPr>
                <w:noProof/>
              </w:rPr>
            </w:pPr>
            <w:r>
              <w:rPr>
                <w:noProof/>
              </w:rPr>
              <w:t>NIE DOT.</w:t>
            </w:r>
          </w:p>
        </w:tc>
        <w:tc>
          <w:tcPr>
            <w:tcW w:w="1347"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D9DC252" w14:textId="77777777" w:rsidR="004C6421" w:rsidRDefault="009D1962">
            <w:pPr>
              <w:pStyle w:val="P68B1DB1-Normal4"/>
              <w:spacing w:line="276" w:lineRule="auto"/>
              <w:jc w:val="center"/>
              <w:rPr>
                <w:noProof/>
              </w:rPr>
            </w:pPr>
            <w:r>
              <w:rPr>
                <w:noProof/>
              </w:rPr>
              <w:t>NIE DOT.</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834C3B1" w14:textId="77777777" w:rsidR="004C6421" w:rsidRDefault="009D1962">
            <w:pPr>
              <w:pStyle w:val="P68B1DB1-Normal4"/>
              <w:spacing w:line="276" w:lineRule="auto"/>
              <w:jc w:val="center"/>
              <w:rPr>
                <w:noProof/>
              </w:rPr>
            </w:pPr>
            <w:r>
              <w:rPr>
                <w:noProof/>
              </w:rPr>
              <w:t>II KW.</w:t>
            </w:r>
          </w:p>
        </w:tc>
        <w:tc>
          <w:tcPr>
            <w:tcW w:w="680"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B443989" w14:textId="77777777" w:rsidR="004C6421" w:rsidRDefault="009D1962">
            <w:pPr>
              <w:pStyle w:val="P68B1DB1-Normal4"/>
              <w:spacing w:line="276" w:lineRule="auto"/>
              <w:jc w:val="center"/>
              <w:rPr>
                <w:noProof/>
              </w:rPr>
            </w:pPr>
            <w:r>
              <w:rPr>
                <w:noProof/>
              </w:rPr>
              <w:t>2022</w:t>
            </w:r>
          </w:p>
        </w:tc>
        <w:tc>
          <w:tcPr>
            <w:tcW w:w="244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3602D9E" w14:textId="77777777" w:rsidR="004C6421" w:rsidRDefault="009D1962">
            <w:pPr>
              <w:pStyle w:val="P68B1DB1-Normal4"/>
              <w:spacing w:before="120" w:after="120" w:line="276" w:lineRule="auto"/>
              <w:rPr>
                <w:noProof/>
              </w:rPr>
            </w:pPr>
            <w:r>
              <w:rPr>
                <w:noProof/>
              </w:rPr>
              <w:t>Dekret ministerialny w sprawie przyjęcia krajowej strategii na rzecz gospodarki o obiegu zamkniętym zawiera co najmniej następujące środki:</w:t>
            </w:r>
          </w:p>
          <w:p w14:paraId="1BC2A8CB" w14:textId="77777777" w:rsidR="004C6421" w:rsidRDefault="009D1962">
            <w:pPr>
              <w:pStyle w:val="P68B1DB1-Normal4"/>
              <w:numPr>
                <w:ilvl w:val="0"/>
                <w:numId w:val="63"/>
              </w:numPr>
              <w:spacing w:before="120" w:line="276" w:lineRule="auto"/>
              <w:ind w:left="244" w:hanging="188"/>
              <w:rPr>
                <w:noProof/>
              </w:rPr>
            </w:pPr>
            <w:r>
              <w:rPr>
                <w:noProof/>
              </w:rPr>
              <w:t>nowy cyfrowy system identyfikowalności odpadów, który wspiera z jednej strony rozwój rynku wtórnego surowców (poprzez zapewnienie jasnych ram dostaw surowców wtórnych), z drugiej strony organy kontrolne w zakresie zapobiegania nielegalnemu gospodarowaniu odpadami i zwalczania go.</w:t>
            </w:r>
          </w:p>
          <w:p w14:paraId="15D23589" w14:textId="77777777" w:rsidR="004C6421" w:rsidRDefault="009D1962">
            <w:pPr>
              <w:pStyle w:val="P68B1DB1-Normal4"/>
              <w:numPr>
                <w:ilvl w:val="0"/>
                <w:numId w:val="63"/>
              </w:numPr>
              <w:spacing w:before="120" w:line="276" w:lineRule="auto"/>
              <w:ind w:left="244" w:hanging="188"/>
              <w:rPr>
                <w:noProof/>
              </w:rPr>
            </w:pPr>
            <w:r>
              <w:rPr>
                <w:noProof/>
              </w:rPr>
              <w:t>zachęty podatkowe wspierające działania związane z recyklingiem i wykorzystywaniem surowców wtórnych;</w:t>
            </w:r>
          </w:p>
          <w:p w14:paraId="3C5C8EAE" w14:textId="77777777" w:rsidR="004C6421" w:rsidRDefault="009D1962">
            <w:pPr>
              <w:pStyle w:val="P68B1DB1-Normal4"/>
              <w:numPr>
                <w:ilvl w:val="0"/>
                <w:numId w:val="63"/>
              </w:numPr>
              <w:spacing w:before="120" w:line="276" w:lineRule="auto"/>
              <w:ind w:left="244" w:hanging="188"/>
              <w:rPr>
                <w:noProof/>
              </w:rPr>
            </w:pPr>
            <w:r>
              <w:rPr>
                <w:noProof/>
              </w:rPr>
              <w:t>przegląd systemu opodatkowania środowiskowego odpadów w celu uczynienia recyklingu bardziej wygodniejszym niż składowanie i spalanie na całym terytorium kraju;</w:t>
            </w:r>
          </w:p>
          <w:p w14:paraId="45DA6EBF" w14:textId="77777777" w:rsidR="004C6421" w:rsidRDefault="009D1962">
            <w:pPr>
              <w:pStyle w:val="P68B1DB1-Normal4"/>
              <w:numPr>
                <w:ilvl w:val="0"/>
                <w:numId w:val="63"/>
              </w:numPr>
              <w:spacing w:before="120" w:line="276" w:lineRule="auto"/>
              <w:ind w:left="244" w:hanging="188"/>
              <w:rPr>
                <w:noProof/>
              </w:rPr>
            </w:pPr>
            <w:r>
              <w:rPr>
                <w:noProof/>
              </w:rPr>
              <w:t>prawo do ponownego użycia i naprawy;</w:t>
            </w:r>
          </w:p>
          <w:p w14:paraId="67D75E71" w14:textId="77777777" w:rsidR="004C6421" w:rsidRDefault="009D1962">
            <w:pPr>
              <w:pStyle w:val="P68B1DB1-Normal4"/>
              <w:numPr>
                <w:ilvl w:val="0"/>
                <w:numId w:val="63"/>
              </w:numPr>
              <w:spacing w:before="120" w:line="276" w:lineRule="auto"/>
              <w:ind w:left="244" w:hanging="188"/>
              <w:rPr>
                <w:noProof/>
              </w:rPr>
            </w:pPr>
            <w:r>
              <w:rPr>
                <w:noProof/>
              </w:rPr>
              <w:t>reforma systemu rozszerzonej odpowiedzialności producenta i konsorcjów w celu wsparcia realizacji celów UE poprzez utworzenie specjalnego organu nadzorczego pod przewodnictwem MITE w celu monitorowania funkcjonowania i skuteczności systemów konsorcjów;</w:t>
            </w:r>
          </w:p>
          <w:p w14:paraId="4C4EF2B6" w14:textId="77777777" w:rsidR="004C6421" w:rsidRDefault="009D1962">
            <w:pPr>
              <w:pStyle w:val="P68B1DB1-Normal4"/>
              <w:numPr>
                <w:ilvl w:val="0"/>
                <w:numId w:val="63"/>
              </w:numPr>
              <w:spacing w:before="120" w:line="276" w:lineRule="auto"/>
              <w:ind w:left="244" w:hanging="188"/>
              <w:rPr>
                <w:noProof/>
              </w:rPr>
            </w:pPr>
            <w:r>
              <w:rPr>
                <w:noProof/>
              </w:rPr>
              <w:t>wsparcie istniejących narzędzi regulacyjnych: Zniesienie przepisów dotyczących odpadów (krajowe i regionalne), minimalne kryteria środowiskowe (CAM) w ramach zielonych zamówień publicznych. Opracowanie/aktualizacja EOW i CAM dotyczą w szczególności budownictwa, tekstyliów, tworzyw sztucznych, zużytego sprzętu elektrycznego i elektronicznego (WEEE).</w:t>
            </w:r>
          </w:p>
          <w:p w14:paraId="0BC20BE8" w14:textId="77777777" w:rsidR="004C6421" w:rsidRDefault="009D1962">
            <w:pPr>
              <w:pStyle w:val="P68B1DB1-Normal4"/>
              <w:numPr>
                <w:ilvl w:val="0"/>
                <w:numId w:val="63"/>
              </w:numPr>
              <w:spacing w:before="120" w:line="276" w:lineRule="auto"/>
              <w:ind w:left="244" w:hanging="188"/>
              <w:rPr>
                <w:noProof/>
              </w:rPr>
            </w:pPr>
            <w:r>
              <w:rPr>
                <w:noProof/>
              </w:rPr>
              <w:t>wsparcie projektu symbiozy przemysłowej za pomocą instrumentów regulacyjnych i finansowych.)</w:t>
            </w:r>
          </w:p>
        </w:tc>
      </w:tr>
      <w:tr w:rsidR="004C6421" w14:paraId="7E90D54E" w14:textId="77777777">
        <w:trPr>
          <w:trHeight w:val="309"/>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C7A0065" w14:textId="77777777" w:rsidR="004C6421" w:rsidRDefault="009D1962">
            <w:pPr>
              <w:pStyle w:val="P68B1DB1-Normal4"/>
              <w:spacing w:line="276" w:lineRule="auto"/>
              <w:jc w:val="center"/>
              <w:rPr>
                <w:noProof/>
              </w:rPr>
            </w:pPr>
            <w:r>
              <w:rPr>
                <w:noProof/>
              </w:rPr>
              <w:t>M2C1-2</w:t>
            </w:r>
          </w:p>
        </w:tc>
        <w:tc>
          <w:tcPr>
            <w:tcW w:w="1701" w:type="dxa"/>
            <w:tcBorders>
              <w:top w:val="single" w:sz="4" w:space="0" w:color="auto"/>
              <w:left w:val="nil"/>
              <w:bottom w:val="single" w:sz="4" w:space="0" w:color="auto"/>
              <w:right w:val="single" w:sz="4" w:space="0" w:color="auto"/>
            </w:tcBorders>
            <w:shd w:val="clear" w:color="auto" w:fill="C6EFCE"/>
            <w:noWrap/>
            <w:vAlign w:val="center"/>
            <w:hideMark/>
          </w:tcPr>
          <w:p w14:paraId="2F6DFAA9" w14:textId="77777777" w:rsidR="004C6421" w:rsidRDefault="009D1962">
            <w:pPr>
              <w:pStyle w:val="P68B1DB1-Normal4"/>
              <w:spacing w:line="276" w:lineRule="auto"/>
              <w:jc w:val="center"/>
              <w:rPr>
                <w:noProof/>
              </w:rPr>
            </w:pPr>
            <w:r>
              <w:rPr>
                <w:noProof/>
              </w:rPr>
              <w:t>Reforma 1.3 – Wsparcie techniczne dla władz lokalnych</w:t>
            </w:r>
          </w:p>
        </w:tc>
        <w:tc>
          <w:tcPr>
            <w:tcW w:w="1134" w:type="dxa"/>
            <w:tcBorders>
              <w:top w:val="single" w:sz="4" w:space="0" w:color="auto"/>
              <w:left w:val="nil"/>
              <w:bottom w:val="single" w:sz="4" w:space="0" w:color="auto"/>
              <w:right w:val="single" w:sz="4" w:space="0" w:color="auto"/>
            </w:tcBorders>
            <w:shd w:val="clear" w:color="auto" w:fill="C6EFCE"/>
            <w:noWrap/>
            <w:vAlign w:val="center"/>
            <w:hideMark/>
          </w:tcPr>
          <w:p w14:paraId="2935E250" w14:textId="3F8FBE9A" w:rsidR="004C6421" w:rsidRDefault="00CC179E">
            <w:pPr>
              <w:pStyle w:val="P68B1DB1-Normal4"/>
              <w:spacing w:line="276" w:lineRule="auto"/>
              <w:jc w:val="center"/>
              <w:rPr>
                <w:noProof/>
              </w:rPr>
            </w:pPr>
            <w:r>
              <w:rPr>
                <w:noProof/>
              </w:rPr>
              <w:t>Milowy</w:t>
            </w:r>
          </w:p>
        </w:tc>
        <w:tc>
          <w:tcPr>
            <w:tcW w:w="1701" w:type="dxa"/>
            <w:tcBorders>
              <w:top w:val="single" w:sz="4" w:space="0" w:color="auto"/>
              <w:left w:val="nil"/>
              <w:bottom w:val="single" w:sz="4" w:space="0" w:color="auto"/>
              <w:right w:val="single" w:sz="4" w:space="0" w:color="auto"/>
            </w:tcBorders>
            <w:shd w:val="clear" w:color="auto" w:fill="C6EFCE"/>
            <w:noWrap/>
            <w:vAlign w:val="center"/>
            <w:hideMark/>
          </w:tcPr>
          <w:p w14:paraId="1337E464" w14:textId="77777777" w:rsidR="004C6421" w:rsidRDefault="009D1962">
            <w:pPr>
              <w:pStyle w:val="P68B1DB1-Normal4"/>
              <w:spacing w:line="276" w:lineRule="auto"/>
              <w:jc w:val="center"/>
              <w:rPr>
                <w:noProof/>
              </w:rPr>
            </w:pPr>
            <w:r>
              <w:rPr>
                <w:noProof/>
              </w:rPr>
              <w:t>Zatwierdzenie zgody na opracowanie planu działania w zakresie budowania zdolności w celu wsparcia lokalnych władz publicznych</w:t>
            </w:r>
          </w:p>
        </w:tc>
        <w:tc>
          <w:tcPr>
            <w:tcW w:w="1843" w:type="dxa"/>
            <w:tcBorders>
              <w:top w:val="single" w:sz="4" w:space="0" w:color="auto"/>
              <w:left w:val="nil"/>
              <w:bottom w:val="single" w:sz="4" w:space="0" w:color="auto"/>
              <w:right w:val="single" w:sz="4" w:space="0" w:color="auto"/>
            </w:tcBorders>
            <w:shd w:val="clear" w:color="auto" w:fill="C6EFCE"/>
            <w:noWrap/>
            <w:vAlign w:val="center"/>
            <w:hideMark/>
          </w:tcPr>
          <w:p w14:paraId="6241952F" w14:textId="77777777" w:rsidR="004C6421" w:rsidRDefault="009D1962">
            <w:pPr>
              <w:pStyle w:val="P68B1DB1-Normal4"/>
              <w:spacing w:line="276" w:lineRule="auto"/>
              <w:jc w:val="center"/>
              <w:rPr>
                <w:noProof/>
              </w:rPr>
            </w:pPr>
            <w:r>
              <w:rPr>
                <w:noProof/>
              </w:rPr>
              <w:t>Publikacja zatwierdzonej umowy na stronie internetowej Ministerstwa</w:t>
            </w:r>
          </w:p>
        </w:tc>
        <w:tc>
          <w:tcPr>
            <w:tcW w:w="1180" w:type="dxa"/>
            <w:tcBorders>
              <w:top w:val="single" w:sz="4" w:space="0" w:color="auto"/>
              <w:left w:val="nil"/>
              <w:bottom w:val="single" w:sz="4" w:space="0" w:color="auto"/>
              <w:right w:val="single" w:sz="4" w:space="0" w:color="auto"/>
            </w:tcBorders>
            <w:shd w:val="clear" w:color="auto" w:fill="C6EFCE"/>
            <w:noWrap/>
            <w:vAlign w:val="center"/>
            <w:hideMark/>
          </w:tcPr>
          <w:p w14:paraId="09052982" w14:textId="77777777" w:rsidR="004C6421" w:rsidRDefault="009D1962">
            <w:pPr>
              <w:pStyle w:val="P68B1DB1-Normal4"/>
              <w:spacing w:line="276" w:lineRule="auto"/>
              <w:jc w:val="center"/>
              <w:rPr>
                <w:noProof/>
              </w:rPr>
            </w:pPr>
            <w:r>
              <w:rPr>
                <w:noProof/>
              </w:rPr>
              <w:t>NIE DOT.</w:t>
            </w:r>
          </w:p>
        </w:tc>
        <w:tc>
          <w:tcPr>
            <w:tcW w:w="1159" w:type="dxa"/>
            <w:tcBorders>
              <w:top w:val="single" w:sz="4" w:space="0" w:color="auto"/>
              <w:left w:val="nil"/>
              <w:bottom w:val="single" w:sz="4" w:space="0" w:color="auto"/>
              <w:right w:val="single" w:sz="4" w:space="0" w:color="auto"/>
            </w:tcBorders>
            <w:shd w:val="clear" w:color="auto" w:fill="C6EFCE"/>
            <w:noWrap/>
            <w:vAlign w:val="center"/>
            <w:hideMark/>
          </w:tcPr>
          <w:p w14:paraId="26161640" w14:textId="77777777" w:rsidR="004C6421" w:rsidRDefault="009D1962">
            <w:pPr>
              <w:pStyle w:val="P68B1DB1-Normal4"/>
              <w:spacing w:line="276" w:lineRule="auto"/>
              <w:jc w:val="center"/>
              <w:rPr>
                <w:noProof/>
              </w:rPr>
            </w:pPr>
            <w:r>
              <w:rPr>
                <w:noProof/>
              </w:rPr>
              <w:t>NIE DOT.</w:t>
            </w:r>
          </w:p>
        </w:tc>
        <w:tc>
          <w:tcPr>
            <w:tcW w:w="1347" w:type="dxa"/>
            <w:tcBorders>
              <w:top w:val="single" w:sz="4" w:space="0" w:color="auto"/>
              <w:left w:val="nil"/>
              <w:bottom w:val="single" w:sz="4" w:space="0" w:color="auto"/>
              <w:right w:val="single" w:sz="4" w:space="0" w:color="auto"/>
            </w:tcBorders>
            <w:shd w:val="clear" w:color="auto" w:fill="C6EFCE"/>
            <w:noWrap/>
            <w:vAlign w:val="center"/>
            <w:hideMark/>
          </w:tcPr>
          <w:p w14:paraId="38606DAB" w14:textId="77777777" w:rsidR="004C6421" w:rsidRDefault="009D1962">
            <w:pPr>
              <w:pStyle w:val="P68B1DB1-Normal4"/>
              <w:spacing w:line="276" w:lineRule="auto"/>
              <w:jc w:val="center"/>
              <w:rPr>
                <w:noProof/>
              </w:rPr>
            </w:pPr>
            <w:r>
              <w:rPr>
                <w:noProof/>
              </w:rPr>
              <w:t>NIE DOT.</w:t>
            </w:r>
          </w:p>
        </w:tc>
        <w:tc>
          <w:tcPr>
            <w:tcW w:w="992" w:type="dxa"/>
            <w:tcBorders>
              <w:top w:val="single" w:sz="4" w:space="0" w:color="auto"/>
              <w:left w:val="nil"/>
              <w:bottom w:val="single" w:sz="4" w:space="0" w:color="auto"/>
              <w:right w:val="single" w:sz="4" w:space="0" w:color="auto"/>
            </w:tcBorders>
            <w:shd w:val="clear" w:color="auto" w:fill="C6EFCE"/>
            <w:noWrap/>
            <w:vAlign w:val="center"/>
            <w:hideMark/>
          </w:tcPr>
          <w:p w14:paraId="665BF97C" w14:textId="77777777" w:rsidR="004C6421" w:rsidRDefault="009D1962">
            <w:pPr>
              <w:pStyle w:val="P68B1DB1-Normal4"/>
              <w:spacing w:line="276" w:lineRule="auto"/>
              <w:jc w:val="center"/>
              <w:rPr>
                <w:noProof/>
              </w:rPr>
            </w:pPr>
            <w:r>
              <w:rPr>
                <w:noProof/>
              </w:rPr>
              <w:t>II KW.</w:t>
            </w:r>
          </w:p>
        </w:tc>
        <w:tc>
          <w:tcPr>
            <w:tcW w:w="680" w:type="dxa"/>
            <w:tcBorders>
              <w:top w:val="single" w:sz="4" w:space="0" w:color="auto"/>
              <w:left w:val="nil"/>
              <w:bottom w:val="single" w:sz="4" w:space="0" w:color="auto"/>
              <w:right w:val="single" w:sz="4" w:space="0" w:color="auto"/>
            </w:tcBorders>
            <w:shd w:val="clear" w:color="auto" w:fill="C6EFCE"/>
            <w:noWrap/>
            <w:vAlign w:val="center"/>
            <w:hideMark/>
          </w:tcPr>
          <w:p w14:paraId="717EE502" w14:textId="77777777" w:rsidR="004C6421" w:rsidRDefault="009D1962">
            <w:pPr>
              <w:pStyle w:val="P68B1DB1-Normal4"/>
              <w:spacing w:line="276" w:lineRule="auto"/>
              <w:jc w:val="center"/>
              <w:rPr>
                <w:noProof/>
              </w:rPr>
            </w:pPr>
            <w:r>
              <w:rPr>
                <w:noProof/>
              </w:rPr>
              <w:t>2022</w:t>
            </w:r>
          </w:p>
        </w:tc>
        <w:tc>
          <w:tcPr>
            <w:tcW w:w="2443" w:type="dxa"/>
            <w:tcBorders>
              <w:top w:val="single" w:sz="4" w:space="0" w:color="auto"/>
              <w:left w:val="nil"/>
              <w:bottom w:val="single" w:sz="4" w:space="0" w:color="auto"/>
              <w:right w:val="single" w:sz="4" w:space="0" w:color="auto"/>
            </w:tcBorders>
            <w:shd w:val="clear" w:color="auto" w:fill="C6EFCE"/>
            <w:noWrap/>
            <w:vAlign w:val="center"/>
            <w:hideMark/>
          </w:tcPr>
          <w:p w14:paraId="2C246B33" w14:textId="77777777" w:rsidR="004C6421" w:rsidRDefault="009D1962">
            <w:pPr>
              <w:pStyle w:val="P68B1DB1-Normal4"/>
              <w:spacing w:before="120" w:after="120" w:line="276" w:lineRule="auto"/>
              <w:rPr>
                <w:noProof/>
              </w:rPr>
            </w:pPr>
            <w:r>
              <w:rPr>
                <w:noProof/>
              </w:rPr>
              <w:t>Zatwierdza się porozumienie dotyczące opracowania planu działania w zakresie budowania zdolności w celu wsparcia lokalnych organów publicznych we wdrażaniu w ramach procedur przetargowych minimalnych kryteriów środowiskowych (CAM) określonych ustawą (dekret ustawodawczy nr 50/2016 w sprawie zamówień publicznych) w ramach zielonych zamówień publicznych (GPP) i rozpoczęcia działania wspierającego.</w:t>
            </w:r>
          </w:p>
          <w:p w14:paraId="0C31458B" w14:textId="77777777" w:rsidR="004C6421" w:rsidRDefault="009D1962">
            <w:pPr>
              <w:pStyle w:val="P68B1DB1-Normal4"/>
              <w:suppressAutoHyphens/>
              <w:spacing w:line="276" w:lineRule="auto"/>
              <w:rPr>
                <w:noProof/>
              </w:rPr>
            </w:pPr>
            <w:r>
              <w:rPr>
                <w:noProof/>
              </w:rPr>
              <w:t>Wsparcie techniczne dla władz lokalnych (regionów, prowincji i gmin) zapewnia rząd (Ministerstwo Transformacji Ekologicznej, Ministerstwo Rozwoju Gospodarczego i inne stosowne) za pośrednictwem przedsiębiorstw wewnętrznych. Wsparcie techniczne obejmuje:</w:t>
            </w:r>
          </w:p>
          <w:p w14:paraId="594599F2" w14:textId="77777777" w:rsidR="004C6421" w:rsidRDefault="009D1962">
            <w:pPr>
              <w:pStyle w:val="P68B1DB1-Normal4"/>
              <w:numPr>
                <w:ilvl w:val="0"/>
                <w:numId w:val="63"/>
              </w:numPr>
              <w:suppressAutoHyphens/>
              <w:spacing w:before="120" w:line="276" w:lineRule="auto"/>
              <w:ind w:left="340" w:hanging="284"/>
              <w:contextualSpacing/>
              <w:rPr>
                <w:noProof/>
              </w:rPr>
            </w:pPr>
            <w:r>
              <w:rPr>
                <w:noProof/>
              </w:rPr>
              <w:t>pomoc techniczna w zakresie wdrażania unijnych i krajowych przepisów w zakresie ochrony środowiska;</w:t>
            </w:r>
          </w:p>
          <w:p w14:paraId="5E2FB872" w14:textId="77777777" w:rsidR="004C6421" w:rsidRDefault="009D1962">
            <w:pPr>
              <w:pStyle w:val="P68B1DB1-Normal4"/>
              <w:numPr>
                <w:ilvl w:val="0"/>
                <w:numId w:val="63"/>
              </w:numPr>
              <w:suppressAutoHyphens/>
              <w:spacing w:before="120" w:line="276" w:lineRule="auto"/>
              <w:ind w:left="340" w:hanging="284"/>
              <w:contextualSpacing/>
              <w:rPr>
                <w:noProof/>
              </w:rPr>
            </w:pPr>
            <w:r>
              <w:rPr>
                <w:noProof/>
              </w:rPr>
              <w:t>wspieranie opracowywania planów i projektów dotyczących gospodarowania odpadami;</w:t>
            </w:r>
          </w:p>
          <w:p w14:paraId="67C3DDF4" w14:textId="77777777" w:rsidR="004C6421" w:rsidRDefault="009D1962">
            <w:pPr>
              <w:pStyle w:val="P68B1DB1-Normal4"/>
              <w:numPr>
                <w:ilvl w:val="0"/>
                <w:numId w:val="63"/>
              </w:numPr>
              <w:suppressAutoHyphens/>
              <w:spacing w:before="120" w:line="276" w:lineRule="auto"/>
              <w:ind w:left="340" w:hanging="284"/>
              <w:contextualSpacing/>
              <w:rPr>
                <w:noProof/>
              </w:rPr>
            </w:pPr>
            <w:r>
              <w:rPr>
                <w:noProof/>
              </w:rPr>
              <w:t>wspieranie procedur przetargowych, również w celu zapewnienia, aby koncesje w zakresie gospodarowania odpadami były przyznawane w sposób przejrzysty i niedyskryminacyjny, zwiększając procesy konkurencyjne w celu osiągnięcia lepszych standardów dla usług publicznych.</w:t>
            </w:r>
          </w:p>
          <w:p w14:paraId="6026D319" w14:textId="77777777" w:rsidR="004C6421" w:rsidRDefault="004C6421">
            <w:pPr>
              <w:suppressAutoHyphens/>
              <w:spacing w:line="276" w:lineRule="auto"/>
              <w:rPr>
                <w:rFonts w:ascii="Arial Narrow" w:hAnsi="Arial Narrow"/>
                <w:noProof/>
                <w:color w:val="006100"/>
                <w:sz w:val="20"/>
              </w:rPr>
            </w:pPr>
          </w:p>
          <w:p w14:paraId="4C7D50C8" w14:textId="77777777" w:rsidR="004C6421" w:rsidRDefault="009D1962">
            <w:pPr>
              <w:pStyle w:val="P68B1DB1-Normal4"/>
              <w:suppressAutoHyphens/>
              <w:spacing w:line="276" w:lineRule="auto"/>
              <w:rPr>
                <w:noProof/>
              </w:rPr>
            </w:pPr>
            <w:r>
              <w:rPr>
                <w:noProof/>
              </w:rPr>
              <w:t>Ministerstwo Transformacji Ekologicznej opracowuje specjalny plan działania na rzecz budowania zdolności w celu wsparcia lokalnych organów publicznych i profesjonalnych nabywców publicznych w stosowaniu do procedur przetargowych minimalnych kryteriów środowiskowych (CAM) określonych ustawą (dekret ustawodawczy nr 50/2016 w sprawie zamówień publicznych) w ramach zielonych zamówień publicznych.</w:t>
            </w:r>
          </w:p>
        </w:tc>
      </w:tr>
      <w:tr w:rsidR="004C6421" w14:paraId="17C5865F" w14:textId="77777777">
        <w:trPr>
          <w:trHeight w:val="309"/>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5540A93" w14:textId="77777777" w:rsidR="004C6421" w:rsidRDefault="009D1962">
            <w:pPr>
              <w:pStyle w:val="P68B1DB1-Normal4"/>
              <w:spacing w:line="276" w:lineRule="auto"/>
              <w:jc w:val="center"/>
              <w:rPr>
                <w:noProof/>
              </w:rPr>
            </w:pPr>
            <w:r>
              <w:rPr>
                <w:noProof/>
              </w:rPr>
              <w:t>M2C1-3</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542658FB" w14:textId="77777777" w:rsidR="004C6421" w:rsidRDefault="009D1962">
            <w:pPr>
              <w:pStyle w:val="P68B1DB1-Normal4"/>
              <w:spacing w:line="276" w:lineRule="auto"/>
              <w:jc w:val="center"/>
              <w:rPr>
                <w:noProof/>
              </w:rPr>
            </w:pPr>
            <w:r>
              <w:rPr>
                <w:noProof/>
              </w:rPr>
              <w:t>Inwestycja 2.1: Plan logistyczny dla sektorów rolno-spożywczego, rybołówstwa i akwakultury, leśnictwa, kwiaciarstwa i szkółek roślin</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5E307C22" w14:textId="088FE63A" w:rsidR="004C6421" w:rsidRDefault="00CC179E">
            <w:pPr>
              <w:pStyle w:val="P68B1DB1-Normal4"/>
              <w:spacing w:line="276" w:lineRule="auto"/>
              <w:jc w:val="center"/>
              <w:rPr>
                <w:noProof/>
              </w:rPr>
            </w:pPr>
            <w:r>
              <w:rPr>
                <w:noProof/>
              </w:rPr>
              <w:t>Milowy</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05171439" w14:textId="77777777" w:rsidR="004C6421" w:rsidRDefault="009D1962">
            <w:pPr>
              <w:pStyle w:val="P68B1DB1-Normal4"/>
              <w:spacing w:line="276" w:lineRule="auto"/>
              <w:jc w:val="center"/>
              <w:rPr>
                <w:noProof/>
              </w:rPr>
            </w:pPr>
            <w:r>
              <w:rPr>
                <w:noProof/>
              </w:rPr>
              <w:t>Publikacja ostatecznego rankingu w ramach systemu zachęt logistycznych</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616F8973" w14:textId="77777777" w:rsidR="004C6421" w:rsidRDefault="009D1962">
            <w:pPr>
              <w:pStyle w:val="P68B1DB1-Normal4"/>
              <w:spacing w:line="276" w:lineRule="auto"/>
              <w:jc w:val="center"/>
              <w:rPr>
                <w:noProof/>
              </w:rPr>
            </w:pPr>
            <w:r>
              <w:rPr>
                <w:noProof/>
              </w:rPr>
              <w:t>Publikacja na stronie internetowej ministerstwa lub na innym kanale wsparcia</w:t>
            </w:r>
          </w:p>
        </w:tc>
        <w:tc>
          <w:tcPr>
            <w:tcW w:w="1180" w:type="dxa"/>
            <w:tcBorders>
              <w:top w:val="single" w:sz="4" w:space="0" w:color="auto"/>
              <w:left w:val="nil"/>
              <w:bottom w:val="single" w:sz="4" w:space="0" w:color="auto"/>
              <w:right w:val="single" w:sz="4" w:space="0" w:color="auto"/>
            </w:tcBorders>
            <w:shd w:val="clear" w:color="auto" w:fill="C6EFCE"/>
            <w:noWrap/>
            <w:vAlign w:val="center"/>
          </w:tcPr>
          <w:p w14:paraId="0EF8EA34" w14:textId="77777777" w:rsidR="004C6421" w:rsidRDefault="009D1962">
            <w:pPr>
              <w:pStyle w:val="P68B1DB1-Normal4"/>
              <w:spacing w:line="276" w:lineRule="auto"/>
              <w:jc w:val="center"/>
              <w:rPr>
                <w:noProof/>
              </w:rPr>
            </w:pPr>
            <w:r>
              <w:rPr>
                <w:noProof/>
              </w:rPr>
              <w:t>NIE DOT.</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14:paraId="7E3D962B" w14:textId="77777777" w:rsidR="004C6421" w:rsidRDefault="009D1962">
            <w:pPr>
              <w:pStyle w:val="P68B1DB1-Normal4"/>
              <w:spacing w:line="276" w:lineRule="auto"/>
              <w:jc w:val="center"/>
              <w:rPr>
                <w:noProof/>
              </w:rPr>
            </w:pPr>
            <w:r>
              <w:rPr>
                <w:noProof/>
              </w:rPr>
              <w:t>NIE DOT.</w:t>
            </w:r>
          </w:p>
        </w:tc>
        <w:tc>
          <w:tcPr>
            <w:tcW w:w="1347" w:type="dxa"/>
            <w:tcBorders>
              <w:top w:val="single" w:sz="4" w:space="0" w:color="auto"/>
              <w:left w:val="nil"/>
              <w:bottom w:val="single" w:sz="4" w:space="0" w:color="auto"/>
              <w:right w:val="single" w:sz="4" w:space="0" w:color="auto"/>
            </w:tcBorders>
            <w:shd w:val="clear" w:color="auto" w:fill="C6EFCE"/>
            <w:noWrap/>
            <w:vAlign w:val="center"/>
          </w:tcPr>
          <w:p w14:paraId="1BB6E230" w14:textId="77777777" w:rsidR="004C6421" w:rsidRDefault="009D1962">
            <w:pPr>
              <w:pStyle w:val="P68B1DB1-Normal4"/>
              <w:spacing w:line="276" w:lineRule="auto"/>
              <w:jc w:val="center"/>
              <w:rPr>
                <w:noProof/>
              </w:rPr>
            </w:pPr>
            <w:r>
              <w:rPr>
                <w:noProof/>
              </w:rPr>
              <w:t>NIE DOT.</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52101AF0" w14:textId="137FEF1A" w:rsidR="004C6421" w:rsidRDefault="00CC179E">
            <w:pPr>
              <w:pStyle w:val="P68B1DB1-Normal4"/>
              <w:spacing w:line="276" w:lineRule="auto"/>
              <w:jc w:val="center"/>
              <w:rPr>
                <w:noProof/>
              </w:rPr>
            </w:pPr>
            <w:r>
              <w:rPr>
                <w:noProof/>
              </w:rPr>
              <w:t>KW. 4</w:t>
            </w:r>
          </w:p>
        </w:tc>
        <w:tc>
          <w:tcPr>
            <w:tcW w:w="680" w:type="dxa"/>
            <w:tcBorders>
              <w:top w:val="single" w:sz="4" w:space="0" w:color="auto"/>
              <w:left w:val="nil"/>
              <w:bottom w:val="single" w:sz="4" w:space="0" w:color="auto"/>
              <w:right w:val="single" w:sz="4" w:space="0" w:color="auto"/>
            </w:tcBorders>
            <w:shd w:val="clear" w:color="auto" w:fill="C6EFCE"/>
            <w:noWrap/>
            <w:vAlign w:val="center"/>
          </w:tcPr>
          <w:p w14:paraId="4EE63850" w14:textId="77777777" w:rsidR="004C6421" w:rsidRDefault="009D1962">
            <w:pPr>
              <w:pStyle w:val="P68B1DB1-Normal4"/>
              <w:spacing w:line="276" w:lineRule="auto"/>
              <w:jc w:val="center"/>
              <w:rPr>
                <w:noProof/>
              </w:rPr>
            </w:pPr>
            <w:r>
              <w:rPr>
                <w:noProof/>
              </w:rPr>
              <w:t>2022</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14:paraId="710B27B5" w14:textId="77777777" w:rsidR="004C6421" w:rsidRDefault="009D1962">
            <w:pPr>
              <w:pStyle w:val="P68B1DB1-Normal4"/>
              <w:spacing w:line="276" w:lineRule="auto"/>
              <w:rPr>
                <w:noProof/>
              </w:rPr>
            </w:pPr>
            <w:r>
              <w:rPr>
                <w:noProof/>
              </w:rPr>
              <w:t>Ostateczna klasyfikacja jest określona w dekrecie zatwierdzającym.</w:t>
            </w:r>
          </w:p>
          <w:p w14:paraId="53FF3201" w14:textId="77777777" w:rsidR="004C6421" w:rsidRDefault="004C6421">
            <w:pPr>
              <w:spacing w:line="276" w:lineRule="auto"/>
              <w:rPr>
                <w:rFonts w:ascii="Arial Narrow" w:hAnsi="Arial Narrow"/>
                <w:noProof/>
                <w:color w:val="006100"/>
                <w:sz w:val="20"/>
              </w:rPr>
            </w:pPr>
          </w:p>
          <w:p w14:paraId="002E35E5" w14:textId="77777777" w:rsidR="004C6421" w:rsidRDefault="009D1962">
            <w:pPr>
              <w:pStyle w:val="P68B1DB1-paragraph18"/>
              <w:spacing w:before="0" w:beforeAutospacing="0" w:after="0" w:afterAutospacing="0" w:line="276" w:lineRule="auto"/>
              <w:textAlignment w:val="baseline"/>
              <w:rPr>
                <w:noProof/>
              </w:rPr>
            </w:pPr>
            <w:r>
              <w:rPr>
                <w:noProof/>
              </w:rPr>
              <w:t>System zachęt logistycznych obejmuje:</w:t>
            </w:r>
          </w:p>
          <w:p w14:paraId="07D64A64" w14:textId="77777777" w:rsidR="004C6421" w:rsidRDefault="009D1962">
            <w:pPr>
              <w:pStyle w:val="P68B1DB1-paragraph18"/>
              <w:spacing w:before="0" w:beforeAutospacing="0" w:after="0" w:afterAutospacing="0" w:line="276" w:lineRule="auto"/>
              <w:textAlignment w:val="baseline"/>
              <w:rPr>
                <w:noProof/>
              </w:rPr>
            </w:pPr>
            <w:r>
              <w:rPr>
                <w:noProof/>
              </w:rPr>
              <w:t>kryteria kwalifikowalności, które zapewniają zgodność wybranych projektów z wytycznymi technicznymi dotyczącymi zasady „nie czyń poważnych szkód” (2021/C58/01) poprzez wykorzystanie listy wykluczenia i wymóg zgodności z odpowiednimi unijnymi i krajowymi przepisami w zakresie ochrony środowiska.</w:t>
            </w:r>
          </w:p>
          <w:p w14:paraId="42F09AA6" w14:textId="77777777" w:rsidR="004C6421" w:rsidRDefault="009D1962">
            <w:pPr>
              <w:pStyle w:val="P68B1DB1-paragraph18"/>
              <w:spacing w:before="0" w:beforeAutospacing="0" w:after="0" w:afterAutospacing="0" w:line="276" w:lineRule="auto"/>
              <w:textAlignment w:val="baseline"/>
              <w:rPr>
                <w:noProof/>
              </w:rPr>
            </w:pPr>
            <w:r>
              <w:rPr>
                <w:noProof/>
              </w:rPr>
              <w:t>b) Zobowiązanie, że wkład inwestycji w działania na rzecz klimatu zgodnie z metodyką określoną w załączniku VI do rozporządzenia (UE) 2021/241 musi stanowić co najmniej 32 % łącznych kosztów inwestycji wspieranej z RRF.</w:t>
            </w:r>
          </w:p>
          <w:p w14:paraId="23699CA0" w14:textId="77777777" w:rsidR="004C6421" w:rsidRDefault="009D1962">
            <w:pPr>
              <w:pStyle w:val="P68B1DB1-Normal4"/>
              <w:spacing w:line="276" w:lineRule="auto"/>
              <w:rPr>
                <w:noProof/>
              </w:rPr>
            </w:pPr>
            <w:r>
              <w:rPr>
                <w:noProof/>
              </w:rPr>
              <w:t>C) Zobowiązanie, że wkład inwestycji w gospodarkę cyfrową zgodnie z metodyką określoną w załączniku VII do rozporządzenia (UE) 2021/241 musi stanowić co najmniej 27 % łącznych kosztów inwestycji wspieranej z RRF.</w:t>
            </w:r>
          </w:p>
          <w:p w14:paraId="25AA77E0" w14:textId="77777777" w:rsidR="004C6421" w:rsidRDefault="009D1962">
            <w:pPr>
              <w:pStyle w:val="P68B1DB1-Normal4"/>
              <w:spacing w:line="276" w:lineRule="auto"/>
              <w:rPr>
                <w:noProof/>
              </w:rPr>
            </w:pPr>
            <w:r>
              <w:rPr>
                <w:noProof/>
              </w:rPr>
              <w:t>zobowiązanie do składania sprawozdań z realizacji środka w połowie okresu obowiązywania programu i zakończenia programu.</w:t>
            </w:r>
          </w:p>
        </w:tc>
      </w:tr>
      <w:tr w:rsidR="004C6421" w14:paraId="55D6D366" w14:textId="77777777">
        <w:trPr>
          <w:trHeight w:val="309"/>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FC0B49E" w14:textId="77777777" w:rsidR="004C6421" w:rsidRDefault="009D1962">
            <w:pPr>
              <w:pStyle w:val="P68B1DB1-Normal4"/>
              <w:spacing w:line="276" w:lineRule="auto"/>
              <w:jc w:val="center"/>
              <w:rPr>
                <w:noProof/>
              </w:rPr>
            </w:pPr>
            <w:r>
              <w:rPr>
                <w:noProof/>
              </w:rPr>
              <w:t>M2C1-4</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6EDDDD86" w14:textId="77777777" w:rsidR="004C6421" w:rsidRDefault="009D1962">
            <w:pPr>
              <w:pStyle w:val="P68B1DB1-Normal4"/>
              <w:spacing w:line="276" w:lineRule="auto"/>
              <w:jc w:val="center"/>
              <w:rPr>
                <w:noProof/>
              </w:rPr>
            </w:pPr>
            <w:r>
              <w:rPr>
                <w:noProof/>
              </w:rPr>
              <w:t>Inwestycje 2.2: Park rolno-słoneczny</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50884C7F" w14:textId="77777777" w:rsidR="004C6421" w:rsidRDefault="009D1962">
            <w:pPr>
              <w:pStyle w:val="P68B1DB1-Normal4"/>
              <w:spacing w:line="276" w:lineRule="auto"/>
              <w:jc w:val="center"/>
              <w:rPr>
                <w:noProof/>
              </w:rPr>
            </w:pPr>
            <w:r>
              <w:rPr>
                <w:noProof/>
              </w:rPr>
              <w:t>Cel</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17EB96DB" w14:textId="77777777" w:rsidR="004C6421" w:rsidRDefault="009D1962">
            <w:pPr>
              <w:pStyle w:val="P68B1DB1-Normal4"/>
              <w:spacing w:line="276" w:lineRule="auto"/>
              <w:jc w:val="center"/>
              <w:rPr>
                <w:noProof/>
              </w:rPr>
            </w:pPr>
            <w:r>
              <w:rPr>
                <w:noProof/>
              </w:rPr>
              <w:t>Alokacja zasobów dla beneficjentów jako % całkowitych środków finansowych przeznaczonych na inwestycję</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4407068E" w14:textId="77777777" w:rsidR="004C6421" w:rsidRDefault="009D1962">
            <w:pPr>
              <w:pStyle w:val="P68B1DB1-Normal4"/>
              <w:spacing w:line="276" w:lineRule="auto"/>
              <w:jc w:val="center"/>
              <w:rPr>
                <w:noProof/>
              </w:rPr>
            </w:pPr>
            <w:r>
              <w:rPr>
                <w:noProof/>
              </w:rPr>
              <w:t>NIE DOT.</w:t>
            </w:r>
          </w:p>
        </w:tc>
        <w:tc>
          <w:tcPr>
            <w:tcW w:w="1180" w:type="dxa"/>
            <w:tcBorders>
              <w:top w:val="single" w:sz="4" w:space="0" w:color="auto"/>
              <w:left w:val="nil"/>
              <w:bottom w:val="single" w:sz="4" w:space="0" w:color="auto"/>
              <w:right w:val="single" w:sz="4" w:space="0" w:color="auto"/>
            </w:tcBorders>
            <w:shd w:val="clear" w:color="auto" w:fill="C6EFCE"/>
            <w:noWrap/>
            <w:vAlign w:val="center"/>
          </w:tcPr>
          <w:p w14:paraId="5C935BDD" w14:textId="77777777" w:rsidR="004C6421" w:rsidRDefault="009D1962">
            <w:pPr>
              <w:pStyle w:val="P68B1DB1-Normal4"/>
              <w:spacing w:line="276" w:lineRule="auto"/>
              <w:jc w:val="center"/>
              <w:rPr>
                <w:noProof/>
              </w:rPr>
            </w:pPr>
            <w:r>
              <w:rPr>
                <w:noProof/>
              </w:rPr>
              <w:t>Procent</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14:paraId="1C3804CE" w14:textId="77777777" w:rsidR="004C6421" w:rsidRDefault="009D1962">
            <w:pPr>
              <w:pStyle w:val="P68B1DB1-Normal4"/>
              <w:spacing w:line="276" w:lineRule="auto"/>
              <w:jc w:val="center"/>
              <w:rPr>
                <w:noProof/>
              </w:rPr>
            </w:pPr>
            <w:r>
              <w:rPr>
                <w:noProof/>
              </w:rPr>
              <w:t>0</w:t>
            </w:r>
          </w:p>
        </w:tc>
        <w:tc>
          <w:tcPr>
            <w:tcW w:w="1347" w:type="dxa"/>
            <w:tcBorders>
              <w:top w:val="single" w:sz="4" w:space="0" w:color="auto"/>
              <w:left w:val="nil"/>
              <w:bottom w:val="single" w:sz="4" w:space="0" w:color="auto"/>
              <w:right w:val="single" w:sz="4" w:space="0" w:color="auto"/>
            </w:tcBorders>
            <w:shd w:val="clear" w:color="auto" w:fill="C6EFCE"/>
            <w:noWrap/>
            <w:vAlign w:val="center"/>
          </w:tcPr>
          <w:p w14:paraId="2C1D0C4F" w14:textId="77777777" w:rsidR="004C6421" w:rsidRDefault="009D1962">
            <w:pPr>
              <w:pStyle w:val="P68B1DB1-Normal4"/>
              <w:spacing w:line="276" w:lineRule="auto"/>
              <w:jc w:val="center"/>
              <w:rPr>
                <w:noProof/>
              </w:rPr>
            </w:pPr>
            <w:r>
              <w:rPr>
                <w:noProof/>
              </w:rPr>
              <w:t>30</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716DF263" w14:textId="2E047C7B" w:rsidR="004C6421" w:rsidRDefault="00CC179E">
            <w:pPr>
              <w:pStyle w:val="P68B1DB1-Normal4"/>
              <w:spacing w:line="276" w:lineRule="auto"/>
              <w:jc w:val="center"/>
              <w:rPr>
                <w:noProof/>
              </w:rPr>
            </w:pPr>
            <w:r>
              <w:rPr>
                <w:noProof/>
              </w:rPr>
              <w:t>KW. 4</w:t>
            </w:r>
          </w:p>
        </w:tc>
        <w:tc>
          <w:tcPr>
            <w:tcW w:w="680" w:type="dxa"/>
            <w:tcBorders>
              <w:top w:val="single" w:sz="4" w:space="0" w:color="auto"/>
              <w:left w:val="nil"/>
              <w:bottom w:val="single" w:sz="4" w:space="0" w:color="auto"/>
              <w:right w:val="single" w:sz="4" w:space="0" w:color="auto"/>
            </w:tcBorders>
            <w:shd w:val="clear" w:color="auto" w:fill="C6EFCE"/>
            <w:noWrap/>
            <w:vAlign w:val="center"/>
          </w:tcPr>
          <w:p w14:paraId="21F8A8F1" w14:textId="77777777" w:rsidR="004C6421" w:rsidRDefault="009D1962">
            <w:pPr>
              <w:pStyle w:val="P68B1DB1-Normal4"/>
              <w:spacing w:line="276" w:lineRule="auto"/>
              <w:jc w:val="center"/>
              <w:rPr>
                <w:noProof/>
              </w:rPr>
            </w:pPr>
            <w:r>
              <w:rPr>
                <w:noProof/>
              </w:rPr>
              <w:t>2022</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14:paraId="5B75EB75" w14:textId="77777777" w:rsidR="004C6421" w:rsidRDefault="009D1962">
            <w:pPr>
              <w:pStyle w:val="P68B1DB1-Normal4"/>
              <w:spacing w:line="276" w:lineRule="auto"/>
              <w:rPr>
                <w:noProof/>
              </w:rPr>
            </w:pPr>
            <w:r>
              <w:rPr>
                <w:noProof/>
              </w:rPr>
              <w:t>Wskazanie projektów będących beneficjentami, których łączna wartość wynosi co najmniej 30 % całkowitych środków finansowych przeznaczonych na inwestycję. Inwestycja jest realizowana za pomocą dwóch różnych procedur, które już istnieją, i podlega refinansowaniu. Procedury te przewidują wypłatę pożyczek przedsiębiorstwom, które spełniają wymogi i składają wniosek.</w:t>
            </w:r>
          </w:p>
        </w:tc>
      </w:tr>
      <w:tr w:rsidR="004C6421" w14:paraId="5EE70640" w14:textId="77777777">
        <w:trPr>
          <w:trHeight w:val="309"/>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D78DF79" w14:textId="77777777" w:rsidR="004C6421" w:rsidRDefault="009D1962">
            <w:pPr>
              <w:pStyle w:val="P68B1DB1-Normal4"/>
              <w:spacing w:line="276" w:lineRule="auto"/>
              <w:jc w:val="center"/>
              <w:rPr>
                <w:noProof/>
              </w:rPr>
            </w:pPr>
            <w:r>
              <w:rPr>
                <w:noProof/>
              </w:rPr>
              <w:t>M2C1-5</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1122029F" w14:textId="77777777" w:rsidR="004C6421" w:rsidRDefault="009D1962">
            <w:pPr>
              <w:pStyle w:val="P68B1DB1-Normal4"/>
              <w:spacing w:line="276" w:lineRule="auto"/>
              <w:jc w:val="center"/>
              <w:rPr>
                <w:noProof/>
              </w:rPr>
            </w:pPr>
            <w:r>
              <w:rPr>
                <w:noProof/>
              </w:rPr>
              <w:t>Inwestycje 2.2: Park rolno-słoneczny</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60CB432F" w14:textId="77777777" w:rsidR="004C6421" w:rsidRDefault="009D1962">
            <w:pPr>
              <w:pStyle w:val="P68B1DB1-Normal4"/>
              <w:spacing w:line="276" w:lineRule="auto"/>
              <w:jc w:val="center"/>
              <w:rPr>
                <w:noProof/>
              </w:rPr>
            </w:pPr>
            <w:r>
              <w:rPr>
                <w:noProof/>
              </w:rPr>
              <w:t>Cel</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70DD4F78" w14:textId="77777777" w:rsidR="004C6421" w:rsidRDefault="009D1962">
            <w:pPr>
              <w:pStyle w:val="P68B1DB1-Normal4"/>
              <w:spacing w:line="276" w:lineRule="auto"/>
              <w:jc w:val="center"/>
              <w:rPr>
                <w:noProof/>
              </w:rPr>
            </w:pPr>
            <w:r>
              <w:rPr>
                <w:noProof/>
              </w:rPr>
              <w:t>Alokacja zasobów dla beneficjentów jako % całkowitych środków finansowych przeznaczonych na inwestycję</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753E8FEC" w14:textId="77777777" w:rsidR="004C6421" w:rsidRDefault="009D1962">
            <w:pPr>
              <w:pStyle w:val="P68B1DB1-Normal4"/>
              <w:spacing w:line="276" w:lineRule="auto"/>
              <w:jc w:val="center"/>
              <w:rPr>
                <w:noProof/>
              </w:rPr>
            </w:pPr>
            <w:r>
              <w:rPr>
                <w:noProof/>
              </w:rPr>
              <w:t>NIE DOT.</w:t>
            </w:r>
          </w:p>
        </w:tc>
        <w:tc>
          <w:tcPr>
            <w:tcW w:w="1180" w:type="dxa"/>
            <w:tcBorders>
              <w:top w:val="single" w:sz="4" w:space="0" w:color="auto"/>
              <w:left w:val="nil"/>
              <w:bottom w:val="single" w:sz="4" w:space="0" w:color="auto"/>
              <w:right w:val="single" w:sz="4" w:space="0" w:color="auto"/>
            </w:tcBorders>
            <w:shd w:val="clear" w:color="auto" w:fill="C6EFCE"/>
            <w:noWrap/>
            <w:vAlign w:val="center"/>
          </w:tcPr>
          <w:p w14:paraId="7C244F23" w14:textId="77777777" w:rsidR="004C6421" w:rsidRDefault="009D1962">
            <w:pPr>
              <w:pStyle w:val="P68B1DB1-Normal4"/>
              <w:spacing w:line="276" w:lineRule="auto"/>
              <w:jc w:val="center"/>
              <w:rPr>
                <w:noProof/>
              </w:rPr>
            </w:pPr>
            <w:r>
              <w:rPr>
                <w:noProof/>
              </w:rPr>
              <w:t>Procent</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14:paraId="17FCDC0A" w14:textId="77777777" w:rsidR="004C6421" w:rsidRDefault="009D1962">
            <w:pPr>
              <w:pStyle w:val="P68B1DB1-Normal4"/>
              <w:spacing w:line="276" w:lineRule="auto"/>
              <w:jc w:val="center"/>
              <w:rPr>
                <w:noProof/>
              </w:rPr>
            </w:pPr>
            <w:r>
              <w:rPr>
                <w:noProof/>
              </w:rPr>
              <w:t>19</w:t>
            </w:r>
          </w:p>
        </w:tc>
        <w:tc>
          <w:tcPr>
            <w:tcW w:w="1347" w:type="dxa"/>
            <w:tcBorders>
              <w:top w:val="single" w:sz="4" w:space="0" w:color="auto"/>
              <w:left w:val="nil"/>
              <w:bottom w:val="single" w:sz="4" w:space="0" w:color="auto"/>
              <w:right w:val="single" w:sz="4" w:space="0" w:color="auto"/>
            </w:tcBorders>
            <w:shd w:val="clear" w:color="auto" w:fill="C6EFCE"/>
            <w:noWrap/>
            <w:vAlign w:val="center"/>
          </w:tcPr>
          <w:p w14:paraId="5A923BE1" w14:textId="77777777" w:rsidR="004C6421" w:rsidRDefault="009D1962">
            <w:pPr>
              <w:pStyle w:val="P68B1DB1-Normal4"/>
              <w:spacing w:line="276" w:lineRule="auto"/>
              <w:jc w:val="center"/>
              <w:rPr>
                <w:noProof/>
              </w:rPr>
            </w:pPr>
            <w:r>
              <w:rPr>
                <w:noProof/>
              </w:rPr>
              <w:t>32</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3710152F" w14:textId="7D2851D2" w:rsidR="004C6421" w:rsidRDefault="00CC179E">
            <w:pPr>
              <w:pStyle w:val="P68B1DB1-Normal4"/>
              <w:spacing w:line="276" w:lineRule="auto"/>
              <w:jc w:val="center"/>
              <w:rPr>
                <w:noProof/>
              </w:rPr>
            </w:pPr>
            <w:r>
              <w:rPr>
                <w:noProof/>
              </w:rPr>
              <w:t>KW. 4</w:t>
            </w:r>
          </w:p>
        </w:tc>
        <w:tc>
          <w:tcPr>
            <w:tcW w:w="680" w:type="dxa"/>
            <w:tcBorders>
              <w:top w:val="single" w:sz="4" w:space="0" w:color="auto"/>
              <w:left w:val="nil"/>
              <w:bottom w:val="single" w:sz="4" w:space="0" w:color="auto"/>
              <w:right w:val="single" w:sz="4" w:space="0" w:color="auto"/>
            </w:tcBorders>
            <w:shd w:val="clear" w:color="auto" w:fill="C6EFCE"/>
            <w:noWrap/>
            <w:vAlign w:val="center"/>
          </w:tcPr>
          <w:p w14:paraId="7F097BDF" w14:textId="77777777" w:rsidR="004C6421" w:rsidRDefault="009D1962">
            <w:pPr>
              <w:pStyle w:val="P68B1DB1-Normal4"/>
              <w:spacing w:line="276" w:lineRule="auto"/>
              <w:jc w:val="center"/>
              <w:rPr>
                <w:noProof/>
              </w:rPr>
            </w:pPr>
            <w:r>
              <w:rPr>
                <w:noProof/>
              </w:rPr>
              <w:t>2023</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14:paraId="29E20503" w14:textId="77777777" w:rsidR="004C6421" w:rsidRDefault="009D1962">
            <w:pPr>
              <w:pStyle w:val="P68B1DB1-Normal4"/>
              <w:spacing w:line="276" w:lineRule="auto"/>
              <w:rPr>
                <w:noProof/>
              </w:rPr>
            </w:pPr>
            <w:r>
              <w:rPr>
                <w:noProof/>
              </w:rPr>
              <w:t>Określa się projekty beneficjentów, których całkowita wartość wynosi co najmniej 32 % całkowitych środków finansowych przeznaczonych na inwestycję. Procedura wyboru przewiduje wypłatę dotacji lub innych zachęt dla przedsiębiorstw, które spełniają wymogi i składają wniosek.</w:t>
            </w:r>
          </w:p>
        </w:tc>
      </w:tr>
      <w:tr w:rsidR="004C6421" w14:paraId="22C95356" w14:textId="77777777">
        <w:trPr>
          <w:trHeight w:val="309"/>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FE7AE00" w14:textId="77777777" w:rsidR="004C6421" w:rsidRDefault="009D1962">
            <w:pPr>
              <w:pStyle w:val="P68B1DB1-Normal4"/>
              <w:spacing w:line="276" w:lineRule="auto"/>
              <w:jc w:val="center"/>
              <w:rPr>
                <w:noProof/>
              </w:rPr>
            </w:pPr>
            <w:r>
              <w:rPr>
                <w:noProof/>
              </w:rPr>
              <w:t>M2C1-6</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560B0D4A" w14:textId="77777777" w:rsidR="004C6421" w:rsidRDefault="009D1962">
            <w:pPr>
              <w:pStyle w:val="P68B1DB1-Normal4"/>
              <w:spacing w:line="276" w:lineRule="auto"/>
              <w:jc w:val="center"/>
              <w:rPr>
                <w:noProof/>
              </w:rPr>
            </w:pPr>
            <w:r>
              <w:rPr>
                <w:noProof/>
              </w:rPr>
              <w:t>Inwestycje 2.2: Park rolno-słoneczny</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0109C12E" w14:textId="77777777" w:rsidR="004C6421" w:rsidRDefault="009D1962">
            <w:pPr>
              <w:pStyle w:val="P68B1DB1-Normal4"/>
              <w:spacing w:line="276" w:lineRule="auto"/>
              <w:jc w:val="center"/>
              <w:rPr>
                <w:noProof/>
              </w:rPr>
            </w:pPr>
            <w:r>
              <w:rPr>
                <w:noProof/>
              </w:rPr>
              <w:t>Cel</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6E44A766" w14:textId="77777777" w:rsidR="004C6421" w:rsidRDefault="009D1962">
            <w:pPr>
              <w:pStyle w:val="P68B1DB1-Normal4"/>
              <w:spacing w:line="276" w:lineRule="auto"/>
              <w:jc w:val="center"/>
              <w:rPr>
                <w:noProof/>
              </w:rPr>
            </w:pPr>
            <w:r>
              <w:rPr>
                <w:noProof/>
              </w:rPr>
              <w:t>Alokacja zasobów dla beneficjentów jako % całkowitych środków finansowych przeznaczonych na inwestycję</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5AD6DBE8" w14:textId="77777777" w:rsidR="004C6421" w:rsidRDefault="009D1962">
            <w:pPr>
              <w:pStyle w:val="P68B1DB1-Normal4"/>
              <w:spacing w:line="276" w:lineRule="auto"/>
              <w:jc w:val="center"/>
              <w:rPr>
                <w:noProof/>
              </w:rPr>
            </w:pPr>
            <w:r>
              <w:rPr>
                <w:noProof/>
              </w:rPr>
              <w:t>NIE DOT.</w:t>
            </w:r>
          </w:p>
        </w:tc>
        <w:tc>
          <w:tcPr>
            <w:tcW w:w="1180" w:type="dxa"/>
            <w:tcBorders>
              <w:top w:val="single" w:sz="4" w:space="0" w:color="auto"/>
              <w:left w:val="nil"/>
              <w:bottom w:val="single" w:sz="4" w:space="0" w:color="auto"/>
              <w:right w:val="single" w:sz="4" w:space="0" w:color="auto"/>
            </w:tcBorders>
            <w:shd w:val="clear" w:color="auto" w:fill="C6EFCE"/>
            <w:noWrap/>
            <w:vAlign w:val="center"/>
          </w:tcPr>
          <w:p w14:paraId="7FBF2F37" w14:textId="77777777" w:rsidR="004C6421" w:rsidRDefault="009D1962">
            <w:pPr>
              <w:pStyle w:val="P68B1DB1-Normal4"/>
              <w:spacing w:line="276" w:lineRule="auto"/>
              <w:jc w:val="center"/>
              <w:rPr>
                <w:noProof/>
              </w:rPr>
            </w:pPr>
            <w:r>
              <w:rPr>
                <w:noProof/>
              </w:rPr>
              <w:t>Procent</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14:paraId="64834C4F" w14:textId="77777777" w:rsidR="004C6421" w:rsidRDefault="009D1962">
            <w:pPr>
              <w:pStyle w:val="P68B1DB1-Normal4"/>
              <w:spacing w:line="276" w:lineRule="auto"/>
              <w:jc w:val="center"/>
              <w:rPr>
                <w:noProof/>
              </w:rPr>
            </w:pPr>
            <w:r>
              <w:rPr>
                <w:noProof/>
              </w:rPr>
              <w:t>32</w:t>
            </w:r>
          </w:p>
        </w:tc>
        <w:tc>
          <w:tcPr>
            <w:tcW w:w="1347" w:type="dxa"/>
            <w:tcBorders>
              <w:top w:val="single" w:sz="4" w:space="0" w:color="auto"/>
              <w:left w:val="nil"/>
              <w:bottom w:val="single" w:sz="4" w:space="0" w:color="auto"/>
              <w:right w:val="single" w:sz="4" w:space="0" w:color="auto"/>
            </w:tcBorders>
            <w:shd w:val="clear" w:color="auto" w:fill="C6EFCE"/>
            <w:noWrap/>
            <w:vAlign w:val="center"/>
          </w:tcPr>
          <w:p w14:paraId="1C13724E" w14:textId="77777777" w:rsidR="004C6421" w:rsidRDefault="009D1962">
            <w:pPr>
              <w:pStyle w:val="P68B1DB1-Normal4"/>
              <w:spacing w:line="276" w:lineRule="auto"/>
              <w:jc w:val="center"/>
              <w:rPr>
                <w:noProof/>
              </w:rPr>
            </w:pPr>
            <w:r>
              <w:rPr>
                <w:noProof/>
              </w:rPr>
              <w:t>63.5</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3114DAA0" w14:textId="77777777" w:rsidR="004C6421" w:rsidRDefault="009D1962">
            <w:pPr>
              <w:pStyle w:val="P68B1DB1-Normal4"/>
              <w:spacing w:line="276" w:lineRule="auto"/>
              <w:jc w:val="center"/>
              <w:rPr>
                <w:noProof/>
              </w:rPr>
            </w:pPr>
            <w:r>
              <w:rPr>
                <w:noProof/>
              </w:rPr>
              <w:t>II KW.</w:t>
            </w:r>
          </w:p>
        </w:tc>
        <w:tc>
          <w:tcPr>
            <w:tcW w:w="680" w:type="dxa"/>
            <w:tcBorders>
              <w:top w:val="single" w:sz="4" w:space="0" w:color="auto"/>
              <w:left w:val="nil"/>
              <w:bottom w:val="single" w:sz="4" w:space="0" w:color="auto"/>
              <w:right w:val="single" w:sz="4" w:space="0" w:color="auto"/>
            </w:tcBorders>
            <w:shd w:val="clear" w:color="auto" w:fill="C6EFCE"/>
            <w:noWrap/>
            <w:vAlign w:val="center"/>
          </w:tcPr>
          <w:p w14:paraId="08140020" w14:textId="77777777" w:rsidR="004C6421" w:rsidRDefault="009D1962">
            <w:pPr>
              <w:pStyle w:val="P68B1DB1-Normal4"/>
              <w:spacing w:line="276" w:lineRule="auto"/>
              <w:jc w:val="center"/>
              <w:rPr>
                <w:noProof/>
              </w:rPr>
            </w:pPr>
            <w:r>
              <w:rPr>
                <w:noProof/>
              </w:rPr>
              <w:t>2024</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14:paraId="0255707E" w14:textId="77777777" w:rsidR="004C6421" w:rsidRDefault="009D1962">
            <w:pPr>
              <w:pStyle w:val="P68B1DB1-Normal4"/>
              <w:spacing w:line="276" w:lineRule="auto"/>
              <w:rPr>
                <w:noProof/>
              </w:rPr>
            </w:pPr>
            <w:r>
              <w:rPr>
                <w:noProof/>
              </w:rPr>
              <w:t>Wskazanie projektów będących beneficjentami, których łączna wartość wynosi co najmniej 63,5 % całkowitych środków finansowych przeznaczonych na inwestycję.  W procedurze wyboru przewiduje się wypłatę dotacji lub innych zachęt dla przedsiębiorstw, które spełniają wymogi i składają wniosek.</w:t>
            </w:r>
          </w:p>
        </w:tc>
      </w:tr>
      <w:tr w:rsidR="004C6421" w14:paraId="4DB274B1" w14:textId="77777777">
        <w:trPr>
          <w:trHeight w:val="309"/>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8EE19D" w14:textId="77777777" w:rsidR="004C6421" w:rsidRDefault="009D1962">
            <w:pPr>
              <w:pStyle w:val="P68B1DB1-Normal4"/>
              <w:spacing w:line="276" w:lineRule="auto"/>
              <w:jc w:val="center"/>
              <w:rPr>
                <w:noProof/>
              </w:rPr>
            </w:pPr>
            <w:r>
              <w:rPr>
                <w:noProof/>
              </w:rPr>
              <w:t>M2C1-6bis</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24720693" w14:textId="77777777" w:rsidR="004C6421" w:rsidRDefault="009D1962">
            <w:pPr>
              <w:pStyle w:val="P68B1DB1-Normal4"/>
              <w:spacing w:line="276" w:lineRule="auto"/>
              <w:jc w:val="center"/>
              <w:rPr>
                <w:noProof/>
              </w:rPr>
            </w:pPr>
            <w:r>
              <w:rPr>
                <w:noProof/>
              </w:rPr>
              <w:t>Inwestycje 2.2: Park rolno-słoneczny</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4572F444" w14:textId="77777777" w:rsidR="004C6421" w:rsidRDefault="009D1962">
            <w:pPr>
              <w:pStyle w:val="P68B1DB1-Normal4"/>
              <w:spacing w:line="276" w:lineRule="auto"/>
              <w:jc w:val="center"/>
              <w:rPr>
                <w:noProof/>
              </w:rPr>
            </w:pPr>
            <w:r>
              <w:rPr>
                <w:noProof/>
              </w:rPr>
              <w:t>Cel</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6611BDC0" w14:textId="77777777" w:rsidR="004C6421" w:rsidRDefault="009D1962">
            <w:pPr>
              <w:pStyle w:val="P68B1DB1-Normal4"/>
              <w:spacing w:line="276" w:lineRule="auto"/>
              <w:jc w:val="center"/>
              <w:rPr>
                <w:noProof/>
              </w:rPr>
            </w:pPr>
            <w:r>
              <w:rPr>
                <w:noProof/>
              </w:rPr>
              <w:t>Alokacja zasobów dla beneficjentów jako % całkowitych środków finansowych przeznaczonych na inwestycję</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51A961EA" w14:textId="77777777" w:rsidR="004C6421" w:rsidRDefault="009D1962">
            <w:pPr>
              <w:pStyle w:val="P68B1DB1-Normal4"/>
              <w:spacing w:line="276" w:lineRule="auto"/>
              <w:jc w:val="center"/>
              <w:rPr>
                <w:noProof/>
              </w:rPr>
            </w:pPr>
            <w:r>
              <w:rPr>
                <w:noProof/>
              </w:rPr>
              <w:t>NIE DOT.</w:t>
            </w:r>
          </w:p>
        </w:tc>
        <w:tc>
          <w:tcPr>
            <w:tcW w:w="1180" w:type="dxa"/>
            <w:tcBorders>
              <w:top w:val="single" w:sz="4" w:space="0" w:color="auto"/>
              <w:left w:val="nil"/>
              <w:bottom w:val="single" w:sz="4" w:space="0" w:color="auto"/>
              <w:right w:val="single" w:sz="4" w:space="0" w:color="auto"/>
            </w:tcBorders>
            <w:shd w:val="clear" w:color="auto" w:fill="C6EFCE"/>
            <w:noWrap/>
            <w:vAlign w:val="center"/>
          </w:tcPr>
          <w:p w14:paraId="6A1E2ED0" w14:textId="77777777" w:rsidR="004C6421" w:rsidRDefault="009D1962">
            <w:pPr>
              <w:pStyle w:val="P68B1DB1-Normal4"/>
              <w:spacing w:line="276" w:lineRule="auto"/>
              <w:jc w:val="center"/>
              <w:rPr>
                <w:noProof/>
              </w:rPr>
            </w:pPr>
            <w:r>
              <w:rPr>
                <w:noProof/>
              </w:rPr>
              <w:t>Procent</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14:paraId="22F6D57B" w14:textId="77777777" w:rsidR="004C6421" w:rsidRDefault="009D1962">
            <w:pPr>
              <w:pStyle w:val="P68B1DB1-Normal4"/>
              <w:spacing w:line="276" w:lineRule="auto"/>
              <w:jc w:val="center"/>
              <w:rPr>
                <w:noProof/>
              </w:rPr>
            </w:pPr>
            <w:r>
              <w:rPr>
                <w:noProof/>
              </w:rPr>
              <w:t>63.5</w:t>
            </w:r>
          </w:p>
        </w:tc>
        <w:tc>
          <w:tcPr>
            <w:tcW w:w="1347" w:type="dxa"/>
            <w:tcBorders>
              <w:top w:val="single" w:sz="4" w:space="0" w:color="auto"/>
              <w:left w:val="nil"/>
              <w:bottom w:val="single" w:sz="4" w:space="0" w:color="auto"/>
              <w:right w:val="single" w:sz="4" w:space="0" w:color="auto"/>
            </w:tcBorders>
            <w:shd w:val="clear" w:color="auto" w:fill="C6EFCE"/>
            <w:noWrap/>
            <w:vAlign w:val="center"/>
          </w:tcPr>
          <w:p w14:paraId="72688315" w14:textId="77777777" w:rsidR="004C6421" w:rsidRDefault="009D1962">
            <w:pPr>
              <w:pStyle w:val="P68B1DB1-Normal4"/>
              <w:spacing w:line="276" w:lineRule="auto"/>
              <w:jc w:val="center"/>
              <w:rPr>
                <w:noProof/>
              </w:rPr>
            </w:pPr>
            <w:r>
              <w:rPr>
                <w:noProof/>
              </w:rPr>
              <w:t>100</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2E79ADB2" w14:textId="0ED7EF03" w:rsidR="004C6421" w:rsidRDefault="00CC179E">
            <w:pPr>
              <w:pStyle w:val="P68B1DB1-Normal4"/>
              <w:spacing w:line="276" w:lineRule="auto"/>
              <w:jc w:val="center"/>
              <w:rPr>
                <w:noProof/>
              </w:rPr>
            </w:pPr>
            <w:r>
              <w:rPr>
                <w:noProof/>
              </w:rPr>
              <w:t>KW. 4</w:t>
            </w:r>
          </w:p>
        </w:tc>
        <w:tc>
          <w:tcPr>
            <w:tcW w:w="680" w:type="dxa"/>
            <w:tcBorders>
              <w:top w:val="single" w:sz="4" w:space="0" w:color="auto"/>
              <w:left w:val="nil"/>
              <w:bottom w:val="single" w:sz="4" w:space="0" w:color="auto"/>
              <w:right w:val="single" w:sz="4" w:space="0" w:color="auto"/>
            </w:tcBorders>
            <w:shd w:val="clear" w:color="auto" w:fill="C6EFCE"/>
            <w:noWrap/>
            <w:vAlign w:val="center"/>
          </w:tcPr>
          <w:p w14:paraId="0D096341" w14:textId="77777777" w:rsidR="004C6421" w:rsidRDefault="009D1962">
            <w:pPr>
              <w:pStyle w:val="P68B1DB1-Normal4"/>
              <w:spacing w:line="276" w:lineRule="auto"/>
              <w:jc w:val="center"/>
              <w:rPr>
                <w:noProof/>
              </w:rPr>
            </w:pPr>
            <w:r>
              <w:rPr>
                <w:noProof/>
              </w:rPr>
              <w:t>2024</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14:paraId="3C316312" w14:textId="77777777" w:rsidR="004C6421" w:rsidRDefault="009D1962">
            <w:pPr>
              <w:pStyle w:val="P68B1DB1-Normal4"/>
              <w:spacing w:line="276" w:lineRule="auto"/>
              <w:rPr>
                <w:noProof/>
              </w:rPr>
            </w:pPr>
            <w:r>
              <w:rPr>
                <w:noProof/>
              </w:rPr>
              <w:t>Wskazanie projektów będących beneficjentami, których łączna wartość wynosi co najmniej 100 % dodatkowych środków finansowych przeznaczonych na inwestycję. Procedura wyboru przewiduje wypłatę dotacji lub innych zachęt dla przedsiębiorstw, które spełniają wymogi i składają wniosek</w:t>
            </w:r>
          </w:p>
        </w:tc>
      </w:tr>
      <w:tr w:rsidR="004C6421" w14:paraId="207F6E62" w14:textId="77777777">
        <w:trPr>
          <w:trHeight w:val="309"/>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2338B42" w14:textId="77777777" w:rsidR="004C6421" w:rsidRDefault="009D1962">
            <w:pPr>
              <w:pStyle w:val="P68B1DB1-Normal4"/>
              <w:spacing w:line="276" w:lineRule="auto"/>
              <w:jc w:val="center"/>
              <w:rPr>
                <w:noProof/>
              </w:rPr>
            </w:pPr>
            <w:r>
              <w:rPr>
                <w:noProof/>
              </w:rPr>
              <w:t>M2C1-7</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1E723E77" w14:textId="77777777" w:rsidR="004C6421" w:rsidRDefault="009D1962">
            <w:pPr>
              <w:pStyle w:val="P68B1DB1-Normal4"/>
              <w:spacing w:line="276" w:lineRule="auto"/>
              <w:jc w:val="center"/>
              <w:rPr>
                <w:noProof/>
              </w:rPr>
            </w:pPr>
            <w:r>
              <w:rPr>
                <w:noProof/>
              </w:rPr>
              <w:t>Inwestycja 2.3: Innowacje i mechanizacja w sektorze rolnym i spożywczym</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1FD32CC1" w14:textId="77777777" w:rsidR="004C6421" w:rsidRDefault="009D1962">
            <w:pPr>
              <w:pStyle w:val="P68B1DB1-Normal4"/>
              <w:spacing w:line="276" w:lineRule="auto"/>
              <w:jc w:val="center"/>
              <w:rPr>
                <w:noProof/>
              </w:rPr>
            </w:pPr>
            <w:r>
              <w:rPr>
                <w:noProof/>
              </w:rPr>
              <w:t>Cel</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0368B392" w14:textId="77777777" w:rsidR="004C6421" w:rsidRDefault="009D1962">
            <w:pPr>
              <w:pStyle w:val="P68B1DB1-Normal4"/>
              <w:spacing w:line="276" w:lineRule="auto"/>
              <w:jc w:val="center"/>
              <w:rPr>
                <w:noProof/>
              </w:rPr>
            </w:pPr>
            <w:r>
              <w:rPr>
                <w:noProof/>
              </w:rPr>
              <w:t>Publikacja ostatecznych rankingów wraz z określeniem ostatecznych odbiorców.</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62BD9824" w14:textId="77777777" w:rsidR="004C6421" w:rsidRDefault="009D1962">
            <w:pPr>
              <w:pStyle w:val="P68B1DB1-Normal4"/>
              <w:spacing w:line="276" w:lineRule="auto"/>
              <w:jc w:val="center"/>
              <w:rPr>
                <w:noProof/>
              </w:rPr>
            </w:pPr>
            <w:r>
              <w:rPr>
                <w:noProof/>
              </w:rPr>
              <w:t>NIE DOT.</w:t>
            </w:r>
          </w:p>
        </w:tc>
        <w:tc>
          <w:tcPr>
            <w:tcW w:w="1180" w:type="dxa"/>
            <w:tcBorders>
              <w:top w:val="single" w:sz="4" w:space="0" w:color="auto"/>
              <w:left w:val="nil"/>
              <w:bottom w:val="single" w:sz="4" w:space="0" w:color="auto"/>
              <w:right w:val="single" w:sz="4" w:space="0" w:color="auto"/>
            </w:tcBorders>
            <w:shd w:val="clear" w:color="auto" w:fill="C6EFCE"/>
            <w:noWrap/>
            <w:vAlign w:val="center"/>
          </w:tcPr>
          <w:p w14:paraId="1E828E72" w14:textId="77777777" w:rsidR="004C6421" w:rsidRDefault="009D1962">
            <w:pPr>
              <w:pStyle w:val="P68B1DB1-Normal4"/>
              <w:spacing w:line="276" w:lineRule="auto"/>
              <w:jc w:val="center"/>
              <w:rPr>
                <w:noProof/>
              </w:rPr>
            </w:pPr>
            <w:r>
              <w:rPr>
                <w:noProof/>
              </w:rPr>
              <w:t>Numer</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14:paraId="119F7E70" w14:textId="77777777" w:rsidR="004C6421" w:rsidRDefault="009D1962">
            <w:pPr>
              <w:pStyle w:val="P68B1DB1-Normal4"/>
              <w:spacing w:line="276" w:lineRule="auto"/>
              <w:jc w:val="center"/>
              <w:rPr>
                <w:noProof/>
              </w:rPr>
            </w:pPr>
            <w:r>
              <w:rPr>
                <w:noProof/>
              </w:rPr>
              <w:t>0</w:t>
            </w:r>
          </w:p>
        </w:tc>
        <w:tc>
          <w:tcPr>
            <w:tcW w:w="1347" w:type="dxa"/>
            <w:tcBorders>
              <w:top w:val="single" w:sz="4" w:space="0" w:color="auto"/>
              <w:left w:val="nil"/>
              <w:bottom w:val="single" w:sz="4" w:space="0" w:color="auto"/>
              <w:right w:val="single" w:sz="4" w:space="0" w:color="auto"/>
            </w:tcBorders>
            <w:shd w:val="clear" w:color="auto" w:fill="C6EFCE"/>
            <w:noWrap/>
            <w:vAlign w:val="center"/>
          </w:tcPr>
          <w:p w14:paraId="2EC24C0E" w14:textId="77777777" w:rsidR="004C6421" w:rsidRDefault="009D1962">
            <w:pPr>
              <w:pStyle w:val="P68B1DB1-Normal4"/>
              <w:spacing w:line="276" w:lineRule="auto"/>
              <w:jc w:val="center"/>
              <w:rPr>
                <w:noProof/>
              </w:rPr>
            </w:pPr>
            <w:r>
              <w:rPr>
                <w:noProof/>
              </w:rPr>
              <w:t>10 000</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6EEC85DB" w14:textId="0CF8F42D" w:rsidR="004C6421" w:rsidRDefault="00CC179E">
            <w:pPr>
              <w:pStyle w:val="P68B1DB1-Normal4"/>
              <w:spacing w:line="276" w:lineRule="auto"/>
              <w:jc w:val="center"/>
              <w:rPr>
                <w:noProof/>
              </w:rPr>
            </w:pPr>
            <w:r>
              <w:rPr>
                <w:noProof/>
              </w:rPr>
              <w:t>KW. 4</w:t>
            </w:r>
          </w:p>
        </w:tc>
        <w:tc>
          <w:tcPr>
            <w:tcW w:w="680" w:type="dxa"/>
            <w:tcBorders>
              <w:top w:val="single" w:sz="4" w:space="0" w:color="auto"/>
              <w:left w:val="nil"/>
              <w:bottom w:val="single" w:sz="4" w:space="0" w:color="auto"/>
              <w:right w:val="single" w:sz="4" w:space="0" w:color="auto"/>
            </w:tcBorders>
            <w:shd w:val="clear" w:color="auto" w:fill="C6EFCE"/>
            <w:noWrap/>
            <w:vAlign w:val="center"/>
          </w:tcPr>
          <w:p w14:paraId="02D81B6C" w14:textId="77777777" w:rsidR="004C6421" w:rsidRDefault="009D1962">
            <w:pPr>
              <w:pStyle w:val="P68B1DB1-Normal4"/>
              <w:spacing w:line="276" w:lineRule="auto"/>
              <w:jc w:val="center"/>
              <w:rPr>
                <w:noProof/>
              </w:rPr>
            </w:pPr>
            <w:r>
              <w:rPr>
                <w:noProof/>
              </w:rPr>
              <w:t>2024</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14:paraId="37A0B143" w14:textId="77777777" w:rsidR="004C6421" w:rsidRDefault="009D1962">
            <w:pPr>
              <w:pStyle w:val="P68B1DB1-Normal4"/>
              <w:spacing w:line="276" w:lineRule="auto"/>
              <w:rPr>
                <w:noProof/>
              </w:rPr>
            </w:pPr>
            <w:r>
              <w:rPr>
                <w:noProof/>
              </w:rPr>
              <w:t>Wskazanie co najmniej 10000 ostatecznych odbiorców inwestycji w innowacje w gospodarce o obiegu zamkniętym i biogospodarce.</w:t>
            </w:r>
          </w:p>
          <w:p w14:paraId="2ABD2592" w14:textId="77777777" w:rsidR="004C6421" w:rsidRDefault="009D1962">
            <w:pPr>
              <w:pStyle w:val="P68B1DB1-Normal4"/>
              <w:spacing w:line="276" w:lineRule="auto"/>
              <w:rPr>
                <w:noProof/>
              </w:rPr>
            </w:pPr>
            <w:r>
              <w:rPr>
                <w:noProof/>
              </w:rPr>
              <w:t>Inwestycje uwzględniają co najmniej jedno z następujących elementów:</w:t>
            </w:r>
          </w:p>
          <w:p w14:paraId="35570E6F" w14:textId="77777777" w:rsidR="004C6421" w:rsidRDefault="009D1962">
            <w:pPr>
              <w:pStyle w:val="P68B1DB1-Normal4"/>
              <w:spacing w:line="276" w:lineRule="auto"/>
              <w:rPr>
                <w:noProof/>
              </w:rPr>
            </w:pPr>
            <w:r>
              <w:rPr>
                <w:noProof/>
              </w:rPr>
              <w:t>— Zastąpienie większej liczby</w:t>
            </w:r>
          </w:p>
          <w:p w14:paraId="67D17B3C" w14:textId="77777777" w:rsidR="004C6421" w:rsidRDefault="009D1962">
            <w:pPr>
              <w:pStyle w:val="P68B1DB1-Normal4"/>
              <w:spacing w:line="276" w:lineRule="auto"/>
              <w:rPr>
                <w:noProof/>
              </w:rPr>
            </w:pPr>
            <w:r>
              <w:rPr>
                <w:noProof/>
              </w:rPr>
              <w:t>zanieczyszczające pojazdy terenowe</w:t>
            </w:r>
          </w:p>
          <w:p w14:paraId="6A718E80" w14:textId="77777777" w:rsidR="004C6421" w:rsidRDefault="009D1962">
            <w:pPr>
              <w:pStyle w:val="P68B1DB1-Normal4"/>
              <w:spacing w:line="276" w:lineRule="auto"/>
              <w:rPr>
                <w:noProof/>
              </w:rPr>
            </w:pPr>
            <w:r>
              <w:rPr>
                <w:noProof/>
              </w:rPr>
              <w:t>— Wprowadzenie rolnictwa precyzyjnego i maszyn dla rolnictwa 4.0</w:t>
            </w:r>
          </w:p>
          <w:p w14:paraId="2174BF4F" w14:textId="77777777" w:rsidR="004C6421" w:rsidRDefault="009D1962">
            <w:pPr>
              <w:pStyle w:val="P68B1DB1-Normal4"/>
              <w:spacing w:line="276" w:lineRule="auto"/>
              <w:rPr>
                <w:noProof/>
              </w:rPr>
            </w:pPr>
            <w:r>
              <w:rPr>
                <w:noProof/>
              </w:rPr>
              <w:t>— Zastąpienie bardziej przestarzałych urządzeń dla wytwórni oliwek</w:t>
            </w:r>
          </w:p>
          <w:p w14:paraId="16DC0860" w14:textId="77777777" w:rsidR="004C6421" w:rsidRDefault="009D1962">
            <w:pPr>
              <w:pStyle w:val="P68B1DB1-Normal4"/>
              <w:spacing w:line="276" w:lineRule="auto"/>
              <w:rPr>
                <w:noProof/>
              </w:rPr>
            </w:pPr>
            <w:r>
              <w:rPr>
                <w:noProof/>
              </w:rPr>
              <w:t>W celu zastosowania się do zasady Do-No—</w:t>
            </w:r>
          </w:p>
          <w:p w14:paraId="123A1A14" w14:textId="77777777" w:rsidR="004C6421" w:rsidRDefault="009D1962">
            <w:pPr>
              <w:pStyle w:val="P68B1DB1-Normal4"/>
              <w:spacing w:line="276" w:lineRule="auto"/>
              <w:rPr>
                <w:noProof/>
              </w:rPr>
            </w:pPr>
            <w:r>
              <w:rPr>
                <w:noProof/>
              </w:rPr>
              <w:t>Zgodnie z zasadą „znacząca ciepło” pojazdy terenowe muszą być bezemisyjne lub napędzane wyłącznie biometanem, który musi spełniać kryteria określone w dyrektywie 2018/2001 (dyrektywa RED II).</w:t>
            </w:r>
          </w:p>
          <w:p w14:paraId="5A072484" w14:textId="77777777" w:rsidR="004C6421" w:rsidRDefault="009D1962">
            <w:pPr>
              <w:pStyle w:val="P68B1DB1-Normal4"/>
              <w:spacing w:line="276" w:lineRule="auto"/>
              <w:rPr>
                <w:noProof/>
              </w:rPr>
            </w:pPr>
            <w:r>
              <w:rPr>
                <w:noProof/>
              </w:rPr>
              <w:t>Producenci biopaliw i biometanu oraz biopaliw muszą przedstawić certyfikaty (dowód zrównoważonego rozwoju) wydawane przez niezależnych oceniających, jak przewidziano w dyrektywie 2018/2001.</w:t>
            </w:r>
          </w:p>
          <w:p w14:paraId="5F10BF15" w14:textId="77777777" w:rsidR="004C6421" w:rsidRDefault="009D1962">
            <w:pPr>
              <w:pStyle w:val="P68B1DB1-Normal4"/>
              <w:spacing w:line="276" w:lineRule="auto"/>
              <w:rPr>
                <w:noProof/>
              </w:rPr>
            </w:pPr>
            <w:r>
              <w:rPr>
                <w:noProof/>
              </w:rPr>
              <w:t>Operator nabywa świadectwa pochodzenia proporcjonalne do przewidywanego zużycia paliwa.</w:t>
            </w:r>
          </w:p>
        </w:tc>
      </w:tr>
      <w:tr w:rsidR="004C6421" w14:paraId="38EBF7FD" w14:textId="77777777">
        <w:trPr>
          <w:trHeight w:val="309"/>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BA72B4" w14:textId="77777777" w:rsidR="004C6421" w:rsidRDefault="009D1962">
            <w:pPr>
              <w:pStyle w:val="P68B1DB1-Normal4"/>
              <w:spacing w:line="276" w:lineRule="auto"/>
              <w:jc w:val="center"/>
              <w:rPr>
                <w:noProof/>
              </w:rPr>
            </w:pPr>
            <w:r>
              <w:rPr>
                <w:noProof/>
              </w:rPr>
              <w:t>M2C1-8</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32CF39B6" w14:textId="77777777" w:rsidR="004C6421" w:rsidRDefault="009D1962">
            <w:pPr>
              <w:pStyle w:val="P68B1DB1-Normal4"/>
              <w:spacing w:line="276" w:lineRule="auto"/>
              <w:jc w:val="center"/>
              <w:rPr>
                <w:noProof/>
              </w:rPr>
            </w:pPr>
            <w:r>
              <w:rPr>
                <w:noProof/>
              </w:rPr>
              <w:t>Inwestycja 2.3: Innowacje i mechanizacja w sektorze rolnym i spożywczym</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52E5B82F" w14:textId="77777777" w:rsidR="004C6421" w:rsidRDefault="009D1962">
            <w:pPr>
              <w:pStyle w:val="P68B1DB1-Normal4"/>
              <w:spacing w:line="276" w:lineRule="auto"/>
              <w:jc w:val="center"/>
              <w:rPr>
                <w:noProof/>
              </w:rPr>
            </w:pPr>
            <w:r>
              <w:rPr>
                <w:noProof/>
              </w:rPr>
              <w:t>Cel</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51D7BE56" w14:textId="77777777" w:rsidR="004C6421" w:rsidRDefault="009D1962">
            <w:pPr>
              <w:pStyle w:val="P68B1DB1-Normal4"/>
              <w:spacing w:line="276" w:lineRule="auto"/>
              <w:jc w:val="center"/>
              <w:rPr>
                <w:noProof/>
              </w:rPr>
            </w:pPr>
            <w:r>
              <w:rPr>
                <w:noProof/>
              </w:rPr>
              <w:t>Wsparcie inwestycji w innowacje w gospodarce o obiegu zamkniętym i biogospodarce</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5CADCC39" w14:textId="77777777" w:rsidR="004C6421" w:rsidRDefault="009D1962">
            <w:pPr>
              <w:pStyle w:val="P68B1DB1-Normal4"/>
              <w:spacing w:line="276" w:lineRule="auto"/>
              <w:jc w:val="center"/>
              <w:rPr>
                <w:noProof/>
              </w:rPr>
            </w:pPr>
            <w:r>
              <w:rPr>
                <w:noProof/>
              </w:rPr>
              <w:t>NIE DOT.</w:t>
            </w:r>
          </w:p>
        </w:tc>
        <w:tc>
          <w:tcPr>
            <w:tcW w:w="1180" w:type="dxa"/>
            <w:tcBorders>
              <w:top w:val="single" w:sz="4" w:space="0" w:color="auto"/>
              <w:left w:val="nil"/>
              <w:bottom w:val="single" w:sz="4" w:space="0" w:color="auto"/>
              <w:right w:val="single" w:sz="4" w:space="0" w:color="auto"/>
            </w:tcBorders>
            <w:shd w:val="clear" w:color="auto" w:fill="C6EFCE"/>
            <w:noWrap/>
            <w:vAlign w:val="center"/>
          </w:tcPr>
          <w:p w14:paraId="12807E87" w14:textId="77777777" w:rsidR="004C6421" w:rsidRDefault="009D1962">
            <w:pPr>
              <w:pStyle w:val="P68B1DB1-Normal4"/>
              <w:spacing w:line="276" w:lineRule="auto"/>
              <w:jc w:val="center"/>
              <w:rPr>
                <w:noProof/>
              </w:rPr>
            </w:pPr>
            <w:r>
              <w:rPr>
                <w:noProof/>
              </w:rPr>
              <w:t>Numer</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14:paraId="6682B005" w14:textId="77777777" w:rsidR="004C6421" w:rsidRDefault="009D1962">
            <w:pPr>
              <w:pStyle w:val="P68B1DB1-Normal4"/>
              <w:spacing w:line="276" w:lineRule="auto"/>
              <w:jc w:val="center"/>
              <w:rPr>
                <w:noProof/>
              </w:rPr>
            </w:pPr>
            <w:r>
              <w:rPr>
                <w:noProof/>
              </w:rPr>
              <w:t>10 000</w:t>
            </w:r>
          </w:p>
        </w:tc>
        <w:tc>
          <w:tcPr>
            <w:tcW w:w="1347" w:type="dxa"/>
            <w:tcBorders>
              <w:top w:val="single" w:sz="4" w:space="0" w:color="auto"/>
              <w:left w:val="nil"/>
              <w:bottom w:val="single" w:sz="4" w:space="0" w:color="auto"/>
              <w:right w:val="single" w:sz="4" w:space="0" w:color="auto"/>
            </w:tcBorders>
            <w:shd w:val="clear" w:color="auto" w:fill="C6EFCE"/>
            <w:noWrap/>
            <w:vAlign w:val="center"/>
          </w:tcPr>
          <w:p w14:paraId="3EA7ABC0" w14:textId="77777777" w:rsidR="004C6421" w:rsidRDefault="009D1962">
            <w:pPr>
              <w:pStyle w:val="P68B1DB1-Normal4"/>
              <w:spacing w:line="276" w:lineRule="auto"/>
              <w:jc w:val="center"/>
              <w:rPr>
                <w:noProof/>
              </w:rPr>
            </w:pPr>
            <w:r>
              <w:rPr>
                <w:noProof/>
              </w:rPr>
              <w:t>15 000</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4174A8DC" w14:textId="77777777" w:rsidR="004C6421" w:rsidRDefault="009D1962">
            <w:pPr>
              <w:pStyle w:val="P68B1DB1-Normal4"/>
              <w:spacing w:line="276" w:lineRule="auto"/>
              <w:jc w:val="center"/>
              <w:rPr>
                <w:noProof/>
              </w:rPr>
            </w:pPr>
            <w:r>
              <w:rPr>
                <w:noProof/>
              </w:rPr>
              <w:t>II KW.</w:t>
            </w:r>
          </w:p>
        </w:tc>
        <w:tc>
          <w:tcPr>
            <w:tcW w:w="680" w:type="dxa"/>
            <w:tcBorders>
              <w:top w:val="single" w:sz="4" w:space="0" w:color="auto"/>
              <w:left w:val="nil"/>
              <w:bottom w:val="single" w:sz="4" w:space="0" w:color="auto"/>
              <w:right w:val="single" w:sz="4" w:space="0" w:color="auto"/>
            </w:tcBorders>
            <w:shd w:val="clear" w:color="auto" w:fill="C6EFCE"/>
            <w:noWrap/>
            <w:vAlign w:val="center"/>
          </w:tcPr>
          <w:p w14:paraId="337EDE08" w14:textId="77777777" w:rsidR="004C6421" w:rsidRDefault="009D1962">
            <w:pPr>
              <w:pStyle w:val="P68B1DB1-Normal4"/>
              <w:spacing w:line="276" w:lineRule="auto"/>
              <w:jc w:val="center"/>
              <w:rPr>
                <w:noProof/>
              </w:rPr>
            </w:pPr>
            <w:r>
              <w:rPr>
                <w:noProof/>
              </w:rPr>
              <w:t>2026</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14:paraId="2518B824" w14:textId="77777777" w:rsidR="004C6421" w:rsidRDefault="009D1962">
            <w:pPr>
              <w:pStyle w:val="P68B1DB1-Normal4"/>
              <w:spacing w:line="276" w:lineRule="auto"/>
              <w:rPr>
                <w:noProof/>
              </w:rPr>
            </w:pPr>
            <w:r>
              <w:rPr>
                <w:noProof/>
              </w:rPr>
              <w:t>Co najmniej 15000 ostatecznych odbiorców otrzymało wsparcie na płatne inwestycje w innowacje w gospodarce o obiegu zamkniętym i biogospodarce po zakończeniu projektów.</w:t>
            </w:r>
          </w:p>
          <w:p w14:paraId="405D11BF" w14:textId="77777777" w:rsidR="004C6421" w:rsidRDefault="009D1962">
            <w:pPr>
              <w:pStyle w:val="P68B1DB1-Normal4"/>
              <w:spacing w:line="276" w:lineRule="auto"/>
              <w:rPr>
                <w:noProof/>
              </w:rPr>
            </w:pPr>
            <w:r>
              <w:rPr>
                <w:noProof/>
              </w:rPr>
              <w:t>Wspierane inwestycje to:</w:t>
            </w:r>
          </w:p>
          <w:p w14:paraId="4D7EAFF7" w14:textId="77777777" w:rsidR="004C6421" w:rsidRDefault="009D1962">
            <w:pPr>
              <w:pStyle w:val="P68B1DB1-Normal14"/>
              <w:spacing w:line="276" w:lineRule="auto"/>
              <w:rPr>
                <w:noProof/>
                <w:color w:val="006100"/>
                <w:sz w:val="20"/>
              </w:rPr>
            </w:pPr>
            <w:r>
              <w:rPr>
                <w:noProof/>
                <w:color w:val="006100"/>
                <w:sz w:val="20"/>
              </w:rPr>
              <w:t>-</w:t>
            </w:r>
            <w:r>
              <w:rPr>
                <w:noProof/>
              </w:rPr>
              <w:t xml:space="preserve"> </w:t>
            </w:r>
            <w:r>
              <w:rPr>
                <w:noProof/>
                <w:color w:val="006100"/>
                <w:sz w:val="20"/>
              </w:rPr>
              <w:t>Wymiana bardziej zanieczyszczających pojazdów terenowych</w:t>
            </w:r>
          </w:p>
          <w:p w14:paraId="10317FEF" w14:textId="77777777" w:rsidR="004C6421" w:rsidRDefault="009D1962">
            <w:pPr>
              <w:pStyle w:val="P68B1DB1-Normal14"/>
              <w:spacing w:line="276" w:lineRule="auto"/>
              <w:rPr>
                <w:noProof/>
                <w:color w:val="006100"/>
                <w:sz w:val="20"/>
              </w:rPr>
            </w:pPr>
            <w:r>
              <w:rPr>
                <w:noProof/>
                <w:color w:val="006100"/>
                <w:sz w:val="20"/>
              </w:rPr>
              <w:t>-</w:t>
            </w:r>
            <w:r>
              <w:rPr>
                <w:noProof/>
              </w:rPr>
              <w:t xml:space="preserve"> </w:t>
            </w:r>
            <w:r>
              <w:rPr>
                <w:noProof/>
                <w:color w:val="006100"/>
                <w:sz w:val="20"/>
              </w:rPr>
              <w:t>Wprowadzenie rolnictwa precyzyjnego</w:t>
            </w:r>
          </w:p>
          <w:p w14:paraId="5605A833" w14:textId="77777777" w:rsidR="004C6421" w:rsidRDefault="009D1962">
            <w:pPr>
              <w:pStyle w:val="P68B1DB1-Normal14"/>
              <w:spacing w:line="276" w:lineRule="auto"/>
              <w:rPr>
                <w:noProof/>
                <w:color w:val="006100"/>
                <w:sz w:val="20"/>
              </w:rPr>
            </w:pPr>
            <w:r>
              <w:rPr>
                <w:noProof/>
                <w:color w:val="006100"/>
                <w:sz w:val="20"/>
              </w:rPr>
              <w:t>-</w:t>
            </w:r>
            <w:r>
              <w:rPr>
                <w:noProof/>
              </w:rPr>
              <w:t xml:space="preserve"> </w:t>
            </w:r>
            <w:r>
              <w:rPr>
                <w:noProof/>
                <w:color w:val="006100"/>
                <w:sz w:val="20"/>
              </w:rPr>
              <w:t>Zastąpienie bardziej przestarzałych urządzeń dla wytwórni oliwek</w:t>
            </w:r>
          </w:p>
          <w:p w14:paraId="32128518" w14:textId="77777777" w:rsidR="004C6421" w:rsidRDefault="004C6421">
            <w:pPr>
              <w:spacing w:line="276" w:lineRule="auto"/>
              <w:rPr>
                <w:rFonts w:ascii="Arial Narrow" w:hAnsi="Arial Narrow"/>
                <w:noProof/>
                <w:color w:val="006100"/>
                <w:sz w:val="20"/>
              </w:rPr>
            </w:pPr>
          </w:p>
          <w:p w14:paraId="0B88B806" w14:textId="77777777" w:rsidR="004C6421" w:rsidRDefault="009D1962">
            <w:pPr>
              <w:pStyle w:val="P68B1DB1-Normal4"/>
              <w:spacing w:line="276" w:lineRule="auto"/>
              <w:rPr>
                <w:noProof/>
              </w:rPr>
            </w:pPr>
            <w:r>
              <w:rPr>
                <w:noProof/>
              </w:rPr>
              <w:t>W celu zapewnienia zgodności z zasadą „nie czyń poważnych szkód” pojazdy terenowe muszą być bezemisyjne lub napędzane wyłącznie biometanem, który musi spełniać kryteria określone w dyrektywie 2018/2001 (dyrektywa RED II).</w:t>
            </w:r>
          </w:p>
          <w:p w14:paraId="17086A8A" w14:textId="77777777" w:rsidR="004C6421" w:rsidRDefault="009D1962">
            <w:pPr>
              <w:pStyle w:val="P68B1DB1-Normal4"/>
              <w:spacing w:line="276" w:lineRule="auto"/>
              <w:rPr>
                <w:noProof/>
              </w:rPr>
            </w:pPr>
            <w:r>
              <w:rPr>
                <w:noProof/>
              </w:rPr>
              <w:t>Producenci biopaliw i biometanu oraz biopaliw muszą przedstawić certyfikaty (dowód zrównoważonego rozwoju) wydawane przez niezależnych oceniających, jak przewidziano w dyrektywie 2018/2001. Operator nabywa świadectwa pochodzenia proporcjonalne do przewidywanego zużycia paliwa.</w:t>
            </w:r>
          </w:p>
        </w:tc>
      </w:tr>
      <w:tr w:rsidR="004C6421" w14:paraId="41EB17F8" w14:textId="77777777">
        <w:trPr>
          <w:trHeight w:val="309"/>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F95862B" w14:textId="77777777" w:rsidR="004C6421" w:rsidRDefault="009D1962">
            <w:pPr>
              <w:pStyle w:val="P68B1DB1-Normal4"/>
              <w:spacing w:line="276" w:lineRule="auto"/>
              <w:jc w:val="center"/>
              <w:rPr>
                <w:noProof/>
              </w:rPr>
            </w:pPr>
            <w:r>
              <w:rPr>
                <w:noProof/>
              </w:rPr>
              <w:t>M2C1-9</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3648F09F" w14:textId="77777777" w:rsidR="004C6421" w:rsidRDefault="009D1962">
            <w:pPr>
              <w:pStyle w:val="P68B1DB1-Normal4"/>
              <w:spacing w:line="276" w:lineRule="auto"/>
              <w:jc w:val="center"/>
              <w:rPr>
                <w:noProof/>
              </w:rPr>
            </w:pPr>
            <w:r>
              <w:rPr>
                <w:noProof/>
              </w:rPr>
              <w:t>Inwestycje 2.2: Park rolno-słoneczny</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2743C4CD" w14:textId="77777777" w:rsidR="004C6421" w:rsidRDefault="009D1962">
            <w:pPr>
              <w:pStyle w:val="P68B1DB1-Normal4"/>
              <w:spacing w:line="276" w:lineRule="auto"/>
              <w:jc w:val="center"/>
              <w:rPr>
                <w:noProof/>
              </w:rPr>
            </w:pPr>
            <w:r>
              <w:rPr>
                <w:noProof/>
              </w:rPr>
              <w:t>Cel</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6DE1B96C" w14:textId="77777777" w:rsidR="004C6421" w:rsidRDefault="009D1962">
            <w:pPr>
              <w:pStyle w:val="P68B1DB1-Normal4"/>
              <w:spacing w:line="276" w:lineRule="auto"/>
              <w:jc w:val="center"/>
              <w:rPr>
                <w:noProof/>
              </w:rPr>
            </w:pPr>
            <w:r>
              <w:rPr>
                <w:noProof/>
              </w:rPr>
              <w:t>Wytwarzanie energii elektrycznej w elektrowniach ropopochodnych</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079352FB" w14:textId="77777777" w:rsidR="004C6421" w:rsidRDefault="009D1962">
            <w:pPr>
              <w:pStyle w:val="P68B1DB1-Normal4"/>
              <w:spacing w:line="276" w:lineRule="auto"/>
              <w:jc w:val="center"/>
              <w:rPr>
                <w:noProof/>
              </w:rPr>
            </w:pPr>
            <w:r>
              <w:rPr>
                <w:noProof/>
              </w:rPr>
              <w:t>NIE DOT.</w:t>
            </w:r>
          </w:p>
        </w:tc>
        <w:tc>
          <w:tcPr>
            <w:tcW w:w="1180" w:type="dxa"/>
            <w:tcBorders>
              <w:top w:val="single" w:sz="4" w:space="0" w:color="auto"/>
              <w:left w:val="nil"/>
              <w:bottom w:val="single" w:sz="4" w:space="0" w:color="auto"/>
              <w:right w:val="single" w:sz="4" w:space="0" w:color="auto"/>
            </w:tcBorders>
            <w:shd w:val="clear" w:color="auto" w:fill="C6EFCE"/>
            <w:noWrap/>
            <w:vAlign w:val="center"/>
          </w:tcPr>
          <w:p w14:paraId="39E32CA5" w14:textId="77777777" w:rsidR="004C6421" w:rsidRDefault="009D1962">
            <w:pPr>
              <w:pStyle w:val="P68B1DB1-Normal4"/>
              <w:spacing w:line="276" w:lineRule="auto"/>
              <w:jc w:val="center"/>
              <w:rPr>
                <w:noProof/>
              </w:rPr>
            </w:pPr>
            <w:r>
              <w:rPr>
                <w:noProof/>
              </w:rPr>
              <w:t>kW</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14:paraId="5B347807" w14:textId="77777777" w:rsidR="004C6421" w:rsidRDefault="009D1962">
            <w:pPr>
              <w:pStyle w:val="P68B1DB1-Normal4"/>
              <w:spacing w:line="276" w:lineRule="auto"/>
              <w:jc w:val="center"/>
              <w:rPr>
                <w:noProof/>
              </w:rPr>
            </w:pPr>
            <w:r>
              <w:rPr>
                <w:noProof/>
              </w:rPr>
              <w:t>0</w:t>
            </w:r>
          </w:p>
        </w:tc>
        <w:tc>
          <w:tcPr>
            <w:tcW w:w="1347" w:type="dxa"/>
            <w:tcBorders>
              <w:top w:val="single" w:sz="4" w:space="0" w:color="auto"/>
              <w:left w:val="nil"/>
              <w:bottom w:val="single" w:sz="4" w:space="0" w:color="auto"/>
              <w:right w:val="single" w:sz="4" w:space="0" w:color="auto"/>
            </w:tcBorders>
            <w:shd w:val="clear" w:color="auto" w:fill="C6EFCE"/>
            <w:noWrap/>
            <w:vAlign w:val="center"/>
          </w:tcPr>
          <w:p w14:paraId="06ED8654" w14:textId="77777777" w:rsidR="004C6421" w:rsidRDefault="009D1962">
            <w:pPr>
              <w:pStyle w:val="P68B1DB1-Normal4"/>
              <w:spacing w:line="276" w:lineRule="auto"/>
              <w:jc w:val="center"/>
              <w:rPr>
                <w:noProof/>
              </w:rPr>
            </w:pPr>
            <w:r>
              <w:rPr>
                <w:noProof/>
              </w:rPr>
              <w:t>1 383 000</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6146F990" w14:textId="77777777" w:rsidR="004C6421" w:rsidRDefault="009D1962">
            <w:pPr>
              <w:pStyle w:val="P68B1DB1-Normal4"/>
              <w:spacing w:line="276" w:lineRule="auto"/>
              <w:jc w:val="center"/>
              <w:rPr>
                <w:noProof/>
              </w:rPr>
            </w:pPr>
            <w:r>
              <w:rPr>
                <w:noProof/>
              </w:rPr>
              <w:t>II KW.</w:t>
            </w:r>
          </w:p>
        </w:tc>
        <w:tc>
          <w:tcPr>
            <w:tcW w:w="680" w:type="dxa"/>
            <w:tcBorders>
              <w:top w:val="single" w:sz="4" w:space="0" w:color="auto"/>
              <w:left w:val="nil"/>
              <w:bottom w:val="single" w:sz="4" w:space="0" w:color="auto"/>
              <w:right w:val="single" w:sz="4" w:space="0" w:color="auto"/>
            </w:tcBorders>
            <w:shd w:val="clear" w:color="auto" w:fill="C6EFCE"/>
            <w:noWrap/>
            <w:vAlign w:val="center"/>
          </w:tcPr>
          <w:p w14:paraId="7AE0FA3A" w14:textId="77777777" w:rsidR="004C6421" w:rsidRDefault="009D1962">
            <w:pPr>
              <w:pStyle w:val="P68B1DB1-Normal4"/>
              <w:spacing w:line="276" w:lineRule="auto"/>
              <w:jc w:val="center"/>
              <w:rPr>
                <w:noProof/>
              </w:rPr>
            </w:pPr>
            <w:r>
              <w:rPr>
                <w:noProof/>
              </w:rPr>
              <w:t>2026</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14:paraId="23EC7902" w14:textId="77777777" w:rsidR="004C6421" w:rsidRDefault="009D1962">
            <w:pPr>
              <w:pStyle w:val="P68B1DB1-Normal4"/>
              <w:spacing w:line="276" w:lineRule="auto"/>
              <w:rPr>
                <w:noProof/>
              </w:rPr>
            </w:pPr>
            <w:r>
              <w:rPr>
                <w:noProof/>
              </w:rPr>
              <w:t>Zainstalowana moc produkcyjna co najmniej 1 383 000 kW energii słonecznej</w:t>
            </w:r>
          </w:p>
        </w:tc>
      </w:tr>
      <w:tr w:rsidR="004C6421" w14:paraId="52D660A8" w14:textId="77777777">
        <w:trPr>
          <w:trHeight w:val="309"/>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303618D" w14:textId="77777777" w:rsidR="004C6421" w:rsidRDefault="009D1962">
            <w:pPr>
              <w:pStyle w:val="P68B1DB1-Normal4"/>
              <w:spacing w:line="276" w:lineRule="auto"/>
              <w:jc w:val="center"/>
              <w:rPr>
                <w:noProof/>
              </w:rPr>
            </w:pPr>
            <w:r>
              <w:rPr>
                <w:noProof/>
              </w:rPr>
              <w:t>M2C1-10</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63C263F8" w14:textId="77777777" w:rsidR="004C6421" w:rsidRDefault="009D1962">
            <w:pPr>
              <w:pStyle w:val="P68B1DB1-Normal4"/>
              <w:spacing w:line="276" w:lineRule="auto"/>
              <w:jc w:val="center"/>
              <w:rPr>
                <w:noProof/>
              </w:rPr>
            </w:pPr>
            <w:r>
              <w:rPr>
                <w:noProof/>
              </w:rPr>
              <w:t>Inwestycja 2.1: Plan logistyczny dla sektorów rolno-spożywczego, rybołówstwa i akwakultury, leśnictwa, kwiaciarstwa i szkółek roślin</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338203C7" w14:textId="77777777" w:rsidR="004C6421" w:rsidRDefault="009D1962">
            <w:pPr>
              <w:pStyle w:val="P68B1DB1-Normal4"/>
              <w:spacing w:line="276" w:lineRule="auto"/>
              <w:jc w:val="center"/>
              <w:rPr>
                <w:noProof/>
              </w:rPr>
            </w:pPr>
            <w:r>
              <w:rPr>
                <w:noProof/>
              </w:rPr>
              <w:t>Cel</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1DD7A53D" w14:textId="77777777" w:rsidR="004C6421" w:rsidRDefault="009D1962">
            <w:pPr>
              <w:pStyle w:val="P68B1DB1-Normal4"/>
              <w:spacing w:line="276" w:lineRule="auto"/>
              <w:jc w:val="center"/>
              <w:rPr>
                <w:noProof/>
              </w:rPr>
            </w:pPr>
            <w:r>
              <w:rPr>
                <w:noProof/>
              </w:rPr>
              <w:t>Interwencje mające na celu poprawę logistyki w sektorach rolno-spożywczym, rybołówstwa i akwakultury, leśnictwa, kwiaciarstwa i szkółek roślin</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74EAD49F" w14:textId="77777777" w:rsidR="004C6421" w:rsidRDefault="009D1962">
            <w:pPr>
              <w:pStyle w:val="P68B1DB1-Normal4"/>
              <w:spacing w:line="276" w:lineRule="auto"/>
              <w:jc w:val="center"/>
              <w:rPr>
                <w:noProof/>
              </w:rPr>
            </w:pPr>
            <w:r>
              <w:rPr>
                <w:noProof/>
              </w:rPr>
              <w:t>NIE DOT.</w:t>
            </w:r>
          </w:p>
        </w:tc>
        <w:tc>
          <w:tcPr>
            <w:tcW w:w="1180" w:type="dxa"/>
            <w:tcBorders>
              <w:top w:val="single" w:sz="4" w:space="0" w:color="auto"/>
              <w:left w:val="nil"/>
              <w:bottom w:val="single" w:sz="4" w:space="0" w:color="auto"/>
              <w:right w:val="single" w:sz="4" w:space="0" w:color="auto"/>
            </w:tcBorders>
            <w:shd w:val="clear" w:color="auto" w:fill="C6EFCE"/>
            <w:noWrap/>
            <w:vAlign w:val="center"/>
          </w:tcPr>
          <w:p w14:paraId="6FEBD231" w14:textId="77777777" w:rsidR="004C6421" w:rsidRDefault="009D1962">
            <w:pPr>
              <w:pStyle w:val="P68B1DB1-Normal4"/>
              <w:spacing w:line="276" w:lineRule="auto"/>
              <w:jc w:val="center"/>
              <w:rPr>
                <w:noProof/>
              </w:rPr>
            </w:pPr>
            <w:r>
              <w:rPr>
                <w:noProof/>
              </w:rPr>
              <w:t>Numer</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14:paraId="44EB9A83" w14:textId="77777777" w:rsidR="004C6421" w:rsidRDefault="009D1962">
            <w:pPr>
              <w:pStyle w:val="P68B1DB1-Normal4"/>
              <w:spacing w:line="276" w:lineRule="auto"/>
              <w:jc w:val="center"/>
              <w:rPr>
                <w:noProof/>
              </w:rPr>
            </w:pPr>
            <w:r>
              <w:rPr>
                <w:noProof/>
              </w:rPr>
              <w:t>0</w:t>
            </w:r>
          </w:p>
        </w:tc>
        <w:tc>
          <w:tcPr>
            <w:tcW w:w="1347" w:type="dxa"/>
            <w:tcBorders>
              <w:top w:val="single" w:sz="4" w:space="0" w:color="auto"/>
              <w:left w:val="nil"/>
              <w:bottom w:val="single" w:sz="4" w:space="0" w:color="auto"/>
              <w:right w:val="single" w:sz="4" w:space="0" w:color="auto"/>
            </w:tcBorders>
            <w:shd w:val="clear" w:color="auto" w:fill="C6EFCE"/>
            <w:noWrap/>
            <w:vAlign w:val="center"/>
          </w:tcPr>
          <w:p w14:paraId="1D935F0C" w14:textId="77777777" w:rsidR="004C6421" w:rsidRDefault="009D1962">
            <w:pPr>
              <w:pStyle w:val="P68B1DB1-Normal4"/>
              <w:spacing w:line="276" w:lineRule="auto"/>
              <w:jc w:val="center"/>
              <w:rPr>
                <w:noProof/>
              </w:rPr>
            </w:pPr>
            <w:r>
              <w:rPr>
                <w:noProof/>
              </w:rPr>
              <w:t>48</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39B1FF77" w14:textId="77777777" w:rsidR="004C6421" w:rsidRDefault="009D1962">
            <w:pPr>
              <w:pStyle w:val="P68B1DB1-Normal4"/>
              <w:spacing w:line="276" w:lineRule="auto"/>
              <w:jc w:val="center"/>
              <w:rPr>
                <w:noProof/>
              </w:rPr>
            </w:pPr>
            <w:r>
              <w:rPr>
                <w:noProof/>
              </w:rPr>
              <w:t>II KW.</w:t>
            </w:r>
          </w:p>
        </w:tc>
        <w:tc>
          <w:tcPr>
            <w:tcW w:w="680" w:type="dxa"/>
            <w:tcBorders>
              <w:top w:val="single" w:sz="4" w:space="0" w:color="auto"/>
              <w:left w:val="nil"/>
              <w:bottom w:val="single" w:sz="4" w:space="0" w:color="auto"/>
              <w:right w:val="single" w:sz="4" w:space="0" w:color="auto"/>
            </w:tcBorders>
            <w:shd w:val="clear" w:color="auto" w:fill="C6EFCE"/>
            <w:noWrap/>
            <w:vAlign w:val="center"/>
          </w:tcPr>
          <w:p w14:paraId="7CA2433B" w14:textId="77777777" w:rsidR="004C6421" w:rsidRDefault="009D1962">
            <w:pPr>
              <w:pStyle w:val="P68B1DB1-Normal4"/>
              <w:spacing w:line="276" w:lineRule="auto"/>
              <w:jc w:val="center"/>
              <w:rPr>
                <w:noProof/>
              </w:rPr>
            </w:pPr>
            <w:r>
              <w:rPr>
                <w:noProof/>
              </w:rPr>
              <w:t>2026</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14:paraId="77FA27D0" w14:textId="77777777" w:rsidR="004C6421" w:rsidRDefault="009D1962">
            <w:pPr>
              <w:pStyle w:val="P68B1DB1-Normal4"/>
              <w:spacing w:line="276" w:lineRule="auto"/>
              <w:rPr>
                <w:noProof/>
              </w:rPr>
            </w:pPr>
            <w:r>
              <w:rPr>
                <w:noProof/>
              </w:rPr>
              <w:t>Co najmniej 48 interwencji mających na celu poprawę logistyki w sektorach rolno-spożywczym, rybołówstwa i akwakultury, leśnictwa, kwiaciarstwa i szkółek roślin.</w:t>
            </w:r>
          </w:p>
        </w:tc>
      </w:tr>
      <w:tr w:rsidR="004C6421" w14:paraId="774467BF" w14:textId="77777777">
        <w:trPr>
          <w:trHeight w:val="309"/>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46DDE2" w14:textId="77777777" w:rsidR="004C6421" w:rsidRDefault="009D1962">
            <w:pPr>
              <w:pStyle w:val="P68B1DB1-Normal4"/>
              <w:spacing w:line="276" w:lineRule="auto"/>
              <w:jc w:val="center"/>
              <w:rPr>
                <w:noProof/>
              </w:rPr>
            </w:pPr>
            <w:r>
              <w:rPr>
                <w:noProof/>
              </w:rPr>
              <w:t>M2C1-11</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0ABADA35" w14:textId="77777777" w:rsidR="004C6421" w:rsidRDefault="009D1962">
            <w:pPr>
              <w:pStyle w:val="P68B1DB1-Normal4"/>
              <w:spacing w:line="276" w:lineRule="auto"/>
              <w:jc w:val="center"/>
              <w:rPr>
                <w:noProof/>
              </w:rPr>
            </w:pPr>
            <w:r>
              <w:rPr>
                <w:noProof/>
              </w:rPr>
              <w:t>Inwestycja 3.3: Kultura i świadomość w zakresie zagadnień i wyzwań środowiskowych</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3D51D216" w14:textId="45BC0AA9" w:rsidR="004C6421" w:rsidRDefault="00CC179E">
            <w:pPr>
              <w:pStyle w:val="P68B1DB1-Normal4"/>
              <w:spacing w:line="276" w:lineRule="auto"/>
              <w:jc w:val="center"/>
              <w:rPr>
                <w:noProof/>
              </w:rPr>
            </w:pPr>
            <w:r>
              <w:rPr>
                <w:noProof/>
              </w:rPr>
              <w:t>Milowy</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06F55DA1" w14:textId="77777777" w:rsidR="004C6421" w:rsidRDefault="009D1962">
            <w:pPr>
              <w:pStyle w:val="P68B1DB1-Normal4"/>
              <w:spacing w:line="276" w:lineRule="auto"/>
              <w:jc w:val="center"/>
              <w:rPr>
                <w:noProof/>
              </w:rPr>
            </w:pPr>
            <w:r>
              <w:rPr>
                <w:noProof/>
              </w:rPr>
              <w:t>Uruchomienie platformy internetowej i umowy z autorami</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0E158F7B" w14:textId="77777777" w:rsidR="004C6421" w:rsidRDefault="009D1962">
            <w:pPr>
              <w:pStyle w:val="P68B1DB1-Normal4"/>
              <w:spacing w:line="276" w:lineRule="auto"/>
              <w:jc w:val="center"/>
              <w:rPr>
                <w:noProof/>
              </w:rPr>
            </w:pPr>
            <w:r>
              <w:rPr>
                <w:noProof/>
              </w:rPr>
              <w:t>Powiadomienie o podpisaniu umowy z producentami treści NIE DOT.</w:t>
            </w:r>
          </w:p>
        </w:tc>
        <w:tc>
          <w:tcPr>
            <w:tcW w:w="1180" w:type="dxa"/>
            <w:tcBorders>
              <w:top w:val="single" w:sz="4" w:space="0" w:color="auto"/>
              <w:left w:val="nil"/>
              <w:bottom w:val="single" w:sz="4" w:space="0" w:color="auto"/>
              <w:right w:val="single" w:sz="4" w:space="0" w:color="auto"/>
            </w:tcBorders>
            <w:shd w:val="clear" w:color="auto" w:fill="C6EFCE"/>
            <w:noWrap/>
            <w:vAlign w:val="center"/>
          </w:tcPr>
          <w:p w14:paraId="6C2E18AE" w14:textId="77777777" w:rsidR="004C6421" w:rsidRDefault="009D1962">
            <w:pPr>
              <w:pStyle w:val="P68B1DB1-Normal4"/>
              <w:spacing w:line="276" w:lineRule="auto"/>
              <w:jc w:val="center"/>
              <w:rPr>
                <w:noProof/>
              </w:rPr>
            </w:pPr>
            <w:r>
              <w:rPr>
                <w:noProof/>
              </w:rPr>
              <w:t>NIE DOT.</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14:paraId="3F75B17D" w14:textId="77777777" w:rsidR="004C6421" w:rsidRDefault="009D1962">
            <w:pPr>
              <w:pStyle w:val="P68B1DB1-Normal4"/>
              <w:spacing w:line="276" w:lineRule="auto"/>
              <w:jc w:val="center"/>
              <w:rPr>
                <w:noProof/>
              </w:rPr>
            </w:pPr>
            <w:r>
              <w:rPr>
                <w:noProof/>
              </w:rPr>
              <w:t>NIE DOT.</w:t>
            </w:r>
          </w:p>
        </w:tc>
        <w:tc>
          <w:tcPr>
            <w:tcW w:w="1347" w:type="dxa"/>
            <w:tcBorders>
              <w:top w:val="single" w:sz="4" w:space="0" w:color="auto"/>
              <w:left w:val="nil"/>
              <w:bottom w:val="single" w:sz="4" w:space="0" w:color="auto"/>
              <w:right w:val="single" w:sz="4" w:space="0" w:color="auto"/>
            </w:tcBorders>
            <w:shd w:val="clear" w:color="auto" w:fill="C6EFCE"/>
            <w:noWrap/>
            <w:vAlign w:val="center"/>
          </w:tcPr>
          <w:p w14:paraId="2126E001" w14:textId="77777777" w:rsidR="004C6421" w:rsidRDefault="009D1962">
            <w:pPr>
              <w:pStyle w:val="P68B1DB1-Normal4"/>
              <w:spacing w:line="276" w:lineRule="auto"/>
              <w:jc w:val="center"/>
              <w:rPr>
                <w:noProof/>
              </w:rPr>
            </w:pPr>
            <w:r>
              <w:rPr>
                <w:noProof/>
              </w:rPr>
              <w:t>NIE DOT.</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6B6C46CD" w14:textId="77777777" w:rsidR="004C6421" w:rsidRDefault="009D1962">
            <w:pPr>
              <w:pStyle w:val="P68B1DB1-Normal4"/>
              <w:spacing w:line="276" w:lineRule="auto"/>
              <w:jc w:val="center"/>
              <w:rPr>
                <w:noProof/>
              </w:rPr>
            </w:pPr>
            <w:r>
              <w:rPr>
                <w:noProof/>
              </w:rPr>
              <w:t>II KW.</w:t>
            </w:r>
          </w:p>
        </w:tc>
        <w:tc>
          <w:tcPr>
            <w:tcW w:w="680" w:type="dxa"/>
            <w:tcBorders>
              <w:top w:val="single" w:sz="4" w:space="0" w:color="auto"/>
              <w:left w:val="nil"/>
              <w:bottom w:val="single" w:sz="4" w:space="0" w:color="auto"/>
              <w:right w:val="single" w:sz="4" w:space="0" w:color="auto"/>
            </w:tcBorders>
            <w:shd w:val="clear" w:color="auto" w:fill="C6EFCE"/>
            <w:noWrap/>
            <w:vAlign w:val="center"/>
          </w:tcPr>
          <w:p w14:paraId="33E50868" w14:textId="77777777" w:rsidR="004C6421" w:rsidRDefault="009D1962">
            <w:pPr>
              <w:pStyle w:val="P68B1DB1-Normal4"/>
              <w:spacing w:line="276" w:lineRule="auto"/>
              <w:jc w:val="center"/>
              <w:rPr>
                <w:noProof/>
              </w:rPr>
            </w:pPr>
            <w:r>
              <w:rPr>
                <w:noProof/>
              </w:rPr>
              <w:t>2022</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14:paraId="748040D7" w14:textId="77777777" w:rsidR="004C6421" w:rsidRDefault="009D1962">
            <w:pPr>
              <w:pStyle w:val="P68B1DB1-Normal4"/>
              <w:spacing w:line="276" w:lineRule="auto"/>
              <w:rPr>
                <w:noProof/>
              </w:rPr>
            </w:pPr>
            <w:r>
              <w:rPr>
                <w:noProof/>
              </w:rPr>
              <w:t>Publiczne uruchomienie platformy internetowej i podpisanie ostatecznych porozumień z „producentami treści”. Projekty mają na celu opracowanie co najmniej 180 podcastów, lekcji wideo dla szkół i treści wideo opracowanych i dostępnych na platformie internetowej na temat transformacji ekologicznej.</w:t>
            </w:r>
          </w:p>
        </w:tc>
      </w:tr>
      <w:tr w:rsidR="004C6421" w14:paraId="4A8A8EFB" w14:textId="77777777">
        <w:trPr>
          <w:trHeight w:val="309"/>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64CFD1B" w14:textId="77777777" w:rsidR="004C6421" w:rsidRDefault="009D1962">
            <w:pPr>
              <w:pStyle w:val="P68B1DB1-Normal4"/>
              <w:spacing w:line="276" w:lineRule="auto"/>
              <w:jc w:val="center"/>
              <w:rPr>
                <w:noProof/>
              </w:rPr>
            </w:pPr>
            <w:r>
              <w:rPr>
                <w:noProof/>
              </w:rPr>
              <w:t>M2C1-12</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2296ABE2" w14:textId="77777777" w:rsidR="004C6421" w:rsidRDefault="009D1962">
            <w:pPr>
              <w:pStyle w:val="P68B1DB1-Normal4"/>
              <w:spacing w:line="276" w:lineRule="auto"/>
              <w:jc w:val="center"/>
              <w:rPr>
                <w:noProof/>
              </w:rPr>
            </w:pPr>
            <w:r>
              <w:rPr>
                <w:noProof/>
              </w:rPr>
              <w:t>Inwestycja 3.3: Kultura i świadomość w zakresie zagadnień i wyzwań środowiskowych</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094CC3FD" w14:textId="77777777" w:rsidR="004C6421" w:rsidRDefault="009D1962">
            <w:pPr>
              <w:pStyle w:val="P68B1DB1-Normal4"/>
              <w:spacing w:line="276" w:lineRule="auto"/>
              <w:jc w:val="center"/>
              <w:rPr>
                <w:noProof/>
              </w:rPr>
            </w:pPr>
            <w:r>
              <w:rPr>
                <w:noProof/>
              </w:rPr>
              <w:t>Cel</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61076DF1" w14:textId="77777777" w:rsidR="004C6421" w:rsidRDefault="009D1962">
            <w:pPr>
              <w:pStyle w:val="P68B1DB1-Normal4"/>
              <w:spacing w:line="276" w:lineRule="auto"/>
              <w:jc w:val="center"/>
              <w:rPr>
                <w:noProof/>
              </w:rPr>
            </w:pPr>
            <w:r>
              <w:rPr>
                <w:noProof/>
              </w:rPr>
              <w:t>Materiały audiowizualne na temat transformacji ekologicznej</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751196C1" w14:textId="77777777" w:rsidR="004C6421" w:rsidRDefault="009D1962">
            <w:pPr>
              <w:pStyle w:val="P68B1DB1-Normal4"/>
              <w:spacing w:line="276" w:lineRule="auto"/>
              <w:jc w:val="center"/>
              <w:rPr>
                <w:noProof/>
              </w:rPr>
            </w:pPr>
            <w:r>
              <w:rPr>
                <w:noProof/>
              </w:rPr>
              <w:t>NIE DOT.</w:t>
            </w:r>
          </w:p>
        </w:tc>
        <w:tc>
          <w:tcPr>
            <w:tcW w:w="1180" w:type="dxa"/>
            <w:tcBorders>
              <w:top w:val="single" w:sz="4" w:space="0" w:color="auto"/>
              <w:left w:val="nil"/>
              <w:bottom w:val="single" w:sz="4" w:space="0" w:color="auto"/>
              <w:right w:val="single" w:sz="4" w:space="0" w:color="auto"/>
            </w:tcBorders>
            <w:shd w:val="clear" w:color="auto" w:fill="C6EFCE"/>
            <w:noWrap/>
            <w:vAlign w:val="center"/>
          </w:tcPr>
          <w:p w14:paraId="3ED17302" w14:textId="77777777" w:rsidR="004C6421" w:rsidRDefault="009D1962">
            <w:pPr>
              <w:pStyle w:val="P68B1DB1-Normal4"/>
              <w:spacing w:line="276" w:lineRule="auto"/>
              <w:jc w:val="center"/>
              <w:rPr>
                <w:noProof/>
              </w:rPr>
            </w:pPr>
            <w:r>
              <w:rPr>
                <w:noProof/>
              </w:rPr>
              <w:t>Numer</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14:paraId="0435E82D" w14:textId="77777777" w:rsidR="004C6421" w:rsidRDefault="009D1962">
            <w:pPr>
              <w:pStyle w:val="P68B1DB1-Normal4"/>
              <w:spacing w:line="276" w:lineRule="auto"/>
              <w:jc w:val="center"/>
              <w:rPr>
                <w:noProof/>
              </w:rPr>
            </w:pPr>
            <w:r>
              <w:rPr>
                <w:noProof/>
              </w:rPr>
              <w:t>0</w:t>
            </w:r>
          </w:p>
        </w:tc>
        <w:tc>
          <w:tcPr>
            <w:tcW w:w="1347" w:type="dxa"/>
            <w:tcBorders>
              <w:top w:val="single" w:sz="4" w:space="0" w:color="auto"/>
              <w:left w:val="nil"/>
              <w:bottom w:val="single" w:sz="4" w:space="0" w:color="auto"/>
              <w:right w:val="single" w:sz="4" w:space="0" w:color="auto"/>
            </w:tcBorders>
            <w:shd w:val="clear" w:color="auto" w:fill="C6EFCE"/>
            <w:noWrap/>
            <w:vAlign w:val="center"/>
          </w:tcPr>
          <w:p w14:paraId="2318AEA9" w14:textId="77777777" w:rsidR="004C6421" w:rsidRDefault="009D1962">
            <w:pPr>
              <w:pStyle w:val="P68B1DB1-Normal4"/>
              <w:spacing w:line="276" w:lineRule="auto"/>
              <w:jc w:val="center"/>
              <w:rPr>
                <w:noProof/>
              </w:rPr>
            </w:pPr>
            <w:r>
              <w:rPr>
                <w:noProof/>
              </w:rPr>
              <w:t>180</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04F15899" w14:textId="77777777" w:rsidR="004C6421" w:rsidRDefault="009D1962">
            <w:pPr>
              <w:pStyle w:val="P68B1DB1-Normal4"/>
              <w:spacing w:line="276" w:lineRule="auto"/>
              <w:jc w:val="center"/>
              <w:rPr>
                <w:noProof/>
              </w:rPr>
            </w:pPr>
            <w:r>
              <w:rPr>
                <w:noProof/>
              </w:rPr>
              <w:t>II KW.</w:t>
            </w:r>
          </w:p>
        </w:tc>
        <w:tc>
          <w:tcPr>
            <w:tcW w:w="680" w:type="dxa"/>
            <w:tcBorders>
              <w:top w:val="single" w:sz="4" w:space="0" w:color="auto"/>
              <w:left w:val="nil"/>
              <w:bottom w:val="single" w:sz="4" w:space="0" w:color="auto"/>
              <w:right w:val="single" w:sz="4" w:space="0" w:color="auto"/>
            </w:tcBorders>
            <w:shd w:val="clear" w:color="auto" w:fill="C6EFCE"/>
            <w:noWrap/>
            <w:vAlign w:val="center"/>
          </w:tcPr>
          <w:p w14:paraId="39E098D5" w14:textId="77777777" w:rsidR="004C6421" w:rsidRDefault="009D1962">
            <w:pPr>
              <w:pStyle w:val="P68B1DB1-Normal4"/>
              <w:spacing w:line="276" w:lineRule="auto"/>
              <w:jc w:val="center"/>
              <w:rPr>
                <w:noProof/>
              </w:rPr>
            </w:pPr>
            <w:r>
              <w:rPr>
                <w:noProof/>
              </w:rPr>
              <w:t>2026</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14:paraId="78540682" w14:textId="77777777" w:rsidR="004C6421" w:rsidRDefault="009D1962">
            <w:pPr>
              <w:pStyle w:val="P68B1DB1-Normal4"/>
              <w:spacing w:line="276" w:lineRule="auto"/>
              <w:rPr>
                <w:noProof/>
              </w:rPr>
            </w:pPr>
            <w:r>
              <w:rPr>
                <w:noProof/>
              </w:rPr>
              <w:t>Co najmniej 180 podcastów, lekcji wideo dostosowanych do potrzeb szkoły i treści wideo wyprodukowanych i na żywo na platformie internetowej</w:t>
            </w:r>
          </w:p>
        </w:tc>
      </w:tr>
    </w:tbl>
    <w:p w14:paraId="409C006F" w14:textId="77777777" w:rsidR="004C6421" w:rsidRDefault="009D1962">
      <w:pPr>
        <w:spacing w:before="120" w:after="120"/>
        <w:ind w:left="709"/>
        <w:jc w:val="both"/>
        <w:rPr>
          <w:noProof/>
        </w:rPr>
      </w:pPr>
      <w:r>
        <w:rPr>
          <w:noProof/>
        </w:rPr>
        <w:br/>
      </w:r>
    </w:p>
    <w:p w14:paraId="3BC98694" w14:textId="77777777" w:rsidR="004C6421" w:rsidRDefault="004C6421">
      <w:pPr>
        <w:spacing w:before="120" w:after="120"/>
        <w:ind w:left="709"/>
        <w:jc w:val="both"/>
        <w:rPr>
          <w:noProof/>
        </w:rPr>
        <w:sectPr w:rsidR="004C6421" w:rsidSect="00797973">
          <w:headerReference w:type="even" r:id="rId122"/>
          <w:headerReference w:type="default" r:id="rId123"/>
          <w:footerReference w:type="even" r:id="rId124"/>
          <w:footerReference w:type="default" r:id="rId125"/>
          <w:headerReference w:type="first" r:id="rId126"/>
          <w:footerReference w:type="first" r:id="rId127"/>
          <w:pgSz w:w="16838" w:h="11907" w:orient="landscape"/>
          <w:pgMar w:top="1134" w:right="1134" w:bottom="1134" w:left="1134" w:header="567" w:footer="567" w:gutter="0"/>
          <w:cols w:space="720"/>
          <w:docGrid w:linePitch="360"/>
        </w:sectPr>
      </w:pPr>
    </w:p>
    <w:p w14:paraId="3D3CB6F4" w14:textId="77777777" w:rsidR="004C6421" w:rsidRDefault="009D1962">
      <w:pPr>
        <w:pStyle w:val="Heading3"/>
        <w:numPr>
          <w:ilvl w:val="0"/>
          <w:numId w:val="0"/>
        </w:numPr>
        <w:ind w:left="850" w:hanging="850"/>
        <w:rPr>
          <w:b/>
          <w:i w:val="0"/>
          <w:noProof/>
          <w:color w:val="4472C4" w:themeColor="accent1"/>
          <w:u w:val="single"/>
        </w:rPr>
      </w:pPr>
      <w:r>
        <w:rPr>
          <w:b/>
          <w:i w:val="0"/>
          <w:noProof/>
          <w:u w:val="single"/>
        </w:rPr>
        <w:t xml:space="preserve">D.3. </w:t>
      </w:r>
      <w:r>
        <w:rPr>
          <w:noProof/>
        </w:rPr>
        <w:t xml:space="preserve"> </w:t>
      </w:r>
      <w:r>
        <w:rPr>
          <w:b/>
          <w:i w:val="0"/>
          <w:noProof/>
          <w:u w:val="single"/>
        </w:rPr>
        <w:t xml:space="preserve">Opis reform i inwestycji związanych z pożyczką </w:t>
      </w:r>
    </w:p>
    <w:p w14:paraId="5D438AA7" w14:textId="77777777" w:rsidR="004C6421" w:rsidRDefault="009D1962">
      <w:pPr>
        <w:pStyle w:val="P68B1DB1-Normal2"/>
        <w:spacing w:before="120" w:after="120"/>
        <w:jc w:val="both"/>
        <w:rPr>
          <w:noProof/>
        </w:rPr>
      </w:pPr>
      <w:r>
        <w:rPr>
          <w:noProof/>
        </w:rPr>
        <w:t>Reforma 1.2 – Krajowy program gospodarowania odpadami</w:t>
      </w:r>
    </w:p>
    <w:p w14:paraId="032B049C" w14:textId="77777777" w:rsidR="004C6421" w:rsidRDefault="009D1962">
      <w:pPr>
        <w:spacing w:before="120" w:after="120"/>
        <w:jc w:val="both"/>
        <w:rPr>
          <w:noProof/>
        </w:rPr>
      </w:pPr>
      <w:r>
        <w:rPr>
          <w:noProof/>
        </w:rPr>
        <w:t xml:space="preserve">Reforma ta polega na przyjęciu szeroko zakrojonego krajowego programu gospodarowania odpadami, którego celem jest zapewnienie najwyższych poziomów przygotowania do ponownego użycia, recyklingu i odzysku odpadów, dostosowanie sieci instalacji niezbędnych do zintegrowanego gospodarowania odpadami, ograniczenie do minimum ostatecznego unieszkodliwiania odpadów jako opcji końcowej i pozostałej, ustanowienie systemów monitorowania, zapobieganie wszczynaniu nowych postępowań w sprawie uchybienia zobowiązaniom państwa członkowskiego przeciwko Włochom, rozwiązanie problemu niskiego poziomu zbierania odpadów, zniechęcanie do składowania odpadów i zapewnienie komplementarności z regionalnymi programami dotyczącymi odpadów, umożliwienie osiągnięcia celów europejskich i krajowych przepisów dotyczących odpadów oraz rozwiązanie problemu nielegalnego składowania odpadów i spalania na otwartym powietrzu. </w:t>
      </w:r>
    </w:p>
    <w:p w14:paraId="245C8347" w14:textId="77777777" w:rsidR="004C6421" w:rsidRDefault="009D1962">
      <w:pPr>
        <w:pStyle w:val="P68B1DB1-Normal2"/>
        <w:spacing w:before="120" w:after="120"/>
        <w:jc w:val="both"/>
        <w:rPr>
          <w:noProof/>
        </w:rPr>
      </w:pPr>
      <w:r>
        <w:rPr>
          <w:noProof/>
        </w:rPr>
        <w:t>Inwestycje 1.1 – Wdrażanie nowych zakładów gospodarki odpadami i modernizacja istniejących obiektów</w:t>
      </w:r>
    </w:p>
    <w:p w14:paraId="0C2513E3" w14:textId="77777777" w:rsidR="004C6421" w:rsidRDefault="009D1962">
      <w:pPr>
        <w:spacing w:before="120" w:after="120"/>
        <w:jc w:val="both"/>
        <w:rPr>
          <w:noProof/>
        </w:rPr>
      </w:pPr>
      <w:r>
        <w:rPr>
          <w:noProof/>
        </w:rPr>
        <w:t>Inwestycja ta polega na poprawie i mechanizacji sieci selektywnej zbiórki odpadów w gminach, budowie nowych zakładów przetwarzania/recyklingu odpadów organicznych, opakowań wielomateriałowych, szklanych i papierowych oraz innowacyjnych zakładów przetwarzania/recyklingu zajmujących się usuwaniem adsorbentów osobistych, osadów ściekowych, odpadów skórzanych i odpadów tekstylnych.</w:t>
      </w:r>
    </w:p>
    <w:p w14:paraId="0578B4D3" w14:textId="77777777" w:rsidR="004C6421" w:rsidRDefault="009D1962">
      <w:pPr>
        <w:pStyle w:val="P68B1DB1-Normal2"/>
        <w:spacing w:before="120" w:after="120"/>
        <w:jc w:val="both"/>
        <w:rPr>
          <w:noProof/>
        </w:rPr>
      </w:pPr>
      <w:r>
        <w:rPr>
          <w:noProof/>
        </w:rPr>
        <w:t>Inwestycje 1.2 – Gospodarka o obiegu zamkniętym: projekty przewodnie</w:t>
      </w:r>
    </w:p>
    <w:p w14:paraId="02BDAF77" w14:textId="77777777" w:rsidR="004C6421" w:rsidRDefault="009D1962">
      <w:pPr>
        <w:spacing w:before="120" w:after="120"/>
        <w:jc w:val="both"/>
        <w:rPr>
          <w:noProof/>
        </w:rPr>
      </w:pPr>
      <w:r>
        <w:rPr>
          <w:noProof/>
        </w:rPr>
        <w:t>Inwestycja ta polega na wspieraniu poprawy sieci selektywnej zbiórki, w tym poprzez cyfryzację procesów lub logistyki, oraz zakładów przetwarzania/recyklingu w następujących sektorach:</w:t>
      </w:r>
    </w:p>
    <w:p w14:paraId="42010D2C" w14:textId="77777777" w:rsidR="004C6421" w:rsidRDefault="009D1962">
      <w:pPr>
        <w:numPr>
          <w:ilvl w:val="0"/>
          <w:numId w:val="67"/>
        </w:numPr>
        <w:spacing w:before="120" w:after="120" w:line="259" w:lineRule="auto"/>
        <w:ind w:left="360"/>
        <w:contextualSpacing/>
        <w:jc w:val="both"/>
        <w:rPr>
          <w:noProof/>
        </w:rPr>
      </w:pPr>
      <w:r>
        <w:rPr>
          <w:noProof/>
        </w:rPr>
        <w:t>Zużyty sprzęt elektryczny i elektroniczny (WEEE), w tym łopatki turbin wiatrowych i panele fotowoltaiczne;</w:t>
      </w:r>
    </w:p>
    <w:p w14:paraId="3D631985" w14:textId="77777777" w:rsidR="004C6421" w:rsidRDefault="009D1962">
      <w:pPr>
        <w:numPr>
          <w:ilvl w:val="0"/>
          <w:numId w:val="67"/>
        </w:numPr>
        <w:spacing w:before="120" w:after="120" w:line="259" w:lineRule="auto"/>
        <w:ind w:left="360"/>
        <w:contextualSpacing/>
        <w:jc w:val="both"/>
        <w:rPr>
          <w:noProof/>
        </w:rPr>
      </w:pPr>
      <w:r>
        <w:rPr>
          <w:noProof/>
        </w:rPr>
        <w:t>Przemysł papierniczy/papierniczy;</w:t>
      </w:r>
    </w:p>
    <w:p w14:paraId="1DD6C734" w14:textId="77777777" w:rsidR="004C6421" w:rsidRDefault="009D1962">
      <w:pPr>
        <w:numPr>
          <w:ilvl w:val="0"/>
          <w:numId w:val="67"/>
        </w:numPr>
        <w:spacing w:before="120" w:after="120" w:line="259" w:lineRule="auto"/>
        <w:ind w:left="360"/>
        <w:contextualSpacing/>
        <w:jc w:val="both"/>
        <w:rPr>
          <w:noProof/>
        </w:rPr>
      </w:pPr>
      <w:r>
        <w:rPr>
          <w:noProof/>
        </w:rPr>
        <w:t>Recykling odpadów z tworzyw sztucznych (mechaniczny, chemiczny recykling, „ogniwa z tworzyw sztucznych”), w tym morskie odpady z tworzyw sztucznych (MPL). W tym obszarze należy wspierać projekty dotyczące symbiozy przemysłowej w formie „okręgów o obiegu zamkniętym”, aby zapewnić pełne ponowne wykorzystanie produktów ubocznych recyklingu tworzyw sztucznych i produkować towary o wysokiej wartości dodanej;</w:t>
      </w:r>
    </w:p>
    <w:p w14:paraId="53A4DF18" w14:textId="77777777" w:rsidR="004C6421" w:rsidRDefault="009D1962">
      <w:pPr>
        <w:numPr>
          <w:ilvl w:val="0"/>
          <w:numId w:val="67"/>
        </w:numPr>
        <w:spacing w:before="120" w:after="120" w:line="259" w:lineRule="auto"/>
        <w:ind w:left="360"/>
        <w:contextualSpacing/>
        <w:jc w:val="both"/>
        <w:rPr>
          <w:noProof/>
        </w:rPr>
      </w:pPr>
      <w:r>
        <w:rPr>
          <w:noProof/>
        </w:rPr>
        <w:t>Wyroby włókiennicze („centrum tekstyliów”).</w:t>
      </w:r>
    </w:p>
    <w:p w14:paraId="770F8750" w14:textId="77777777" w:rsidR="004C6421" w:rsidRDefault="009D1962">
      <w:pPr>
        <w:spacing w:before="120" w:after="120"/>
        <w:jc w:val="both"/>
        <w:rPr>
          <w:noProof/>
        </w:rPr>
      </w:pPr>
      <w:r>
        <w:rPr>
          <w:noProof/>
        </w:rPr>
        <w:t xml:space="preserve">Ponadto z wykorzystaniem satelitów, dronów i technologii sztucznej inteligencji (AI) należy opracować globalny system monitorowania mający na celu przeciwdziałanie nielegalnemu wyrzucaniu odpadów (więcej opisu ogólnej interwencji – </w:t>
      </w:r>
      <w:r>
        <w:rPr>
          <w:i/>
          <w:noProof/>
        </w:rPr>
        <w:t>Inwestycja 1.1 – Wdrażanie zaawansowanego i zintegrowanego systemu monitorowania i prognozowania</w:t>
      </w:r>
      <w:r>
        <w:rPr>
          <w:noProof/>
        </w:rPr>
        <w:t xml:space="preserve"> w ramach komponentu 4 misji 2). Globalny system monitorowania, wraz z proponowanymi środkami dotyczącymi identyfikowalności odpadów, wspiera lokalne organy kontrolne i siły porządkowe w zapobieganiu nielegalnemu składowaniu odpadów i przestępczości zorganizowanej w gospodarowaniu odpadami, ich kontrolowaniu i zwalczaniu.</w:t>
      </w:r>
    </w:p>
    <w:p w14:paraId="29C701F9" w14:textId="77777777" w:rsidR="004C6421" w:rsidRDefault="009D1962">
      <w:pPr>
        <w:pStyle w:val="P68B1DB1-Normal2"/>
        <w:spacing w:before="120" w:after="120"/>
        <w:ind w:firstLine="567"/>
        <w:jc w:val="both"/>
        <w:rPr>
          <w:noProof/>
        </w:rPr>
      </w:pPr>
      <w:r>
        <w:rPr>
          <w:noProof/>
        </w:rPr>
        <w:t>Inwestycje 3.1 – Zielone wyspy</w:t>
      </w:r>
    </w:p>
    <w:p w14:paraId="52A37550" w14:textId="77777777" w:rsidR="004C6421" w:rsidRDefault="009D1962">
      <w:pPr>
        <w:spacing w:before="120" w:after="120"/>
        <w:jc w:val="both"/>
        <w:rPr>
          <w:noProof/>
          <w:color w:val="006100"/>
        </w:rPr>
      </w:pPr>
      <w:r>
        <w:rPr>
          <w:noProof/>
        </w:rPr>
        <w:t>Inwestycja ta polega na finansowaniu i realizacji projektów w dziedzinie energii (takich jak odnawialne źródła energii, efektywność sieci i efektywność energetyczna), wody (takiej jak odsalanie), transportu (takich jak ścieżki rowerowe, bezemisyjne autobusy i łodzie) oraz odpadów (takich jak segregacja odpadów) na 19 niepowiązanych ze sobą małych wyspach. Biometan musi spełniać kryteria określone w dyrektywie 2018/2001 (dyrektywa RED II). Producenci biopaliw i biometanu oraz biopaliw muszą przedstawić certyfikaty (dowód zrównoważonego rozwoju) wydawane przez niezależnych oceniających, jak przewidziano w dyrektywie 2018/2001. Operator nabywa świadectwa pochodzenia proporcjonalne do przewidywanego zużycia paliwa.   Aby zapewnić zgodność środka z wytycznymi technicznymi zasady „nie czyń poważnych szkód” (2021/C58/01), kryteria kwalifikowalności zawarte w zakresie wymagań i obowiązków w odniesieniu do przyszłych zaproszeń do składania projektów wykluczają następujący wykaz działań: (i) działalności związanej z paliwami kopalnymi, w tym wykorzystania niższego szczebla</w:t>
      </w:r>
      <w:r>
        <w:rPr>
          <w:rStyle w:val="FootnoteReference"/>
          <w:noProof/>
        </w:rPr>
        <w:footnoteReference w:id="35"/>
      </w:r>
      <w:r>
        <w:rPr>
          <w:noProof/>
        </w:rPr>
        <w:t>; (II) działania w ramach unijnego systemu handlu uprawnieniami do emisji (ETS) prowadzące do osiągnięcia prognozowanych emisji gazów cieplarnianych, które nie są niższe niż odpowiednie wskaźniki referencyjne</w:t>
      </w:r>
      <w:r>
        <w:rPr>
          <w:rStyle w:val="FootnoteReference"/>
          <w:noProof/>
        </w:rPr>
        <w:footnoteReference w:id="36"/>
      </w:r>
      <w:r>
        <w:rPr>
          <w:noProof/>
        </w:rPr>
        <w:t>; (III) działania związane ze składowiskami odpadów, spalarniami</w:t>
      </w:r>
      <w:r>
        <w:rPr>
          <w:rStyle w:val="FootnoteReference"/>
          <w:noProof/>
        </w:rPr>
        <w:footnoteReference w:id="37"/>
      </w:r>
      <w:r>
        <w:rPr>
          <w:noProof/>
        </w:rPr>
        <w:t xml:space="preserve"> i zakładami mechaniczno-biologicznego przetwarzania odpadów</w:t>
      </w:r>
      <w:r>
        <w:rPr>
          <w:rStyle w:val="FootnoteReference"/>
          <w:noProof/>
        </w:rPr>
        <w:footnoteReference w:id="38"/>
      </w:r>
      <w:r>
        <w:rPr>
          <w:noProof/>
        </w:rPr>
        <w:t>; oraz (iv) działań, w przypadku których długoterminowe unieszkodliwianie odpadów może szkodzić środowisku naturalnemu. W specyfikacji istotnych warunków zamówienia należy dodatkowo zawrzeć wymóg, aby wybierane były wyłącznie działania zgodne z odpowiednimi przepisami unijnymi i krajowymi w zakresie ochrony środowiska.”;</w:t>
      </w:r>
    </w:p>
    <w:p w14:paraId="63D85F51" w14:textId="77777777" w:rsidR="004C6421" w:rsidRDefault="009D1962">
      <w:pPr>
        <w:pStyle w:val="P68B1DB1-Normal2"/>
        <w:spacing w:before="120" w:after="120"/>
        <w:jc w:val="both"/>
        <w:rPr>
          <w:noProof/>
        </w:rPr>
      </w:pPr>
      <w:r>
        <w:rPr>
          <w:noProof/>
        </w:rPr>
        <w:t>Inwestycje 3.2 – Zielone społeczności</w:t>
      </w:r>
    </w:p>
    <w:p w14:paraId="7ECD9DC8" w14:textId="77777777" w:rsidR="004C6421" w:rsidRDefault="009D1962">
      <w:pPr>
        <w:spacing w:before="120" w:after="120"/>
        <w:jc w:val="both"/>
        <w:rPr>
          <w:noProof/>
        </w:rPr>
      </w:pPr>
      <w:r>
        <w:rPr>
          <w:noProof/>
        </w:rPr>
        <w:t>Inwestycja ta polega na wspieraniu obszarów wiejskich i górskich, które zamierzają w zrównoważony sposób wykorzystywać swoje główne zasoby (tzw. „zielone społeczności”) poprzez inwestycje w szczególności w następujących dziedzinach:</w:t>
      </w:r>
    </w:p>
    <w:p w14:paraId="312B0F6C" w14:textId="77777777" w:rsidR="004C6421" w:rsidRDefault="009D1962">
      <w:pPr>
        <w:numPr>
          <w:ilvl w:val="0"/>
          <w:numId w:val="69"/>
        </w:numPr>
        <w:spacing w:before="120" w:after="120" w:line="259" w:lineRule="auto"/>
        <w:ind w:left="360"/>
        <w:contextualSpacing/>
        <w:jc w:val="both"/>
        <w:rPr>
          <w:noProof/>
        </w:rPr>
      </w:pPr>
      <w:r>
        <w:rPr>
          <w:noProof/>
        </w:rPr>
        <w:t>zintegrowane i certyfikowane zarządzanie dziedzictwem rolno-leśnym („również poprzez wymianę jednostek pochodzących z wychwytywania dwutlenku węgla, zarządzanie różnorodnością biologiczną i certyfikację łańcucha dostaw drewna”);</w:t>
      </w:r>
    </w:p>
    <w:p w14:paraId="5BFB6F2F" w14:textId="77777777" w:rsidR="004C6421" w:rsidRDefault="009D1962">
      <w:pPr>
        <w:numPr>
          <w:ilvl w:val="0"/>
          <w:numId w:val="69"/>
        </w:numPr>
        <w:spacing w:before="120" w:after="120" w:line="259" w:lineRule="auto"/>
        <w:ind w:left="360"/>
        <w:contextualSpacing/>
        <w:jc w:val="both"/>
        <w:rPr>
          <w:noProof/>
        </w:rPr>
      </w:pPr>
      <w:r>
        <w:rPr>
          <w:noProof/>
        </w:rPr>
        <w:t>zintegrowane i certyfikowane zarządzanie zasobami wodnymi;</w:t>
      </w:r>
    </w:p>
    <w:p w14:paraId="57E54CD1" w14:textId="77777777" w:rsidR="004C6421" w:rsidRDefault="009D1962">
      <w:pPr>
        <w:numPr>
          <w:ilvl w:val="0"/>
          <w:numId w:val="69"/>
        </w:numPr>
        <w:spacing w:before="120" w:after="120" w:line="259" w:lineRule="auto"/>
        <w:ind w:left="360"/>
        <w:contextualSpacing/>
        <w:jc w:val="both"/>
        <w:rPr>
          <w:noProof/>
        </w:rPr>
      </w:pPr>
      <w:r>
        <w:rPr>
          <w:noProof/>
        </w:rPr>
        <w:t>wytwarzanie energii z lokalnych źródeł odnawialnych, takich jak mikroelektrownie wodne, biomasa, biogaz, wiatr, kogeneracja i biometan;</w:t>
      </w:r>
    </w:p>
    <w:p w14:paraId="12C0D99A" w14:textId="77777777" w:rsidR="004C6421" w:rsidRDefault="009D1962">
      <w:pPr>
        <w:numPr>
          <w:ilvl w:val="0"/>
          <w:numId w:val="69"/>
        </w:numPr>
        <w:spacing w:before="120" w:after="120" w:line="259" w:lineRule="auto"/>
        <w:ind w:left="360"/>
        <w:contextualSpacing/>
        <w:jc w:val="both"/>
        <w:rPr>
          <w:noProof/>
        </w:rPr>
      </w:pPr>
      <w:r>
        <w:rPr>
          <w:noProof/>
        </w:rPr>
        <w:t>rozwój zrównoważonej turystyki („zdolna do ulepszania produktów lokalnych”);</w:t>
      </w:r>
    </w:p>
    <w:p w14:paraId="0B689D19" w14:textId="77777777" w:rsidR="004C6421" w:rsidRDefault="009D1962">
      <w:pPr>
        <w:numPr>
          <w:ilvl w:val="0"/>
          <w:numId w:val="69"/>
        </w:numPr>
        <w:spacing w:before="120" w:after="120" w:line="259" w:lineRule="auto"/>
        <w:ind w:left="360"/>
        <w:contextualSpacing/>
        <w:jc w:val="both"/>
        <w:rPr>
          <w:noProof/>
        </w:rPr>
      </w:pPr>
      <w:r>
        <w:rPr>
          <w:noProof/>
        </w:rPr>
        <w:t>budowa i zrównoważone zarządzanie zasobami budowlanymi i infrastrukturą nowoczesnej góry;</w:t>
      </w:r>
    </w:p>
    <w:p w14:paraId="475F8BBE" w14:textId="77777777" w:rsidR="004C6421" w:rsidRDefault="009D1962">
      <w:pPr>
        <w:numPr>
          <w:ilvl w:val="0"/>
          <w:numId w:val="69"/>
        </w:numPr>
        <w:spacing w:before="120" w:after="120" w:line="259" w:lineRule="auto"/>
        <w:ind w:left="360"/>
        <w:contextualSpacing/>
        <w:jc w:val="both"/>
        <w:rPr>
          <w:noProof/>
        </w:rPr>
      </w:pPr>
      <w:r>
        <w:rPr>
          <w:noProof/>
        </w:rPr>
        <w:t>efektywność energetyczna i inteligentna integracja elektrowni i sieci;</w:t>
      </w:r>
    </w:p>
    <w:p w14:paraId="3780D2B0" w14:textId="77777777" w:rsidR="004C6421" w:rsidRDefault="009D1962">
      <w:pPr>
        <w:numPr>
          <w:ilvl w:val="0"/>
          <w:numId w:val="69"/>
        </w:numPr>
        <w:spacing w:before="120" w:after="120" w:line="259" w:lineRule="auto"/>
        <w:ind w:left="360"/>
        <w:contextualSpacing/>
        <w:jc w:val="both"/>
        <w:rPr>
          <w:noProof/>
        </w:rPr>
      </w:pPr>
      <w:r>
        <w:rPr>
          <w:noProof/>
        </w:rPr>
        <w:t>zrównoważony rozwój działalności produkcyjnej (zero odpadów);</w:t>
      </w:r>
    </w:p>
    <w:p w14:paraId="641F7B88" w14:textId="77777777" w:rsidR="004C6421" w:rsidRDefault="009D1962">
      <w:pPr>
        <w:numPr>
          <w:ilvl w:val="0"/>
          <w:numId w:val="69"/>
        </w:numPr>
        <w:spacing w:before="120" w:after="120" w:line="259" w:lineRule="auto"/>
        <w:ind w:left="360"/>
        <w:contextualSpacing/>
        <w:jc w:val="both"/>
        <w:rPr>
          <w:noProof/>
        </w:rPr>
      </w:pPr>
      <w:r>
        <w:rPr>
          <w:noProof/>
        </w:rPr>
        <w:t>integracji usług w zakresie mobilności;</w:t>
      </w:r>
    </w:p>
    <w:p w14:paraId="26D30931" w14:textId="77777777" w:rsidR="004C6421" w:rsidRDefault="009D1962">
      <w:pPr>
        <w:numPr>
          <w:ilvl w:val="0"/>
          <w:numId w:val="69"/>
        </w:numPr>
        <w:spacing w:before="120" w:after="120" w:line="259" w:lineRule="auto"/>
        <w:ind w:left="360"/>
        <w:contextualSpacing/>
        <w:jc w:val="both"/>
        <w:rPr>
          <w:noProof/>
        </w:rPr>
      </w:pPr>
      <w:r>
        <w:rPr>
          <w:noProof/>
        </w:rPr>
        <w:t>—rozwój zrównoważonego modelu gospodarstwa („który jest również niezależny od energii poprzez produkcję i wykorzystanie energii ze źródeł odnawialnych w sektorze energii elektrycznej, termicznej i transportowej”).</w:t>
      </w:r>
    </w:p>
    <w:p w14:paraId="09146F27" w14:textId="77777777" w:rsidR="004C6421" w:rsidRDefault="009D1962">
      <w:pPr>
        <w:pStyle w:val="ListParagraph"/>
        <w:numPr>
          <w:ilvl w:val="0"/>
          <w:numId w:val="69"/>
        </w:numPr>
        <w:spacing w:line="259" w:lineRule="auto"/>
        <w:ind w:left="360"/>
        <w:rPr>
          <w:rFonts w:asciiTheme="minorHAnsi" w:eastAsiaTheme="minorEastAsia" w:hAnsiTheme="minorHAnsi" w:cstheme="minorBidi"/>
          <w:noProof/>
          <w:color w:val="006100"/>
        </w:rPr>
      </w:pPr>
      <w:r>
        <w:rPr>
          <w:noProof/>
        </w:rPr>
        <w:t>Aby zapewnić zgodność środka z wytycznymi technicznymi zasady „nie czyń poważnych szkód” (2021/C58/01), kryteria kwalifikowalności zawarte w zakresie wymagań i obowiązków w odniesieniu do przyszłych zaproszeń do składania projektów wykluczają następujący wykaz działań: (i) działalności związanej z paliwami kopalnymi, w tym wykorzystania niższego szczebla</w:t>
      </w:r>
      <w:r>
        <w:rPr>
          <w:rStyle w:val="FootnoteReference"/>
          <w:noProof/>
        </w:rPr>
        <w:footnoteReference w:id="39"/>
      </w:r>
      <w:r>
        <w:rPr>
          <w:noProof/>
        </w:rPr>
        <w:t>; (II) działania w ramach unijnego systemu handlu uprawnieniami do emisji (ETS) prowadzące do osiągnięcia prognozowanych emisji gazów cieplarnianych, które nie są niższe niż odpowiednie wskaźniki referencyjne</w:t>
      </w:r>
      <w:r>
        <w:rPr>
          <w:rStyle w:val="FootnoteReference"/>
          <w:noProof/>
        </w:rPr>
        <w:footnoteReference w:id="40"/>
      </w:r>
      <w:r>
        <w:rPr>
          <w:noProof/>
        </w:rPr>
        <w:t>; (III) działania związane ze składowiskami odpadów, spalarniami</w:t>
      </w:r>
      <w:r>
        <w:rPr>
          <w:rStyle w:val="FootnoteReference"/>
          <w:noProof/>
        </w:rPr>
        <w:footnoteReference w:id="41"/>
      </w:r>
      <w:r>
        <w:rPr>
          <w:noProof/>
        </w:rPr>
        <w:t xml:space="preserve"> i zakładami mechaniczno-biologicznego przetwarzania odpadów</w:t>
      </w:r>
      <w:r>
        <w:rPr>
          <w:rStyle w:val="FootnoteReference"/>
          <w:noProof/>
        </w:rPr>
        <w:footnoteReference w:id="42"/>
      </w:r>
      <w:r>
        <w:rPr>
          <w:noProof/>
        </w:rPr>
        <w:t>; oraz (iv) działań, w przypadku których długoterminowe unieszkodliwianie odpadów może szkodzić środowisku naturalnemu. W specyfikacji istotnych warunków zamówienia należy dodatkowo zawrzeć wymóg, aby wybierane były wyłącznie działania zgodne z odpowiednimi przepisami unijnymi i krajowymi w zakresie ochrony środowiska.”;</w:t>
      </w:r>
    </w:p>
    <w:p w14:paraId="6FF8D02E" w14:textId="77777777" w:rsidR="004C6421" w:rsidRDefault="009D1962">
      <w:pPr>
        <w:pStyle w:val="P68B1DB1-Normal2"/>
        <w:spacing w:before="120" w:after="120"/>
        <w:jc w:val="both"/>
        <w:rPr>
          <w:noProof/>
        </w:rPr>
      </w:pPr>
      <w:r>
        <w:rPr>
          <w:noProof/>
        </w:rPr>
        <w:t>Inwestycje 3.4 – Fondo Rotativo Contratti di Filiera (FCF) w celu wsparcia zamówień na łańcuchy dostaw dla sektorów rolno-spożywczego, rybołówstwa i akwakultury, leśnictwa, kwiaciarstwa i szkółek roślin</w:t>
      </w:r>
    </w:p>
    <w:p w14:paraId="37576A93" w14:textId="4381AA1F" w:rsidR="004C6421" w:rsidRDefault="009D1962">
      <w:pPr>
        <w:spacing w:after="120"/>
        <w:jc w:val="both"/>
        <w:rPr>
          <w:noProof/>
        </w:rPr>
      </w:pPr>
      <w:r>
        <w:rPr>
          <w:noProof/>
        </w:rPr>
        <w:t xml:space="preserve">Środek ten obejmuje inwestycje publiczne w instrument, Fondo Rotativo Contratti di Filiera (FCF), w celu zachęcenia do inwestycji prywatnych i poprawy dostępu do finansowania we włoskim sektorze rolno-spożywczym, rybołówstwa i akwakultury, leśnictwie, florikulturze i szkółkach roślin. Instrument działa poprzez udzielanie dotacji i subsydiowanych pożyczek bezpośrednio za pośrednictwem ISMEA (Istituto di Servizi per il Mercato Agricolo Alimentare). Kwota Instrumentu wynosi 2 000 000 000 EUR, w tym opłaty uiszczane na rzecz ISMEA. </w:t>
      </w:r>
    </w:p>
    <w:p w14:paraId="2FA0589A" w14:textId="013177CE" w:rsidR="004C6421" w:rsidRDefault="009D1962">
      <w:pPr>
        <w:spacing w:after="120"/>
        <w:jc w:val="both"/>
        <w:rPr>
          <w:noProof/>
        </w:rPr>
      </w:pPr>
      <w:r>
        <w:rPr>
          <w:noProof/>
        </w:rPr>
        <w:t>Instrumentem zarządza ISMEA jako partner wykonawczy. Instrument obejmuje następujące linie produktów:</w:t>
      </w:r>
    </w:p>
    <w:p w14:paraId="3573E58F" w14:textId="77777777" w:rsidR="004C6421" w:rsidRDefault="009D1962">
      <w:pPr>
        <w:pStyle w:val="ListParagraph"/>
        <w:numPr>
          <w:ilvl w:val="0"/>
          <w:numId w:val="107"/>
        </w:numPr>
        <w:spacing w:before="0"/>
        <w:contextualSpacing w:val="0"/>
        <w:rPr>
          <w:noProof/>
        </w:rPr>
      </w:pPr>
      <w:r>
        <w:rPr>
          <w:noProof/>
        </w:rPr>
        <w:t>Wspieranie przedsiębiorstw, grup przedsiębiorstw lub stowarzyszeń producentów rolnych, a także organizacji badawczych i organizacji upowszechniających wiedzę w sektorach rolno-spożywczym, rybołówstwa i akwakultury, leśnictwa, kwiaciarstwa i szkółek roślin poprzez poprawę procesów produkcji poprzez włączenie kombinacji następujących rodzajów działalności:</w:t>
      </w:r>
    </w:p>
    <w:p w14:paraId="3A3A8214" w14:textId="77777777" w:rsidR="004C6421" w:rsidRDefault="009D1962">
      <w:pPr>
        <w:pStyle w:val="ListParagraph"/>
        <w:numPr>
          <w:ilvl w:val="1"/>
          <w:numId w:val="107"/>
        </w:numPr>
        <w:spacing w:before="0"/>
        <w:contextualSpacing w:val="0"/>
        <w:rPr>
          <w:noProof/>
        </w:rPr>
      </w:pPr>
      <w:r>
        <w:rPr>
          <w:noProof/>
        </w:rPr>
        <w:t>Poprawa zrównoważenia środowiskowego procesów produkcji poprzez inwestycje w rzeczowe aktywa trwałe i wartości niematerialne i prawne w celu znacznego zwiększenia efektywności zużycia energii, wody i zasobów w docelowych procesach produkcyjnych;</w:t>
      </w:r>
    </w:p>
    <w:p w14:paraId="719D1F04" w14:textId="77777777" w:rsidR="004C6421" w:rsidRDefault="009D1962">
      <w:pPr>
        <w:pStyle w:val="ListParagraph"/>
        <w:numPr>
          <w:ilvl w:val="1"/>
          <w:numId w:val="107"/>
        </w:numPr>
        <w:spacing w:before="0"/>
        <w:contextualSpacing w:val="0"/>
        <w:rPr>
          <w:noProof/>
        </w:rPr>
      </w:pPr>
      <w:r>
        <w:rPr>
          <w:noProof/>
        </w:rPr>
        <w:t xml:space="preserve">Inwestycje w wiedzę, szkolenia, badania naukowe i innowacje, transfer technologii i projekty rozwojowe, które mogą również wspierać reorganizację stosunków między różnymi podmiotami w łańcuchu dostaw, w celu zwiększenia zrównoważonego charakteru procesów produkcji; </w:t>
      </w:r>
    </w:p>
    <w:p w14:paraId="33BBCFEB" w14:textId="77777777" w:rsidR="004C6421" w:rsidRDefault="009D1962">
      <w:pPr>
        <w:pStyle w:val="ListParagraph"/>
        <w:numPr>
          <w:ilvl w:val="1"/>
          <w:numId w:val="107"/>
        </w:numPr>
        <w:spacing w:before="0"/>
        <w:contextualSpacing w:val="0"/>
        <w:rPr>
          <w:noProof/>
        </w:rPr>
      </w:pPr>
      <w:r>
        <w:rPr>
          <w:noProof/>
        </w:rPr>
        <w:t>Inwestycje w cyfryzację przedsiębiorstw, w tym w handel elektroniczny i powstające technologie;</w:t>
      </w:r>
    </w:p>
    <w:p w14:paraId="472440C3" w14:textId="77777777" w:rsidR="004C6421" w:rsidRDefault="009D1962">
      <w:pPr>
        <w:pStyle w:val="ListParagraph"/>
        <w:numPr>
          <w:ilvl w:val="1"/>
          <w:numId w:val="107"/>
        </w:numPr>
        <w:spacing w:before="0"/>
        <w:contextualSpacing w:val="0"/>
        <w:rPr>
          <w:noProof/>
        </w:rPr>
      </w:pPr>
      <w:r>
        <w:rPr>
          <w:noProof/>
        </w:rPr>
        <w:t>Instalacja paneli fotowoltaicznych i paneli fotowoltaicznych</w:t>
      </w:r>
    </w:p>
    <w:p w14:paraId="54D5633D" w14:textId="77777777" w:rsidR="004C6421" w:rsidRDefault="009D1962">
      <w:pPr>
        <w:spacing w:before="120" w:after="120"/>
        <w:jc w:val="both"/>
        <w:rPr>
          <w:noProof/>
        </w:rPr>
      </w:pPr>
      <w:r>
        <w:rPr>
          <w:noProof/>
        </w:rPr>
        <w:t xml:space="preserve">Celem środka jest ograniczenie emisji gazów cieplarnianych, marnotrawienia żywności oraz stosowania pestycydów i środków przeciwdrobnoustrojowych, poprawa efektywności energetycznej oraz zwiększenie produkcji i wykorzystania energii ze źródeł odnawialnych.  </w:t>
      </w:r>
    </w:p>
    <w:p w14:paraId="194CF24E" w14:textId="77777777" w:rsidR="004C6421" w:rsidRDefault="009D1962">
      <w:pPr>
        <w:spacing w:after="120"/>
        <w:jc w:val="both"/>
        <w:rPr>
          <w:noProof/>
        </w:rPr>
      </w:pPr>
      <w:r>
        <w:rPr>
          <w:noProof/>
        </w:rPr>
        <w:t>W celu realizacji inwestycji w instrument Ministerstwo i ISMEA podpisują umowę wykonawczą, która zawiera następującą treść:</w:t>
      </w:r>
    </w:p>
    <w:p w14:paraId="37F85754" w14:textId="61CDD5DA" w:rsidR="004C6421" w:rsidRDefault="009D1962">
      <w:pPr>
        <w:pStyle w:val="ListParagraph"/>
        <w:numPr>
          <w:ilvl w:val="0"/>
          <w:numId w:val="106"/>
        </w:numPr>
        <w:spacing w:before="0"/>
        <w:contextualSpacing w:val="0"/>
        <w:rPr>
          <w:noProof/>
        </w:rPr>
      </w:pPr>
      <w:r>
        <w:rPr>
          <w:noProof/>
        </w:rPr>
        <w:t>Opis procesu decyzyjnego w ramach Instrumentu: Ostateczną decyzję inwestycyjną instrumentu podejmuje komitet inwestycyjny lub inny odpowiedni równoważny organ zarządzający i zatwierdza większością głosów członków niezależnych od rządu.</w:t>
      </w:r>
    </w:p>
    <w:p w14:paraId="4D3B05CF" w14:textId="77777777" w:rsidR="004C6421" w:rsidRDefault="009D1962">
      <w:pPr>
        <w:pStyle w:val="ListParagraph"/>
        <w:numPr>
          <w:ilvl w:val="0"/>
          <w:numId w:val="106"/>
        </w:numPr>
        <w:spacing w:before="0"/>
        <w:contextualSpacing w:val="0"/>
        <w:rPr>
          <w:noProof/>
        </w:rPr>
      </w:pPr>
      <w:r>
        <w:rPr>
          <w:noProof/>
        </w:rPr>
        <w:t>Kluczowe wymogi powiązanej polityki inwestycyjnej, które obejmują:</w:t>
      </w:r>
    </w:p>
    <w:p w14:paraId="6C5ABD4C" w14:textId="77777777" w:rsidR="004C6421" w:rsidRDefault="009D1962">
      <w:pPr>
        <w:pStyle w:val="ListParagraph"/>
        <w:numPr>
          <w:ilvl w:val="1"/>
          <w:numId w:val="106"/>
        </w:numPr>
        <w:spacing w:before="0"/>
        <w:contextualSpacing w:val="0"/>
        <w:rPr>
          <w:noProof/>
        </w:rPr>
      </w:pPr>
      <w:r>
        <w:rPr>
          <w:noProof/>
        </w:rPr>
        <w:t>Opis produktów finansowych i kwalifikujących się beneficjentów końcowych.</w:t>
      </w:r>
    </w:p>
    <w:p w14:paraId="701D0A69" w14:textId="77777777" w:rsidR="004C6421" w:rsidRDefault="009D1962">
      <w:pPr>
        <w:pStyle w:val="ListParagraph"/>
        <w:numPr>
          <w:ilvl w:val="1"/>
          <w:numId w:val="106"/>
        </w:numPr>
        <w:spacing w:before="0"/>
        <w:contextualSpacing w:val="0"/>
        <w:rPr>
          <w:noProof/>
        </w:rPr>
      </w:pPr>
      <w:r>
        <w:rPr>
          <w:noProof/>
        </w:rPr>
        <w:t>Wymóg, aby wszystkie wspierane inwestycje były ekonomicznie opłacalne.</w:t>
      </w:r>
    </w:p>
    <w:p w14:paraId="25255D73" w14:textId="77777777" w:rsidR="004C6421" w:rsidRDefault="009D1962">
      <w:pPr>
        <w:pStyle w:val="ListParagraph"/>
        <w:numPr>
          <w:ilvl w:val="1"/>
          <w:numId w:val="106"/>
        </w:numPr>
        <w:spacing w:before="0"/>
        <w:contextualSpacing w:val="0"/>
        <w:rPr>
          <w:noProof/>
        </w:rPr>
      </w:pPr>
      <w:r>
        <w:rPr>
          <w:noProof/>
        </w:rPr>
        <w:t>Wymóg zgodności z zasadą „nie czyń poważnych szkód” (DNSH) zgodnie z wytycznymi technicznymi dotyczącymi zasady DNSH (2021/C58/01). W szczególności polityka inwestycyjna wyłącza z kwalifikowalności następujący wykaz działań i aktywów: (i) działania i aktywa związane z paliwami kopalnymi, w tym wykorzystanie niższego szczebla;</w:t>
      </w:r>
      <w:r>
        <w:rPr>
          <w:rStyle w:val="FootnoteReference"/>
          <w:noProof/>
        </w:rPr>
        <w:footnoteReference w:id="43"/>
      </w:r>
      <w:r>
        <w:rPr>
          <w:noProof/>
        </w:rPr>
        <w:t>(ii) działania i aktywa w ramach unijnego systemu handlu uprawnieniami do emisji (ETS) prowadzące do osiągnięcia prognozowanych emisji gazów cieplarnianych, które nie są niższe niż odpowiednie wskaźniki referencyjne;</w:t>
      </w:r>
      <w:r>
        <w:rPr>
          <w:rStyle w:val="FootnoteReference"/>
          <w:noProof/>
        </w:rPr>
        <w:footnoteReference w:id="44"/>
      </w:r>
      <w:r>
        <w:rPr>
          <w:noProof/>
        </w:rPr>
        <w:t>(iii) działania i aktywa związane ze składowiskami odpadów, spalarniami</w:t>
      </w:r>
      <w:r>
        <w:rPr>
          <w:rStyle w:val="FootnoteReference"/>
          <w:noProof/>
        </w:rPr>
        <w:footnoteReference w:id="45"/>
      </w:r>
      <w:r>
        <w:rPr>
          <w:noProof/>
        </w:rPr>
        <w:t xml:space="preserve"> i zakładami mechaniczno-biologicznego przetwarzania odpadów</w:t>
      </w:r>
      <w:r>
        <w:rPr>
          <w:rStyle w:val="FootnoteReference"/>
          <w:noProof/>
        </w:rPr>
        <w:footnoteReference w:id="46"/>
      </w:r>
      <w:r>
        <w:rPr>
          <w:noProof/>
        </w:rPr>
        <w:t xml:space="preserve">. </w:t>
      </w:r>
    </w:p>
    <w:p w14:paraId="257ECFA2" w14:textId="3091F8FE" w:rsidR="004C6421" w:rsidRDefault="009D1962">
      <w:pPr>
        <w:pStyle w:val="ListParagraph"/>
        <w:numPr>
          <w:ilvl w:val="1"/>
          <w:numId w:val="106"/>
        </w:numPr>
        <w:spacing w:before="0"/>
        <w:contextualSpacing w:val="0"/>
        <w:rPr>
          <w:noProof/>
        </w:rPr>
      </w:pPr>
      <w:r>
        <w:rPr>
          <w:noProof/>
        </w:rPr>
        <w:t>Wymóg, zgodnie z którym beneficjenci końcowi Instrumentu nie mogą otrzymywać wsparcia z innych instrumentów unijnych w celu pokrycia tych samych kosztów.</w:t>
      </w:r>
    </w:p>
    <w:p w14:paraId="0CF03EF0" w14:textId="77777777" w:rsidR="004C6421" w:rsidRDefault="009D1962">
      <w:pPr>
        <w:pStyle w:val="ListParagraph"/>
        <w:numPr>
          <w:ilvl w:val="0"/>
          <w:numId w:val="106"/>
        </w:numPr>
        <w:spacing w:before="0"/>
        <w:contextualSpacing w:val="0"/>
        <w:rPr>
          <w:noProof/>
        </w:rPr>
      </w:pPr>
      <w:r>
        <w:rPr>
          <w:noProof/>
        </w:rPr>
        <w:t>Kwotę objętą umową wykonawczą, strukturę opłat dla partnera wykonawczego oraz wymóg reinwestowania wszelkich środków powracających zgodnie z polityką inwestycyjną instrumentu.</w:t>
      </w:r>
    </w:p>
    <w:p w14:paraId="77AB42CB" w14:textId="77777777" w:rsidR="004C6421" w:rsidRDefault="009D1962">
      <w:pPr>
        <w:pStyle w:val="ListParagraph"/>
        <w:numPr>
          <w:ilvl w:val="0"/>
          <w:numId w:val="106"/>
        </w:numPr>
        <w:spacing w:before="0"/>
        <w:contextualSpacing w:val="0"/>
        <w:rPr>
          <w:noProof/>
        </w:rPr>
      </w:pPr>
      <w:r>
        <w:rPr>
          <w:noProof/>
        </w:rPr>
        <w:t>Wymogi w zakresie monitorowania, audytu i kontroli, w tym:</w:t>
      </w:r>
    </w:p>
    <w:p w14:paraId="002E5C23" w14:textId="77777777" w:rsidR="004C6421" w:rsidRDefault="009D1962">
      <w:pPr>
        <w:pStyle w:val="ListParagraph"/>
        <w:numPr>
          <w:ilvl w:val="1"/>
          <w:numId w:val="106"/>
        </w:numPr>
        <w:spacing w:before="0"/>
        <w:contextualSpacing w:val="0"/>
        <w:rPr>
          <w:noProof/>
        </w:rPr>
      </w:pPr>
      <w:r>
        <w:rPr>
          <w:noProof/>
        </w:rPr>
        <w:t>Opis stosowanego przez partnera wykonawczego systemu monitorowania służącego do sprawozdawczości na temat uruchomionych inwestycji.</w:t>
      </w:r>
    </w:p>
    <w:p w14:paraId="0D915DE5" w14:textId="77777777" w:rsidR="004C6421" w:rsidRDefault="009D1962">
      <w:pPr>
        <w:pStyle w:val="ListParagraph"/>
        <w:numPr>
          <w:ilvl w:val="1"/>
          <w:numId w:val="106"/>
        </w:numPr>
        <w:spacing w:before="0"/>
        <w:contextualSpacing w:val="0"/>
        <w:rPr>
          <w:noProof/>
        </w:rPr>
      </w:pPr>
      <w:r>
        <w:rPr>
          <w:noProof/>
        </w:rPr>
        <w:t xml:space="preserve">Opis procedur partnera wykonawczego, które zapewniają zapobieganie nadużyciom finansowym, korupcji i konfliktom interesów oraz ich wykrywanie i korygowanie. </w:t>
      </w:r>
    </w:p>
    <w:p w14:paraId="1CCBCFFE" w14:textId="77777777" w:rsidR="004C6421" w:rsidRDefault="009D1962">
      <w:pPr>
        <w:pStyle w:val="ListParagraph"/>
        <w:numPr>
          <w:ilvl w:val="1"/>
          <w:numId w:val="106"/>
        </w:numPr>
        <w:spacing w:before="0"/>
        <w:contextualSpacing w:val="0"/>
        <w:rPr>
          <w:noProof/>
        </w:rPr>
      </w:pPr>
      <w:r>
        <w:rPr>
          <w:noProof/>
        </w:rPr>
        <w:t>Obowiązek weryfikacji kwalifikowalności każdej operacji zgodnie z wymogami określonymi w umowie wykonawczej przed zobowiązaniem się do finansowania danej operacji.</w:t>
      </w:r>
    </w:p>
    <w:p w14:paraId="51F71527" w14:textId="6B0A03AF" w:rsidR="004C6421" w:rsidRDefault="009D1962">
      <w:pPr>
        <w:pStyle w:val="ListParagraph"/>
        <w:numPr>
          <w:ilvl w:val="1"/>
          <w:numId w:val="106"/>
        </w:numPr>
        <w:spacing w:before="0"/>
        <w:rPr>
          <w:noProof/>
        </w:rPr>
      </w:pPr>
      <w:r>
        <w:rPr>
          <w:noProof/>
        </w:rPr>
        <w:t xml:space="preserve">Obowiązek przeprowadzania opartych na analizie ryzyka audytów ex post zgodnie z planem audytu ISMEA. Audyty te mają na celu sprawdzenie (i) skuteczności systemów kontroli, w tym wykrywania nadużyć finansowych, korupcji i konfliktu interesów; zgodność z zasadą „nie czyń poważnych szkód”, zasadami pomocy państwa, wymogami w zakresie celów klimatycznych i cyfrowych zgodnie z załącznikiem VI do rozporządzenia w sprawie RRF i załącznikiem VII do rozporządzenia w sprawie RRF; oraz (iii) wymóg, zgodnie z którym beneficjenci końcowi Instrumentu nie otrzymali wsparcia z innych instrumentów unijnych w celu pokrycia tych samych kosztów, jest spełniony. W ramach audytów sprawdza się również legalność transakcji oraz przestrzeganie warunków mających zastosowanie umów wykonawczych i umów o finansowaniu. </w:t>
      </w:r>
    </w:p>
    <w:p w14:paraId="0EF348F8" w14:textId="77777777" w:rsidR="004C6421" w:rsidRDefault="009D1962">
      <w:pPr>
        <w:pStyle w:val="ListParagraph"/>
        <w:numPr>
          <w:ilvl w:val="0"/>
          <w:numId w:val="106"/>
        </w:numPr>
        <w:spacing w:before="0"/>
        <w:contextualSpacing w:val="0"/>
        <w:rPr>
          <w:noProof/>
        </w:rPr>
      </w:pPr>
      <w:r>
        <w:rPr>
          <w:noProof/>
        </w:rPr>
        <w:t>Wymogi dotyczące inwestycji w dziedzinie klimatu realizowanych przez partnera wykonawczego: co najmniej 924 000 000,00 EUR z inwestycji RRF w Instrument przyczynia się do realizacji celów związanych ze zmianą klimatu zgodnie z załącznikiem VI do rozporządzenia w sprawie RRF.</w:t>
      </w:r>
      <w:r>
        <w:rPr>
          <w:rStyle w:val="FootnoteReference"/>
          <w:noProof/>
        </w:rPr>
        <w:footnoteReference w:id="47"/>
      </w:r>
    </w:p>
    <w:p w14:paraId="264316BB" w14:textId="7A3C417D" w:rsidR="004C6421" w:rsidRDefault="009D1962">
      <w:pPr>
        <w:spacing w:after="120"/>
        <w:jc w:val="both"/>
        <w:rPr>
          <w:rFonts w:eastAsiaTheme="minorEastAsia"/>
          <w:noProof/>
        </w:rPr>
      </w:pPr>
      <w:r>
        <w:rPr>
          <w:noProof/>
        </w:rPr>
        <w:t xml:space="preserve">Wdrażanie środka kończy się poprzez przesunięcie całkowitej kwoty zasobów na rzecz ISMEA na potrzeby Instrumentu do dnia 31 sierpnia 2026 r. </w:t>
      </w:r>
    </w:p>
    <w:p w14:paraId="76CBC618" w14:textId="77777777" w:rsidR="004C6421" w:rsidRDefault="009D1962">
      <w:pPr>
        <w:pStyle w:val="Heading3"/>
        <w:numPr>
          <w:ilvl w:val="0"/>
          <w:numId w:val="0"/>
        </w:numPr>
        <w:ind w:left="850" w:hanging="850"/>
        <w:rPr>
          <w:b/>
          <w:i w:val="0"/>
          <w:noProof/>
          <w:u w:val="single"/>
        </w:rPr>
      </w:pPr>
      <w:r>
        <w:rPr>
          <w:b/>
          <w:i w:val="0"/>
          <w:noProof/>
          <w:u w:val="single"/>
        </w:rPr>
        <w:t xml:space="preserve">D.4. </w:t>
      </w:r>
      <w:r>
        <w:rPr>
          <w:noProof/>
        </w:rPr>
        <w:t xml:space="preserve"> </w:t>
      </w:r>
      <w:r>
        <w:rPr>
          <w:b/>
          <w:i w:val="0"/>
          <w:noProof/>
          <w:u w:val="single"/>
        </w:rPr>
        <w:t xml:space="preserve">Cele pośrednie, wartości docelowe, wskaźniki i harmonogram monitorowania i realizacji pożyczki </w:t>
      </w:r>
    </w:p>
    <w:p w14:paraId="027B6F79" w14:textId="77777777" w:rsidR="004C6421" w:rsidRDefault="004C6421">
      <w:pPr>
        <w:spacing w:before="120" w:after="120"/>
        <w:ind w:left="709"/>
        <w:contextualSpacing/>
        <w:jc w:val="both"/>
        <w:rPr>
          <w:noProof/>
        </w:rPr>
      </w:pPr>
    </w:p>
    <w:p w14:paraId="54702609" w14:textId="77777777" w:rsidR="004C6421" w:rsidRDefault="004C6421">
      <w:pPr>
        <w:spacing w:before="120" w:after="120"/>
        <w:ind w:left="709"/>
        <w:contextualSpacing/>
        <w:jc w:val="both"/>
        <w:rPr>
          <w:noProof/>
        </w:rPr>
        <w:sectPr w:rsidR="004C6421" w:rsidSect="00797973">
          <w:headerReference w:type="even" r:id="rId128"/>
          <w:headerReference w:type="default" r:id="rId129"/>
          <w:footerReference w:type="even" r:id="rId130"/>
          <w:footerReference w:type="default" r:id="rId131"/>
          <w:headerReference w:type="first" r:id="rId132"/>
          <w:footerReference w:type="first" r:id="rId133"/>
          <w:pgSz w:w="11907" w:h="16839"/>
          <w:pgMar w:top="1134" w:right="1134" w:bottom="1134" w:left="1134" w:header="567" w:footer="567" w:gutter="0"/>
          <w:cols w:space="720"/>
          <w:docGrid w:linePitch="360"/>
        </w:sectPr>
      </w:pPr>
    </w:p>
    <w:tbl>
      <w:tblPr>
        <w:tblW w:w="15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1598"/>
        <w:gridCol w:w="1185"/>
        <w:gridCol w:w="1732"/>
        <w:gridCol w:w="1603"/>
        <w:gridCol w:w="1275"/>
        <w:gridCol w:w="993"/>
        <w:gridCol w:w="1162"/>
        <w:gridCol w:w="963"/>
        <w:gridCol w:w="710"/>
        <w:gridCol w:w="3174"/>
      </w:tblGrid>
      <w:tr w:rsidR="004C6421" w14:paraId="06EB57BA" w14:textId="77777777">
        <w:trPr>
          <w:trHeight w:val="939"/>
          <w:tblHeader/>
          <w:jc w:val="center"/>
        </w:trPr>
        <w:tc>
          <w:tcPr>
            <w:tcW w:w="1220" w:type="dxa"/>
            <w:vMerge w:val="restart"/>
            <w:shd w:val="clear" w:color="auto" w:fill="BDD7EE"/>
            <w:vAlign w:val="center"/>
            <w:hideMark/>
          </w:tcPr>
          <w:p w14:paraId="6D700022" w14:textId="77777777" w:rsidR="004C6421" w:rsidRDefault="009D1962">
            <w:pPr>
              <w:pStyle w:val="P68B1DB1-Normal3"/>
              <w:jc w:val="center"/>
              <w:rPr>
                <w:noProof/>
              </w:rPr>
            </w:pPr>
            <w:r>
              <w:rPr>
                <w:noProof/>
              </w:rPr>
              <w:t>Numer porządkowy</w:t>
            </w:r>
          </w:p>
        </w:tc>
        <w:tc>
          <w:tcPr>
            <w:tcW w:w="1598" w:type="dxa"/>
            <w:vMerge w:val="restart"/>
            <w:shd w:val="clear" w:color="auto" w:fill="BDD7EE"/>
            <w:vAlign w:val="center"/>
            <w:hideMark/>
          </w:tcPr>
          <w:p w14:paraId="7CC21986" w14:textId="77777777" w:rsidR="004C6421" w:rsidRDefault="009D1962">
            <w:pPr>
              <w:pStyle w:val="P68B1DB1-Normal3"/>
              <w:jc w:val="center"/>
              <w:rPr>
                <w:noProof/>
              </w:rPr>
            </w:pPr>
            <w:r>
              <w:rPr>
                <w:noProof/>
              </w:rPr>
              <w:t>Powiązane działanie (reforma lub inwestycja)</w:t>
            </w:r>
          </w:p>
        </w:tc>
        <w:tc>
          <w:tcPr>
            <w:tcW w:w="1185" w:type="dxa"/>
            <w:vMerge w:val="restart"/>
            <w:shd w:val="clear" w:color="auto" w:fill="BDD7EE"/>
            <w:vAlign w:val="center"/>
            <w:hideMark/>
          </w:tcPr>
          <w:p w14:paraId="3D5A2F94" w14:textId="77777777" w:rsidR="004C6421" w:rsidRDefault="009D1962">
            <w:pPr>
              <w:pStyle w:val="P68B1DB1-Normal3"/>
              <w:jc w:val="center"/>
              <w:rPr>
                <w:noProof/>
              </w:rPr>
            </w:pPr>
            <w:r>
              <w:rPr>
                <w:noProof/>
              </w:rPr>
              <w:t>Kamień milowy/wartość docelowa</w:t>
            </w:r>
          </w:p>
        </w:tc>
        <w:tc>
          <w:tcPr>
            <w:tcW w:w="1732" w:type="dxa"/>
            <w:vMerge w:val="restart"/>
            <w:shd w:val="clear" w:color="auto" w:fill="BDD7EE"/>
            <w:vAlign w:val="center"/>
            <w:hideMark/>
          </w:tcPr>
          <w:p w14:paraId="47E00B05" w14:textId="77777777" w:rsidR="004C6421" w:rsidRDefault="009D1962">
            <w:pPr>
              <w:pStyle w:val="P68B1DB1-Normal3"/>
              <w:jc w:val="center"/>
              <w:rPr>
                <w:noProof/>
              </w:rPr>
            </w:pPr>
            <w:r>
              <w:rPr>
                <w:noProof/>
              </w:rPr>
              <w:t>Nazwa</w:t>
            </w:r>
          </w:p>
        </w:tc>
        <w:tc>
          <w:tcPr>
            <w:tcW w:w="1603" w:type="dxa"/>
            <w:vMerge w:val="restart"/>
            <w:shd w:val="clear" w:color="auto" w:fill="BDD7EE"/>
            <w:vAlign w:val="center"/>
            <w:hideMark/>
          </w:tcPr>
          <w:p w14:paraId="791398E1" w14:textId="77777777" w:rsidR="004C6421" w:rsidRDefault="009D1962">
            <w:pPr>
              <w:jc w:val="center"/>
              <w:rPr>
                <w:rFonts w:ascii="Arial Narrow" w:hAnsi="Arial Narrow"/>
                <w:b/>
                <w:noProof/>
                <w:sz w:val="20"/>
              </w:rPr>
            </w:pPr>
            <w:r>
              <w:rPr>
                <w:rFonts w:ascii="Arial Narrow" w:hAnsi="Arial Narrow"/>
                <w:b/>
                <w:noProof/>
                <w:sz w:val="20"/>
              </w:rPr>
              <w:t xml:space="preserve">Wskaźniki jakościowe </w:t>
            </w:r>
            <w:r>
              <w:rPr>
                <w:rFonts w:ascii="Arial Narrow" w:hAnsi="Arial Narrow"/>
                <w:noProof/>
              </w:rPr>
              <w:t xml:space="preserve"> </w:t>
            </w:r>
            <w:r>
              <w:rPr>
                <w:noProof/>
              </w:rPr>
              <w:t xml:space="preserve">  </w:t>
            </w:r>
            <w:r>
              <w:rPr>
                <w:noProof/>
              </w:rPr>
              <w:br/>
            </w:r>
            <w:r>
              <w:rPr>
                <w:rFonts w:ascii="Arial Narrow" w:hAnsi="Arial Narrow"/>
                <w:b/>
                <w:noProof/>
                <w:sz w:val="20"/>
              </w:rPr>
              <w:t>(dla kamieni milowych)</w:t>
            </w:r>
          </w:p>
        </w:tc>
        <w:tc>
          <w:tcPr>
            <w:tcW w:w="3430" w:type="dxa"/>
            <w:gridSpan w:val="3"/>
            <w:shd w:val="clear" w:color="auto" w:fill="BDD7EE"/>
            <w:vAlign w:val="center"/>
            <w:hideMark/>
          </w:tcPr>
          <w:p w14:paraId="7FDCD650" w14:textId="77777777" w:rsidR="004C6421" w:rsidRDefault="009D1962">
            <w:pPr>
              <w:jc w:val="center"/>
              <w:rPr>
                <w:rFonts w:ascii="Arial Narrow" w:hAnsi="Arial Narrow"/>
                <w:b/>
                <w:noProof/>
                <w:sz w:val="20"/>
              </w:rPr>
            </w:pPr>
            <w:r>
              <w:rPr>
                <w:rFonts w:ascii="Arial Narrow" w:hAnsi="Arial Narrow"/>
                <w:b/>
                <w:noProof/>
                <w:sz w:val="20"/>
              </w:rPr>
              <w:t xml:space="preserve">Wskaźniki ilościowe </w:t>
            </w:r>
            <w:r>
              <w:rPr>
                <w:rFonts w:ascii="Arial Narrow" w:hAnsi="Arial Narrow"/>
                <w:noProof/>
              </w:rPr>
              <w:t xml:space="preserve"> </w:t>
            </w:r>
            <w:r>
              <w:rPr>
                <w:noProof/>
              </w:rPr>
              <w:t xml:space="preserve">  </w:t>
            </w:r>
            <w:r>
              <w:rPr>
                <w:noProof/>
              </w:rPr>
              <w:br/>
            </w:r>
            <w:r>
              <w:rPr>
                <w:rFonts w:ascii="Arial Narrow" w:hAnsi="Arial Narrow"/>
                <w:b/>
                <w:noProof/>
                <w:sz w:val="20"/>
              </w:rPr>
              <w:t>(dla wartości docelowych)</w:t>
            </w:r>
          </w:p>
        </w:tc>
        <w:tc>
          <w:tcPr>
            <w:tcW w:w="1673" w:type="dxa"/>
            <w:gridSpan w:val="2"/>
            <w:shd w:val="clear" w:color="auto" w:fill="BDD7EE"/>
            <w:vAlign w:val="center"/>
            <w:hideMark/>
          </w:tcPr>
          <w:p w14:paraId="5616AE87" w14:textId="77777777" w:rsidR="004C6421" w:rsidRDefault="009D1962">
            <w:pPr>
              <w:pStyle w:val="P68B1DB1-Normal3"/>
              <w:jc w:val="center"/>
              <w:rPr>
                <w:noProof/>
              </w:rPr>
            </w:pPr>
            <w:r>
              <w:rPr>
                <w:noProof/>
              </w:rPr>
              <w:t>Orientacyjny harmonogram zakończenia działania</w:t>
            </w:r>
          </w:p>
        </w:tc>
        <w:tc>
          <w:tcPr>
            <w:tcW w:w="3174" w:type="dxa"/>
            <w:vMerge w:val="restart"/>
            <w:shd w:val="clear" w:color="auto" w:fill="BDD7EE"/>
            <w:vAlign w:val="center"/>
            <w:hideMark/>
          </w:tcPr>
          <w:p w14:paraId="3F324770" w14:textId="77777777" w:rsidR="004C6421" w:rsidRDefault="009D1962">
            <w:pPr>
              <w:pStyle w:val="P68B1DB1-Normal3"/>
              <w:jc w:val="center"/>
              <w:rPr>
                <w:noProof/>
              </w:rPr>
            </w:pPr>
            <w:r>
              <w:rPr>
                <w:noProof/>
              </w:rPr>
              <w:t>Opis każdego kamienia milowego i każdej wartości docelowej</w:t>
            </w:r>
          </w:p>
        </w:tc>
      </w:tr>
      <w:tr w:rsidR="004C6421" w14:paraId="6635EF67" w14:textId="77777777">
        <w:trPr>
          <w:trHeight w:val="739"/>
          <w:tblHeader/>
          <w:jc w:val="center"/>
        </w:trPr>
        <w:tc>
          <w:tcPr>
            <w:tcW w:w="1220" w:type="dxa"/>
            <w:vMerge/>
            <w:vAlign w:val="center"/>
            <w:hideMark/>
          </w:tcPr>
          <w:p w14:paraId="0D912B5A" w14:textId="77777777" w:rsidR="004C6421" w:rsidRDefault="004C6421">
            <w:pPr>
              <w:jc w:val="center"/>
              <w:rPr>
                <w:rFonts w:ascii="Arial Narrow" w:hAnsi="Arial Narrow"/>
                <w:b/>
                <w:noProof/>
                <w:sz w:val="20"/>
              </w:rPr>
            </w:pPr>
          </w:p>
        </w:tc>
        <w:tc>
          <w:tcPr>
            <w:tcW w:w="1598" w:type="dxa"/>
            <w:vMerge/>
            <w:vAlign w:val="center"/>
            <w:hideMark/>
          </w:tcPr>
          <w:p w14:paraId="1538D8B1" w14:textId="77777777" w:rsidR="004C6421" w:rsidRDefault="004C6421">
            <w:pPr>
              <w:jc w:val="center"/>
              <w:rPr>
                <w:rFonts w:ascii="Arial Narrow" w:hAnsi="Arial Narrow"/>
                <w:b/>
                <w:noProof/>
                <w:sz w:val="20"/>
              </w:rPr>
            </w:pPr>
          </w:p>
        </w:tc>
        <w:tc>
          <w:tcPr>
            <w:tcW w:w="1185" w:type="dxa"/>
            <w:vMerge/>
            <w:vAlign w:val="center"/>
            <w:hideMark/>
          </w:tcPr>
          <w:p w14:paraId="40DDAC3B" w14:textId="77777777" w:rsidR="004C6421" w:rsidRDefault="004C6421">
            <w:pPr>
              <w:jc w:val="center"/>
              <w:rPr>
                <w:rFonts w:ascii="Arial Narrow" w:hAnsi="Arial Narrow"/>
                <w:b/>
                <w:noProof/>
                <w:sz w:val="20"/>
              </w:rPr>
            </w:pPr>
          </w:p>
        </w:tc>
        <w:tc>
          <w:tcPr>
            <w:tcW w:w="1732" w:type="dxa"/>
            <w:vMerge/>
            <w:vAlign w:val="center"/>
            <w:hideMark/>
          </w:tcPr>
          <w:p w14:paraId="13253A8A" w14:textId="77777777" w:rsidR="004C6421" w:rsidRDefault="004C6421">
            <w:pPr>
              <w:jc w:val="center"/>
              <w:rPr>
                <w:rFonts w:ascii="Arial Narrow" w:hAnsi="Arial Narrow"/>
                <w:b/>
                <w:noProof/>
                <w:sz w:val="20"/>
              </w:rPr>
            </w:pPr>
          </w:p>
        </w:tc>
        <w:tc>
          <w:tcPr>
            <w:tcW w:w="1603" w:type="dxa"/>
            <w:vMerge/>
            <w:vAlign w:val="center"/>
            <w:hideMark/>
          </w:tcPr>
          <w:p w14:paraId="16437137" w14:textId="77777777" w:rsidR="004C6421" w:rsidRDefault="004C6421">
            <w:pPr>
              <w:jc w:val="center"/>
              <w:rPr>
                <w:rFonts w:ascii="Arial Narrow" w:hAnsi="Arial Narrow"/>
                <w:b/>
                <w:noProof/>
                <w:sz w:val="20"/>
              </w:rPr>
            </w:pPr>
          </w:p>
        </w:tc>
        <w:tc>
          <w:tcPr>
            <w:tcW w:w="1275" w:type="dxa"/>
            <w:shd w:val="clear" w:color="auto" w:fill="BDD7EE"/>
            <w:vAlign w:val="center"/>
            <w:hideMark/>
          </w:tcPr>
          <w:p w14:paraId="345AFD7C" w14:textId="77777777" w:rsidR="004C6421" w:rsidRDefault="009D1962">
            <w:pPr>
              <w:pStyle w:val="P68B1DB1-Normal3"/>
              <w:jc w:val="center"/>
              <w:rPr>
                <w:noProof/>
              </w:rPr>
            </w:pPr>
            <w:r>
              <w:rPr>
                <w:noProof/>
              </w:rPr>
              <w:t>Jednostka miary</w:t>
            </w:r>
          </w:p>
        </w:tc>
        <w:tc>
          <w:tcPr>
            <w:tcW w:w="993" w:type="dxa"/>
            <w:shd w:val="clear" w:color="auto" w:fill="BDD7EE"/>
            <w:vAlign w:val="center"/>
            <w:hideMark/>
          </w:tcPr>
          <w:p w14:paraId="21BB41DC" w14:textId="77777777" w:rsidR="004C6421" w:rsidRDefault="009D1962">
            <w:pPr>
              <w:pStyle w:val="P68B1DB1-Normal3"/>
              <w:jc w:val="center"/>
              <w:rPr>
                <w:noProof/>
              </w:rPr>
            </w:pPr>
            <w:r>
              <w:rPr>
                <w:noProof/>
              </w:rPr>
              <w:t>Bazowy</w:t>
            </w:r>
          </w:p>
        </w:tc>
        <w:tc>
          <w:tcPr>
            <w:tcW w:w="1162" w:type="dxa"/>
            <w:shd w:val="clear" w:color="auto" w:fill="BDD7EE"/>
            <w:vAlign w:val="center"/>
            <w:hideMark/>
          </w:tcPr>
          <w:p w14:paraId="27DA5729" w14:textId="77777777" w:rsidR="004C6421" w:rsidRDefault="009D1962">
            <w:pPr>
              <w:pStyle w:val="P68B1DB1-Normal3"/>
              <w:jc w:val="center"/>
              <w:rPr>
                <w:noProof/>
              </w:rPr>
            </w:pPr>
            <w:r>
              <w:rPr>
                <w:noProof/>
              </w:rPr>
              <w:t>Cel</w:t>
            </w:r>
          </w:p>
        </w:tc>
        <w:tc>
          <w:tcPr>
            <w:tcW w:w="963" w:type="dxa"/>
            <w:shd w:val="clear" w:color="auto" w:fill="BDD7EE"/>
            <w:vAlign w:val="center"/>
            <w:hideMark/>
          </w:tcPr>
          <w:p w14:paraId="7E4E893F" w14:textId="77777777" w:rsidR="004C6421" w:rsidRDefault="009D1962">
            <w:pPr>
              <w:pStyle w:val="P68B1DB1-Normal3"/>
              <w:jc w:val="center"/>
              <w:rPr>
                <w:noProof/>
              </w:rPr>
            </w:pPr>
            <w:r>
              <w:rPr>
                <w:noProof/>
              </w:rPr>
              <w:t>Kwartał</w:t>
            </w:r>
          </w:p>
        </w:tc>
        <w:tc>
          <w:tcPr>
            <w:tcW w:w="710" w:type="dxa"/>
            <w:shd w:val="clear" w:color="auto" w:fill="BDD7EE"/>
            <w:vAlign w:val="center"/>
            <w:hideMark/>
          </w:tcPr>
          <w:p w14:paraId="25F42F6C" w14:textId="77777777" w:rsidR="004C6421" w:rsidRDefault="009D1962">
            <w:pPr>
              <w:pStyle w:val="P68B1DB1-Normal3"/>
              <w:jc w:val="center"/>
              <w:rPr>
                <w:noProof/>
              </w:rPr>
            </w:pPr>
            <w:r>
              <w:rPr>
                <w:noProof/>
              </w:rPr>
              <w:t>Rok</w:t>
            </w:r>
          </w:p>
        </w:tc>
        <w:tc>
          <w:tcPr>
            <w:tcW w:w="3174" w:type="dxa"/>
            <w:vMerge/>
            <w:vAlign w:val="center"/>
            <w:hideMark/>
          </w:tcPr>
          <w:p w14:paraId="23CC0DB0" w14:textId="77777777" w:rsidR="004C6421" w:rsidRDefault="004C6421">
            <w:pPr>
              <w:rPr>
                <w:rFonts w:ascii="Arial Narrow" w:hAnsi="Arial Narrow"/>
                <w:b/>
                <w:noProof/>
                <w:sz w:val="20"/>
              </w:rPr>
            </w:pPr>
          </w:p>
        </w:tc>
      </w:tr>
      <w:tr w:rsidR="004C6421" w14:paraId="0DBD04F5" w14:textId="77777777">
        <w:trPr>
          <w:trHeight w:val="313"/>
          <w:jc w:val="center"/>
        </w:trPr>
        <w:tc>
          <w:tcPr>
            <w:tcW w:w="1220" w:type="dxa"/>
            <w:shd w:val="clear" w:color="auto" w:fill="C6EFCE"/>
            <w:noWrap/>
            <w:vAlign w:val="center"/>
          </w:tcPr>
          <w:p w14:paraId="3E2E33C9" w14:textId="77777777" w:rsidR="004C6421" w:rsidRDefault="009D1962">
            <w:pPr>
              <w:pStyle w:val="P68B1DB1-Normal4"/>
              <w:spacing w:line="276" w:lineRule="auto"/>
              <w:jc w:val="center"/>
              <w:rPr>
                <w:noProof/>
              </w:rPr>
            </w:pPr>
            <w:r>
              <w:rPr>
                <w:noProof/>
              </w:rPr>
              <w:t>M2C1-13</w:t>
            </w:r>
          </w:p>
        </w:tc>
        <w:tc>
          <w:tcPr>
            <w:tcW w:w="1598" w:type="dxa"/>
            <w:shd w:val="clear" w:color="auto" w:fill="C6EFCE"/>
            <w:noWrap/>
            <w:vAlign w:val="center"/>
          </w:tcPr>
          <w:p w14:paraId="0D85790B" w14:textId="77777777" w:rsidR="004C6421" w:rsidRDefault="009D1962">
            <w:pPr>
              <w:pStyle w:val="P68B1DB1-Normal4"/>
              <w:spacing w:line="276" w:lineRule="auto"/>
              <w:jc w:val="center"/>
              <w:rPr>
                <w:noProof/>
              </w:rPr>
            </w:pPr>
            <w:r>
              <w:rPr>
                <w:noProof/>
              </w:rPr>
              <w:t>Reforma 1.2 – Krajowy program gospodarowania odpadami</w:t>
            </w:r>
          </w:p>
        </w:tc>
        <w:tc>
          <w:tcPr>
            <w:tcW w:w="1185" w:type="dxa"/>
            <w:shd w:val="clear" w:color="auto" w:fill="C6EFCE"/>
            <w:noWrap/>
            <w:vAlign w:val="center"/>
          </w:tcPr>
          <w:p w14:paraId="5481585D" w14:textId="51682C49" w:rsidR="004C6421" w:rsidRDefault="00CC179E">
            <w:pPr>
              <w:pStyle w:val="P68B1DB1-Normal4"/>
              <w:spacing w:line="276" w:lineRule="auto"/>
              <w:jc w:val="center"/>
              <w:rPr>
                <w:noProof/>
              </w:rPr>
            </w:pPr>
            <w:r>
              <w:rPr>
                <w:noProof/>
              </w:rPr>
              <w:t>Milowy</w:t>
            </w:r>
          </w:p>
        </w:tc>
        <w:tc>
          <w:tcPr>
            <w:tcW w:w="1732" w:type="dxa"/>
            <w:shd w:val="clear" w:color="auto" w:fill="C6EFCE"/>
            <w:noWrap/>
            <w:vAlign w:val="center"/>
          </w:tcPr>
          <w:p w14:paraId="0127B890" w14:textId="77777777" w:rsidR="004C6421" w:rsidRDefault="009D1962">
            <w:pPr>
              <w:pStyle w:val="P68B1DB1-Normal4"/>
              <w:spacing w:line="276" w:lineRule="auto"/>
              <w:jc w:val="center"/>
              <w:rPr>
                <w:noProof/>
              </w:rPr>
            </w:pPr>
            <w:r>
              <w:rPr>
                <w:noProof/>
              </w:rPr>
              <w:t>Wejście w życie dekretu ministerialnego w sprawie krajowego programu gospodarowania odpadami</w:t>
            </w:r>
          </w:p>
        </w:tc>
        <w:tc>
          <w:tcPr>
            <w:tcW w:w="1603" w:type="dxa"/>
            <w:shd w:val="clear" w:color="auto" w:fill="C6EFCE"/>
            <w:noWrap/>
            <w:vAlign w:val="center"/>
          </w:tcPr>
          <w:p w14:paraId="6BE01871" w14:textId="77777777" w:rsidR="004C6421" w:rsidRDefault="009D1962">
            <w:pPr>
              <w:pStyle w:val="P68B1DB1-Normal4"/>
              <w:spacing w:line="276" w:lineRule="auto"/>
              <w:jc w:val="center"/>
              <w:rPr>
                <w:noProof/>
              </w:rPr>
            </w:pPr>
            <w:r>
              <w:rPr>
                <w:noProof/>
              </w:rPr>
              <w:t>Przepis w aktach prawnych wskazujący na wejście w życie</w:t>
            </w:r>
          </w:p>
        </w:tc>
        <w:tc>
          <w:tcPr>
            <w:tcW w:w="1275" w:type="dxa"/>
            <w:shd w:val="clear" w:color="auto" w:fill="C6EFCE"/>
            <w:noWrap/>
            <w:vAlign w:val="center"/>
          </w:tcPr>
          <w:p w14:paraId="0F16A6BC" w14:textId="77777777" w:rsidR="004C6421" w:rsidRDefault="009D1962">
            <w:pPr>
              <w:pStyle w:val="P68B1DB1-Normal4"/>
              <w:spacing w:line="276" w:lineRule="auto"/>
              <w:jc w:val="center"/>
              <w:rPr>
                <w:noProof/>
              </w:rPr>
            </w:pPr>
            <w:r>
              <w:rPr>
                <w:noProof/>
              </w:rPr>
              <w:t>NIE DOT.</w:t>
            </w:r>
          </w:p>
        </w:tc>
        <w:tc>
          <w:tcPr>
            <w:tcW w:w="993" w:type="dxa"/>
            <w:shd w:val="clear" w:color="auto" w:fill="C6EFCE"/>
            <w:noWrap/>
            <w:vAlign w:val="center"/>
          </w:tcPr>
          <w:p w14:paraId="730726BA" w14:textId="77777777" w:rsidR="004C6421" w:rsidRDefault="009D1962">
            <w:pPr>
              <w:pStyle w:val="P68B1DB1-Normal4"/>
              <w:spacing w:line="276" w:lineRule="auto"/>
              <w:jc w:val="center"/>
              <w:rPr>
                <w:noProof/>
              </w:rPr>
            </w:pPr>
            <w:r>
              <w:rPr>
                <w:noProof/>
              </w:rPr>
              <w:t>NIE DOT.</w:t>
            </w:r>
          </w:p>
        </w:tc>
        <w:tc>
          <w:tcPr>
            <w:tcW w:w="1162" w:type="dxa"/>
            <w:shd w:val="clear" w:color="auto" w:fill="C6EFCE"/>
            <w:noWrap/>
            <w:vAlign w:val="center"/>
          </w:tcPr>
          <w:p w14:paraId="7465A2C1" w14:textId="77777777" w:rsidR="004C6421" w:rsidRDefault="009D1962">
            <w:pPr>
              <w:pStyle w:val="P68B1DB1-Normal4"/>
              <w:spacing w:line="276" w:lineRule="auto"/>
              <w:jc w:val="center"/>
              <w:rPr>
                <w:noProof/>
              </w:rPr>
            </w:pPr>
            <w:r>
              <w:rPr>
                <w:noProof/>
              </w:rPr>
              <w:t>NIE DOT.</w:t>
            </w:r>
          </w:p>
        </w:tc>
        <w:tc>
          <w:tcPr>
            <w:tcW w:w="963" w:type="dxa"/>
            <w:shd w:val="clear" w:color="auto" w:fill="C6EFCE"/>
            <w:noWrap/>
            <w:vAlign w:val="center"/>
          </w:tcPr>
          <w:p w14:paraId="7A21C99C" w14:textId="77777777" w:rsidR="004C6421" w:rsidRDefault="009D1962">
            <w:pPr>
              <w:pStyle w:val="P68B1DB1-Normal4"/>
              <w:spacing w:line="276" w:lineRule="auto"/>
              <w:jc w:val="center"/>
              <w:rPr>
                <w:noProof/>
              </w:rPr>
            </w:pPr>
            <w:r>
              <w:rPr>
                <w:noProof/>
              </w:rPr>
              <w:t>II KW.</w:t>
            </w:r>
          </w:p>
        </w:tc>
        <w:tc>
          <w:tcPr>
            <w:tcW w:w="710" w:type="dxa"/>
            <w:shd w:val="clear" w:color="auto" w:fill="C6EFCE"/>
            <w:noWrap/>
            <w:vAlign w:val="center"/>
          </w:tcPr>
          <w:p w14:paraId="7D405D7B" w14:textId="77777777" w:rsidR="004C6421" w:rsidRDefault="009D1962">
            <w:pPr>
              <w:pStyle w:val="P68B1DB1-Normal4"/>
              <w:spacing w:line="276" w:lineRule="auto"/>
              <w:rPr>
                <w:noProof/>
              </w:rPr>
            </w:pPr>
            <w:r>
              <w:rPr>
                <w:noProof/>
              </w:rPr>
              <w:t>2022</w:t>
            </w:r>
          </w:p>
        </w:tc>
        <w:tc>
          <w:tcPr>
            <w:tcW w:w="3174" w:type="dxa"/>
            <w:shd w:val="clear" w:color="auto" w:fill="C6EFCE"/>
            <w:noWrap/>
            <w:vAlign w:val="center"/>
          </w:tcPr>
          <w:p w14:paraId="294F229C" w14:textId="77777777" w:rsidR="004C6421" w:rsidRDefault="009D1962">
            <w:pPr>
              <w:pStyle w:val="P68B1DB1-Normal4"/>
              <w:spacing w:before="120" w:after="120" w:line="276" w:lineRule="auto"/>
              <w:rPr>
                <w:noProof/>
              </w:rPr>
            </w:pPr>
            <w:r>
              <w:rPr>
                <w:noProof/>
              </w:rPr>
              <w:t>Dekret ministerialny dotyczący Krajowego Programu Gospodarki Odpadami zawiera co najmniej następujące cele:</w:t>
            </w:r>
          </w:p>
          <w:p w14:paraId="5BEF75F0" w14:textId="77777777" w:rsidR="004C6421" w:rsidRDefault="009D1962">
            <w:pPr>
              <w:pStyle w:val="P68B1DB1-Normal4"/>
              <w:spacing w:line="276" w:lineRule="auto"/>
              <w:rPr>
                <w:noProof/>
              </w:rPr>
            </w:pPr>
            <w:r>
              <w:rPr>
                <w:noProof/>
              </w:rPr>
              <w:t>osiągnięcie najwyższych poziomów przygotowania do ponownego użycia, recyklingu i odzysku odpadów, osiągnięcie co najmniej celów określonych w art. 181 dekretu ustawodawczego 152/06 oraz uwzględnienie systemów rozszerzonej odpowiedzialności producenta;</w:t>
            </w:r>
          </w:p>
          <w:p w14:paraId="0C8C6C08" w14:textId="77777777" w:rsidR="004C6421" w:rsidRDefault="009D1962">
            <w:pPr>
              <w:pStyle w:val="P68B1DB1-Normal4"/>
              <w:numPr>
                <w:ilvl w:val="0"/>
                <w:numId w:val="64"/>
              </w:numPr>
              <w:spacing w:before="120" w:line="276" w:lineRule="auto"/>
              <w:ind w:left="244" w:hanging="244"/>
              <w:contextualSpacing/>
              <w:rPr>
                <w:noProof/>
              </w:rPr>
            </w:pPr>
            <w:r>
              <w:rPr>
                <w:noProof/>
              </w:rPr>
              <w:t>dostosowanie sieci instalacji niezbędnych do zintegrowanego gospodarowania odpadami – z myślą o rozwoju gospodarki o obiegu zamkniętym – zapewnienie zdolności niezbędnych do osiągnięcia celów określonych w lit. a), a w konsekwencji ograniczenie do minimum ostatecznego składowania jako opcji ostatecznej i resztkowej, zgodnie z zasadą bliskości i z uwzględnieniem celów zapobiegania określonych w kontekście krajowego planowania zapobiegania powstawaniu odpadów przewidzianego w art. 180 dekretu ustawodawczego 152/06;</w:t>
            </w:r>
          </w:p>
          <w:p w14:paraId="02191B58" w14:textId="77777777" w:rsidR="004C6421" w:rsidRDefault="009D1962">
            <w:pPr>
              <w:pStyle w:val="P68B1DB1-Normal4"/>
              <w:numPr>
                <w:ilvl w:val="0"/>
                <w:numId w:val="64"/>
              </w:numPr>
              <w:spacing w:before="120" w:line="276" w:lineRule="auto"/>
              <w:ind w:left="244" w:hanging="244"/>
              <w:contextualSpacing/>
              <w:rPr>
                <w:noProof/>
              </w:rPr>
            </w:pPr>
            <w:r>
              <w:rPr>
                <w:noProof/>
              </w:rPr>
              <w:t>ustanowienie odpowiedniego monitorowania realizacji programu, aby umożliwić stałą weryfikację zgodności z jego celami oraz ewentualnej konieczności przyjęcia narzędzi naprawczych w celu realizacji planowanych działań;</w:t>
            </w:r>
          </w:p>
          <w:p w14:paraId="183AA76F" w14:textId="77777777" w:rsidR="004C6421" w:rsidRDefault="009D1962">
            <w:pPr>
              <w:pStyle w:val="P68B1DB1-Normal4"/>
              <w:numPr>
                <w:ilvl w:val="0"/>
                <w:numId w:val="64"/>
              </w:numPr>
              <w:spacing w:before="120" w:line="276" w:lineRule="auto"/>
              <w:ind w:left="244" w:hanging="244"/>
              <w:contextualSpacing/>
              <w:rPr>
                <w:noProof/>
              </w:rPr>
            </w:pPr>
            <w:r>
              <w:rPr>
                <w:noProof/>
              </w:rPr>
              <w:t>należy zapobiec wszczynaniu nowych postępowań w sprawie uchybienia zobowiązaniom państwa członkowskiego przeciwko Republice Włoskiej w związku z niewdrożeniem europejskich przepisów dotyczących planowania cyklu odpadów;</w:t>
            </w:r>
          </w:p>
          <w:p w14:paraId="1D36041A" w14:textId="77777777" w:rsidR="004C6421" w:rsidRDefault="009D1962">
            <w:pPr>
              <w:pStyle w:val="P68B1DB1-Normal4"/>
              <w:numPr>
                <w:ilvl w:val="0"/>
                <w:numId w:val="64"/>
              </w:numPr>
              <w:spacing w:before="120" w:line="276" w:lineRule="auto"/>
              <w:ind w:left="244" w:hanging="244"/>
              <w:contextualSpacing/>
              <w:rPr>
                <w:noProof/>
              </w:rPr>
            </w:pPr>
            <w:r>
              <w:rPr>
                <w:noProof/>
              </w:rPr>
              <w:t>rozwiązanie problemu niskiego poziomu zbierania odpadów i zniechęcanie do składowania odpadów (zob. również krajowa strategia na rzecz gospodarki o obiegu zamkniętym);</w:t>
            </w:r>
          </w:p>
          <w:p w14:paraId="3C481B75" w14:textId="77777777" w:rsidR="004C6421" w:rsidRDefault="009D1962">
            <w:pPr>
              <w:pStyle w:val="P68B1DB1-Normal4"/>
              <w:numPr>
                <w:ilvl w:val="0"/>
                <w:numId w:val="64"/>
              </w:numPr>
              <w:spacing w:before="120" w:line="276" w:lineRule="auto"/>
              <w:ind w:left="244" w:hanging="244"/>
              <w:contextualSpacing/>
              <w:rPr>
                <w:noProof/>
              </w:rPr>
            </w:pPr>
            <w:r>
              <w:rPr>
                <w:noProof/>
              </w:rPr>
              <w:t>regionalny zakład gospodarowania odpadami stanowi uzupełnienie krajowego programu gospodarowania odpadami;</w:t>
            </w:r>
          </w:p>
          <w:p w14:paraId="35523251" w14:textId="77777777" w:rsidR="004C6421" w:rsidRDefault="009D1962">
            <w:pPr>
              <w:pStyle w:val="P68B1DB1-Normal4"/>
              <w:numPr>
                <w:ilvl w:val="0"/>
                <w:numId w:val="64"/>
              </w:numPr>
              <w:spacing w:before="120" w:line="276" w:lineRule="auto"/>
              <w:ind w:left="244" w:hanging="244"/>
              <w:contextualSpacing/>
              <w:rPr>
                <w:noProof/>
              </w:rPr>
            </w:pPr>
            <w:r>
              <w:rPr>
                <w:noProof/>
              </w:rPr>
              <w:t>zniwelowanie luk w gospodarowaniu odpadami i podziałów regionalnych w odniesieniu do przepustowości instalacji i norm jakości istniejących między poszczególnymi regionami i obszarami na terytorium kraju w celu odzyskania opóźnień;</w:t>
            </w:r>
          </w:p>
          <w:p w14:paraId="2D612CF6" w14:textId="77777777" w:rsidR="004C6421" w:rsidRDefault="009D1962">
            <w:pPr>
              <w:pStyle w:val="P68B1DB1-Normal4"/>
              <w:numPr>
                <w:ilvl w:val="0"/>
                <w:numId w:val="64"/>
              </w:numPr>
              <w:spacing w:before="120" w:line="276" w:lineRule="auto"/>
              <w:ind w:left="244" w:hanging="244"/>
              <w:contextualSpacing/>
              <w:rPr>
                <w:noProof/>
              </w:rPr>
            </w:pPr>
            <w:r>
              <w:rPr>
                <w:noProof/>
              </w:rPr>
              <w:t>osiągnięcie obecnych i nowych celów przewidzianych w prawodawstwie europejskim i krajowym;</w:t>
            </w:r>
          </w:p>
          <w:p w14:paraId="0406A38D" w14:textId="77777777" w:rsidR="004C6421" w:rsidRDefault="009D1962">
            <w:pPr>
              <w:pStyle w:val="P68B1DB1-Normal4"/>
              <w:numPr>
                <w:ilvl w:val="0"/>
                <w:numId w:val="64"/>
              </w:numPr>
              <w:spacing w:before="120" w:line="276" w:lineRule="auto"/>
              <w:ind w:left="244" w:hanging="244"/>
              <w:contextualSpacing/>
              <w:rPr>
                <w:noProof/>
              </w:rPr>
            </w:pPr>
            <w:r>
              <w:rPr>
                <w:noProof/>
              </w:rPr>
              <w:t>aby rozwiązać problem nielegalnego składowania odpadów i spalania na otwartej przestrzeni (np. na obszarze Terra dei Fuochi) za pomocą środków, w tym wprowadzenia nowego systemu identyfikowalności odpadów, wspieranego globalnego systemu monitorowania, aby stawić czoła nielegalnemu składowi odpadów, należy opracować satelity, drony i technologie sztucznej inteligencji (AI).</w:t>
            </w:r>
          </w:p>
        </w:tc>
      </w:tr>
      <w:tr w:rsidR="004C6421" w14:paraId="029091A2" w14:textId="77777777">
        <w:trPr>
          <w:trHeight w:val="313"/>
          <w:jc w:val="center"/>
        </w:trPr>
        <w:tc>
          <w:tcPr>
            <w:tcW w:w="1220" w:type="dxa"/>
            <w:shd w:val="clear" w:color="auto" w:fill="C6EFCE"/>
            <w:noWrap/>
            <w:vAlign w:val="center"/>
          </w:tcPr>
          <w:p w14:paraId="2773EF57" w14:textId="77777777" w:rsidR="004C6421" w:rsidRDefault="009D1962">
            <w:pPr>
              <w:pStyle w:val="P68B1DB1-Normal4"/>
              <w:spacing w:line="276" w:lineRule="auto"/>
              <w:jc w:val="center"/>
              <w:rPr>
                <w:noProof/>
              </w:rPr>
            </w:pPr>
            <w:r>
              <w:rPr>
                <w:noProof/>
              </w:rPr>
              <w:t>M2C1-14</w:t>
            </w:r>
          </w:p>
        </w:tc>
        <w:tc>
          <w:tcPr>
            <w:tcW w:w="1598" w:type="dxa"/>
            <w:shd w:val="clear" w:color="auto" w:fill="C6EFCE"/>
            <w:noWrap/>
            <w:vAlign w:val="center"/>
          </w:tcPr>
          <w:p w14:paraId="25B1A942" w14:textId="77777777" w:rsidR="004C6421" w:rsidRDefault="009D1962">
            <w:pPr>
              <w:pStyle w:val="P68B1DB1-Normal4"/>
              <w:spacing w:line="276" w:lineRule="auto"/>
              <w:jc w:val="center"/>
              <w:rPr>
                <w:noProof/>
              </w:rPr>
            </w:pPr>
            <w:r>
              <w:rPr>
                <w:noProof/>
              </w:rPr>
              <w:t>Inwestycja 1.1 – Wdrażanie nowych zakładów gospodarki odpadami i modernizacja istniejących obiektów;</w:t>
            </w:r>
          </w:p>
          <w:p w14:paraId="2BB71BD9" w14:textId="77777777" w:rsidR="004C6421" w:rsidRDefault="009D1962">
            <w:pPr>
              <w:pStyle w:val="P68B1DB1-Normal4"/>
              <w:spacing w:line="276" w:lineRule="auto"/>
              <w:jc w:val="center"/>
              <w:rPr>
                <w:noProof/>
              </w:rPr>
            </w:pPr>
            <w:r>
              <w:rPr>
                <w:noProof/>
              </w:rPr>
              <w:t>Inwestycje 1.2 – Projekty przewodnie gospodarki o obiegu zamkniętym</w:t>
            </w:r>
          </w:p>
        </w:tc>
        <w:tc>
          <w:tcPr>
            <w:tcW w:w="1185" w:type="dxa"/>
            <w:shd w:val="clear" w:color="auto" w:fill="C6EFCE"/>
            <w:noWrap/>
            <w:vAlign w:val="center"/>
          </w:tcPr>
          <w:p w14:paraId="2AB429A0" w14:textId="2477C2D7" w:rsidR="004C6421" w:rsidRDefault="00CC179E">
            <w:pPr>
              <w:pStyle w:val="P68B1DB1-Normal4"/>
              <w:spacing w:line="276" w:lineRule="auto"/>
              <w:jc w:val="center"/>
              <w:rPr>
                <w:noProof/>
              </w:rPr>
            </w:pPr>
            <w:r>
              <w:rPr>
                <w:noProof/>
              </w:rPr>
              <w:t>Milowy</w:t>
            </w:r>
          </w:p>
        </w:tc>
        <w:tc>
          <w:tcPr>
            <w:tcW w:w="1732" w:type="dxa"/>
            <w:shd w:val="clear" w:color="auto" w:fill="C6EFCE"/>
            <w:noWrap/>
            <w:vAlign w:val="center"/>
          </w:tcPr>
          <w:p w14:paraId="5CADB823" w14:textId="77777777" w:rsidR="004C6421" w:rsidRDefault="009D1962">
            <w:pPr>
              <w:pStyle w:val="P68B1DB1-Normal4"/>
              <w:spacing w:line="276" w:lineRule="auto"/>
              <w:jc w:val="center"/>
              <w:rPr>
                <w:noProof/>
              </w:rPr>
            </w:pPr>
            <w:r>
              <w:rPr>
                <w:noProof/>
              </w:rPr>
              <w:t>Wejście w życie dekretu ministerialnego.</w:t>
            </w:r>
          </w:p>
        </w:tc>
        <w:tc>
          <w:tcPr>
            <w:tcW w:w="1603" w:type="dxa"/>
            <w:shd w:val="clear" w:color="auto" w:fill="C6EFCE"/>
            <w:noWrap/>
            <w:vAlign w:val="center"/>
          </w:tcPr>
          <w:p w14:paraId="0F7E0ED4" w14:textId="77777777" w:rsidR="004C6421" w:rsidRDefault="009D1962">
            <w:pPr>
              <w:pStyle w:val="P68B1DB1-Normal4"/>
              <w:spacing w:line="276" w:lineRule="auto"/>
              <w:jc w:val="center"/>
              <w:rPr>
                <w:noProof/>
              </w:rPr>
            </w:pPr>
            <w:r>
              <w:rPr>
                <w:noProof/>
              </w:rPr>
              <w:t>Przyjęcie dekretu ministerialnego w celu zatwierdzenia kryteriów wyboru projektów proponowanych przez gminy.</w:t>
            </w:r>
          </w:p>
        </w:tc>
        <w:tc>
          <w:tcPr>
            <w:tcW w:w="1275" w:type="dxa"/>
            <w:shd w:val="clear" w:color="auto" w:fill="C6EFCE"/>
            <w:noWrap/>
            <w:vAlign w:val="center"/>
          </w:tcPr>
          <w:p w14:paraId="720B9502" w14:textId="77777777" w:rsidR="004C6421" w:rsidRDefault="009D1962">
            <w:pPr>
              <w:pStyle w:val="P68B1DB1-Normal4"/>
              <w:spacing w:line="276" w:lineRule="auto"/>
              <w:jc w:val="center"/>
              <w:rPr>
                <w:noProof/>
              </w:rPr>
            </w:pPr>
            <w:r>
              <w:rPr>
                <w:noProof/>
              </w:rPr>
              <w:t>Publikacja w Gazzetta Ufficiale</w:t>
            </w:r>
          </w:p>
        </w:tc>
        <w:tc>
          <w:tcPr>
            <w:tcW w:w="993" w:type="dxa"/>
            <w:shd w:val="clear" w:color="auto" w:fill="C6EFCE"/>
            <w:noWrap/>
            <w:vAlign w:val="center"/>
          </w:tcPr>
          <w:p w14:paraId="41605E32" w14:textId="77777777" w:rsidR="004C6421" w:rsidRDefault="009D1962">
            <w:pPr>
              <w:pStyle w:val="P68B1DB1-Normal4"/>
              <w:spacing w:line="276" w:lineRule="auto"/>
              <w:jc w:val="center"/>
              <w:rPr>
                <w:noProof/>
              </w:rPr>
            </w:pPr>
            <w:r>
              <w:rPr>
                <w:noProof/>
              </w:rPr>
              <w:t>NIE DOT.</w:t>
            </w:r>
          </w:p>
        </w:tc>
        <w:tc>
          <w:tcPr>
            <w:tcW w:w="1162" w:type="dxa"/>
            <w:shd w:val="clear" w:color="auto" w:fill="C6EFCE"/>
            <w:noWrap/>
            <w:vAlign w:val="center"/>
          </w:tcPr>
          <w:p w14:paraId="290A705E" w14:textId="77777777" w:rsidR="004C6421" w:rsidRDefault="009D1962">
            <w:pPr>
              <w:pStyle w:val="P68B1DB1-Normal4"/>
              <w:spacing w:line="276" w:lineRule="auto"/>
              <w:jc w:val="center"/>
              <w:rPr>
                <w:noProof/>
              </w:rPr>
            </w:pPr>
            <w:r>
              <w:rPr>
                <w:noProof/>
              </w:rPr>
              <w:t>NIE DOT.</w:t>
            </w:r>
          </w:p>
        </w:tc>
        <w:tc>
          <w:tcPr>
            <w:tcW w:w="963" w:type="dxa"/>
            <w:shd w:val="clear" w:color="auto" w:fill="C6EFCE"/>
            <w:noWrap/>
            <w:vAlign w:val="center"/>
          </w:tcPr>
          <w:p w14:paraId="10859593" w14:textId="77777777" w:rsidR="004C6421" w:rsidRDefault="009D1962">
            <w:pPr>
              <w:pStyle w:val="P68B1DB1-Normal4"/>
              <w:spacing w:line="276" w:lineRule="auto"/>
              <w:jc w:val="center"/>
              <w:rPr>
                <w:noProof/>
              </w:rPr>
            </w:pPr>
            <w:r>
              <w:rPr>
                <w:noProof/>
              </w:rPr>
              <w:t>III KW.</w:t>
            </w:r>
          </w:p>
        </w:tc>
        <w:tc>
          <w:tcPr>
            <w:tcW w:w="710" w:type="dxa"/>
            <w:shd w:val="clear" w:color="auto" w:fill="C6EFCE"/>
            <w:noWrap/>
            <w:vAlign w:val="center"/>
          </w:tcPr>
          <w:p w14:paraId="6FC7F08E" w14:textId="77777777" w:rsidR="004C6421" w:rsidRDefault="009D1962">
            <w:pPr>
              <w:pStyle w:val="P68B1DB1-Normal4"/>
              <w:spacing w:line="276" w:lineRule="auto"/>
              <w:rPr>
                <w:noProof/>
              </w:rPr>
            </w:pPr>
            <w:r>
              <w:rPr>
                <w:noProof/>
              </w:rPr>
              <w:t>2021</w:t>
            </w:r>
          </w:p>
        </w:tc>
        <w:tc>
          <w:tcPr>
            <w:tcW w:w="3174" w:type="dxa"/>
            <w:shd w:val="clear" w:color="auto" w:fill="C6EFCE"/>
            <w:noWrap/>
            <w:vAlign w:val="center"/>
          </w:tcPr>
          <w:p w14:paraId="646474B7" w14:textId="77777777" w:rsidR="004C6421" w:rsidRDefault="009D1962">
            <w:pPr>
              <w:pStyle w:val="P68B1DB1-Normal4"/>
              <w:spacing w:before="60" w:after="120" w:line="276" w:lineRule="auto"/>
              <w:rPr>
                <w:noProof/>
              </w:rPr>
            </w:pPr>
            <w:r>
              <w:rPr>
                <w:noProof/>
              </w:rPr>
              <w:t>Rozporządzenie ministerialne w sprawie zatwierdzenia kryteriów wyboru projektów proponowanych przez gminy wchodzi w życie.</w:t>
            </w:r>
          </w:p>
          <w:p w14:paraId="7CDE7781" w14:textId="77777777" w:rsidR="004C6421" w:rsidRDefault="009D1962">
            <w:pPr>
              <w:pStyle w:val="P68B1DB1-Normal4"/>
              <w:spacing w:before="60" w:after="120" w:line="276" w:lineRule="auto"/>
              <w:rPr>
                <w:noProof/>
              </w:rPr>
            </w:pPr>
            <w:r>
              <w:rPr>
                <w:noProof/>
              </w:rPr>
              <w:t>Rozporządzenie ministerialne określa, że projekty są wybierane spośród następujących kryteriów:</w:t>
            </w:r>
          </w:p>
          <w:p w14:paraId="7D9B86B2" w14:textId="77777777" w:rsidR="004C6421" w:rsidRDefault="009D1962">
            <w:pPr>
              <w:pStyle w:val="P68B1DB1-Normal4"/>
              <w:numPr>
                <w:ilvl w:val="0"/>
                <w:numId w:val="63"/>
              </w:numPr>
              <w:spacing w:before="60" w:line="276" w:lineRule="auto"/>
              <w:ind w:left="244" w:hanging="187"/>
              <w:contextualSpacing/>
              <w:rPr>
                <w:noProof/>
              </w:rPr>
            </w:pPr>
            <w:r>
              <w:rPr>
                <w:noProof/>
              </w:rPr>
              <w:t>Spójność z prawodawstwem unijnym i krajowym oraz europejskim planem działania na rzecz gospodarki o obiegu zamkniętym,</w:t>
            </w:r>
          </w:p>
          <w:p w14:paraId="528B5E2A" w14:textId="77777777" w:rsidR="004C6421" w:rsidRDefault="009D1962">
            <w:pPr>
              <w:pStyle w:val="P68B1DB1-Normal4"/>
              <w:numPr>
                <w:ilvl w:val="0"/>
                <w:numId w:val="63"/>
              </w:numPr>
              <w:spacing w:before="60" w:line="276" w:lineRule="auto"/>
              <w:ind w:left="244" w:hanging="187"/>
              <w:contextualSpacing/>
              <w:rPr>
                <w:noProof/>
              </w:rPr>
            </w:pPr>
            <w:r>
              <w:rPr>
                <w:noProof/>
              </w:rPr>
              <w:t>Oczekiwana poprawa celów w zakresie recyklingu</w:t>
            </w:r>
          </w:p>
          <w:p w14:paraId="47A842B4" w14:textId="77777777" w:rsidR="004C6421" w:rsidRDefault="009D1962">
            <w:pPr>
              <w:pStyle w:val="P68B1DB1-Normal4"/>
              <w:numPr>
                <w:ilvl w:val="0"/>
                <w:numId w:val="63"/>
              </w:numPr>
              <w:spacing w:before="60" w:line="276" w:lineRule="auto"/>
              <w:ind w:left="244" w:hanging="187"/>
              <w:contextualSpacing/>
              <w:rPr>
                <w:noProof/>
              </w:rPr>
            </w:pPr>
            <w:r>
              <w:rPr>
                <w:noProof/>
              </w:rPr>
              <w:t>Spójność z regionalnymi i krajowymi instrumentami planowania,</w:t>
            </w:r>
          </w:p>
          <w:p w14:paraId="1D13DE3E" w14:textId="77777777" w:rsidR="004C6421" w:rsidRDefault="009D1962">
            <w:pPr>
              <w:pStyle w:val="P68B1DB1-Normal4"/>
              <w:numPr>
                <w:ilvl w:val="0"/>
                <w:numId w:val="63"/>
              </w:numPr>
              <w:spacing w:before="60" w:line="276" w:lineRule="auto"/>
              <w:ind w:left="244" w:hanging="187"/>
              <w:contextualSpacing/>
              <w:rPr>
                <w:noProof/>
              </w:rPr>
            </w:pPr>
            <w:r>
              <w:rPr>
                <w:noProof/>
              </w:rPr>
              <w:t>Wkład w rozwiązywanie naruszeń w UE, synergie z innymi planami sektorowymi (np. PNIEC) lub innymi elementami planu, innowacyjne technologie oparte na doświadczeniach na pełną skalę,</w:t>
            </w:r>
          </w:p>
          <w:p w14:paraId="1E41A4C0" w14:textId="77777777" w:rsidR="004C6421" w:rsidRDefault="009D1962">
            <w:pPr>
              <w:pStyle w:val="P68B1DB1-Normal4"/>
              <w:numPr>
                <w:ilvl w:val="0"/>
                <w:numId w:val="63"/>
              </w:numPr>
              <w:spacing w:before="60" w:line="276" w:lineRule="auto"/>
              <w:ind w:left="244" w:hanging="187"/>
              <w:contextualSpacing/>
              <w:rPr>
                <w:noProof/>
              </w:rPr>
            </w:pPr>
            <w:r>
              <w:rPr>
                <w:noProof/>
              </w:rPr>
              <w:t>Jakość techniczna wniosku.</w:t>
            </w:r>
          </w:p>
          <w:p w14:paraId="575A2461" w14:textId="77777777" w:rsidR="004C6421" w:rsidRDefault="009D1962">
            <w:pPr>
              <w:pStyle w:val="P68B1DB1-Normal4"/>
              <w:numPr>
                <w:ilvl w:val="0"/>
                <w:numId w:val="63"/>
              </w:numPr>
              <w:spacing w:before="60" w:line="276" w:lineRule="auto"/>
              <w:ind w:left="244" w:hanging="187"/>
              <w:contextualSpacing/>
              <w:rPr>
                <w:noProof/>
              </w:rPr>
            </w:pPr>
            <w:r>
              <w:rPr>
                <w:noProof/>
              </w:rPr>
              <w:t>Spójność i komplementarność z programami polityki spójności i podobnymi projektami finansowanymi z innych instrumentów unijnych i krajowych</w:t>
            </w:r>
          </w:p>
          <w:p w14:paraId="383273C8" w14:textId="77777777" w:rsidR="004C6421" w:rsidRDefault="009D1962">
            <w:pPr>
              <w:pStyle w:val="P68B1DB1-Normal4"/>
              <w:spacing w:before="120" w:after="120" w:line="276" w:lineRule="auto"/>
              <w:rPr>
                <w:noProof/>
              </w:rPr>
            </w:pPr>
            <w:r>
              <w:rPr>
                <w:noProof/>
              </w:rPr>
              <w:t>Interwencje nie obejmują inwestycji w składowiska odpadów, obiekty unieszkodliwiania odpadów, zakłady mechaniczno-biologicznego przetwarzania/przetwarzania mechanicznego lub spalarnie, zgodnie z zasadą „nie czyń poważnych szkód”.</w:t>
            </w:r>
          </w:p>
        </w:tc>
      </w:tr>
      <w:tr w:rsidR="004C6421" w14:paraId="6E3C6EB7" w14:textId="77777777">
        <w:trPr>
          <w:trHeight w:val="313"/>
          <w:jc w:val="center"/>
        </w:trPr>
        <w:tc>
          <w:tcPr>
            <w:tcW w:w="1220" w:type="dxa"/>
            <w:shd w:val="clear" w:color="auto" w:fill="C6EFCE"/>
            <w:noWrap/>
            <w:vAlign w:val="center"/>
          </w:tcPr>
          <w:p w14:paraId="7F2F9C62" w14:textId="77777777" w:rsidR="004C6421" w:rsidRDefault="009D1962">
            <w:pPr>
              <w:pStyle w:val="P68B1DB1-Normal4"/>
              <w:spacing w:line="276" w:lineRule="auto"/>
              <w:jc w:val="center"/>
              <w:rPr>
                <w:noProof/>
              </w:rPr>
            </w:pPr>
            <w:r>
              <w:rPr>
                <w:noProof/>
              </w:rPr>
              <w:t>M2C1-15</w:t>
            </w:r>
          </w:p>
        </w:tc>
        <w:tc>
          <w:tcPr>
            <w:tcW w:w="1598" w:type="dxa"/>
            <w:shd w:val="clear" w:color="auto" w:fill="C6EFCE"/>
            <w:noWrap/>
            <w:vAlign w:val="center"/>
          </w:tcPr>
          <w:p w14:paraId="608F6612" w14:textId="77777777" w:rsidR="004C6421" w:rsidRDefault="009D1962">
            <w:pPr>
              <w:pStyle w:val="P68B1DB1-Normal4"/>
              <w:spacing w:line="276" w:lineRule="auto"/>
              <w:jc w:val="center"/>
              <w:rPr>
                <w:noProof/>
              </w:rPr>
            </w:pPr>
            <w:r>
              <w:rPr>
                <w:noProof/>
              </w:rPr>
              <w:t>Reforma 1.2</w:t>
            </w:r>
          </w:p>
          <w:p w14:paraId="0900BACF" w14:textId="4C09A527" w:rsidR="004C6421" w:rsidRDefault="009D1962">
            <w:pPr>
              <w:pStyle w:val="P68B1DB1-Normal4"/>
              <w:spacing w:line="276" w:lineRule="auto"/>
              <w:jc w:val="center"/>
              <w:rPr>
                <w:noProof/>
              </w:rPr>
            </w:pPr>
            <w:r>
              <w:rPr>
                <w:noProof/>
              </w:rPr>
              <w:t>Krajowy program gospodarowania odpadami</w:t>
            </w:r>
          </w:p>
          <w:p w14:paraId="7C0B48E0" w14:textId="77777777" w:rsidR="004C6421" w:rsidRDefault="004C6421">
            <w:pPr>
              <w:spacing w:line="276" w:lineRule="auto"/>
              <w:jc w:val="center"/>
              <w:rPr>
                <w:rFonts w:ascii="Arial Narrow" w:hAnsi="Arial Narrow"/>
                <w:noProof/>
                <w:sz w:val="20"/>
              </w:rPr>
            </w:pPr>
          </w:p>
        </w:tc>
        <w:tc>
          <w:tcPr>
            <w:tcW w:w="1185" w:type="dxa"/>
            <w:shd w:val="clear" w:color="auto" w:fill="C6EFCE"/>
            <w:noWrap/>
            <w:vAlign w:val="center"/>
          </w:tcPr>
          <w:p w14:paraId="57F7A39F" w14:textId="77777777" w:rsidR="004C6421" w:rsidRDefault="009D1962">
            <w:pPr>
              <w:pStyle w:val="P68B1DB1-Normal4"/>
              <w:spacing w:line="276" w:lineRule="auto"/>
              <w:jc w:val="center"/>
              <w:rPr>
                <w:noProof/>
              </w:rPr>
            </w:pPr>
            <w:r>
              <w:rPr>
                <w:noProof/>
              </w:rPr>
              <w:t>Cel</w:t>
            </w:r>
          </w:p>
        </w:tc>
        <w:tc>
          <w:tcPr>
            <w:tcW w:w="1732" w:type="dxa"/>
            <w:shd w:val="clear" w:color="auto" w:fill="C6EFCE"/>
            <w:noWrap/>
            <w:vAlign w:val="center"/>
          </w:tcPr>
          <w:p w14:paraId="524CFA7B" w14:textId="77777777" w:rsidR="004C6421" w:rsidRDefault="009D1962">
            <w:pPr>
              <w:pStyle w:val="P68B1DB1-Normal4"/>
              <w:spacing w:line="276" w:lineRule="auto"/>
              <w:jc w:val="center"/>
              <w:rPr>
                <w:noProof/>
              </w:rPr>
            </w:pPr>
            <w:r>
              <w:rPr>
                <w:noProof/>
              </w:rPr>
              <w:t xml:space="preserve">Zmniejszenie liczby nielegalnych składowisk (T1) </w:t>
            </w:r>
          </w:p>
        </w:tc>
        <w:tc>
          <w:tcPr>
            <w:tcW w:w="1603" w:type="dxa"/>
            <w:shd w:val="clear" w:color="auto" w:fill="C6EFCE"/>
            <w:noWrap/>
            <w:vAlign w:val="center"/>
          </w:tcPr>
          <w:p w14:paraId="6E3213DA" w14:textId="77777777" w:rsidR="004C6421" w:rsidRDefault="009D1962">
            <w:pPr>
              <w:pStyle w:val="P68B1DB1-Normal4"/>
              <w:spacing w:line="276" w:lineRule="auto"/>
              <w:jc w:val="center"/>
              <w:rPr>
                <w:noProof/>
              </w:rPr>
            </w:pPr>
            <w:r>
              <w:rPr>
                <w:noProof/>
              </w:rPr>
              <w:t>NIE DOT.</w:t>
            </w:r>
          </w:p>
        </w:tc>
        <w:tc>
          <w:tcPr>
            <w:tcW w:w="1275" w:type="dxa"/>
            <w:shd w:val="clear" w:color="auto" w:fill="C6EFCE"/>
            <w:noWrap/>
            <w:vAlign w:val="center"/>
          </w:tcPr>
          <w:p w14:paraId="123083DD" w14:textId="77777777" w:rsidR="004C6421" w:rsidRDefault="009D1962">
            <w:pPr>
              <w:pStyle w:val="P68B1DB1-Normal4"/>
              <w:spacing w:line="276" w:lineRule="auto"/>
              <w:jc w:val="center"/>
              <w:rPr>
                <w:noProof/>
              </w:rPr>
            </w:pPr>
            <w:r>
              <w:rPr>
                <w:noProof/>
              </w:rPr>
              <w:t>Numer</w:t>
            </w:r>
          </w:p>
        </w:tc>
        <w:tc>
          <w:tcPr>
            <w:tcW w:w="993" w:type="dxa"/>
            <w:shd w:val="clear" w:color="auto" w:fill="C6EFCE"/>
            <w:noWrap/>
            <w:vAlign w:val="center"/>
          </w:tcPr>
          <w:p w14:paraId="6A3F7DE3" w14:textId="77777777" w:rsidR="004C6421" w:rsidRDefault="009D1962">
            <w:pPr>
              <w:pStyle w:val="P68B1DB1-Normal4"/>
              <w:spacing w:line="276" w:lineRule="auto"/>
              <w:jc w:val="center"/>
              <w:rPr>
                <w:noProof/>
              </w:rPr>
            </w:pPr>
            <w:r>
              <w:rPr>
                <w:noProof/>
              </w:rPr>
              <w:t>33</w:t>
            </w:r>
          </w:p>
        </w:tc>
        <w:tc>
          <w:tcPr>
            <w:tcW w:w="1162" w:type="dxa"/>
            <w:shd w:val="clear" w:color="auto" w:fill="C6EFCE"/>
            <w:noWrap/>
            <w:vAlign w:val="center"/>
          </w:tcPr>
          <w:p w14:paraId="20CD6E0B" w14:textId="77777777" w:rsidR="004C6421" w:rsidRDefault="009D1962">
            <w:pPr>
              <w:pStyle w:val="P68B1DB1-Normal4"/>
              <w:spacing w:line="276" w:lineRule="auto"/>
              <w:jc w:val="center"/>
              <w:rPr>
                <w:noProof/>
              </w:rPr>
            </w:pPr>
            <w:r>
              <w:rPr>
                <w:noProof/>
              </w:rPr>
              <w:t>11</w:t>
            </w:r>
          </w:p>
        </w:tc>
        <w:tc>
          <w:tcPr>
            <w:tcW w:w="963" w:type="dxa"/>
            <w:shd w:val="clear" w:color="auto" w:fill="C6EFCE"/>
            <w:noWrap/>
            <w:vAlign w:val="center"/>
          </w:tcPr>
          <w:p w14:paraId="04036A26" w14:textId="77777777" w:rsidR="004C6421" w:rsidRDefault="009D1962">
            <w:pPr>
              <w:pStyle w:val="P68B1DB1-Normal4"/>
              <w:spacing w:line="276" w:lineRule="auto"/>
              <w:jc w:val="center"/>
              <w:rPr>
                <w:noProof/>
              </w:rPr>
            </w:pPr>
            <w:r>
              <w:rPr>
                <w:noProof/>
              </w:rPr>
              <w:t>II KW.</w:t>
            </w:r>
          </w:p>
        </w:tc>
        <w:tc>
          <w:tcPr>
            <w:tcW w:w="710" w:type="dxa"/>
            <w:shd w:val="clear" w:color="auto" w:fill="C6EFCE"/>
            <w:noWrap/>
            <w:vAlign w:val="center"/>
          </w:tcPr>
          <w:p w14:paraId="120BF898" w14:textId="77777777" w:rsidR="004C6421" w:rsidRDefault="009D1962">
            <w:pPr>
              <w:pStyle w:val="P68B1DB1-Normal4"/>
              <w:spacing w:line="276" w:lineRule="auto"/>
              <w:rPr>
                <w:noProof/>
              </w:rPr>
            </w:pPr>
            <w:r>
              <w:rPr>
                <w:noProof/>
              </w:rPr>
              <w:t>2024</w:t>
            </w:r>
          </w:p>
        </w:tc>
        <w:tc>
          <w:tcPr>
            <w:tcW w:w="3174" w:type="dxa"/>
            <w:shd w:val="clear" w:color="auto" w:fill="C6EFCE"/>
            <w:noWrap/>
            <w:vAlign w:val="center"/>
          </w:tcPr>
          <w:p w14:paraId="704C88F4" w14:textId="77777777" w:rsidR="004C6421" w:rsidRDefault="009D1962">
            <w:pPr>
              <w:pStyle w:val="P68B1DB1-Normal4"/>
              <w:spacing w:after="120"/>
              <w:jc w:val="both"/>
              <w:rPr>
                <w:noProof/>
              </w:rPr>
            </w:pPr>
            <w:r>
              <w:rPr>
                <w:noProof/>
              </w:rPr>
              <w:t>Zmniejszenie liczby nielegalnych składowisk objętych postępowaniem w sprawie uchybienia zobowiązaniom państwa członkowskiego NIF 2003/2077 z 33 do 11 (tj. o co najmniej 66 %).</w:t>
            </w:r>
          </w:p>
          <w:p w14:paraId="774D5ED8" w14:textId="0DF4A7F6" w:rsidR="004C6421" w:rsidRDefault="004C6421">
            <w:pPr>
              <w:spacing w:after="120"/>
              <w:jc w:val="both"/>
              <w:rPr>
                <w:rFonts w:ascii="Arial Narrow" w:hAnsi="Arial Narrow"/>
                <w:noProof/>
                <w:color w:val="006100"/>
                <w:sz w:val="20"/>
              </w:rPr>
            </w:pPr>
          </w:p>
        </w:tc>
      </w:tr>
      <w:tr w:rsidR="004C6421" w14:paraId="4B2265A4" w14:textId="77777777">
        <w:trPr>
          <w:trHeight w:val="313"/>
          <w:jc w:val="center"/>
        </w:trPr>
        <w:tc>
          <w:tcPr>
            <w:tcW w:w="1220" w:type="dxa"/>
            <w:shd w:val="clear" w:color="auto" w:fill="C6EFCE"/>
            <w:noWrap/>
            <w:vAlign w:val="center"/>
          </w:tcPr>
          <w:p w14:paraId="1F705233" w14:textId="77777777" w:rsidR="004C6421" w:rsidRDefault="009D1962">
            <w:pPr>
              <w:pStyle w:val="P68B1DB1-Normal4"/>
              <w:spacing w:line="276" w:lineRule="auto"/>
              <w:jc w:val="center"/>
              <w:rPr>
                <w:noProof/>
              </w:rPr>
            </w:pPr>
            <w:r>
              <w:rPr>
                <w:noProof/>
              </w:rPr>
              <w:t>M2C1-15bis</w:t>
            </w:r>
          </w:p>
        </w:tc>
        <w:tc>
          <w:tcPr>
            <w:tcW w:w="1598" w:type="dxa"/>
            <w:shd w:val="clear" w:color="auto" w:fill="C6EFCE"/>
            <w:noWrap/>
            <w:vAlign w:val="center"/>
          </w:tcPr>
          <w:p w14:paraId="330E41C6" w14:textId="77777777" w:rsidR="004C6421" w:rsidRDefault="009D1962">
            <w:pPr>
              <w:pStyle w:val="P68B1DB1-Normal4"/>
              <w:spacing w:line="276" w:lineRule="auto"/>
              <w:jc w:val="center"/>
              <w:rPr>
                <w:noProof/>
              </w:rPr>
            </w:pPr>
            <w:r>
              <w:rPr>
                <w:noProof/>
              </w:rPr>
              <w:t>Reforma 1.2</w:t>
            </w:r>
          </w:p>
          <w:p w14:paraId="44FE1B33" w14:textId="77777777" w:rsidR="004C6421" w:rsidRDefault="009D1962">
            <w:pPr>
              <w:pStyle w:val="P68B1DB1-Normal4"/>
              <w:spacing w:line="276" w:lineRule="auto"/>
              <w:jc w:val="center"/>
              <w:rPr>
                <w:noProof/>
              </w:rPr>
            </w:pPr>
            <w:r>
              <w:rPr>
                <w:noProof/>
              </w:rPr>
              <w:t>Krajowy program gospodarowania odpadami:</w:t>
            </w:r>
          </w:p>
          <w:p w14:paraId="63665E4C" w14:textId="77777777" w:rsidR="004C6421" w:rsidRDefault="004C6421">
            <w:pPr>
              <w:spacing w:line="276" w:lineRule="auto"/>
              <w:jc w:val="center"/>
              <w:rPr>
                <w:rFonts w:ascii="Arial Narrow" w:hAnsi="Arial Narrow"/>
                <w:noProof/>
                <w:color w:val="006100"/>
                <w:sz w:val="20"/>
              </w:rPr>
            </w:pPr>
          </w:p>
          <w:p w14:paraId="693C8397" w14:textId="77777777" w:rsidR="004C6421" w:rsidRDefault="004C6421">
            <w:pPr>
              <w:spacing w:line="276" w:lineRule="auto"/>
              <w:jc w:val="center"/>
              <w:rPr>
                <w:rFonts w:ascii="Arial Narrow" w:hAnsi="Arial Narrow"/>
                <w:noProof/>
                <w:color w:val="006100"/>
                <w:sz w:val="20"/>
              </w:rPr>
            </w:pPr>
          </w:p>
        </w:tc>
        <w:tc>
          <w:tcPr>
            <w:tcW w:w="1185" w:type="dxa"/>
            <w:shd w:val="clear" w:color="auto" w:fill="C6EFCE"/>
            <w:noWrap/>
            <w:vAlign w:val="center"/>
          </w:tcPr>
          <w:p w14:paraId="51912CF8" w14:textId="77777777" w:rsidR="004C6421" w:rsidRDefault="009D1962">
            <w:pPr>
              <w:pStyle w:val="P68B1DB1-Normal4"/>
              <w:spacing w:line="276" w:lineRule="auto"/>
              <w:jc w:val="center"/>
              <w:rPr>
                <w:noProof/>
              </w:rPr>
            </w:pPr>
            <w:r>
              <w:rPr>
                <w:noProof/>
              </w:rPr>
              <w:t>Cel</w:t>
            </w:r>
          </w:p>
        </w:tc>
        <w:tc>
          <w:tcPr>
            <w:tcW w:w="1732" w:type="dxa"/>
            <w:shd w:val="clear" w:color="auto" w:fill="C6EFCE"/>
            <w:noWrap/>
            <w:vAlign w:val="center"/>
          </w:tcPr>
          <w:p w14:paraId="4976FC43" w14:textId="77777777" w:rsidR="004C6421" w:rsidRDefault="009D1962">
            <w:pPr>
              <w:pStyle w:val="P68B1DB1-Normal4"/>
              <w:spacing w:line="276" w:lineRule="auto"/>
              <w:jc w:val="center"/>
              <w:rPr>
                <w:noProof/>
              </w:rPr>
            </w:pPr>
            <w:r>
              <w:rPr>
                <w:noProof/>
              </w:rPr>
              <w:t>Zmniejszenie liczby nielegalnych składowisk (T2)</w:t>
            </w:r>
          </w:p>
        </w:tc>
        <w:tc>
          <w:tcPr>
            <w:tcW w:w="1603" w:type="dxa"/>
            <w:shd w:val="clear" w:color="auto" w:fill="C6EFCE"/>
            <w:noWrap/>
            <w:vAlign w:val="center"/>
          </w:tcPr>
          <w:p w14:paraId="74B86BD5" w14:textId="77777777" w:rsidR="004C6421" w:rsidRDefault="009D1962">
            <w:pPr>
              <w:pStyle w:val="P68B1DB1-Normal4"/>
              <w:spacing w:line="276" w:lineRule="auto"/>
              <w:jc w:val="center"/>
              <w:rPr>
                <w:noProof/>
              </w:rPr>
            </w:pPr>
            <w:r>
              <w:rPr>
                <w:noProof/>
              </w:rPr>
              <w:t>NIE DOT.</w:t>
            </w:r>
          </w:p>
        </w:tc>
        <w:tc>
          <w:tcPr>
            <w:tcW w:w="1275" w:type="dxa"/>
            <w:shd w:val="clear" w:color="auto" w:fill="C6EFCE"/>
            <w:noWrap/>
            <w:vAlign w:val="center"/>
          </w:tcPr>
          <w:p w14:paraId="620DADE2" w14:textId="77777777" w:rsidR="004C6421" w:rsidRDefault="009D1962">
            <w:pPr>
              <w:pStyle w:val="P68B1DB1-Normal4"/>
              <w:spacing w:line="276" w:lineRule="auto"/>
              <w:jc w:val="center"/>
              <w:rPr>
                <w:noProof/>
              </w:rPr>
            </w:pPr>
            <w:r>
              <w:rPr>
                <w:noProof/>
              </w:rPr>
              <w:t xml:space="preserve">Numer </w:t>
            </w:r>
          </w:p>
        </w:tc>
        <w:tc>
          <w:tcPr>
            <w:tcW w:w="993" w:type="dxa"/>
            <w:shd w:val="clear" w:color="auto" w:fill="C6EFCE"/>
            <w:noWrap/>
            <w:vAlign w:val="center"/>
          </w:tcPr>
          <w:p w14:paraId="41D49955" w14:textId="77777777" w:rsidR="004C6421" w:rsidRDefault="009D1962">
            <w:pPr>
              <w:pStyle w:val="P68B1DB1-Normal4"/>
              <w:spacing w:line="276" w:lineRule="auto"/>
              <w:jc w:val="center"/>
              <w:rPr>
                <w:noProof/>
              </w:rPr>
            </w:pPr>
            <w:r>
              <w:rPr>
                <w:noProof/>
              </w:rPr>
              <w:t>34</w:t>
            </w:r>
          </w:p>
        </w:tc>
        <w:tc>
          <w:tcPr>
            <w:tcW w:w="1162" w:type="dxa"/>
            <w:shd w:val="clear" w:color="auto" w:fill="C6EFCE"/>
            <w:noWrap/>
            <w:vAlign w:val="center"/>
          </w:tcPr>
          <w:p w14:paraId="140B30BE" w14:textId="77777777" w:rsidR="004C6421" w:rsidRDefault="009D1962">
            <w:pPr>
              <w:pStyle w:val="P68B1DB1-Normal4"/>
              <w:spacing w:line="276" w:lineRule="auto"/>
              <w:jc w:val="center"/>
              <w:rPr>
                <w:noProof/>
              </w:rPr>
            </w:pPr>
            <w:r>
              <w:rPr>
                <w:noProof/>
              </w:rPr>
              <w:t>14</w:t>
            </w:r>
          </w:p>
        </w:tc>
        <w:tc>
          <w:tcPr>
            <w:tcW w:w="963" w:type="dxa"/>
            <w:shd w:val="clear" w:color="auto" w:fill="C6EFCE"/>
            <w:noWrap/>
            <w:vAlign w:val="center"/>
          </w:tcPr>
          <w:p w14:paraId="0C599ADB" w14:textId="217A6F2D" w:rsidR="004C6421" w:rsidRDefault="00CC179E">
            <w:pPr>
              <w:pStyle w:val="P68B1DB1-Normal4"/>
              <w:spacing w:line="276" w:lineRule="auto"/>
              <w:jc w:val="center"/>
              <w:rPr>
                <w:noProof/>
              </w:rPr>
            </w:pPr>
            <w:r>
              <w:rPr>
                <w:noProof/>
              </w:rPr>
              <w:t>KW. 4</w:t>
            </w:r>
          </w:p>
        </w:tc>
        <w:tc>
          <w:tcPr>
            <w:tcW w:w="710" w:type="dxa"/>
            <w:shd w:val="clear" w:color="auto" w:fill="C6EFCE"/>
            <w:noWrap/>
            <w:vAlign w:val="center"/>
          </w:tcPr>
          <w:p w14:paraId="64966F04" w14:textId="77777777" w:rsidR="004C6421" w:rsidRDefault="009D1962">
            <w:pPr>
              <w:pStyle w:val="P68B1DB1-Normal4"/>
              <w:spacing w:line="276" w:lineRule="auto"/>
              <w:rPr>
                <w:noProof/>
              </w:rPr>
            </w:pPr>
            <w:r>
              <w:rPr>
                <w:noProof/>
              </w:rPr>
              <w:t>2023</w:t>
            </w:r>
          </w:p>
        </w:tc>
        <w:tc>
          <w:tcPr>
            <w:tcW w:w="3174" w:type="dxa"/>
            <w:shd w:val="clear" w:color="auto" w:fill="C6EFCE"/>
            <w:noWrap/>
            <w:vAlign w:val="center"/>
          </w:tcPr>
          <w:p w14:paraId="7A2DD3C7" w14:textId="77777777" w:rsidR="004C6421" w:rsidRDefault="009D1962">
            <w:pPr>
              <w:pStyle w:val="P68B1DB1-Normal4"/>
              <w:rPr>
                <w:noProof/>
              </w:rPr>
            </w:pPr>
            <w:r>
              <w:rPr>
                <w:noProof/>
              </w:rPr>
              <w:t>Zmniejszenie liczby nielegalnych składowisk objętych postępowaniem w sprawie uchybienia zobowiązaniom państwa członkowskiego 2011/2215 z 34 do 14 (tj. o co najmniej 60 %).</w:t>
            </w:r>
          </w:p>
        </w:tc>
      </w:tr>
      <w:tr w:rsidR="004C6421" w14:paraId="13290712" w14:textId="77777777">
        <w:trPr>
          <w:trHeight w:val="313"/>
          <w:jc w:val="center"/>
        </w:trPr>
        <w:tc>
          <w:tcPr>
            <w:tcW w:w="1220" w:type="dxa"/>
            <w:shd w:val="clear" w:color="auto" w:fill="C6EFCE"/>
            <w:noWrap/>
            <w:vAlign w:val="center"/>
          </w:tcPr>
          <w:p w14:paraId="01A2113C" w14:textId="77777777" w:rsidR="004C6421" w:rsidRDefault="009D1962">
            <w:pPr>
              <w:pStyle w:val="P68B1DB1-Normal4"/>
              <w:spacing w:line="276" w:lineRule="auto"/>
              <w:jc w:val="center"/>
              <w:rPr>
                <w:noProof/>
              </w:rPr>
            </w:pPr>
            <w:r>
              <w:rPr>
                <w:noProof/>
              </w:rPr>
              <w:t>M2C1-15ter</w:t>
            </w:r>
          </w:p>
        </w:tc>
        <w:tc>
          <w:tcPr>
            <w:tcW w:w="1598" w:type="dxa"/>
            <w:shd w:val="clear" w:color="auto" w:fill="C6EFCE"/>
            <w:noWrap/>
            <w:vAlign w:val="center"/>
          </w:tcPr>
          <w:p w14:paraId="417BD74E" w14:textId="77777777" w:rsidR="004C6421" w:rsidRDefault="004C6421">
            <w:pPr>
              <w:spacing w:line="276" w:lineRule="auto"/>
              <w:jc w:val="center"/>
              <w:rPr>
                <w:rFonts w:ascii="Arial Narrow" w:hAnsi="Arial Narrow"/>
                <w:noProof/>
                <w:color w:val="006100"/>
                <w:sz w:val="20"/>
              </w:rPr>
            </w:pPr>
          </w:p>
          <w:p w14:paraId="46FFA121" w14:textId="77777777" w:rsidR="004C6421" w:rsidRDefault="009D1962">
            <w:pPr>
              <w:pStyle w:val="P68B1DB1-Normal4"/>
              <w:spacing w:line="276" w:lineRule="auto"/>
              <w:jc w:val="center"/>
              <w:rPr>
                <w:noProof/>
              </w:rPr>
            </w:pPr>
            <w:r>
              <w:rPr>
                <w:noProof/>
              </w:rPr>
              <w:t>Inwestycje 1.1 – Wdrażanie nowych zakładów gospodarki odpadami i modernizacja istniejących obiektów</w:t>
            </w:r>
          </w:p>
        </w:tc>
        <w:tc>
          <w:tcPr>
            <w:tcW w:w="1185" w:type="dxa"/>
            <w:shd w:val="clear" w:color="auto" w:fill="C6EFCE"/>
            <w:noWrap/>
            <w:vAlign w:val="center"/>
          </w:tcPr>
          <w:p w14:paraId="57D55377" w14:textId="77777777" w:rsidR="004C6421" w:rsidRDefault="009D1962">
            <w:pPr>
              <w:pStyle w:val="P68B1DB1-Normal4"/>
              <w:spacing w:line="276" w:lineRule="auto"/>
              <w:jc w:val="center"/>
              <w:rPr>
                <w:noProof/>
              </w:rPr>
            </w:pPr>
            <w:r>
              <w:rPr>
                <w:noProof/>
              </w:rPr>
              <w:t>Cel</w:t>
            </w:r>
          </w:p>
        </w:tc>
        <w:tc>
          <w:tcPr>
            <w:tcW w:w="1732" w:type="dxa"/>
            <w:shd w:val="clear" w:color="auto" w:fill="C6EFCE"/>
            <w:noWrap/>
            <w:vAlign w:val="center"/>
          </w:tcPr>
          <w:p w14:paraId="2DEFEC53" w14:textId="77777777" w:rsidR="004C6421" w:rsidRDefault="009D1962">
            <w:pPr>
              <w:pStyle w:val="P68B1DB1-Normal4"/>
              <w:spacing w:line="276" w:lineRule="auto"/>
              <w:jc w:val="center"/>
              <w:rPr>
                <w:noProof/>
              </w:rPr>
            </w:pPr>
            <w:r>
              <w:rPr>
                <w:noProof/>
              </w:rPr>
              <w:t>Zmniejszenie różnic regionalnych w zakresie selektywnej zbiórki</w:t>
            </w:r>
          </w:p>
        </w:tc>
        <w:tc>
          <w:tcPr>
            <w:tcW w:w="1603" w:type="dxa"/>
            <w:shd w:val="clear" w:color="auto" w:fill="C6EFCE"/>
            <w:noWrap/>
            <w:vAlign w:val="center"/>
          </w:tcPr>
          <w:p w14:paraId="6849FBCD" w14:textId="77777777" w:rsidR="004C6421" w:rsidRDefault="009D1962">
            <w:pPr>
              <w:pStyle w:val="P68B1DB1-Normal4"/>
              <w:spacing w:line="276" w:lineRule="auto"/>
              <w:jc w:val="center"/>
              <w:rPr>
                <w:noProof/>
              </w:rPr>
            </w:pPr>
            <w:r>
              <w:rPr>
                <w:noProof/>
              </w:rPr>
              <w:t>NIE DOT.</w:t>
            </w:r>
          </w:p>
        </w:tc>
        <w:tc>
          <w:tcPr>
            <w:tcW w:w="1275" w:type="dxa"/>
            <w:shd w:val="clear" w:color="auto" w:fill="C6EFCE"/>
            <w:noWrap/>
            <w:vAlign w:val="center"/>
          </w:tcPr>
          <w:p w14:paraId="794DC488" w14:textId="77777777" w:rsidR="004C6421" w:rsidRDefault="009D1962">
            <w:pPr>
              <w:pStyle w:val="P68B1DB1-Normal4"/>
              <w:spacing w:line="276" w:lineRule="auto"/>
              <w:jc w:val="center"/>
              <w:rPr>
                <w:noProof/>
              </w:rPr>
            </w:pPr>
            <w:r>
              <w:rPr>
                <w:noProof/>
              </w:rPr>
              <w:t>Punkty procentowe</w:t>
            </w:r>
          </w:p>
        </w:tc>
        <w:tc>
          <w:tcPr>
            <w:tcW w:w="993" w:type="dxa"/>
            <w:shd w:val="clear" w:color="auto" w:fill="C6EFCE"/>
            <w:noWrap/>
            <w:vAlign w:val="center"/>
          </w:tcPr>
          <w:p w14:paraId="3779862D" w14:textId="77777777" w:rsidR="004C6421" w:rsidRDefault="009D1962">
            <w:pPr>
              <w:pStyle w:val="P68B1DB1-Normal4"/>
              <w:spacing w:line="276" w:lineRule="auto"/>
              <w:jc w:val="center"/>
              <w:rPr>
                <w:noProof/>
              </w:rPr>
            </w:pPr>
            <w:r>
              <w:rPr>
                <w:noProof/>
              </w:rPr>
              <w:t>22.8</w:t>
            </w:r>
          </w:p>
        </w:tc>
        <w:tc>
          <w:tcPr>
            <w:tcW w:w="1162" w:type="dxa"/>
            <w:shd w:val="clear" w:color="auto" w:fill="C6EFCE"/>
            <w:noWrap/>
            <w:vAlign w:val="center"/>
          </w:tcPr>
          <w:p w14:paraId="4C1D2E0F" w14:textId="77777777" w:rsidR="004C6421" w:rsidRDefault="009D1962">
            <w:pPr>
              <w:pStyle w:val="P68B1DB1-Normal4"/>
              <w:spacing w:line="276" w:lineRule="auto"/>
              <w:jc w:val="center"/>
              <w:rPr>
                <w:noProof/>
              </w:rPr>
            </w:pPr>
            <w:r>
              <w:rPr>
                <w:noProof/>
              </w:rPr>
              <w:t>20</w:t>
            </w:r>
          </w:p>
        </w:tc>
        <w:tc>
          <w:tcPr>
            <w:tcW w:w="963" w:type="dxa"/>
            <w:shd w:val="clear" w:color="auto" w:fill="C6EFCE"/>
            <w:noWrap/>
            <w:vAlign w:val="center"/>
          </w:tcPr>
          <w:p w14:paraId="167CDAC1" w14:textId="7107C63F" w:rsidR="004C6421" w:rsidRDefault="00CC179E">
            <w:pPr>
              <w:pStyle w:val="P68B1DB1-Normal4"/>
              <w:spacing w:line="276" w:lineRule="auto"/>
              <w:jc w:val="center"/>
              <w:rPr>
                <w:noProof/>
              </w:rPr>
            </w:pPr>
            <w:r>
              <w:rPr>
                <w:noProof/>
              </w:rPr>
              <w:t>KW. 4</w:t>
            </w:r>
          </w:p>
        </w:tc>
        <w:tc>
          <w:tcPr>
            <w:tcW w:w="710" w:type="dxa"/>
            <w:shd w:val="clear" w:color="auto" w:fill="C6EFCE"/>
            <w:noWrap/>
            <w:vAlign w:val="center"/>
          </w:tcPr>
          <w:p w14:paraId="4EE0E7C4" w14:textId="77777777" w:rsidR="004C6421" w:rsidRDefault="009D1962">
            <w:pPr>
              <w:pStyle w:val="P68B1DB1-Normal4"/>
              <w:spacing w:line="276" w:lineRule="auto"/>
              <w:rPr>
                <w:noProof/>
              </w:rPr>
            </w:pPr>
            <w:r>
              <w:rPr>
                <w:noProof/>
              </w:rPr>
              <w:t>2023</w:t>
            </w:r>
          </w:p>
        </w:tc>
        <w:tc>
          <w:tcPr>
            <w:tcW w:w="3174" w:type="dxa"/>
            <w:shd w:val="clear" w:color="auto" w:fill="C6EFCE"/>
            <w:noWrap/>
            <w:vAlign w:val="center"/>
          </w:tcPr>
          <w:p w14:paraId="25283940" w14:textId="77777777" w:rsidR="004C6421" w:rsidRDefault="009D1962">
            <w:pPr>
              <w:pStyle w:val="P68B1DB1-Normal4"/>
              <w:spacing w:line="276" w:lineRule="auto"/>
              <w:rPr>
                <w:noProof/>
              </w:rPr>
            </w:pPr>
            <w:r>
              <w:rPr>
                <w:noProof/>
              </w:rPr>
              <w:t>Różnica między średnią krajową a regionem o najgorszych wynikach pod względem poziomów selektywnej zbiórki zostaje zmniejszona do 20 punktów procentowych.</w:t>
            </w:r>
          </w:p>
        </w:tc>
      </w:tr>
      <w:tr w:rsidR="004C6421" w14:paraId="72CC3E59" w14:textId="77777777">
        <w:trPr>
          <w:trHeight w:val="313"/>
          <w:jc w:val="center"/>
        </w:trPr>
        <w:tc>
          <w:tcPr>
            <w:tcW w:w="1220" w:type="dxa"/>
            <w:shd w:val="clear" w:color="auto" w:fill="C6EFCE"/>
            <w:noWrap/>
            <w:vAlign w:val="center"/>
          </w:tcPr>
          <w:p w14:paraId="28010792" w14:textId="77777777" w:rsidR="004C6421" w:rsidRDefault="009D1962">
            <w:pPr>
              <w:pStyle w:val="P68B1DB1-Normal4"/>
              <w:spacing w:line="276" w:lineRule="auto"/>
              <w:jc w:val="center"/>
              <w:rPr>
                <w:noProof/>
              </w:rPr>
            </w:pPr>
            <w:r>
              <w:rPr>
                <w:noProof/>
              </w:rPr>
              <w:t>M2C1-15 quater</w:t>
            </w:r>
          </w:p>
        </w:tc>
        <w:tc>
          <w:tcPr>
            <w:tcW w:w="1598" w:type="dxa"/>
            <w:shd w:val="clear" w:color="auto" w:fill="C6EFCE"/>
            <w:noWrap/>
            <w:vAlign w:val="center"/>
          </w:tcPr>
          <w:p w14:paraId="4A8C3133" w14:textId="77777777" w:rsidR="004C6421" w:rsidRDefault="009D1962">
            <w:pPr>
              <w:pStyle w:val="P68B1DB1-Normal4"/>
              <w:spacing w:line="276" w:lineRule="auto"/>
              <w:jc w:val="center"/>
              <w:rPr>
                <w:noProof/>
              </w:rPr>
            </w:pPr>
            <w:r>
              <w:rPr>
                <w:noProof/>
              </w:rPr>
              <w:t>Inwestycje 1.1 – Wdrażanie nowych zakładów gospodarki odpadami i modernizacja istniejących obiektów</w:t>
            </w:r>
          </w:p>
        </w:tc>
        <w:tc>
          <w:tcPr>
            <w:tcW w:w="1185" w:type="dxa"/>
            <w:shd w:val="clear" w:color="auto" w:fill="C6EFCE"/>
            <w:noWrap/>
            <w:vAlign w:val="center"/>
          </w:tcPr>
          <w:p w14:paraId="7F483E1A" w14:textId="524D41DE" w:rsidR="004C6421" w:rsidRDefault="00CC179E">
            <w:pPr>
              <w:pStyle w:val="P68B1DB1-Normal4"/>
              <w:spacing w:line="276" w:lineRule="auto"/>
              <w:jc w:val="center"/>
              <w:rPr>
                <w:noProof/>
              </w:rPr>
            </w:pPr>
            <w:r>
              <w:rPr>
                <w:noProof/>
              </w:rPr>
              <w:t>Milowy</w:t>
            </w:r>
          </w:p>
        </w:tc>
        <w:tc>
          <w:tcPr>
            <w:tcW w:w="1732" w:type="dxa"/>
            <w:shd w:val="clear" w:color="auto" w:fill="C6EFCE"/>
            <w:noWrap/>
            <w:vAlign w:val="center"/>
          </w:tcPr>
          <w:p w14:paraId="11835DB7" w14:textId="77777777" w:rsidR="004C6421" w:rsidRDefault="009D1962">
            <w:pPr>
              <w:pStyle w:val="P68B1DB1-Normal4"/>
              <w:spacing w:line="276" w:lineRule="auto"/>
              <w:jc w:val="center"/>
              <w:rPr>
                <w:noProof/>
              </w:rPr>
            </w:pPr>
            <w:r>
              <w:rPr>
                <w:noProof/>
              </w:rPr>
              <w:t>Wejście w życie obowiązku selektywnej zbiórki bioodpadów</w:t>
            </w:r>
          </w:p>
        </w:tc>
        <w:tc>
          <w:tcPr>
            <w:tcW w:w="1603" w:type="dxa"/>
            <w:shd w:val="clear" w:color="auto" w:fill="C6EFCE"/>
            <w:noWrap/>
            <w:vAlign w:val="center"/>
          </w:tcPr>
          <w:p w14:paraId="77AEE91A" w14:textId="77777777" w:rsidR="004C6421" w:rsidRDefault="009D1962">
            <w:pPr>
              <w:pStyle w:val="P68B1DB1-Normal4"/>
              <w:spacing w:line="276" w:lineRule="auto"/>
              <w:jc w:val="center"/>
              <w:rPr>
                <w:noProof/>
              </w:rPr>
            </w:pPr>
            <w:r>
              <w:rPr>
                <w:noProof/>
              </w:rPr>
              <w:t>Przepis w aktach prawnych wskazujący na wejście w życie</w:t>
            </w:r>
          </w:p>
        </w:tc>
        <w:tc>
          <w:tcPr>
            <w:tcW w:w="1275" w:type="dxa"/>
            <w:shd w:val="clear" w:color="auto" w:fill="C6EFCE"/>
            <w:noWrap/>
            <w:vAlign w:val="center"/>
          </w:tcPr>
          <w:p w14:paraId="0C31906C" w14:textId="77777777" w:rsidR="004C6421" w:rsidRDefault="009D1962">
            <w:pPr>
              <w:pStyle w:val="P68B1DB1-Normal4"/>
              <w:spacing w:line="276" w:lineRule="auto"/>
              <w:jc w:val="center"/>
              <w:rPr>
                <w:noProof/>
              </w:rPr>
            </w:pPr>
            <w:r>
              <w:rPr>
                <w:noProof/>
              </w:rPr>
              <w:t>NIE DOT.</w:t>
            </w:r>
          </w:p>
        </w:tc>
        <w:tc>
          <w:tcPr>
            <w:tcW w:w="993" w:type="dxa"/>
            <w:shd w:val="clear" w:color="auto" w:fill="C6EFCE"/>
            <w:noWrap/>
            <w:vAlign w:val="center"/>
          </w:tcPr>
          <w:p w14:paraId="647E2A04" w14:textId="77777777" w:rsidR="004C6421" w:rsidRDefault="009D1962">
            <w:pPr>
              <w:pStyle w:val="P68B1DB1-Normal4"/>
              <w:spacing w:line="276" w:lineRule="auto"/>
              <w:jc w:val="center"/>
              <w:rPr>
                <w:noProof/>
              </w:rPr>
            </w:pPr>
            <w:r>
              <w:rPr>
                <w:noProof/>
              </w:rPr>
              <w:t>NIE DOT.</w:t>
            </w:r>
          </w:p>
        </w:tc>
        <w:tc>
          <w:tcPr>
            <w:tcW w:w="1162" w:type="dxa"/>
            <w:shd w:val="clear" w:color="auto" w:fill="C6EFCE"/>
            <w:noWrap/>
            <w:vAlign w:val="center"/>
          </w:tcPr>
          <w:p w14:paraId="571ED0CA" w14:textId="77777777" w:rsidR="004C6421" w:rsidRDefault="009D1962">
            <w:pPr>
              <w:pStyle w:val="P68B1DB1-Normal4"/>
              <w:spacing w:line="276" w:lineRule="auto"/>
              <w:jc w:val="center"/>
              <w:rPr>
                <w:noProof/>
              </w:rPr>
            </w:pPr>
            <w:r>
              <w:rPr>
                <w:noProof/>
              </w:rPr>
              <w:t>NIE DOT.</w:t>
            </w:r>
          </w:p>
        </w:tc>
        <w:tc>
          <w:tcPr>
            <w:tcW w:w="963" w:type="dxa"/>
            <w:shd w:val="clear" w:color="auto" w:fill="C6EFCE"/>
            <w:noWrap/>
            <w:vAlign w:val="center"/>
          </w:tcPr>
          <w:p w14:paraId="543CC074" w14:textId="78E4B989" w:rsidR="004C6421" w:rsidRDefault="00CC179E">
            <w:pPr>
              <w:pStyle w:val="P68B1DB1-Normal4"/>
              <w:spacing w:line="276" w:lineRule="auto"/>
              <w:jc w:val="center"/>
              <w:rPr>
                <w:noProof/>
              </w:rPr>
            </w:pPr>
            <w:r>
              <w:rPr>
                <w:noProof/>
              </w:rPr>
              <w:t>KW. 4</w:t>
            </w:r>
          </w:p>
        </w:tc>
        <w:tc>
          <w:tcPr>
            <w:tcW w:w="710" w:type="dxa"/>
            <w:shd w:val="clear" w:color="auto" w:fill="C6EFCE"/>
            <w:noWrap/>
            <w:vAlign w:val="center"/>
          </w:tcPr>
          <w:p w14:paraId="39B011A2" w14:textId="77777777" w:rsidR="004C6421" w:rsidRDefault="009D1962">
            <w:pPr>
              <w:pStyle w:val="P68B1DB1-Normal4"/>
              <w:spacing w:line="276" w:lineRule="auto"/>
              <w:rPr>
                <w:noProof/>
              </w:rPr>
            </w:pPr>
            <w:r>
              <w:rPr>
                <w:noProof/>
              </w:rPr>
              <w:t>2023</w:t>
            </w:r>
          </w:p>
        </w:tc>
        <w:tc>
          <w:tcPr>
            <w:tcW w:w="3174" w:type="dxa"/>
            <w:shd w:val="clear" w:color="auto" w:fill="C6EFCE"/>
            <w:noWrap/>
            <w:vAlign w:val="center"/>
          </w:tcPr>
          <w:p w14:paraId="32A1587B" w14:textId="77777777" w:rsidR="004C6421" w:rsidRDefault="009D1962">
            <w:pPr>
              <w:pStyle w:val="P68B1DB1-Normal4"/>
              <w:spacing w:line="276" w:lineRule="auto"/>
              <w:rPr>
                <w:noProof/>
              </w:rPr>
            </w:pPr>
            <w:r>
              <w:rPr>
                <w:noProof/>
              </w:rPr>
              <w:t>Obowiązek selektywnej zbiórki bioodpadów wejdzie w życie do 31 grudnia 2023 r., zgodnie z planem działania UE dotyczącym gospodarki o obiegu zamkniętym.</w:t>
            </w:r>
          </w:p>
        </w:tc>
      </w:tr>
      <w:tr w:rsidR="004C6421" w14:paraId="6B436C5A" w14:textId="77777777">
        <w:trPr>
          <w:trHeight w:val="313"/>
          <w:jc w:val="center"/>
        </w:trPr>
        <w:tc>
          <w:tcPr>
            <w:tcW w:w="1220" w:type="dxa"/>
            <w:shd w:val="clear" w:color="auto" w:fill="C6EFCE"/>
            <w:noWrap/>
            <w:vAlign w:val="center"/>
          </w:tcPr>
          <w:p w14:paraId="2080CA1B" w14:textId="77777777" w:rsidR="004C6421" w:rsidRDefault="009D1962">
            <w:pPr>
              <w:pStyle w:val="P68B1DB1-Normal4"/>
              <w:spacing w:line="276" w:lineRule="auto"/>
              <w:jc w:val="center"/>
              <w:rPr>
                <w:noProof/>
              </w:rPr>
            </w:pPr>
            <w:r>
              <w:rPr>
                <w:noProof/>
              </w:rPr>
              <w:t>M2C1-16</w:t>
            </w:r>
          </w:p>
        </w:tc>
        <w:tc>
          <w:tcPr>
            <w:tcW w:w="1598" w:type="dxa"/>
            <w:shd w:val="clear" w:color="auto" w:fill="C6EFCE"/>
            <w:noWrap/>
            <w:vAlign w:val="center"/>
          </w:tcPr>
          <w:p w14:paraId="07D62556" w14:textId="77777777" w:rsidR="004C6421" w:rsidRDefault="004C6421">
            <w:pPr>
              <w:spacing w:line="276" w:lineRule="auto"/>
              <w:jc w:val="center"/>
              <w:rPr>
                <w:rFonts w:ascii="Arial Narrow" w:hAnsi="Arial Narrow"/>
                <w:noProof/>
                <w:sz w:val="20"/>
              </w:rPr>
            </w:pPr>
          </w:p>
          <w:p w14:paraId="3D62F835" w14:textId="77777777" w:rsidR="004C6421" w:rsidRDefault="004C6421">
            <w:pPr>
              <w:spacing w:line="276" w:lineRule="auto"/>
              <w:jc w:val="center"/>
              <w:rPr>
                <w:rFonts w:ascii="Arial Narrow" w:hAnsi="Arial Narrow"/>
                <w:noProof/>
                <w:color w:val="006100"/>
                <w:sz w:val="20"/>
              </w:rPr>
            </w:pPr>
          </w:p>
          <w:p w14:paraId="18D8EA4A" w14:textId="77777777" w:rsidR="004C6421" w:rsidRDefault="009D1962">
            <w:pPr>
              <w:pStyle w:val="P68B1DB1-Normal4"/>
              <w:spacing w:line="276" w:lineRule="auto"/>
              <w:jc w:val="center"/>
              <w:rPr>
                <w:noProof/>
              </w:rPr>
            </w:pPr>
            <w:r>
              <w:rPr>
                <w:noProof/>
              </w:rPr>
              <w:t xml:space="preserve">Reforma 1.2 </w:t>
            </w:r>
          </w:p>
          <w:p w14:paraId="54A0D4F9" w14:textId="77777777" w:rsidR="004C6421" w:rsidRDefault="009D1962">
            <w:pPr>
              <w:pStyle w:val="P68B1DB1-Normal4"/>
              <w:spacing w:line="276" w:lineRule="auto"/>
              <w:jc w:val="center"/>
              <w:rPr>
                <w:noProof/>
              </w:rPr>
            </w:pPr>
            <w:r>
              <w:rPr>
                <w:noProof/>
              </w:rPr>
              <w:t>Krajowy program gospodarowania odpadami</w:t>
            </w:r>
          </w:p>
        </w:tc>
        <w:tc>
          <w:tcPr>
            <w:tcW w:w="1185" w:type="dxa"/>
            <w:shd w:val="clear" w:color="auto" w:fill="C6EFCE"/>
            <w:noWrap/>
            <w:vAlign w:val="center"/>
          </w:tcPr>
          <w:p w14:paraId="39174839" w14:textId="77777777" w:rsidR="004C6421" w:rsidRDefault="009D1962">
            <w:pPr>
              <w:pStyle w:val="P68B1DB1-Normal4"/>
              <w:spacing w:line="276" w:lineRule="auto"/>
              <w:jc w:val="center"/>
              <w:rPr>
                <w:noProof/>
              </w:rPr>
            </w:pPr>
            <w:r>
              <w:rPr>
                <w:noProof/>
              </w:rPr>
              <w:t>Cel</w:t>
            </w:r>
          </w:p>
        </w:tc>
        <w:tc>
          <w:tcPr>
            <w:tcW w:w="1732" w:type="dxa"/>
            <w:shd w:val="clear" w:color="auto" w:fill="C6EFCE"/>
            <w:noWrap/>
            <w:vAlign w:val="center"/>
          </w:tcPr>
          <w:p w14:paraId="4D3A7E89" w14:textId="77777777" w:rsidR="004C6421" w:rsidRDefault="009D1962">
            <w:pPr>
              <w:pStyle w:val="P68B1DB1-Normal4"/>
              <w:spacing w:line="276" w:lineRule="auto"/>
              <w:jc w:val="center"/>
              <w:rPr>
                <w:noProof/>
              </w:rPr>
            </w:pPr>
            <w:r>
              <w:rPr>
                <w:noProof/>
              </w:rPr>
              <w:t>Nielegalne składowiska odpadów</w:t>
            </w:r>
          </w:p>
        </w:tc>
        <w:tc>
          <w:tcPr>
            <w:tcW w:w="1603" w:type="dxa"/>
            <w:shd w:val="clear" w:color="auto" w:fill="C6EFCE"/>
            <w:noWrap/>
            <w:vAlign w:val="center"/>
          </w:tcPr>
          <w:p w14:paraId="581520B7" w14:textId="77777777" w:rsidR="004C6421" w:rsidRDefault="009D1962">
            <w:pPr>
              <w:pStyle w:val="P68B1DB1-Normal4"/>
              <w:spacing w:line="276" w:lineRule="auto"/>
              <w:jc w:val="center"/>
              <w:rPr>
                <w:noProof/>
              </w:rPr>
            </w:pPr>
            <w:r>
              <w:rPr>
                <w:noProof/>
              </w:rPr>
              <w:t>NIE DOT.</w:t>
            </w:r>
          </w:p>
        </w:tc>
        <w:tc>
          <w:tcPr>
            <w:tcW w:w="1275" w:type="dxa"/>
            <w:shd w:val="clear" w:color="auto" w:fill="C6EFCE"/>
            <w:noWrap/>
            <w:vAlign w:val="center"/>
          </w:tcPr>
          <w:p w14:paraId="3D94E93E" w14:textId="77777777" w:rsidR="004C6421" w:rsidRDefault="009D1962">
            <w:pPr>
              <w:pStyle w:val="P68B1DB1-Normal4"/>
              <w:spacing w:line="276" w:lineRule="auto"/>
              <w:jc w:val="center"/>
              <w:rPr>
                <w:noProof/>
              </w:rPr>
            </w:pPr>
            <w:r>
              <w:rPr>
                <w:noProof/>
              </w:rPr>
              <w:t>Numer</w:t>
            </w:r>
          </w:p>
        </w:tc>
        <w:tc>
          <w:tcPr>
            <w:tcW w:w="993" w:type="dxa"/>
            <w:shd w:val="clear" w:color="auto" w:fill="C6EFCE"/>
            <w:noWrap/>
            <w:vAlign w:val="center"/>
          </w:tcPr>
          <w:p w14:paraId="14C4C46C" w14:textId="77777777" w:rsidR="004C6421" w:rsidRDefault="009D1962">
            <w:pPr>
              <w:pStyle w:val="P68B1DB1-Normal4"/>
              <w:spacing w:line="276" w:lineRule="auto"/>
              <w:jc w:val="center"/>
              <w:rPr>
                <w:noProof/>
              </w:rPr>
            </w:pPr>
            <w:r>
              <w:rPr>
                <w:noProof/>
              </w:rPr>
              <w:t>11</w:t>
            </w:r>
          </w:p>
        </w:tc>
        <w:tc>
          <w:tcPr>
            <w:tcW w:w="1162" w:type="dxa"/>
            <w:shd w:val="clear" w:color="auto" w:fill="C6EFCE"/>
            <w:noWrap/>
            <w:vAlign w:val="center"/>
          </w:tcPr>
          <w:p w14:paraId="5BB00EFE" w14:textId="77777777" w:rsidR="004C6421" w:rsidRDefault="009D1962">
            <w:pPr>
              <w:pStyle w:val="P68B1DB1-Normal4"/>
              <w:spacing w:line="276" w:lineRule="auto"/>
              <w:jc w:val="center"/>
              <w:rPr>
                <w:noProof/>
              </w:rPr>
            </w:pPr>
            <w:r>
              <w:rPr>
                <w:noProof/>
              </w:rPr>
              <w:t>0</w:t>
            </w:r>
          </w:p>
        </w:tc>
        <w:tc>
          <w:tcPr>
            <w:tcW w:w="963" w:type="dxa"/>
            <w:shd w:val="clear" w:color="auto" w:fill="C6EFCE"/>
            <w:noWrap/>
            <w:vAlign w:val="center"/>
          </w:tcPr>
          <w:p w14:paraId="0C3C031D" w14:textId="77777777" w:rsidR="004C6421" w:rsidRDefault="009D1962">
            <w:pPr>
              <w:pStyle w:val="P68B1DB1-Normal4"/>
              <w:spacing w:line="276" w:lineRule="auto"/>
              <w:jc w:val="center"/>
              <w:rPr>
                <w:noProof/>
              </w:rPr>
            </w:pPr>
            <w:r>
              <w:rPr>
                <w:noProof/>
              </w:rPr>
              <w:t>II KW.</w:t>
            </w:r>
          </w:p>
        </w:tc>
        <w:tc>
          <w:tcPr>
            <w:tcW w:w="710" w:type="dxa"/>
            <w:shd w:val="clear" w:color="auto" w:fill="C6EFCE"/>
            <w:noWrap/>
            <w:vAlign w:val="center"/>
          </w:tcPr>
          <w:p w14:paraId="75502508" w14:textId="77777777" w:rsidR="004C6421" w:rsidRDefault="009D1962">
            <w:pPr>
              <w:pStyle w:val="P68B1DB1-Normal4"/>
              <w:spacing w:line="276" w:lineRule="auto"/>
              <w:rPr>
                <w:noProof/>
              </w:rPr>
            </w:pPr>
            <w:r>
              <w:rPr>
                <w:noProof/>
              </w:rPr>
              <w:t>2026</w:t>
            </w:r>
          </w:p>
        </w:tc>
        <w:tc>
          <w:tcPr>
            <w:tcW w:w="3174" w:type="dxa"/>
            <w:shd w:val="clear" w:color="auto" w:fill="C6EFCE"/>
            <w:noWrap/>
            <w:vAlign w:val="center"/>
          </w:tcPr>
          <w:p w14:paraId="1EA99846" w14:textId="77777777" w:rsidR="004C6421" w:rsidRDefault="009D1962">
            <w:pPr>
              <w:pStyle w:val="P68B1DB1-Normal4"/>
              <w:spacing w:line="276" w:lineRule="auto"/>
              <w:rPr>
                <w:noProof/>
              </w:rPr>
            </w:pPr>
            <w:r>
              <w:rPr>
                <w:noProof/>
              </w:rPr>
              <w:t xml:space="preserve"> Zmniejszenie liczby nielegalnych składowisk objętych postępowaniem w sprawie uchybienia zobowiązaniom państwa członkowskiego 2003/2077 z 11 do 0 (tj. co najmniej 100 %)</w:t>
            </w:r>
          </w:p>
        </w:tc>
      </w:tr>
      <w:tr w:rsidR="004C6421" w14:paraId="78BD1E9F" w14:textId="77777777">
        <w:trPr>
          <w:trHeight w:val="313"/>
          <w:jc w:val="center"/>
        </w:trPr>
        <w:tc>
          <w:tcPr>
            <w:tcW w:w="1220" w:type="dxa"/>
            <w:shd w:val="clear" w:color="auto" w:fill="C6EFCE"/>
            <w:noWrap/>
            <w:vAlign w:val="center"/>
          </w:tcPr>
          <w:p w14:paraId="14A09802" w14:textId="77777777" w:rsidR="004C6421" w:rsidRDefault="009D1962">
            <w:pPr>
              <w:pStyle w:val="P68B1DB1-Normal4"/>
              <w:spacing w:line="276" w:lineRule="auto"/>
              <w:jc w:val="center"/>
              <w:rPr>
                <w:noProof/>
              </w:rPr>
            </w:pPr>
            <w:r>
              <w:rPr>
                <w:noProof/>
              </w:rPr>
              <w:t>M2C1-16bis</w:t>
            </w:r>
          </w:p>
        </w:tc>
        <w:tc>
          <w:tcPr>
            <w:tcW w:w="1598" w:type="dxa"/>
            <w:shd w:val="clear" w:color="auto" w:fill="C6EFCE"/>
            <w:noWrap/>
            <w:vAlign w:val="center"/>
          </w:tcPr>
          <w:p w14:paraId="6FF439FF" w14:textId="77777777" w:rsidR="004C6421" w:rsidRDefault="004C6421">
            <w:pPr>
              <w:spacing w:line="276" w:lineRule="auto"/>
              <w:jc w:val="center"/>
              <w:rPr>
                <w:rFonts w:ascii="Arial Narrow" w:hAnsi="Arial Narrow"/>
                <w:noProof/>
                <w:color w:val="006100"/>
                <w:sz w:val="20"/>
              </w:rPr>
            </w:pPr>
          </w:p>
          <w:p w14:paraId="0761F176" w14:textId="77777777" w:rsidR="004C6421" w:rsidRDefault="004C6421">
            <w:pPr>
              <w:spacing w:line="276" w:lineRule="auto"/>
              <w:jc w:val="center"/>
              <w:rPr>
                <w:rFonts w:ascii="Arial Narrow" w:hAnsi="Arial Narrow"/>
                <w:noProof/>
                <w:color w:val="006100"/>
                <w:sz w:val="20"/>
              </w:rPr>
            </w:pPr>
          </w:p>
          <w:p w14:paraId="5378FF3A" w14:textId="77777777" w:rsidR="004C6421" w:rsidRDefault="004C6421">
            <w:pPr>
              <w:spacing w:line="276" w:lineRule="auto"/>
              <w:jc w:val="center"/>
              <w:rPr>
                <w:rFonts w:ascii="Arial Narrow" w:hAnsi="Arial Narrow"/>
                <w:noProof/>
                <w:color w:val="006100"/>
                <w:sz w:val="20"/>
              </w:rPr>
            </w:pPr>
          </w:p>
          <w:p w14:paraId="63E43939" w14:textId="77777777" w:rsidR="004C6421" w:rsidRDefault="009D1962">
            <w:pPr>
              <w:pStyle w:val="P68B1DB1-Normal4"/>
              <w:spacing w:line="276" w:lineRule="auto"/>
              <w:jc w:val="center"/>
              <w:rPr>
                <w:noProof/>
              </w:rPr>
            </w:pPr>
            <w:r>
              <w:rPr>
                <w:noProof/>
              </w:rPr>
              <w:t xml:space="preserve">Reforma 1.2 </w:t>
            </w:r>
          </w:p>
          <w:p w14:paraId="457421CA" w14:textId="77777777" w:rsidR="004C6421" w:rsidRDefault="009D1962">
            <w:pPr>
              <w:pStyle w:val="P68B1DB1-Normal4"/>
              <w:spacing w:line="276" w:lineRule="auto"/>
              <w:jc w:val="center"/>
              <w:rPr>
                <w:noProof/>
              </w:rPr>
            </w:pPr>
            <w:r>
              <w:rPr>
                <w:noProof/>
              </w:rPr>
              <w:t>Krajowy program gospodarowania odpadami</w:t>
            </w:r>
          </w:p>
        </w:tc>
        <w:tc>
          <w:tcPr>
            <w:tcW w:w="1185" w:type="dxa"/>
            <w:shd w:val="clear" w:color="auto" w:fill="C6EFCE"/>
            <w:noWrap/>
            <w:vAlign w:val="center"/>
          </w:tcPr>
          <w:p w14:paraId="1341134F" w14:textId="77777777" w:rsidR="004C6421" w:rsidRDefault="009D1962">
            <w:pPr>
              <w:pStyle w:val="P68B1DB1-Normal4"/>
              <w:spacing w:line="276" w:lineRule="auto"/>
              <w:jc w:val="center"/>
              <w:rPr>
                <w:noProof/>
              </w:rPr>
            </w:pPr>
            <w:r>
              <w:rPr>
                <w:noProof/>
              </w:rPr>
              <w:t>Cel</w:t>
            </w:r>
          </w:p>
        </w:tc>
        <w:tc>
          <w:tcPr>
            <w:tcW w:w="1732" w:type="dxa"/>
            <w:shd w:val="clear" w:color="auto" w:fill="C6EFCE"/>
            <w:noWrap/>
            <w:vAlign w:val="center"/>
          </w:tcPr>
          <w:p w14:paraId="428E77C5" w14:textId="77777777" w:rsidR="004C6421" w:rsidRDefault="009D1962">
            <w:pPr>
              <w:pStyle w:val="P68B1DB1-Normal4"/>
              <w:spacing w:line="276" w:lineRule="auto"/>
              <w:jc w:val="center"/>
              <w:rPr>
                <w:noProof/>
              </w:rPr>
            </w:pPr>
            <w:r>
              <w:rPr>
                <w:noProof/>
              </w:rPr>
              <w:t>Nielegalne składowiska odpadów</w:t>
            </w:r>
          </w:p>
        </w:tc>
        <w:tc>
          <w:tcPr>
            <w:tcW w:w="1603" w:type="dxa"/>
            <w:shd w:val="clear" w:color="auto" w:fill="C6EFCE"/>
            <w:noWrap/>
            <w:vAlign w:val="center"/>
          </w:tcPr>
          <w:p w14:paraId="6E9591A3" w14:textId="77777777" w:rsidR="004C6421" w:rsidRDefault="009D1962">
            <w:pPr>
              <w:pStyle w:val="P68B1DB1-Normal4"/>
              <w:spacing w:line="276" w:lineRule="auto"/>
              <w:jc w:val="center"/>
              <w:rPr>
                <w:noProof/>
              </w:rPr>
            </w:pPr>
            <w:r>
              <w:rPr>
                <w:noProof/>
              </w:rPr>
              <w:t>NIE DOT.</w:t>
            </w:r>
          </w:p>
        </w:tc>
        <w:tc>
          <w:tcPr>
            <w:tcW w:w="1275" w:type="dxa"/>
            <w:shd w:val="clear" w:color="auto" w:fill="C6EFCE"/>
            <w:noWrap/>
            <w:vAlign w:val="center"/>
          </w:tcPr>
          <w:p w14:paraId="7B010895" w14:textId="77777777" w:rsidR="004C6421" w:rsidRDefault="009D1962">
            <w:pPr>
              <w:pStyle w:val="P68B1DB1-Normal4"/>
              <w:spacing w:line="276" w:lineRule="auto"/>
              <w:jc w:val="center"/>
              <w:rPr>
                <w:noProof/>
              </w:rPr>
            </w:pPr>
            <w:r>
              <w:rPr>
                <w:noProof/>
              </w:rPr>
              <w:t>Numer</w:t>
            </w:r>
          </w:p>
        </w:tc>
        <w:tc>
          <w:tcPr>
            <w:tcW w:w="993" w:type="dxa"/>
            <w:shd w:val="clear" w:color="auto" w:fill="C6EFCE"/>
            <w:noWrap/>
            <w:vAlign w:val="center"/>
          </w:tcPr>
          <w:p w14:paraId="71B32B65" w14:textId="77777777" w:rsidR="004C6421" w:rsidRDefault="009D1962">
            <w:pPr>
              <w:pStyle w:val="P68B1DB1-Normal4"/>
              <w:spacing w:line="276" w:lineRule="auto"/>
              <w:jc w:val="center"/>
              <w:rPr>
                <w:noProof/>
              </w:rPr>
            </w:pPr>
            <w:r>
              <w:rPr>
                <w:noProof/>
              </w:rPr>
              <w:t>14</w:t>
            </w:r>
          </w:p>
        </w:tc>
        <w:tc>
          <w:tcPr>
            <w:tcW w:w="1162" w:type="dxa"/>
            <w:shd w:val="clear" w:color="auto" w:fill="C6EFCE"/>
            <w:noWrap/>
            <w:vAlign w:val="center"/>
          </w:tcPr>
          <w:p w14:paraId="0194B7DC" w14:textId="77777777" w:rsidR="004C6421" w:rsidRDefault="009D1962">
            <w:pPr>
              <w:pStyle w:val="P68B1DB1-Normal4"/>
              <w:spacing w:line="276" w:lineRule="auto"/>
              <w:jc w:val="center"/>
              <w:rPr>
                <w:noProof/>
              </w:rPr>
            </w:pPr>
            <w:r>
              <w:rPr>
                <w:noProof/>
              </w:rPr>
              <w:t>9</w:t>
            </w:r>
          </w:p>
        </w:tc>
        <w:tc>
          <w:tcPr>
            <w:tcW w:w="963" w:type="dxa"/>
            <w:shd w:val="clear" w:color="auto" w:fill="C6EFCE"/>
            <w:noWrap/>
            <w:vAlign w:val="center"/>
          </w:tcPr>
          <w:p w14:paraId="415E1145" w14:textId="7DDC4CD9" w:rsidR="004C6421" w:rsidRDefault="009D1962">
            <w:pPr>
              <w:pStyle w:val="P68B1DB1-Normal4"/>
              <w:spacing w:line="276" w:lineRule="auto"/>
              <w:jc w:val="center"/>
              <w:rPr>
                <w:noProof/>
              </w:rPr>
            </w:pPr>
            <w:r>
              <w:rPr>
                <w:noProof/>
              </w:rPr>
              <w:t>II KW.</w:t>
            </w:r>
          </w:p>
        </w:tc>
        <w:tc>
          <w:tcPr>
            <w:tcW w:w="710" w:type="dxa"/>
            <w:shd w:val="clear" w:color="auto" w:fill="C6EFCE"/>
            <w:noWrap/>
            <w:vAlign w:val="center"/>
          </w:tcPr>
          <w:p w14:paraId="50C94D32" w14:textId="77777777" w:rsidR="004C6421" w:rsidRDefault="009D1962">
            <w:pPr>
              <w:pStyle w:val="P68B1DB1-Normal4"/>
              <w:spacing w:line="276" w:lineRule="auto"/>
              <w:rPr>
                <w:noProof/>
              </w:rPr>
            </w:pPr>
            <w:r>
              <w:rPr>
                <w:noProof/>
              </w:rPr>
              <w:t>2024</w:t>
            </w:r>
          </w:p>
        </w:tc>
        <w:tc>
          <w:tcPr>
            <w:tcW w:w="3174" w:type="dxa"/>
            <w:shd w:val="clear" w:color="auto" w:fill="C6EFCE"/>
            <w:noWrap/>
            <w:vAlign w:val="center"/>
          </w:tcPr>
          <w:p w14:paraId="55A36741" w14:textId="77777777" w:rsidR="004C6421" w:rsidRDefault="009D1962">
            <w:pPr>
              <w:pStyle w:val="P68B1DB1-Normal4"/>
              <w:spacing w:line="276" w:lineRule="auto"/>
              <w:rPr>
                <w:noProof/>
              </w:rPr>
            </w:pPr>
            <w:r>
              <w:rPr>
                <w:noProof/>
              </w:rPr>
              <w:t>Zmniejszenie liczby nielegalnych składowisk objętych postępowaniem w sprawie uchybienia zobowiązaniom państwa członkowskiego 2011/2215 z 14 do 9 (tj. o co najmniej 75 %)</w:t>
            </w:r>
          </w:p>
        </w:tc>
      </w:tr>
      <w:tr w:rsidR="004C6421" w14:paraId="7A2AFA3E" w14:textId="77777777">
        <w:trPr>
          <w:trHeight w:val="313"/>
          <w:jc w:val="center"/>
        </w:trPr>
        <w:tc>
          <w:tcPr>
            <w:tcW w:w="1220" w:type="dxa"/>
            <w:shd w:val="clear" w:color="auto" w:fill="C6EFCE"/>
            <w:noWrap/>
            <w:vAlign w:val="center"/>
          </w:tcPr>
          <w:p w14:paraId="0A4CBD31" w14:textId="77777777" w:rsidR="004C6421" w:rsidRDefault="009D1962">
            <w:pPr>
              <w:pStyle w:val="P68B1DB1-Normal4"/>
              <w:spacing w:line="276" w:lineRule="auto"/>
              <w:jc w:val="center"/>
              <w:rPr>
                <w:noProof/>
              </w:rPr>
            </w:pPr>
            <w:r>
              <w:rPr>
                <w:noProof/>
              </w:rPr>
              <w:t>M2C1-16ter</w:t>
            </w:r>
          </w:p>
        </w:tc>
        <w:tc>
          <w:tcPr>
            <w:tcW w:w="1598" w:type="dxa"/>
            <w:shd w:val="clear" w:color="auto" w:fill="C6EFCE"/>
            <w:noWrap/>
            <w:vAlign w:val="center"/>
          </w:tcPr>
          <w:p w14:paraId="3D02A4FE" w14:textId="77777777" w:rsidR="004C6421" w:rsidRDefault="004C6421">
            <w:pPr>
              <w:spacing w:line="276" w:lineRule="auto"/>
              <w:jc w:val="center"/>
              <w:rPr>
                <w:rFonts w:ascii="Arial Narrow" w:hAnsi="Arial Narrow"/>
                <w:noProof/>
                <w:color w:val="006100"/>
                <w:sz w:val="20"/>
              </w:rPr>
            </w:pPr>
          </w:p>
          <w:p w14:paraId="298073D9" w14:textId="77777777" w:rsidR="004C6421" w:rsidRDefault="009D1962">
            <w:pPr>
              <w:pStyle w:val="P68B1DB1-Normal4"/>
              <w:spacing w:line="276" w:lineRule="auto"/>
              <w:jc w:val="center"/>
              <w:rPr>
                <w:noProof/>
              </w:rPr>
            </w:pPr>
            <w:r>
              <w:rPr>
                <w:noProof/>
              </w:rPr>
              <w:t>Inwestycje 1.1 – Wdrażanie nowych zakładów gospodarki odpadami i modernizacja istniejących obiektów</w:t>
            </w:r>
          </w:p>
        </w:tc>
        <w:tc>
          <w:tcPr>
            <w:tcW w:w="1185" w:type="dxa"/>
            <w:shd w:val="clear" w:color="auto" w:fill="C6EFCE"/>
            <w:noWrap/>
            <w:vAlign w:val="center"/>
          </w:tcPr>
          <w:p w14:paraId="3FE921ED" w14:textId="77777777" w:rsidR="004C6421" w:rsidRDefault="009D1962">
            <w:pPr>
              <w:pStyle w:val="P68B1DB1-Normal4"/>
              <w:spacing w:line="276" w:lineRule="auto"/>
              <w:jc w:val="center"/>
              <w:rPr>
                <w:noProof/>
              </w:rPr>
            </w:pPr>
            <w:r>
              <w:rPr>
                <w:noProof/>
              </w:rPr>
              <w:t>Cel</w:t>
            </w:r>
          </w:p>
        </w:tc>
        <w:tc>
          <w:tcPr>
            <w:tcW w:w="1732" w:type="dxa"/>
            <w:shd w:val="clear" w:color="auto" w:fill="C6EFCE"/>
            <w:noWrap/>
            <w:vAlign w:val="center"/>
          </w:tcPr>
          <w:p w14:paraId="6DC74F9F" w14:textId="77777777" w:rsidR="004C6421" w:rsidRDefault="009D1962">
            <w:pPr>
              <w:pStyle w:val="P68B1DB1-Normal4"/>
              <w:spacing w:line="276" w:lineRule="auto"/>
              <w:jc w:val="center"/>
              <w:rPr>
                <w:noProof/>
              </w:rPr>
            </w:pPr>
            <w:r>
              <w:rPr>
                <w:noProof/>
              </w:rPr>
              <w:t>Regionalne różnice w poziomach selektywnej zbiórki</w:t>
            </w:r>
          </w:p>
        </w:tc>
        <w:tc>
          <w:tcPr>
            <w:tcW w:w="1603" w:type="dxa"/>
            <w:shd w:val="clear" w:color="auto" w:fill="C6EFCE"/>
            <w:noWrap/>
            <w:vAlign w:val="center"/>
          </w:tcPr>
          <w:p w14:paraId="12466E64" w14:textId="77777777" w:rsidR="004C6421" w:rsidRDefault="009D1962">
            <w:pPr>
              <w:pStyle w:val="P68B1DB1-Normal4"/>
              <w:spacing w:line="276" w:lineRule="auto"/>
              <w:jc w:val="center"/>
              <w:rPr>
                <w:noProof/>
              </w:rPr>
            </w:pPr>
            <w:r>
              <w:rPr>
                <w:noProof/>
              </w:rPr>
              <w:t>NIE DOT.</w:t>
            </w:r>
          </w:p>
        </w:tc>
        <w:tc>
          <w:tcPr>
            <w:tcW w:w="1275" w:type="dxa"/>
            <w:shd w:val="clear" w:color="auto" w:fill="C6EFCE"/>
            <w:noWrap/>
            <w:vAlign w:val="center"/>
          </w:tcPr>
          <w:p w14:paraId="3305ADE6" w14:textId="77777777" w:rsidR="004C6421" w:rsidRDefault="009D1962">
            <w:pPr>
              <w:pStyle w:val="P68B1DB1-Normal4"/>
              <w:spacing w:line="276" w:lineRule="auto"/>
              <w:jc w:val="center"/>
              <w:rPr>
                <w:noProof/>
              </w:rPr>
            </w:pPr>
            <w:r>
              <w:rPr>
                <w:noProof/>
              </w:rPr>
              <w:t>Punkty procentowe</w:t>
            </w:r>
          </w:p>
        </w:tc>
        <w:tc>
          <w:tcPr>
            <w:tcW w:w="993" w:type="dxa"/>
            <w:shd w:val="clear" w:color="auto" w:fill="C6EFCE"/>
            <w:noWrap/>
            <w:vAlign w:val="center"/>
          </w:tcPr>
          <w:p w14:paraId="7BED138A" w14:textId="77777777" w:rsidR="004C6421" w:rsidRDefault="009D1962">
            <w:pPr>
              <w:pStyle w:val="P68B1DB1-Normal4"/>
              <w:spacing w:line="276" w:lineRule="auto"/>
              <w:jc w:val="center"/>
              <w:rPr>
                <w:noProof/>
              </w:rPr>
            </w:pPr>
            <w:r>
              <w:rPr>
                <w:noProof/>
              </w:rPr>
              <w:t>27,6</w:t>
            </w:r>
          </w:p>
        </w:tc>
        <w:tc>
          <w:tcPr>
            <w:tcW w:w="1162" w:type="dxa"/>
            <w:shd w:val="clear" w:color="auto" w:fill="C6EFCE"/>
            <w:noWrap/>
            <w:vAlign w:val="center"/>
          </w:tcPr>
          <w:p w14:paraId="51137DCF" w14:textId="77777777" w:rsidR="004C6421" w:rsidRDefault="009D1962">
            <w:pPr>
              <w:pStyle w:val="P68B1DB1-Normal4"/>
              <w:spacing w:line="276" w:lineRule="auto"/>
              <w:jc w:val="center"/>
              <w:rPr>
                <w:noProof/>
              </w:rPr>
            </w:pPr>
            <w:r>
              <w:rPr>
                <w:noProof/>
              </w:rPr>
              <w:t>20</w:t>
            </w:r>
          </w:p>
        </w:tc>
        <w:tc>
          <w:tcPr>
            <w:tcW w:w="963" w:type="dxa"/>
            <w:shd w:val="clear" w:color="auto" w:fill="C6EFCE"/>
            <w:noWrap/>
            <w:vAlign w:val="center"/>
          </w:tcPr>
          <w:p w14:paraId="73CE3E98" w14:textId="79AEBF71" w:rsidR="004C6421" w:rsidRDefault="00CC179E">
            <w:pPr>
              <w:pStyle w:val="P68B1DB1-Normal4"/>
              <w:spacing w:line="276" w:lineRule="auto"/>
              <w:jc w:val="center"/>
              <w:rPr>
                <w:noProof/>
              </w:rPr>
            </w:pPr>
            <w:r>
              <w:rPr>
                <w:noProof/>
              </w:rPr>
              <w:t>KW. 4</w:t>
            </w:r>
          </w:p>
        </w:tc>
        <w:tc>
          <w:tcPr>
            <w:tcW w:w="710" w:type="dxa"/>
            <w:shd w:val="clear" w:color="auto" w:fill="C6EFCE"/>
            <w:noWrap/>
            <w:vAlign w:val="center"/>
          </w:tcPr>
          <w:p w14:paraId="4A444999" w14:textId="77777777" w:rsidR="004C6421" w:rsidRDefault="009D1962">
            <w:pPr>
              <w:pStyle w:val="P68B1DB1-Normal4"/>
              <w:spacing w:line="276" w:lineRule="auto"/>
              <w:rPr>
                <w:noProof/>
              </w:rPr>
            </w:pPr>
            <w:r>
              <w:rPr>
                <w:noProof/>
              </w:rPr>
              <w:t>2024</w:t>
            </w:r>
          </w:p>
        </w:tc>
        <w:tc>
          <w:tcPr>
            <w:tcW w:w="3174" w:type="dxa"/>
            <w:shd w:val="clear" w:color="auto" w:fill="C6EFCE"/>
            <w:noWrap/>
            <w:vAlign w:val="center"/>
          </w:tcPr>
          <w:p w14:paraId="38C86081" w14:textId="77777777" w:rsidR="004C6421" w:rsidRDefault="009D1962">
            <w:pPr>
              <w:pStyle w:val="P68B1DB1-Normal4"/>
              <w:spacing w:before="60" w:after="120" w:line="276" w:lineRule="auto"/>
              <w:rPr>
                <w:noProof/>
              </w:rPr>
            </w:pPr>
            <w:r>
              <w:rPr>
                <w:noProof/>
              </w:rPr>
              <w:t>Zmniejszenie o 20 punktów procentowych różnicy między średnimi trzema regionami osiągającymi najlepsze wyniki a trzema regionami o najgorszych wynikach w zakresie wskaźników selektywnej zbiórki.</w:t>
            </w:r>
          </w:p>
        </w:tc>
      </w:tr>
      <w:tr w:rsidR="004C6421" w14:paraId="3AB74EC5" w14:textId="77777777">
        <w:trPr>
          <w:trHeight w:val="313"/>
          <w:jc w:val="center"/>
        </w:trPr>
        <w:tc>
          <w:tcPr>
            <w:tcW w:w="1220" w:type="dxa"/>
            <w:shd w:val="clear" w:color="auto" w:fill="C6EFCE"/>
            <w:noWrap/>
            <w:vAlign w:val="center"/>
          </w:tcPr>
          <w:p w14:paraId="5DCF245E" w14:textId="77777777" w:rsidR="004C6421" w:rsidRDefault="009D1962">
            <w:pPr>
              <w:pStyle w:val="P68B1DB1-Normal4"/>
              <w:spacing w:line="276" w:lineRule="auto"/>
              <w:jc w:val="center"/>
              <w:rPr>
                <w:noProof/>
              </w:rPr>
            </w:pPr>
            <w:r>
              <w:rPr>
                <w:noProof/>
              </w:rPr>
              <w:t>M2C1-17</w:t>
            </w:r>
          </w:p>
        </w:tc>
        <w:tc>
          <w:tcPr>
            <w:tcW w:w="1598" w:type="dxa"/>
            <w:shd w:val="clear" w:color="auto" w:fill="C6EFCE"/>
            <w:noWrap/>
            <w:vAlign w:val="center"/>
          </w:tcPr>
          <w:p w14:paraId="6EB31020" w14:textId="77777777" w:rsidR="004C6421" w:rsidRDefault="009D1962">
            <w:pPr>
              <w:pStyle w:val="P68B1DB1-Normal4"/>
              <w:spacing w:line="276" w:lineRule="auto"/>
              <w:jc w:val="center"/>
              <w:rPr>
                <w:noProof/>
              </w:rPr>
            </w:pPr>
            <w:r>
              <w:rPr>
                <w:noProof/>
              </w:rPr>
              <w:t>Inwestycje 1.2 – Projekty przewodnie gospodarki o obiegu zamkniętym</w:t>
            </w:r>
          </w:p>
        </w:tc>
        <w:tc>
          <w:tcPr>
            <w:tcW w:w="1185" w:type="dxa"/>
            <w:shd w:val="clear" w:color="auto" w:fill="C6EFCE"/>
            <w:noWrap/>
            <w:vAlign w:val="center"/>
          </w:tcPr>
          <w:p w14:paraId="667E7DA1" w14:textId="77777777" w:rsidR="004C6421" w:rsidRDefault="009D1962">
            <w:pPr>
              <w:pStyle w:val="P68B1DB1-Normal4"/>
              <w:spacing w:line="276" w:lineRule="auto"/>
              <w:jc w:val="center"/>
              <w:rPr>
                <w:noProof/>
              </w:rPr>
            </w:pPr>
            <w:r>
              <w:rPr>
                <w:noProof/>
              </w:rPr>
              <w:t>Cel</w:t>
            </w:r>
          </w:p>
        </w:tc>
        <w:tc>
          <w:tcPr>
            <w:tcW w:w="1732" w:type="dxa"/>
            <w:shd w:val="clear" w:color="auto" w:fill="C6EFCE"/>
            <w:noWrap/>
            <w:vAlign w:val="center"/>
          </w:tcPr>
          <w:p w14:paraId="1DA679CF" w14:textId="77777777" w:rsidR="004C6421" w:rsidRDefault="009D1962">
            <w:pPr>
              <w:pStyle w:val="P68B1DB1-Normal4"/>
              <w:spacing w:line="276" w:lineRule="auto"/>
              <w:jc w:val="center"/>
              <w:rPr>
                <w:noProof/>
              </w:rPr>
            </w:pPr>
            <w:r>
              <w:rPr>
                <w:noProof/>
              </w:rPr>
              <w:t>Wskaźniki recyklingu odpadów komunalnych w planie działania UE dotyczącym gospodarki o obiegu zamkniętym</w:t>
            </w:r>
          </w:p>
        </w:tc>
        <w:tc>
          <w:tcPr>
            <w:tcW w:w="1603" w:type="dxa"/>
            <w:shd w:val="clear" w:color="auto" w:fill="C6EFCE"/>
            <w:noWrap/>
            <w:vAlign w:val="center"/>
          </w:tcPr>
          <w:p w14:paraId="169BB864" w14:textId="77777777" w:rsidR="004C6421" w:rsidRDefault="009D1962">
            <w:pPr>
              <w:pStyle w:val="P68B1DB1-Normal4"/>
              <w:spacing w:line="276" w:lineRule="auto"/>
              <w:jc w:val="center"/>
              <w:rPr>
                <w:noProof/>
              </w:rPr>
            </w:pPr>
            <w:r>
              <w:rPr>
                <w:noProof/>
              </w:rPr>
              <w:t>NIE DOT.</w:t>
            </w:r>
          </w:p>
        </w:tc>
        <w:tc>
          <w:tcPr>
            <w:tcW w:w="1275" w:type="dxa"/>
            <w:shd w:val="clear" w:color="auto" w:fill="C6EFCE"/>
            <w:noWrap/>
            <w:vAlign w:val="center"/>
          </w:tcPr>
          <w:p w14:paraId="6EFDA506" w14:textId="77777777" w:rsidR="004C6421" w:rsidRDefault="009D1962">
            <w:pPr>
              <w:pStyle w:val="P68B1DB1-Normal4"/>
              <w:spacing w:line="276" w:lineRule="auto"/>
              <w:jc w:val="center"/>
              <w:rPr>
                <w:noProof/>
              </w:rPr>
            </w:pPr>
            <w:r>
              <w:rPr>
                <w:noProof/>
              </w:rPr>
              <w:t>Poziom recyklingu</w:t>
            </w:r>
          </w:p>
        </w:tc>
        <w:tc>
          <w:tcPr>
            <w:tcW w:w="993" w:type="dxa"/>
            <w:shd w:val="clear" w:color="auto" w:fill="C6EFCE"/>
            <w:noWrap/>
            <w:vAlign w:val="center"/>
          </w:tcPr>
          <w:p w14:paraId="13B0C913" w14:textId="77777777" w:rsidR="004C6421" w:rsidRDefault="009D1962">
            <w:pPr>
              <w:pStyle w:val="P68B1DB1-Normal4"/>
              <w:spacing w:line="276" w:lineRule="auto"/>
              <w:jc w:val="center"/>
              <w:rPr>
                <w:noProof/>
              </w:rPr>
            </w:pPr>
            <w:r>
              <w:rPr>
                <w:noProof/>
              </w:rPr>
              <w:t>NIE DOT.</w:t>
            </w:r>
          </w:p>
        </w:tc>
        <w:tc>
          <w:tcPr>
            <w:tcW w:w="1162" w:type="dxa"/>
            <w:shd w:val="clear" w:color="auto" w:fill="C6EFCE"/>
            <w:noWrap/>
            <w:vAlign w:val="center"/>
          </w:tcPr>
          <w:p w14:paraId="001E94FB" w14:textId="77777777" w:rsidR="004C6421" w:rsidRDefault="009D1962">
            <w:pPr>
              <w:pStyle w:val="P68B1DB1-Normal4"/>
              <w:spacing w:line="276" w:lineRule="auto"/>
              <w:jc w:val="center"/>
              <w:rPr>
                <w:noProof/>
              </w:rPr>
            </w:pPr>
            <w:r>
              <w:rPr>
                <w:noProof/>
              </w:rPr>
              <w:t>55</w:t>
            </w:r>
          </w:p>
        </w:tc>
        <w:tc>
          <w:tcPr>
            <w:tcW w:w="963" w:type="dxa"/>
            <w:shd w:val="clear" w:color="auto" w:fill="C6EFCE"/>
            <w:noWrap/>
            <w:vAlign w:val="center"/>
          </w:tcPr>
          <w:p w14:paraId="304601B4" w14:textId="3FF349DD" w:rsidR="004C6421" w:rsidRDefault="00CC179E">
            <w:pPr>
              <w:pStyle w:val="P68B1DB1-Normal4"/>
              <w:spacing w:line="276" w:lineRule="auto"/>
              <w:jc w:val="center"/>
              <w:rPr>
                <w:noProof/>
              </w:rPr>
            </w:pPr>
            <w:r>
              <w:rPr>
                <w:noProof/>
              </w:rPr>
              <w:t>KW. 4</w:t>
            </w:r>
          </w:p>
        </w:tc>
        <w:tc>
          <w:tcPr>
            <w:tcW w:w="710" w:type="dxa"/>
            <w:shd w:val="clear" w:color="auto" w:fill="C6EFCE"/>
            <w:noWrap/>
            <w:vAlign w:val="center"/>
          </w:tcPr>
          <w:p w14:paraId="08BC29CA" w14:textId="77777777" w:rsidR="004C6421" w:rsidRDefault="009D1962">
            <w:pPr>
              <w:pStyle w:val="P68B1DB1-Normal4"/>
              <w:spacing w:line="276" w:lineRule="auto"/>
              <w:rPr>
                <w:noProof/>
              </w:rPr>
            </w:pPr>
            <w:r>
              <w:rPr>
                <w:noProof/>
              </w:rPr>
              <w:t>2025</w:t>
            </w:r>
          </w:p>
        </w:tc>
        <w:tc>
          <w:tcPr>
            <w:tcW w:w="3174" w:type="dxa"/>
            <w:shd w:val="clear" w:color="auto" w:fill="C6EFCE"/>
            <w:noWrap/>
            <w:vAlign w:val="center"/>
          </w:tcPr>
          <w:p w14:paraId="359BF29D" w14:textId="77777777" w:rsidR="004C6421" w:rsidRDefault="009D1962">
            <w:pPr>
              <w:pStyle w:val="P68B1DB1-Normal4"/>
              <w:spacing w:before="60" w:after="120" w:line="276" w:lineRule="auto"/>
              <w:rPr>
                <w:noProof/>
              </w:rPr>
            </w:pPr>
            <w:r>
              <w:rPr>
                <w:noProof/>
              </w:rPr>
              <w:t>Współczynnik recyklingu odpadów komunalnych musi wynosić co najmniej 55 % (zgodnie z definicją w art. 11 ust. 2 lit. C) dyrektywy 2008/98/WE w sprawie odpadów zmienionej dyrektywą 2018/851).</w:t>
            </w:r>
          </w:p>
        </w:tc>
      </w:tr>
      <w:tr w:rsidR="004C6421" w14:paraId="19765073" w14:textId="77777777">
        <w:trPr>
          <w:trHeight w:val="313"/>
          <w:jc w:val="center"/>
        </w:trPr>
        <w:tc>
          <w:tcPr>
            <w:tcW w:w="1220" w:type="dxa"/>
            <w:shd w:val="clear" w:color="auto" w:fill="C6EFCE"/>
            <w:noWrap/>
            <w:vAlign w:val="center"/>
          </w:tcPr>
          <w:p w14:paraId="2555BE53" w14:textId="77777777" w:rsidR="004C6421" w:rsidRDefault="009D1962">
            <w:pPr>
              <w:pStyle w:val="P68B1DB1-Normal4"/>
              <w:spacing w:line="276" w:lineRule="auto"/>
              <w:jc w:val="center"/>
              <w:rPr>
                <w:noProof/>
              </w:rPr>
            </w:pPr>
            <w:r>
              <w:rPr>
                <w:noProof/>
              </w:rPr>
              <w:t>M2C1-17bis</w:t>
            </w:r>
          </w:p>
        </w:tc>
        <w:tc>
          <w:tcPr>
            <w:tcW w:w="1598" w:type="dxa"/>
            <w:shd w:val="clear" w:color="auto" w:fill="C6EFCE"/>
            <w:noWrap/>
            <w:vAlign w:val="center"/>
          </w:tcPr>
          <w:p w14:paraId="65733910" w14:textId="77777777" w:rsidR="004C6421" w:rsidRDefault="009D1962">
            <w:pPr>
              <w:pStyle w:val="P68B1DB1-Normal4"/>
              <w:spacing w:line="276" w:lineRule="auto"/>
              <w:jc w:val="center"/>
              <w:rPr>
                <w:noProof/>
              </w:rPr>
            </w:pPr>
            <w:r>
              <w:rPr>
                <w:noProof/>
              </w:rPr>
              <w:t>Inwestycje 1.2 – Projekty przewodnie gospodarki o obiegu zamkniętym</w:t>
            </w:r>
          </w:p>
        </w:tc>
        <w:tc>
          <w:tcPr>
            <w:tcW w:w="1185" w:type="dxa"/>
            <w:shd w:val="clear" w:color="auto" w:fill="C6EFCE"/>
            <w:noWrap/>
            <w:vAlign w:val="center"/>
          </w:tcPr>
          <w:p w14:paraId="1060FC86" w14:textId="77777777" w:rsidR="004C6421" w:rsidRDefault="009D1962">
            <w:pPr>
              <w:pStyle w:val="P68B1DB1-Normal4"/>
              <w:spacing w:line="276" w:lineRule="auto"/>
              <w:jc w:val="center"/>
              <w:rPr>
                <w:noProof/>
              </w:rPr>
            </w:pPr>
            <w:r>
              <w:rPr>
                <w:noProof/>
              </w:rPr>
              <w:t>Cel</w:t>
            </w:r>
          </w:p>
        </w:tc>
        <w:tc>
          <w:tcPr>
            <w:tcW w:w="1732" w:type="dxa"/>
            <w:shd w:val="clear" w:color="auto" w:fill="C6EFCE"/>
            <w:noWrap/>
            <w:vAlign w:val="center"/>
          </w:tcPr>
          <w:p w14:paraId="73C44EC2" w14:textId="77777777" w:rsidR="004C6421" w:rsidRDefault="009D1962">
            <w:pPr>
              <w:pStyle w:val="P68B1DB1-Normal4"/>
              <w:spacing w:line="276" w:lineRule="auto"/>
              <w:jc w:val="center"/>
              <w:rPr>
                <w:noProof/>
              </w:rPr>
            </w:pPr>
            <w:r>
              <w:rPr>
                <w:noProof/>
              </w:rPr>
              <w:t>Wskaźniki recyklingu odpadów opakowaniowych w planie działania UE dotyczącym gospodarki o obiegu zamkniętym</w:t>
            </w:r>
          </w:p>
        </w:tc>
        <w:tc>
          <w:tcPr>
            <w:tcW w:w="1603" w:type="dxa"/>
            <w:shd w:val="clear" w:color="auto" w:fill="C6EFCE"/>
            <w:noWrap/>
            <w:vAlign w:val="center"/>
          </w:tcPr>
          <w:p w14:paraId="4D0E5D84" w14:textId="77777777" w:rsidR="004C6421" w:rsidRDefault="009D1962">
            <w:pPr>
              <w:pStyle w:val="P68B1DB1-Normal4"/>
              <w:spacing w:line="276" w:lineRule="auto"/>
              <w:jc w:val="center"/>
              <w:rPr>
                <w:noProof/>
              </w:rPr>
            </w:pPr>
            <w:r>
              <w:rPr>
                <w:noProof/>
              </w:rPr>
              <w:t>NIE DOT.</w:t>
            </w:r>
          </w:p>
        </w:tc>
        <w:tc>
          <w:tcPr>
            <w:tcW w:w="1275" w:type="dxa"/>
            <w:shd w:val="clear" w:color="auto" w:fill="C6EFCE"/>
            <w:noWrap/>
            <w:vAlign w:val="center"/>
          </w:tcPr>
          <w:p w14:paraId="3B26604E" w14:textId="77777777" w:rsidR="004C6421" w:rsidRDefault="009D1962">
            <w:pPr>
              <w:pStyle w:val="P68B1DB1-Normal4"/>
              <w:spacing w:line="276" w:lineRule="auto"/>
              <w:jc w:val="center"/>
              <w:rPr>
                <w:noProof/>
              </w:rPr>
            </w:pPr>
            <w:r>
              <w:rPr>
                <w:noProof/>
              </w:rPr>
              <w:t>Poziom recyklingu</w:t>
            </w:r>
          </w:p>
        </w:tc>
        <w:tc>
          <w:tcPr>
            <w:tcW w:w="993" w:type="dxa"/>
            <w:shd w:val="clear" w:color="auto" w:fill="C6EFCE"/>
            <w:noWrap/>
            <w:vAlign w:val="center"/>
          </w:tcPr>
          <w:p w14:paraId="4A495186" w14:textId="77777777" w:rsidR="004C6421" w:rsidRDefault="009D1962">
            <w:pPr>
              <w:pStyle w:val="P68B1DB1-Normal4"/>
              <w:spacing w:line="276" w:lineRule="auto"/>
              <w:jc w:val="center"/>
              <w:rPr>
                <w:noProof/>
              </w:rPr>
            </w:pPr>
            <w:r>
              <w:rPr>
                <w:noProof/>
              </w:rPr>
              <w:t>NIE DOT.</w:t>
            </w:r>
          </w:p>
        </w:tc>
        <w:tc>
          <w:tcPr>
            <w:tcW w:w="1162" w:type="dxa"/>
            <w:shd w:val="clear" w:color="auto" w:fill="C6EFCE"/>
            <w:noWrap/>
            <w:vAlign w:val="center"/>
          </w:tcPr>
          <w:p w14:paraId="79C95C91" w14:textId="77777777" w:rsidR="004C6421" w:rsidRDefault="009D1962">
            <w:pPr>
              <w:pStyle w:val="P68B1DB1-Normal4"/>
              <w:spacing w:line="276" w:lineRule="auto"/>
              <w:jc w:val="center"/>
              <w:rPr>
                <w:noProof/>
              </w:rPr>
            </w:pPr>
            <w:r>
              <w:rPr>
                <w:noProof/>
              </w:rPr>
              <w:t>65</w:t>
            </w:r>
          </w:p>
        </w:tc>
        <w:tc>
          <w:tcPr>
            <w:tcW w:w="963" w:type="dxa"/>
            <w:shd w:val="clear" w:color="auto" w:fill="C6EFCE"/>
            <w:noWrap/>
            <w:vAlign w:val="center"/>
          </w:tcPr>
          <w:p w14:paraId="3CF10D2E" w14:textId="736567D7" w:rsidR="004C6421" w:rsidRDefault="00CC179E">
            <w:pPr>
              <w:pStyle w:val="P68B1DB1-Normal4"/>
              <w:spacing w:line="276" w:lineRule="auto"/>
              <w:jc w:val="center"/>
              <w:rPr>
                <w:noProof/>
              </w:rPr>
            </w:pPr>
            <w:r>
              <w:rPr>
                <w:noProof/>
              </w:rPr>
              <w:t>KW. 4</w:t>
            </w:r>
          </w:p>
        </w:tc>
        <w:tc>
          <w:tcPr>
            <w:tcW w:w="710" w:type="dxa"/>
            <w:shd w:val="clear" w:color="auto" w:fill="C6EFCE"/>
            <w:noWrap/>
            <w:vAlign w:val="center"/>
          </w:tcPr>
          <w:p w14:paraId="069363C6" w14:textId="77777777" w:rsidR="004C6421" w:rsidRDefault="009D1962">
            <w:pPr>
              <w:pStyle w:val="P68B1DB1-Normal4"/>
              <w:spacing w:line="276" w:lineRule="auto"/>
              <w:rPr>
                <w:noProof/>
              </w:rPr>
            </w:pPr>
            <w:r>
              <w:rPr>
                <w:noProof/>
              </w:rPr>
              <w:t>2025</w:t>
            </w:r>
          </w:p>
        </w:tc>
        <w:tc>
          <w:tcPr>
            <w:tcW w:w="3174" w:type="dxa"/>
            <w:shd w:val="clear" w:color="auto" w:fill="C6EFCE"/>
            <w:noWrap/>
            <w:vAlign w:val="center"/>
          </w:tcPr>
          <w:p w14:paraId="5F675009" w14:textId="77777777" w:rsidR="004C6421" w:rsidRDefault="009D1962">
            <w:pPr>
              <w:pStyle w:val="P68B1DB1-Normal4"/>
              <w:spacing w:before="60" w:after="120" w:line="276" w:lineRule="auto"/>
              <w:rPr>
                <w:noProof/>
              </w:rPr>
            </w:pPr>
            <w:r>
              <w:rPr>
                <w:noProof/>
              </w:rPr>
              <w:t>Współczynnik recyklingu odpadów opakowaniowych wagowo musi wynosić co najmniej 65 % (zgodnie z definicją w art. 6 ust. 1 lit. g) I-VI dyrektywy 94/62/WE w sprawie odpadów opakowaniowych (zmienionej dyrektywą 2018/852)).</w:t>
            </w:r>
          </w:p>
        </w:tc>
      </w:tr>
      <w:tr w:rsidR="004C6421" w14:paraId="1EAEAD52" w14:textId="77777777">
        <w:trPr>
          <w:trHeight w:val="313"/>
          <w:jc w:val="center"/>
        </w:trPr>
        <w:tc>
          <w:tcPr>
            <w:tcW w:w="1220" w:type="dxa"/>
            <w:shd w:val="clear" w:color="auto" w:fill="C6EFCE"/>
            <w:noWrap/>
            <w:vAlign w:val="center"/>
          </w:tcPr>
          <w:p w14:paraId="6AF903D2" w14:textId="77777777" w:rsidR="004C6421" w:rsidRDefault="009D1962">
            <w:pPr>
              <w:pStyle w:val="P68B1DB1-Normal4"/>
              <w:spacing w:line="276" w:lineRule="auto"/>
              <w:jc w:val="center"/>
              <w:rPr>
                <w:noProof/>
              </w:rPr>
            </w:pPr>
            <w:r>
              <w:rPr>
                <w:noProof/>
              </w:rPr>
              <w:t>M2C1-17ter</w:t>
            </w:r>
          </w:p>
        </w:tc>
        <w:tc>
          <w:tcPr>
            <w:tcW w:w="1598" w:type="dxa"/>
            <w:shd w:val="clear" w:color="auto" w:fill="C6EFCE"/>
            <w:noWrap/>
            <w:vAlign w:val="center"/>
          </w:tcPr>
          <w:p w14:paraId="6E148A65" w14:textId="77777777" w:rsidR="004C6421" w:rsidRDefault="009D1962">
            <w:pPr>
              <w:pStyle w:val="P68B1DB1-Normal4"/>
              <w:spacing w:line="276" w:lineRule="auto"/>
              <w:jc w:val="center"/>
              <w:rPr>
                <w:noProof/>
              </w:rPr>
            </w:pPr>
            <w:r>
              <w:rPr>
                <w:noProof/>
              </w:rPr>
              <w:t>Inwestycje 1.2 – Projekty przewodnie gospodarki o obiegu zamkniętym</w:t>
            </w:r>
          </w:p>
        </w:tc>
        <w:tc>
          <w:tcPr>
            <w:tcW w:w="1185" w:type="dxa"/>
            <w:shd w:val="clear" w:color="auto" w:fill="C6EFCE"/>
            <w:noWrap/>
            <w:vAlign w:val="center"/>
          </w:tcPr>
          <w:p w14:paraId="250E2F51" w14:textId="77777777" w:rsidR="004C6421" w:rsidRDefault="009D1962">
            <w:pPr>
              <w:pStyle w:val="P68B1DB1-Normal4"/>
              <w:spacing w:line="276" w:lineRule="auto"/>
              <w:jc w:val="center"/>
              <w:rPr>
                <w:noProof/>
              </w:rPr>
            </w:pPr>
            <w:r>
              <w:rPr>
                <w:noProof/>
              </w:rPr>
              <w:t>Cel</w:t>
            </w:r>
          </w:p>
        </w:tc>
        <w:tc>
          <w:tcPr>
            <w:tcW w:w="1732" w:type="dxa"/>
            <w:shd w:val="clear" w:color="auto" w:fill="C6EFCE"/>
            <w:noWrap/>
            <w:vAlign w:val="center"/>
          </w:tcPr>
          <w:p w14:paraId="2C39FC30" w14:textId="77777777" w:rsidR="004C6421" w:rsidRDefault="009D1962">
            <w:pPr>
              <w:pStyle w:val="P68B1DB1-Normal4"/>
              <w:spacing w:line="276" w:lineRule="auto"/>
              <w:jc w:val="center"/>
              <w:rPr>
                <w:noProof/>
              </w:rPr>
            </w:pPr>
            <w:r>
              <w:rPr>
                <w:noProof/>
              </w:rPr>
              <w:t>Współczynniki recyklingu opakowań drewnianych w planie działania UE dotyczącym gospodarki o obiegu zamkniętym</w:t>
            </w:r>
          </w:p>
        </w:tc>
        <w:tc>
          <w:tcPr>
            <w:tcW w:w="1603" w:type="dxa"/>
            <w:shd w:val="clear" w:color="auto" w:fill="C6EFCE"/>
            <w:noWrap/>
            <w:vAlign w:val="center"/>
          </w:tcPr>
          <w:p w14:paraId="478C7509" w14:textId="77777777" w:rsidR="004C6421" w:rsidRDefault="009D1962">
            <w:pPr>
              <w:pStyle w:val="P68B1DB1-Normal4"/>
              <w:spacing w:line="276" w:lineRule="auto"/>
              <w:jc w:val="center"/>
              <w:rPr>
                <w:noProof/>
              </w:rPr>
            </w:pPr>
            <w:r>
              <w:rPr>
                <w:noProof/>
              </w:rPr>
              <w:t>NIE DOT.</w:t>
            </w:r>
          </w:p>
        </w:tc>
        <w:tc>
          <w:tcPr>
            <w:tcW w:w="1275" w:type="dxa"/>
            <w:shd w:val="clear" w:color="auto" w:fill="C6EFCE"/>
            <w:noWrap/>
            <w:vAlign w:val="center"/>
          </w:tcPr>
          <w:p w14:paraId="7272AB90" w14:textId="77777777" w:rsidR="004C6421" w:rsidRDefault="009D1962">
            <w:pPr>
              <w:pStyle w:val="P68B1DB1-Normal4"/>
              <w:spacing w:line="276" w:lineRule="auto"/>
              <w:jc w:val="center"/>
              <w:rPr>
                <w:noProof/>
              </w:rPr>
            </w:pPr>
            <w:r>
              <w:rPr>
                <w:noProof/>
              </w:rPr>
              <w:t>Poziom recyklingu</w:t>
            </w:r>
          </w:p>
        </w:tc>
        <w:tc>
          <w:tcPr>
            <w:tcW w:w="993" w:type="dxa"/>
            <w:shd w:val="clear" w:color="auto" w:fill="C6EFCE"/>
            <w:noWrap/>
            <w:vAlign w:val="center"/>
          </w:tcPr>
          <w:p w14:paraId="342CB697" w14:textId="77777777" w:rsidR="004C6421" w:rsidRDefault="009D1962">
            <w:pPr>
              <w:pStyle w:val="P68B1DB1-Normal4"/>
              <w:spacing w:line="276" w:lineRule="auto"/>
              <w:jc w:val="center"/>
              <w:rPr>
                <w:noProof/>
              </w:rPr>
            </w:pPr>
            <w:r>
              <w:rPr>
                <w:noProof/>
              </w:rPr>
              <w:t>NIE DOT.</w:t>
            </w:r>
          </w:p>
        </w:tc>
        <w:tc>
          <w:tcPr>
            <w:tcW w:w="1162" w:type="dxa"/>
            <w:shd w:val="clear" w:color="auto" w:fill="C6EFCE"/>
            <w:noWrap/>
            <w:vAlign w:val="center"/>
          </w:tcPr>
          <w:p w14:paraId="32657B53" w14:textId="77777777" w:rsidR="004C6421" w:rsidRDefault="009D1962">
            <w:pPr>
              <w:pStyle w:val="P68B1DB1-Normal4"/>
              <w:spacing w:line="276" w:lineRule="auto"/>
              <w:jc w:val="center"/>
              <w:rPr>
                <w:noProof/>
              </w:rPr>
            </w:pPr>
            <w:r>
              <w:rPr>
                <w:noProof/>
              </w:rPr>
              <w:t>25</w:t>
            </w:r>
          </w:p>
        </w:tc>
        <w:tc>
          <w:tcPr>
            <w:tcW w:w="963" w:type="dxa"/>
            <w:shd w:val="clear" w:color="auto" w:fill="C6EFCE"/>
            <w:noWrap/>
            <w:vAlign w:val="center"/>
          </w:tcPr>
          <w:p w14:paraId="7A38E907" w14:textId="144DAB07" w:rsidR="004C6421" w:rsidRDefault="00CC179E">
            <w:pPr>
              <w:pStyle w:val="P68B1DB1-Normal4"/>
              <w:spacing w:line="276" w:lineRule="auto"/>
              <w:jc w:val="center"/>
              <w:rPr>
                <w:noProof/>
              </w:rPr>
            </w:pPr>
            <w:r>
              <w:rPr>
                <w:noProof/>
              </w:rPr>
              <w:t>KW. 4</w:t>
            </w:r>
          </w:p>
        </w:tc>
        <w:tc>
          <w:tcPr>
            <w:tcW w:w="710" w:type="dxa"/>
            <w:shd w:val="clear" w:color="auto" w:fill="C6EFCE"/>
            <w:noWrap/>
            <w:vAlign w:val="center"/>
          </w:tcPr>
          <w:p w14:paraId="7450B57D" w14:textId="77777777" w:rsidR="004C6421" w:rsidRDefault="009D1962">
            <w:pPr>
              <w:pStyle w:val="P68B1DB1-Normal4"/>
              <w:spacing w:line="276" w:lineRule="auto"/>
              <w:rPr>
                <w:noProof/>
              </w:rPr>
            </w:pPr>
            <w:r>
              <w:rPr>
                <w:noProof/>
              </w:rPr>
              <w:t>2025</w:t>
            </w:r>
          </w:p>
        </w:tc>
        <w:tc>
          <w:tcPr>
            <w:tcW w:w="3174" w:type="dxa"/>
            <w:shd w:val="clear" w:color="auto" w:fill="C6EFCE"/>
            <w:noWrap/>
            <w:vAlign w:val="center"/>
          </w:tcPr>
          <w:p w14:paraId="574F77AB" w14:textId="077D21CA" w:rsidR="004C6421" w:rsidRDefault="009D1962">
            <w:pPr>
              <w:pStyle w:val="P68B1DB1-Normal4"/>
              <w:spacing w:before="60" w:after="120" w:line="276" w:lineRule="auto"/>
              <w:rPr>
                <w:noProof/>
              </w:rPr>
            </w:pPr>
            <w:r>
              <w:rPr>
                <w:noProof/>
              </w:rPr>
              <w:t>Współczynnik recyklingu drewnianych opakowań wagowo musi wynosić co najmniej 25 % (zgodnie z definicją w art. 6 ust. 1 lit. g) I-VI dyrektywy 94/62/WE w sprawie odpadów opakowaniowych (zmienionej dyrektywą 2018/852))</w:t>
            </w:r>
          </w:p>
        </w:tc>
      </w:tr>
      <w:tr w:rsidR="004C6421" w14:paraId="34081687" w14:textId="77777777">
        <w:trPr>
          <w:trHeight w:val="313"/>
          <w:jc w:val="center"/>
        </w:trPr>
        <w:tc>
          <w:tcPr>
            <w:tcW w:w="1220" w:type="dxa"/>
            <w:shd w:val="clear" w:color="auto" w:fill="C6EFCE"/>
            <w:noWrap/>
            <w:vAlign w:val="center"/>
          </w:tcPr>
          <w:p w14:paraId="2E3BE03B" w14:textId="77777777" w:rsidR="004C6421" w:rsidRDefault="009D1962">
            <w:pPr>
              <w:pStyle w:val="P68B1DB1-Normal4"/>
              <w:spacing w:line="276" w:lineRule="auto"/>
              <w:jc w:val="center"/>
              <w:rPr>
                <w:noProof/>
              </w:rPr>
            </w:pPr>
            <w:r>
              <w:rPr>
                <w:noProof/>
              </w:rPr>
              <w:t>M2C1-17quater</w:t>
            </w:r>
          </w:p>
        </w:tc>
        <w:tc>
          <w:tcPr>
            <w:tcW w:w="1598" w:type="dxa"/>
            <w:shd w:val="clear" w:color="auto" w:fill="C6EFCE"/>
            <w:noWrap/>
            <w:vAlign w:val="center"/>
          </w:tcPr>
          <w:p w14:paraId="4A160F2D" w14:textId="77777777" w:rsidR="004C6421" w:rsidRDefault="009D1962">
            <w:pPr>
              <w:pStyle w:val="P68B1DB1-Normal4"/>
              <w:spacing w:line="276" w:lineRule="auto"/>
              <w:jc w:val="center"/>
              <w:rPr>
                <w:noProof/>
              </w:rPr>
            </w:pPr>
            <w:r>
              <w:rPr>
                <w:noProof/>
              </w:rPr>
              <w:t>Inwestycje 1.2 – Projekty przewodnie gospodarki o obiegu zamkniętym</w:t>
            </w:r>
          </w:p>
        </w:tc>
        <w:tc>
          <w:tcPr>
            <w:tcW w:w="1185" w:type="dxa"/>
            <w:shd w:val="clear" w:color="auto" w:fill="C6EFCE"/>
            <w:noWrap/>
            <w:vAlign w:val="center"/>
          </w:tcPr>
          <w:p w14:paraId="4B50FFB9" w14:textId="77777777" w:rsidR="004C6421" w:rsidRDefault="009D1962">
            <w:pPr>
              <w:pStyle w:val="P68B1DB1-Normal4"/>
              <w:spacing w:line="276" w:lineRule="auto"/>
              <w:jc w:val="center"/>
              <w:rPr>
                <w:noProof/>
              </w:rPr>
            </w:pPr>
            <w:r>
              <w:rPr>
                <w:noProof/>
              </w:rPr>
              <w:t>Cel</w:t>
            </w:r>
          </w:p>
        </w:tc>
        <w:tc>
          <w:tcPr>
            <w:tcW w:w="1732" w:type="dxa"/>
            <w:shd w:val="clear" w:color="auto" w:fill="C6EFCE"/>
            <w:noWrap/>
            <w:vAlign w:val="center"/>
          </w:tcPr>
          <w:p w14:paraId="7D6F35E5" w14:textId="77777777" w:rsidR="004C6421" w:rsidRDefault="009D1962">
            <w:pPr>
              <w:pStyle w:val="P68B1DB1-Normal4"/>
              <w:spacing w:line="276" w:lineRule="auto"/>
              <w:jc w:val="center"/>
              <w:rPr>
                <w:noProof/>
              </w:rPr>
            </w:pPr>
            <w:r>
              <w:rPr>
                <w:noProof/>
              </w:rPr>
              <w:t>Współczynniki recyklingu opakowań z metali żelaznych w planie działania UE dotyczącym gospodarki o obiegu zamkniętym</w:t>
            </w:r>
          </w:p>
        </w:tc>
        <w:tc>
          <w:tcPr>
            <w:tcW w:w="1603" w:type="dxa"/>
            <w:shd w:val="clear" w:color="auto" w:fill="C6EFCE"/>
            <w:noWrap/>
            <w:vAlign w:val="center"/>
          </w:tcPr>
          <w:p w14:paraId="2E737C4B" w14:textId="77777777" w:rsidR="004C6421" w:rsidRDefault="009D1962">
            <w:pPr>
              <w:pStyle w:val="P68B1DB1-Normal4"/>
              <w:spacing w:line="276" w:lineRule="auto"/>
              <w:jc w:val="center"/>
              <w:rPr>
                <w:noProof/>
              </w:rPr>
            </w:pPr>
            <w:r>
              <w:rPr>
                <w:noProof/>
              </w:rPr>
              <w:t>NIE DOT.</w:t>
            </w:r>
          </w:p>
        </w:tc>
        <w:tc>
          <w:tcPr>
            <w:tcW w:w="1275" w:type="dxa"/>
            <w:shd w:val="clear" w:color="auto" w:fill="C6EFCE"/>
            <w:noWrap/>
            <w:vAlign w:val="center"/>
          </w:tcPr>
          <w:p w14:paraId="1F740484" w14:textId="77777777" w:rsidR="004C6421" w:rsidRDefault="009D1962">
            <w:pPr>
              <w:pStyle w:val="P68B1DB1-Normal4"/>
              <w:spacing w:line="276" w:lineRule="auto"/>
              <w:jc w:val="center"/>
              <w:rPr>
                <w:noProof/>
              </w:rPr>
            </w:pPr>
            <w:r>
              <w:rPr>
                <w:noProof/>
              </w:rPr>
              <w:t>Poziom recyklingu</w:t>
            </w:r>
          </w:p>
        </w:tc>
        <w:tc>
          <w:tcPr>
            <w:tcW w:w="993" w:type="dxa"/>
            <w:shd w:val="clear" w:color="auto" w:fill="C6EFCE"/>
            <w:noWrap/>
            <w:vAlign w:val="center"/>
          </w:tcPr>
          <w:p w14:paraId="40DE096E" w14:textId="77777777" w:rsidR="004C6421" w:rsidRDefault="009D1962">
            <w:pPr>
              <w:pStyle w:val="P68B1DB1-Normal4"/>
              <w:spacing w:line="276" w:lineRule="auto"/>
              <w:jc w:val="center"/>
              <w:rPr>
                <w:noProof/>
              </w:rPr>
            </w:pPr>
            <w:r>
              <w:rPr>
                <w:noProof/>
              </w:rPr>
              <w:t>NIE DOT.</w:t>
            </w:r>
          </w:p>
        </w:tc>
        <w:tc>
          <w:tcPr>
            <w:tcW w:w="1162" w:type="dxa"/>
            <w:shd w:val="clear" w:color="auto" w:fill="C6EFCE"/>
            <w:noWrap/>
            <w:vAlign w:val="center"/>
          </w:tcPr>
          <w:p w14:paraId="211C93C2" w14:textId="77777777" w:rsidR="004C6421" w:rsidRDefault="009D1962">
            <w:pPr>
              <w:pStyle w:val="P68B1DB1-Normal4"/>
              <w:spacing w:line="276" w:lineRule="auto"/>
              <w:jc w:val="center"/>
              <w:rPr>
                <w:noProof/>
              </w:rPr>
            </w:pPr>
            <w:r>
              <w:rPr>
                <w:noProof/>
              </w:rPr>
              <w:t>70</w:t>
            </w:r>
          </w:p>
        </w:tc>
        <w:tc>
          <w:tcPr>
            <w:tcW w:w="963" w:type="dxa"/>
            <w:shd w:val="clear" w:color="auto" w:fill="C6EFCE"/>
            <w:noWrap/>
            <w:vAlign w:val="center"/>
          </w:tcPr>
          <w:p w14:paraId="605D484D" w14:textId="02A6F234" w:rsidR="004C6421" w:rsidRDefault="00CC179E">
            <w:pPr>
              <w:pStyle w:val="P68B1DB1-Normal4"/>
              <w:spacing w:line="276" w:lineRule="auto"/>
              <w:jc w:val="center"/>
              <w:rPr>
                <w:noProof/>
              </w:rPr>
            </w:pPr>
            <w:r>
              <w:rPr>
                <w:noProof/>
              </w:rPr>
              <w:t>KW. 4</w:t>
            </w:r>
          </w:p>
        </w:tc>
        <w:tc>
          <w:tcPr>
            <w:tcW w:w="710" w:type="dxa"/>
            <w:shd w:val="clear" w:color="auto" w:fill="C6EFCE"/>
            <w:noWrap/>
            <w:vAlign w:val="center"/>
          </w:tcPr>
          <w:p w14:paraId="75AB8F1B" w14:textId="77777777" w:rsidR="004C6421" w:rsidRDefault="009D1962">
            <w:pPr>
              <w:pStyle w:val="P68B1DB1-Normal4"/>
              <w:spacing w:line="276" w:lineRule="auto"/>
              <w:rPr>
                <w:noProof/>
              </w:rPr>
            </w:pPr>
            <w:r>
              <w:rPr>
                <w:noProof/>
              </w:rPr>
              <w:t>2025</w:t>
            </w:r>
          </w:p>
        </w:tc>
        <w:tc>
          <w:tcPr>
            <w:tcW w:w="3174" w:type="dxa"/>
            <w:shd w:val="clear" w:color="auto" w:fill="C6EFCE"/>
            <w:noWrap/>
            <w:vAlign w:val="center"/>
          </w:tcPr>
          <w:p w14:paraId="519DF68B" w14:textId="77777777" w:rsidR="004C6421" w:rsidRDefault="009D1962">
            <w:pPr>
              <w:pStyle w:val="P68B1DB1-Normal4"/>
              <w:spacing w:before="60" w:after="120" w:line="276" w:lineRule="auto"/>
              <w:rPr>
                <w:noProof/>
              </w:rPr>
            </w:pPr>
            <w:r>
              <w:rPr>
                <w:noProof/>
              </w:rPr>
              <w:t>Współczynnik recyklingu wagowo opakowań z metali żelaznych musi wynosić co najmniej 70 % (zgodnie z definicją w art. 6 ust. 1 lit. g) I-VI dyrektywy 94/62/WE w sprawie odpadów opakowaniowych (zmienionej dyrektywą 2018/852)).</w:t>
            </w:r>
          </w:p>
        </w:tc>
      </w:tr>
      <w:tr w:rsidR="004C6421" w14:paraId="368A5C7C" w14:textId="77777777">
        <w:trPr>
          <w:trHeight w:val="313"/>
          <w:jc w:val="center"/>
        </w:trPr>
        <w:tc>
          <w:tcPr>
            <w:tcW w:w="1220" w:type="dxa"/>
            <w:shd w:val="clear" w:color="auto" w:fill="C6EFCE"/>
            <w:noWrap/>
            <w:vAlign w:val="center"/>
          </w:tcPr>
          <w:p w14:paraId="3554FF54" w14:textId="77777777" w:rsidR="004C6421" w:rsidRDefault="009D1962">
            <w:pPr>
              <w:pStyle w:val="P68B1DB1-Normal4"/>
              <w:spacing w:line="276" w:lineRule="auto"/>
              <w:jc w:val="center"/>
              <w:rPr>
                <w:noProof/>
              </w:rPr>
            </w:pPr>
            <w:r>
              <w:rPr>
                <w:noProof/>
              </w:rPr>
              <w:t>Quinquies M2C1-17</w:t>
            </w:r>
          </w:p>
        </w:tc>
        <w:tc>
          <w:tcPr>
            <w:tcW w:w="1598" w:type="dxa"/>
            <w:shd w:val="clear" w:color="auto" w:fill="C6EFCE"/>
            <w:noWrap/>
            <w:vAlign w:val="center"/>
          </w:tcPr>
          <w:p w14:paraId="18D3FB88" w14:textId="77777777" w:rsidR="004C6421" w:rsidRDefault="009D1962">
            <w:pPr>
              <w:pStyle w:val="P68B1DB1-Normal4"/>
              <w:spacing w:line="276" w:lineRule="auto"/>
              <w:jc w:val="center"/>
              <w:rPr>
                <w:noProof/>
              </w:rPr>
            </w:pPr>
            <w:r>
              <w:rPr>
                <w:noProof/>
              </w:rPr>
              <w:t>Inwestycje 1.2 – Projekty przewodnie gospodarki o obiegu zamkniętym</w:t>
            </w:r>
          </w:p>
        </w:tc>
        <w:tc>
          <w:tcPr>
            <w:tcW w:w="1185" w:type="dxa"/>
            <w:shd w:val="clear" w:color="auto" w:fill="C6EFCE"/>
            <w:noWrap/>
            <w:vAlign w:val="center"/>
          </w:tcPr>
          <w:p w14:paraId="176544DC" w14:textId="77777777" w:rsidR="004C6421" w:rsidRDefault="009D1962">
            <w:pPr>
              <w:pStyle w:val="P68B1DB1-Normal4"/>
              <w:spacing w:line="276" w:lineRule="auto"/>
              <w:jc w:val="center"/>
              <w:rPr>
                <w:noProof/>
              </w:rPr>
            </w:pPr>
            <w:r>
              <w:rPr>
                <w:noProof/>
              </w:rPr>
              <w:t>Cel</w:t>
            </w:r>
          </w:p>
        </w:tc>
        <w:tc>
          <w:tcPr>
            <w:tcW w:w="1732" w:type="dxa"/>
            <w:shd w:val="clear" w:color="auto" w:fill="C6EFCE"/>
            <w:noWrap/>
            <w:vAlign w:val="center"/>
          </w:tcPr>
          <w:p w14:paraId="230F6518" w14:textId="77777777" w:rsidR="004C6421" w:rsidRDefault="009D1962">
            <w:pPr>
              <w:pStyle w:val="P68B1DB1-Normal4"/>
              <w:spacing w:line="276" w:lineRule="auto"/>
              <w:jc w:val="center"/>
              <w:rPr>
                <w:noProof/>
              </w:rPr>
            </w:pPr>
            <w:r>
              <w:rPr>
                <w:noProof/>
              </w:rPr>
              <w:t>Współczynniki recyklingu opakowań aluminiowych w planie działania UE dotyczącym gospodarki o obiegu zamkniętym</w:t>
            </w:r>
          </w:p>
        </w:tc>
        <w:tc>
          <w:tcPr>
            <w:tcW w:w="1603" w:type="dxa"/>
            <w:shd w:val="clear" w:color="auto" w:fill="C6EFCE"/>
            <w:noWrap/>
            <w:vAlign w:val="center"/>
          </w:tcPr>
          <w:p w14:paraId="20A613E6" w14:textId="77777777" w:rsidR="004C6421" w:rsidRDefault="009D1962">
            <w:pPr>
              <w:pStyle w:val="P68B1DB1-Normal4"/>
              <w:spacing w:line="276" w:lineRule="auto"/>
              <w:jc w:val="center"/>
              <w:rPr>
                <w:noProof/>
              </w:rPr>
            </w:pPr>
            <w:r>
              <w:rPr>
                <w:noProof/>
              </w:rPr>
              <w:t>NIE DOT.</w:t>
            </w:r>
          </w:p>
        </w:tc>
        <w:tc>
          <w:tcPr>
            <w:tcW w:w="1275" w:type="dxa"/>
            <w:shd w:val="clear" w:color="auto" w:fill="C6EFCE"/>
            <w:noWrap/>
            <w:vAlign w:val="center"/>
          </w:tcPr>
          <w:p w14:paraId="1E5631A7" w14:textId="77777777" w:rsidR="004C6421" w:rsidRDefault="009D1962">
            <w:pPr>
              <w:pStyle w:val="P68B1DB1-Normal4"/>
              <w:spacing w:line="276" w:lineRule="auto"/>
              <w:jc w:val="center"/>
              <w:rPr>
                <w:noProof/>
              </w:rPr>
            </w:pPr>
            <w:r>
              <w:rPr>
                <w:noProof/>
              </w:rPr>
              <w:t>Poziom recyklingu</w:t>
            </w:r>
          </w:p>
        </w:tc>
        <w:tc>
          <w:tcPr>
            <w:tcW w:w="993" w:type="dxa"/>
            <w:shd w:val="clear" w:color="auto" w:fill="C6EFCE"/>
            <w:noWrap/>
            <w:vAlign w:val="center"/>
          </w:tcPr>
          <w:p w14:paraId="6BBB9800" w14:textId="77777777" w:rsidR="004C6421" w:rsidRDefault="009D1962">
            <w:pPr>
              <w:pStyle w:val="P68B1DB1-Normal4"/>
              <w:spacing w:line="276" w:lineRule="auto"/>
              <w:jc w:val="center"/>
              <w:rPr>
                <w:noProof/>
              </w:rPr>
            </w:pPr>
            <w:r>
              <w:rPr>
                <w:noProof/>
              </w:rPr>
              <w:t>NIE DOT.</w:t>
            </w:r>
          </w:p>
        </w:tc>
        <w:tc>
          <w:tcPr>
            <w:tcW w:w="1162" w:type="dxa"/>
            <w:shd w:val="clear" w:color="auto" w:fill="C6EFCE"/>
            <w:noWrap/>
            <w:vAlign w:val="center"/>
          </w:tcPr>
          <w:p w14:paraId="16C32B05" w14:textId="77777777" w:rsidR="004C6421" w:rsidRDefault="009D1962">
            <w:pPr>
              <w:pStyle w:val="P68B1DB1-Normal4"/>
              <w:spacing w:line="276" w:lineRule="auto"/>
              <w:jc w:val="center"/>
              <w:rPr>
                <w:noProof/>
              </w:rPr>
            </w:pPr>
            <w:r>
              <w:rPr>
                <w:noProof/>
              </w:rPr>
              <w:t>50</w:t>
            </w:r>
          </w:p>
        </w:tc>
        <w:tc>
          <w:tcPr>
            <w:tcW w:w="963" w:type="dxa"/>
            <w:shd w:val="clear" w:color="auto" w:fill="C6EFCE"/>
            <w:noWrap/>
            <w:vAlign w:val="center"/>
          </w:tcPr>
          <w:p w14:paraId="58560B66" w14:textId="59A67361" w:rsidR="004C6421" w:rsidRDefault="00CC179E">
            <w:pPr>
              <w:pStyle w:val="P68B1DB1-Normal4"/>
              <w:spacing w:line="276" w:lineRule="auto"/>
              <w:jc w:val="center"/>
              <w:rPr>
                <w:noProof/>
              </w:rPr>
            </w:pPr>
            <w:r>
              <w:rPr>
                <w:noProof/>
              </w:rPr>
              <w:t>KW. 4</w:t>
            </w:r>
          </w:p>
        </w:tc>
        <w:tc>
          <w:tcPr>
            <w:tcW w:w="710" w:type="dxa"/>
            <w:shd w:val="clear" w:color="auto" w:fill="C6EFCE"/>
            <w:noWrap/>
            <w:vAlign w:val="center"/>
          </w:tcPr>
          <w:p w14:paraId="780024D0" w14:textId="77777777" w:rsidR="004C6421" w:rsidRDefault="009D1962">
            <w:pPr>
              <w:pStyle w:val="P68B1DB1-Normal4"/>
              <w:spacing w:line="276" w:lineRule="auto"/>
              <w:rPr>
                <w:noProof/>
              </w:rPr>
            </w:pPr>
            <w:r>
              <w:rPr>
                <w:noProof/>
              </w:rPr>
              <w:t>2025</w:t>
            </w:r>
          </w:p>
        </w:tc>
        <w:tc>
          <w:tcPr>
            <w:tcW w:w="3174" w:type="dxa"/>
            <w:shd w:val="clear" w:color="auto" w:fill="C6EFCE"/>
            <w:noWrap/>
            <w:vAlign w:val="center"/>
          </w:tcPr>
          <w:p w14:paraId="38913AD2" w14:textId="77777777" w:rsidR="004C6421" w:rsidRDefault="009D1962">
            <w:pPr>
              <w:pStyle w:val="P68B1DB1-Normal4"/>
              <w:spacing w:before="60" w:after="120" w:line="276" w:lineRule="auto"/>
              <w:rPr>
                <w:noProof/>
              </w:rPr>
            </w:pPr>
            <w:r>
              <w:rPr>
                <w:noProof/>
              </w:rPr>
              <w:t>Współczynnik recyklingu opakowań aluminiowych wagowo musi wynosić co najmniej 50 % (zgodnie z definicją w art. 6 ust. 1 lit. g) I-VI dyrektywy 94/62/WE w sprawie odpadów opakowaniowych (zmienionej dyrektywą 2018/852)).</w:t>
            </w:r>
          </w:p>
        </w:tc>
      </w:tr>
      <w:tr w:rsidR="004C6421" w14:paraId="6A5FD915" w14:textId="77777777">
        <w:trPr>
          <w:trHeight w:val="313"/>
          <w:jc w:val="center"/>
        </w:trPr>
        <w:tc>
          <w:tcPr>
            <w:tcW w:w="1220" w:type="dxa"/>
            <w:shd w:val="clear" w:color="auto" w:fill="C6EFCE"/>
            <w:noWrap/>
            <w:vAlign w:val="center"/>
          </w:tcPr>
          <w:p w14:paraId="750AE4D9" w14:textId="77777777" w:rsidR="004C6421" w:rsidRDefault="009D1962">
            <w:pPr>
              <w:pStyle w:val="P68B1DB1-Normal4"/>
              <w:spacing w:line="276" w:lineRule="auto"/>
              <w:jc w:val="center"/>
              <w:rPr>
                <w:noProof/>
              </w:rPr>
            </w:pPr>
            <w:r>
              <w:rPr>
                <w:noProof/>
              </w:rPr>
              <w:t>M2C1-17 sexies</w:t>
            </w:r>
          </w:p>
        </w:tc>
        <w:tc>
          <w:tcPr>
            <w:tcW w:w="1598" w:type="dxa"/>
            <w:shd w:val="clear" w:color="auto" w:fill="C6EFCE"/>
            <w:noWrap/>
            <w:vAlign w:val="center"/>
          </w:tcPr>
          <w:p w14:paraId="3DFA56F0" w14:textId="77777777" w:rsidR="004C6421" w:rsidRDefault="009D1962">
            <w:pPr>
              <w:pStyle w:val="P68B1DB1-Normal4"/>
              <w:spacing w:line="276" w:lineRule="auto"/>
              <w:jc w:val="center"/>
              <w:rPr>
                <w:noProof/>
              </w:rPr>
            </w:pPr>
            <w:r>
              <w:rPr>
                <w:noProof/>
              </w:rPr>
              <w:t>Inwestycje 1.2 – Projekty przewodnie gospodarki o obiegu zamkniętym</w:t>
            </w:r>
          </w:p>
        </w:tc>
        <w:tc>
          <w:tcPr>
            <w:tcW w:w="1185" w:type="dxa"/>
            <w:shd w:val="clear" w:color="auto" w:fill="C6EFCE"/>
            <w:noWrap/>
            <w:vAlign w:val="center"/>
          </w:tcPr>
          <w:p w14:paraId="47E603A3" w14:textId="77777777" w:rsidR="004C6421" w:rsidRDefault="009D1962">
            <w:pPr>
              <w:pStyle w:val="P68B1DB1-Normal4"/>
              <w:spacing w:line="276" w:lineRule="auto"/>
              <w:jc w:val="center"/>
              <w:rPr>
                <w:noProof/>
              </w:rPr>
            </w:pPr>
            <w:r>
              <w:rPr>
                <w:noProof/>
              </w:rPr>
              <w:t>Cel</w:t>
            </w:r>
          </w:p>
        </w:tc>
        <w:tc>
          <w:tcPr>
            <w:tcW w:w="1732" w:type="dxa"/>
            <w:shd w:val="clear" w:color="auto" w:fill="C6EFCE"/>
            <w:noWrap/>
            <w:vAlign w:val="center"/>
          </w:tcPr>
          <w:p w14:paraId="5E2664DF" w14:textId="77777777" w:rsidR="004C6421" w:rsidRDefault="009D1962">
            <w:pPr>
              <w:pStyle w:val="P68B1DB1-Normal4"/>
              <w:spacing w:line="276" w:lineRule="auto"/>
              <w:jc w:val="center"/>
              <w:rPr>
                <w:noProof/>
              </w:rPr>
            </w:pPr>
            <w:r>
              <w:rPr>
                <w:noProof/>
              </w:rPr>
              <w:t>Wskaźniki recyklingu opakowań szklanych w planie działania UE dotyczącym gospodarki o obiegu zamkniętym</w:t>
            </w:r>
          </w:p>
        </w:tc>
        <w:tc>
          <w:tcPr>
            <w:tcW w:w="1603" w:type="dxa"/>
            <w:shd w:val="clear" w:color="auto" w:fill="C6EFCE"/>
            <w:noWrap/>
            <w:vAlign w:val="center"/>
          </w:tcPr>
          <w:p w14:paraId="01F8A4FE" w14:textId="77777777" w:rsidR="004C6421" w:rsidRDefault="009D1962">
            <w:pPr>
              <w:pStyle w:val="P68B1DB1-Normal4"/>
              <w:spacing w:line="276" w:lineRule="auto"/>
              <w:jc w:val="center"/>
              <w:rPr>
                <w:noProof/>
              </w:rPr>
            </w:pPr>
            <w:r>
              <w:rPr>
                <w:noProof/>
              </w:rPr>
              <w:t>NIE DOT.</w:t>
            </w:r>
          </w:p>
        </w:tc>
        <w:tc>
          <w:tcPr>
            <w:tcW w:w="1275" w:type="dxa"/>
            <w:shd w:val="clear" w:color="auto" w:fill="C6EFCE"/>
            <w:noWrap/>
            <w:vAlign w:val="center"/>
          </w:tcPr>
          <w:p w14:paraId="3ADE5FEB" w14:textId="77777777" w:rsidR="004C6421" w:rsidRDefault="009D1962">
            <w:pPr>
              <w:pStyle w:val="P68B1DB1-Normal4"/>
              <w:spacing w:line="276" w:lineRule="auto"/>
              <w:jc w:val="center"/>
              <w:rPr>
                <w:noProof/>
              </w:rPr>
            </w:pPr>
            <w:r>
              <w:rPr>
                <w:noProof/>
              </w:rPr>
              <w:t>Poziom recyklingu</w:t>
            </w:r>
          </w:p>
        </w:tc>
        <w:tc>
          <w:tcPr>
            <w:tcW w:w="993" w:type="dxa"/>
            <w:shd w:val="clear" w:color="auto" w:fill="C6EFCE"/>
            <w:noWrap/>
            <w:vAlign w:val="center"/>
          </w:tcPr>
          <w:p w14:paraId="00128455" w14:textId="77777777" w:rsidR="004C6421" w:rsidRDefault="009D1962">
            <w:pPr>
              <w:pStyle w:val="P68B1DB1-Normal4"/>
              <w:spacing w:line="276" w:lineRule="auto"/>
              <w:jc w:val="center"/>
              <w:rPr>
                <w:noProof/>
              </w:rPr>
            </w:pPr>
            <w:r>
              <w:rPr>
                <w:noProof/>
              </w:rPr>
              <w:t>NIE DOT.</w:t>
            </w:r>
          </w:p>
        </w:tc>
        <w:tc>
          <w:tcPr>
            <w:tcW w:w="1162" w:type="dxa"/>
            <w:shd w:val="clear" w:color="auto" w:fill="C6EFCE"/>
            <w:noWrap/>
            <w:vAlign w:val="center"/>
          </w:tcPr>
          <w:p w14:paraId="616B5FB5" w14:textId="77777777" w:rsidR="004C6421" w:rsidRDefault="009D1962">
            <w:pPr>
              <w:pStyle w:val="P68B1DB1-Normal4"/>
              <w:spacing w:line="276" w:lineRule="auto"/>
              <w:jc w:val="center"/>
              <w:rPr>
                <w:noProof/>
              </w:rPr>
            </w:pPr>
            <w:r>
              <w:rPr>
                <w:noProof/>
              </w:rPr>
              <w:t>70</w:t>
            </w:r>
          </w:p>
        </w:tc>
        <w:tc>
          <w:tcPr>
            <w:tcW w:w="963" w:type="dxa"/>
            <w:shd w:val="clear" w:color="auto" w:fill="C6EFCE"/>
            <w:noWrap/>
            <w:vAlign w:val="center"/>
          </w:tcPr>
          <w:p w14:paraId="6F4390BF" w14:textId="61A53CCF" w:rsidR="004C6421" w:rsidRDefault="00CC179E">
            <w:pPr>
              <w:pStyle w:val="P68B1DB1-Normal4"/>
              <w:spacing w:line="276" w:lineRule="auto"/>
              <w:jc w:val="center"/>
              <w:rPr>
                <w:noProof/>
              </w:rPr>
            </w:pPr>
            <w:r>
              <w:rPr>
                <w:noProof/>
              </w:rPr>
              <w:t>KW. 4</w:t>
            </w:r>
          </w:p>
        </w:tc>
        <w:tc>
          <w:tcPr>
            <w:tcW w:w="710" w:type="dxa"/>
            <w:shd w:val="clear" w:color="auto" w:fill="C6EFCE"/>
            <w:noWrap/>
            <w:vAlign w:val="center"/>
          </w:tcPr>
          <w:p w14:paraId="0E14EFBE" w14:textId="77777777" w:rsidR="004C6421" w:rsidRDefault="009D1962">
            <w:pPr>
              <w:pStyle w:val="P68B1DB1-Normal4"/>
              <w:spacing w:line="276" w:lineRule="auto"/>
              <w:rPr>
                <w:noProof/>
              </w:rPr>
            </w:pPr>
            <w:r>
              <w:rPr>
                <w:noProof/>
              </w:rPr>
              <w:t>2025</w:t>
            </w:r>
          </w:p>
        </w:tc>
        <w:tc>
          <w:tcPr>
            <w:tcW w:w="3174" w:type="dxa"/>
            <w:shd w:val="clear" w:color="auto" w:fill="C6EFCE"/>
            <w:noWrap/>
            <w:vAlign w:val="center"/>
          </w:tcPr>
          <w:p w14:paraId="543E0558" w14:textId="77777777" w:rsidR="004C6421" w:rsidRDefault="009D1962">
            <w:pPr>
              <w:pStyle w:val="P68B1DB1-Normal4"/>
              <w:spacing w:before="60" w:after="120" w:line="276" w:lineRule="auto"/>
              <w:rPr>
                <w:noProof/>
              </w:rPr>
            </w:pPr>
            <w:r>
              <w:rPr>
                <w:noProof/>
              </w:rPr>
              <w:t>Współczynnik recyklingu opakowań szklanych w masie musi wynosić co najmniej 70 % (zgodnie z definicją w art. 6 ust. 1 lit. g) I-VI dyrektywy 94/62/WE w sprawie odpadów opakowaniowych (zmienionej dyrektywą 2018/852)).</w:t>
            </w:r>
          </w:p>
        </w:tc>
      </w:tr>
      <w:tr w:rsidR="004C6421" w14:paraId="71670406" w14:textId="77777777">
        <w:trPr>
          <w:trHeight w:val="313"/>
          <w:jc w:val="center"/>
        </w:trPr>
        <w:tc>
          <w:tcPr>
            <w:tcW w:w="1220" w:type="dxa"/>
            <w:shd w:val="clear" w:color="auto" w:fill="C6EFCE"/>
            <w:noWrap/>
            <w:vAlign w:val="center"/>
          </w:tcPr>
          <w:p w14:paraId="7A17EBD8" w14:textId="77777777" w:rsidR="004C6421" w:rsidRDefault="009D1962">
            <w:pPr>
              <w:pStyle w:val="P68B1DB1-Normal4"/>
              <w:spacing w:line="276" w:lineRule="auto"/>
              <w:jc w:val="center"/>
              <w:rPr>
                <w:noProof/>
              </w:rPr>
            </w:pPr>
            <w:r>
              <w:rPr>
                <w:noProof/>
              </w:rPr>
              <w:t>M2C1-17 septies</w:t>
            </w:r>
          </w:p>
        </w:tc>
        <w:tc>
          <w:tcPr>
            <w:tcW w:w="1598" w:type="dxa"/>
            <w:shd w:val="clear" w:color="auto" w:fill="C6EFCE"/>
            <w:noWrap/>
            <w:vAlign w:val="center"/>
          </w:tcPr>
          <w:p w14:paraId="02BFA8EC" w14:textId="77777777" w:rsidR="004C6421" w:rsidRDefault="009D1962">
            <w:pPr>
              <w:pStyle w:val="P68B1DB1-Normal4"/>
              <w:spacing w:line="276" w:lineRule="auto"/>
              <w:jc w:val="center"/>
              <w:rPr>
                <w:noProof/>
              </w:rPr>
            </w:pPr>
            <w:r>
              <w:rPr>
                <w:noProof/>
              </w:rPr>
              <w:t>Inwestycje 1.2 – Projekty przewodnie gospodarki o obiegu zamkniętym</w:t>
            </w:r>
          </w:p>
        </w:tc>
        <w:tc>
          <w:tcPr>
            <w:tcW w:w="1185" w:type="dxa"/>
            <w:shd w:val="clear" w:color="auto" w:fill="C6EFCE"/>
            <w:noWrap/>
            <w:vAlign w:val="center"/>
          </w:tcPr>
          <w:p w14:paraId="0DC00522" w14:textId="77777777" w:rsidR="004C6421" w:rsidRDefault="009D1962">
            <w:pPr>
              <w:pStyle w:val="P68B1DB1-Normal4"/>
              <w:spacing w:line="276" w:lineRule="auto"/>
              <w:jc w:val="center"/>
              <w:rPr>
                <w:noProof/>
              </w:rPr>
            </w:pPr>
            <w:r>
              <w:rPr>
                <w:noProof/>
              </w:rPr>
              <w:t>Cel</w:t>
            </w:r>
          </w:p>
        </w:tc>
        <w:tc>
          <w:tcPr>
            <w:tcW w:w="1732" w:type="dxa"/>
            <w:shd w:val="clear" w:color="auto" w:fill="C6EFCE"/>
            <w:noWrap/>
            <w:vAlign w:val="center"/>
          </w:tcPr>
          <w:p w14:paraId="1A91A0F4" w14:textId="77777777" w:rsidR="004C6421" w:rsidRDefault="009D1962">
            <w:pPr>
              <w:pStyle w:val="P68B1DB1-Normal4"/>
              <w:spacing w:line="276" w:lineRule="auto"/>
              <w:jc w:val="center"/>
              <w:rPr>
                <w:noProof/>
              </w:rPr>
            </w:pPr>
            <w:r>
              <w:rPr>
                <w:noProof/>
              </w:rPr>
              <w:t>Współczynniki recyklingu papieru i tektury w planie działania UE dotyczącym gospodarki o obiegu zamkniętym</w:t>
            </w:r>
          </w:p>
        </w:tc>
        <w:tc>
          <w:tcPr>
            <w:tcW w:w="1603" w:type="dxa"/>
            <w:shd w:val="clear" w:color="auto" w:fill="C6EFCE"/>
            <w:noWrap/>
            <w:vAlign w:val="center"/>
          </w:tcPr>
          <w:p w14:paraId="5FD87293" w14:textId="77777777" w:rsidR="004C6421" w:rsidRDefault="009D1962">
            <w:pPr>
              <w:pStyle w:val="P68B1DB1-Normal4"/>
              <w:spacing w:line="276" w:lineRule="auto"/>
              <w:jc w:val="center"/>
              <w:rPr>
                <w:noProof/>
              </w:rPr>
            </w:pPr>
            <w:r>
              <w:rPr>
                <w:noProof/>
              </w:rPr>
              <w:t>NIE DOT.</w:t>
            </w:r>
          </w:p>
        </w:tc>
        <w:tc>
          <w:tcPr>
            <w:tcW w:w="1275" w:type="dxa"/>
            <w:shd w:val="clear" w:color="auto" w:fill="C6EFCE"/>
            <w:noWrap/>
            <w:vAlign w:val="center"/>
          </w:tcPr>
          <w:p w14:paraId="0DB06B9D" w14:textId="77777777" w:rsidR="004C6421" w:rsidRDefault="009D1962">
            <w:pPr>
              <w:pStyle w:val="P68B1DB1-Normal4"/>
              <w:spacing w:line="276" w:lineRule="auto"/>
              <w:jc w:val="center"/>
              <w:rPr>
                <w:noProof/>
              </w:rPr>
            </w:pPr>
            <w:r>
              <w:rPr>
                <w:noProof/>
              </w:rPr>
              <w:t>Poziom recyklingu</w:t>
            </w:r>
          </w:p>
        </w:tc>
        <w:tc>
          <w:tcPr>
            <w:tcW w:w="993" w:type="dxa"/>
            <w:shd w:val="clear" w:color="auto" w:fill="C6EFCE"/>
            <w:noWrap/>
            <w:vAlign w:val="center"/>
          </w:tcPr>
          <w:p w14:paraId="441D2354" w14:textId="77777777" w:rsidR="004C6421" w:rsidRDefault="009D1962">
            <w:pPr>
              <w:pStyle w:val="P68B1DB1-Normal4"/>
              <w:spacing w:line="276" w:lineRule="auto"/>
              <w:jc w:val="center"/>
              <w:rPr>
                <w:noProof/>
              </w:rPr>
            </w:pPr>
            <w:r>
              <w:rPr>
                <w:noProof/>
              </w:rPr>
              <w:t>NIE DOT.</w:t>
            </w:r>
          </w:p>
        </w:tc>
        <w:tc>
          <w:tcPr>
            <w:tcW w:w="1162" w:type="dxa"/>
            <w:shd w:val="clear" w:color="auto" w:fill="C6EFCE"/>
            <w:noWrap/>
            <w:vAlign w:val="center"/>
          </w:tcPr>
          <w:p w14:paraId="2CE11752" w14:textId="77777777" w:rsidR="004C6421" w:rsidRDefault="009D1962">
            <w:pPr>
              <w:pStyle w:val="P68B1DB1-Normal4"/>
              <w:spacing w:line="276" w:lineRule="auto"/>
              <w:jc w:val="center"/>
              <w:rPr>
                <w:noProof/>
              </w:rPr>
            </w:pPr>
            <w:r>
              <w:rPr>
                <w:noProof/>
              </w:rPr>
              <w:t>75</w:t>
            </w:r>
          </w:p>
        </w:tc>
        <w:tc>
          <w:tcPr>
            <w:tcW w:w="963" w:type="dxa"/>
            <w:shd w:val="clear" w:color="auto" w:fill="C6EFCE"/>
            <w:noWrap/>
            <w:vAlign w:val="center"/>
          </w:tcPr>
          <w:p w14:paraId="52487B68" w14:textId="1B1AC99D" w:rsidR="004C6421" w:rsidRDefault="00CC179E">
            <w:pPr>
              <w:pStyle w:val="P68B1DB1-Normal4"/>
              <w:spacing w:line="276" w:lineRule="auto"/>
              <w:jc w:val="center"/>
              <w:rPr>
                <w:noProof/>
              </w:rPr>
            </w:pPr>
            <w:r>
              <w:rPr>
                <w:noProof/>
              </w:rPr>
              <w:t>KW. 4</w:t>
            </w:r>
          </w:p>
        </w:tc>
        <w:tc>
          <w:tcPr>
            <w:tcW w:w="710" w:type="dxa"/>
            <w:shd w:val="clear" w:color="auto" w:fill="C6EFCE"/>
            <w:noWrap/>
            <w:vAlign w:val="center"/>
          </w:tcPr>
          <w:p w14:paraId="41B31DB9" w14:textId="77777777" w:rsidR="004C6421" w:rsidRDefault="009D1962">
            <w:pPr>
              <w:pStyle w:val="P68B1DB1-Normal4"/>
              <w:spacing w:line="276" w:lineRule="auto"/>
              <w:rPr>
                <w:noProof/>
              </w:rPr>
            </w:pPr>
            <w:r>
              <w:rPr>
                <w:noProof/>
              </w:rPr>
              <w:t>2025</w:t>
            </w:r>
          </w:p>
        </w:tc>
        <w:tc>
          <w:tcPr>
            <w:tcW w:w="3174" w:type="dxa"/>
            <w:shd w:val="clear" w:color="auto" w:fill="C6EFCE"/>
            <w:noWrap/>
            <w:vAlign w:val="center"/>
          </w:tcPr>
          <w:p w14:paraId="0F880CFD" w14:textId="77777777" w:rsidR="004C6421" w:rsidRDefault="009D1962">
            <w:pPr>
              <w:pStyle w:val="P68B1DB1-Normal4"/>
              <w:spacing w:before="60" w:after="120" w:line="276" w:lineRule="auto"/>
              <w:rPr>
                <w:noProof/>
              </w:rPr>
            </w:pPr>
            <w:r>
              <w:rPr>
                <w:noProof/>
              </w:rPr>
              <w:t>Współczynnik recyklingu papieru i tektury wagowo wynosi co najmniej 75 % (zgodnie z definicją w art. 6 ust. 1 lit. g) I-VI dyrektywy 94/62/WE w sprawie odpadów opakowaniowych (zmienionej dyrektywą 2018/852)).</w:t>
            </w:r>
          </w:p>
        </w:tc>
      </w:tr>
      <w:tr w:rsidR="004C6421" w14:paraId="173FFE4E" w14:textId="77777777">
        <w:trPr>
          <w:trHeight w:val="313"/>
          <w:jc w:val="center"/>
        </w:trPr>
        <w:tc>
          <w:tcPr>
            <w:tcW w:w="1220" w:type="dxa"/>
            <w:shd w:val="clear" w:color="auto" w:fill="C6EFCE"/>
            <w:noWrap/>
            <w:vAlign w:val="center"/>
          </w:tcPr>
          <w:p w14:paraId="18124A46" w14:textId="77777777" w:rsidR="004C6421" w:rsidRDefault="009D1962">
            <w:pPr>
              <w:pStyle w:val="P68B1DB1-Normal4"/>
              <w:spacing w:line="276" w:lineRule="auto"/>
              <w:jc w:val="center"/>
              <w:rPr>
                <w:noProof/>
              </w:rPr>
            </w:pPr>
            <w:r>
              <w:rPr>
                <w:noProof/>
              </w:rPr>
              <w:t>M2C1-17 cties</w:t>
            </w:r>
          </w:p>
        </w:tc>
        <w:tc>
          <w:tcPr>
            <w:tcW w:w="1598" w:type="dxa"/>
            <w:shd w:val="clear" w:color="auto" w:fill="C6EFCE"/>
            <w:noWrap/>
            <w:vAlign w:val="center"/>
          </w:tcPr>
          <w:p w14:paraId="10B82F15" w14:textId="77777777" w:rsidR="004C6421" w:rsidRDefault="009D1962">
            <w:pPr>
              <w:pStyle w:val="P68B1DB1-Normal4"/>
              <w:spacing w:line="276" w:lineRule="auto"/>
              <w:jc w:val="center"/>
              <w:rPr>
                <w:noProof/>
              </w:rPr>
            </w:pPr>
            <w:r>
              <w:rPr>
                <w:noProof/>
              </w:rPr>
              <w:t>Inwestycje 1.2 – Projekty przewodnie gospodarki o obiegu zamkniętym</w:t>
            </w:r>
          </w:p>
        </w:tc>
        <w:tc>
          <w:tcPr>
            <w:tcW w:w="1185" w:type="dxa"/>
            <w:shd w:val="clear" w:color="auto" w:fill="C6EFCE"/>
            <w:noWrap/>
            <w:vAlign w:val="center"/>
          </w:tcPr>
          <w:p w14:paraId="04F2EF55" w14:textId="77777777" w:rsidR="004C6421" w:rsidRDefault="009D1962">
            <w:pPr>
              <w:pStyle w:val="P68B1DB1-Normal4"/>
              <w:spacing w:line="276" w:lineRule="auto"/>
              <w:jc w:val="center"/>
              <w:rPr>
                <w:noProof/>
              </w:rPr>
            </w:pPr>
            <w:r>
              <w:rPr>
                <w:noProof/>
              </w:rPr>
              <w:t>Cel</w:t>
            </w:r>
          </w:p>
        </w:tc>
        <w:tc>
          <w:tcPr>
            <w:tcW w:w="1732" w:type="dxa"/>
            <w:shd w:val="clear" w:color="auto" w:fill="C6EFCE"/>
            <w:noWrap/>
            <w:vAlign w:val="center"/>
          </w:tcPr>
          <w:p w14:paraId="76D433EB" w14:textId="77777777" w:rsidR="004C6421" w:rsidRDefault="009D1962">
            <w:pPr>
              <w:pStyle w:val="P68B1DB1-Normal4"/>
              <w:spacing w:line="276" w:lineRule="auto"/>
              <w:jc w:val="center"/>
              <w:rPr>
                <w:noProof/>
              </w:rPr>
            </w:pPr>
            <w:r>
              <w:rPr>
                <w:noProof/>
              </w:rPr>
              <w:t>Wskaźniki recyklingu opakowań z tworzyw sztucznych w planie działania UE dotyczącym gospodarki o obiegu zamkniętym</w:t>
            </w:r>
          </w:p>
        </w:tc>
        <w:tc>
          <w:tcPr>
            <w:tcW w:w="1603" w:type="dxa"/>
            <w:shd w:val="clear" w:color="auto" w:fill="C6EFCE"/>
            <w:noWrap/>
            <w:vAlign w:val="center"/>
          </w:tcPr>
          <w:p w14:paraId="45D8A65F" w14:textId="77777777" w:rsidR="004C6421" w:rsidRDefault="009D1962">
            <w:pPr>
              <w:pStyle w:val="P68B1DB1-Normal4"/>
              <w:spacing w:line="276" w:lineRule="auto"/>
              <w:jc w:val="center"/>
              <w:rPr>
                <w:noProof/>
              </w:rPr>
            </w:pPr>
            <w:r>
              <w:rPr>
                <w:noProof/>
              </w:rPr>
              <w:t>NIE DOT.</w:t>
            </w:r>
          </w:p>
        </w:tc>
        <w:tc>
          <w:tcPr>
            <w:tcW w:w="1275" w:type="dxa"/>
            <w:shd w:val="clear" w:color="auto" w:fill="C6EFCE"/>
            <w:noWrap/>
            <w:vAlign w:val="center"/>
          </w:tcPr>
          <w:p w14:paraId="237368D9" w14:textId="77777777" w:rsidR="004C6421" w:rsidRDefault="009D1962">
            <w:pPr>
              <w:pStyle w:val="P68B1DB1-Normal4"/>
              <w:spacing w:line="276" w:lineRule="auto"/>
              <w:jc w:val="center"/>
              <w:rPr>
                <w:noProof/>
              </w:rPr>
            </w:pPr>
            <w:r>
              <w:rPr>
                <w:noProof/>
              </w:rPr>
              <w:t>Poziom recyklingu</w:t>
            </w:r>
          </w:p>
        </w:tc>
        <w:tc>
          <w:tcPr>
            <w:tcW w:w="993" w:type="dxa"/>
            <w:shd w:val="clear" w:color="auto" w:fill="C6EFCE"/>
            <w:noWrap/>
            <w:vAlign w:val="center"/>
          </w:tcPr>
          <w:p w14:paraId="1D8A1A9C" w14:textId="77777777" w:rsidR="004C6421" w:rsidRDefault="009D1962">
            <w:pPr>
              <w:pStyle w:val="P68B1DB1-Normal4"/>
              <w:spacing w:line="276" w:lineRule="auto"/>
              <w:jc w:val="center"/>
              <w:rPr>
                <w:noProof/>
              </w:rPr>
            </w:pPr>
            <w:r>
              <w:rPr>
                <w:noProof/>
              </w:rPr>
              <w:t>NIE DOT.</w:t>
            </w:r>
          </w:p>
        </w:tc>
        <w:tc>
          <w:tcPr>
            <w:tcW w:w="1162" w:type="dxa"/>
            <w:shd w:val="clear" w:color="auto" w:fill="C6EFCE"/>
            <w:noWrap/>
            <w:vAlign w:val="center"/>
          </w:tcPr>
          <w:p w14:paraId="562B9AFA" w14:textId="77777777" w:rsidR="004C6421" w:rsidRDefault="009D1962">
            <w:pPr>
              <w:pStyle w:val="P68B1DB1-Normal4"/>
              <w:spacing w:line="276" w:lineRule="auto"/>
              <w:jc w:val="center"/>
              <w:rPr>
                <w:noProof/>
              </w:rPr>
            </w:pPr>
            <w:r>
              <w:rPr>
                <w:noProof/>
              </w:rPr>
              <w:t>50</w:t>
            </w:r>
          </w:p>
        </w:tc>
        <w:tc>
          <w:tcPr>
            <w:tcW w:w="963" w:type="dxa"/>
            <w:shd w:val="clear" w:color="auto" w:fill="C6EFCE"/>
            <w:noWrap/>
            <w:vAlign w:val="center"/>
          </w:tcPr>
          <w:p w14:paraId="61E54D86" w14:textId="6DB53B8A" w:rsidR="004C6421" w:rsidRDefault="00CC179E">
            <w:pPr>
              <w:pStyle w:val="P68B1DB1-Normal4"/>
              <w:spacing w:line="276" w:lineRule="auto"/>
              <w:jc w:val="center"/>
              <w:rPr>
                <w:noProof/>
              </w:rPr>
            </w:pPr>
            <w:r>
              <w:rPr>
                <w:noProof/>
              </w:rPr>
              <w:t>KW. 4</w:t>
            </w:r>
          </w:p>
        </w:tc>
        <w:tc>
          <w:tcPr>
            <w:tcW w:w="710" w:type="dxa"/>
            <w:shd w:val="clear" w:color="auto" w:fill="C6EFCE"/>
            <w:noWrap/>
            <w:vAlign w:val="center"/>
          </w:tcPr>
          <w:p w14:paraId="34DBEC51" w14:textId="77777777" w:rsidR="004C6421" w:rsidRDefault="009D1962">
            <w:pPr>
              <w:pStyle w:val="P68B1DB1-Normal4"/>
              <w:spacing w:line="276" w:lineRule="auto"/>
              <w:rPr>
                <w:noProof/>
              </w:rPr>
            </w:pPr>
            <w:r>
              <w:rPr>
                <w:noProof/>
              </w:rPr>
              <w:t>2025</w:t>
            </w:r>
          </w:p>
        </w:tc>
        <w:tc>
          <w:tcPr>
            <w:tcW w:w="3174" w:type="dxa"/>
            <w:shd w:val="clear" w:color="auto" w:fill="C6EFCE"/>
            <w:noWrap/>
            <w:vAlign w:val="center"/>
          </w:tcPr>
          <w:p w14:paraId="7405A2B5" w14:textId="77777777" w:rsidR="004C6421" w:rsidRDefault="009D1962">
            <w:pPr>
              <w:pStyle w:val="P68B1DB1-Normal4"/>
              <w:spacing w:before="60" w:after="120" w:line="276" w:lineRule="auto"/>
              <w:rPr>
                <w:noProof/>
              </w:rPr>
            </w:pPr>
            <w:r>
              <w:rPr>
                <w:noProof/>
              </w:rPr>
              <w:t>Współczynnik recyklingu opakowań z tworzyw sztucznych wagowo musi wynosić co najmniej 50 % (zgodnie z definicją w art. 6 ust. 1 lit. g) I-VI dyrektywy 94/62/WE w sprawie odpadów opakowaniowych (zmienionej dyrektywą 2018/852)).</w:t>
            </w:r>
          </w:p>
        </w:tc>
      </w:tr>
      <w:tr w:rsidR="004C6421" w14:paraId="3E7CD8A4" w14:textId="77777777">
        <w:trPr>
          <w:trHeight w:val="313"/>
          <w:jc w:val="center"/>
        </w:trPr>
        <w:tc>
          <w:tcPr>
            <w:tcW w:w="1220" w:type="dxa"/>
            <w:shd w:val="clear" w:color="auto" w:fill="C6EFCE"/>
            <w:noWrap/>
            <w:vAlign w:val="center"/>
          </w:tcPr>
          <w:p w14:paraId="0D0BB641" w14:textId="77777777" w:rsidR="004C6421" w:rsidRDefault="009D1962">
            <w:pPr>
              <w:pStyle w:val="P68B1DB1-Normal4"/>
              <w:spacing w:line="276" w:lineRule="auto"/>
              <w:jc w:val="center"/>
              <w:rPr>
                <w:noProof/>
              </w:rPr>
            </w:pPr>
            <w:r>
              <w:rPr>
                <w:noProof/>
              </w:rPr>
              <w:t>M2C1-17 inne</w:t>
            </w:r>
          </w:p>
        </w:tc>
        <w:tc>
          <w:tcPr>
            <w:tcW w:w="1598" w:type="dxa"/>
            <w:shd w:val="clear" w:color="auto" w:fill="C6EFCE"/>
            <w:noWrap/>
            <w:vAlign w:val="center"/>
          </w:tcPr>
          <w:p w14:paraId="155B8CC5" w14:textId="77777777" w:rsidR="004C6421" w:rsidRDefault="009D1962">
            <w:pPr>
              <w:pStyle w:val="P68B1DB1-Normal4"/>
              <w:spacing w:line="276" w:lineRule="auto"/>
              <w:jc w:val="center"/>
              <w:rPr>
                <w:noProof/>
              </w:rPr>
            </w:pPr>
            <w:r>
              <w:rPr>
                <w:noProof/>
              </w:rPr>
              <w:t>Reforma 1.1</w:t>
            </w:r>
          </w:p>
          <w:p w14:paraId="74341B09" w14:textId="77777777" w:rsidR="004C6421" w:rsidRDefault="009D1962">
            <w:pPr>
              <w:pStyle w:val="P68B1DB1-Normal4"/>
              <w:spacing w:line="276" w:lineRule="auto"/>
              <w:jc w:val="center"/>
              <w:rPr>
                <w:noProof/>
              </w:rPr>
            </w:pPr>
            <w:r>
              <w:rPr>
                <w:noProof/>
              </w:rPr>
              <w:t>Krajowy program na rzecz gospodarki o obiegu zamkniętym;</w:t>
            </w:r>
          </w:p>
          <w:p w14:paraId="0DFE0E53" w14:textId="77777777" w:rsidR="004C6421" w:rsidRDefault="009D1962">
            <w:pPr>
              <w:pStyle w:val="P68B1DB1-Normal4"/>
              <w:spacing w:line="276" w:lineRule="auto"/>
              <w:jc w:val="center"/>
              <w:rPr>
                <w:noProof/>
              </w:rPr>
            </w:pPr>
            <w:r>
              <w:rPr>
                <w:noProof/>
              </w:rPr>
              <w:t>Inwestycje 1.2 – Projekty przewodnie gospodarki o obiegu zamkniętym</w:t>
            </w:r>
          </w:p>
        </w:tc>
        <w:tc>
          <w:tcPr>
            <w:tcW w:w="1185" w:type="dxa"/>
            <w:shd w:val="clear" w:color="auto" w:fill="C6EFCE"/>
            <w:noWrap/>
            <w:vAlign w:val="center"/>
          </w:tcPr>
          <w:p w14:paraId="667848E9" w14:textId="5CB9FD1D" w:rsidR="004C6421" w:rsidRDefault="00CC179E">
            <w:pPr>
              <w:pStyle w:val="P68B1DB1-Normal4"/>
              <w:spacing w:line="276" w:lineRule="auto"/>
              <w:jc w:val="center"/>
              <w:rPr>
                <w:noProof/>
              </w:rPr>
            </w:pPr>
            <w:r>
              <w:rPr>
                <w:noProof/>
              </w:rPr>
              <w:t>Milowy</w:t>
            </w:r>
          </w:p>
        </w:tc>
        <w:tc>
          <w:tcPr>
            <w:tcW w:w="1732" w:type="dxa"/>
            <w:shd w:val="clear" w:color="auto" w:fill="C6EFCE"/>
            <w:noWrap/>
            <w:vAlign w:val="center"/>
          </w:tcPr>
          <w:p w14:paraId="2F920CC7" w14:textId="77777777" w:rsidR="004C6421" w:rsidRDefault="009D1962">
            <w:pPr>
              <w:pStyle w:val="P68B1DB1-Normal4"/>
              <w:spacing w:line="276" w:lineRule="auto"/>
              <w:jc w:val="center"/>
              <w:rPr>
                <w:noProof/>
              </w:rPr>
            </w:pPr>
            <w:r>
              <w:rPr>
                <w:noProof/>
              </w:rPr>
              <w:t>Wejście w życie selektywnej zbiórki frakcji odpadów niebezpiecznych wytwarzanych przez gospodarstwa domowe i tekstylia</w:t>
            </w:r>
          </w:p>
        </w:tc>
        <w:tc>
          <w:tcPr>
            <w:tcW w:w="1603" w:type="dxa"/>
            <w:shd w:val="clear" w:color="auto" w:fill="C6EFCE"/>
            <w:noWrap/>
            <w:vAlign w:val="center"/>
          </w:tcPr>
          <w:p w14:paraId="11010AFC" w14:textId="77777777" w:rsidR="004C6421" w:rsidRDefault="009D1962">
            <w:pPr>
              <w:pStyle w:val="P68B1DB1-Normal4"/>
              <w:spacing w:line="276" w:lineRule="auto"/>
              <w:jc w:val="center"/>
              <w:rPr>
                <w:noProof/>
              </w:rPr>
            </w:pPr>
            <w:r>
              <w:rPr>
                <w:noProof/>
              </w:rPr>
              <w:t>Przepis w aktach prawnych wskazujący na wejście w życie</w:t>
            </w:r>
          </w:p>
        </w:tc>
        <w:tc>
          <w:tcPr>
            <w:tcW w:w="1275" w:type="dxa"/>
            <w:shd w:val="clear" w:color="auto" w:fill="C6EFCE"/>
            <w:noWrap/>
            <w:vAlign w:val="center"/>
          </w:tcPr>
          <w:p w14:paraId="700F0D1B" w14:textId="77777777" w:rsidR="004C6421" w:rsidRDefault="009D1962">
            <w:pPr>
              <w:pStyle w:val="P68B1DB1-Normal4"/>
              <w:spacing w:line="276" w:lineRule="auto"/>
              <w:jc w:val="center"/>
              <w:rPr>
                <w:noProof/>
              </w:rPr>
            </w:pPr>
            <w:r>
              <w:rPr>
                <w:noProof/>
              </w:rPr>
              <w:t>NIE DOT.</w:t>
            </w:r>
          </w:p>
        </w:tc>
        <w:tc>
          <w:tcPr>
            <w:tcW w:w="993" w:type="dxa"/>
            <w:shd w:val="clear" w:color="auto" w:fill="C6EFCE"/>
            <w:noWrap/>
            <w:vAlign w:val="center"/>
          </w:tcPr>
          <w:p w14:paraId="0C76C16B" w14:textId="77777777" w:rsidR="004C6421" w:rsidRDefault="009D1962">
            <w:pPr>
              <w:pStyle w:val="P68B1DB1-Normal4"/>
              <w:spacing w:line="276" w:lineRule="auto"/>
              <w:jc w:val="center"/>
              <w:rPr>
                <w:noProof/>
              </w:rPr>
            </w:pPr>
            <w:r>
              <w:rPr>
                <w:noProof/>
              </w:rPr>
              <w:t>NIE DOT.</w:t>
            </w:r>
          </w:p>
        </w:tc>
        <w:tc>
          <w:tcPr>
            <w:tcW w:w="1162" w:type="dxa"/>
            <w:shd w:val="clear" w:color="auto" w:fill="C6EFCE"/>
            <w:noWrap/>
            <w:vAlign w:val="center"/>
          </w:tcPr>
          <w:p w14:paraId="42E6DC0B" w14:textId="77777777" w:rsidR="004C6421" w:rsidRDefault="009D1962">
            <w:pPr>
              <w:pStyle w:val="P68B1DB1-Normal4"/>
              <w:spacing w:line="276" w:lineRule="auto"/>
              <w:jc w:val="center"/>
              <w:rPr>
                <w:noProof/>
              </w:rPr>
            </w:pPr>
            <w:r>
              <w:rPr>
                <w:noProof/>
              </w:rPr>
              <w:t>NIE DOT.</w:t>
            </w:r>
          </w:p>
        </w:tc>
        <w:tc>
          <w:tcPr>
            <w:tcW w:w="963" w:type="dxa"/>
            <w:shd w:val="clear" w:color="auto" w:fill="C6EFCE"/>
            <w:noWrap/>
            <w:vAlign w:val="center"/>
          </w:tcPr>
          <w:p w14:paraId="2D947859" w14:textId="66303599" w:rsidR="004C6421" w:rsidRDefault="00CC179E">
            <w:pPr>
              <w:pStyle w:val="P68B1DB1-Normal4"/>
              <w:spacing w:line="276" w:lineRule="auto"/>
              <w:jc w:val="center"/>
              <w:rPr>
                <w:noProof/>
              </w:rPr>
            </w:pPr>
            <w:r>
              <w:rPr>
                <w:noProof/>
              </w:rPr>
              <w:t>KW. 4</w:t>
            </w:r>
          </w:p>
        </w:tc>
        <w:tc>
          <w:tcPr>
            <w:tcW w:w="710" w:type="dxa"/>
            <w:shd w:val="clear" w:color="auto" w:fill="C6EFCE"/>
            <w:noWrap/>
            <w:vAlign w:val="center"/>
          </w:tcPr>
          <w:p w14:paraId="33D9CCD1" w14:textId="77777777" w:rsidR="004C6421" w:rsidRDefault="009D1962">
            <w:pPr>
              <w:pStyle w:val="P68B1DB1-Normal4"/>
              <w:spacing w:line="276" w:lineRule="auto"/>
              <w:rPr>
                <w:noProof/>
              </w:rPr>
            </w:pPr>
            <w:r>
              <w:rPr>
                <w:noProof/>
              </w:rPr>
              <w:t>2025</w:t>
            </w:r>
          </w:p>
        </w:tc>
        <w:tc>
          <w:tcPr>
            <w:tcW w:w="3174" w:type="dxa"/>
            <w:shd w:val="clear" w:color="auto" w:fill="C6EFCE"/>
            <w:noWrap/>
            <w:vAlign w:val="center"/>
          </w:tcPr>
          <w:p w14:paraId="459349A3" w14:textId="77777777" w:rsidR="004C6421" w:rsidRDefault="009D1962">
            <w:pPr>
              <w:pStyle w:val="P68B1DB1-Normal4"/>
              <w:spacing w:before="60" w:after="120" w:line="276" w:lineRule="auto"/>
              <w:rPr>
                <w:noProof/>
              </w:rPr>
            </w:pPr>
            <w:r>
              <w:rPr>
                <w:noProof/>
              </w:rPr>
              <w:t>Wejście w życie selektywnej zbiórki frakcji odpadów niebezpiecznych wytwarzanych przez gospodarstwa domowe i wyroby włókiennicze zgodnie z planem działania UE dotyczącym gospodarki o obiegu zamkniętym.</w:t>
            </w:r>
          </w:p>
        </w:tc>
      </w:tr>
      <w:tr w:rsidR="004C6421" w14:paraId="2C09A3C1" w14:textId="77777777">
        <w:trPr>
          <w:trHeight w:val="313"/>
          <w:jc w:val="center"/>
        </w:trPr>
        <w:tc>
          <w:tcPr>
            <w:tcW w:w="1220" w:type="dxa"/>
            <w:shd w:val="clear" w:color="auto" w:fill="C6EFCE"/>
            <w:noWrap/>
            <w:vAlign w:val="center"/>
          </w:tcPr>
          <w:p w14:paraId="568FF108" w14:textId="77777777" w:rsidR="004C6421" w:rsidRDefault="009D1962">
            <w:pPr>
              <w:pStyle w:val="P68B1DB1-Normal4"/>
              <w:spacing w:line="276" w:lineRule="auto"/>
              <w:jc w:val="center"/>
              <w:rPr>
                <w:noProof/>
              </w:rPr>
            </w:pPr>
            <w:r>
              <w:rPr>
                <w:noProof/>
              </w:rPr>
              <w:t>M2C1-18</w:t>
            </w:r>
          </w:p>
        </w:tc>
        <w:tc>
          <w:tcPr>
            <w:tcW w:w="1598" w:type="dxa"/>
            <w:shd w:val="clear" w:color="auto" w:fill="C6EFCE"/>
            <w:noWrap/>
            <w:vAlign w:val="center"/>
          </w:tcPr>
          <w:p w14:paraId="6B1E977F" w14:textId="77777777" w:rsidR="004C6421" w:rsidRDefault="009D1962">
            <w:pPr>
              <w:pStyle w:val="P68B1DB1-Normal4"/>
              <w:spacing w:line="276" w:lineRule="auto"/>
              <w:jc w:val="center"/>
              <w:rPr>
                <w:noProof/>
              </w:rPr>
            </w:pPr>
            <w:r>
              <w:rPr>
                <w:noProof/>
              </w:rPr>
              <w:t>Inwestycja 3.1: Zielone wyspy</w:t>
            </w:r>
          </w:p>
        </w:tc>
        <w:tc>
          <w:tcPr>
            <w:tcW w:w="1185" w:type="dxa"/>
            <w:shd w:val="clear" w:color="auto" w:fill="C6EFCE"/>
            <w:noWrap/>
            <w:vAlign w:val="center"/>
          </w:tcPr>
          <w:p w14:paraId="0FA6C9F1" w14:textId="62851648" w:rsidR="004C6421" w:rsidRDefault="00CC179E">
            <w:pPr>
              <w:pStyle w:val="P68B1DB1-Normal4"/>
              <w:spacing w:line="276" w:lineRule="auto"/>
              <w:jc w:val="center"/>
              <w:rPr>
                <w:noProof/>
              </w:rPr>
            </w:pPr>
            <w:r>
              <w:rPr>
                <w:noProof/>
              </w:rPr>
              <w:t>Milowy</w:t>
            </w:r>
          </w:p>
        </w:tc>
        <w:tc>
          <w:tcPr>
            <w:tcW w:w="1732" w:type="dxa"/>
            <w:shd w:val="clear" w:color="auto" w:fill="C6EFCE"/>
            <w:noWrap/>
            <w:vAlign w:val="center"/>
          </w:tcPr>
          <w:p w14:paraId="0C9DDE1F" w14:textId="77777777" w:rsidR="004C6421" w:rsidRDefault="009D1962">
            <w:pPr>
              <w:pStyle w:val="P68B1DB1-Normal4"/>
              <w:spacing w:line="276" w:lineRule="auto"/>
              <w:jc w:val="center"/>
              <w:rPr>
                <w:noProof/>
              </w:rPr>
            </w:pPr>
            <w:r>
              <w:rPr>
                <w:noProof/>
              </w:rPr>
              <w:t>Wejście w życie dekretu dyrektora</w:t>
            </w:r>
          </w:p>
        </w:tc>
        <w:tc>
          <w:tcPr>
            <w:tcW w:w="1603" w:type="dxa"/>
            <w:shd w:val="clear" w:color="auto" w:fill="C6EFCE"/>
            <w:noWrap/>
            <w:vAlign w:val="center"/>
          </w:tcPr>
          <w:p w14:paraId="1F5F0E40" w14:textId="77777777" w:rsidR="004C6421" w:rsidRDefault="009D1962">
            <w:pPr>
              <w:pStyle w:val="P68B1DB1-Normal4"/>
              <w:spacing w:line="276" w:lineRule="auto"/>
              <w:jc w:val="center"/>
              <w:rPr>
                <w:noProof/>
              </w:rPr>
            </w:pPr>
            <w:r>
              <w:rPr>
                <w:noProof/>
              </w:rPr>
              <w:t>Przepis rozporządzenia wskazujący na wejście w życie ustawy NIE DOT.</w:t>
            </w:r>
          </w:p>
        </w:tc>
        <w:tc>
          <w:tcPr>
            <w:tcW w:w="1275" w:type="dxa"/>
            <w:shd w:val="clear" w:color="auto" w:fill="C6EFCE"/>
            <w:noWrap/>
            <w:vAlign w:val="center"/>
          </w:tcPr>
          <w:p w14:paraId="1CB26F90" w14:textId="77777777" w:rsidR="004C6421" w:rsidRDefault="009D1962">
            <w:pPr>
              <w:pStyle w:val="P68B1DB1-Normal4"/>
              <w:spacing w:line="276" w:lineRule="auto"/>
              <w:jc w:val="center"/>
              <w:rPr>
                <w:noProof/>
              </w:rPr>
            </w:pPr>
            <w:r>
              <w:rPr>
                <w:noProof/>
              </w:rPr>
              <w:t>NIE DOT.</w:t>
            </w:r>
          </w:p>
        </w:tc>
        <w:tc>
          <w:tcPr>
            <w:tcW w:w="993" w:type="dxa"/>
            <w:shd w:val="clear" w:color="auto" w:fill="C6EFCE"/>
            <w:noWrap/>
            <w:vAlign w:val="center"/>
          </w:tcPr>
          <w:p w14:paraId="046EB7A4" w14:textId="77777777" w:rsidR="004C6421" w:rsidRDefault="009D1962">
            <w:pPr>
              <w:pStyle w:val="P68B1DB1-Normal4"/>
              <w:spacing w:line="276" w:lineRule="auto"/>
              <w:jc w:val="center"/>
              <w:rPr>
                <w:noProof/>
              </w:rPr>
            </w:pPr>
            <w:r>
              <w:rPr>
                <w:noProof/>
              </w:rPr>
              <w:t>NIE DOT.</w:t>
            </w:r>
          </w:p>
        </w:tc>
        <w:tc>
          <w:tcPr>
            <w:tcW w:w="1162" w:type="dxa"/>
            <w:shd w:val="clear" w:color="auto" w:fill="C6EFCE"/>
            <w:noWrap/>
            <w:vAlign w:val="center"/>
          </w:tcPr>
          <w:p w14:paraId="2687B744" w14:textId="77777777" w:rsidR="004C6421" w:rsidRDefault="009D1962">
            <w:pPr>
              <w:pStyle w:val="P68B1DB1-Normal4"/>
              <w:spacing w:line="276" w:lineRule="auto"/>
              <w:jc w:val="center"/>
              <w:rPr>
                <w:noProof/>
              </w:rPr>
            </w:pPr>
            <w:r>
              <w:rPr>
                <w:noProof/>
              </w:rPr>
              <w:t>NIE DOT.</w:t>
            </w:r>
          </w:p>
        </w:tc>
        <w:tc>
          <w:tcPr>
            <w:tcW w:w="963" w:type="dxa"/>
            <w:shd w:val="clear" w:color="auto" w:fill="C6EFCE"/>
            <w:noWrap/>
            <w:vAlign w:val="center"/>
          </w:tcPr>
          <w:p w14:paraId="3F8E7762" w14:textId="77777777" w:rsidR="004C6421" w:rsidRDefault="009D1962">
            <w:pPr>
              <w:pStyle w:val="P68B1DB1-Normal4"/>
              <w:spacing w:line="276" w:lineRule="auto"/>
              <w:jc w:val="center"/>
              <w:rPr>
                <w:noProof/>
              </w:rPr>
            </w:pPr>
            <w:r>
              <w:rPr>
                <w:noProof/>
              </w:rPr>
              <w:t>III KW.</w:t>
            </w:r>
          </w:p>
        </w:tc>
        <w:tc>
          <w:tcPr>
            <w:tcW w:w="710" w:type="dxa"/>
            <w:shd w:val="clear" w:color="auto" w:fill="C6EFCE"/>
            <w:noWrap/>
            <w:vAlign w:val="center"/>
          </w:tcPr>
          <w:p w14:paraId="5786AF9C" w14:textId="77777777" w:rsidR="004C6421" w:rsidRDefault="009D1962">
            <w:pPr>
              <w:pStyle w:val="P68B1DB1-Normal4"/>
              <w:spacing w:line="276" w:lineRule="auto"/>
              <w:rPr>
                <w:noProof/>
              </w:rPr>
            </w:pPr>
            <w:r>
              <w:rPr>
                <w:noProof/>
              </w:rPr>
              <w:t>2022</w:t>
            </w:r>
          </w:p>
        </w:tc>
        <w:tc>
          <w:tcPr>
            <w:tcW w:w="3174" w:type="dxa"/>
            <w:shd w:val="clear" w:color="auto" w:fill="C6EFCE"/>
            <w:noWrap/>
            <w:vAlign w:val="center"/>
          </w:tcPr>
          <w:p w14:paraId="650BD8AC" w14:textId="77777777" w:rsidR="004C6421" w:rsidRDefault="009D1962">
            <w:pPr>
              <w:pStyle w:val="P68B1DB1-Normal4"/>
              <w:spacing w:before="120" w:after="120" w:line="276" w:lineRule="auto"/>
              <w:rPr>
                <w:noProof/>
              </w:rPr>
            </w:pPr>
            <w:r>
              <w:rPr>
                <w:noProof/>
              </w:rPr>
              <w:t>Zarządzenie dyrektora zatwierdza klasyfikację projektów odnoszących się do wyników publicznego ogłoszenia. Procedura wyboru obejmuje:</w:t>
            </w:r>
          </w:p>
          <w:p w14:paraId="128438FF" w14:textId="77777777" w:rsidR="004C6421" w:rsidRDefault="009D1962">
            <w:pPr>
              <w:pStyle w:val="P68B1DB1-Normal4"/>
              <w:spacing w:before="120" w:after="120" w:line="276" w:lineRule="auto"/>
              <w:rPr>
                <w:noProof/>
              </w:rPr>
            </w:pPr>
            <w:r>
              <w:rPr>
                <w:noProof/>
              </w:rPr>
              <w:t>kryteria kwalifikowalności, które zapewniają zgodność wybranych projektów z wytycznymi technicznymi dotyczącymi zasady „nie czyń poważnych szkód” (2021/C58/01) poprzez wykorzystanie listy wykluczenia i wymóg zgodności z odpowiednimi unijnymi i krajowymi przepisami w zakresie ochrony środowiska.</w:t>
            </w:r>
          </w:p>
          <w:p w14:paraId="758B416F" w14:textId="77777777" w:rsidR="004C6421" w:rsidRDefault="009D1962">
            <w:pPr>
              <w:pStyle w:val="P68B1DB1-Normal4"/>
              <w:spacing w:line="276" w:lineRule="auto"/>
              <w:rPr>
                <w:noProof/>
              </w:rPr>
            </w:pPr>
            <w:r>
              <w:rPr>
                <w:noProof/>
              </w:rPr>
              <w:t>b) Zobowiązanie, że wkład inwestycji w działania na rzecz klimatu zgodnie z metodyką określoną w załączniku VI do rozporządzenia (UE) 2021/241 musi stanowić co najmniej 37 % łącznych kosztów inwestycji wspieranej z RRF.</w:t>
            </w:r>
          </w:p>
          <w:p w14:paraId="7A5A455E" w14:textId="77777777" w:rsidR="004C6421" w:rsidRDefault="009D1962">
            <w:pPr>
              <w:pStyle w:val="P68B1DB1-Normal4"/>
              <w:spacing w:before="120" w:after="120" w:line="276" w:lineRule="auto"/>
              <w:rPr>
                <w:noProof/>
              </w:rPr>
            </w:pPr>
            <w:r>
              <w:rPr>
                <w:noProof/>
              </w:rPr>
              <w:t>C) Zobowiązanie do składania sprawozdań z realizacji środka w połowie okresu obowiązywania programu i zakończenia programu.</w:t>
            </w:r>
          </w:p>
          <w:p w14:paraId="742425B3" w14:textId="77777777" w:rsidR="004C6421" w:rsidRDefault="009D1962">
            <w:pPr>
              <w:pStyle w:val="P68B1DB1-Normal4"/>
              <w:spacing w:before="120" w:after="120" w:line="276" w:lineRule="auto"/>
              <w:rPr>
                <w:noProof/>
              </w:rPr>
            </w:pPr>
            <w:r>
              <w:rPr>
                <w:noProof/>
              </w:rPr>
              <w:t>Możliwe obszary interwencji to:</w:t>
            </w:r>
          </w:p>
          <w:p w14:paraId="29C73C4A" w14:textId="77777777" w:rsidR="004C6421" w:rsidRDefault="009D1962">
            <w:pPr>
              <w:pStyle w:val="P68B1DB1-Normal4"/>
              <w:numPr>
                <w:ilvl w:val="0"/>
                <w:numId w:val="65"/>
              </w:numPr>
              <w:spacing w:before="120" w:line="276" w:lineRule="auto"/>
              <w:ind w:left="341"/>
              <w:contextualSpacing/>
              <w:rPr>
                <w:noProof/>
              </w:rPr>
            </w:pPr>
            <w:r>
              <w:rPr>
                <w:noProof/>
              </w:rPr>
              <w:t>zintegrowane i certyfikowane zarządzanie dziedzictwem rolno-leśnym („również poprzez wymianę jednostek pochodzących z wychwytywania dwutlenku węgla, zarządzanie różnorodnością biologiczną i certyfikację łańcucha dostaw drewna”);</w:t>
            </w:r>
          </w:p>
          <w:p w14:paraId="5B60AAE3" w14:textId="77777777" w:rsidR="004C6421" w:rsidRDefault="009D1962">
            <w:pPr>
              <w:pStyle w:val="P68B1DB1-Normal4"/>
              <w:numPr>
                <w:ilvl w:val="0"/>
                <w:numId w:val="65"/>
              </w:numPr>
              <w:spacing w:before="120" w:line="276" w:lineRule="auto"/>
              <w:ind w:left="341"/>
              <w:contextualSpacing/>
              <w:rPr>
                <w:noProof/>
              </w:rPr>
            </w:pPr>
            <w:r>
              <w:rPr>
                <w:noProof/>
              </w:rPr>
              <w:t>zintegrowane i certyfikowane zarządzanie zasobami wodnymi;</w:t>
            </w:r>
          </w:p>
          <w:p w14:paraId="2688B5A9" w14:textId="77777777" w:rsidR="004C6421" w:rsidRDefault="009D1962">
            <w:pPr>
              <w:pStyle w:val="P68B1DB1-Normal4"/>
              <w:numPr>
                <w:ilvl w:val="0"/>
                <w:numId w:val="65"/>
              </w:numPr>
              <w:spacing w:before="120" w:line="276" w:lineRule="auto"/>
              <w:ind w:left="341"/>
              <w:contextualSpacing/>
              <w:rPr>
                <w:noProof/>
              </w:rPr>
            </w:pPr>
            <w:r>
              <w:rPr>
                <w:noProof/>
              </w:rPr>
              <w:t>wytwarzanie energii z lokalnych źródeł odnawialnych, takich jak mikroelektrownie wodne, biomasa, biogaz, wiatr, kogeneracja i biometan;</w:t>
            </w:r>
          </w:p>
          <w:p w14:paraId="65ADDD26" w14:textId="77777777" w:rsidR="004C6421" w:rsidRDefault="009D1962">
            <w:pPr>
              <w:pStyle w:val="P68B1DB1-Normal4"/>
              <w:numPr>
                <w:ilvl w:val="0"/>
                <w:numId w:val="65"/>
              </w:numPr>
              <w:spacing w:before="120" w:line="276" w:lineRule="auto"/>
              <w:ind w:left="341"/>
              <w:contextualSpacing/>
              <w:rPr>
                <w:noProof/>
              </w:rPr>
            </w:pPr>
            <w:r>
              <w:rPr>
                <w:noProof/>
              </w:rPr>
              <w:t>rozwój zrównoważonej turystyki („zdolna do ulepszania produktów lokalnych”);</w:t>
            </w:r>
          </w:p>
          <w:p w14:paraId="5A09E2F4" w14:textId="77777777" w:rsidR="004C6421" w:rsidRDefault="009D1962">
            <w:pPr>
              <w:pStyle w:val="P68B1DB1-Normal4"/>
              <w:numPr>
                <w:ilvl w:val="0"/>
                <w:numId w:val="65"/>
              </w:numPr>
              <w:spacing w:before="120" w:line="276" w:lineRule="auto"/>
              <w:ind w:left="341"/>
              <w:contextualSpacing/>
              <w:rPr>
                <w:noProof/>
              </w:rPr>
            </w:pPr>
            <w:r>
              <w:rPr>
                <w:noProof/>
              </w:rPr>
              <w:t>budowa i zrównoważone zarządzanie zasobami budowlanymi i infrastrukturą nowoczesnej góry;</w:t>
            </w:r>
          </w:p>
          <w:p w14:paraId="485496E9" w14:textId="77777777" w:rsidR="004C6421" w:rsidRDefault="009D1962">
            <w:pPr>
              <w:pStyle w:val="P68B1DB1-Normal4"/>
              <w:numPr>
                <w:ilvl w:val="0"/>
                <w:numId w:val="65"/>
              </w:numPr>
              <w:spacing w:before="120" w:line="276" w:lineRule="auto"/>
              <w:ind w:left="341"/>
              <w:contextualSpacing/>
              <w:rPr>
                <w:noProof/>
              </w:rPr>
            </w:pPr>
            <w:r>
              <w:rPr>
                <w:noProof/>
              </w:rPr>
              <w:t>efektywność energetyczna i inteligentna integracja elektrowni i sieci;</w:t>
            </w:r>
          </w:p>
          <w:p w14:paraId="702E548A" w14:textId="77777777" w:rsidR="004C6421" w:rsidRDefault="009D1962">
            <w:pPr>
              <w:pStyle w:val="P68B1DB1-Normal4"/>
              <w:numPr>
                <w:ilvl w:val="0"/>
                <w:numId w:val="65"/>
              </w:numPr>
              <w:spacing w:before="120" w:line="276" w:lineRule="auto"/>
              <w:ind w:left="341"/>
              <w:contextualSpacing/>
              <w:rPr>
                <w:noProof/>
              </w:rPr>
            </w:pPr>
            <w:r>
              <w:rPr>
                <w:noProof/>
              </w:rPr>
              <w:t>zrównoważony rozwój działalności produkcyjnej (zero odpadów);</w:t>
            </w:r>
          </w:p>
          <w:p w14:paraId="3C6E218D" w14:textId="77777777" w:rsidR="004C6421" w:rsidRDefault="009D1962">
            <w:pPr>
              <w:pStyle w:val="P68B1DB1-Normal4"/>
              <w:numPr>
                <w:ilvl w:val="0"/>
                <w:numId w:val="65"/>
              </w:numPr>
              <w:spacing w:before="120" w:line="276" w:lineRule="auto"/>
              <w:ind w:left="341"/>
              <w:contextualSpacing/>
              <w:rPr>
                <w:noProof/>
              </w:rPr>
            </w:pPr>
            <w:r>
              <w:rPr>
                <w:noProof/>
              </w:rPr>
              <w:t>integracji usług w zakresie mobilności;</w:t>
            </w:r>
          </w:p>
          <w:p w14:paraId="6809FBF5" w14:textId="77777777" w:rsidR="004C6421" w:rsidRDefault="009D1962">
            <w:pPr>
              <w:pStyle w:val="P68B1DB1-Normal4"/>
              <w:numPr>
                <w:ilvl w:val="0"/>
                <w:numId w:val="65"/>
              </w:numPr>
              <w:spacing w:before="120" w:line="276" w:lineRule="auto"/>
              <w:ind w:left="341"/>
              <w:contextualSpacing/>
              <w:rPr>
                <w:noProof/>
              </w:rPr>
            </w:pPr>
            <w:r>
              <w:rPr>
                <w:noProof/>
              </w:rPr>
              <w:t>— rozwój zrównoważonego modelu gospodarstw rolnych („który jest również niezależny od energii poprzez produkcję i wykorzystanie energii ze źródeł odnawialnych w sektorach energii elektrycznej, cieplnej i transportowej”).</w:t>
            </w:r>
          </w:p>
          <w:p w14:paraId="6213C8C2" w14:textId="77777777" w:rsidR="004C6421" w:rsidRDefault="009D1962">
            <w:pPr>
              <w:pStyle w:val="P68B1DB1-Normal4"/>
              <w:spacing w:before="120" w:after="120" w:line="276" w:lineRule="auto"/>
              <w:rPr>
                <w:noProof/>
              </w:rPr>
            </w:pPr>
            <w:r>
              <w:rPr>
                <w:noProof/>
              </w:rPr>
              <w:t>Biometan musi być zgodny z kryteriami zrównoważonego rozwoju i ograniczania emisji gazów cieplarnianych określonymi w art. 29–31 oraz z przepisami dotyczącymi biopaliw produkowanych z żywności i pasz określonymi w art. 26 dyrektywy (UE) 2018/2001 w sprawie odnawialnych źródeł energii (REDII) oraz w powiązanych aktach wykonawczych i delegowanych, aby umożliwić zgodność środka z zasadą „nie czyń poważnych szkód” oraz z odpowiednimi wymogami określonymi w przypisie 8 w załączniku VI do rozporządzenia (UE) 2021/241.</w:t>
            </w:r>
          </w:p>
        </w:tc>
      </w:tr>
      <w:tr w:rsidR="004C6421" w14:paraId="1E2E8759" w14:textId="77777777">
        <w:trPr>
          <w:trHeight w:val="313"/>
          <w:jc w:val="center"/>
        </w:trPr>
        <w:tc>
          <w:tcPr>
            <w:tcW w:w="1220" w:type="dxa"/>
            <w:shd w:val="clear" w:color="auto" w:fill="C6EFCE"/>
            <w:noWrap/>
            <w:vAlign w:val="center"/>
          </w:tcPr>
          <w:p w14:paraId="08DBDE76" w14:textId="77777777" w:rsidR="004C6421" w:rsidRDefault="009D1962">
            <w:pPr>
              <w:pStyle w:val="P68B1DB1-Normal4"/>
              <w:spacing w:line="276" w:lineRule="auto"/>
              <w:jc w:val="center"/>
              <w:rPr>
                <w:noProof/>
              </w:rPr>
            </w:pPr>
            <w:r>
              <w:rPr>
                <w:noProof/>
              </w:rPr>
              <w:t>M2C1-19</w:t>
            </w:r>
          </w:p>
        </w:tc>
        <w:tc>
          <w:tcPr>
            <w:tcW w:w="1598" w:type="dxa"/>
            <w:shd w:val="clear" w:color="auto" w:fill="C6EFCE"/>
            <w:noWrap/>
            <w:vAlign w:val="center"/>
          </w:tcPr>
          <w:p w14:paraId="75F202F2" w14:textId="77777777" w:rsidR="004C6421" w:rsidRDefault="009D1962">
            <w:pPr>
              <w:pStyle w:val="P68B1DB1-Normal4"/>
              <w:spacing w:line="276" w:lineRule="auto"/>
              <w:jc w:val="center"/>
              <w:rPr>
                <w:noProof/>
              </w:rPr>
            </w:pPr>
            <w:r>
              <w:rPr>
                <w:noProof/>
              </w:rPr>
              <w:t>Inwestycja 3.1: Zielone wyspy</w:t>
            </w:r>
          </w:p>
        </w:tc>
        <w:tc>
          <w:tcPr>
            <w:tcW w:w="1185" w:type="dxa"/>
            <w:shd w:val="clear" w:color="auto" w:fill="C6EFCE"/>
            <w:noWrap/>
            <w:vAlign w:val="center"/>
          </w:tcPr>
          <w:p w14:paraId="6067F2F3" w14:textId="77777777" w:rsidR="004C6421" w:rsidRDefault="009D1962">
            <w:pPr>
              <w:pStyle w:val="P68B1DB1-Normal4"/>
              <w:spacing w:line="276" w:lineRule="auto"/>
              <w:jc w:val="center"/>
              <w:rPr>
                <w:noProof/>
              </w:rPr>
            </w:pPr>
            <w:r>
              <w:rPr>
                <w:noProof/>
              </w:rPr>
              <w:t>Cel</w:t>
            </w:r>
          </w:p>
        </w:tc>
        <w:tc>
          <w:tcPr>
            <w:tcW w:w="1732" w:type="dxa"/>
            <w:shd w:val="clear" w:color="auto" w:fill="C6EFCE"/>
            <w:noWrap/>
            <w:vAlign w:val="center"/>
          </w:tcPr>
          <w:p w14:paraId="0EE049FE" w14:textId="77777777" w:rsidR="004C6421" w:rsidRDefault="009D1962">
            <w:pPr>
              <w:pStyle w:val="P68B1DB1-Normal4"/>
              <w:spacing w:line="276" w:lineRule="auto"/>
              <w:jc w:val="center"/>
              <w:rPr>
                <w:noProof/>
              </w:rPr>
            </w:pPr>
            <w:r>
              <w:rPr>
                <w:noProof/>
              </w:rPr>
              <w:t>Realizacja projektów zintegrowanych na małych wyspach</w:t>
            </w:r>
          </w:p>
        </w:tc>
        <w:tc>
          <w:tcPr>
            <w:tcW w:w="1603" w:type="dxa"/>
            <w:shd w:val="clear" w:color="auto" w:fill="C6EFCE"/>
            <w:noWrap/>
            <w:vAlign w:val="center"/>
          </w:tcPr>
          <w:p w14:paraId="4D835676" w14:textId="77777777" w:rsidR="004C6421" w:rsidRDefault="009D1962">
            <w:pPr>
              <w:pStyle w:val="P68B1DB1-Normal4"/>
              <w:spacing w:line="276" w:lineRule="auto"/>
              <w:jc w:val="center"/>
              <w:rPr>
                <w:noProof/>
              </w:rPr>
            </w:pPr>
            <w:r>
              <w:rPr>
                <w:noProof/>
              </w:rPr>
              <w:t>NIE DOT.</w:t>
            </w:r>
          </w:p>
        </w:tc>
        <w:tc>
          <w:tcPr>
            <w:tcW w:w="1275" w:type="dxa"/>
            <w:shd w:val="clear" w:color="auto" w:fill="C6EFCE"/>
            <w:noWrap/>
            <w:vAlign w:val="center"/>
          </w:tcPr>
          <w:p w14:paraId="4298C7C1" w14:textId="77777777" w:rsidR="004C6421" w:rsidRDefault="009D1962">
            <w:pPr>
              <w:pStyle w:val="P68B1DB1-Normal4"/>
              <w:spacing w:line="276" w:lineRule="auto"/>
              <w:jc w:val="center"/>
              <w:rPr>
                <w:noProof/>
              </w:rPr>
            </w:pPr>
            <w:r>
              <w:rPr>
                <w:noProof/>
              </w:rPr>
              <w:t>Liczba małych wysp</w:t>
            </w:r>
          </w:p>
        </w:tc>
        <w:tc>
          <w:tcPr>
            <w:tcW w:w="993" w:type="dxa"/>
            <w:shd w:val="clear" w:color="auto" w:fill="C6EFCE"/>
            <w:noWrap/>
            <w:vAlign w:val="center"/>
          </w:tcPr>
          <w:p w14:paraId="7A341D9D" w14:textId="77777777" w:rsidR="004C6421" w:rsidRDefault="009D1962">
            <w:pPr>
              <w:pStyle w:val="P68B1DB1-Normal4"/>
              <w:spacing w:line="276" w:lineRule="auto"/>
              <w:jc w:val="center"/>
              <w:rPr>
                <w:noProof/>
              </w:rPr>
            </w:pPr>
            <w:r>
              <w:rPr>
                <w:noProof/>
              </w:rPr>
              <w:t>0</w:t>
            </w:r>
          </w:p>
        </w:tc>
        <w:tc>
          <w:tcPr>
            <w:tcW w:w="1162" w:type="dxa"/>
            <w:shd w:val="clear" w:color="auto" w:fill="C6EFCE"/>
            <w:noWrap/>
            <w:vAlign w:val="center"/>
          </w:tcPr>
          <w:p w14:paraId="3C60FC75" w14:textId="77777777" w:rsidR="004C6421" w:rsidRDefault="009D1962">
            <w:pPr>
              <w:pStyle w:val="P68B1DB1-Normal4"/>
              <w:spacing w:line="276" w:lineRule="auto"/>
              <w:jc w:val="center"/>
              <w:rPr>
                <w:noProof/>
              </w:rPr>
            </w:pPr>
            <w:r>
              <w:rPr>
                <w:noProof/>
              </w:rPr>
              <w:t>19</w:t>
            </w:r>
          </w:p>
        </w:tc>
        <w:tc>
          <w:tcPr>
            <w:tcW w:w="963" w:type="dxa"/>
            <w:shd w:val="clear" w:color="auto" w:fill="C6EFCE"/>
            <w:noWrap/>
            <w:vAlign w:val="center"/>
          </w:tcPr>
          <w:p w14:paraId="6FC1E80C" w14:textId="77777777" w:rsidR="004C6421" w:rsidRDefault="009D1962">
            <w:pPr>
              <w:pStyle w:val="P68B1DB1-Normal4"/>
              <w:spacing w:line="276" w:lineRule="auto"/>
              <w:jc w:val="center"/>
              <w:rPr>
                <w:noProof/>
              </w:rPr>
            </w:pPr>
            <w:r>
              <w:rPr>
                <w:noProof/>
              </w:rPr>
              <w:t>II KW.</w:t>
            </w:r>
          </w:p>
        </w:tc>
        <w:tc>
          <w:tcPr>
            <w:tcW w:w="710" w:type="dxa"/>
            <w:shd w:val="clear" w:color="auto" w:fill="C6EFCE"/>
            <w:noWrap/>
            <w:vAlign w:val="center"/>
          </w:tcPr>
          <w:p w14:paraId="7CF00280" w14:textId="77777777" w:rsidR="004C6421" w:rsidRDefault="009D1962">
            <w:pPr>
              <w:pStyle w:val="P68B1DB1-Normal4"/>
              <w:spacing w:line="276" w:lineRule="auto"/>
              <w:rPr>
                <w:noProof/>
              </w:rPr>
            </w:pPr>
            <w:r>
              <w:rPr>
                <w:noProof/>
              </w:rPr>
              <w:t>2026</w:t>
            </w:r>
          </w:p>
        </w:tc>
        <w:tc>
          <w:tcPr>
            <w:tcW w:w="3174" w:type="dxa"/>
            <w:shd w:val="clear" w:color="auto" w:fill="C6EFCE"/>
            <w:noWrap/>
            <w:vAlign w:val="center"/>
          </w:tcPr>
          <w:p w14:paraId="1E9CE94E" w14:textId="77777777" w:rsidR="004C6421" w:rsidRDefault="009D1962">
            <w:pPr>
              <w:pStyle w:val="P68B1DB1-Normal4"/>
              <w:spacing w:before="120" w:after="120" w:line="276" w:lineRule="auto"/>
              <w:rPr>
                <w:noProof/>
              </w:rPr>
            </w:pPr>
            <w:r>
              <w:rPr>
                <w:noProof/>
              </w:rPr>
              <w:t>Co najmniej 19 małych wysp realizujących ukończone projekty zintegrowane obejmujące co najmniej trzy różne rodzaje interwencji.</w:t>
            </w:r>
          </w:p>
          <w:p w14:paraId="04AF121B" w14:textId="77777777" w:rsidR="004C6421" w:rsidRDefault="009D1962">
            <w:pPr>
              <w:pStyle w:val="P68B1DB1-Normal4"/>
              <w:spacing w:before="120" w:after="120" w:line="276" w:lineRule="auto"/>
              <w:rPr>
                <w:noProof/>
              </w:rPr>
            </w:pPr>
            <w:r>
              <w:rPr>
                <w:noProof/>
              </w:rPr>
              <w:t>Ogólnie rzecz biorąc, wkład inwestycji w działania na rzecz klimatu zgodnie z metodyką określoną w załączniku VI do rozporządzenia (UE) 2021/241 stanowi co najmniej 37 % łącznych kosztów inwestycji wspieranych z RRF.</w:t>
            </w:r>
          </w:p>
          <w:p w14:paraId="4B565533" w14:textId="77777777" w:rsidR="004C6421" w:rsidRDefault="009D1962">
            <w:pPr>
              <w:pStyle w:val="P68B1DB1-Normal4"/>
              <w:spacing w:before="120" w:after="120" w:line="276" w:lineRule="auto"/>
              <w:rPr>
                <w:noProof/>
              </w:rPr>
            </w:pPr>
            <w:r>
              <w:rPr>
                <w:noProof/>
              </w:rPr>
              <w:t>Do finansowania kwalifikują się następujące interwencje:</w:t>
            </w:r>
          </w:p>
          <w:p w14:paraId="4A0F52A1" w14:textId="77777777" w:rsidR="004C6421" w:rsidRDefault="009D1962">
            <w:pPr>
              <w:pStyle w:val="P68B1DB1-Normal4"/>
              <w:numPr>
                <w:ilvl w:val="0"/>
                <w:numId w:val="66"/>
              </w:numPr>
              <w:tabs>
                <w:tab w:val="left" w:pos="199"/>
              </w:tabs>
              <w:spacing w:before="120" w:line="276" w:lineRule="auto"/>
              <w:ind w:left="29" w:firstLine="28"/>
              <w:contextualSpacing/>
              <w:rPr>
                <w:noProof/>
              </w:rPr>
            </w:pPr>
            <w:r>
              <w:rPr>
                <w:noProof/>
              </w:rPr>
              <w:t>interwencje w zakresie efektywności energetycznej;</w:t>
            </w:r>
          </w:p>
          <w:p w14:paraId="48E1C0CE" w14:textId="77777777" w:rsidR="004C6421" w:rsidRDefault="009D1962">
            <w:pPr>
              <w:pStyle w:val="P68B1DB1-Normal4"/>
              <w:numPr>
                <w:ilvl w:val="0"/>
                <w:numId w:val="66"/>
              </w:numPr>
              <w:tabs>
                <w:tab w:val="left" w:pos="199"/>
              </w:tabs>
              <w:spacing w:before="120" w:line="276" w:lineRule="auto"/>
              <w:ind w:left="29" w:firstLine="28"/>
              <w:contextualSpacing/>
              <w:rPr>
                <w:noProof/>
              </w:rPr>
            </w:pPr>
            <w:r>
              <w:rPr>
                <w:noProof/>
              </w:rPr>
              <w:t>rozwój i/lub modernizacja usług i infrastruktury w zakresie mobilności zbiorowej; autobusy i łodzie zasilane energią elektryczną; schroniska dla usług transportu publicznego; wspólne korzystanie z samochodów osobowych, rowerowych, hulajnóg;</w:t>
            </w:r>
          </w:p>
          <w:p w14:paraId="17AE8245" w14:textId="77777777" w:rsidR="004C6421" w:rsidRDefault="009D1962">
            <w:pPr>
              <w:pStyle w:val="P68B1DB1-Normal4"/>
              <w:numPr>
                <w:ilvl w:val="0"/>
                <w:numId w:val="66"/>
              </w:numPr>
              <w:tabs>
                <w:tab w:val="left" w:pos="199"/>
              </w:tabs>
              <w:spacing w:before="120" w:line="276" w:lineRule="auto"/>
              <w:ind w:left="29" w:firstLine="28"/>
              <w:contextualSpacing/>
              <w:rPr>
                <w:noProof/>
              </w:rPr>
            </w:pPr>
            <w:r>
              <w:rPr>
                <w:noProof/>
              </w:rPr>
              <w:t>budowa lub adaptacja tras rowerowych, budowa stref ochronnych;</w:t>
            </w:r>
          </w:p>
          <w:p w14:paraId="1CC845F8" w14:textId="77777777" w:rsidR="004C6421" w:rsidRDefault="009D1962">
            <w:pPr>
              <w:pStyle w:val="P68B1DB1-Normal4"/>
              <w:numPr>
                <w:ilvl w:val="0"/>
                <w:numId w:val="66"/>
              </w:numPr>
              <w:tabs>
                <w:tab w:val="left" w:pos="199"/>
              </w:tabs>
              <w:spacing w:before="120" w:line="276" w:lineRule="auto"/>
              <w:ind w:left="29" w:firstLine="28"/>
              <w:contextualSpacing/>
              <w:rPr>
                <w:noProof/>
              </w:rPr>
            </w:pPr>
            <w:r>
              <w:rPr>
                <w:noProof/>
              </w:rPr>
              <w:t>sprawna selektywna zbiórka wraz ze wzmocnieniem systemów zbierania;</w:t>
            </w:r>
          </w:p>
          <w:p w14:paraId="4A30F7B6" w14:textId="77777777" w:rsidR="004C6421" w:rsidRDefault="009D1962">
            <w:pPr>
              <w:pStyle w:val="P68B1DB1-Normal4"/>
              <w:numPr>
                <w:ilvl w:val="0"/>
                <w:numId w:val="66"/>
              </w:numPr>
              <w:tabs>
                <w:tab w:val="left" w:pos="199"/>
              </w:tabs>
              <w:spacing w:before="120" w:line="276" w:lineRule="auto"/>
              <w:ind w:left="29" w:firstLine="28"/>
              <w:contextualSpacing/>
              <w:rPr>
                <w:noProof/>
              </w:rPr>
            </w:pPr>
            <w:r>
              <w:rPr>
                <w:noProof/>
              </w:rPr>
              <w:t>budowa/modernizacja wysp ekologicznych wraz z powiązanym centrum ponownego użycia;</w:t>
            </w:r>
          </w:p>
          <w:p w14:paraId="539BD8EF" w14:textId="77777777" w:rsidR="004C6421" w:rsidRDefault="009D1962">
            <w:pPr>
              <w:pStyle w:val="P68B1DB1-Normal4"/>
              <w:numPr>
                <w:ilvl w:val="0"/>
                <w:numId w:val="66"/>
              </w:numPr>
              <w:tabs>
                <w:tab w:val="left" w:pos="199"/>
              </w:tabs>
              <w:spacing w:before="120" w:line="276" w:lineRule="auto"/>
              <w:ind w:left="29" w:firstLine="28"/>
              <w:contextualSpacing/>
              <w:rPr>
                <w:noProof/>
              </w:rPr>
            </w:pPr>
            <w:r>
              <w:rPr>
                <w:noProof/>
              </w:rPr>
              <w:t>systemy odsalania;</w:t>
            </w:r>
          </w:p>
          <w:p w14:paraId="1CDE1E2C" w14:textId="77777777" w:rsidR="004C6421" w:rsidRDefault="009D1962">
            <w:pPr>
              <w:pStyle w:val="P68B1DB1-Normal4"/>
              <w:numPr>
                <w:ilvl w:val="0"/>
                <w:numId w:val="66"/>
              </w:numPr>
              <w:tabs>
                <w:tab w:val="left" w:pos="199"/>
              </w:tabs>
              <w:spacing w:before="120" w:line="276" w:lineRule="auto"/>
              <w:ind w:left="29" w:firstLine="28"/>
              <w:contextualSpacing/>
              <w:rPr>
                <w:noProof/>
              </w:rPr>
            </w:pPr>
            <w:r>
              <w:rPr>
                <w:noProof/>
              </w:rPr>
              <w:t>elektrownie wytwarzające energię elektryczną ze źródeł odnawialnych, w tym energię fotowoltaiczną, wiatrową i morską, taką jak energia fal lub pływów;</w:t>
            </w:r>
          </w:p>
          <w:p w14:paraId="10382D31" w14:textId="77777777" w:rsidR="004C6421" w:rsidRDefault="009D1962">
            <w:pPr>
              <w:pStyle w:val="P68B1DB1-Normal4"/>
              <w:numPr>
                <w:ilvl w:val="0"/>
                <w:numId w:val="66"/>
              </w:numPr>
              <w:tabs>
                <w:tab w:val="left" w:pos="199"/>
              </w:tabs>
              <w:spacing w:before="120" w:line="276" w:lineRule="auto"/>
              <w:ind w:left="29" w:firstLine="28"/>
              <w:contextualSpacing/>
              <w:rPr>
                <w:noProof/>
              </w:rPr>
            </w:pPr>
            <w:r>
              <w:rPr>
                <w:noProof/>
              </w:rPr>
              <w:t>środki w zakresie efektywności energetycznej mające na celu zmniejszenie zapotrzebowania na energię elektryczną;</w:t>
            </w:r>
          </w:p>
          <w:p w14:paraId="562A74E9" w14:textId="77777777" w:rsidR="004C6421" w:rsidRDefault="009D1962">
            <w:pPr>
              <w:pStyle w:val="P68B1DB1-Normal4"/>
              <w:numPr>
                <w:ilvl w:val="0"/>
                <w:numId w:val="66"/>
              </w:numPr>
              <w:tabs>
                <w:tab w:val="left" w:pos="199"/>
              </w:tabs>
              <w:spacing w:before="120" w:line="276" w:lineRule="auto"/>
              <w:ind w:left="29" w:firstLine="28"/>
              <w:contextualSpacing/>
              <w:rPr>
                <w:noProof/>
              </w:rPr>
            </w:pPr>
            <w:r>
              <w:rPr>
                <w:noProof/>
              </w:rPr>
              <w:t>interwencje dotyczące sieci elektroenergetycznej i powiązanej infrastruktury: urządzenia magazynowe, integracja systemu elektroenergetycznego z systemem wodnym wyspy, inteligentne sieci, innowacyjne systemy zarządzania energią i monitorowania.</w:t>
            </w:r>
          </w:p>
          <w:p w14:paraId="35D3ECC1" w14:textId="77777777" w:rsidR="004C6421" w:rsidRDefault="004C6421">
            <w:pPr>
              <w:spacing w:line="276" w:lineRule="auto"/>
              <w:rPr>
                <w:rFonts w:ascii="Arial Narrow" w:hAnsi="Arial Narrow"/>
                <w:noProof/>
                <w:color w:val="006100"/>
                <w:sz w:val="20"/>
              </w:rPr>
            </w:pPr>
          </w:p>
        </w:tc>
      </w:tr>
      <w:tr w:rsidR="004C6421" w14:paraId="726DA8D6" w14:textId="77777777">
        <w:trPr>
          <w:trHeight w:val="313"/>
          <w:jc w:val="center"/>
        </w:trPr>
        <w:tc>
          <w:tcPr>
            <w:tcW w:w="1220" w:type="dxa"/>
            <w:shd w:val="clear" w:color="auto" w:fill="C6EFCE"/>
            <w:noWrap/>
            <w:vAlign w:val="center"/>
          </w:tcPr>
          <w:p w14:paraId="7A0B35FF" w14:textId="77777777" w:rsidR="004C6421" w:rsidRDefault="009D1962">
            <w:pPr>
              <w:pStyle w:val="P68B1DB1-Normal4"/>
              <w:spacing w:line="276" w:lineRule="auto"/>
              <w:jc w:val="center"/>
              <w:rPr>
                <w:noProof/>
              </w:rPr>
            </w:pPr>
            <w:r>
              <w:rPr>
                <w:noProof/>
              </w:rPr>
              <w:t>M2C1-20</w:t>
            </w:r>
          </w:p>
        </w:tc>
        <w:tc>
          <w:tcPr>
            <w:tcW w:w="1598" w:type="dxa"/>
            <w:shd w:val="clear" w:color="auto" w:fill="C6EFCE"/>
            <w:noWrap/>
            <w:vAlign w:val="center"/>
          </w:tcPr>
          <w:p w14:paraId="1B238195" w14:textId="77777777" w:rsidR="004C6421" w:rsidRDefault="009D1962">
            <w:pPr>
              <w:pStyle w:val="P68B1DB1-Normal4"/>
              <w:spacing w:line="276" w:lineRule="auto"/>
              <w:jc w:val="center"/>
              <w:rPr>
                <w:noProof/>
              </w:rPr>
            </w:pPr>
            <w:r>
              <w:rPr>
                <w:noProof/>
              </w:rPr>
              <w:t>Inwestycje 3.2: Społeczności ekologiczne</w:t>
            </w:r>
          </w:p>
        </w:tc>
        <w:tc>
          <w:tcPr>
            <w:tcW w:w="1185" w:type="dxa"/>
            <w:shd w:val="clear" w:color="auto" w:fill="C6EFCE"/>
            <w:noWrap/>
            <w:vAlign w:val="center"/>
          </w:tcPr>
          <w:p w14:paraId="3C2EF40A" w14:textId="26B4B0FC" w:rsidR="004C6421" w:rsidRDefault="00CC179E">
            <w:pPr>
              <w:pStyle w:val="P68B1DB1-Normal4"/>
              <w:spacing w:line="276" w:lineRule="auto"/>
              <w:jc w:val="center"/>
              <w:rPr>
                <w:noProof/>
              </w:rPr>
            </w:pPr>
            <w:r>
              <w:rPr>
                <w:noProof/>
              </w:rPr>
              <w:t>Milowy</w:t>
            </w:r>
          </w:p>
        </w:tc>
        <w:tc>
          <w:tcPr>
            <w:tcW w:w="1732" w:type="dxa"/>
            <w:shd w:val="clear" w:color="auto" w:fill="C6EFCE"/>
            <w:noWrap/>
            <w:vAlign w:val="center"/>
          </w:tcPr>
          <w:p w14:paraId="70550556" w14:textId="77777777" w:rsidR="004C6421" w:rsidRDefault="009D1962">
            <w:pPr>
              <w:pStyle w:val="P68B1DB1-Normal4"/>
              <w:spacing w:line="276" w:lineRule="auto"/>
              <w:jc w:val="center"/>
              <w:rPr>
                <w:noProof/>
              </w:rPr>
            </w:pPr>
            <w:r>
              <w:rPr>
                <w:noProof/>
              </w:rPr>
              <w:t>Udzielanie (wszystkich) zamówień publicznych na wybór społeczności ekologicznych</w:t>
            </w:r>
          </w:p>
        </w:tc>
        <w:tc>
          <w:tcPr>
            <w:tcW w:w="1603" w:type="dxa"/>
            <w:shd w:val="clear" w:color="auto" w:fill="C6EFCE"/>
            <w:noWrap/>
            <w:vAlign w:val="center"/>
          </w:tcPr>
          <w:p w14:paraId="08BAAF0E" w14:textId="77777777" w:rsidR="004C6421" w:rsidRDefault="009D1962">
            <w:pPr>
              <w:pStyle w:val="P68B1DB1-Normal4"/>
              <w:spacing w:line="276" w:lineRule="auto"/>
              <w:jc w:val="center"/>
              <w:rPr>
                <w:noProof/>
              </w:rPr>
            </w:pPr>
            <w:r>
              <w:rPr>
                <w:noProof/>
              </w:rPr>
              <w:t>Powiadomienie o udzieleniu (wszystkich) zamówień publicznych na wybór społeczności ekologicznych</w:t>
            </w:r>
          </w:p>
        </w:tc>
        <w:tc>
          <w:tcPr>
            <w:tcW w:w="1275" w:type="dxa"/>
            <w:shd w:val="clear" w:color="auto" w:fill="C6EFCE"/>
            <w:noWrap/>
            <w:vAlign w:val="center"/>
          </w:tcPr>
          <w:p w14:paraId="7CDA5478" w14:textId="77777777" w:rsidR="004C6421" w:rsidRDefault="009D1962">
            <w:pPr>
              <w:pStyle w:val="P68B1DB1-Normal4"/>
              <w:spacing w:line="276" w:lineRule="auto"/>
              <w:jc w:val="center"/>
              <w:rPr>
                <w:noProof/>
              </w:rPr>
            </w:pPr>
            <w:r>
              <w:rPr>
                <w:noProof/>
              </w:rPr>
              <w:t>NIE DOT.</w:t>
            </w:r>
          </w:p>
        </w:tc>
        <w:tc>
          <w:tcPr>
            <w:tcW w:w="993" w:type="dxa"/>
            <w:shd w:val="clear" w:color="auto" w:fill="C6EFCE"/>
            <w:noWrap/>
            <w:vAlign w:val="center"/>
          </w:tcPr>
          <w:p w14:paraId="5EE77C1F" w14:textId="77777777" w:rsidR="004C6421" w:rsidRDefault="009D1962">
            <w:pPr>
              <w:pStyle w:val="P68B1DB1-Normal4"/>
              <w:spacing w:line="276" w:lineRule="auto"/>
              <w:jc w:val="center"/>
              <w:rPr>
                <w:noProof/>
              </w:rPr>
            </w:pPr>
            <w:r>
              <w:rPr>
                <w:noProof/>
              </w:rPr>
              <w:t>NIE DOT.</w:t>
            </w:r>
          </w:p>
        </w:tc>
        <w:tc>
          <w:tcPr>
            <w:tcW w:w="1162" w:type="dxa"/>
            <w:shd w:val="clear" w:color="auto" w:fill="C6EFCE"/>
            <w:noWrap/>
            <w:vAlign w:val="center"/>
          </w:tcPr>
          <w:p w14:paraId="7191AD44" w14:textId="77777777" w:rsidR="004C6421" w:rsidRDefault="009D1962">
            <w:pPr>
              <w:pStyle w:val="P68B1DB1-Normal4"/>
              <w:spacing w:line="276" w:lineRule="auto"/>
              <w:jc w:val="center"/>
              <w:rPr>
                <w:noProof/>
              </w:rPr>
            </w:pPr>
            <w:r>
              <w:rPr>
                <w:noProof/>
              </w:rPr>
              <w:t>NIE DOT.</w:t>
            </w:r>
          </w:p>
        </w:tc>
        <w:tc>
          <w:tcPr>
            <w:tcW w:w="963" w:type="dxa"/>
            <w:shd w:val="clear" w:color="auto" w:fill="C6EFCE"/>
            <w:noWrap/>
            <w:vAlign w:val="center"/>
          </w:tcPr>
          <w:p w14:paraId="7CB0FB24" w14:textId="77777777" w:rsidR="004C6421" w:rsidRDefault="009D1962">
            <w:pPr>
              <w:pStyle w:val="P68B1DB1-Normal4"/>
              <w:spacing w:line="276" w:lineRule="auto"/>
              <w:jc w:val="center"/>
              <w:rPr>
                <w:noProof/>
              </w:rPr>
            </w:pPr>
            <w:r>
              <w:rPr>
                <w:noProof/>
              </w:rPr>
              <w:t>III KW.</w:t>
            </w:r>
          </w:p>
        </w:tc>
        <w:tc>
          <w:tcPr>
            <w:tcW w:w="710" w:type="dxa"/>
            <w:shd w:val="clear" w:color="auto" w:fill="C6EFCE"/>
            <w:noWrap/>
            <w:vAlign w:val="center"/>
          </w:tcPr>
          <w:p w14:paraId="2C9F9495" w14:textId="77777777" w:rsidR="004C6421" w:rsidRDefault="009D1962">
            <w:pPr>
              <w:pStyle w:val="P68B1DB1-Normal4"/>
              <w:spacing w:line="276" w:lineRule="auto"/>
              <w:rPr>
                <w:noProof/>
              </w:rPr>
            </w:pPr>
            <w:r>
              <w:rPr>
                <w:noProof/>
              </w:rPr>
              <w:t>2022</w:t>
            </w:r>
          </w:p>
        </w:tc>
        <w:tc>
          <w:tcPr>
            <w:tcW w:w="3174" w:type="dxa"/>
            <w:shd w:val="clear" w:color="auto" w:fill="C6EFCE"/>
            <w:noWrap/>
            <w:vAlign w:val="center"/>
          </w:tcPr>
          <w:p w14:paraId="0113DF64" w14:textId="77777777" w:rsidR="004C6421" w:rsidRDefault="009D1962">
            <w:pPr>
              <w:pStyle w:val="P68B1DB1-Normal4"/>
              <w:spacing w:line="276" w:lineRule="auto"/>
              <w:rPr>
                <w:noProof/>
              </w:rPr>
            </w:pPr>
            <w:r>
              <w:rPr>
                <w:noProof/>
              </w:rPr>
              <w:t>Powiadomienie o procedurze udzielania dotacji, która powinna obejmować kryteria kwalifikowalności zapewniające zgodność wybranych projektów z wytycznymi technicznymi dotyczącymi zasady „nie czyń poważnych szkód” (2021/C58/01) poprzez wykorzystanie listy wykluczenia oraz wymóg zgodności z odpowiednimi unijnymi i krajowymi przepisami w zakresie ochrony środowiska.</w:t>
            </w:r>
          </w:p>
        </w:tc>
      </w:tr>
      <w:tr w:rsidR="004C6421" w14:paraId="779285C1" w14:textId="77777777">
        <w:trPr>
          <w:trHeight w:val="313"/>
          <w:jc w:val="center"/>
        </w:trPr>
        <w:tc>
          <w:tcPr>
            <w:tcW w:w="1220" w:type="dxa"/>
            <w:shd w:val="clear" w:color="auto" w:fill="C6EFCE"/>
            <w:noWrap/>
            <w:vAlign w:val="center"/>
          </w:tcPr>
          <w:p w14:paraId="73F30BB5" w14:textId="77777777" w:rsidR="004C6421" w:rsidRDefault="009D1962">
            <w:pPr>
              <w:pStyle w:val="P68B1DB1-Normal4"/>
              <w:spacing w:line="276" w:lineRule="auto"/>
              <w:jc w:val="center"/>
              <w:rPr>
                <w:noProof/>
              </w:rPr>
            </w:pPr>
            <w:r>
              <w:rPr>
                <w:noProof/>
              </w:rPr>
              <w:t>M2C1-21</w:t>
            </w:r>
          </w:p>
        </w:tc>
        <w:tc>
          <w:tcPr>
            <w:tcW w:w="1598" w:type="dxa"/>
            <w:shd w:val="clear" w:color="auto" w:fill="C6EFCE"/>
            <w:noWrap/>
            <w:vAlign w:val="center"/>
          </w:tcPr>
          <w:p w14:paraId="4E150EC5" w14:textId="77777777" w:rsidR="004C6421" w:rsidRDefault="009D1962">
            <w:pPr>
              <w:pStyle w:val="P68B1DB1-Normal4"/>
              <w:spacing w:line="276" w:lineRule="auto"/>
              <w:jc w:val="center"/>
              <w:rPr>
                <w:noProof/>
              </w:rPr>
            </w:pPr>
            <w:r>
              <w:rPr>
                <w:noProof/>
              </w:rPr>
              <w:t>Inwestycje 3.2: Społeczności ekologiczne</w:t>
            </w:r>
          </w:p>
        </w:tc>
        <w:tc>
          <w:tcPr>
            <w:tcW w:w="1185" w:type="dxa"/>
            <w:shd w:val="clear" w:color="auto" w:fill="C6EFCE"/>
            <w:noWrap/>
            <w:vAlign w:val="center"/>
          </w:tcPr>
          <w:p w14:paraId="18E48AB0" w14:textId="77777777" w:rsidR="004C6421" w:rsidRDefault="009D1962">
            <w:pPr>
              <w:pStyle w:val="P68B1DB1-Normal4"/>
              <w:spacing w:line="276" w:lineRule="auto"/>
              <w:jc w:val="center"/>
              <w:rPr>
                <w:noProof/>
              </w:rPr>
            </w:pPr>
            <w:r>
              <w:rPr>
                <w:noProof/>
              </w:rPr>
              <w:t>Cel</w:t>
            </w:r>
          </w:p>
        </w:tc>
        <w:tc>
          <w:tcPr>
            <w:tcW w:w="1732" w:type="dxa"/>
            <w:shd w:val="clear" w:color="auto" w:fill="C6EFCE"/>
            <w:noWrap/>
            <w:vAlign w:val="center"/>
          </w:tcPr>
          <w:p w14:paraId="12A943BA" w14:textId="77777777" w:rsidR="004C6421" w:rsidRDefault="009D1962">
            <w:pPr>
              <w:pStyle w:val="P68B1DB1-Normal4"/>
              <w:spacing w:line="276" w:lineRule="auto"/>
              <w:jc w:val="center"/>
              <w:rPr>
                <w:noProof/>
              </w:rPr>
            </w:pPr>
            <w:r>
              <w:rPr>
                <w:noProof/>
              </w:rPr>
              <w:t>Realizacja interwencji przedstawionych w planach przez wspólnoty ekologiczne</w:t>
            </w:r>
          </w:p>
        </w:tc>
        <w:tc>
          <w:tcPr>
            <w:tcW w:w="1603" w:type="dxa"/>
            <w:shd w:val="clear" w:color="auto" w:fill="C6EFCE"/>
            <w:noWrap/>
            <w:vAlign w:val="center"/>
          </w:tcPr>
          <w:p w14:paraId="0297FC7C" w14:textId="77777777" w:rsidR="004C6421" w:rsidRDefault="009D1962">
            <w:pPr>
              <w:pStyle w:val="P68B1DB1-Normal4"/>
              <w:spacing w:line="276" w:lineRule="auto"/>
              <w:jc w:val="center"/>
              <w:rPr>
                <w:noProof/>
              </w:rPr>
            </w:pPr>
            <w:r>
              <w:rPr>
                <w:noProof/>
              </w:rPr>
              <w:t>NIE DOT.</w:t>
            </w:r>
          </w:p>
        </w:tc>
        <w:tc>
          <w:tcPr>
            <w:tcW w:w="1275" w:type="dxa"/>
            <w:shd w:val="clear" w:color="auto" w:fill="C6EFCE"/>
            <w:noWrap/>
            <w:vAlign w:val="center"/>
          </w:tcPr>
          <w:p w14:paraId="1BBDC038" w14:textId="77777777" w:rsidR="004C6421" w:rsidRDefault="009D1962">
            <w:pPr>
              <w:pStyle w:val="P68B1DB1-Normal4"/>
              <w:spacing w:line="276" w:lineRule="auto"/>
              <w:jc w:val="center"/>
              <w:rPr>
                <w:noProof/>
              </w:rPr>
            </w:pPr>
            <w:r>
              <w:rPr>
                <w:noProof/>
              </w:rPr>
              <w:t>Odsetek wystąpień przedstawionych przez społeczności ekologiczne</w:t>
            </w:r>
          </w:p>
        </w:tc>
        <w:tc>
          <w:tcPr>
            <w:tcW w:w="993" w:type="dxa"/>
            <w:shd w:val="clear" w:color="auto" w:fill="C6EFCE"/>
            <w:noWrap/>
            <w:vAlign w:val="center"/>
          </w:tcPr>
          <w:p w14:paraId="5983ED66" w14:textId="77777777" w:rsidR="004C6421" w:rsidRDefault="009D1962">
            <w:pPr>
              <w:pStyle w:val="P68B1DB1-Normal4"/>
              <w:spacing w:line="276" w:lineRule="auto"/>
              <w:jc w:val="center"/>
              <w:rPr>
                <w:noProof/>
              </w:rPr>
            </w:pPr>
            <w:r>
              <w:rPr>
                <w:noProof/>
              </w:rPr>
              <w:t>0</w:t>
            </w:r>
          </w:p>
        </w:tc>
        <w:tc>
          <w:tcPr>
            <w:tcW w:w="1162" w:type="dxa"/>
            <w:shd w:val="clear" w:color="auto" w:fill="C6EFCE"/>
            <w:noWrap/>
            <w:vAlign w:val="center"/>
          </w:tcPr>
          <w:p w14:paraId="353756B8" w14:textId="77777777" w:rsidR="004C6421" w:rsidRDefault="009D1962">
            <w:pPr>
              <w:pStyle w:val="P68B1DB1-Normal4"/>
              <w:spacing w:line="276" w:lineRule="auto"/>
              <w:jc w:val="center"/>
              <w:rPr>
                <w:noProof/>
              </w:rPr>
            </w:pPr>
            <w:r>
              <w:rPr>
                <w:noProof/>
              </w:rPr>
              <w:t>90</w:t>
            </w:r>
          </w:p>
        </w:tc>
        <w:tc>
          <w:tcPr>
            <w:tcW w:w="963" w:type="dxa"/>
            <w:shd w:val="clear" w:color="auto" w:fill="C6EFCE"/>
            <w:noWrap/>
            <w:vAlign w:val="center"/>
          </w:tcPr>
          <w:p w14:paraId="2706A391" w14:textId="77777777" w:rsidR="004C6421" w:rsidRDefault="009D1962">
            <w:pPr>
              <w:pStyle w:val="P68B1DB1-Normal4"/>
              <w:spacing w:line="276" w:lineRule="auto"/>
              <w:jc w:val="center"/>
              <w:rPr>
                <w:noProof/>
              </w:rPr>
            </w:pPr>
            <w:r>
              <w:rPr>
                <w:noProof/>
              </w:rPr>
              <w:t>II KW.</w:t>
            </w:r>
          </w:p>
        </w:tc>
        <w:tc>
          <w:tcPr>
            <w:tcW w:w="710" w:type="dxa"/>
            <w:shd w:val="clear" w:color="auto" w:fill="C6EFCE"/>
            <w:noWrap/>
            <w:vAlign w:val="center"/>
          </w:tcPr>
          <w:p w14:paraId="44BDB988" w14:textId="77777777" w:rsidR="004C6421" w:rsidRDefault="009D1962">
            <w:pPr>
              <w:pStyle w:val="P68B1DB1-Normal4"/>
              <w:spacing w:line="276" w:lineRule="auto"/>
              <w:rPr>
                <w:noProof/>
              </w:rPr>
            </w:pPr>
            <w:r>
              <w:rPr>
                <w:noProof/>
              </w:rPr>
              <w:t>2026</w:t>
            </w:r>
          </w:p>
        </w:tc>
        <w:tc>
          <w:tcPr>
            <w:tcW w:w="3174" w:type="dxa"/>
            <w:shd w:val="clear" w:color="auto" w:fill="C6EFCE"/>
            <w:noWrap/>
            <w:vAlign w:val="center"/>
          </w:tcPr>
          <w:p w14:paraId="3D8377AA" w14:textId="77777777" w:rsidR="004C6421" w:rsidRDefault="009D1962">
            <w:pPr>
              <w:pStyle w:val="P68B1DB1-Normal4"/>
              <w:spacing w:line="276" w:lineRule="auto"/>
              <w:rPr>
                <w:noProof/>
              </w:rPr>
            </w:pPr>
            <w:r>
              <w:rPr>
                <w:noProof/>
              </w:rPr>
              <w:t>Zakończenie realizacji co najmniej 90 % interwencji przewidzianych w planach przedstawionych przez wspólnoty ekologiczne (zgodnie z definicją zawartą w art. 72 ustawy 221/2015)</w:t>
            </w:r>
          </w:p>
        </w:tc>
      </w:tr>
      <w:tr w:rsidR="004C6421" w14:paraId="48B68AA3" w14:textId="77777777">
        <w:trPr>
          <w:trHeight w:val="313"/>
          <w:jc w:val="center"/>
        </w:trPr>
        <w:tc>
          <w:tcPr>
            <w:tcW w:w="1220" w:type="dxa"/>
            <w:shd w:val="clear" w:color="auto" w:fill="C6EFCE"/>
            <w:noWrap/>
            <w:vAlign w:val="center"/>
          </w:tcPr>
          <w:p w14:paraId="4B222484" w14:textId="77777777" w:rsidR="004C6421" w:rsidRDefault="009D1962">
            <w:pPr>
              <w:pStyle w:val="P68B1DB1-Normal4"/>
              <w:spacing w:line="276" w:lineRule="auto"/>
              <w:jc w:val="center"/>
              <w:rPr>
                <w:noProof/>
              </w:rPr>
            </w:pPr>
            <w:r>
              <w:rPr>
                <w:noProof/>
              </w:rPr>
              <w:t>M2C1-22</w:t>
            </w:r>
          </w:p>
        </w:tc>
        <w:tc>
          <w:tcPr>
            <w:tcW w:w="1598" w:type="dxa"/>
            <w:shd w:val="clear" w:color="auto" w:fill="C6EFCE"/>
            <w:noWrap/>
            <w:vAlign w:val="center"/>
          </w:tcPr>
          <w:p w14:paraId="77DFA8E7" w14:textId="77777777" w:rsidR="004C6421" w:rsidRDefault="009D1962">
            <w:pPr>
              <w:pStyle w:val="P68B1DB1-Normal4"/>
              <w:spacing w:line="276" w:lineRule="auto"/>
              <w:jc w:val="center"/>
              <w:rPr>
                <w:noProof/>
              </w:rPr>
            </w:pPr>
            <w:r>
              <w:rPr>
                <w:noProof/>
              </w:rPr>
              <w:t>Inwestycja 3.4: Fondo Contratti di Filiera (FCF) w celu wsparcia zamówień na łańcuchy dostaw dla sektorów rolno-spożywczego, rybołówstwa i akwakultury, leśnictwa, kwiaciarstwa i szkółek roślin</w:t>
            </w:r>
          </w:p>
        </w:tc>
        <w:tc>
          <w:tcPr>
            <w:tcW w:w="1185" w:type="dxa"/>
            <w:shd w:val="clear" w:color="auto" w:fill="C6EFCE"/>
            <w:noWrap/>
            <w:vAlign w:val="center"/>
          </w:tcPr>
          <w:p w14:paraId="5A5F94A9" w14:textId="7CF66B71" w:rsidR="004C6421" w:rsidRDefault="00CC179E">
            <w:pPr>
              <w:pStyle w:val="P68B1DB1-Normal4"/>
              <w:spacing w:line="276" w:lineRule="auto"/>
              <w:jc w:val="center"/>
              <w:rPr>
                <w:noProof/>
                <w:color w:val="000000" w:themeColor="text1"/>
              </w:rPr>
            </w:pPr>
            <w:r>
              <w:rPr>
                <w:noProof/>
              </w:rPr>
              <w:t>Milowy</w:t>
            </w:r>
          </w:p>
        </w:tc>
        <w:tc>
          <w:tcPr>
            <w:tcW w:w="1732" w:type="dxa"/>
            <w:shd w:val="clear" w:color="auto" w:fill="C6EFCE"/>
            <w:noWrap/>
            <w:vAlign w:val="center"/>
          </w:tcPr>
          <w:p w14:paraId="1FD70338" w14:textId="77777777" w:rsidR="004C6421" w:rsidRDefault="009D1962">
            <w:pPr>
              <w:pStyle w:val="P68B1DB1-Normal4"/>
              <w:spacing w:line="276" w:lineRule="auto"/>
              <w:jc w:val="center"/>
              <w:rPr>
                <w:noProof/>
                <w:color w:val="000000" w:themeColor="text1"/>
              </w:rPr>
            </w:pPr>
            <w:r>
              <w:rPr>
                <w:noProof/>
              </w:rPr>
              <w:t>Umowa wykonawcza</w:t>
            </w:r>
          </w:p>
        </w:tc>
        <w:tc>
          <w:tcPr>
            <w:tcW w:w="1603" w:type="dxa"/>
            <w:shd w:val="clear" w:color="auto" w:fill="C6EFCE"/>
            <w:noWrap/>
            <w:vAlign w:val="center"/>
          </w:tcPr>
          <w:p w14:paraId="16A33D6F" w14:textId="77777777" w:rsidR="004C6421" w:rsidRDefault="009D1962">
            <w:pPr>
              <w:pStyle w:val="P68B1DB1-Normal4"/>
              <w:spacing w:line="276" w:lineRule="auto"/>
              <w:jc w:val="center"/>
              <w:rPr>
                <w:noProof/>
                <w:color w:val="000000" w:themeColor="text1"/>
              </w:rPr>
            </w:pPr>
            <w:r>
              <w:rPr>
                <w:noProof/>
              </w:rPr>
              <w:t>Wejście w życie umowy wykonawczej</w:t>
            </w:r>
          </w:p>
        </w:tc>
        <w:tc>
          <w:tcPr>
            <w:tcW w:w="1275" w:type="dxa"/>
            <w:shd w:val="clear" w:color="auto" w:fill="C6EFCE"/>
            <w:noWrap/>
            <w:vAlign w:val="center"/>
          </w:tcPr>
          <w:p w14:paraId="0F7886BF" w14:textId="77777777" w:rsidR="004C6421" w:rsidRDefault="009D1962">
            <w:pPr>
              <w:pStyle w:val="P68B1DB1-Normal4"/>
              <w:spacing w:line="276" w:lineRule="auto"/>
              <w:jc w:val="center"/>
              <w:rPr>
                <w:noProof/>
              </w:rPr>
            </w:pPr>
            <w:r>
              <w:rPr>
                <w:noProof/>
              </w:rPr>
              <w:t xml:space="preserve"> NIE DOT.</w:t>
            </w:r>
          </w:p>
        </w:tc>
        <w:tc>
          <w:tcPr>
            <w:tcW w:w="993" w:type="dxa"/>
            <w:shd w:val="clear" w:color="auto" w:fill="C6EFCE"/>
            <w:noWrap/>
            <w:vAlign w:val="center"/>
          </w:tcPr>
          <w:p w14:paraId="1DD60270" w14:textId="77777777" w:rsidR="004C6421" w:rsidRDefault="009D1962">
            <w:pPr>
              <w:pStyle w:val="P68B1DB1-Normal4"/>
              <w:spacing w:line="276" w:lineRule="auto"/>
              <w:jc w:val="center"/>
              <w:rPr>
                <w:rFonts w:eastAsia="Arial Narrow" w:cs="Arial Narrow"/>
                <w:noProof/>
              </w:rPr>
            </w:pPr>
            <w:r>
              <w:rPr>
                <w:noProof/>
              </w:rPr>
              <w:t>NIE DOT.</w:t>
            </w:r>
          </w:p>
        </w:tc>
        <w:tc>
          <w:tcPr>
            <w:tcW w:w="1162" w:type="dxa"/>
            <w:shd w:val="clear" w:color="auto" w:fill="C6EFCE"/>
            <w:noWrap/>
            <w:vAlign w:val="center"/>
          </w:tcPr>
          <w:p w14:paraId="36284D3E" w14:textId="77777777" w:rsidR="004C6421" w:rsidRDefault="009D1962">
            <w:pPr>
              <w:pStyle w:val="P68B1DB1-Normal4"/>
              <w:spacing w:line="276" w:lineRule="auto"/>
              <w:jc w:val="center"/>
              <w:rPr>
                <w:rFonts w:eastAsia="Arial Narrow" w:cs="Arial Narrow"/>
                <w:noProof/>
              </w:rPr>
            </w:pPr>
            <w:r>
              <w:rPr>
                <w:noProof/>
              </w:rPr>
              <w:t>NIE DOT.</w:t>
            </w:r>
          </w:p>
        </w:tc>
        <w:tc>
          <w:tcPr>
            <w:tcW w:w="963" w:type="dxa"/>
            <w:shd w:val="clear" w:color="auto" w:fill="C6EFCE"/>
            <w:noWrap/>
            <w:vAlign w:val="center"/>
          </w:tcPr>
          <w:p w14:paraId="43281319" w14:textId="77777777" w:rsidR="004C6421" w:rsidRDefault="009D1962">
            <w:pPr>
              <w:pStyle w:val="P68B1DB1-Normal4"/>
              <w:spacing w:line="276" w:lineRule="auto"/>
              <w:jc w:val="center"/>
              <w:rPr>
                <w:noProof/>
                <w:color w:val="000000" w:themeColor="text1"/>
              </w:rPr>
            </w:pPr>
            <w:r>
              <w:rPr>
                <w:noProof/>
              </w:rPr>
              <w:t>II KW.</w:t>
            </w:r>
          </w:p>
        </w:tc>
        <w:tc>
          <w:tcPr>
            <w:tcW w:w="710" w:type="dxa"/>
            <w:shd w:val="clear" w:color="auto" w:fill="C6EFCE"/>
            <w:noWrap/>
            <w:vAlign w:val="center"/>
          </w:tcPr>
          <w:p w14:paraId="73717C2C" w14:textId="77777777" w:rsidR="004C6421" w:rsidRDefault="009D1962">
            <w:pPr>
              <w:pStyle w:val="P68B1DB1-Normal4"/>
              <w:spacing w:line="276" w:lineRule="auto"/>
              <w:rPr>
                <w:noProof/>
                <w:color w:val="000000" w:themeColor="text1"/>
              </w:rPr>
            </w:pPr>
            <w:r>
              <w:rPr>
                <w:noProof/>
              </w:rPr>
              <w:t>2024</w:t>
            </w:r>
          </w:p>
        </w:tc>
        <w:tc>
          <w:tcPr>
            <w:tcW w:w="3174" w:type="dxa"/>
            <w:shd w:val="clear" w:color="auto" w:fill="C6EFCE"/>
            <w:noWrap/>
            <w:vAlign w:val="center"/>
          </w:tcPr>
          <w:p w14:paraId="63B598DF" w14:textId="77777777" w:rsidR="004C6421" w:rsidRDefault="009D1962">
            <w:pPr>
              <w:pStyle w:val="P68B1DB1-Normal4"/>
              <w:spacing w:line="276" w:lineRule="auto"/>
              <w:rPr>
                <w:noProof/>
                <w:color w:val="000000" w:themeColor="text1"/>
              </w:rPr>
            </w:pPr>
            <w:r>
              <w:rPr>
                <w:noProof/>
              </w:rPr>
              <w:t>Wejście w życie umowy wykonawczej.</w:t>
            </w:r>
          </w:p>
        </w:tc>
      </w:tr>
      <w:tr w:rsidR="004C6421" w14:paraId="4E9E961E" w14:textId="77777777">
        <w:trPr>
          <w:trHeight w:val="313"/>
          <w:jc w:val="center"/>
        </w:trPr>
        <w:tc>
          <w:tcPr>
            <w:tcW w:w="1220" w:type="dxa"/>
            <w:shd w:val="clear" w:color="auto" w:fill="C6EFCE"/>
            <w:noWrap/>
            <w:vAlign w:val="center"/>
          </w:tcPr>
          <w:p w14:paraId="1DF17113" w14:textId="77777777" w:rsidR="004C6421" w:rsidRDefault="009D1962">
            <w:pPr>
              <w:pStyle w:val="P68B1DB1-Normal4"/>
              <w:spacing w:line="276" w:lineRule="auto"/>
              <w:jc w:val="center"/>
              <w:rPr>
                <w:noProof/>
              </w:rPr>
            </w:pPr>
            <w:r>
              <w:rPr>
                <w:noProof/>
              </w:rPr>
              <w:t>M2C1-23</w:t>
            </w:r>
          </w:p>
        </w:tc>
        <w:tc>
          <w:tcPr>
            <w:tcW w:w="1598" w:type="dxa"/>
            <w:shd w:val="clear" w:color="auto" w:fill="C6EFCE"/>
            <w:noWrap/>
            <w:vAlign w:val="center"/>
          </w:tcPr>
          <w:p w14:paraId="528BA1EB" w14:textId="77777777" w:rsidR="004C6421" w:rsidRDefault="009D1962">
            <w:pPr>
              <w:pStyle w:val="P68B1DB1-Normal4"/>
              <w:spacing w:line="276" w:lineRule="auto"/>
              <w:jc w:val="center"/>
              <w:rPr>
                <w:noProof/>
              </w:rPr>
            </w:pPr>
            <w:r>
              <w:rPr>
                <w:noProof/>
              </w:rPr>
              <w:t>Inwestycja 3.4: Fondo Contratti di Filiera (FCF) w celu wsparcia zamówień na łańcuchy dostaw dla sektorów rolno-spożywczego, rybołówstwa i akwakultury, leśnictwa, kwiaciarstwa i szkółek roślin</w:t>
            </w:r>
          </w:p>
        </w:tc>
        <w:tc>
          <w:tcPr>
            <w:tcW w:w="1185" w:type="dxa"/>
            <w:shd w:val="clear" w:color="auto" w:fill="C6EFCE"/>
            <w:noWrap/>
            <w:vAlign w:val="center"/>
          </w:tcPr>
          <w:p w14:paraId="51CFA12B" w14:textId="77777777" w:rsidR="004C6421" w:rsidRDefault="009D1962">
            <w:pPr>
              <w:pStyle w:val="P68B1DB1-Normal4"/>
              <w:spacing w:line="276" w:lineRule="auto"/>
              <w:jc w:val="center"/>
              <w:rPr>
                <w:noProof/>
              </w:rPr>
            </w:pPr>
            <w:r>
              <w:rPr>
                <w:noProof/>
              </w:rPr>
              <w:t>Cel</w:t>
            </w:r>
          </w:p>
        </w:tc>
        <w:tc>
          <w:tcPr>
            <w:tcW w:w="1732" w:type="dxa"/>
            <w:shd w:val="clear" w:color="auto" w:fill="C6EFCE"/>
            <w:noWrap/>
            <w:vAlign w:val="center"/>
          </w:tcPr>
          <w:p w14:paraId="2566BE92" w14:textId="77777777" w:rsidR="004C6421" w:rsidRDefault="009D1962">
            <w:pPr>
              <w:pStyle w:val="P68B1DB1-Normal4"/>
              <w:spacing w:line="276" w:lineRule="auto"/>
              <w:jc w:val="center"/>
              <w:rPr>
                <w:noProof/>
              </w:rPr>
            </w:pPr>
            <w:r>
              <w:rPr>
                <w:noProof/>
              </w:rPr>
              <w:t>Umowy prawne podpisane z beneficjentami końcowymi</w:t>
            </w:r>
          </w:p>
        </w:tc>
        <w:tc>
          <w:tcPr>
            <w:tcW w:w="1603" w:type="dxa"/>
            <w:shd w:val="clear" w:color="auto" w:fill="C6EFCE"/>
            <w:noWrap/>
            <w:vAlign w:val="center"/>
          </w:tcPr>
          <w:p w14:paraId="71A9B99B" w14:textId="77777777" w:rsidR="004C6421" w:rsidRDefault="009D1962">
            <w:pPr>
              <w:pStyle w:val="P68B1DB1-Normal4"/>
              <w:spacing w:line="276" w:lineRule="auto"/>
              <w:jc w:val="center"/>
              <w:rPr>
                <w:noProof/>
              </w:rPr>
            </w:pPr>
            <w:r>
              <w:rPr>
                <w:noProof/>
              </w:rPr>
              <w:t xml:space="preserve">NIE DOT. </w:t>
            </w:r>
          </w:p>
        </w:tc>
        <w:tc>
          <w:tcPr>
            <w:tcW w:w="1275" w:type="dxa"/>
            <w:shd w:val="clear" w:color="auto" w:fill="C6EFCE"/>
            <w:noWrap/>
            <w:vAlign w:val="center"/>
          </w:tcPr>
          <w:p w14:paraId="174275F5" w14:textId="77777777" w:rsidR="004C6421" w:rsidRDefault="009D1962">
            <w:pPr>
              <w:pStyle w:val="P68B1DB1-Normal4"/>
              <w:spacing w:line="276" w:lineRule="auto"/>
              <w:jc w:val="center"/>
              <w:rPr>
                <w:noProof/>
              </w:rPr>
            </w:pPr>
            <w:r>
              <w:rPr>
                <w:noProof/>
              </w:rPr>
              <w:t xml:space="preserve"> Procent</w:t>
            </w:r>
          </w:p>
        </w:tc>
        <w:tc>
          <w:tcPr>
            <w:tcW w:w="993" w:type="dxa"/>
            <w:shd w:val="clear" w:color="auto" w:fill="C6EFCE"/>
            <w:noWrap/>
            <w:vAlign w:val="center"/>
          </w:tcPr>
          <w:p w14:paraId="6BB3FB36" w14:textId="77777777" w:rsidR="004C6421" w:rsidRDefault="009D1962">
            <w:pPr>
              <w:pStyle w:val="P68B1DB1-Normal4"/>
              <w:spacing w:line="276" w:lineRule="auto"/>
              <w:jc w:val="center"/>
              <w:rPr>
                <w:noProof/>
              </w:rPr>
            </w:pPr>
            <w:r>
              <w:rPr>
                <w:noProof/>
              </w:rPr>
              <w:t>0</w:t>
            </w:r>
          </w:p>
        </w:tc>
        <w:tc>
          <w:tcPr>
            <w:tcW w:w="1162" w:type="dxa"/>
            <w:shd w:val="clear" w:color="auto" w:fill="C6EFCE"/>
            <w:noWrap/>
            <w:vAlign w:val="center"/>
          </w:tcPr>
          <w:p w14:paraId="72B94432" w14:textId="77777777" w:rsidR="004C6421" w:rsidRDefault="009D1962">
            <w:pPr>
              <w:pStyle w:val="P68B1DB1-Normal4"/>
              <w:spacing w:line="276" w:lineRule="auto"/>
              <w:jc w:val="center"/>
              <w:rPr>
                <w:noProof/>
              </w:rPr>
            </w:pPr>
            <w:r>
              <w:rPr>
                <w:noProof/>
              </w:rPr>
              <w:t>50</w:t>
            </w:r>
          </w:p>
        </w:tc>
        <w:tc>
          <w:tcPr>
            <w:tcW w:w="963" w:type="dxa"/>
            <w:shd w:val="clear" w:color="auto" w:fill="C6EFCE"/>
            <w:noWrap/>
            <w:vAlign w:val="center"/>
          </w:tcPr>
          <w:p w14:paraId="487A1C7D" w14:textId="77777777" w:rsidR="004C6421" w:rsidRDefault="009D1962">
            <w:pPr>
              <w:pStyle w:val="P68B1DB1-Normal4"/>
              <w:spacing w:line="276" w:lineRule="auto"/>
              <w:jc w:val="center"/>
              <w:rPr>
                <w:noProof/>
              </w:rPr>
            </w:pPr>
            <w:r>
              <w:rPr>
                <w:noProof/>
              </w:rPr>
              <w:t>II KW.</w:t>
            </w:r>
          </w:p>
        </w:tc>
        <w:tc>
          <w:tcPr>
            <w:tcW w:w="710" w:type="dxa"/>
            <w:shd w:val="clear" w:color="auto" w:fill="C6EFCE"/>
            <w:noWrap/>
            <w:vAlign w:val="center"/>
          </w:tcPr>
          <w:p w14:paraId="0FA3B7A9" w14:textId="77777777" w:rsidR="004C6421" w:rsidRDefault="009D1962">
            <w:pPr>
              <w:pStyle w:val="P68B1DB1-Normal4"/>
              <w:spacing w:line="276" w:lineRule="auto"/>
              <w:rPr>
                <w:noProof/>
              </w:rPr>
            </w:pPr>
            <w:r>
              <w:rPr>
                <w:noProof/>
              </w:rPr>
              <w:t>2025</w:t>
            </w:r>
          </w:p>
        </w:tc>
        <w:tc>
          <w:tcPr>
            <w:tcW w:w="3174" w:type="dxa"/>
            <w:shd w:val="clear" w:color="auto" w:fill="C6EFCE"/>
            <w:noWrap/>
            <w:vAlign w:val="center"/>
          </w:tcPr>
          <w:p w14:paraId="16C9967A" w14:textId="6685E6B9" w:rsidR="004C6421" w:rsidRDefault="009D1962">
            <w:pPr>
              <w:pStyle w:val="P68B1DB1-Normal4"/>
              <w:spacing w:line="276" w:lineRule="auto"/>
              <w:rPr>
                <w:noProof/>
              </w:rPr>
            </w:pPr>
            <w:r>
              <w:rPr>
                <w:noProof/>
              </w:rPr>
              <w:t>ISMEA zawiera prawne umowy w sprawie finansowania z beneficjentami końcowymi na kwotę niezbędną do wykorzystania co najmniej 50 % inwestycji RRF w instrument (z uwzględnieniem opłat za zarządzanie). ISMEA sporządza sprawozdanie wyszczególniające odsetek tego finansowania, które przyczynia się do realizacji celów klimatycznych, stosując metodykę określoną w załączniku VI.</w:t>
            </w:r>
          </w:p>
        </w:tc>
      </w:tr>
      <w:tr w:rsidR="004C6421" w14:paraId="6E027542" w14:textId="77777777">
        <w:trPr>
          <w:trHeight w:val="313"/>
          <w:jc w:val="center"/>
        </w:trPr>
        <w:tc>
          <w:tcPr>
            <w:tcW w:w="1220" w:type="dxa"/>
            <w:shd w:val="clear" w:color="auto" w:fill="C6EFCE"/>
            <w:noWrap/>
            <w:vAlign w:val="center"/>
          </w:tcPr>
          <w:p w14:paraId="34F1E7E6" w14:textId="77777777" w:rsidR="004C6421" w:rsidRDefault="009D1962">
            <w:pPr>
              <w:pStyle w:val="P68B1DB1-Normal4"/>
              <w:spacing w:line="276" w:lineRule="auto"/>
              <w:jc w:val="center"/>
              <w:rPr>
                <w:noProof/>
              </w:rPr>
            </w:pPr>
            <w:r>
              <w:rPr>
                <w:noProof/>
              </w:rPr>
              <w:t>M2C1-24</w:t>
            </w:r>
          </w:p>
        </w:tc>
        <w:tc>
          <w:tcPr>
            <w:tcW w:w="1598" w:type="dxa"/>
            <w:shd w:val="clear" w:color="auto" w:fill="C6EFCE"/>
            <w:noWrap/>
            <w:vAlign w:val="center"/>
          </w:tcPr>
          <w:p w14:paraId="3F5A24B7" w14:textId="77777777" w:rsidR="004C6421" w:rsidRDefault="009D1962">
            <w:pPr>
              <w:pStyle w:val="P68B1DB1-Normal4"/>
              <w:spacing w:line="276" w:lineRule="auto"/>
              <w:jc w:val="center"/>
              <w:rPr>
                <w:noProof/>
              </w:rPr>
            </w:pPr>
            <w:r>
              <w:rPr>
                <w:noProof/>
              </w:rPr>
              <w:t>Inwestycja 3.4: Fondo Contratti di Filiera (FCF) w celu wsparcia zamówień na łańcuchy dostaw dla sektorów rolno-spożywczego, rybołówstwa i akwakultury, leśnictwa, kwiaciarstwa i szkółek roślin</w:t>
            </w:r>
          </w:p>
        </w:tc>
        <w:tc>
          <w:tcPr>
            <w:tcW w:w="1185" w:type="dxa"/>
            <w:shd w:val="clear" w:color="auto" w:fill="C6EFCE"/>
            <w:noWrap/>
            <w:vAlign w:val="center"/>
          </w:tcPr>
          <w:p w14:paraId="003F693C" w14:textId="77777777" w:rsidR="004C6421" w:rsidRDefault="009D1962">
            <w:pPr>
              <w:pStyle w:val="P68B1DB1-Normal4"/>
              <w:spacing w:line="276" w:lineRule="auto"/>
              <w:jc w:val="center"/>
              <w:rPr>
                <w:noProof/>
              </w:rPr>
            </w:pPr>
            <w:r>
              <w:rPr>
                <w:noProof/>
              </w:rPr>
              <w:t>Cel</w:t>
            </w:r>
          </w:p>
        </w:tc>
        <w:tc>
          <w:tcPr>
            <w:tcW w:w="1732" w:type="dxa"/>
            <w:shd w:val="clear" w:color="auto" w:fill="C6EFCE"/>
            <w:noWrap/>
            <w:vAlign w:val="center"/>
          </w:tcPr>
          <w:p w14:paraId="1BB4D3BA" w14:textId="77777777" w:rsidR="004C6421" w:rsidRDefault="009D1962">
            <w:pPr>
              <w:pStyle w:val="P68B1DB1-Normal4"/>
              <w:spacing w:line="276" w:lineRule="auto"/>
              <w:jc w:val="center"/>
              <w:rPr>
                <w:noProof/>
              </w:rPr>
            </w:pPr>
            <w:r>
              <w:rPr>
                <w:noProof/>
              </w:rPr>
              <w:t>Umowy prawne podpisane z beneficjentami końcowymi</w:t>
            </w:r>
          </w:p>
        </w:tc>
        <w:tc>
          <w:tcPr>
            <w:tcW w:w="1603" w:type="dxa"/>
            <w:shd w:val="clear" w:color="auto" w:fill="C6EFCE"/>
            <w:noWrap/>
            <w:vAlign w:val="center"/>
          </w:tcPr>
          <w:p w14:paraId="032B5181" w14:textId="77777777" w:rsidR="004C6421" w:rsidRDefault="009D1962">
            <w:pPr>
              <w:pStyle w:val="P68B1DB1-Normal4"/>
              <w:spacing w:line="276" w:lineRule="auto"/>
              <w:jc w:val="center"/>
              <w:rPr>
                <w:noProof/>
              </w:rPr>
            </w:pPr>
            <w:r>
              <w:rPr>
                <w:noProof/>
              </w:rPr>
              <w:t xml:space="preserve">NIE DOT. </w:t>
            </w:r>
          </w:p>
        </w:tc>
        <w:tc>
          <w:tcPr>
            <w:tcW w:w="1275" w:type="dxa"/>
            <w:shd w:val="clear" w:color="auto" w:fill="C6EFCE"/>
            <w:noWrap/>
            <w:vAlign w:val="center"/>
          </w:tcPr>
          <w:p w14:paraId="2FE275F1" w14:textId="77777777" w:rsidR="004C6421" w:rsidRDefault="009D1962">
            <w:pPr>
              <w:pStyle w:val="P68B1DB1-Normal4"/>
              <w:spacing w:line="276" w:lineRule="auto"/>
              <w:jc w:val="center"/>
              <w:rPr>
                <w:noProof/>
              </w:rPr>
            </w:pPr>
            <w:r>
              <w:rPr>
                <w:noProof/>
              </w:rPr>
              <w:t xml:space="preserve">Procent </w:t>
            </w:r>
          </w:p>
        </w:tc>
        <w:tc>
          <w:tcPr>
            <w:tcW w:w="993" w:type="dxa"/>
            <w:shd w:val="clear" w:color="auto" w:fill="C6EFCE"/>
            <w:noWrap/>
            <w:vAlign w:val="center"/>
          </w:tcPr>
          <w:p w14:paraId="1DD35B3F" w14:textId="77777777" w:rsidR="004C6421" w:rsidRDefault="009D1962">
            <w:pPr>
              <w:pStyle w:val="P68B1DB1-Normal4"/>
              <w:spacing w:line="276" w:lineRule="auto"/>
              <w:jc w:val="center"/>
              <w:rPr>
                <w:noProof/>
              </w:rPr>
            </w:pPr>
            <w:r>
              <w:rPr>
                <w:noProof/>
              </w:rPr>
              <w:t>50</w:t>
            </w:r>
          </w:p>
        </w:tc>
        <w:tc>
          <w:tcPr>
            <w:tcW w:w="1162" w:type="dxa"/>
            <w:shd w:val="clear" w:color="auto" w:fill="C6EFCE"/>
            <w:noWrap/>
            <w:vAlign w:val="center"/>
          </w:tcPr>
          <w:p w14:paraId="50604F4F" w14:textId="77777777" w:rsidR="004C6421" w:rsidRDefault="009D1962">
            <w:pPr>
              <w:pStyle w:val="P68B1DB1-Normal4"/>
              <w:spacing w:line="276" w:lineRule="auto"/>
              <w:jc w:val="center"/>
              <w:rPr>
                <w:noProof/>
              </w:rPr>
            </w:pPr>
            <w:r>
              <w:rPr>
                <w:noProof/>
              </w:rPr>
              <w:t>100</w:t>
            </w:r>
          </w:p>
        </w:tc>
        <w:tc>
          <w:tcPr>
            <w:tcW w:w="963" w:type="dxa"/>
            <w:shd w:val="clear" w:color="auto" w:fill="C6EFCE"/>
            <w:noWrap/>
            <w:vAlign w:val="center"/>
          </w:tcPr>
          <w:p w14:paraId="19CF7839" w14:textId="77777777" w:rsidR="004C6421" w:rsidRDefault="009D1962">
            <w:pPr>
              <w:pStyle w:val="P68B1DB1-Normal4"/>
              <w:spacing w:line="276" w:lineRule="auto"/>
              <w:jc w:val="center"/>
              <w:rPr>
                <w:noProof/>
              </w:rPr>
            </w:pPr>
            <w:r>
              <w:rPr>
                <w:noProof/>
              </w:rPr>
              <w:t>II KW.</w:t>
            </w:r>
          </w:p>
        </w:tc>
        <w:tc>
          <w:tcPr>
            <w:tcW w:w="710" w:type="dxa"/>
            <w:shd w:val="clear" w:color="auto" w:fill="C6EFCE"/>
            <w:noWrap/>
            <w:vAlign w:val="center"/>
          </w:tcPr>
          <w:p w14:paraId="4743D31C" w14:textId="77777777" w:rsidR="004C6421" w:rsidRDefault="009D1962">
            <w:pPr>
              <w:pStyle w:val="P68B1DB1-Normal4"/>
              <w:spacing w:line="276" w:lineRule="auto"/>
              <w:rPr>
                <w:noProof/>
              </w:rPr>
            </w:pPr>
            <w:r>
              <w:rPr>
                <w:noProof/>
              </w:rPr>
              <w:t>2026</w:t>
            </w:r>
          </w:p>
        </w:tc>
        <w:tc>
          <w:tcPr>
            <w:tcW w:w="3174" w:type="dxa"/>
            <w:shd w:val="clear" w:color="auto" w:fill="C6EFCE"/>
            <w:noWrap/>
            <w:vAlign w:val="center"/>
          </w:tcPr>
          <w:p w14:paraId="1006C00D" w14:textId="39F124B8" w:rsidR="004C6421" w:rsidRDefault="009D1962">
            <w:pPr>
              <w:pStyle w:val="P68B1DB1-Normal4"/>
              <w:spacing w:line="276" w:lineRule="auto"/>
              <w:rPr>
                <w:noProof/>
              </w:rPr>
            </w:pPr>
            <w:r>
              <w:rPr>
                <w:noProof/>
              </w:rPr>
              <w:t>ISMEA zawiera prawne umowy w sprawie finansowania z beneficjentami końcowymi na kwotę niezbędną do wykorzystania 100 % inwestycji RRF w instrument (z uwzględnieniem opłat za zarządzanie).</w:t>
            </w:r>
          </w:p>
        </w:tc>
      </w:tr>
      <w:tr w:rsidR="004C6421" w14:paraId="050CC845" w14:textId="77777777">
        <w:trPr>
          <w:trHeight w:val="313"/>
          <w:jc w:val="center"/>
        </w:trPr>
        <w:tc>
          <w:tcPr>
            <w:tcW w:w="1220" w:type="dxa"/>
            <w:shd w:val="clear" w:color="auto" w:fill="C6EFCE"/>
            <w:noWrap/>
            <w:vAlign w:val="center"/>
          </w:tcPr>
          <w:p w14:paraId="6F594A34" w14:textId="77777777" w:rsidR="004C6421" w:rsidRDefault="009D1962">
            <w:pPr>
              <w:pStyle w:val="P68B1DB1-Normal4"/>
              <w:spacing w:line="276" w:lineRule="auto"/>
              <w:jc w:val="center"/>
              <w:rPr>
                <w:noProof/>
              </w:rPr>
            </w:pPr>
            <w:r>
              <w:rPr>
                <w:noProof/>
              </w:rPr>
              <w:t>M2C1-25</w:t>
            </w:r>
          </w:p>
        </w:tc>
        <w:tc>
          <w:tcPr>
            <w:tcW w:w="1598" w:type="dxa"/>
            <w:shd w:val="clear" w:color="auto" w:fill="C6EFCE"/>
            <w:noWrap/>
            <w:vAlign w:val="center"/>
          </w:tcPr>
          <w:p w14:paraId="4F809604" w14:textId="77777777" w:rsidR="004C6421" w:rsidRDefault="009D1962">
            <w:pPr>
              <w:pStyle w:val="P68B1DB1-Normal4"/>
              <w:spacing w:line="276" w:lineRule="auto"/>
              <w:jc w:val="center"/>
              <w:rPr>
                <w:noProof/>
              </w:rPr>
            </w:pPr>
            <w:r>
              <w:rPr>
                <w:noProof/>
              </w:rPr>
              <w:t>Inwestycja 3.4: Fondo Contratti di Filiera (FCF) w celu wsparcia zamówień na łańcuchy dostaw dla sektorów rolno-spożywczego, rybołówstwa i akwakultury, leśnictwa, kwiaciarstwa i szkółek roślin</w:t>
            </w:r>
          </w:p>
        </w:tc>
        <w:tc>
          <w:tcPr>
            <w:tcW w:w="1185" w:type="dxa"/>
            <w:shd w:val="clear" w:color="auto" w:fill="C6EFCE"/>
            <w:noWrap/>
            <w:vAlign w:val="center"/>
          </w:tcPr>
          <w:p w14:paraId="1307EB4D" w14:textId="1484BB39" w:rsidR="004C6421" w:rsidRDefault="00CC179E">
            <w:pPr>
              <w:pStyle w:val="P68B1DB1-Normal4"/>
              <w:spacing w:line="276" w:lineRule="auto"/>
              <w:jc w:val="center"/>
              <w:rPr>
                <w:noProof/>
              </w:rPr>
            </w:pPr>
            <w:r>
              <w:rPr>
                <w:noProof/>
              </w:rPr>
              <w:t>Milowy</w:t>
            </w:r>
          </w:p>
        </w:tc>
        <w:tc>
          <w:tcPr>
            <w:tcW w:w="1732" w:type="dxa"/>
            <w:shd w:val="clear" w:color="auto" w:fill="C6EFCE"/>
            <w:noWrap/>
            <w:vAlign w:val="center"/>
          </w:tcPr>
          <w:p w14:paraId="31DAA644" w14:textId="77777777" w:rsidR="004C6421" w:rsidRDefault="009D1962">
            <w:pPr>
              <w:pStyle w:val="P68B1DB1-Normal4"/>
              <w:spacing w:line="276" w:lineRule="auto"/>
              <w:jc w:val="center"/>
              <w:rPr>
                <w:noProof/>
              </w:rPr>
            </w:pPr>
            <w:r>
              <w:rPr>
                <w:noProof/>
              </w:rPr>
              <w:t>Ministerstwo przekazało ogólną kwotę zasobów</w:t>
            </w:r>
          </w:p>
        </w:tc>
        <w:tc>
          <w:tcPr>
            <w:tcW w:w="1603" w:type="dxa"/>
            <w:shd w:val="clear" w:color="auto" w:fill="C6EFCE"/>
            <w:noWrap/>
            <w:vAlign w:val="center"/>
          </w:tcPr>
          <w:p w14:paraId="2C294882" w14:textId="77777777" w:rsidR="004C6421" w:rsidRDefault="009D1962">
            <w:pPr>
              <w:pStyle w:val="P68B1DB1-Normal4"/>
              <w:spacing w:line="276" w:lineRule="auto"/>
              <w:jc w:val="center"/>
              <w:rPr>
                <w:noProof/>
              </w:rPr>
            </w:pPr>
            <w:r>
              <w:rPr>
                <w:noProof/>
              </w:rPr>
              <w:t>Świadectwo transferu</w:t>
            </w:r>
          </w:p>
        </w:tc>
        <w:tc>
          <w:tcPr>
            <w:tcW w:w="1275" w:type="dxa"/>
            <w:shd w:val="clear" w:color="auto" w:fill="C6EFCE"/>
            <w:noWrap/>
            <w:vAlign w:val="center"/>
          </w:tcPr>
          <w:p w14:paraId="46CF79D8" w14:textId="77777777" w:rsidR="004C6421" w:rsidRDefault="009D1962">
            <w:pPr>
              <w:pStyle w:val="P68B1DB1-Normal4"/>
              <w:spacing w:line="276" w:lineRule="auto"/>
              <w:jc w:val="center"/>
              <w:rPr>
                <w:noProof/>
              </w:rPr>
            </w:pPr>
            <w:r>
              <w:rPr>
                <w:noProof/>
              </w:rPr>
              <w:t xml:space="preserve"> NIE DOT.</w:t>
            </w:r>
          </w:p>
        </w:tc>
        <w:tc>
          <w:tcPr>
            <w:tcW w:w="993" w:type="dxa"/>
            <w:shd w:val="clear" w:color="auto" w:fill="C6EFCE"/>
            <w:noWrap/>
            <w:vAlign w:val="center"/>
          </w:tcPr>
          <w:p w14:paraId="20822C69" w14:textId="77777777" w:rsidR="004C6421" w:rsidRDefault="009D1962">
            <w:pPr>
              <w:pStyle w:val="P68B1DB1-Normal4"/>
              <w:spacing w:line="276" w:lineRule="auto"/>
              <w:jc w:val="center"/>
              <w:rPr>
                <w:rFonts w:eastAsia="Arial Narrow" w:cs="Arial Narrow"/>
                <w:noProof/>
              </w:rPr>
            </w:pPr>
            <w:r>
              <w:rPr>
                <w:noProof/>
              </w:rPr>
              <w:t>NIE DOT.</w:t>
            </w:r>
          </w:p>
        </w:tc>
        <w:tc>
          <w:tcPr>
            <w:tcW w:w="1162" w:type="dxa"/>
            <w:shd w:val="clear" w:color="auto" w:fill="C6EFCE"/>
            <w:noWrap/>
            <w:vAlign w:val="center"/>
          </w:tcPr>
          <w:p w14:paraId="3CEE82EC" w14:textId="77777777" w:rsidR="004C6421" w:rsidRDefault="009D1962">
            <w:pPr>
              <w:pStyle w:val="P68B1DB1-Normal4"/>
              <w:spacing w:line="276" w:lineRule="auto"/>
              <w:jc w:val="center"/>
              <w:rPr>
                <w:rFonts w:eastAsia="Arial Narrow" w:cs="Arial Narrow"/>
                <w:noProof/>
              </w:rPr>
            </w:pPr>
            <w:r>
              <w:rPr>
                <w:noProof/>
              </w:rPr>
              <w:t>NIE DOT.</w:t>
            </w:r>
          </w:p>
        </w:tc>
        <w:tc>
          <w:tcPr>
            <w:tcW w:w="963" w:type="dxa"/>
            <w:shd w:val="clear" w:color="auto" w:fill="C6EFCE"/>
            <w:noWrap/>
            <w:vAlign w:val="center"/>
          </w:tcPr>
          <w:p w14:paraId="25217C37" w14:textId="430F4635" w:rsidR="004C6421" w:rsidRDefault="00CC179E">
            <w:pPr>
              <w:pStyle w:val="P68B1DB1-Normal4"/>
              <w:spacing w:line="276" w:lineRule="auto"/>
              <w:jc w:val="center"/>
              <w:rPr>
                <w:noProof/>
              </w:rPr>
            </w:pPr>
            <w:r>
              <w:rPr>
                <w:noProof/>
              </w:rPr>
              <w:t>KW. 4</w:t>
            </w:r>
          </w:p>
        </w:tc>
        <w:tc>
          <w:tcPr>
            <w:tcW w:w="710" w:type="dxa"/>
            <w:shd w:val="clear" w:color="auto" w:fill="C6EFCE"/>
            <w:noWrap/>
            <w:vAlign w:val="center"/>
          </w:tcPr>
          <w:p w14:paraId="10A713B7" w14:textId="77777777" w:rsidR="004C6421" w:rsidRDefault="009D1962">
            <w:pPr>
              <w:pStyle w:val="P68B1DB1-Normal4"/>
              <w:spacing w:line="276" w:lineRule="auto"/>
              <w:rPr>
                <w:noProof/>
              </w:rPr>
            </w:pPr>
            <w:r>
              <w:rPr>
                <w:noProof/>
              </w:rPr>
              <w:t>2024</w:t>
            </w:r>
          </w:p>
        </w:tc>
        <w:tc>
          <w:tcPr>
            <w:tcW w:w="3174" w:type="dxa"/>
            <w:shd w:val="clear" w:color="auto" w:fill="C6EFCE"/>
            <w:noWrap/>
            <w:vAlign w:val="center"/>
          </w:tcPr>
          <w:p w14:paraId="74ABFCC3" w14:textId="77777777" w:rsidR="004C6421" w:rsidRDefault="009D1962">
            <w:pPr>
              <w:pStyle w:val="P68B1DB1-Normal4"/>
              <w:spacing w:line="276" w:lineRule="auto"/>
              <w:rPr>
                <w:noProof/>
              </w:rPr>
            </w:pPr>
            <w:r>
              <w:rPr>
                <w:noProof/>
              </w:rPr>
              <w:t xml:space="preserve">Włochy przekażą 1 960 000 000,00 EUR na rzecz ISMEA na rzecz instrumentu. </w:t>
            </w:r>
          </w:p>
        </w:tc>
      </w:tr>
    </w:tbl>
    <w:p w14:paraId="566BA341" w14:textId="77777777" w:rsidR="004C6421" w:rsidRDefault="004C6421">
      <w:pPr>
        <w:tabs>
          <w:tab w:val="left" w:pos="4252"/>
        </w:tabs>
        <w:rPr>
          <w:i/>
          <w:noProof/>
        </w:rPr>
      </w:pPr>
    </w:p>
    <w:p w14:paraId="7A62EA8C" w14:textId="77777777" w:rsidR="004C6421" w:rsidRDefault="004C6421">
      <w:pPr>
        <w:tabs>
          <w:tab w:val="left" w:pos="4252"/>
        </w:tabs>
        <w:rPr>
          <w:i/>
          <w:noProof/>
        </w:rPr>
      </w:pPr>
    </w:p>
    <w:p w14:paraId="3FCCF951" w14:textId="77777777" w:rsidR="004C6421" w:rsidRDefault="004C6421">
      <w:pPr>
        <w:tabs>
          <w:tab w:val="left" w:pos="4252"/>
        </w:tabs>
        <w:rPr>
          <w:i/>
          <w:noProof/>
        </w:rPr>
        <w:sectPr w:rsidR="004C6421" w:rsidSect="00797973">
          <w:headerReference w:type="even" r:id="rId134"/>
          <w:headerReference w:type="default" r:id="rId135"/>
          <w:footerReference w:type="even" r:id="rId136"/>
          <w:footerReference w:type="default" r:id="rId137"/>
          <w:headerReference w:type="first" r:id="rId138"/>
          <w:footerReference w:type="first" r:id="rId139"/>
          <w:pgSz w:w="16839" w:h="11907" w:orient="landscape"/>
          <w:pgMar w:top="1134" w:right="1134" w:bottom="1134" w:left="1134" w:header="567" w:footer="567" w:gutter="0"/>
          <w:cols w:space="720"/>
          <w:docGrid w:linePitch="360"/>
        </w:sectPr>
      </w:pPr>
    </w:p>
    <w:p w14:paraId="35856707" w14:textId="77777777" w:rsidR="004C6421" w:rsidRDefault="009D1962">
      <w:pPr>
        <w:pStyle w:val="Heading2"/>
        <w:numPr>
          <w:ilvl w:val="1"/>
          <w:numId w:val="0"/>
        </w:numPr>
        <w:ind w:left="850" w:hanging="850"/>
        <w:rPr>
          <w:noProof/>
        </w:rPr>
      </w:pPr>
      <w:r>
        <w:rPr>
          <w:noProof/>
        </w:rPr>
        <w:t>E. ZADANIE 2 – KOMPONENT 2: Transformacja energetyczna i mobilność zgodna z zasadami zrównoważonego rozwoju</w:t>
      </w:r>
    </w:p>
    <w:p w14:paraId="59CE3FC6" w14:textId="77777777" w:rsidR="004C6421" w:rsidRDefault="009D1962">
      <w:pPr>
        <w:spacing w:before="120" w:after="120"/>
        <w:jc w:val="both"/>
        <w:rPr>
          <w:noProof/>
        </w:rPr>
      </w:pPr>
      <w:r>
        <w:rPr>
          <w:noProof/>
        </w:rPr>
        <w:t xml:space="preserve">Ten element włoskiego planu odbudowy i zwiększania odporności obejmuje inwestycje i reformy w zakresie transformacji energetycznej. Obejmuje on reformy mające na celu ułatwienie wydawania pozwoleń na projekty dotyczące odnawialnych źródeł energii. Komponent ten obejmuje inwestycje w łańcuch dostaw energii ze źródeł odnawialnych, energię wodorową, instalacje do biometanu i inteligentne sieci. Uzupełnieniem tych reform i inwestycji są reformy mające na celu zwiększenie konkurencji na rynku energii elektrycznej w ramach komponentu dotyczącego reformy otoczenia biznesu. </w:t>
      </w:r>
    </w:p>
    <w:p w14:paraId="58716CAA" w14:textId="77777777" w:rsidR="004C6421" w:rsidRDefault="009D1962">
      <w:pPr>
        <w:spacing w:before="120" w:after="120"/>
        <w:jc w:val="both"/>
        <w:rPr>
          <w:noProof/>
        </w:rPr>
      </w:pPr>
      <w:r>
        <w:rPr>
          <w:noProof/>
        </w:rPr>
        <w:t xml:space="preserve">Komponent ten obejmuje również inwestycje i reformy w zakresie mobilności zgodnej z zasadami zrównoważonego rozwoju. Obejmuje on reformy mające na celu ułatwienie wydawania pozwoleń na projekty mobilności zgodnej z zasadami zrównoważonego rozwoju. Komponent ten obejmuje inwestycje mające na celu budowę ścieżek rowerowych i infrastruktury szybkiego tranzytu metra/tram/autobusów oraz zakup bezemisyjnych autobusów, taboru, pożarnictwa i pojazdów lotniskowych. Uzupełnieniem tych reform i inwestycji są reformy mające na celu zniesienie regulowanych cen ładowania pojazdów elektrycznych oraz zwiększenie konkurencji w zakresie koncesji na punkty ładowania, kolei regionalnych i lokalnego transportu publicznego w ramach komponentu dotyczącego „otoczenia biznesowego”. </w:t>
      </w:r>
    </w:p>
    <w:p w14:paraId="12629884" w14:textId="77777777" w:rsidR="004C6421" w:rsidRDefault="009D1962">
      <w:pPr>
        <w:spacing w:before="120" w:after="120"/>
        <w:jc w:val="both"/>
        <w:rPr>
          <w:noProof/>
        </w:rPr>
      </w:pPr>
      <w:r>
        <w:rPr>
          <w:noProof/>
        </w:rPr>
        <w:t>Inwestycje i reformy w ramach tego komponentu przyczyniają się do realizacji zaleceń dla poszczególnych krajów skierowanych do Włoch w latach 2020 i 2019 dotyczących potrzeby „koncentrowania inwestycji na transformacji ekologicznej i cyfrowej, w szczególności na [...] czystej i wydajnej produkcji i wykorzystania energii [...] zrównoważonego transportu publicznego” (zalecenie 3, 2020) oraz „koncentrowania polityki gospodarczej związanej z inwestycjami na [...] i na jakości infrastruktury, z uwzględnieniem również różnic regionalnych” (zalecenie dla poszczególnych krajów nr 3, 2019).</w:t>
      </w:r>
    </w:p>
    <w:p w14:paraId="6B81C2DD" w14:textId="77777777" w:rsidR="004C6421" w:rsidRDefault="009D1962">
      <w:pPr>
        <w:spacing w:before="120" w:after="120" w:line="257" w:lineRule="auto"/>
        <w:jc w:val="both"/>
        <w:rPr>
          <w:rFonts w:eastAsiaTheme="minorHAnsi"/>
          <w:noProof/>
        </w:rPr>
      </w:pPr>
      <w:r>
        <w:rPr>
          <w:noProof/>
        </w:rPr>
        <w:t>Komponent ten wspiera wytyczne wydane Włochom w sprawie wdrożenia krajowego planu w dziedzinie energii i klimatu (SWD(2020) 911 final), w których zwrócono się do Włoch o promowanie, reorganizację i rozbudowę źródła energii istniejących instalacji odnawialnych, w szczególności istniejących elektrowni wiatrowych, oraz o zbadanie innowacyjnej energii morskiej w całym regionie Morza Śródziemnego.</w:t>
      </w:r>
    </w:p>
    <w:p w14:paraId="6C1D79FD" w14:textId="77777777" w:rsidR="004C6421" w:rsidRDefault="009D1962">
      <w:pPr>
        <w:spacing w:before="120" w:after="120"/>
        <w:jc w:val="both"/>
        <w:rPr>
          <w:noProof/>
        </w:rPr>
      </w:pPr>
      <w:r>
        <w:rPr>
          <w:noProof/>
        </w:rPr>
        <w:t xml:space="preserve">Oczekuje się, że żaden środek w ramach tego komponentu nie spowoduje znaczącej szkody w realizacji celów środowiskowych w rozumieniu art. 17 rozporządzenia (UE) 2020/852, biorąc pod uwagę opis środków i działań łagodzących określonych w planie odbudowy i zwiększania odporności zgodnie z wytycznymi technicznymi dotyczącymi zasady „nie czyń poważnych szkód” (2021/C58/01).  </w:t>
      </w:r>
    </w:p>
    <w:p w14:paraId="41DDD9B8" w14:textId="77777777" w:rsidR="004C6421" w:rsidRDefault="009D1962">
      <w:pPr>
        <w:pStyle w:val="Heading3"/>
        <w:numPr>
          <w:ilvl w:val="0"/>
          <w:numId w:val="0"/>
        </w:numPr>
        <w:ind w:left="850" w:hanging="850"/>
        <w:rPr>
          <w:b/>
          <w:i w:val="0"/>
          <w:noProof/>
          <w:color w:val="4472C4" w:themeColor="accent1"/>
          <w:u w:val="single"/>
        </w:rPr>
      </w:pPr>
      <w:r>
        <w:rPr>
          <w:b/>
          <w:i w:val="0"/>
          <w:noProof/>
          <w:u w:val="single"/>
        </w:rPr>
        <w:t xml:space="preserve">E.1. </w:t>
      </w:r>
      <w:r>
        <w:rPr>
          <w:noProof/>
        </w:rPr>
        <w:t xml:space="preserve"> </w:t>
      </w:r>
      <w:r>
        <w:rPr>
          <w:b/>
          <w:i w:val="0"/>
          <w:noProof/>
          <w:u w:val="single"/>
        </w:rPr>
        <w:t>Opis reform i inwestycji, które mają być finansowane z bezzwrotnego wsparcia finansowego</w:t>
      </w:r>
    </w:p>
    <w:p w14:paraId="76F63697" w14:textId="77777777" w:rsidR="004C6421" w:rsidRDefault="009D1962">
      <w:pPr>
        <w:pStyle w:val="P68B1DB1-Normal2"/>
        <w:spacing w:before="120" w:after="120"/>
        <w:jc w:val="both"/>
        <w:rPr>
          <w:noProof/>
        </w:rPr>
      </w:pPr>
      <w:r>
        <w:rPr>
          <w:noProof/>
        </w:rPr>
        <w:t>Reforma 1 – Uproszczenie procedur wydawania zezwoleń na elektrownie lądowe i morskie wykorzystujące energię odnawialną oraz nowe ramy prawne w celu utrzymania produkcji ze źródeł odnawialnych oraz przedłużenie okresu i kwalifikowalności obecnych systemów wsparcia</w:t>
      </w:r>
    </w:p>
    <w:p w14:paraId="5E993B62" w14:textId="77777777" w:rsidR="004C6421" w:rsidRDefault="009D1962">
      <w:pPr>
        <w:spacing w:before="120" w:after="120"/>
        <w:jc w:val="both"/>
        <w:rPr>
          <w:noProof/>
        </w:rPr>
      </w:pPr>
      <w:r>
        <w:rPr>
          <w:noProof/>
        </w:rPr>
        <w:t>Reforma ta obejmuje:</w:t>
      </w:r>
    </w:p>
    <w:p w14:paraId="37881A9C" w14:textId="77777777" w:rsidR="004C6421" w:rsidRDefault="009D1962">
      <w:pPr>
        <w:numPr>
          <w:ilvl w:val="0"/>
          <w:numId w:val="71"/>
        </w:numPr>
        <w:spacing w:before="120" w:after="120" w:line="259" w:lineRule="auto"/>
        <w:ind w:left="360"/>
        <w:contextualSpacing/>
        <w:jc w:val="both"/>
        <w:rPr>
          <w:noProof/>
        </w:rPr>
      </w:pPr>
      <w:r>
        <w:rPr>
          <w:noProof/>
        </w:rPr>
        <w:t xml:space="preserve">wejście w życie środków upraszczających dotyczących instalacji odnawialnych źródeł energii oraz rozbudowy i modernizacji istniejących elektrowni, zgodnie z przepisami dekretu z mocą ustawy nr 76 z dnia 17 lipca 2020 r., zwanego dalej „dekretem w sprawie uproszczenia”; </w:t>
      </w:r>
    </w:p>
    <w:p w14:paraId="7B719DBF" w14:textId="77777777" w:rsidR="004C6421" w:rsidRDefault="009D1962">
      <w:pPr>
        <w:numPr>
          <w:ilvl w:val="0"/>
          <w:numId w:val="71"/>
        </w:numPr>
        <w:spacing w:before="120" w:after="120" w:line="259" w:lineRule="auto"/>
        <w:ind w:left="360"/>
        <w:contextualSpacing/>
        <w:jc w:val="both"/>
        <w:rPr>
          <w:noProof/>
        </w:rPr>
      </w:pPr>
      <w:r>
        <w:rPr>
          <w:noProof/>
        </w:rPr>
        <w:t xml:space="preserve">uchwalenie dekretu, uzgodnionego z regionami i innymi zainteresowanymi administracjami państwowymi, mającego na celu określenie kryteriów identyfikacji obszarów odpowiednich i nienadających się do instalacji elektrowni wykorzystujących energię odnawialną o dodatkowej zdolności produkcji energii ze źródeł odnawialnych wynoszącej co najmniej 73 GW, zgodnie ze zaktualizowaną wersją PNIEC, aby osiągnąć cele rozwoju odnawialnych źródeł energii; </w:t>
      </w:r>
    </w:p>
    <w:p w14:paraId="50BDA8BD" w14:textId="77777777" w:rsidR="004C6421" w:rsidRDefault="009D1962">
      <w:pPr>
        <w:numPr>
          <w:ilvl w:val="0"/>
          <w:numId w:val="71"/>
        </w:numPr>
        <w:spacing w:before="120" w:after="120" w:line="259" w:lineRule="auto"/>
        <w:ind w:left="360"/>
        <w:contextualSpacing/>
        <w:jc w:val="both"/>
        <w:rPr>
          <w:noProof/>
        </w:rPr>
      </w:pPr>
      <w:r>
        <w:rPr>
          <w:noProof/>
        </w:rPr>
        <w:t xml:space="preserve">ukończenie mechanizmu wsparcia OZE również w odniesieniu do dodatkowych niedojrzałych technologii lub technologii o wysokich kosztach operacyjnych oraz przedłużenie okresu prowadzenia aukcji w odniesieniu do tzw. mechanizmu RES1, przy jednoczesnym utrzymaniu zasady konkurencyjnego dostępu; </w:t>
      </w:r>
    </w:p>
    <w:p w14:paraId="586E1A15" w14:textId="731A74B1" w:rsidR="004C6421" w:rsidRDefault="009D1962">
      <w:pPr>
        <w:numPr>
          <w:ilvl w:val="0"/>
          <w:numId w:val="71"/>
        </w:numPr>
        <w:spacing w:before="120" w:after="120" w:line="259" w:lineRule="auto"/>
        <w:ind w:left="360"/>
        <w:contextualSpacing/>
        <w:jc w:val="both"/>
        <w:rPr>
          <w:noProof/>
        </w:rPr>
      </w:pPr>
      <w:r>
        <w:rPr>
          <w:noProof/>
        </w:rPr>
        <w:t>przepisy promujące inwestycje w systemy magazynowania w dekrecie ustawodawczym transponującym dyrektywę (UE) 2019/944 w sprawie wspólnych zasad rynku wewnętrznego energii elektrycznej.</w:t>
      </w:r>
    </w:p>
    <w:p w14:paraId="12EB88D9" w14:textId="77777777" w:rsidR="004C6421" w:rsidRDefault="004C6421">
      <w:pPr>
        <w:spacing w:before="120" w:after="120" w:line="259" w:lineRule="auto"/>
        <w:contextualSpacing/>
        <w:jc w:val="both"/>
        <w:rPr>
          <w:noProof/>
        </w:rPr>
      </w:pPr>
    </w:p>
    <w:p w14:paraId="68F11D5B" w14:textId="77777777" w:rsidR="004C6421" w:rsidRDefault="009D1962">
      <w:pPr>
        <w:pStyle w:val="P68B1DB1-Normal2"/>
        <w:spacing w:before="120" w:after="120"/>
        <w:jc w:val="both"/>
        <w:rPr>
          <w:noProof/>
        </w:rPr>
      </w:pPr>
      <w:r>
        <w:rPr>
          <w:noProof/>
        </w:rPr>
        <w:t>Reforma 2 – Nowe przepisy promujące produkcję i zużycie gazu ze źródeł odnawialnych</w:t>
      </w:r>
    </w:p>
    <w:p w14:paraId="05001BA1" w14:textId="77777777" w:rsidR="004C6421" w:rsidRDefault="009D1962">
      <w:pPr>
        <w:spacing w:before="120" w:after="120"/>
        <w:jc w:val="both"/>
        <w:rPr>
          <w:noProof/>
        </w:rPr>
      </w:pPr>
      <w:r>
        <w:rPr>
          <w:noProof/>
        </w:rPr>
        <w:t>Reforma ta polega na zwiększeniu wsparcia na rzecz czystego biometanu poprzez przyjęcie przepisów mających na celu zwiększenie zakresu projektów dotyczących biometanu kwalifikujących się do wsparcia oraz wydłużenie okresu dostępności dotacji. Biometan musi spełniać kryteria określone w dyrektywie (UE) 2018/2001 w sprawie odnawialnych źródeł energii (REDII), aby umożliwić zgodność środka z zasadą „nie czyń poważnych” oraz z odpowiednimi wymogami określonymi w przypisie 8 w załączniku VI do rozporządzenia (UE) 2021/241.</w:t>
      </w:r>
    </w:p>
    <w:p w14:paraId="7030B4B8" w14:textId="77777777" w:rsidR="004C6421" w:rsidRDefault="009D1962">
      <w:pPr>
        <w:pStyle w:val="P68B1DB1-Normal2"/>
        <w:spacing w:before="120" w:after="120"/>
        <w:jc w:val="both"/>
        <w:rPr>
          <w:noProof/>
        </w:rPr>
      </w:pPr>
      <w:r>
        <w:rPr>
          <w:noProof/>
        </w:rPr>
        <w:t>Reforma 3 – Uproszczenie administracyjne i zmniejszenie barier regulacyjnych utrudniających wprowadzanie wodoru</w:t>
      </w:r>
    </w:p>
    <w:p w14:paraId="1791F0C1" w14:textId="77777777" w:rsidR="004C6421" w:rsidRDefault="009D1962">
      <w:pPr>
        <w:spacing w:before="120" w:after="120"/>
        <w:jc w:val="both"/>
        <w:rPr>
          <w:noProof/>
        </w:rPr>
      </w:pPr>
      <w:r>
        <w:rPr>
          <w:noProof/>
        </w:rPr>
        <w:t>Reforma ta polega na wejściu w życie ram prawnych mających na celu promowanie wodoru jako odnawialnego źródła energii. Te ramy prawne zawierają:</w:t>
      </w:r>
    </w:p>
    <w:p w14:paraId="54CDE3F8" w14:textId="77777777" w:rsidR="004C6421" w:rsidRDefault="009D1962">
      <w:pPr>
        <w:numPr>
          <w:ilvl w:val="0"/>
          <w:numId w:val="71"/>
        </w:numPr>
        <w:spacing w:before="120" w:after="120" w:line="259" w:lineRule="auto"/>
        <w:ind w:left="360"/>
        <w:contextualSpacing/>
        <w:jc w:val="both"/>
        <w:rPr>
          <w:noProof/>
        </w:rPr>
      </w:pPr>
      <w:r>
        <w:rPr>
          <w:noProof/>
        </w:rPr>
        <w:t>Przepisy dotyczące bezpieczeństwa technicznego dotyczące produkcji, transportu (kryteria techniczne i regulacyjne dotyczące wprowadzania wodoru do sieci gazu ziemnego), magazynowania i wykorzystania wodoru;</w:t>
      </w:r>
    </w:p>
    <w:p w14:paraId="79AF8259" w14:textId="77777777" w:rsidR="004C6421" w:rsidRDefault="009D1962">
      <w:pPr>
        <w:numPr>
          <w:ilvl w:val="0"/>
          <w:numId w:val="71"/>
        </w:numPr>
        <w:spacing w:before="120" w:after="120" w:line="259" w:lineRule="auto"/>
        <w:ind w:left="360"/>
        <w:contextualSpacing/>
        <w:jc w:val="both"/>
        <w:rPr>
          <w:noProof/>
        </w:rPr>
      </w:pPr>
      <w:r>
        <w:rPr>
          <w:noProof/>
        </w:rPr>
        <w:t xml:space="preserve">Przyspieszona procedura wydawania zezwoleń z procedurą punktu kompleksowej obsługi w celu uzyskania zezwolenia na budowę i eksploatację małej instalacji do produkcji wodoru (w przypadku elektrolizerów o mocy poniżej 1–5 MW; próg składowania określa się we wspomnianych powyżej przepisach technicznych dotyczących bezpieczeństwa wodoru).  </w:t>
      </w:r>
    </w:p>
    <w:p w14:paraId="5D2887B1" w14:textId="77777777" w:rsidR="004C6421" w:rsidRDefault="009D1962">
      <w:pPr>
        <w:numPr>
          <w:ilvl w:val="0"/>
          <w:numId w:val="71"/>
        </w:numPr>
        <w:spacing w:before="120" w:after="120" w:line="259" w:lineRule="auto"/>
        <w:ind w:left="360"/>
        <w:contextualSpacing/>
        <w:jc w:val="both"/>
        <w:rPr>
          <w:noProof/>
        </w:rPr>
      </w:pPr>
      <w:r>
        <w:rPr>
          <w:noProof/>
        </w:rPr>
        <w:t>Uregulowanie udziału zakładów produkujących wodór w usługach sieciowych. Organowi regulacyjnemu ds. energetyki (ARERA) powierza się zadanie wydania konkretnego środka regulacyjnego po konsultacji z zainteresowanymi stronami.</w:t>
      </w:r>
    </w:p>
    <w:p w14:paraId="76EA78C6" w14:textId="77777777" w:rsidR="004C6421" w:rsidRDefault="009D1962">
      <w:pPr>
        <w:numPr>
          <w:ilvl w:val="0"/>
          <w:numId w:val="71"/>
        </w:numPr>
        <w:spacing w:before="120" w:after="120" w:line="259" w:lineRule="auto"/>
        <w:ind w:left="360"/>
        <w:contextualSpacing/>
        <w:jc w:val="both"/>
        <w:rPr>
          <w:noProof/>
        </w:rPr>
      </w:pPr>
      <w:r>
        <w:rPr>
          <w:noProof/>
        </w:rPr>
        <w:t>System gwarancji pochodzenia wodoru odnawialnego w celu wysyłania konsumentom sygnałów cenowych.</w:t>
      </w:r>
    </w:p>
    <w:p w14:paraId="1C283E37" w14:textId="77777777" w:rsidR="004C6421" w:rsidRDefault="009D1962">
      <w:pPr>
        <w:numPr>
          <w:ilvl w:val="0"/>
          <w:numId w:val="71"/>
        </w:numPr>
        <w:spacing w:before="120" w:after="120" w:line="259" w:lineRule="auto"/>
        <w:ind w:left="360"/>
        <w:contextualSpacing/>
        <w:jc w:val="both"/>
        <w:rPr>
          <w:noProof/>
        </w:rPr>
      </w:pPr>
      <w:r>
        <w:rPr>
          <w:noProof/>
        </w:rPr>
        <w:t xml:space="preserve">Procedury lub kryteria określania wybranych obszarów tankowania wzdłuż autostrad w celu optymalizacji lokalizacji stacji tankowania w celu utworzenia korytarzy H2 dla samochodów ciężarowych, począwszy od północnych regionów Włoch aż do Doliny Padańskiej oraz węzłów logistycznych i głównych autostrad na półwyspie. </w:t>
      </w:r>
    </w:p>
    <w:p w14:paraId="4EE7883D" w14:textId="77777777" w:rsidR="004C6421" w:rsidRDefault="009D1962">
      <w:pPr>
        <w:numPr>
          <w:ilvl w:val="0"/>
          <w:numId w:val="71"/>
        </w:numPr>
        <w:spacing w:before="120" w:after="120" w:line="259" w:lineRule="auto"/>
        <w:ind w:left="360"/>
        <w:contextualSpacing/>
        <w:jc w:val="both"/>
        <w:rPr>
          <w:noProof/>
        </w:rPr>
      </w:pPr>
      <w:r>
        <w:rPr>
          <w:noProof/>
        </w:rPr>
        <w:t>Koordynacja 10-letniego planu rozwoju krajowego operatora systemu przesyłowego (OSP) z planami innych europejskich OSP mających na celu opracowanie wspólnych norm dla transportu wodoru za pomocą istniejących gazociągów lub specjalnych gazociągów.</w:t>
      </w:r>
    </w:p>
    <w:p w14:paraId="23627835" w14:textId="77777777" w:rsidR="004C6421" w:rsidRDefault="009D1962">
      <w:pPr>
        <w:pStyle w:val="P68B1DB1-Normal2"/>
        <w:spacing w:before="120" w:after="120"/>
        <w:jc w:val="both"/>
        <w:rPr>
          <w:noProof/>
        </w:rPr>
      </w:pPr>
      <w:r>
        <w:rPr>
          <w:noProof/>
        </w:rPr>
        <w:t>Reforma 4 – Działania na rzecz wspierania konkurencyjności wodoru</w:t>
      </w:r>
    </w:p>
    <w:p w14:paraId="13AA6040" w14:textId="77777777" w:rsidR="004C6421" w:rsidRDefault="009D1962">
      <w:pPr>
        <w:spacing w:before="120" w:after="120"/>
        <w:jc w:val="both"/>
        <w:rPr>
          <w:noProof/>
        </w:rPr>
      </w:pPr>
      <w:r>
        <w:rPr>
          <w:noProof/>
        </w:rPr>
        <w:t>Reforma ta polega na przyjęciu środków podatkowych zachęcających do produkcji lub wykorzystywania wodoru, zgodnie z przepisami UE dotyczącymi opodatkowania, oraz na transpozycji dyrektywy RED II. Środek ten wspiera produkcję wodoru w oparciu o elektrolizę z wykorzystaniem odnawialnych źródeł energii zdefiniowanych w dyrektywie (UE) 2018/2001 (dyrektywa w sprawie energii ze źródeł odnawialnych) lub energię elektryczną z sieci.”;</w:t>
      </w:r>
    </w:p>
    <w:p w14:paraId="0A3B264F" w14:textId="77777777" w:rsidR="004C6421" w:rsidRDefault="009D1962">
      <w:pPr>
        <w:spacing w:after="200" w:line="276" w:lineRule="auto"/>
        <w:rPr>
          <w:b/>
          <w:noProof/>
        </w:rPr>
      </w:pPr>
      <w:r>
        <w:rPr>
          <w:noProof/>
        </w:rPr>
        <w:br w:type="page"/>
      </w:r>
      <w:r>
        <w:rPr>
          <w:b/>
          <w:noProof/>
        </w:rPr>
        <w:t>Reforma 5 – Inteligentniejsze procedury oceny projektów w sektorze lokalnych systemów transportu publicznego z stałymi instalacjami oraz w sektorze szybkiego transportu masowego</w:t>
      </w:r>
    </w:p>
    <w:p w14:paraId="1A395AE0" w14:textId="77777777" w:rsidR="004C6421" w:rsidRDefault="009D1962">
      <w:pPr>
        <w:spacing w:before="120" w:after="120"/>
        <w:jc w:val="both"/>
        <w:rPr>
          <w:noProof/>
        </w:rPr>
      </w:pPr>
      <w:r>
        <w:rPr>
          <w:noProof/>
        </w:rPr>
        <w:t xml:space="preserve">Reforma ta polega na przyjęciu przepisów wyraźnie nakładających obowiązki w zakresie zatwierdzania projektów w zakresie lokalnego transportu publicznego oraz na uproszczeniu procedury płatności. </w:t>
      </w:r>
    </w:p>
    <w:p w14:paraId="2560035E" w14:textId="77777777" w:rsidR="004C6421" w:rsidRDefault="009D1962">
      <w:pPr>
        <w:pStyle w:val="P68B1DB1-Normal2"/>
        <w:spacing w:before="120" w:after="120"/>
        <w:jc w:val="both"/>
        <w:rPr>
          <w:noProof/>
        </w:rPr>
      </w:pPr>
      <w:r>
        <w:rPr>
          <w:noProof/>
        </w:rPr>
        <w:t>Inwestycje 4.1 – Inwestycje w mobilność miękką (krajowy plan ścieżki cyklu)</w:t>
      </w:r>
    </w:p>
    <w:p w14:paraId="6F6DE544" w14:textId="77777777" w:rsidR="004C6421" w:rsidRDefault="009D1962">
      <w:pPr>
        <w:spacing w:before="120" w:after="120"/>
        <w:jc w:val="both"/>
        <w:rPr>
          <w:noProof/>
        </w:rPr>
      </w:pPr>
      <w:r>
        <w:rPr>
          <w:noProof/>
        </w:rPr>
        <w:t>Inwestycja ta polega na budowie co najmniej 565 km pasów rowerowych na obszarach metropolitalnych i co najmniej 746 km turystycznych ścieżek rowerowych. Ścieżki rowerowe metropolitalne opracowuje się na co najmniej 40 obszarach metropolitalnych lub w miastach przyjmujących uniwersytety</w:t>
      </w:r>
      <w:r>
        <w:rPr>
          <w:rStyle w:val="FootnoteReference"/>
          <w:noProof/>
        </w:rPr>
        <w:footnoteReference w:id="48"/>
      </w:r>
      <w:r>
        <w:rPr>
          <w:noProof/>
        </w:rPr>
        <w:t>. Ścieżki rowerowe ułatwiają dojazdy do pracy na pierwszej i ostatniej mili – łączące lokalizacje na obszarach metropolitalnych lub w miastach przyjmujących uniwersytety z pobliskimi węzłami intermodalnymi (takimi jak stacje metra lub stacje kolejowe) lub uniwersytetami z pobliskimi węzłami intermodalnymi (takimi jak stacje metra lub stacje kolejowe). Kwalifikujące się ścieżki rowerowe określono w ustawie nr 208 z dnia 28 grudnia 2015 r.</w:t>
      </w:r>
    </w:p>
    <w:p w14:paraId="660163C7" w14:textId="77777777" w:rsidR="004C6421" w:rsidRDefault="009D1962">
      <w:pPr>
        <w:pStyle w:val="P68B1DB1-Normal2"/>
        <w:spacing w:before="120" w:after="120"/>
        <w:jc w:val="both"/>
        <w:rPr>
          <w:noProof/>
        </w:rPr>
      </w:pPr>
      <w:r>
        <w:rPr>
          <w:noProof/>
        </w:rPr>
        <w:t>Inwestycje 4.3 – Instalacja infrastruktury ładowania</w:t>
      </w:r>
    </w:p>
    <w:p w14:paraId="5E5DAFB8" w14:textId="77777777" w:rsidR="004C6421" w:rsidRDefault="009D1962">
      <w:pPr>
        <w:spacing w:before="120" w:after="120"/>
        <w:jc w:val="both"/>
        <w:rPr>
          <w:noProof/>
        </w:rPr>
      </w:pPr>
      <w:r>
        <w:rPr>
          <w:noProof/>
        </w:rPr>
        <w:t>Inwestycja ta polega na wspieraniu rozwoju:</w:t>
      </w:r>
    </w:p>
    <w:p w14:paraId="4B2B0B4C" w14:textId="77777777" w:rsidR="004C6421" w:rsidRDefault="009D1962">
      <w:pPr>
        <w:numPr>
          <w:ilvl w:val="0"/>
          <w:numId w:val="74"/>
        </w:numPr>
        <w:spacing w:before="120" w:after="120" w:line="259" w:lineRule="auto"/>
        <w:ind w:left="360"/>
        <w:contextualSpacing/>
        <w:jc w:val="both"/>
        <w:rPr>
          <w:noProof/>
        </w:rPr>
      </w:pPr>
      <w:r>
        <w:rPr>
          <w:noProof/>
        </w:rPr>
        <w:t>7500 punktów szybkiej publicznej infrastruktury ładowania na drogach wolnych;</w:t>
      </w:r>
    </w:p>
    <w:p w14:paraId="4D5D3A33" w14:textId="77777777" w:rsidR="004C6421" w:rsidRDefault="009D1962">
      <w:pPr>
        <w:numPr>
          <w:ilvl w:val="0"/>
          <w:numId w:val="74"/>
        </w:numPr>
        <w:spacing w:before="120" w:after="120" w:line="259" w:lineRule="auto"/>
        <w:ind w:left="360"/>
        <w:contextualSpacing/>
        <w:jc w:val="both"/>
        <w:rPr>
          <w:noProof/>
        </w:rPr>
      </w:pPr>
      <w:r>
        <w:rPr>
          <w:noProof/>
        </w:rPr>
        <w:t>13755 publicznych punktów infrastruktury szybkiego ładowania w centrach miejskich;</w:t>
      </w:r>
    </w:p>
    <w:p w14:paraId="0C8E9D55" w14:textId="77777777" w:rsidR="004C6421" w:rsidRDefault="009D1962">
      <w:pPr>
        <w:numPr>
          <w:ilvl w:val="0"/>
          <w:numId w:val="74"/>
        </w:numPr>
        <w:spacing w:before="120" w:after="120" w:line="259" w:lineRule="auto"/>
        <w:ind w:left="360"/>
        <w:contextualSpacing/>
        <w:jc w:val="both"/>
        <w:rPr>
          <w:noProof/>
        </w:rPr>
      </w:pPr>
      <w:r>
        <w:rPr>
          <w:noProof/>
        </w:rPr>
        <w:t>100 eksperymentalnych stacji ładowania podłączonych do magazynowania.</w:t>
      </w:r>
    </w:p>
    <w:p w14:paraId="56368172" w14:textId="77777777" w:rsidR="004C6421" w:rsidRDefault="009D1962">
      <w:pPr>
        <w:spacing w:before="120" w:after="120"/>
        <w:jc w:val="both"/>
        <w:rPr>
          <w:noProof/>
        </w:rPr>
      </w:pPr>
      <w:r>
        <w:rPr>
          <w:noProof/>
        </w:rPr>
        <w:t>Uzupełnieniem tej inwestycji są reformy dotyczące cen ładowania pojazdów elektrycznych i koncesji wymienionych w części dotyczącej reformy otoczenia biznesu.</w:t>
      </w:r>
    </w:p>
    <w:p w14:paraId="0410DBC4" w14:textId="77777777" w:rsidR="004C6421" w:rsidRDefault="004C6421">
      <w:pPr>
        <w:rPr>
          <w:noProof/>
        </w:rPr>
      </w:pPr>
    </w:p>
    <w:p w14:paraId="15CBB084" w14:textId="77777777" w:rsidR="004C6421" w:rsidRDefault="009D1962">
      <w:pPr>
        <w:pStyle w:val="Heading3"/>
        <w:numPr>
          <w:ilvl w:val="0"/>
          <w:numId w:val="0"/>
        </w:numPr>
        <w:ind w:left="850" w:hanging="850"/>
        <w:rPr>
          <w:b/>
          <w:i w:val="0"/>
          <w:noProof/>
          <w:u w:val="single"/>
        </w:rPr>
      </w:pPr>
      <w:r>
        <w:rPr>
          <w:b/>
          <w:i w:val="0"/>
          <w:noProof/>
          <w:u w:val="single"/>
        </w:rPr>
        <w:t xml:space="preserve">E.2. </w:t>
      </w:r>
      <w:r>
        <w:rPr>
          <w:noProof/>
        </w:rPr>
        <w:t xml:space="preserve"> </w:t>
      </w:r>
      <w:r>
        <w:rPr>
          <w:b/>
          <w:i w:val="0"/>
          <w:noProof/>
          <w:u w:val="single"/>
        </w:rPr>
        <w:t>Kamienie milowe, wartości docelowe, wskaźniki i harmonogram monitorowania i realizacji na potrzeby bezzwrotnego wsparcia finansowego</w:t>
      </w:r>
    </w:p>
    <w:p w14:paraId="423F8847" w14:textId="77777777" w:rsidR="004C6421" w:rsidRDefault="004C6421">
      <w:pPr>
        <w:spacing w:before="120" w:after="120"/>
        <w:ind w:left="709"/>
        <w:jc w:val="both"/>
        <w:rPr>
          <w:noProof/>
        </w:rPr>
        <w:sectPr w:rsidR="004C6421" w:rsidSect="00797973">
          <w:headerReference w:type="even" r:id="rId140"/>
          <w:headerReference w:type="default" r:id="rId141"/>
          <w:footerReference w:type="even" r:id="rId142"/>
          <w:footerReference w:type="default" r:id="rId143"/>
          <w:headerReference w:type="first" r:id="rId144"/>
          <w:footerReference w:type="first" r:id="rId145"/>
          <w:pgSz w:w="11907" w:h="16839"/>
          <w:pgMar w:top="1440" w:right="1440" w:bottom="1440" w:left="1440" w:header="567" w:footer="567" w:gutter="0"/>
          <w:cols w:space="720"/>
          <w:docGrid w:linePitch="360"/>
        </w:sectPr>
      </w:pPr>
    </w:p>
    <w:tbl>
      <w:tblPr>
        <w:tblW w:w="15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682"/>
        <w:gridCol w:w="1110"/>
        <w:gridCol w:w="1391"/>
        <w:gridCol w:w="1253"/>
        <w:gridCol w:w="1388"/>
        <w:gridCol w:w="1003"/>
        <w:gridCol w:w="1391"/>
        <w:gridCol w:w="975"/>
        <w:gridCol w:w="698"/>
        <w:gridCol w:w="3770"/>
      </w:tblGrid>
      <w:tr w:rsidR="004C6421" w14:paraId="4AA79C6B" w14:textId="77777777">
        <w:trPr>
          <w:trHeight w:val="309"/>
          <w:tblHeader/>
          <w:jc w:val="center"/>
        </w:trPr>
        <w:tc>
          <w:tcPr>
            <w:tcW w:w="1101" w:type="dxa"/>
            <w:vMerge w:val="restart"/>
            <w:shd w:val="clear" w:color="auto" w:fill="BDD7EE"/>
            <w:noWrap/>
            <w:vAlign w:val="center"/>
          </w:tcPr>
          <w:p w14:paraId="1A5BDAD8" w14:textId="77777777" w:rsidR="004C6421" w:rsidRDefault="009D1962">
            <w:pPr>
              <w:pStyle w:val="P68B1DB1-Normal3"/>
              <w:spacing w:line="276" w:lineRule="auto"/>
              <w:jc w:val="center"/>
              <w:rPr>
                <w:noProof/>
                <w:color w:val="006100"/>
              </w:rPr>
            </w:pPr>
            <w:r>
              <w:rPr>
                <w:noProof/>
              </w:rPr>
              <w:t>Numer porządkowy</w:t>
            </w:r>
          </w:p>
        </w:tc>
        <w:tc>
          <w:tcPr>
            <w:tcW w:w="1682" w:type="dxa"/>
            <w:vMerge w:val="restart"/>
            <w:shd w:val="clear" w:color="auto" w:fill="BDD7EE"/>
            <w:noWrap/>
            <w:vAlign w:val="center"/>
          </w:tcPr>
          <w:p w14:paraId="50E75C25" w14:textId="77777777" w:rsidR="004C6421" w:rsidRDefault="009D1962">
            <w:pPr>
              <w:pStyle w:val="P68B1DB1-Normal3"/>
              <w:spacing w:line="276" w:lineRule="auto"/>
              <w:jc w:val="center"/>
              <w:rPr>
                <w:noProof/>
                <w:color w:val="006100"/>
              </w:rPr>
            </w:pPr>
            <w:r>
              <w:rPr>
                <w:noProof/>
              </w:rPr>
              <w:t>Powiązane działanie (reforma lub inwestycja)</w:t>
            </w:r>
          </w:p>
        </w:tc>
        <w:tc>
          <w:tcPr>
            <w:tcW w:w="1110" w:type="dxa"/>
            <w:vMerge w:val="restart"/>
            <w:shd w:val="clear" w:color="auto" w:fill="BDD7EE"/>
            <w:noWrap/>
            <w:vAlign w:val="center"/>
          </w:tcPr>
          <w:p w14:paraId="56C6E2D0" w14:textId="77777777" w:rsidR="004C6421" w:rsidRDefault="009D1962">
            <w:pPr>
              <w:pStyle w:val="P68B1DB1-Normal3"/>
              <w:spacing w:line="276" w:lineRule="auto"/>
              <w:jc w:val="center"/>
              <w:rPr>
                <w:noProof/>
                <w:color w:val="006100"/>
              </w:rPr>
            </w:pPr>
            <w:r>
              <w:rPr>
                <w:noProof/>
              </w:rPr>
              <w:t>Kamień milowy/wartość docelowa</w:t>
            </w:r>
          </w:p>
        </w:tc>
        <w:tc>
          <w:tcPr>
            <w:tcW w:w="1391" w:type="dxa"/>
            <w:vMerge w:val="restart"/>
            <w:shd w:val="clear" w:color="auto" w:fill="BDD7EE"/>
            <w:noWrap/>
            <w:vAlign w:val="center"/>
          </w:tcPr>
          <w:p w14:paraId="26F82A91" w14:textId="77777777" w:rsidR="004C6421" w:rsidRDefault="009D1962">
            <w:pPr>
              <w:pStyle w:val="P68B1DB1-Normal3"/>
              <w:spacing w:line="276" w:lineRule="auto"/>
              <w:jc w:val="center"/>
              <w:rPr>
                <w:noProof/>
                <w:color w:val="006100"/>
              </w:rPr>
            </w:pPr>
            <w:r>
              <w:rPr>
                <w:noProof/>
              </w:rPr>
              <w:t>Nazwa</w:t>
            </w:r>
          </w:p>
        </w:tc>
        <w:tc>
          <w:tcPr>
            <w:tcW w:w="1253" w:type="dxa"/>
            <w:vMerge w:val="restart"/>
            <w:shd w:val="clear" w:color="auto" w:fill="BDD7EE"/>
            <w:noWrap/>
            <w:vAlign w:val="center"/>
          </w:tcPr>
          <w:p w14:paraId="1985D0D3" w14:textId="77777777" w:rsidR="004C6421" w:rsidRDefault="009D1962">
            <w:pPr>
              <w:spacing w:line="276" w:lineRule="auto"/>
              <w:jc w:val="center"/>
              <w:rPr>
                <w:rFonts w:ascii="Arial Narrow" w:hAnsi="Arial Narrow"/>
                <w:noProof/>
                <w:color w:val="006100"/>
                <w:sz w:val="20"/>
              </w:rPr>
            </w:pPr>
            <w:r>
              <w:rPr>
                <w:rFonts w:ascii="Arial Narrow" w:hAnsi="Arial Narrow"/>
                <w:b/>
                <w:noProof/>
                <w:sz w:val="20"/>
              </w:rPr>
              <w:t xml:space="preserve">Wskaźniki jakościowe </w:t>
            </w:r>
            <w:r>
              <w:rPr>
                <w:rFonts w:ascii="Arial Narrow" w:hAnsi="Arial Narrow"/>
                <w:noProof/>
              </w:rPr>
              <w:t xml:space="preserve"> </w:t>
            </w:r>
            <w:r>
              <w:rPr>
                <w:noProof/>
              </w:rPr>
              <w:t xml:space="preserve">  </w:t>
            </w:r>
            <w:r>
              <w:rPr>
                <w:noProof/>
              </w:rPr>
              <w:br/>
            </w:r>
            <w:r>
              <w:rPr>
                <w:rFonts w:ascii="Arial Narrow" w:hAnsi="Arial Narrow"/>
                <w:b/>
                <w:noProof/>
                <w:sz w:val="20"/>
              </w:rPr>
              <w:t>(dla kamieni milowych)</w:t>
            </w:r>
          </w:p>
        </w:tc>
        <w:tc>
          <w:tcPr>
            <w:tcW w:w="3782" w:type="dxa"/>
            <w:gridSpan w:val="3"/>
            <w:shd w:val="clear" w:color="auto" w:fill="BDD7EE"/>
            <w:noWrap/>
            <w:vAlign w:val="center"/>
          </w:tcPr>
          <w:p w14:paraId="3DA8E174" w14:textId="77777777" w:rsidR="004C6421" w:rsidRDefault="009D1962">
            <w:pPr>
              <w:spacing w:line="276" w:lineRule="auto"/>
              <w:jc w:val="center"/>
              <w:rPr>
                <w:rFonts w:ascii="Arial Narrow" w:hAnsi="Arial Narrow"/>
                <w:noProof/>
                <w:color w:val="006100"/>
                <w:sz w:val="20"/>
              </w:rPr>
            </w:pPr>
            <w:r>
              <w:rPr>
                <w:rFonts w:ascii="Arial Narrow" w:hAnsi="Arial Narrow"/>
                <w:b/>
                <w:noProof/>
                <w:sz w:val="20"/>
              </w:rPr>
              <w:t xml:space="preserve">Wskaźniki ilościowe </w:t>
            </w:r>
            <w:r>
              <w:rPr>
                <w:rFonts w:ascii="Arial Narrow" w:hAnsi="Arial Narrow"/>
                <w:noProof/>
              </w:rPr>
              <w:t xml:space="preserve"> </w:t>
            </w:r>
            <w:r>
              <w:rPr>
                <w:noProof/>
              </w:rPr>
              <w:t xml:space="preserve">  </w:t>
            </w:r>
            <w:r>
              <w:rPr>
                <w:noProof/>
              </w:rPr>
              <w:br/>
            </w:r>
            <w:r>
              <w:rPr>
                <w:rFonts w:ascii="Arial Narrow" w:hAnsi="Arial Narrow"/>
                <w:b/>
                <w:noProof/>
                <w:sz w:val="20"/>
              </w:rPr>
              <w:t>(dla wartości docelowych)</w:t>
            </w:r>
          </w:p>
        </w:tc>
        <w:tc>
          <w:tcPr>
            <w:tcW w:w="1673" w:type="dxa"/>
            <w:gridSpan w:val="2"/>
            <w:shd w:val="clear" w:color="auto" w:fill="BDD7EE"/>
            <w:noWrap/>
            <w:vAlign w:val="center"/>
          </w:tcPr>
          <w:p w14:paraId="12DDFED4" w14:textId="77777777" w:rsidR="004C6421" w:rsidRDefault="009D1962">
            <w:pPr>
              <w:pStyle w:val="P68B1DB1-Normal3"/>
              <w:spacing w:line="276" w:lineRule="auto"/>
              <w:jc w:val="center"/>
              <w:rPr>
                <w:noProof/>
                <w:color w:val="006100"/>
              </w:rPr>
            </w:pPr>
            <w:r>
              <w:rPr>
                <w:noProof/>
              </w:rPr>
              <w:t>Orientacyjny harmonogram zakończenia działania</w:t>
            </w:r>
          </w:p>
        </w:tc>
        <w:tc>
          <w:tcPr>
            <w:tcW w:w="3770" w:type="dxa"/>
            <w:vMerge w:val="restart"/>
            <w:shd w:val="clear" w:color="auto" w:fill="BDD7EE"/>
            <w:noWrap/>
            <w:vAlign w:val="center"/>
          </w:tcPr>
          <w:p w14:paraId="6985BCC4" w14:textId="77777777" w:rsidR="004C6421" w:rsidRDefault="009D1962">
            <w:pPr>
              <w:pStyle w:val="P68B1DB1-Normal3"/>
              <w:spacing w:after="120"/>
              <w:rPr>
                <w:noProof/>
                <w:color w:val="006100"/>
              </w:rPr>
            </w:pPr>
            <w:r>
              <w:rPr>
                <w:noProof/>
              </w:rPr>
              <w:t>Opis każdego kamienia milowego i każdej wartości docelowej</w:t>
            </w:r>
          </w:p>
        </w:tc>
      </w:tr>
      <w:tr w:rsidR="004C6421" w14:paraId="344C856A" w14:textId="77777777">
        <w:trPr>
          <w:trHeight w:val="309"/>
          <w:tblHeader/>
          <w:jc w:val="center"/>
        </w:trPr>
        <w:tc>
          <w:tcPr>
            <w:tcW w:w="1101" w:type="dxa"/>
            <w:vMerge/>
            <w:noWrap/>
            <w:vAlign w:val="center"/>
          </w:tcPr>
          <w:p w14:paraId="1B28A052" w14:textId="77777777" w:rsidR="004C6421" w:rsidRDefault="004C6421">
            <w:pPr>
              <w:spacing w:line="276" w:lineRule="auto"/>
              <w:jc w:val="center"/>
              <w:rPr>
                <w:rFonts w:ascii="Arial Narrow" w:hAnsi="Arial Narrow"/>
                <w:noProof/>
                <w:color w:val="006100"/>
                <w:sz w:val="20"/>
              </w:rPr>
            </w:pPr>
          </w:p>
        </w:tc>
        <w:tc>
          <w:tcPr>
            <w:tcW w:w="1682" w:type="dxa"/>
            <w:vMerge/>
            <w:noWrap/>
            <w:vAlign w:val="center"/>
          </w:tcPr>
          <w:p w14:paraId="009B2F67" w14:textId="77777777" w:rsidR="004C6421" w:rsidRDefault="004C6421">
            <w:pPr>
              <w:spacing w:line="276" w:lineRule="auto"/>
              <w:jc w:val="center"/>
              <w:rPr>
                <w:rFonts w:ascii="Arial Narrow" w:hAnsi="Arial Narrow"/>
                <w:noProof/>
                <w:color w:val="006100"/>
                <w:sz w:val="20"/>
              </w:rPr>
            </w:pPr>
          </w:p>
        </w:tc>
        <w:tc>
          <w:tcPr>
            <w:tcW w:w="1110" w:type="dxa"/>
            <w:vMerge/>
            <w:noWrap/>
            <w:vAlign w:val="center"/>
          </w:tcPr>
          <w:p w14:paraId="5C762C14" w14:textId="77777777" w:rsidR="004C6421" w:rsidRDefault="004C6421">
            <w:pPr>
              <w:spacing w:line="276" w:lineRule="auto"/>
              <w:jc w:val="center"/>
              <w:rPr>
                <w:rFonts w:ascii="Arial Narrow" w:hAnsi="Arial Narrow"/>
                <w:noProof/>
                <w:color w:val="006100"/>
                <w:sz w:val="20"/>
              </w:rPr>
            </w:pPr>
          </w:p>
        </w:tc>
        <w:tc>
          <w:tcPr>
            <w:tcW w:w="1391" w:type="dxa"/>
            <w:vMerge/>
            <w:noWrap/>
            <w:vAlign w:val="center"/>
          </w:tcPr>
          <w:p w14:paraId="3C85D4CE" w14:textId="77777777" w:rsidR="004C6421" w:rsidRDefault="004C6421">
            <w:pPr>
              <w:spacing w:line="276" w:lineRule="auto"/>
              <w:jc w:val="center"/>
              <w:rPr>
                <w:rFonts w:ascii="Arial Narrow" w:hAnsi="Arial Narrow"/>
                <w:noProof/>
                <w:color w:val="006100"/>
                <w:sz w:val="20"/>
              </w:rPr>
            </w:pPr>
          </w:p>
        </w:tc>
        <w:tc>
          <w:tcPr>
            <w:tcW w:w="1253" w:type="dxa"/>
            <w:vMerge/>
            <w:noWrap/>
            <w:vAlign w:val="center"/>
          </w:tcPr>
          <w:p w14:paraId="7541CA75" w14:textId="77777777" w:rsidR="004C6421" w:rsidRDefault="004C6421">
            <w:pPr>
              <w:spacing w:line="276" w:lineRule="auto"/>
              <w:jc w:val="center"/>
              <w:rPr>
                <w:rFonts w:ascii="Arial Narrow" w:hAnsi="Arial Narrow"/>
                <w:noProof/>
                <w:color w:val="006100"/>
                <w:sz w:val="20"/>
              </w:rPr>
            </w:pPr>
          </w:p>
        </w:tc>
        <w:tc>
          <w:tcPr>
            <w:tcW w:w="1388" w:type="dxa"/>
            <w:shd w:val="clear" w:color="auto" w:fill="BDD7EE"/>
            <w:noWrap/>
            <w:vAlign w:val="center"/>
          </w:tcPr>
          <w:p w14:paraId="7800F2B8" w14:textId="77777777" w:rsidR="004C6421" w:rsidRDefault="009D1962">
            <w:pPr>
              <w:pStyle w:val="P68B1DB1-Normal3"/>
              <w:spacing w:line="276" w:lineRule="auto"/>
              <w:jc w:val="center"/>
              <w:rPr>
                <w:noProof/>
                <w:color w:val="006100"/>
              </w:rPr>
            </w:pPr>
            <w:r>
              <w:rPr>
                <w:noProof/>
              </w:rPr>
              <w:t>Jednostka miary</w:t>
            </w:r>
          </w:p>
        </w:tc>
        <w:tc>
          <w:tcPr>
            <w:tcW w:w="1003" w:type="dxa"/>
            <w:shd w:val="clear" w:color="auto" w:fill="BDD7EE"/>
            <w:noWrap/>
            <w:vAlign w:val="center"/>
          </w:tcPr>
          <w:p w14:paraId="576C85BD" w14:textId="77777777" w:rsidR="004C6421" w:rsidRDefault="009D1962">
            <w:pPr>
              <w:pStyle w:val="P68B1DB1-Normal3"/>
              <w:spacing w:line="276" w:lineRule="auto"/>
              <w:jc w:val="center"/>
              <w:rPr>
                <w:noProof/>
                <w:color w:val="006100"/>
              </w:rPr>
            </w:pPr>
            <w:r>
              <w:rPr>
                <w:noProof/>
              </w:rPr>
              <w:t>Bazowy</w:t>
            </w:r>
          </w:p>
        </w:tc>
        <w:tc>
          <w:tcPr>
            <w:tcW w:w="1391" w:type="dxa"/>
            <w:shd w:val="clear" w:color="auto" w:fill="BDD7EE"/>
            <w:noWrap/>
            <w:vAlign w:val="center"/>
          </w:tcPr>
          <w:p w14:paraId="7953781A" w14:textId="77777777" w:rsidR="004C6421" w:rsidRDefault="009D1962">
            <w:pPr>
              <w:pStyle w:val="P68B1DB1-Normal3"/>
              <w:spacing w:line="276" w:lineRule="auto"/>
              <w:jc w:val="center"/>
              <w:rPr>
                <w:noProof/>
                <w:color w:val="006100"/>
              </w:rPr>
            </w:pPr>
            <w:r>
              <w:rPr>
                <w:noProof/>
              </w:rPr>
              <w:t>Cel</w:t>
            </w:r>
          </w:p>
        </w:tc>
        <w:tc>
          <w:tcPr>
            <w:tcW w:w="975" w:type="dxa"/>
            <w:shd w:val="clear" w:color="auto" w:fill="BDD7EE"/>
            <w:noWrap/>
            <w:vAlign w:val="center"/>
          </w:tcPr>
          <w:p w14:paraId="1233727D" w14:textId="77777777" w:rsidR="004C6421" w:rsidRDefault="009D1962">
            <w:pPr>
              <w:pStyle w:val="P68B1DB1-Normal3"/>
              <w:spacing w:line="276" w:lineRule="auto"/>
              <w:jc w:val="center"/>
              <w:rPr>
                <w:noProof/>
                <w:color w:val="006100"/>
              </w:rPr>
            </w:pPr>
            <w:r>
              <w:rPr>
                <w:noProof/>
              </w:rPr>
              <w:t>Kwartał</w:t>
            </w:r>
          </w:p>
        </w:tc>
        <w:tc>
          <w:tcPr>
            <w:tcW w:w="698" w:type="dxa"/>
            <w:shd w:val="clear" w:color="auto" w:fill="BDD7EE"/>
            <w:noWrap/>
            <w:vAlign w:val="center"/>
          </w:tcPr>
          <w:p w14:paraId="5ABBCE65" w14:textId="77777777" w:rsidR="004C6421" w:rsidRDefault="009D1962">
            <w:pPr>
              <w:pStyle w:val="P68B1DB1-Normal3"/>
              <w:spacing w:line="276" w:lineRule="auto"/>
              <w:jc w:val="center"/>
              <w:rPr>
                <w:noProof/>
                <w:color w:val="006100"/>
              </w:rPr>
            </w:pPr>
            <w:r>
              <w:rPr>
                <w:noProof/>
              </w:rPr>
              <w:t>Rok</w:t>
            </w:r>
          </w:p>
        </w:tc>
        <w:tc>
          <w:tcPr>
            <w:tcW w:w="3770" w:type="dxa"/>
            <w:vMerge/>
            <w:noWrap/>
            <w:vAlign w:val="center"/>
          </w:tcPr>
          <w:p w14:paraId="71E9E03D" w14:textId="77777777" w:rsidR="004C6421" w:rsidRDefault="004C6421">
            <w:pPr>
              <w:spacing w:after="120"/>
              <w:rPr>
                <w:rFonts w:ascii="Arial Narrow" w:hAnsi="Arial Narrow"/>
                <w:noProof/>
                <w:color w:val="006100"/>
                <w:sz w:val="20"/>
              </w:rPr>
            </w:pPr>
          </w:p>
        </w:tc>
      </w:tr>
      <w:tr w:rsidR="004C6421" w14:paraId="4EFB0AE3" w14:textId="77777777">
        <w:trPr>
          <w:trHeight w:val="309"/>
          <w:jc w:val="center"/>
        </w:trPr>
        <w:tc>
          <w:tcPr>
            <w:tcW w:w="1101" w:type="dxa"/>
            <w:shd w:val="clear" w:color="auto" w:fill="C6EFCE"/>
            <w:noWrap/>
            <w:vAlign w:val="center"/>
          </w:tcPr>
          <w:p w14:paraId="76A6F3B8" w14:textId="77777777" w:rsidR="004C6421" w:rsidRDefault="009D1962">
            <w:pPr>
              <w:pStyle w:val="P68B1DB1-Normal4"/>
              <w:spacing w:line="276" w:lineRule="auto"/>
              <w:jc w:val="center"/>
              <w:rPr>
                <w:noProof/>
              </w:rPr>
            </w:pPr>
            <w:r>
              <w:rPr>
                <w:noProof/>
              </w:rPr>
              <w:t>M2C2-6</w:t>
            </w:r>
          </w:p>
        </w:tc>
        <w:tc>
          <w:tcPr>
            <w:tcW w:w="1682" w:type="dxa"/>
            <w:shd w:val="clear" w:color="auto" w:fill="C6EFCE"/>
            <w:noWrap/>
            <w:vAlign w:val="center"/>
          </w:tcPr>
          <w:p w14:paraId="7DE0CD3B" w14:textId="77777777" w:rsidR="004C6421" w:rsidRDefault="009D1962">
            <w:pPr>
              <w:pStyle w:val="P68B1DB1-Normal4"/>
              <w:spacing w:line="276" w:lineRule="auto"/>
              <w:jc w:val="center"/>
              <w:rPr>
                <w:noProof/>
              </w:rPr>
            </w:pPr>
            <w:r>
              <w:rPr>
                <w:noProof/>
              </w:rPr>
              <w:t>Reforma 1 Uproszczenie procedur wydawania zezwoleń na elektrownie lądowe i morskie wykorzystujące energię odnawialną oraz nowe ramy prawne w celu utrzymania produkcji ze źródeł odnawialnych oraz przedłużenie okresu i kwalifikowalności obecnych systemów wsparcia</w:t>
            </w:r>
          </w:p>
        </w:tc>
        <w:tc>
          <w:tcPr>
            <w:tcW w:w="1110" w:type="dxa"/>
            <w:shd w:val="clear" w:color="auto" w:fill="C6EFCE"/>
            <w:noWrap/>
            <w:vAlign w:val="center"/>
          </w:tcPr>
          <w:p w14:paraId="342E4626" w14:textId="31F49845" w:rsidR="004C6421" w:rsidRDefault="00CC179E">
            <w:pPr>
              <w:pStyle w:val="P68B1DB1-Normal4"/>
              <w:spacing w:line="276" w:lineRule="auto"/>
              <w:jc w:val="center"/>
              <w:rPr>
                <w:noProof/>
              </w:rPr>
            </w:pPr>
            <w:r>
              <w:rPr>
                <w:noProof/>
              </w:rPr>
              <w:t>Milowy</w:t>
            </w:r>
          </w:p>
        </w:tc>
        <w:tc>
          <w:tcPr>
            <w:tcW w:w="1391" w:type="dxa"/>
            <w:shd w:val="clear" w:color="auto" w:fill="C6EFCE"/>
            <w:noWrap/>
            <w:vAlign w:val="center"/>
          </w:tcPr>
          <w:p w14:paraId="6E45E111" w14:textId="77777777" w:rsidR="004C6421" w:rsidRDefault="009D1962">
            <w:pPr>
              <w:pStyle w:val="P68B1DB1-Normal4"/>
              <w:spacing w:line="276" w:lineRule="auto"/>
              <w:jc w:val="center"/>
              <w:rPr>
                <w:noProof/>
              </w:rPr>
            </w:pPr>
            <w:r>
              <w:rPr>
                <w:noProof/>
              </w:rPr>
              <w:t>Wejście w życie ram prawnych mających na celu uproszczenie procedur wydawania zezwoleń na budowę struktur dla lądowych i morskich odnawialnych źródeł energii</w:t>
            </w:r>
          </w:p>
        </w:tc>
        <w:tc>
          <w:tcPr>
            <w:tcW w:w="1253" w:type="dxa"/>
            <w:shd w:val="clear" w:color="auto" w:fill="C6EFCE"/>
            <w:noWrap/>
            <w:vAlign w:val="center"/>
          </w:tcPr>
          <w:p w14:paraId="09D82B09" w14:textId="77777777" w:rsidR="004C6421" w:rsidRDefault="009D1962">
            <w:pPr>
              <w:pStyle w:val="P68B1DB1-Normal4"/>
              <w:spacing w:line="276" w:lineRule="auto"/>
              <w:jc w:val="center"/>
              <w:rPr>
                <w:noProof/>
              </w:rPr>
            </w:pPr>
            <w:r>
              <w:rPr>
                <w:noProof/>
              </w:rPr>
              <w:t>Przepis ustawy wskazujący na wejście w życie ustawy</w:t>
            </w:r>
          </w:p>
        </w:tc>
        <w:tc>
          <w:tcPr>
            <w:tcW w:w="1388" w:type="dxa"/>
            <w:shd w:val="clear" w:color="auto" w:fill="C6EFCE"/>
            <w:noWrap/>
            <w:vAlign w:val="center"/>
          </w:tcPr>
          <w:p w14:paraId="44F7B470" w14:textId="77777777" w:rsidR="004C6421" w:rsidRDefault="009D1962">
            <w:pPr>
              <w:pStyle w:val="P68B1DB1-Normal4"/>
              <w:spacing w:line="276" w:lineRule="auto"/>
              <w:jc w:val="center"/>
              <w:rPr>
                <w:noProof/>
              </w:rPr>
            </w:pPr>
            <w:r>
              <w:rPr>
                <w:noProof/>
              </w:rPr>
              <w:t>NIE DOT.</w:t>
            </w:r>
          </w:p>
        </w:tc>
        <w:tc>
          <w:tcPr>
            <w:tcW w:w="1003" w:type="dxa"/>
            <w:shd w:val="clear" w:color="auto" w:fill="C6EFCE"/>
            <w:noWrap/>
            <w:vAlign w:val="center"/>
          </w:tcPr>
          <w:p w14:paraId="6DD2010E" w14:textId="77777777" w:rsidR="004C6421" w:rsidRDefault="009D1962">
            <w:pPr>
              <w:pStyle w:val="P68B1DB1-Normal4"/>
              <w:spacing w:line="276" w:lineRule="auto"/>
              <w:jc w:val="center"/>
              <w:rPr>
                <w:noProof/>
              </w:rPr>
            </w:pPr>
            <w:r>
              <w:rPr>
                <w:noProof/>
              </w:rPr>
              <w:t>NIE DOT.</w:t>
            </w:r>
          </w:p>
        </w:tc>
        <w:tc>
          <w:tcPr>
            <w:tcW w:w="1391" w:type="dxa"/>
            <w:shd w:val="clear" w:color="auto" w:fill="C6EFCE"/>
            <w:noWrap/>
            <w:vAlign w:val="center"/>
          </w:tcPr>
          <w:p w14:paraId="2C7F6428" w14:textId="77777777" w:rsidR="004C6421" w:rsidRDefault="009D1962">
            <w:pPr>
              <w:pStyle w:val="P68B1DB1-Normal4"/>
              <w:spacing w:line="276" w:lineRule="auto"/>
              <w:jc w:val="center"/>
              <w:rPr>
                <w:noProof/>
              </w:rPr>
            </w:pPr>
            <w:r>
              <w:rPr>
                <w:noProof/>
              </w:rPr>
              <w:t>NIE DOT.</w:t>
            </w:r>
          </w:p>
        </w:tc>
        <w:tc>
          <w:tcPr>
            <w:tcW w:w="975" w:type="dxa"/>
            <w:shd w:val="clear" w:color="auto" w:fill="C6EFCE"/>
            <w:noWrap/>
            <w:vAlign w:val="center"/>
          </w:tcPr>
          <w:p w14:paraId="2E3225EE" w14:textId="0F82556D" w:rsidR="004C6421" w:rsidRDefault="00CC179E">
            <w:pPr>
              <w:pStyle w:val="P68B1DB1-Normal4"/>
              <w:spacing w:line="276" w:lineRule="auto"/>
              <w:jc w:val="center"/>
              <w:rPr>
                <w:noProof/>
              </w:rPr>
            </w:pPr>
            <w:r>
              <w:rPr>
                <w:noProof/>
              </w:rPr>
              <w:t>KW. 1</w:t>
            </w:r>
          </w:p>
        </w:tc>
        <w:tc>
          <w:tcPr>
            <w:tcW w:w="698" w:type="dxa"/>
            <w:shd w:val="clear" w:color="auto" w:fill="C6EFCE"/>
            <w:noWrap/>
            <w:vAlign w:val="center"/>
          </w:tcPr>
          <w:p w14:paraId="54E5D54E" w14:textId="77777777" w:rsidR="004C6421" w:rsidRDefault="009D1962">
            <w:pPr>
              <w:pStyle w:val="P68B1DB1-Normal4"/>
              <w:spacing w:line="276" w:lineRule="auto"/>
              <w:jc w:val="center"/>
              <w:rPr>
                <w:noProof/>
              </w:rPr>
            </w:pPr>
            <w:r>
              <w:rPr>
                <w:noProof/>
              </w:rPr>
              <w:t>2024</w:t>
            </w:r>
          </w:p>
        </w:tc>
        <w:tc>
          <w:tcPr>
            <w:tcW w:w="3770" w:type="dxa"/>
            <w:shd w:val="clear" w:color="auto" w:fill="C6EFCE"/>
            <w:noWrap/>
            <w:vAlign w:val="center"/>
          </w:tcPr>
          <w:p w14:paraId="1034F3DF" w14:textId="77777777" w:rsidR="004C6421" w:rsidRDefault="009D1962">
            <w:pPr>
              <w:pStyle w:val="P68B1DB1-Normal4"/>
              <w:spacing w:after="120"/>
              <w:rPr>
                <w:noProof/>
              </w:rPr>
            </w:pPr>
            <w:r>
              <w:rPr>
                <w:noProof/>
              </w:rPr>
              <w:t>Ramy prawne obejmują następujące cele:</w:t>
            </w:r>
          </w:p>
          <w:p w14:paraId="5A7C6004" w14:textId="57B44260" w:rsidR="004C6421" w:rsidRDefault="009D1962">
            <w:pPr>
              <w:pStyle w:val="P68B1DB1-Normal4"/>
              <w:numPr>
                <w:ilvl w:val="0"/>
                <w:numId w:val="70"/>
              </w:numPr>
              <w:pBdr>
                <w:top w:val="nil"/>
                <w:left w:val="nil"/>
                <w:bottom w:val="nil"/>
                <w:right w:val="nil"/>
                <w:between w:val="nil"/>
              </w:pBdr>
              <w:spacing w:after="120"/>
              <w:rPr>
                <w:noProof/>
              </w:rPr>
            </w:pPr>
            <w:r>
              <w:rPr>
                <w:noProof/>
              </w:rPr>
              <w:t>wejście w życie środków upraszczających dotyczących instalacji odnawialnych źródeł energii oraz rozbudowy i modernizacji istniejących elektrowni, zgodnie z przepisami dekretu z mocą ustawy nr 76 z dnia 17 lipca 2020 r., zwanego dalej „dekretem w sprawie uproszczenia”;</w:t>
            </w:r>
          </w:p>
          <w:p w14:paraId="707C6785" w14:textId="349E5CE0" w:rsidR="004C6421" w:rsidRDefault="009D1962">
            <w:pPr>
              <w:pStyle w:val="P68B1DB1-Normal4"/>
              <w:numPr>
                <w:ilvl w:val="0"/>
                <w:numId w:val="70"/>
              </w:numPr>
              <w:pBdr>
                <w:top w:val="nil"/>
                <w:left w:val="nil"/>
                <w:bottom w:val="nil"/>
                <w:right w:val="nil"/>
                <w:between w:val="nil"/>
              </w:pBdr>
              <w:spacing w:after="120"/>
              <w:rPr>
                <w:noProof/>
              </w:rPr>
            </w:pPr>
            <w:r>
              <w:rPr>
                <w:noProof/>
              </w:rPr>
              <w:t>uchwalenie dekretu, uzgodnionego z regionami i innymi zainteresowanymi administracjami państwowymi, mającego na celu określenie kryteriów identyfikacji obszarów odpowiednich i nienadających się do instalacji elektrowni wykorzystujących energię odnawialną o dodatkowej zdolności produkcji energii ze źródeł odnawialnych wynoszącej co najmniej 73 GW, zgodnie ze zaktualizowaną wersją PNIEC, aby osiągnąć cele rozwoju odnawialnych źródeł energii;</w:t>
            </w:r>
          </w:p>
          <w:p w14:paraId="6F9C52FF" w14:textId="77777777" w:rsidR="004C6421" w:rsidRDefault="009D1962">
            <w:pPr>
              <w:pStyle w:val="P68B1DB1-Normal4"/>
              <w:numPr>
                <w:ilvl w:val="0"/>
                <w:numId w:val="70"/>
              </w:numPr>
              <w:pBdr>
                <w:top w:val="nil"/>
                <w:left w:val="nil"/>
                <w:bottom w:val="nil"/>
                <w:right w:val="nil"/>
                <w:between w:val="nil"/>
              </w:pBdr>
              <w:spacing w:after="120"/>
              <w:rPr>
                <w:noProof/>
              </w:rPr>
            </w:pPr>
            <w:r>
              <w:rPr>
                <w:noProof/>
              </w:rPr>
              <w:t>ukończenie mechanizmu wsparcia OZE również w odniesieniu do dodatkowych niedojrzałych technologii lub technologii o wysokich kosztach operacyjnych oraz przedłużenie okresu prowadzenia aukcji w odniesieniu do tzw. mechanizmu RES1, przy jednoczesnym utrzymaniu zasady konkurencyjnego dostępu;</w:t>
            </w:r>
          </w:p>
          <w:p w14:paraId="5B29003D" w14:textId="07DC96DA" w:rsidR="004C6421" w:rsidRDefault="009D1962">
            <w:pPr>
              <w:pStyle w:val="P68B1DB1-Normal4"/>
              <w:numPr>
                <w:ilvl w:val="0"/>
                <w:numId w:val="70"/>
              </w:numPr>
              <w:pBdr>
                <w:top w:val="nil"/>
                <w:left w:val="nil"/>
                <w:bottom w:val="nil"/>
                <w:right w:val="nil"/>
                <w:between w:val="nil"/>
              </w:pBdr>
              <w:spacing w:after="120"/>
              <w:rPr>
                <w:noProof/>
              </w:rPr>
            </w:pPr>
            <w:r>
              <w:rPr>
                <w:noProof/>
              </w:rPr>
              <w:t>przepisy promujące inwestycje w systemy magazynowania w dekrecie ustawodawczym transponującym dyrektywę (UE) 2019/944 w sprawie wspólnych zasad rynku wewnętrznego energii elektrycznej.</w:t>
            </w:r>
          </w:p>
        </w:tc>
      </w:tr>
      <w:tr w:rsidR="004C6421" w14:paraId="4380A8E5" w14:textId="77777777">
        <w:trPr>
          <w:trHeight w:val="309"/>
          <w:jc w:val="center"/>
        </w:trPr>
        <w:tc>
          <w:tcPr>
            <w:tcW w:w="1101" w:type="dxa"/>
            <w:shd w:val="clear" w:color="auto" w:fill="C6EFCE"/>
            <w:noWrap/>
            <w:vAlign w:val="center"/>
          </w:tcPr>
          <w:p w14:paraId="0FDD816E" w14:textId="77777777" w:rsidR="004C6421" w:rsidRDefault="009D1962">
            <w:pPr>
              <w:pStyle w:val="P68B1DB1-Normal4"/>
              <w:spacing w:line="276" w:lineRule="auto"/>
              <w:jc w:val="center"/>
              <w:rPr>
                <w:noProof/>
              </w:rPr>
            </w:pPr>
            <w:r>
              <w:rPr>
                <w:noProof/>
              </w:rPr>
              <w:t>M2C2-7</w:t>
            </w:r>
          </w:p>
        </w:tc>
        <w:tc>
          <w:tcPr>
            <w:tcW w:w="1682" w:type="dxa"/>
            <w:shd w:val="clear" w:color="auto" w:fill="C6EFCE"/>
            <w:noWrap/>
            <w:vAlign w:val="center"/>
          </w:tcPr>
          <w:p w14:paraId="3FBB2011" w14:textId="77777777" w:rsidR="004C6421" w:rsidRDefault="009D1962">
            <w:pPr>
              <w:pStyle w:val="P68B1DB1-Normal4"/>
              <w:spacing w:line="276" w:lineRule="auto"/>
              <w:jc w:val="center"/>
              <w:rPr>
                <w:noProof/>
              </w:rPr>
            </w:pPr>
            <w:r>
              <w:rPr>
                <w:noProof/>
              </w:rPr>
              <w:t>Reforma 2 Nowe przepisy promujące produkcję i zużycie gazu ze źródeł odnawialnych</w:t>
            </w:r>
          </w:p>
        </w:tc>
        <w:tc>
          <w:tcPr>
            <w:tcW w:w="1110" w:type="dxa"/>
            <w:shd w:val="clear" w:color="auto" w:fill="C6EFCE"/>
            <w:noWrap/>
            <w:vAlign w:val="center"/>
          </w:tcPr>
          <w:p w14:paraId="08CA147B" w14:textId="1613FF95" w:rsidR="004C6421" w:rsidRDefault="00CC179E">
            <w:pPr>
              <w:pStyle w:val="P68B1DB1-Normal4"/>
              <w:spacing w:line="276" w:lineRule="auto"/>
              <w:jc w:val="center"/>
              <w:rPr>
                <w:noProof/>
              </w:rPr>
            </w:pPr>
            <w:r>
              <w:rPr>
                <w:noProof/>
              </w:rPr>
              <w:t>Milowy</w:t>
            </w:r>
          </w:p>
        </w:tc>
        <w:tc>
          <w:tcPr>
            <w:tcW w:w="1391" w:type="dxa"/>
            <w:shd w:val="clear" w:color="auto" w:fill="C6EFCE"/>
            <w:noWrap/>
            <w:vAlign w:val="center"/>
          </w:tcPr>
          <w:p w14:paraId="4B80602A" w14:textId="77777777" w:rsidR="004C6421" w:rsidRDefault="009D1962">
            <w:pPr>
              <w:pStyle w:val="P68B1DB1-Normal4"/>
              <w:spacing w:line="276" w:lineRule="auto"/>
              <w:jc w:val="center"/>
              <w:rPr>
                <w:noProof/>
              </w:rPr>
            </w:pPr>
            <w:r>
              <w:rPr>
                <w:noProof/>
              </w:rPr>
              <w:t>Wejście w życie dekretu ustawodawczego promującego wykorzystanie gazu odnawialnego do wykorzystania biometanu w sektorze transportu, przemysłu i mieszkalnictwa oraz dekretu wykonawczego określającego warunki i kryteria jego stosowania oraz nowy system zachęt.</w:t>
            </w:r>
          </w:p>
        </w:tc>
        <w:tc>
          <w:tcPr>
            <w:tcW w:w="1253" w:type="dxa"/>
            <w:shd w:val="clear" w:color="auto" w:fill="C6EFCE"/>
            <w:noWrap/>
            <w:vAlign w:val="center"/>
          </w:tcPr>
          <w:p w14:paraId="16F60EEA" w14:textId="77777777" w:rsidR="004C6421" w:rsidRDefault="009D1962">
            <w:pPr>
              <w:pStyle w:val="P68B1DB1-Normal4"/>
              <w:spacing w:line="276" w:lineRule="auto"/>
              <w:jc w:val="center"/>
              <w:rPr>
                <w:noProof/>
              </w:rPr>
            </w:pPr>
            <w:r>
              <w:rPr>
                <w:noProof/>
              </w:rPr>
              <w:t xml:space="preserve">Przepis ustawy wskazujący na wejście w życie ustawy </w:t>
            </w:r>
          </w:p>
        </w:tc>
        <w:tc>
          <w:tcPr>
            <w:tcW w:w="1388" w:type="dxa"/>
            <w:shd w:val="clear" w:color="auto" w:fill="C6EFCE"/>
            <w:noWrap/>
            <w:vAlign w:val="center"/>
          </w:tcPr>
          <w:p w14:paraId="78A6F0CF" w14:textId="77777777" w:rsidR="004C6421" w:rsidRDefault="009D1962">
            <w:pPr>
              <w:pStyle w:val="P68B1DB1-Normal4"/>
              <w:spacing w:line="276" w:lineRule="auto"/>
              <w:jc w:val="center"/>
              <w:rPr>
                <w:noProof/>
              </w:rPr>
            </w:pPr>
            <w:r>
              <w:rPr>
                <w:noProof/>
              </w:rPr>
              <w:t xml:space="preserve">NIE DOT. </w:t>
            </w:r>
          </w:p>
        </w:tc>
        <w:tc>
          <w:tcPr>
            <w:tcW w:w="1003" w:type="dxa"/>
            <w:shd w:val="clear" w:color="auto" w:fill="C6EFCE"/>
            <w:noWrap/>
            <w:vAlign w:val="center"/>
          </w:tcPr>
          <w:p w14:paraId="3771322E" w14:textId="77777777" w:rsidR="004C6421" w:rsidRDefault="009D1962">
            <w:pPr>
              <w:pStyle w:val="P68B1DB1-Normal4"/>
              <w:spacing w:line="276" w:lineRule="auto"/>
              <w:jc w:val="center"/>
              <w:rPr>
                <w:noProof/>
              </w:rPr>
            </w:pPr>
            <w:r>
              <w:rPr>
                <w:noProof/>
              </w:rPr>
              <w:t>NIE DOT.</w:t>
            </w:r>
          </w:p>
        </w:tc>
        <w:tc>
          <w:tcPr>
            <w:tcW w:w="1391" w:type="dxa"/>
            <w:shd w:val="clear" w:color="auto" w:fill="C6EFCE"/>
            <w:noWrap/>
            <w:vAlign w:val="center"/>
          </w:tcPr>
          <w:p w14:paraId="0C9EE7A7" w14:textId="77777777" w:rsidR="004C6421" w:rsidRDefault="009D1962">
            <w:pPr>
              <w:pStyle w:val="P68B1DB1-Normal4"/>
              <w:spacing w:line="276" w:lineRule="auto"/>
              <w:jc w:val="center"/>
              <w:rPr>
                <w:noProof/>
              </w:rPr>
            </w:pPr>
            <w:r>
              <w:rPr>
                <w:noProof/>
              </w:rPr>
              <w:t>NIE DOT.</w:t>
            </w:r>
          </w:p>
        </w:tc>
        <w:tc>
          <w:tcPr>
            <w:tcW w:w="975" w:type="dxa"/>
            <w:shd w:val="clear" w:color="auto" w:fill="C6EFCE"/>
            <w:noWrap/>
            <w:vAlign w:val="center"/>
          </w:tcPr>
          <w:p w14:paraId="4729BC72" w14:textId="1840A776" w:rsidR="004C6421" w:rsidRDefault="00CC179E">
            <w:pPr>
              <w:pStyle w:val="P68B1DB1-Normal4"/>
              <w:spacing w:line="276" w:lineRule="auto"/>
              <w:jc w:val="center"/>
              <w:rPr>
                <w:noProof/>
              </w:rPr>
            </w:pPr>
            <w:r>
              <w:rPr>
                <w:noProof/>
              </w:rPr>
              <w:t>KW. 4</w:t>
            </w:r>
          </w:p>
        </w:tc>
        <w:tc>
          <w:tcPr>
            <w:tcW w:w="698" w:type="dxa"/>
            <w:shd w:val="clear" w:color="auto" w:fill="C6EFCE"/>
            <w:noWrap/>
            <w:vAlign w:val="center"/>
          </w:tcPr>
          <w:p w14:paraId="272F45E5" w14:textId="77777777" w:rsidR="004C6421" w:rsidRDefault="009D1962">
            <w:pPr>
              <w:pStyle w:val="P68B1DB1-Normal4"/>
              <w:spacing w:line="276" w:lineRule="auto"/>
              <w:jc w:val="center"/>
              <w:rPr>
                <w:noProof/>
              </w:rPr>
            </w:pPr>
            <w:r>
              <w:rPr>
                <w:noProof/>
              </w:rPr>
              <w:t>2021</w:t>
            </w:r>
          </w:p>
        </w:tc>
        <w:tc>
          <w:tcPr>
            <w:tcW w:w="3770" w:type="dxa"/>
            <w:shd w:val="clear" w:color="auto" w:fill="C6EFCE"/>
            <w:noWrap/>
            <w:vAlign w:val="center"/>
          </w:tcPr>
          <w:p w14:paraId="5B992BEB" w14:textId="77777777" w:rsidR="004C6421" w:rsidRDefault="009D1962">
            <w:pPr>
              <w:pStyle w:val="P68B1DB1-Normal4"/>
              <w:spacing w:after="120"/>
              <w:rPr>
                <w:noProof/>
              </w:rPr>
            </w:pPr>
            <w:r>
              <w:rPr>
                <w:noProof/>
              </w:rPr>
              <w:t>Dekret ustawodawczy obejmuje w szczególności:</w:t>
            </w:r>
          </w:p>
          <w:p w14:paraId="1E36CC63" w14:textId="77777777" w:rsidR="004C6421" w:rsidRDefault="009D1962">
            <w:pPr>
              <w:pStyle w:val="P68B1DB1-Normal4"/>
              <w:spacing w:after="120"/>
              <w:rPr>
                <w:noProof/>
              </w:rPr>
            </w:pPr>
            <w:r>
              <w:rPr>
                <w:noProof/>
              </w:rPr>
              <w:t>1-poprawka ustawodawcza dotycząca uproszczonego procesu udzielania zezwoleń i zmiany obecnego mechanizmu dotacji w celu (i) rozszerzenia zakresu kwalifikowalności oraz (ii) przedłużenia okresu dostępności dotacji oraz (iii) wprowadzenia mechanizmu taryfowego i gwarancji pochodzenia dla gazu odnawialnego</w:t>
            </w:r>
          </w:p>
          <w:p w14:paraId="374BA8AA" w14:textId="77777777" w:rsidR="004C6421" w:rsidRDefault="009D1962">
            <w:pPr>
              <w:pStyle w:val="P68B1DB1-Normal4"/>
              <w:spacing w:after="120"/>
              <w:rPr>
                <w:noProof/>
              </w:rPr>
            </w:pPr>
            <w:r>
              <w:rPr>
                <w:noProof/>
              </w:rPr>
              <w:t xml:space="preserve">2-Transponowanie dyrektywy REDII dekretem ustawodawczym </w:t>
            </w:r>
          </w:p>
          <w:p w14:paraId="6C924C29" w14:textId="77777777" w:rsidR="004C6421" w:rsidRDefault="009D1962">
            <w:pPr>
              <w:pStyle w:val="P68B1DB1-Normal4"/>
              <w:spacing w:after="120"/>
              <w:rPr>
                <w:noProof/>
              </w:rPr>
            </w:pPr>
            <w:r>
              <w:rPr>
                <w:noProof/>
              </w:rPr>
              <w:t>3-Ogólną koordynację zapewni Ministero della Transizione Ecologica (MiTE) przy wsparciu innych administracji pełniących funkcje doradcze: Ministerstwo Rolnictwa (MIPAAF), Ministerstwo Gospodarki i Finansów (MEF) oraz Gestore Servizi Energetici.</w:t>
            </w:r>
          </w:p>
        </w:tc>
      </w:tr>
      <w:tr w:rsidR="004C6421" w14:paraId="4EABC46F" w14:textId="77777777">
        <w:trPr>
          <w:trHeight w:val="309"/>
          <w:jc w:val="center"/>
        </w:trPr>
        <w:tc>
          <w:tcPr>
            <w:tcW w:w="1101" w:type="dxa"/>
            <w:shd w:val="clear" w:color="auto" w:fill="C6EFCE"/>
            <w:noWrap/>
            <w:vAlign w:val="center"/>
          </w:tcPr>
          <w:p w14:paraId="39DC3787" w14:textId="77777777" w:rsidR="004C6421" w:rsidRDefault="009D1962">
            <w:pPr>
              <w:pStyle w:val="P68B1DB1-Normal4"/>
              <w:spacing w:line="276" w:lineRule="auto"/>
              <w:jc w:val="center"/>
              <w:rPr>
                <w:noProof/>
              </w:rPr>
            </w:pPr>
            <w:r>
              <w:rPr>
                <w:noProof/>
              </w:rPr>
              <w:t>M2C2-8</w:t>
            </w:r>
          </w:p>
        </w:tc>
        <w:tc>
          <w:tcPr>
            <w:tcW w:w="1682" w:type="dxa"/>
            <w:shd w:val="clear" w:color="auto" w:fill="C6EFCE"/>
            <w:noWrap/>
            <w:vAlign w:val="center"/>
          </w:tcPr>
          <w:p w14:paraId="504B03D1" w14:textId="77777777" w:rsidR="004C6421" w:rsidRDefault="009D1962">
            <w:pPr>
              <w:pStyle w:val="P68B1DB1-Normal4"/>
              <w:spacing w:line="276" w:lineRule="auto"/>
              <w:jc w:val="center"/>
              <w:rPr>
                <w:noProof/>
              </w:rPr>
            </w:pPr>
            <w:r>
              <w:rPr>
                <w:noProof/>
              </w:rPr>
              <w:t>Inwestycje 2.1 Wzmocnienie inteligentnych sieci</w:t>
            </w:r>
          </w:p>
        </w:tc>
        <w:tc>
          <w:tcPr>
            <w:tcW w:w="1110" w:type="dxa"/>
            <w:shd w:val="clear" w:color="auto" w:fill="C6EFCE"/>
            <w:noWrap/>
            <w:vAlign w:val="center"/>
          </w:tcPr>
          <w:p w14:paraId="68DE5798" w14:textId="0365136B" w:rsidR="004C6421" w:rsidRDefault="00CC179E">
            <w:pPr>
              <w:pStyle w:val="P68B1DB1-Normal4"/>
              <w:spacing w:line="276" w:lineRule="auto"/>
              <w:jc w:val="center"/>
              <w:rPr>
                <w:noProof/>
              </w:rPr>
            </w:pPr>
            <w:r>
              <w:rPr>
                <w:noProof/>
              </w:rPr>
              <w:t>Milowy</w:t>
            </w:r>
          </w:p>
        </w:tc>
        <w:tc>
          <w:tcPr>
            <w:tcW w:w="1391" w:type="dxa"/>
            <w:shd w:val="clear" w:color="auto" w:fill="C6EFCE"/>
            <w:noWrap/>
            <w:vAlign w:val="center"/>
          </w:tcPr>
          <w:p w14:paraId="34D346EC" w14:textId="77777777" w:rsidR="004C6421" w:rsidRDefault="009D1962">
            <w:pPr>
              <w:pStyle w:val="P68B1DB1-Normal4"/>
              <w:spacing w:line="276" w:lineRule="auto"/>
              <w:jc w:val="center"/>
              <w:rPr>
                <w:noProof/>
              </w:rPr>
            </w:pPr>
            <w:r>
              <w:rPr>
                <w:noProof/>
              </w:rPr>
              <w:t>Udzielanie zamówień publicznych (wszystkich) w celu zwiększenia przepustowości sieci</w:t>
            </w:r>
          </w:p>
        </w:tc>
        <w:tc>
          <w:tcPr>
            <w:tcW w:w="1253" w:type="dxa"/>
            <w:shd w:val="clear" w:color="auto" w:fill="C6EFCE"/>
            <w:noWrap/>
            <w:vAlign w:val="center"/>
          </w:tcPr>
          <w:p w14:paraId="2854AA5F" w14:textId="77777777" w:rsidR="004C6421" w:rsidRDefault="009D1962">
            <w:pPr>
              <w:pStyle w:val="P68B1DB1-Normal4"/>
              <w:spacing w:line="276" w:lineRule="auto"/>
              <w:jc w:val="center"/>
              <w:rPr>
                <w:noProof/>
              </w:rPr>
            </w:pPr>
            <w:r>
              <w:rPr>
                <w:noProof/>
              </w:rPr>
              <w:t>Powiadomienie o udzieleniu (wszystkich) zamówień publicznych na</w:t>
            </w:r>
          </w:p>
        </w:tc>
        <w:tc>
          <w:tcPr>
            <w:tcW w:w="1388" w:type="dxa"/>
            <w:shd w:val="clear" w:color="auto" w:fill="C6EFCE"/>
            <w:noWrap/>
            <w:vAlign w:val="center"/>
          </w:tcPr>
          <w:p w14:paraId="5318C1CC" w14:textId="77777777" w:rsidR="004C6421" w:rsidRDefault="009D1962">
            <w:pPr>
              <w:pStyle w:val="P68B1DB1-Normal4"/>
              <w:spacing w:line="276" w:lineRule="auto"/>
              <w:jc w:val="center"/>
              <w:rPr>
                <w:noProof/>
              </w:rPr>
            </w:pPr>
            <w:r>
              <w:rPr>
                <w:noProof/>
              </w:rPr>
              <w:t>NIE DOT.</w:t>
            </w:r>
          </w:p>
        </w:tc>
        <w:tc>
          <w:tcPr>
            <w:tcW w:w="1003" w:type="dxa"/>
            <w:shd w:val="clear" w:color="auto" w:fill="C6EFCE"/>
            <w:noWrap/>
            <w:vAlign w:val="center"/>
          </w:tcPr>
          <w:p w14:paraId="77CF8D4B" w14:textId="77777777" w:rsidR="004C6421" w:rsidRDefault="009D1962">
            <w:pPr>
              <w:pStyle w:val="P68B1DB1-Normal4"/>
              <w:spacing w:line="276" w:lineRule="auto"/>
              <w:jc w:val="center"/>
              <w:rPr>
                <w:noProof/>
              </w:rPr>
            </w:pPr>
            <w:r>
              <w:rPr>
                <w:noProof/>
              </w:rPr>
              <w:t>NIE DOT.</w:t>
            </w:r>
          </w:p>
        </w:tc>
        <w:tc>
          <w:tcPr>
            <w:tcW w:w="1391" w:type="dxa"/>
            <w:shd w:val="clear" w:color="auto" w:fill="C6EFCE"/>
            <w:noWrap/>
            <w:vAlign w:val="center"/>
          </w:tcPr>
          <w:p w14:paraId="706C5C72" w14:textId="77777777" w:rsidR="004C6421" w:rsidRDefault="009D1962">
            <w:pPr>
              <w:pStyle w:val="P68B1DB1-Normal4"/>
              <w:spacing w:line="276" w:lineRule="auto"/>
              <w:jc w:val="center"/>
              <w:rPr>
                <w:noProof/>
              </w:rPr>
            </w:pPr>
            <w:r>
              <w:rPr>
                <w:noProof/>
              </w:rPr>
              <w:t>NIE DOT.</w:t>
            </w:r>
          </w:p>
        </w:tc>
        <w:tc>
          <w:tcPr>
            <w:tcW w:w="975" w:type="dxa"/>
            <w:shd w:val="clear" w:color="auto" w:fill="C6EFCE"/>
            <w:noWrap/>
            <w:vAlign w:val="center"/>
          </w:tcPr>
          <w:p w14:paraId="08237854" w14:textId="57A6902A" w:rsidR="004C6421" w:rsidRDefault="00CC179E">
            <w:pPr>
              <w:pStyle w:val="P68B1DB1-Normal4"/>
              <w:spacing w:line="276" w:lineRule="auto"/>
              <w:jc w:val="center"/>
              <w:rPr>
                <w:noProof/>
              </w:rPr>
            </w:pPr>
            <w:r>
              <w:rPr>
                <w:noProof/>
              </w:rPr>
              <w:t>KW. 4</w:t>
            </w:r>
          </w:p>
        </w:tc>
        <w:tc>
          <w:tcPr>
            <w:tcW w:w="698" w:type="dxa"/>
            <w:shd w:val="clear" w:color="auto" w:fill="C6EFCE"/>
            <w:noWrap/>
            <w:vAlign w:val="center"/>
          </w:tcPr>
          <w:p w14:paraId="53CBEC2E" w14:textId="77777777" w:rsidR="004C6421" w:rsidRDefault="009D1962">
            <w:pPr>
              <w:pStyle w:val="P68B1DB1-Normal4"/>
              <w:spacing w:line="276" w:lineRule="auto"/>
              <w:jc w:val="center"/>
              <w:rPr>
                <w:noProof/>
              </w:rPr>
            </w:pPr>
            <w:r>
              <w:rPr>
                <w:noProof/>
              </w:rPr>
              <w:t>2022</w:t>
            </w:r>
          </w:p>
        </w:tc>
        <w:tc>
          <w:tcPr>
            <w:tcW w:w="3770" w:type="dxa"/>
            <w:shd w:val="clear" w:color="auto" w:fill="C6EFCE"/>
            <w:noWrap/>
            <w:vAlign w:val="center"/>
          </w:tcPr>
          <w:p w14:paraId="51308D5B" w14:textId="77777777" w:rsidR="004C6421" w:rsidRDefault="009D1962">
            <w:pPr>
              <w:pStyle w:val="P68B1DB1-Normal4"/>
              <w:spacing w:after="120"/>
              <w:rPr>
                <w:noProof/>
              </w:rPr>
            </w:pPr>
            <w:r>
              <w:rPr>
                <w:noProof/>
              </w:rPr>
              <w:t>Powiadomienie o udzieleniu (wszystkich) zamówień publicznych w celu zwiększenia zdolności sieci w zakresie dystrybucji energii odnawialnej i elektryfikacji zużycia energii</w:t>
            </w:r>
          </w:p>
        </w:tc>
      </w:tr>
      <w:tr w:rsidR="004C6421" w14:paraId="100E277D" w14:textId="77777777">
        <w:trPr>
          <w:trHeight w:val="309"/>
          <w:jc w:val="center"/>
        </w:trPr>
        <w:tc>
          <w:tcPr>
            <w:tcW w:w="1101" w:type="dxa"/>
            <w:shd w:val="clear" w:color="auto" w:fill="C6EFCE"/>
            <w:noWrap/>
            <w:vAlign w:val="center"/>
          </w:tcPr>
          <w:p w14:paraId="2E9BB124" w14:textId="77777777" w:rsidR="004C6421" w:rsidRDefault="009D1962">
            <w:pPr>
              <w:pStyle w:val="P68B1DB1-Normal4"/>
              <w:spacing w:line="276" w:lineRule="auto"/>
              <w:jc w:val="center"/>
              <w:rPr>
                <w:noProof/>
              </w:rPr>
            </w:pPr>
            <w:r>
              <w:rPr>
                <w:noProof/>
              </w:rPr>
              <w:t>M2C2-12</w:t>
            </w:r>
          </w:p>
        </w:tc>
        <w:tc>
          <w:tcPr>
            <w:tcW w:w="1682" w:type="dxa"/>
            <w:shd w:val="clear" w:color="auto" w:fill="C6EFCE"/>
            <w:noWrap/>
            <w:vAlign w:val="center"/>
          </w:tcPr>
          <w:p w14:paraId="25E76B40" w14:textId="77777777" w:rsidR="004C6421" w:rsidRDefault="009D1962">
            <w:pPr>
              <w:pStyle w:val="P68B1DB1-Normal4"/>
              <w:spacing w:line="276" w:lineRule="auto"/>
              <w:jc w:val="center"/>
              <w:rPr>
                <w:noProof/>
              </w:rPr>
            </w:pPr>
            <w:r>
              <w:rPr>
                <w:noProof/>
              </w:rPr>
              <w:t>Inwestycje 2.2 Interwencje mające na celu zwiększenie odporności sieci elektroenergetycznej</w:t>
            </w:r>
          </w:p>
        </w:tc>
        <w:tc>
          <w:tcPr>
            <w:tcW w:w="1110" w:type="dxa"/>
            <w:shd w:val="clear" w:color="auto" w:fill="C6EFCE"/>
            <w:noWrap/>
            <w:vAlign w:val="center"/>
          </w:tcPr>
          <w:p w14:paraId="3A0A406E" w14:textId="2BF5801D" w:rsidR="004C6421" w:rsidRDefault="00CC179E">
            <w:pPr>
              <w:pStyle w:val="P68B1DB1-Normal4"/>
              <w:spacing w:line="276" w:lineRule="auto"/>
              <w:jc w:val="center"/>
              <w:rPr>
                <w:noProof/>
              </w:rPr>
            </w:pPr>
            <w:r>
              <w:rPr>
                <w:noProof/>
              </w:rPr>
              <w:t>Milowy</w:t>
            </w:r>
          </w:p>
        </w:tc>
        <w:tc>
          <w:tcPr>
            <w:tcW w:w="1391" w:type="dxa"/>
            <w:shd w:val="clear" w:color="auto" w:fill="C6EFCE"/>
            <w:noWrap/>
            <w:vAlign w:val="center"/>
          </w:tcPr>
          <w:p w14:paraId="36568F0F" w14:textId="77777777" w:rsidR="004C6421" w:rsidRDefault="009D1962">
            <w:pPr>
              <w:pStyle w:val="P68B1DB1-Normal4"/>
              <w:spacing w:line="276" w:lineRule="auto"/>
              <w:jc w:val="center"/>
              <w:rPr>
                <w:noProof/>
              </w:rPr>
            </w:pPr>
            <w:r>
              <w:rPr>
                <w:noProof/>
              </w:rPr>
              <w:t>Przyznanie dotacji na projekty mające na celu zwiększenie odporności sieci elektroenergetycznej</w:t>
            </w:r>
          </w:p>
        </w:tc>
        <w:tc>
          <w:tcPr>
            <w:tcW w:w="1253" w:type="dxa"/>
            <w:shd w:val="clear" w:color="auto" w:fill="C6EFCE"/>
            <w:noWrap/>
            <w:vAlign w:val="center"/>
          </w:tcPr>
          <w:p w14:paraId="31BAF6C9" w14:textId="77777777" w:rsidR="004C6421" w:rsidRDefault="009D1962">
            <w:pPr>
              <w:pStyle w:val="P68B1DB1-Normal4"/>
              <w:spacing w:line="276" w:lineRule="auto"/>
              <w:jc w:val="center"/>
              <w:rPr>
                <w:noProof/>
              </w:rPr>
            </w:pPr>
            <w:r>
              <w:rPr>
                <w:noProof/>
              </w:rPr>
              <w:t>Powiadomienie o przyznaniu dotacji na projekty</w:t>
            </w:r>
          </w:p>
        </w:tc>
        <w:tc>
          <w:tcPr>
            <w:tcW w:w="1388" w:type="dxa"/>
            <w:shd w:val="clear" w:color="auto" w:fill="C6EFCE"/>
            <w:noWrap/>
            <w:vAlign w:val="center"/>
          </w:tcPr>
          <w:p w14:paraId="6C9A49AB" w14:textId="77777777" w:rsidR="004C6421" w:rsidRDefault="009D1962">
            <w:pPr>
              <w:pStyle w:val="P68B1DB1-Normal4"/>
              <w:spacing w:line="276" w:lineRule="auto"/>
              <w:jc w:val="center"/>
              <w:rPr>
                <w:noProof/>
              </w:rPr>
            </w:pPr>
            <w:r>
              <w:rPr>
                <w:noProof/>
              </w:rPr>
              <w:t>NIE DOT.</w:t>
            </w:r>
          </w:p>
        </w:tc>
        <w:tc>
          <w:tcPr>
            <w:tcW w:w="1003" w:type="dxa"/>
            <w:shd w:val="clear" w:color="auto" w:fill="C6EFCE"/>
            <w:noWrap/>
            <w:vAlign w:val="center"/>
          </w:tcPr>
          <w:p w14:paraId="76091E5A" w14:textId="77777777" w:rsidR="004C6421" w:rsidRDefault="009D1962">
            <w:pPr>
              <w:pStyle w:val="P68B1DB1-Normal4"/>
              <w:spacing w:line="276" w:lineRule="auto"/>
              <w:jc w:val="center"/>
              <w:rPr>
                <w:noProof/>
              </w:rPr>
            </w:pPr>
            <w:r>
              <w:rPr>
                <w:noProof/>
              </w:rPr>
              <w:t>NIE DOT.</w:t>
            </w:r>
          </w:p>
        </w:tc>
        <w:tc>
          <w:tcPr>
            <w:tcW w:w="1391" w:type="dxa"/>
            <w:shd w:val="clear" w:color="auto" w:fill="C6EFCE"/>
            <w:noWrap/>
            <w:vAlign w:val="center"/>
          </w:tcPr>
          <w:p w14:paraId="56DE5F00" w14:textId="77777777" w:rsidR="004C6421" w:rsidRDefault="009D1962">
            <w:pPr>
              <w:pStyle w:val="P68B1DB1-Normal4"/>
              <w:spacing w:line="276" w:lineRule="auto"/>
              <w:jc w:val="center"/>
              <w:rPr>
                <w:noProof/>
              </w:rPr>
            </w:pPr>
            <w:r>
              <w:rPr>
                <w:noProof/>
              </w:rPr>
              <w:t>NIE DOT.</w:t>
            </w:r>
          </w:p>
        </w:tc>
        <w:tc>
          <w:tcPr>
            <w:tcW w:w="975" w:type="dxa"/>
            <w:shd w:val="clear" w:color="auto" w:fill="C6EFCE"/>
            <w:noWrap/>
            <w:vAlign w:val="center"/>
          </w:tcPr>
          <w:p w14:paraId="2BEF6A07" w14:textId="04409EBF" w:rsidR="004C6421" w:rsidRDefault="00CC179E">
            <w:pPr>
              <w:pStyle w:val="P68B1DB1-Normal4"/>
              <w:spacing w:line="276" w:lineRule="auto"/>
              <w:jc w:val="center"/>
              <w:rPr>
                <w:noProof/>
              </w:rPr>
            </w:pPr>
            <w:r>
              <w:rPr>
                <w:noProof/>
              </w:rPr>
              <w:t>KW. 4</w:t>
            </w:r>
          </w:p>
        </w:tc>
        <w:tc>
          <w:tcPr>
            <w:tcW w:w="698" w:type="dxa"/>
            <w:shd w:val="clear" w:color="auto" w:fill="C6EFCE"/>
            <w:noWrap/>
            <w:vAlign w:val="center"/>
          </w:tcPr>
          <w:p w14:paraId="1AC35F05" w14:textId="77777777" w:rsidR="004C6421" w:rsidRDefault="009D1962">
            <w:pPr>
              <w:pStyle w:val="P68B1DB1-Normal4"/>
              <w:spacing w:line="276" w:lineRule="auto"/>
              <w:jc w:val="center"/>
              <w:rPr>
                <w:noProof/>
              </w:rPr>
            </w:pPr>
            <w:r>
              <w:rPr>
                <w:noProof/>
              </w:rPr>
              <w:t>2022</w:t>
            </w:r>
          </w:p>
        </w:tc>
        <w:tc>
          <w:tcPr>
            <w:tcW w:w="3770" w:type="dxa"/>
            <w:shd w:val="clear" w:color="auto" w:fill="C6EFCE"/>
            <w:noWrap/>
            <w:vAlign w:val="center"/>
          </w:tcPr>
          <w:p w14:paraId="5420F970" w14:textId="77777777" w:rsidR="004C6421" w:rsidRDefault="009D1962">
            <w:pPr>
              <w:pStyle w:val="P68B1DB1-Normal4"/>
              <w:spacing w:after="120"/>
              <w:rPr>
                <w:noProof/>
              </w:rPr>
            </w:pPr>
            <w:r>
              <w:rPr>
                <w:noProof/>
              </w:rPr>
              <w:t>4 Udzielenie zamówienia na projekty mające na celu zwiększenie odporności sieci elektroenergetycznej o co najmniej 4 000 km w celu ograniczenia częstotliwości i czasu trwania przerw w dostawie energii wynikających z ekstremalnych warunków pogodowych.</w:t>
            </w:r>
          </w:p>
        </w:tc>
      </w:tr>
      <w:tr w:rsidR="004C6421" w14:paraId="1149FB51" w14:textId="77777777">
        <w:trPr>
          <w:trHeight w:val="309"/>
          <w:jc w:val="center"/>
        </w:trPr>
        <w:tc>
          <w:tcPr>
            <w:tcW w:w="1101" w:type="dxa"/>
            <w:shd w:val="clear" w:color="auto" w:fill="C6EFCE"/>
            <w:noWrap/>
            <w:vAlign w:val="center"/>
          </w:tcPr>
          <w:p w14:paraId="0A0DAC2C" w14:textId="77777777" w:rsidR="004C6421" w:rsidRDefault="009D1962">
            <w:pPr>
              <w:pStyle w:val="P68B1DB1-Normal4"/>
              <w:spacing w:line="276" w:lineRule="auto"/>
              <w:jc w:val="center"/>
              <w:rPr>
                <w:noProof/>
              </w:rPr>
            </w:pPr>
            <w:r>
              <w:rPr>
                <w:noProof/>
              </w:rPr>
              <w:t>M2C2-14</w:t>
            </w:r>
          </w:p>
        </w:tc>
        <w:tc>
          <w:tcPr>
            <w:tcW w:w="1682" w:type="dxa"/>
            <w:shd w:val="clear" w:color="auto" w:fill="C6EFCE"/>
            <w:noWrap/>
            <w:vAlign w:val="center"/>
          </w:tcPr>
          <w:p w14:paraId="4992CB95" w14:textId="77777777" w:rsidR="004C6421" w:rsidRDefault="009D1962">
            <w:pPr>
              <w:pStyle w:val="P68B1DB1-Normal4"/>
              <w:spacing w:line="276" w:lineRule="auto"/>
              <w:jc w:val="center"/>
              <w:rPr>
                <w:noProof/>
              </w:rPr>
            </w:pPr>
            <w:r>
              <w:rPr>
                <w:noProof/>
              </w:rPr>
              <w:t>Inwestycja 3.3 Badanie wodoru w transporcie drogowym</w:t>
            </w:r>
          </w:p>
        </w:tc>
        <w:tc>
          <w:tcPr>
            <w:tcW w:w="1110" w:type="dxa"/>
            <w:shd w:val="clear" w:color="auto" w:fill="C6EFCE"/>
            <w:noWrap/>
            <w:vAlign w:val="center"/>
          </w:tcPr>
          <w:p w14:paraId="1F98E46E" w14:textId="3E16C06E" w:rsidR="004C6421" w:rsidRDefault="00CC179E">
            <w:pPr>
              <w:pStyle w:val="P68B1DB1-Normal4"/>
              <w:spacing w:line="276" w:lineRule="auto"/>
              <w:jc w:val="center"/>
              <w:rPr>
                <w:noProof/>
              </w:rPr>
            </w:pPr>
            <w:r>
              <w:rPr>
                <w:noProof/>
              </w:rPr>
              <w:t>Milowy</w:t>
            </w:r>
          </w:p>
        </w:tc>
        <w:tc>
          <w:tcPr>
            <w:tcW w:w="1391" w:type="dxa"/>
            <w:shd w:val="clear" w:color="auto" w:fill="C6EFCE"/>
            <w:noWrap/>
            <w:vAlign w:val="center"/>
          </w:tcPr>
          <w:p w14:paraId="47800682" w14:textId="77777777" w:rsidR="004C6421" w:rsidRDefault="009D1962">
            <w:pPr>
              <w:pStyle w:val="P68B1DB1-Normal4"/>
              <w:spacing w:line="276" w:lineRule="auto"/>
              <w:jc w:val="center"/>
              <w:rPr>
                <w:noProof/>
              </w:rPr>
            </w:pPr>
            <w:r>
              <w:rPr>
                <w:noProof/>
              </w:rPr>
              <w:t>Udzielanie (wszystkich) zamówień publicznych na budowę stacji ładowania opartych na wodorze</w:t>
            </w:r>
          </w:p>
        </w:tc>
        <w:tc>
          <w:tcPr>
            <w:tcW w:w="1253" w:type="dxa"/>
            <w:shd w:val="clear" w:color="auto" w:fill="C6EFCE"/>
            <w:noWrap/>
            <w:vAlign w:val="center"/>
          </w:tcPr>
          <w:p w14:paraId="15868C0F" w14:textId="77777777" w:rsidR="004C6421" w:rsidRDefault="009D1962">
            <w:pPr>
              <w:pStyle w:val="P68B1DB1-Normal4"/>
              <w:spacing w:line="276" w:lineRule="auto"/>
              <w:jc w:val="center"/>
              <w:rPr>
                <w:noProof/>
              </w:rPr>
            </w:pPr>
            <w:r>
              <w:rPr>
                <w:noProof/>
              </w:rPr>
              <w:t xml:space="preserve">Powiadomienie o udzieleniu (wszystkich) zamówień publicznych na budowę co najmniej 40 stacji ładowania opartych na wodorze </w:t>
            </w:r>
          </w:p>
        </w:tc>
        <w:tc>
          <w:tcPr>
            <w:tcW w:w="1388" w:type="dxa"/>
            <w:shd w:val="clear" w:color="auto" w:fill="C6EFCE"/>
            <w:noWrap/>
            <w:vAlign w:val="center"/>
          </w:tcPr>
          <w:p w14:paraId="65B7E554" w14:textId="77777777" w:rsidR="004C6421" w:rsidRDefault="009D1962">
            <w:pPr>
              <w:pStyle w:val="P68B1DB1-Normal4"/>
              <w:spacing w:line="276" w:lineRule="auto"/>
              <w:jc w:val="center"/>
              <w:rPr>
                <w:noProof/>
              </w:rPr>
            </w:pPr>
            <w:r>
              <w:rPr>
                <w:noProof/>
              </w:rPr>
              <w:t>NIE DOT.</w:t>
            </w:r>
          </w:p>
        </w:tc>
        <w:tc>
          <w:tcPr>
            <w:tcW w:w="1003" w:type="dxa"/>
            <w:shd w:val="clear" w:color="auto" w:fill="C6EFCE"/>
            <w:noWrap/>
            <w:vAlign w:val="center"/>
          </w:tcPr>
          <w:p w14:paraId="5AE5A51A" w14:textId="77777777" w:rsidR="004C6421" w:rsidRDefault="009D1962">
            <w:pPr>
              <w:pStyle w:val="P68B1DB1-Normal4"/>
              <w:spacing w:line="276" w:lineRule="auto"/>
              <w:jc w:val="center"/>
              <w:rPr>
                <w:noProof/>
              </w:rPr>
            </w:pPr>
            <w:r>
              <w:rPr>
                <w:noProof/>
              </w:rPr>
              <w:t>NIE DOT.</w:t>
            </w:r>
          </w:p>
        </w:tc>
        <w:tc>
          <w:tcPr>
            <w:tcW w:w="1391" w:type="dxa"/>
            <w:shd w:val="clear" w:color="auto" w:fill="C6EFCE"/>
            <w:noWrap/>
            <w:vAlign w:val="center"/>
          </w:tcPr>
          <w:p w14:paraId="36FBAB44" w14:textId="77777777" w:rsidR="004C6421" w:rsidRDefault="009D1962">
            <w:pPr>
              <w:pStyle w:val="P68B1DB1-Normal4"/>
              <w:spacing w:line="276" w:lineRule="auto"/>
              <w:jc w:val="center"/>
              <w:rPr>
                <w:noProof/>
              </w:rPr>
            </w:pPr>
            <w:r>
              <w:rPr>
                <w:noProof/>
              </w:rPr>
              <w:t>NIE DOT.</w:t>
            </w:r>
          </w:p>
        </w:tc>
        <w:tc>
          <w:tcPr>
            <w:tcW w:w="975" w:type="dxa"/>
            <w:shd w:val="clear" w:color="auto" w:fill="C6EFCE"/>
            <w:noWrap/>
            <w:vAlign w:val="center"/>
          </w:tcPr>
          <w:p w14:paraId="6FE61ADB" w14:textId="09E11AE6" w:rsidR="004C6421" w:rsidRDefault="00CC179E">
            <w:pPr>
              <w:pStyle w:val="P68B1DB1-Normal4"/>
              <w:spacing w:line="276" w:lineRule="auto"/>
              <w:jc w:val="center"/>
              <w:rPr>
                <w:noProof/>
              </w:rPr>
            </w:pPr>
            <w:r>
              <w:rPr>
                <w:noProof/>
              </w:rPr>
              <w:t>KW. 1</w:t>
            </w:r>
          </w:p>
        </w:tc>
        <w:tc>
          <w:tcPr>
            <w:tcW w:w="698" w:type="dxa"/>
            <w:shd w:val="clear" w:color="auto" w:fill="C6EFCE"/>
            <w:noWrap/>
            <w:vAlign w:val="center"/>
          </w:tcPr>
          <w:p w14:paraId="69A12483" w14:textId="77777777" w:rsidR="004C6421" w:rsidRDefault="009D1962">
            <w:pPr>
              <w:pStyle w:val="P68B1DB1-Normal4"/>
              <w:spacing w:line="276" w:lineRule="auto"/>
              <w:jc w:val="center"/>
              <w:rPr>
                <w:noProof/>
              </w:rPr>
            </w:pPr>
            <w:r>
              <w:rPr>
                <w:noProof/>
              </w:rPr>
              <w:t>2023</w:t>
            </w:r>
          </w:p>
        </w:tc>
        <w:tc>
          <w:tcPr>
            <w:tcW w:w="3770" w:type="dxa"/>
            <w:shd w:val="clear" w:color="auto" w:fill="C6EFCE"/>
            <w:noWrap/>
            <w:vAlign w:val="center"/>
          </w:tcPr>
          <w:p w14:paraId="6602B797" w14:textId="77777777" w:rsidR="004C6421" w:rsidRDefault="009D1962">
            <w:pPr>
              <w:pStyle w:val="P68B1DB1-Normal4"/>
              <w:spacing w:after="120"/>
              <w:rPr>
                <w:noProof/>
              </w:rPr>
            </w:pPr>
            <w:r>
              <w:rPr>
                <w:noProof/>
              </w:rPr>
              <w:t>Powiadomienie o udzieleniu (wszystkich) zamówień publicznych na budowę co najmniej 40 stacji ładowania opartych na wodorze zgodnie z dyrektywą 2014/94/UE w sprawie infrastruktury paliw alternatywnych.</w:t>
            </w:r>
          </w:p>
        </w:tc>
      </w:tr>
      <w:tr w:rsidR="004C6421" w14:paraId="1AAFC9C3" w14:textId="77777777">
        <w:trPr>
          <w:trHeight w:val="309"/>
          <w:jc w:val="center"/>
        </w:trPr>
        <w:tc>
          <w:tcPr>
            <w:tcW w:w="1101" w:type="dxa"/>
            <w:shd w:val="clear" w:color="auto" w:fill="C6EFCE"/>
            <w:noWrap/>
            <w:vAlign w:val="center"/>
          </w:tcPr>
          <w:p w14:paraId="5E3B15A3" w14:textId="77777777" w:rsidR="004C6421" w:rsidRDefault="009D1962">
            <w:pPr>
              <w:pStyle w:val="P68B1DB1-Normal4"/>
              <w:spacing w:line="276" w:lineRule="auto"/>
              <w:jc w:val="center"/>
              <w:rPr>
                <w:noProof/>
              </w:rPr>
            </w:pPr>
            <w:r>
              <w:rPr>
                <w:noProof/>
              </w:rPr>
              <w:t>M2C2-16</w:t>
            </w:r>
          </w:p>
        </w:tc>
        <w:tc>
          <w:tcPr>
            <w:tcW w:w="1682" w:type="dxa"/>
            <w:shd w:val="clear" w:color="auto" w:fill="C6EFCE"/>
            <w:noWrap/>
            <w:vAlign w:val="center"/>
          </w:tcPr>
          <w:p w14:paraId="1BB9E56F" w14:textId="77777777" w:rsidR="004C6421" w:rsidRDefault="009D1962">
            <w:pPr>
              <w:pStyle w:val="P68B1DB1-Normal4"/>
              <w:spacing w:line="276" w:lineRule="auto"/>
              <w:jc w:val="center"/>
              <w:rPr>
                <w:noProof/>
              </w:rPr>
            </w:pPr>
            <w:r>
              <w:rPr>
                <w:noProof/>
              </w:rPr>
              <w:t>Inwestycja 3.4 Testowanie wodoru na potrzeby mobilności kolejowej</w:t>
            </w:r>
          </w:p>
        </w:tc>
        <w:tc>
          <w:tcPr>
            <w:tcW w:w="1110" w:type="dxa"/>
            <w:shd w:val="clear" w:color="auto" w:fill="C6EFCE"/>
            <w:noWrap/>
            <w:vAlign w:val="center"/>
          </w:tcPr>
          <w:p w14:paraId="45A39749" w14:textId="1BD1A25A" w:rsidR="004C6421" w:rsidRDefault="00CC179E">
            <w:pPr>
              <w:pStyle w:val="P68B1DB1-Normal4"/>
              <w:spacing w:line="276" w:lineRule="auto"/>
              <w:jc w:val="center"/>
              <w:rPr>
                <w:noProof/>
              </w:rPr>
            </w:pPr>
            <w:r>
              <w:rPr>
                <w:noProof/>
              </w:rPr>
              <w:t>Milowy</w:t>
            </w:r>
          </w:p>
        </w:tc>
        <w:tc>
          <w:tcPr>
            <w:tcW w:w="1391" w:type="dxa"/>
            <w:shd w:val="clear" w:color="auto" w:fill="C6EFCE"/>
            <w:noWrap/>
            <w:vAlign w:val="center"/>
          </w:tcPr>
          <w:p w14:paraId="2FEF9BB2" w14:textId="77777777" w:rsidR="004C6421" w:rsidRDefault="009D1962">
            <w:pPr>
              <w:pStyle w:val="P68B1DB1-Normal4"/>
              <w:spacing w:line="276" w:lineRule="auto"/>
              <w:jc w:val="center"/>
              <w:rPr>
                <w:noProof/>
              </w:rPr>
            </w:pPr>
            <w:r>
              <w:rPr>
                <w:noProof/>
              </w:rPr>
              <w:t>Przydział zasobów na testowanie wodoru na potrzeby mobilności kolejowej</w:t>
            </w:r>
          </w:p>
        </w:tc>
        <w:tc>
          <w:tcPr>
            <w:tcW w:w="1253" w:type="dxa"/>
            <w:shd w:val="clear" w:color="auto" w:fill="C6EFCE"/>
            <w:noWrap/>
            <w:vAlign w:val="center"/>
          </w:tcPr>
          <w:p w14:paraId="1634BCC8" w14:textId="77777777" w:rsidR="004C6421" w:rsidRDefault="009D1962">
            <w:pPr>
              <w:pStyle w:val="P68B1DB1-Normal4"/>
              <w:spacing w:line="276" w:lineRule="auto"/>
              <w:jc w:val="center"/>
              <w:rPr>
                <w:noProof/>
              </w:rPr>
            </w:pPr>
            <w:r>
              <w:rPr>
                <w:noProof/>
              </w:rPr>
              <w:t>Powiadomienie o przydziale zasobów</w:t>
            </w:r>
          </w:p>
        </w:tc>
        <w:tc>
          <w:tcPr>
            <w:tcW w:w="1388" w:type="dxa"/>
            <w:shd w:val="clear" w:color="auto" w:fill="C6EFCE"/>
            <w:noWrap/>
            <w:vAlign w:val="center"/>
          </w:tcPr>
          <w:p w14:paraId="003AF238" w14:textId="77777777" w:rsidR="004C6421" w:rsidRDefault="009D1962">
            <w:pPr>
              <w:pStyle w:val="P68B1DB1-Normal4"/>
              <w:spacing w:line="276" w:lineRule="auto"/>
              <w:jc w:val="center"/>
              <w:rPr>
                <w:noProof/>
              </w:rPr>
            </w:pPr>
            <w:r>
              <w:rPr>
                <w:noProof/>
              </w:rPr>
              <w:t>NIE DOT.</w:t>
            </w:r>
          </w:p>
        </w:tc>
        <w:tc>
          <w:tcPr>
            <w:tcW w:w="1003" w:type="dxa"/>
            <w:shd w:val="clear" w:color="auto" w:fill="C6EFCE"/>
            <w:noWrap/>
            <w:vAlign w:val="center"/>
          </w:tcPr>
          <w:p w14:paraId="706AEC3D" w14:textId="77777777" w:rsidR="004C6421" w:rsidRDefault="009D1962">
            <w:pPr>
              <w:pStyle w:val="P68B1DB1-Normal4"/>
              <w:spacing w:line="276" w:lineRule="auto"/>
              <w:jc w:val="center"/>
              <w:rPr>
                <w:noProof/>
              </w:rPr>
            </w:pPr>
            <w:r>
              <w:rPr>
                <w:noProof/>
              </w:rPr>
              <w:t>NIE DOT.</w:t>
            </w:r>
          </w:p>
        </w:tc>
        <w:tc>
          <w:tcPr>
            <w:tcW w:w="1391" w:type="dxa"/>
            <w:shd w:val="clear" w:color="auto" w:fill="C6EFCE"/>
            <w:noWrap/>
            <w:vAlign w:val="center"/>
          </w:tcPr>
          <w:p w14:paraId="50F5CC35" w14:textId="77777777" w:rsidR="004C6421" w:rsidRDefault="009D1962">
            <w:pPr>
              <w:pStyle w:val="P68B1DB1-Normal4"/>
              <w:spacing w:line="276" w:lineRule="auto"/>
              <w:jc w:val="center"/>
              <w:rPr>
                <w:noProof/>
              </w:rPr>
            </w:pPr>
            <w:r>
              <w:rPr>
                <w:noProof/>
              </w:rPr>
              <w:t>NIE DOT.</w:t>
            </w:r>
          </w:p>
        </w:tc>
        <w:tc>
          <w:tcPr>
            <w:tcW w:w="975" w:type="dxa"/>
            <w:shd w:val="clear" w:color="auto" w:fill="C6EFCE"/>
            <w:noWrap/>
            <w:vAlign w:val="center"/>
          </w:tcPr>
          <w:p w14:paraId="00A7F2A3" w14:textId="544E2465" w:rsidR="004C6421" w:rsidRDefault="00CC179E">
            <w:pPr>
              <w:pStyle w:val="P68B1DB1-Normal4"/>
              <w:spacing w:line="276" w:lineRule="auto"/>
              <w:jc w:val="center"/>
              <w:rPr>
                <w:noProof/>
              </w:rPr>
            </w:pPr>
            <w:r>
              <w:rPr>
                <w:noProof/>
              </w:rPr>
              <w:t>KW. 1</w:t>
            </w:r>
          </w:p>
        </w:tc>
        <w:tc>
          <w:tcPr>
            <w:tcW w:w="698" w:type="dxa"/>
            <w:shd w:val="clear" w:color="auto" w:fill="C6EFCE"/>
            <w:noWrap/>
            <w:vAlign w:val="center"/>
          </w:tcPr>
          <w:p w14:paraId="46140179" w14:textId="77777777" w:rsidR="004C6421" w:rsidRDefault="009D1962">
            <w:pPr>
              <w:pStyle w:val="P68B1DB1-Normal4"/>
              <w:spacing w:line="276" w:lineRule="auto"/>
              <w:jc w:val="center"/>
              <w:rPr>
                <w:noProof/>
              </w:rPr>
            </w:pPr>
            <w:r>
              <w:rPr>
                <w:noProof/>
              </w:rPr>
              <w:t>2023</w:t>
            </w:r>
          </w:p>
        </w:tc>
        <w:tc>
          <w:tcPr>
            <w:tcW w:w="3770" w:type="dxa"/>
            <w:shd w:val="clear" w:color="auto" w:fill="C6EFCE"/>
            <w:noWrap/>
            <w:vAlign w:val="center"/>
          </w:tcPr>
          <w:p w14:paraId="088969E2" w14:textId="77777777" w:rsidR="004C6421" w:rsidRDefault="009D1962">
            <w:pPr>
              <w:pStyle w:val="P68B1DB1-Normal4"/>
              <w:spacing w:after="120"/>
              <w:rPr>
                <w:noProof/>
              </w:rPr>
            </w:pPr>
            <w:r>
              <w:rPr>
                <w:noProof/>
              </w:rPr>
              <w:t>Przydział zasobów zgodnie z procedurami i kryteriami ustanowionymi w celu budowy dziesięciu stacji tankowania na liniach kolejowych opartych na technologii wodorowej wzdłuż sześciu linii kolejowych.”;</w:t>
            </w:r>
          </w:p>
        </w:tc>
      </w:tr>
      <w:tr w:rsidR="004C6421" w14:paraId="0A739E1A" w14:textId="77777777">
        <w:trPr>
          <w:trHeight w:val="309"/>
          <w:jc w:val="center"/>
        </w:trPr>
        <w:tc>
          <w:tcPr>
            <w:tcW w:w="1101" w:type="dxa"/>
            <w:shd w:val="clear" w:color="auto" w:fill="C6EFCE"/>
            <w:noWrap/>
            <w:vAlign w:val="center"/>
          </w:tcPr>
          <w:p w14:paraId="64DBFC54" w14:textId="77777777" w:rsidR="004C6421" w:rsidRDefault="009D1962">
            <w:pPr>
              <w:pStyle w:val="P68B1DB1-Normal4"/>
              <w:spacing w:line="276" w:lineRule="auto"/>
              <w:jc w:val="center"/>
              <w:rPr>
                <w:noProof/>
              </w:rPr>
            </w:pPr>
            <w:r>
              <w:rPr>
                <w:noProof/>
              </w:rPr>
              <w:t>M2C2-18</w:t>
            </w:r>
          </w:p>
        </w:tc>
        <w:tc>
          <w:tcPr>
            <w:tcW w:w="1682" w:type="dxa"/>
            <w:shd w:val="clear" w:color="auto" w:fill="C6EFCE"/>
            <w:noWrap/>
            <w:vAlign w:val="center"/>
          </w:tcPr>
          <w:p w14:paraId="666C0F16" w14:textId="77777777" w:rsidR="004C6421" w:rsidRDefault="009D1962">
            <w:pPr>
              <w:pStyle w:val="P68B1DB1-Normal4"/>
              <w:spacing w:line="276" w:lineRule="auto"/>
              <w:jc w:val="center"/>
              <w:rPr>
                <w:noProof/>
              </w:rPr>
            </w:pPr>
            <w:r>
              <w:rPr>
                <w:noProof/>
              </w:rPr>
              <w:t>Inwestycja 3.5 Badania i rozwój w zakresie wodoru</w:t>
            </w:r>
          </w:p>
        </w:tc>
        <w:tc>
          <w:tcPr>
            <w:tcW w:w="1110" w:type="dxa"/>
            <w:shd w:val="clear" w:color="auto" w:fill="C6EFCE"/>
            <w:noWrap/>
            <w:vAlign w:val="center"/>
          </w:tcPr>
          <w:p w14:paraId="5A8BA066" w14:textId="54D71E64" w:rsidR="004C6421" w:rsidRDefault="00CC179E">
            <w:pPr>
              <w:pStyle w:val="P68B1DB1-Normal4"/>
              <w:spacing w:line="276" w:lineRule="auto"/>
              <w:jc w:val="center"/>
              <w:rPr>
                <w:noProof/>
              </w:rPr>
            </w:pPr>
            <w:r>
              <w:rPr>
                <w:noProof/>
              </w:rPr>
              <w:t>Milowy</w:t>
            </w:r>
          </w:p>
        </w:tc>
        <w:tc>
          <w:tcPr>
            <w:tcW w:w="1391" w:type="dxa"/>
            <w:shd w:val="clear" w:color="auto" w:fill="C6EFCE"/>
            <w:noWrap/>
            <w:vAlign w:val="center"/>
          </w:tcPr>
          <w:p w14:paraId="399547FD" w14:textId="77777777" w:rsidR="004C6421" w:rsidRDefault="009D1962">
            <w:pPr>
              <w:pStyle w:val="P68B1DB1-Normal4"/>
              <w:spacing w:line="276" w:lineRule="auto"/>
              <w:jc w:val="center"/>
              <w:rPr>
                <w:noProof/>
              </w:rPr>
            </w:pPr>
            <w:r>
              <w:rPr>
                <w:noProof/>
              </w:rPr>
              <w:t>Udzielanie wszystkich zamówień publicznych na badania i rozwój na projekty badawcze dotyczące wodoru</w:t>
            </w:r>
          </w:p>
        </w:tc>
        <w:tc>
          <w:tcPr>
            <w:tcW w:w="1253" w:type="dxa"/>
            <w:shd w:val="clear" w:color="auto" w:fill="C6EFCE"/>
            <w:noWrap/>
            <w:vAlign w:val="center"/>
          </w:tcPr>
          <w:p w14:paraId="2EF79412" w14:textId="77777777" w:rsidR="004C6421" w:rsidRDefault="009D1962">
            <w:pPr>
              <w:pStyle w:val="P68B1DB1-Normal4"/>
              <w:spacing w:line="276" w:lineRule="auto"/>
              <w:jc w:val="center"/>
              <w:rPr>
                <w:noProof/>
              </w:rPr>
            </w:pPr>
            <w:r>
              <w:rPr>
                <w:noProof/>
              </w:rPr>
              <w:t>Powiadomienie o udzieleniu zamówień na badania i rozwój w zakresie wodoru NIE DOT.</w:t>
            </w:r>
          </w:p>
        </w:tc>
        <w:tc>
          <w:tcPr>
            <w:tcW w:w="1388" w:type="dxa"/>
            <w:shd w:val="clear" w:color="auto" w:fill="C6EFCE"/>
            <w:noWrap/>
            <w:vAlign w:val="center"/>
          </w:tcPr>
          <w:p w14:paraId="6AF8443D" w14:textId="77777777" w:rsidR="004C6421" w:rsidRDefault="009D1962">
            <w:pPr>
              <w:pStyle w:val="P68B1DB1-Normal4"/>
              <w:spacing w:line="276" w:lineRule="auto"/>
              <w:jc w:val="center"/>
              <w:rPr>
                <w:noProof/>
              </w:rPr>
            </w:pPr>
            <w:r>
              <w:rPr>
                <w:noProof/>
              </w:rPr>
              <w:t>NIE DOT.</w:t>
            </w:r>
          </w:p>
        </w:tc>
        <w:tc>
          <w:tcPr>
            <w:tcW w:w="1003" w:type="dxa"/>
            <w:shd w:val="clear" w:color="auto" w:fill="C6EFCE"/>
            <w:noWrap/>
            <w:vAlign w:val="center"/>
          </w:tcPr>
          <w:p w14:paraId="515EBFDC" w14:textId="77777777" w:rsidR="004C6421" w:rsidRDefault="009D1962">
            <w:pPr>
              <w:pStyle w:val="P68B1DB1-Normal4"/>
              <w:spacing w:line="276" w:lineRule="auto"/>
              <w:jc w:val="center"/>
              <w:rPr>
                <w:noProof/>
              </w:rPr>
            </w:pPr>
            <w:r>
              <w:rPr>
                <w:noProof/>
              </w:rPr>
              <w:t>NIE DOT.</w:t>
            </w:r>
          </w:p>
        </w:tc>
        <w:tc>
          <w:tcPr>
            <w:tcW w:w="1391" w:type="dxa"/>
            <w:shd w:val="clear" w:color="auto" w:fill="C6EFCE"/>
            <w:noWrap/>
            <w:vAlign w:val="center"/>
          </w:tcPr>
          <w:p w14:paraId="3AF343BF" w14:textId="77777777" w:rsidR="004C6421" w:rsidRDefault="009D1962">
            <w:pPr>
              <w:pStyle w:val="P68B1DB1-Normal4"/>
              <w:spacing w:line="276" w:lineRule="auto"/>
              <w:jc w:val="center"/>
              <w:rPr>
                <w:noProof/>
              </w:rPr>
            </w:pPr>
            <w:r>
              <w:rPr>
                <w:noProof/>
              </w:rPr>
              <w:t>NIE DOT.</w:t>
            </w:r>
          </w:p>
        </w:tc>
        <w:tc>
          <w:tcPr>
            <w:tcW w:w="975" w:type="dxa"/>
            <w:shd w:val="clear" w:color="auto" w:fill="C6EFCE"/>
            <w:noWrap/>
            <w:vAlign w:val="center"/>
          </w:tcPr>
          <w:p w14:paraId="217AD4A6" w14:textId="77777777" w:rsidR="004C6421" w:rsidRDefault="009D1962">
            <w:pPr>
              <w:pStyle w:val="P68B1DB1-Normal4"/>
              <w:spacing w:line="276" w:lineRule="auto"/>
              <w:jc w:val="center"/>
              <w:rPr>
                <w:noProof/>
              </w:rPr>
            </w:pPr>
            <w:r>
              <w:rPr>
                <w:noProof/>
              </w:rPr>
              <w:t>II KW.</w:t>
            </w:r>
          </w:p>
        </w:tc>
        <w:tc>
          <w:tcPr>
            <w:tcW w:w="698" w:type="dxa"/>
            <w:shd w:val="clear" w:color="auto" w:fill="C6EFCE"/>
            <w:noWrap/>
            <w:vAlign w:val="center"/>
          </w:tcPr>
          <w:p w14:paraId="003CAB1E" w14:textId="77777777" w:rsidR="004C6421" w:rsidRDefault="009D1962">
            <w:pPr>
              <w:pStyle w:val="P68B1DB1-Normal4"/>
              <w:spacing w:line="276" w:lineRule="auto"/>
              <w:jc w:val="center"/>
              <w:rPr>
                <w:noProof/>
              </w:rPr>
            </w:pPr>
            <w:r>
              <w:rPr>
                <w:noProof/>
              </w:rPr>
              <w:t>2022</w:t>
            </w:r>
          </w:p>
        </w:tc>
        <w:tc>
          <w:tcPr>
            <w:tcW w:w="3770" w:type="dxa"/>
            <w:shd w:val="clear" w:color="auto" w:fill="C6EFCE"/>
            <w:noWrap/>
            <w:vAlign w:val="center"/>
          </w:tcPr>
          <w:p w14:paraId="327D43F7" w14:textId="77777777" w:rsidR="004C6421" w:rsidRDefault="009D1962">
            <w:pPr>
              <w:pStyle w:val="P68B1DB1-Normal4"/>
              <w:spacing w:after="120"/>
              <w:rPr>
                <w:noProof/>
              </w:rPr>
            </w:pPr>
            <w:r>
              <w:rPr>
                <w:noProof/>
              </w:rPr>
              <w:t>Powiadomienie o udzieleniu zamówień na badania i rozwój, których celem jest poszerzenie wiedzy na temat wdrażania wektora wodoru w fazach produkcji, magazynowania i dystrybucji.  W umowach określa się co najmniej cztery wymiary badań:</w:t>
            </w:r>
          </w:p>
          <w:p w14:paraId="0AA518B4" w14:textId="77777777" w:rsidR="004C6421" w:rsidRDefault="009D1962">
            <w:pPr>
              <w:pStyle w:val="P68B1DB1-Normal4"/>
              <w:spacing w:after="120"/>
              <w:rPr>
                <w:noProof/>
              </w:rPr>
            </w:pPr>
            <w:r>
              <w:rPr>
                <w:noProof/>
              </w:rPr>
              <w:t>produkcja zielonego i czystego wodoru</w:t>
            </w:r>
          </w:p>
          <w:p w14:paraId="7AB15534" w14:textId="77777777" w:rsidR="004C6421" w:rsidRDefault="009D1962">
            <w:pPr>
              <w:pStyle w:val="P68B1DB1-Normal4"/>
              <w:spacing w:after="120"/>
              <w:rPr>
                <w:noProof/>
              </w:rPr>
            </w:pPr>
            <w:r>
              <w:rPr>
                <w:noProof/>
              </w:rPr>
              <w:t>b) Innowacyjne technologie magazynowania, transportu i przekształcania wodoru w produkty pochodne i e-paliwa</w:t>
            </w:r>
          </w:p>
          <w:p w14:paraId="001EA55B" w14:textId="77777777" w:rsidR="004C6421" w:rsidRDefault="009D1962">
            <w:pPr>
              <w:pStyle w:val="P68B1DB1-Normal4"/>
              <w:spacing w:after="120"/>
              <w:rPr>
                <w:noProof/>
              </w:rPr>
            </w:pPr>
            <w:r>
              <w:rPr>
                <w:noProof/>
              </w:rPr>
              <w:t>C) Komórki paliwowe do zastosowań stacjonarnych i mobilnych</w:t>
            </w:r>
          </w:p>
          <w:p w14:paraId="32BA321B" w14:textId="77777777" w:rsidR="004C6421" w:rsidRDefault="009D1962">
            <w:pPr>
              <w:pStyle w:val="P68B1DB1-Normal4"/>
              <w:spacing w:after="120"/>
              <w:rPr>
                <w:noProof/>
              </w:rPr>
            </w:pPr>
            <w:r>
              <w:rPr>
                <w:noProof/>
              </w:rPr>
              <w:t>zintegrowane inteligentne systemy zarządzania w celu zwiększenia odporności i niezawodności inteligentnej infrastruktury opartej na wodorze</w:t>
            </w:r>
          </w:p>
          <w:p w14:paraId="2C21096E" w14:textId="77777777" w:rsidR="004C6421" w:rsidRDefault="009D1962">
            <w:pPr>
              <w:pStyle w:val="P68B1DB1-Normal4"/>
              <w:spacing w:after="120"/>
              <w:rPr>
                <w:noProof/>
              </w:rPr>
            </w:pPr>
            <w:r>
              <w:rPr>
                <w:noProof/>
              </w:rPr>
              <w:t>Środek ten wspiera produkcję wodoru w oparciu o elektrolizę z wykorzystaniem odnawialnych źródeł energii zdefiniowanych w dyrektywie (UE) 2018/2001 (dyrektywa w sprawie odnawialnych źródeł energii) lub energię elektryczną z sieci, lub działalność związaną z wodorem, która spełnia wymóg ograniczenia emisji gazów cieplarnianych w całym cyklu życia wynoszący 73,4 % w odniesieniu do wodoru, co skutkuje emisjami gazów cieplarnianych w całym cyklu życia niższymi niż 3 t CO2e/tH2 i 70 % w przypadku paliw syntetycznych opartych na wodorze w porównaniu z odpowiednikiem kopalnym wynoszącym 94 g CO2e/MJ, analogicznie do podejścia określonego w art. 25 ust. 2 dyrektywy (UE) 2018/2001 i w załączniku V do tej dyrektywy.</w:t>
            </w:r>
          </w:p>
        </w:tc>
      </w:tr>
      <w:tr w:rsidR="004C6421" w14:paraId="20B08009" w14:textId="77777777">
        <w:trPr>
          <w:trHeight w:val="309"/>
          <w:jc w:val="center"/>
        </w:trPr>
        <w:tc>
          <w:tcPr>
            <w:tcW w:w="1101" w:type="dxa"/>
            <w:shd w:val="clear" w:color="auto" w:fill="C6EFCE"/>
            <w:noWrap/>
            <w:vAlign w:val="center"/>
          </w:tcPr>
          <w:p w14:paraId="1084F675" w14:textId="77777777" w:rsidR="004C6421" w:rsidRDefault="009D1962">
            <w:pPr>
              <w:pStyle w:val="P68B1DB1-Normal4"/>
              <w:spacing w:line="276" w:lineRule="auto"/>
              <w:jc w:val="center"/>
              <w:rPr>
                <w:noProof/>
              </w:rPr>
            </w:pPr>
            <w:r>
              <w:rPr>
                <w:noProof/>
              </w:rPr>
              <w:t>M2C2-20</w:t>
            </w:r>
          </w:p>
        </w:tc>
        <w:tc>
          <w:tcPr>
            <w:tcW w:w="1682" w:type="dxa"/>
            <w:shd w:val="clear" w:color="auto" w:fill="C6EFCE"/>
            <w:noWrap/>
            <w:vAlign w:val="center"/>
          </w:tcPr>
          <w:p w14:paraId="57EFA405" w14:textId="77777777" w:rsidR="004C6421" w:rsidRDefault="009D1962">
            <w:pPr>
              <w:pStyle w:val="P68B1DB1-Normal4"/>
              <w:spacing w:line="276" w:lineRule="auto"/>
              <w:jc w:val="center"/>
              <w:rPr>
                <w:noProof/>
              </w:rPr>
            </w:pPr>
            <w:r>
              <w:rPr>
                <w:noProof/>
              </w:rPr>
              <w:t>Reforma 3 Uproszczenie administracyjne i zmniejszenie barier regulacyjnych utrudniających wprowadzanie wodoru</w:t>
            </w:r>
          </w:p>
        </w:tc>
        <w:tc>
          <w:tcPr>
            <w:tcW w:w="1110" w:type="dxa"/>
            <w:shd w:val="clear" w:color="auto" w:fill="C6EFCE"/>
            <w:noWrap/>
            <w:vAlign w:val="center"/>
          </w:tcPr>
          <w:p w14:paraId="1F743287" w14:textId="5BB5CB27" w:rsidR="004C6421" w:rsidRDefault="00CC179E">
            <w:pPr>
              <w:pStyle w:val="P68B1DB1-Normal4"/>
              <w:spacing w:line="276" w:lineRule="auto"/>
              <w:jc w:val="center"/>
              <w:rPr>
                <w:noProof/>
              </w:rPr>
            </w:pPr>
            <w:r>
              <w:rPr>
                <w:noProof/>
              </w:rPr>
              <w:t>Milowy</w:t>
            </w:r>
          </w:p>
        </w:tc>
        <w:tc>
          <w:tcPr>
            <w:tcW w:w="1391" w:type="dxa"/>
            <w:shd w:val="clear" w:color="auto" w:fill="C6EFCE"/>
            <w:noWrap/>
            <w:vAlign w:val="center"/>
          </w:tcPr>
          <w:p w14:paraId="47C32F4C" w14:textId="77777777" w:rsidR="004C6421" w:rsidRDefault="009D1962">
            <w:pPr>
              <w:pStyle w:val="P68B1DB1-Normal4"/>
              <w:spacing w:line="276" w:lineRule="auto"/>
              <w:jc w:val="center"/>
              <w:rPr>
                <w:noProof/>
              </w:rPr>
            </w:pPr>
            <w:r>
              <w:rPr>
                <w:noProof/>
              </w:rPr>
              <w:t>Wejście w życie niezbędnych działań legislacyjnych</w:t>
            </w:r>
          </w:p>
        </w:tc>
        <w:tc>
          <w:tcPr>
            <w:tcW w:w="1253" w:type="dxa"/>
            <w:shd w:val="clear" w:color="auto" w:fill="C6EFCE"/>
            <w:noWrap/>
            <w:vAlign w:val="center"/>
          </w:tcPr>
          <w:p w14:paraId="25FA50AD" w14:textId="77777777" w:rsidR="004C6421" w:rsidRDefault="009D1962">
            <w:pPr>
              <w:pStyle w:val="P68B1DB1-Normal4"/>
              <w:spacing w:line="276" w:lineRule="auto"/>
              <w:jc w:val="center"/>
              <w:rPr>
                <w:noProof/>
              </w:rPr>
            </w:pPr>
            <w:r>
              <w:rPr>
                <w:noProof/>
              </w:rPr>
              <w:t>Przepis ustawy wskazujący na wejście w życie ustawy</w:t>
            </w:r>
          </w:p>
        </w:tc>
        <w:tc>
          <w:tcPr>
            <w:tcW w:w="1388" w:type="dxa"/>
            <w:shd w:val="clear" w:color="auto" w:fill="C6EFCE"/>
            <w:noWrap/>
            <w:vAlign w:val="center"/>
          </w:tcPr>
          <w:p w14:paraId="0EF5BD11" w14:textId="77777777" w:rsidR="004C6421" w:rsidRDefault="009D1962">
            <w:pPr>
              <w:pStyle w:val="P68B1DB1-Normal4"/>
              <w:spacing w:line="276" w:lineRule="auto"/>
              <w:jc w:val="center"/>
              <w:rPr>
                <w:noProof/>
              </w:rPr>
            </w:pPr>
            <w:r>
              <w:rPr>
                <w:noProof/>
              </w:rPr>
              <w:t>NIE DOT.</w:t>
            </w:r>
          </w:p>
        </w:tc>
        <w:tc>
          <w:tcPr>
            <w:tcW w:w="1003" w:type="dxa"/>
            <w:shd w:val="clear" w:color="auto" w:fill="C6EFCE"/>
            <w:noWrap/>
            <w:vAlign w:val="center"/>
          </w:tcPr>
          <w:p w14:paraId="0462DBD8" w14:textId="77777777" w:rsidR="004C6421" w:rsidRDefault="009D1962">
            <w:pPr>
              <w:pStyle w:val="P68B1DB1-Normal4"/>
              <w:spacing w:line="276" w:lineRule="auto"/>
              <w:jc w:val="center"/>
              <w:rPr>
                <w:noProof/>
              </w:rPr>
            </w:pPr>
            <w:r>
              <w:rPr>
                <w:noProof/>
              </w:rPr>
              <w:t>NIE DOT.</w:t>
            </w:r>
          </w:p>
        </w:tc>
        <w:tc>
          <w:tcPr>
            <w:tcW w:w="1391" w:type="dxa"/>
            <w:shd w:val="clear" w:color="auto" w:fill="C6EFCE"/>
            <w:noWrap/>
            <w:vAlign w:val="center"/>
          </w:tcPr>
          <w:p w14:paraId="5F989674" w14:textId="77777777" w:rsidR="004C6421" w:rsidRDefault="009D1962">
            <w:pPr>
              <w:pStyle w:val="P68B1DB1-Normal4"/>
              <w:spacing w:line="276" w:lineRule="auto"/>
              <w:jc w:val="center"/>
              <w:rPr>
                <w:noProof/>
              </w:rPr>
            </w:pPr>
            <w:r>
              <w:rPr>
                <w:noProof/>
              </w:rPr>
              <w:t>NIE DOT.</w:t>
            </w:r>
          </w:p>
        </w:tc>
        <w:tc>
          <w:tcPr>
            <w:tcW w:w="975" w:type="dxa"/>
            <w:shd w:val="clear" w:color="auto" w:fill="C6EFCE"/>
            <w:noWrap/>
            <w:vAlign w:val="center"/>
          </w:tcPr>
          <w:p w14:paraId="7BD0C7B0" w14:textId="683F756D" w:rsidR="004C6421" w:rsidRDefault="00CC179E">
            <w:pPr>
              <w:pStyle w:val="P68B1DB1-Normal4"/>
              <w:spacing w:line="276" w:lineRule="auto"/>
              <w:jc w:val="center"/>
              <w:rPr>
                <w:noProof/>
              </w:rPr>
            </w:pPr>
            <w:r>
              <w:rPr>
                <w:noProof/>
              </w:rPr>
              <w:t>KW. 1</w:t>
            </w:r>
          </w:p>
        </w:tc>
        <w:tc>
          <w:tcPr>
            <w:tcW w:w="698" w:type="dxa"/>
            <w:shd w:val="clear" w:color="auto" w:fill="C6EFCE"/>
            <w:noWrap/>
            <w:vAlign w:val="center"/>
          </w:tcPr>
          <w:p w14:paraId="1389AC31" w14:textId="77777777" w:rsidR="004C6421" w:rsidRDefault="009D1962">
            <w:pPr>
              <w:pStyle w:val="P68B1DB1-Normal4"/>
              <w:spacing w:line="276" w:lineRule="auto"/>
              <w:jc w:val="center"/>
              <w:rPr>
                <w:noProof/>
              </w:rPr>
            </w:pPr>
            <w:r>
              <w:rPr>
                <w:noProof/>
              </w:rPr>
              <w:t>2023</w:t>
            </w:r>
          </w:p>
        </w:tc>
        <w:tc>
          <w:tcPr>
            <w:tcW w:w="3770" w:type="dxa"/>
            <w:shd w:val="clear" w:color="auto" w:fill="C6EFCE"/>
            <w:noWrap/>
            <w:vAlign w:val="center"/>
          </w:tcPr>
          <w:p w14:paraId="239F9404" w14:textId="77777777" w:rsidR="004C6421" w:rsidRDefault="009D1962">
            <w:pPr>
              <w:pStyle w:val="P68B1DB1-Normal4"/>
              <w:spacing w:after="120"/>
              <w:rPr>
                <w:noProof/>
              </w:rPr>
            </w:pPr>
            <w:r>
              <w:rPr>
                <w:noProof/>
              </w:rPr>
              <w:t>Niezbędne działania ustawodawcze określają (i) przepisy dotyczące bezpieczeństwa w odniesieniu do produkcji, transportu i magazynowania wodoru, (ii) uproszczenie procedur budowy małych struktur do produkcji zielonego wodoru oraz (iii) środki dotyczące warunków budowy stacji ładowania opartych na wodorze.</w:t>
            </w:r>
          </w:p>
          <w:p w14:paraId="3BFE2A7B" w14:textId="77777777" w:rsidR="004C6421" w:rsidRDefault="009D1962">
            <w:pPr>
              <w:pStyle w:val="P68B1DB1-Normal4"/>
              <w:spacing w:after="120"/>
              <w:rPr>
                <w:noProof/>
              </w:rPr>
            </w:pPr>
            <w:r>
              <w:rPr>
                <w:noProof/>
              </w:rPr>
              <w:t>Środek ten wspiera wyłącznie działania związane z wodorem, które spełniają wymóg ograniczenia emisji gazów cieplarnianych w całym cyklu życia wynoszący 73,4 % w odniesieniu do wodoru, co daje 3 t ekwiwalentu CO2/tH2.</w:t>
            </w:r>
          </w:p>
        </w:tc>
      </w:tr>
      <w:tr w:rsidR="004C6421" w14:paraId="302CC847" w14:textId="77777777">
        <w:trPr>
          <w:trHeight w:val="309"/>
          <w:jc w:val="center"/>
        </w:trPr>
        <w:tc>
          <w:tcPr>
            <w:tcW w:w="1101" w:type="dxa"/>
            <w:shd w:val="clear" w:color="auto" w:fill="C6EFCE"/>
            <w:noWrap/>
            <w:vAlign w:val="center"/>
          </w:tcPr>
          <w:p w14:paraId="2E2C9A75" w14:textId="77777777" w:rsidR="004C6421" w:rsidRDefault="009D1962">
            <w:pPr>
              <w:pStyle w:val="P68B1DB1-Normal4"/>
              <w:spacing w:line="276" w:lineRule="auto"/>
              <w:jc w:val="center"/>
              <w:rPr>
                <w:noProof/>
              </w:rPr>
            </w:pPr>
            <w:r>
              <w:rPr>
                <w:noProof/>
              </w:rPr>
              <w:t>M2C2-21</w:t>
            </w:r>
          </w:p>
        </w:tc>
        <w:tc>
          <w:tcPr>
            <w:tcW w:w="1682" w:type="dxa"/>
            <w:shd w:val="clear" w:color="auto" w:fill="C6EFCE"/>
            <w:noWrap/>
            <w:vAlign w:val="center"/>
          </w:tcPr>
          <w:p w14:paraId="002E5565" w14:textId="77777777" w:rsidR="004C6421" w:rsidRDefault="009D1962">
            <w:pPr>
              <w:pStyle w:val="P68B1DB1-Normal4"/>
              <w:spacing w:line="276" w:lineRule="auto"/>
              <w:jc w:val="center"/>
              <w:rPr>
                <w:noProof/>
              </w:rPr>
            </w:pPr>
            <w:r>
              <w:rPr>
                <w:noProof/>
              </w:rPr>
              <w:t>Reforma 4 Środki na rzecz wspierania konkurencyjności wodoru</w:t>
            </w:r>
          </w:p>
        </w:tc>
        <w:tc>
          <w:tcPr>
            <w:tcW w:w="1110" w:type="dxa"/>
            <w:shd w:val="clear" w:color="auto" w:fill="C6EFCE"/>
            <w:noWrap/>
            <w:vAlign w:val="center"/>
          </w:tcPr>
          <w:p w14:paraId="0C8EC3D5" w14:textId="6588C3C4" w:rsidR="004C6421" w:rsidRDefault="00CC179E">
            <w:pPr>
              <w:pStyle w:val="P68B1DB1-Normal4"/>
              <w:spacing w:line="276" w:lineRule="auto"/>
              <w:jc w:val="center"/>
              <w:rPr>
                <w:noProof/>
              </w:rPr>
            </w:pPr>
            <w:r>
              <w:rPr>
                <w:noProof/>
              </w:rPr>
              <w:t>Milowy</w:t>
            </w:r>
          </w:p>
        </w:tc>
        <w:tc>
          <w:tcPr>
            <w:tcW w:w="1391" w:type="dxa"/>
            <w:shd w:val="clear" w:color="auto" w:fill="C6EFCE"/>
            <w:noWrap/>
            <w:vAlign w:val="center"/>
          </w:tcPr>
          <w:p w14:paraId="5BFB8870" w14:textId="77777777" w:rsidR="004C6421" w:rsidRDefault="009D1962">
            <w:pPr>
              <w:pStyle w:val="P68B1DB1-Normal4"/>
              <w:spacing w:line="276" w:lineRule="auto"/>
              <w:jc w:val="center"/>
              <w:rPr>
                <w:noProof/>
              </w:rPr>
            </w:pPr>
            <w:r>
              <w:rPr>
                <w:noProof/>
              </w:rPr>
              <w:t>Wejście w życie zachęt podatkowych</w:t>
            </w:r>
          </w:p>
        </w:tc>
        <w:tc>
          <w:tcPr>
            <w:tcW w:w="1253" w:type="dxa"/>
            <w:shd w:val="clear" w:color="auto" w:fill="C6EFCE"/>
            <w:noWrap/>
            <w:vAlign w:val="center"/>
          </w:tcPr>
          <w:p w14:paraId="5BAE1288" w14:textId="77777777" w:rsidR="004C6421" w:rsidRDefault="009D1962">
            <w:pPr>
              <w:pStyle w:val="P68B1DB1-Normal4"/>
              <w:spacing w:line="276" w:lineRule="auto"/>
              <w:jc w:val="center"/>
              <w:rPr>
                <w:noProof/>
              </w:rPr>
            </w:pPr>
            <w:r>
              <w:rPr>
                <w:noProof/>
              </w:rPr>
              <w:t>Przepis ustawy wskazujący na wejście w życie ustawy</w:t>
            </w:r>
          </w:p>
        </w:tc>
        <w:tc>
          <w:tcPr>
            <w:tcW w:w="1388" w:type="dxa"/>
            <w:shd w:val="clear" w:color="auto" w:fill="C6EFCE"/>
            <w:noWrap/>
            <w:vAlign w:val="center"/>
          </w:tcPr>
          <w:p w14:paraId="4009E4DE" w14:textId="77777777" w:rsidR="004C6421" w:rsidRDefault="009D1962">
            <w:pPr>
              <w:pStyle w:val="P68B1DB1-Normal4"/>
              <w:spacing w:line="276" w:lineRule="auto"/>
              <w:jc w:val="center"/>
              <w:rPr>
                <w:noProof/>
              </w:rPr>
            </w:pPr>
            <w:r>
              <w:rPr>
                <w:noProof/>
              </w:rPr>
              <w:t>NIE DOTYCZY</w:t>
            </w:r>
          </w:p>
        </w:tc>
        <w:tc>
          <w:tcPr>
            <w:tcW w:w="1003" w:type="dxa"/>
            <w:shd w:val="clear" w:color="auto" w:fill="C6EFCE"/>
            <w:noWrap/>
            <w:vAlign w:val="center"/>
          </w:tcPr>
          <w:p w14:paraId="569DDCFB" w14:textId="77777777" w:rsidR="004C6421" w:rsidRDefault="009D1962">
            <w:pPr>
              <w:pStyle w:val="P68B1DB1-Normal4"/>
              <w:spacing w:line="276" w:lineRule="auto"/>
              <w:jc w:val="center"/>
              <w:rPr>
                <w:noProof/>
              </w:rPr>
            </w:pPr>
            <w:r>
              <w:rPr>
                <w:noProof/>
              </w:rPr>
              <w:t>NIE DOT.</w:t>
            </w:r>
          </w:p>
        </w:tc>
        <w:tc>
          <w:tcPr>
            <w:tcW w:w="1391" w:type="dxa"/>
            <w:shd w:val="clear" w:color="auto" w:fill="C6EFCE"/>
            <w:noWrap/>
            <w:vAlign w:val="center"/>
          </w:tcPr>
          <w:p w14:paraId="01337C34" w14:textId="77777777" w:rsidR="004C6421" w:rsidRDefault="009D1962">
            <w:pPr>
              <w:pStyle w:val="P68B1DB1-Normal4"/>
              <w:spacing w:line="276" w:lineRule="auto"/>
              <w:jc w:val="center"/>
              <w:rPr>
                <w:noProof/>
              </w:rPr>
            </w:pPr>
            <w:r>
              <w:rPr>
                <w:noProof/>
              </w:rPr>
              <w:t>NIE DOT.</w:t>
            </w:r>
          </w:p>
        </w:tc>
        <w:tc>
          <w:tcPr>
            <w:tcW w:w="975" w:type="dxa"/>
            <w:shd w:val="clear" w:color="auto" w:fill="C6EFCE"/>
            <w:noWrap/>
            <w:vAlign w:val="center"/>
          </w:tcPr>
          <w:p w14:paraId="2F308366" w14:textId="77777777" w:rsidR="004C6421" w:rsidRDefault="009D1962">
            <w:pPr>
              <w:pStyle w:val="P68B1DB1-Normal4"/>
              <w:spacing w:line="276" w:lineRule="auto"/>
              <w:jc w:val="center"/>
              <w:rPr>
                <w:noProof/>
              </w:rPr>
            </w:pPr>
            <w:r>
              <w:rPr>
                <w:noProof/>
              </w:rPr>
              <w:t>II KW.</w:t>
            </w:r>
          </w:p>
        </w:tc>
        <w:tc>
          <w:tcPr>
            <w:tcW w:w="698" w:type="dxa"/>
            <w:shd w:val="clear" w:color="auto" w:fill="C6EFCE"/>
            <w:noWrap/>
            <w:vAlign w:val="center"/>
          </w:tcPr>
          <w:p w14:paraId="732DB5D9" w14:textId="77777777" w:rsidR="004C6421" w:rsidRDefault="009D1962">
            <w:pPr>
              <w:pStyle w:val="P68B1DB1-Normal4"/>
              <w:spacing w:line="276" w:lineRule="auto"/>
              <w:jc w:val="center"/>
              <w:rPr>
                <w:noProof/>
              </w:rPr>
            </w:pPr>
            <w:r>
              <w:rPr>
                <w:noProof/>
              </w:rPr>
              <w:t>2022</w:t>
            </w:r>
          </w:p>
        </w:tc>
        <w:tc>
          <w:tcPr>
            <w:tcW w:w="3770" w:type="dxa"/>
            <w:shd w:val="clear" w:color="auto" w:fill="C6EFCE"/>
            <w:noWrap/>
            <w:vAlign w:val="center"/>
          </w:tcPr>
          <w:p w14:paraId="3BA62A59" w14:textId="77777777" w:rsidR="004C6421" w:rsidRDefault="009D1962">
            <w:pPr>
              <w:pStyle w:val="P68B1DB1-Normal4"/>
              <w:spacing w:after="120"/>
              <w:rPr>
                <w:noProof/>
              </w:rPr>
            </w:pPr>
            <w:r>
              <w:rPr>
                <w:noProof/>
              </w:rPr>
              <w:t>Ustawa określa zachęty podatkowe mające na celu wspieranie produkcji zielonego wodoru i promowanie zużycia zielonego wodoru w sektorze transportu.</w:t>
            </w:r>
          </w:p>
          <w:p w14:paraId="70B378C3" w14:textId="77777777" w:rsidR="004C6421" w:rsidRDefault="009D1962">
            <w:pPr>
              <w:pStyle w:val="P68B1DB1-Normal4"/>
              <w:spacing w:after="120"/>
              <w:rPr>
                <w:noProof/>
              </w:rPr>
            </w:pPr>
            <w:r>
              <w:rPr>
                <w:noProof/>
              </w:rPr>
              <w:t>Środek ten wspiera wyłącznie działania związane z wodorem, które spełniają wymóg ograniczenia emisji gazów cieplarnianych w całym cyklu życia wynoszący 73,4 % w odniesieniu do wodoru, co daje 3 t ekwiwalentu CO2/tH2.</w:t>
            </w:r>
          </w:p>
        </w:tc>
      </w:tr>
      <w:tr w:rsidR="004C6421" w14:paraId="2DBB32B9" w14:textId="77777777">
        <w:trPr>
          <w:trHeight w:val="309"/>
          <w:jc w:val="center"/>
        </w:trPr>
        <w:tc>
          <w:tcPr>
            <w:tcW w:w="1101" w:type="dxa"/>
            <w:shd w:val="clear" w:color="auto" w:fill="C6EFCE"/>
            <w:noWrap/>
            <w:vAlign w:val="center"/>
          </w:tcPr>
          <w:p w14:paraId="410C13F3" w14:textId="77777777" w:rsidR="004C6421" w:rsidRDefault="009D1962">
            <w:pPr>
              <w:pStyle w:val="P68B1DB1-Normal4"/>
              <w:spacing w:line="276" w:lineRule="auto"/>
              <w:jc w:val="center"/>
              <w:rPr>
                <w:noProof/>
              </w:rPr>
            </w:pPr>
            <w:r>
              <w:rPr>
                <w:noProof/>
              </w:rPr>
              <w:t>M2C2-22</w:t>
            </w:r>
          </w:p>
        </w:tc>
        <w:tc>
          <w:tcPr>
            <w:tcW w:w="1682" w:type="dxa"/>
            <w:shd w:val="clear" w:color="auto" w:fill="C6EFCE"/>
            <w:noWrap/>
            <w:vAlign w:val="center"/>
          </w:tcPr>
          <w:p w14:paraId="0766280C" w14:textId="77777777" w:rsidR="004C6421" w:rsidRDefault="009D1962">
            <w:pPr>
              <w:pStyle w:val="P68B1DB1-Normal4"/>
              <w:spacing w:line="276" w:lineRule="auto"/>
              <w:jc w:val="center"/>
              <w:rPr>
                <w:noProof/>
              </w:rPr>
            </w:pPr>
            <w:r>
              <w:rPr>
                <w:noProof/>
              </w:rPr>
              <w:t>Inwestycje 4.1 Inwestycje w mobilność miękką (krajowy plan ścieżki cyklu)</w:t>
            </w:r>
          </w:p>
        </w:tc>
        <w:tc>
          <w:tcPr>
            <w:tcW w:w="1110" w:type="dxa"/>
            <w:shd w:val="clear" w:color="auto" w:fill="C6EFCE"/>
            <w:noWrap/>
            <w:vAlign w:val="center"/>
          </w:tcPr>
          <w:p w14:paraId="751B14DF" w14:textId="77777777" w:rsidR="004C6421" w:rsidRDefault="009D1962">
            <w:pPr>
              <w:pStyle w:val="P68B1DB1-Normal4"/>
              <w:spacing w:line="276" w:lineRule="auto"/>
              <w:jc w:val="center"/>
              <w:rPr>
                <w:noProof/>
              </w:rPr>
            </w:pPr>
            <w:r>
              <w:rPr>
                <w:noProof/>
              </w:rPr>
              <w:t>Docelowy:</w:t>
            </w:r>
          </w:p>
        </w:tc>
        <w:tc>
          <w:tcPr>
            <w:tcW w:w="1391" w:type="dxa"/>
            <w:shd w:val="clear" w:color="auto" w:fill="C6EFCE"/>
            <w:noWrap/>
            <w:vAlign w:val="center"/>
          </w:tcPr>
          <w:p w14:paraId="2AFC97EA" w14:textId="77777777" w:rsidR="004C6421" w:rsidRDefault="009D1962">
            <w:pPr>
              <w:pStyle w:val="P68B1DB1-Normal4"/>
              <w:spacing w:line="276" w:lineRule="auto"/>
              <w:jc w:val="center"/>
              <w:rPr>
                <w:noProof/>
              </w:rPr>
            </w:pPr>
            <w:r>
              <w:rPr>
                <w:noProof/>
              </w:rPr>
              <w:t>Pasy ruchu rowerowego T1</w:t>
            </w:r>
          </w:p>
        </w:tc>
        <w:tc>
          <w:tcPr>
            <w:tcW w:w="1253" w:type="dxa"/>
            <w:shd w:val="clear" w:color="auto" w:fill="C6EFCE"/>
            <w:noWrap/>
            <w:vAlign w:val="center"/>
          </w:tcPr>
          <w:p w14:paraId="375CAAE0" w14:textId="77777777" w:rsidR="004C6421" w:rsidRDefault="009D1962">
            <w:pPr>
              <w:pStyle w:val="P68B1DB1-Normal4"/>
              <w:spacing w:line="276" w:lineRule="auto"/>
              <w:jc w:val="center"/>
              <w:rPr>
                <w:noProof/>
              </w:rPr>
            </w:pPr>
            <w:r>
              <w:rPr>
                <w:noProof/>
              </w:rPr>
              <w:t>NIE DOT.</w:t>
            </w:r>
          </w:p>
        </w:tc>
        <w:tc>
          <w:tcPr>
            <w:tcW w:w="1388" w:type="dxa"/>
            <w:shd w:val="clear" w:color="auto" w:fill="C6EFCE"/>
            <w:noWrap/>
            <w:vAlign w:val="center"/>
          </w:tcPr>
          <w:p w14:paraId="7914160F" w14:textId="77777777" w:rsidR="004C6421" w:rsidRDefault="009D1962">
            <w:pPr>
              <w:pStyle w:val="P68B1DB1-Normal4"/>
              <w:spacing w:line="276" w:lineRule="auto"/>
              <w:jc w:val="center"/>
              <w:rPr>
                <w:noProof/>
              </w:rPr>
            </w:pPr>
            <w:r>
              <w:rPr>
                <w:noProof/>
              </w:rPr>
              <w:t>Kilometry</w:t>
            </w:r>
          </w:p>
        </w:tc>
        <w:tc>
          <w:tcPr>
            <w:tcW w:w="1003" w:type="dxa"/>
            <w:shd w:val="clear" w:color="auto" w:fill="C6EFCE"/>
            <w:noWrap/>
            <w:vAlign w:val="center"/>
          </w:tcPr>
          <w:p w14:paraId="129F309E" w14:textId="77777777" w:rsidR="004C6421" w:rsidRDefault="009D1962">
            <w:pPr>
              <w:pStyle w:val="P68B1DB1-Normal4"/>
              <w:spacing w:line="276" w:lineRule="auto"/>
              <w:jc w:val="center"/>
              <w:rPr>
                <w:noProof/>
              </w:rPr>
            </w:pPr>
            <w:r>
              <w:rPr>
                <w:noProof/>
              </w:rPr>
              <w:t>0</w:t>
            </w:r>
          </w:p>
        </w:tc>
        <w:tc>
          <w:tcPr>
            <w:tcW w:w="1391" w:type="dxa"/>
            <w:shd w:val="clear" w:color="auto" w:fill="C6EFCE"/>
            <w:noWrap/>
            <w:vAlign w:val="center"/>
          </w:tcPr>
          <w:p w14:paraId="0018D7EC" w14:textId="77777777" w:rsidR="004C6421" w:rsidRDefault="009D1962">
            <w:pPr>
              <w:pStyle w:val="P68B1DB1-Normal4"/>
              <w:spacing w:line="276" w:lineRule="auto"/>
              <w:jc w:val="center"/>
              <w:rPr>
                <w:noProof/>
              </w:rPr>
            </w:pPr>
            <w:r>
              <w:rPr>
                <w:noProof/>
              </w:rPr>
              <w:t>200</w:t>
            </w:r>
          </w:p>
        </w:tc>
        <w:tc>
          <w:tcPr>
            <w:tcW w:w="975" w:type="dxa"/>
            <w:shd w:val="clear" w:color="auto" w:fill="C6EFCE"/>
            <w:noWrap/>
            <w:vAlign w:val="center"/>
          </w:tcPr>
          <w:p w14:paraId="542026E4" w14:textId="4ACB28FE" w:rsidR="004C6421" w:rsidRDefault="00CC179E">
            <w:pPr>
              <w:pStyle w:val="P68B1DB1-Normal4"/>
              <w:spacing w:line="276" w:lineRule="auto"/>
              <w:jc w:val="center"/>
              <w:rPr>
                <w:noProof/>
              </w:rPr>
            </w:pPr>
            <w:r>
              <w:rPr>
                <w:noProof/>
              </w:rPr>
              <w:t>KW. 4</w:t>
            </w:r>
          </w:p>
        </w:tc>
        <w:tc>
          <w:tcPr>
            <w:tcW w:w="698" w:type="dxa"/>
            <w:shd w:val="clear" w:color="auto" w:fill="C6EFCE"/>
            <w:noWrap/>
            <w:vAlign w:val="center"/>
          </w:tcPr>
          <w:p w14:paraId="7080CE78" w14:textId="77777777" w:rsidR="004C6421" w:rsidRDefault="009D1962">
            <w:pPr>
              <w:pStyle w:val="P68B1DB1-Normal4"/>
              <w:spacing w:line="276" w:lineRule="auto"/>
              <w:jc w:val="center"/>
              <w:rPr>
                <w:noProof/>
              </w:rPr>
            </w:pPr>
            <w:r>
              <w:rPr>
                <w:noProof/>
              </w:rPr>
              <w:t>2023</w:t>
            </w:r>
          </w:p>
        </w:tc>
        <w:tc>
          <w:tcPr>
            <w:tcW w:w="3770" w:type="dxa"/>
            <w:shd w:val="clear" w:color="auto" w:fill="C6EFCE"/>
            <w:noWrap/>
            <w:vAlign w:val="center"/>
          </w:tcPr>
          <w:p w14:paraId="187DD0AD" w14:textId="77777777" w:rsidR="004C6421" w:rsidRDefault="009D1962">
            <w:pPr>
              <w:pStyle w:val="P68B1DB1-Normal4"/>
              <w:spacing w:after="120"/>
              <w:rPr>
                <w:noProof/>
              </w:rPr>
            </w:pPr>
            <w:r>
              <w:rPr>
                <w:noProof/>
              </w:rPr>
              <w:t>Ukończenie co najmniej 200 km pasów rowerowych na obszarach metropolitalnych, jak określono w opisie środka lub miast, w których znajdują się uniwersytety.</w:t>
            </w:r>
          </w:p>
        </w:tc>
      </w:tr>
      <w:tr w:rsidR="004C6421" w14:paraId="560CAD01" w14:textId="77777777">
        <w:trPr>
          <w:trHeight w:val="309"/>
          <w:jc w:val="center"/>
        </w:trPr>
        <w:tc>
          <w:tcPr>
            <w:tcW w:w="1101" w:type="dxa"/>
            <w:shd w:val="clear" w:color="auto" w:fill="C6EFCE"/>
            <w:noWrap/>
            <w:vAlign w:val="center"/>
          </w:tcPr>
          <w:p w14:paraId="0195ADB1" w14:textId="77777777" w:rsidR="004C6421" w:rsidRDefault="009D1962">
            <w:pPr>
              <w:pStyle w:val="P68B1DB1-Normal4"/>
              <w:spacing w:line="276" w:lineRule="auto"/>
              <w:jc w:val="center"/>
              <w:rPr>
                <w:noProof/>
              </w:rPr>
            </w:pPr>
            <w:r>
              <w:rPr>
                <w:noProof/>
              </w:rPr>
              <w:t>M2C2-23</w:t>
            </w:r>
          </w:p>
        </w:tc>
        <w:tc>
          <w:tcPr>
            <w:tcW w:w="1682" w:type="dxa"/>
            <w:shd w:val="clear" w:color="auto" w:fill="C6EFCE"/>
            <w:noWrap/>
            <w:vAlign w:val="center"/>
          </w:tcPr>
          <w:p w14:paraId="6635018A" w14:textId="77777777" w:rsidR="004C6421" w:rsidRDefault="009D1962">
            <w:pPr>
              <w:pStyle w:val="P68B1DB1-Normal4"/>
              <w:spacing w:line="276" w:lineRule="auto"/>
              <w:jc w:val="center"/>
              <w:rPr>
                <w:noProof/>
              </w:rPr>
            </w:pPr>
            <w:r>
              <w:rPr>
                <w:noProof/>
              </w:rPr>
              <w:t>Inwestycje 4.1 Inwestycje w mobilność miękką (krajowy plan ścieżki cyklu)</w:t>
            </w:r>
          </w:p>
        </w:tc>
        <w:tc>
          <w:tcPr>
            <w:tcW w:w="1110" w:type="dxa"/>
            <w:shd w:val="clear" w:color="auto" w:fill="C6EFCE"/>
            <w:noWrap/>
            <w:vAlign w:val="center"/>
          </w:tcPr>
          <w:p w14:paraId="1A890BB7" w14:textId="77777777" w:rsidR="004C6421" w:rsidRDefault="009D1962">
            <w:pPr>
              <w:pStyle w:val="P68B1DB1-Normal4"/>
              <w:spacing w:line="276" w:lineRule="auto"/>
              <w:jc w:val="center"/>
              <w:rPr>
                <w:noProof/>
              </w:rPr>
            </w:pPr>
            <w:r>
              <w:rPr>
                <w:noProof/>
              </w:rPr>
              <w:t>Cel</w:t>
            </w:r>
          </w:p>
        </w:tc>
        <w:tc>
          <w:tcPr>
            <w:tcW w:w="1391" w:type="dxa"/>
            <w:shd w:val="clear" w:color="auto" w:fill="C6EFCE"/>
            <w:noWrap/>
            <w:vAlign w:val="center"/>
          </w:tcPr>
          <w:p w14:paraId="16931EBC" w14:textId="77777777" w:rsidR="004C6421" w:rsidRDefault="009D1962">
            <w:pPr>
              <w:pStyle w:val="P68B1DB1-Normal4"/>
              <w:spacing w:line="276" w:lineRule="auto"/>
              <w:jc w:val="center"/>
              <w:rPr>
                <w:noProof/>
              </w:rPr>
            </w:pPr>
            <w:r>
              <w:rPr>
                <w:noProof/>
              </w:rPr>
              <w:t>Pasy ruchu rowerowego T2</w:t>
            </w:r>
          </w:p>
        </w:tc>
        <w:tc>
          <w:tcPr>
            <w:tcW w:w="1253" w:type="dxa"/>
            <w:shd w:val="clear" w:color="auto" w:fill="C6EFCE"/>
            <w:noWrap/>
            <w:vAlign w:val="center"/>
          </w:tcPr>
          <w:p w14:paraId="250ECF11" w14:textId="77777777" w:rsidR="004C6421" w:rsidRDefault="009D1962">
            <w:pPr>
              <w:pStyle w:val="P68B1DB1-Normal4"/>
              <w:spacing w:line="276" w:lineRule="auto"/>
              <w:jc w:val="center"/>
              <w:rPr>
                <w:noProof/>
              </w:rPr>
            </w:pPr>
            <w:r>
              <w:rPr>
                <w:noProof/>
              </w:rPr>
              <w:t>NIE DOT.</w:t>
            </w:r>
          </w:p>
        </w:tc>
        <w:tc>
          <w:tcPr>
            <w:tcW w:w="1388" w:type="dxa"/>
            <w:shd w:val="clear" w:color="auto" w:fill="C6EFCE"/>
            <w:noWrap/>
            <w:vAlign w:val="center"/>
          </w:tcPr>
          <w:p w14:paraId="442A7E91" w14:textId="77777777" w:rsidR="004C6421" w:rsidRDefault="009D1962">
            <w:pPr>
              <w:pStyle w:val="P68B1DB1-Normal4"/>
              <w:spacing w:line="276" w:lineRule="auto"/>
              <w:jc w:val="center"/>
              <w:rPr>
                <w:noProof/>
              </w:rPr>
            </w:pPr>
            <w:r>
              <w:rPr>
                <w:noProof/>
              </w:rPr>
              <w:t>Kilometry</w:t>
            </w:r>
          </w:p>
        </w:tc>
        <w:tc>
          <w:tcPr>
            <w:tcW w:w="1003" w:type="dxa"/>
            <w:shd w:val="clear" w:color="auto" w:fill="C6EFCE"/>
            <w:noWrap/>
            <w:vAlign w:val="center"/>
          </w:tcPr>
          <w:p w14:paraId="2D464DC7" w14:textId="77777777" w:rsidR="004C6421" w:rsidRDefault="009D1962">
            <w:pPr>
              <w:pStyle w:val="P68B1DB1-Normal4"/>
              <w:spacing w:line="276" w:lineRule="auto"/>
              <w:jc w:val="center"/>
              <w:rPr>
                <w:noProof/>
              </w:rPr>
            </w:pPr>
            <w:r>
              <w:rPr>
                <w:noProof/>
              </w:rPr>
              <w:t>200</w:t>
            </w:r>
          </w:p>
        </w:tc>
        <w:tc>
          <w:tcPr>
            <w:tcW w:w="1391" w:type="dxa"/>
            <w:shd w:val="clear" w:color="auto" w:fill="C6EFCE"/>
            <w:noWrap/>
            <w:vAlign w:val="center"/>
          </w:tcPr>
          <w:p w14:paraId="7D22A19B" w14:textId="77777777" w:rsidR="004C6421" w:rsidRDefault="009D1962">
            <w:pPr>
              <w:pStyle w:val="P68B1DB1-Normal4"/>
              <w:spacing w:line="276" w:lineRule="auto"/>
              <w:jc w:val="center"/>
              <w:rPr>
                <w:noProof/>
              </w:rPr>
            </w:pPr>
            <w:r>
              <w:rPr>
                <w:noProof/>
              </w:rPr>
              <w:t>1 311</w:t>
            </w:r>
          </w:p>
        </w:tc>
        <w:tc>
          <w:tcPr>
            <w:tcW w:w="975" w:type="dxa"/>
            <w:shd w:val="clear" w:color="auto" w:fill="C6EFCE"/>
            <w:noWrap/>
            <w:vAlign w:val="center"/>
          </w:tcPr>
          <w:p w14:paraId="349EC11A" w14:textId="77777777" w:rsidR="004C6421" w:rsidRDefault="009D1962">
            <w:pPr>
              <w:pStyle w:val="P68B1DB1-Normal4"/>
              <w:spacing w:line="276" w:lineRule="auto"/>
              <w:jc w:val="center"/>
              <w:rPr>
                <w:noProof/>
              </w:rPr>
            </w:pPr>
            <w:r>
              <w:rPr>
                <w:noProof/>
              </w:rPr>
              <w:t>II KW.</w:t>
            </w:r>
          </w:p>
        </w:tc>
        <w:tc>
          <w:tcPr>
            <w:tcW w:w="698" w:type="dxa"/>
            <w:shd w:val="clear" w:color="auto" w:fill="C6EFCE"/>
            <w:noWrap/>
            <w:vAlign w:val="center"/>
          </w:tcPr>
          <w:p w14:paraId="4962DDC8" w14:textId="77777777" w:rsidR="004C6421" w:rsidRDefault="009D1962">
            <w:pPr>
              <w:pStyle w:val="P68B1DB1-Normal4"/>
              <w:spacing w:line="276" w:lineRule="auto"/>
              <w:jc w:val="center"/>
              <w:rPr>
                <w:noProof/>
              </w:rPr>
            </w:pPr>
            <w:r>
              <w:rPr>
                <w:noProof/>
              </w:rPr>
              <w:t>2026</w:t>
            </w:r>
          </w:p>
        </w:tc>
        <w:tc>
          <w:tcPr>
            <w:tcW w:w="3770" w:type="dxa"/>
            <w:shd w:val="clear" w:color="auto" w:fill="C6EFCE"/>
            <w:noWrap/>
            <w:vAlign w:val="center"/>
          </w:tcPr>
          <w:p w14:paraId="70E32B9A" w14:textId="77777777" w:rsidR="004C6421" w:rsidRDefault="009D1962">
            <w:pPr>
              <w:pStyle w:val="P68B1DB1-Normal4"/>
              <w:spacing w:after="120"/>
              <w:rPr>
                <w:noProof/>
              </w:rPr>
            </w:pPr>
            <w:r>
              <w:rPr>
                <w:noProof/>
              </w:rPr>
              <w:t>Ukończenie co najmniej 365 km pasów rowerowych na obszarach metropolitalnych (jak określono w opisie środka) lub w miastach przyjmujących uniwersytety i co najmniej 746 km ścieżek rowerowych, zgodnie z ustawą nr 208 z dnia 28 grudnia 2015 r.</w:t>
            </w:r>
          </w:p>
        </w:tc>
      </w:tr>
      <w:tr w:rsidR="004C6421" w14:paraId="0D34AB55" w14:textId="77777777">
        <w:trPr>
          <w:trHeight w:val="309"/>
          <w:jc w:val="center"/>
        </w:trPr>
        <w:tc>
          <w:tcPr>
            <w:tcW w:w="1101" w:type="dxa"/>
            <w:shd w:val="clear" w:color="auto" w:fill="C6EFCE"/>
            <w:noWrap/>
            <w:vAlign w:val="center"/>
          </w:tcPr>
          <w:p w14:paraId="3F55D528" w14:textId="77777777" w:rsidR="004C6421" w:rsidRDefault="009D1962">
            <w:pPr>
              <w:pStyle w:val="P68B1DB1-Normal4"/>
              <w:spacing w:line="276" w:lineRule="auto"/>
              <w:jc w:val="center"/>
              <w:rPr>
                <w:noProof/>
              </w:rPr>
            </w:pPr>
            <w:r>
              <w:rPr>
                <w:noProof/>
              </w:rPr>
              <w:t>M2C2-27</w:t>
            </w:r>
          </w:p>
        </w:tc>
        <w:tc>
          <w:tcPr>
            <w:tcW w:w="1682" w:type="dxa"/>
            <w:shd w:val="clear" w:color="auto" w:fill="C6EFCE"/>
            <w:noWrap/>
            <w:vAlign w:val="center"/>
          </w:tcPr>
          <w:p w14:paraId="5ADF388B" w14:textId="77777777" w:rsidR="004C6421" w:rsidRDefault="009D1962">
            <w:pPr>
              <w:pStyle w:val="P68B1DB1-Normal4"/>
              <w:spacing w:line="276" w:lineRule="auto"/>
              <w:jc w:val="center"/>
              <w:rPr>
                <w:noProof/>
              </w:rPr>
            </w:pPr>
            <w:r>
              <w:rPr>
                <w:noProof/>
              </w:rPr>
              <w:t>Inwestycja 4.3 Instalacja infrastruktury ładowania</w:t>
            </w:r>
          </w:p>
        </w:tc>
        <w:tc>
          <w:tcPr>
            <w:tcW w:w="1110" w:type="dxa"/>
            <w:shd w:val="clear" w:color="auto" w:fill="C6EFCE"/>
            <w:noWrap/>
            <w:vAlign w:val="center"/>
          </w:tcPr>
          <w:p w14:paraId="4089249B" w14:textId="6EF07C9A" w:rsidR="004C6421" w:rsidRDefault="00CC179E">
            <w:pPr>
              <w:pStyle w:val="P68B1DB1-Normal4"/>
              <w:spacing w:line="276" w:lineRule="auto"/>
              <w:jc w:val="center"/>
              <w:rPr>
                <w:noProof/>
              </w:rPr>
            </w:pPr>
            <w:r>
              <w:rPr>
                <w:noProof/>
              </w:rPr>
              <w:t>Milowy</w:t>
            </w:r>
          </w:p>
        </w:tc>
        <w:tc>
          <w:tcPr>
            <w:tcW w:w="1391" w:type="dxa"/>
            <w:shd w:val="clear" w:color="auto" w:fill="C6EFCE"/>
            <w:noWrap/>
            <w:vAlign w:val="center"/>
          </w:tcPr>
          <w:p w14:paraId="684E2EAA" w14:textId="77777777" w:rsidR="004C6421" w:rsidRDefault="009D1962">
            <w:pPr>
              <w:pStyle w:val="P68B1DB1-Normal4"/>
              <w:spacing w:line="276" w:lineRule="auto"/>
              <w:jc w:val="center"/>
              <w:rPr>
                <w:noProof/>
              </w:rPr>
            </w:pPr>
            <w:r>
              <w:rPr>
                <w:noProof/>
              </w:rPr>
              <w:t>Udzielanie wszystkich zamówień publicznych na instalację infrastruktury ładowania M1</w:t>
            </w:r>
          </w:p>
        </w:tc>
        <w:tc>
          <w:tcPr>
            <w:tcW w:w="1253" w:type="dxa"/>
            <w:shd w:val="clear" w:color="auto" w:fill="C6EFCE"/>
            <w:noWrap/>
            <w:vAlign w:val="center"/>
          </w:tcPr>
          <w:p w14:paraId="1A61203A" w14:textId="77777777" w:rsidR="004C6421" w:rsidRDefault="009D1962">
            <w:pPr>
              <w:pStyle w:val="P68B1DB1-Normal4"/>
              <w:spacing w:line="276" w:lineRule="auto"/>
              <w:jc w:val="center"/>
              <w:rPr>
                <w:noProof/>
              </w:rPr>
            </w:pPr>
            <w:r>
              <w:rPr>
                <w:noProof/>
              </w:rPr>
              <w:t>Powiadomienie o udzieleniu wszystkich zamówień publicznych na instalację infrastruktury ładowania</w:t>
            </w:r>
          </w:p>
        </w:tc>
        <w:tc>
          <w:tcPr>
            <w:tcW w:w="1388" w:type="dxa"/>
            <w:shd w:val="clear" w:color="auto" w:fill="C6EFCE"/>
            <w:noWrap/>
            <w:vAlign w:val="center"/>
          </w:tcPr>
          <w:p w14:paraId="1B1E1D33" w14:textId="77777777" w:rsidR="004C6421" w:rsidRDefault="009D1962">
            <w:pPr>
              <w:pStyle w:val="P68B1DB1-Normal4"/>
              <w:spacing w:line="276" w:lineRule="auto"/>
              <w:jc w:val="center"/>
              <w:rPr>
                <w:noProof/>
              </w:rPr>
            </w:pPr>
            <w:r>
              <w:rPr>
                <w:noProof/>
              </w:rPr>
              <w:t>NIE DOT.</w:t>
            </w:r>
          </w:p>
        </w:tc>
        <w:tc>
          <w:tcPr>
            <w:tcW w:w="1003" w:type="dxa"/>
            <w:shd w:val="clear" w:color="auto" w:fill="C6EFCE"/>
            <w:noWrap/>
            <w:vAlign w:val="center"/>
          </w:tcPr>
          <w:p w14:paraId="6D52F5FB" w14:textId="77777777" w:rsidR="004C6421" w:rsidRDefault="009D1962">
            <w:pPr>
              <w:pStyle w:val="P68B1DB1-Normal4"/>
              <w:spacing w:line="276" w:lineRule="auto"/>
              <w:jc w:val="center"/>
              <w:rPr>
                <w:noProof/>
              </w:rPr>
            </w:pPr>
            <w:r>
              <w:rPr>
                <w:noProof/>
              </w:rPr>
              <w:t>NIE DOT.</w:t>
            </w:r>
          </w:p>
        </w:tc>
        <w:tc>
          <w:tcPr>
            <w:tcW w:w="1391" w:type="dxa"/>
            <w:shd w:val="clear" w:color="auto" w:fill="C6EFCE"/>
            <w:noWrap/>
            <w:vAlign w:val="center"/>
          </w:tcPr>
          <w:p w14:paraId="22B390D3" w14:textId="77777777" w:rsidR="004C6421" w:rsidRDefault="009D1962">
            <w:pPr>
              <w:pStyle w:val="P68B1DB1-Normal4"/>
              <w:spacing w:line="276" w:lineRule="auto"/>
              <w:jc w:val="center"/>
              <w:rPr>
                <w:noProof/>
              </w:rPr>
            </w:pPr>
            <w:r>
              <w:rPr>
                <w:noProof/>
              </w:rPr>
              <w:t>NIE DOT.</w:t>
            </w:r>
          </w:p>
        </w:tc>
        <w:tc>
          <w:tcPr>
            <w:tcW w:w="975" w:type="dxa"/>
            <w:shd w:val="clear" w:color="auto" w:fill="C6EFCE"/>
            <w:noWrap/>
            <w:vAlign w:val="center"/>
          </w:tcPr>
          <w:p w14:paraId="5DC7C531" w14:textId="77777777" w:rsidR="004C6421" w:rsidRDefault="009D1962">
            <w:pPr>
              <w:pStyle w:val="P68B1DB1-Normal4"/>
              <w:spacing w:line="276" w:lineRule="auto"/>
              <w:jc w:val="center"/>
              <w:rPr>
                <w:noProof/>
              </w:rPr>
            </w:pPr>
            <w:r>
              <w:rPr>
                <w:noProof/>
              </w:rPr>
              <w:t>II KW.</w:t>
            </w:r>
          </w:p>
        </w:tc>
        <w:tc>
          <w:tcPr>
            <w:tcW w:w="698" w:type="dxa"/>
            <w:shd w:val="clear" w:color="auto" w:fill="C6EFCE"/>
            <w:noWrap/>
            <w:vAlign w:val="center"/>
          </w:tcPr>
          <w:p w14:paraId="53E4E122" w14:textId="77777777" w:rsidR="004C6421" w:rsidRDefault="009D1962">
            <w:pPr>
              <w:pStyle w:val="P68B1DB1-Normal4"/>
              <w:spacing w:line="276" w:lineRule="auto"/>
              <w:jc w:val="center"/>
              <w:rPr>
                <w:noProof/>
              </w:rPr>
            </w:pPr>
            <w:r>
              <w:rPr>
                <w:noProof/>
              </w:rPr>
              <w:t>2023</w:t>
            </w:r>
          </w:p>
        </w:tc>
        <w:tc>
          <w:tcPr>
            <w:tcW w:w="3770" w:type="dxa"/>
            <w:shd w:val="clear" w:color="auto" w:fill="C6EFCE"/>
            <w:noWrap/>
            <w:vAlign w:val="center"/>
          </w:tcPr>
          <w:p w14:paraId="0E9DCA9E" w14:textId="77777777" w:rsidR="004C6421" w:rsidRDefault="009D1962">
            <w:pPr>
              <w:pStyle w:val="P68B1DB1-Normal4"/>
              <w:spacing w:after="120"/>
              <w:rPr>
                <w:noProof/>
              </w:rPr>
            </w:pPr>
            <w:r>
              <w:rPr>
                <w:noProof/>
              </w:rPr>
              <w:t>Powiadomienie o udzieleniu wszystkich zamówień publicznych na budowę co najmniej 4700 stacji ładowania na obszarach miejskich (wszystkie gminy)</w:t>
            </w:r>
          </w:p>
          <w:p w14:paraId="5672CD23" w14:textId="77777777" w:rsidR="004C6421" w:rsidRDefault="009D1962">
            <w:pPr>
              <w:pStyle w:val="P68B1DB1-Normal4"/>
              <w:spacing w:after="120"/>
              <w:rPr>
                <w:noProof/>
              </w:rPr>
            </w:pPr>
            <w:r>
              <w:rPr>
                <w:noProof/>
              </w:rPr>
              <w:t>Projekt może również obejmować pilotażowe stacje ładowania mające na celu magazynowanie energii.</w:t>
            </w:r>
          </w:p>
        </w:tc>
      </w:tr>
      <w:tr w:rsidR="004C6421" w14:paraId="1BA12A08" w14:textId="77777777">
        <w:trPr>
          <w:trHeight w:val="309"/>
          <w:jc w:val="center"/>
        </w:trPr>
        <w:tc>
          <w:tcPr>
            <w:tcW w:w="1101" w:type="dxa"/>
            <w:shd w:val="clear" w:color="auto" w:fill="C6EFCE"/>
            <w:noWrap/>
            <w:vAlign w:val="center"/>
          </w:tcPr>
          <w:p w14:paraId="389D99C5" w14:textId="77777777" w:rsidR="004C6421" w:rsidRDefault="009D1962">
            <w:pPr>
              <w:pStyle w:val="P68B1DB1-Normal4"/>
              <w:spacing w:line="276" w:lineRule="auto"/>
              <w:jc w:val="center"/>
              <w:rPr>
                <w:noProof/>
              </w:rPr>
            </w:pPr>
            <w:r>
              <w:rPr>
                <w:noProof/>
              </w:rPr>
              <w:t>M2C2-28</w:t>
            </w:r>
          </w:p>
        </w:tc>
        <w:tc>
          <w:tcPr>
            <w:tcW w:w="1682" w:type="dxa"/>
            <w:shd w:val="clear" w:color="auto" w:fill="C6EFCE"/>
            <w:noWrap/>
            <w:vAlign w:val="center"/>
          </w:tcPr>
          <w:p w14:paraId="1120F5C2" w14:textId="77777777" w:rsidR="004C6421" w:rsidRDefault="009D1962">
            <w:pPr>
              <w:pStyle w:val="P68B1DB1-Normal4"/>
              <w:spacing w:line="276" w:lineRule="auto"/>
              <w:jc w:val="center"/>
              <w:rPr>
                <w:noProof/>
              </w:rPr>
            </w:pPr>
            <w:r>
              <w:rPr>
                <w:noProof/>
              </w:rPr>
              <w:t>Inwestycja 4.3 Instalacja infrastruktury ładowania</w:t>
            </w:r>
          </w:p>
        </w:tc>
        <w:tc>
          <w:tcPr>
            <w:tcW w:w="1110" w:type="dxa"/>
            <w:shd w:val="clear" w:color="auto" w:fill="C6EFCE"/>
            <w:noWrap/>
            <w:vAlign w:val="center"/>
          </w:tcPr>
          <w:p w14:paraId="3880C920" w14:textId="1AE9021B" w:rsidR="004C6421" w:rsidRDefault="00CC179E">
            <w:pPr>
              <w:pStyle w:val="P68B1DB1-Normal4"/>
              <w:spacing w:line="276" w:lineRule="auto"/>
              <w:jc w:val="center"/>
              <w:rPr>
                <w:noProof/>
              </w:rPr>
            </w:pPr>
            <w:r>
              <w:rPr>
                <w:noProof/>
              </w:rPr>
              <w:t>Milowy</w:t>
            </w:r>
          </w:p>
        </w:tc>
        <w:tc>
          <w:tcPr>
            <w:tcW w:w="1391" w:type="dxa"/>
            <w:shd w:val="clear" w:color="auto" w:fill="C6EFCE"/>
            <w:noWrap/>
            <w:vAlign w:val="center"/>
          </w:tcPr>
          <w:p w14:paraId="3FB0AC90" w14:textId="77777777" w:rsidR="004C6421" w:rsidRDefault="009D1962">
            <w:pPr>
              <w:pStyle w:val="P68B1DB1-Normal4"/>
              <w:spacing w:line="276" w:lineRule="auto"/>
              <w:jc w:val="center"/>
              <w:rPr>
                <w:noProof/>
              </w:rPr>
            </w:pPr>
            <w:r>
              <w:rPr>
                <w:noProof/>
              </w:rPr>
              <w:t>Udzielanie wszystkich zamówień publicznych na instalację infrastruktury ładowania M2</w:t>
            </w:r>
          </w:p>
        </w:tc>
        <w:tc>
          <w:tcPr>
            <w:tcW w:w="1253" w:type="dxa"/>
            <w:shd w:val="clear" w:color="auto" w:fill="C6EFCE"/>
            <w:noWrap/>
            <w:vAlign w:val="center"/>
          </w:tcPr>
          <w:p w14:paraId="77D8E547" w14:textId="77777777" w:rsidR="004C6421" w:rsidRDefault="009D1962">
            <w:pPr>
              <w:pStyle w:val="P68B1DB1-Normal4"/>
              <w:spacing w:line="276" w:lineRule="auto"/>
              <w:jc w:val="center"/>
              <w:rPr>
                <w:noProof/>
              </w:rPr>
            </w:pPr>
            <w:r>
              <w:rPr>
                <w:noProof/>
              </w:rPr>
              <w:t>Powiadomienie o udzieleniu wszystkich zamówień publicznych na instalację infrastruktury ładowania</w:t>
            </w:r>
          </w:p>
        </w:tc>
        <w:tc>
          <w:tcPr>
            <w:tcW w:w="1388" w:type="dxa"/>
            <w:shd w:val="clear" w:color="auto" w:fill="C6EFCE"/>
            <w:noWrap/>
            <w:vAlign w:val="center"/>
          </w:tcPr>
          <w:p w14:paraId="56E0D43F" w14:textId="77777777" w:rsidR="004C6421" w:rsidRDefault="009D1962">
            <w:pPr>
              <w:pStyle w:val="P68B1DB1-Normal4"/>
              <w:spacing w:line="276" w:lineRule="auto"/>
              <w:jc w:val="center"/>
              <w:rPr>
                <w:noProof/>
              </w:rPr>
            </w:pPr>
            <w:r>
              <w:rPr>
                <w:noProof/>
              </w:rPr>
              <w:t>NIE DOT.</w:t>
            </w:r>
          </w:p>
        </w:tc>
        <w:tc>
          <w:tcPr>
            <w:tcW w:w="1003" w:type="dxa"/>
            <w:shd w:val="clear" w:color="auto" w:fill="C6EFCE"/>
            <w:noWrap/>
            <w:vAlign w:val="center"/>
          </w:tcPr>
          <w:p w14:paraId="0A3B4DAE" w14:textId="77777777" w:rsidR="004C6421" w:rsidRDefault="009D1962">
            <w:pPr>
              <w:pStyle w:val="P68B1DB1-Normal4"/>
              <w:spacing w:line="276" w:lineRule="auto"/>
              <w:jc w:val="center"/>
              <w:rPr>
                <w:noProof/>
              </w:rPr>
            </w:pPr>
            <w:r>
              <w:rPr>
                <w:noProof/>
              </w:rPr>
              <w:t>NIE DOT.</w:t>
            </w:r>
          </w:p>
        </w:tc>
        <w:tc>
          <w:tcPr>
            <w:tcW w:w="1391" w:type="dxa"/>
            <w:shd w:val="clear" w:color="auto" w:fill="C6EFCE"/>
            <w:noWrap/>
            <w:vAlign w:val="center"/>
          </w:tcPr>
          <w:p w14:paraId="201FC90E" w14:textId="77777777" w:rsidR="004C6421" w:rsidRDefault="009D1962">
            <w:pPr>
              <w:pStyle w:val="P68B1DB1-Normal4"/>
              <w:spacing w:line="276" w:lineRule="auto"/>
              <w:jc w:val="center"/>
              <w:rPr>
                <w:noProof/>
              </w:rPr>
            </w:pPr>
            <w:r>
              <w:rPr>
                <w:noProof/>
              </w:rPr>
              <w:t>NIE DOT.</w:t>
            </w:r>
          </w:p>
        </w:tc>
        <w:tc>
          <w:tcPr>
            <w:tcW w:w="975" w:type="dxa"/>
            <w:shd w:val="clear" w:color="auto" w:fill="C6EFCE"/>
            <w:noWrap/>
            <w:vAlign w:val="center"/>
          </w:tcPr>
          <w:p w14:paraId="7E70E471" w14:textId="7802777C" w:rsidR="004C6421" w:rsidRDefault="00CC179E">
            <w:pPr>
              <w:pStyle w:val="P68B1DB1-Normal4"/>
              <w:spacing w:line="276" w:lineRule="auto"/>
              <w:jc w:val="center"/>
              <w:rPr>
                <w:noProof/>
              </w:rPr>
            </w:pPr>
            <w:r>
              <w:rPr>
                <w:noProof/>
              </w:rPr>
              <w:t>KW. 4</w:t>
            </w:r>
          </w:p>
        </w:tc>
        <w:tc>
          <w:tcPr>
            <w:tcW w:w="698" w:type="dxa"/>
            <w:shd w:val="clear" w:color="auto" w:fill="C6EFCE"/>
            <w:noWrap/>
            <w:vAlign w:val="center"/>
          </w:tcPr>
          <w:p w14:paraId="4BF8B265" w14:textId="77777777" w:rsidR="004C6421" w:rsidRDefault="009D1962">
            <w:pPr>
              <w:pStyle w:val="P68B1DB1-Normal4"/>
              <w:spacing w:line="276" w:lineRule="auto"/>
              <w:jc w:val="center"/>
              <w:rPr>
                <w:noProof/>
              </w:rPr>
            </w:pPr>
            <w:r>
              <w:rPr>
                <w:noProof/>
              </w:rPr>
              <w:t>2024</w:t>
            </w:r>
          </w:p>
        </w:tc>
        <w:tc>
          <w:tcPr>
            <w:tcW w:w="3770" w:type="dxa"/>
            <w:shd w:val="clear" w:color="auto" w:fill="C6EFCE"/>
            <w:noWrap/>
            <w:vAlign w:val="center"/>
          </w:tcPr>
          <w:p w14:paraId="1EE0A389" w14:textId="77777777" w:rsidR="004C6421" w:rsidRDefault="009D1962">
            <w:pPr>
              <w:pStyle w:val="P68B1DB1-Normal4"/>
              <w:spacing w:after="120"/>
              <w:rPr>
                <w:noProof/>
              </w:rPr>
            </w:pPr>
            <w:r>
              <w:rPr>
                <w:noProof/>
              </w:rPr>
              <w:t>Udzielenie zamówienia na budowę 7500 punktów infrastruktury szybkiego ładowania publicznego wzdłuż drogi i co najmniej 9055 punktów na obszarach miejskich (wszystkie gminy).</w:t>
            </w:r>
          </w:p>
          <w:p w14:paraId="2AEE8641" w14:textId="77777777" w:rsidR="004C6421" w:rsidRDefault="009D1962">
            <w:pPr>
              <w:pStyle w:val="P68B1DB1-Normal4"/>
              <w:spacing w:after="120"/>
              <w:rPr>
                <w:noProof/>
              </w:rPr>
            </w:pPr>
            <w:r>
              <w:rPr>
                <w:noProof/>
              </w:rPr>
              <w:t>Projekt może również obejmować pilotażowe stacje ładowania mające na celu magazynowanie energii.</w:t>
            </w:r>
          </w:p>
        </w:tc>
      </w:tr>
      <w:tr w:rsidR="004C6421" w14:paraId="122F9D11" w14:textId="77777777">
        <w:trPr>
          <w:trHeight w:val="309"/>
          <w:jc w:val="center"/>
        </w:trPr>
        <w:tc>
          <w:tcPr>
            <w:tcW w:w="1101" w:type="dxa"/>
            <w:shd w:val="clear" w:color="auto" w:fill="C6EFCE"/>
            <w:noWrap/>
            <w:vAlign w:val="center"/>
          </w:tcPr>
          <w:p w14:paraId="10D63426" w14:textId="77777777" w:rsidR="004C6421" w:rsidRDefault="009D1962">
            <w:pPr>
              <w:pStyle w:val="P68B1DB1-Normal4"/>
              <w:spacing w:line="276" w:lineRule="auto"/>
              <w:jc w:val="center"/>
              <w:rPr>
                <w:noProof/>
              </w:rPr>
            </w:pPr>
            <w:r>
              <w:rPr>
                <w:noProof/>
              </w:rPr>
              <w:t>M2C2-29</w:t>
            </w:r>
          </w:p>
        </w:tc>
        <w:tc>
          <w:tcPr>
            <w:tcW w:w="1682" w:type="dxa"/>
            <w:shd w:val="clear" w:color="auto" w:fill="C6EFCE"/>
            <w:noWrap/>
            <w:vAlign w:val="center"/>
          </w:tcPr>
          <w:p w14:paraId="049B54F9" w14:textId="77777777" w:rsidR="004C6421" w:rsidRDefault="009D1962">
            <w:pPr>
              <w:pStyle w:val="P68B1DB1-Normal4"/>
              <w:spacing w:line="276" w:lineRule="auto"/>
              <w:jc w:val="center"/>
              <w:rPr>
                <w:noProof/>
              </w:rPr>
            </w:pPr>
            <w:r>
              <w:rPr>
                <w:noProof/>
              </w:rPr>
              <w:t>Inwestycja 4.3 Instalacja infrastruktury ładowania</w:t>
            </w:r>
          </w:p>
        </w:tc>
        <w:tc>
          <w:tcPr>
            <w:tcW w:w="1110" w:type="dxa"/>
            <w:shd w:val="clear" w:color="auto" w:fill="C6EFCE"/>
            <w:noWrap/>
            <w:vAlign w:val="center"/>
          </w:tcPr>
          <w:p w14:paraId="56178CA7" w14:textId="77777777" w:rsidR="004C6421" w:rsidRDefault="009D1962">
            <w:pPr>
              <w:pStyle w:val="P68B1DB1-Normal4"/>
              <w:spacing w:line="276" w:lineRule="auto"/>
              <w:jc w:val="center"/>
              <w:rPr>
                <w:noProof/>
              </w:rPr>
            </w:pPr>
            <w:r>
              <w:rPr>
                <w:noProof/>
              </w:rPr>
              <w:t>Cel</w:t>
            </w:r>
          </w:p>
        </w:tc>
        <w:tc>
          <w:tcPr>
            <w:tcW w:w="1391" w:type="dxa"/>
            <w:shd w:val="clear" w:color="auto" w:fill="C6EFCE"/>
            <w:noWrap/>
            <w:vAlign w:val="center"/>
          </w:tcPr>
          <w:p w14:paraId="607BC559" w14:textId="77777777" w:rsidR="004C6421" w:rsidRDefault="009D1962">
            <w:pPr>
              <w:pStyle w:val="P68B1DB1-Normal4"/>
              <w:spacing w:line="276" w:lineRule="auto"/>
              <w:jc w:val="center"/>
              <w:rPr>
                <w:noProof/>
              </w:rPr>
            </w:pPr>
            <w:r>
              <w:rPr>
                <w:noProof/>
              </w:rPr>
              <w:t>Liczba stacji szybkiego ładowania wzdłuż dróg wolnocłowych</w:t>
            </w:r>
          </w:p>
        </w:tc>
        <w:tc>
          <w:tcPr>
            <w:tcW w:w="1253" w:type="dxa"/>
            <w:shd w:val="clear" w:color="auto" w:fill="C6EFCE"/>
            <w:noWrap/>
            <w:vAlign w:val="center"/>
          </w:tcPr>
          <w:p w14:paraId="074EC9A4" w14:textId="77777777" w:rsidR="004C6421" w:rsidRDefault="009D1962">
            <w:pPr>
              <w:pStyle w:val="P68B1DB1-Normal4"/>
              <w:spacing w:line="276" w:lineRule="auto"/>
              <w:jc w:val="center"/>
              <w:rPr>
                <w:noProof/>
              </w:rPr>
            </w:pPr>
            <w:r>
              <w:rPr>
                <w:noProof/>
              </w:rPr>
              <w:t>NIE DOT.</w:t>
            </w:r>
          </w:p>
        </w:tc>
        <w:tc>
          <w:tcPr>
            <w:tcW w:w="1388" w:type="dxa"/>
            <w:shd w:val="clear" w:color="auto" w:fill="C6EFCE"/>
            <w:noWrap/>
            <w:vAlign w:val="center"/>
          </w:tcPr>
          <w:p w14:paraId="749A580A" w14:textId="77777777" w:rsidR="004C6421" w:rsidRDefault="009D1962">
            <w:pPr>
              <w:pStyle w:val="P68B1DB1-Normal4"/>
              <w:spacing w:line="276" w:lineRule="auto"/>
              <w:jc w:val="center"/>
              <w:rPr>
                <w:noProof/>
              </w:rPr>
            </w:pPr>
            <w:r>
              <w:rPr>
                <w:noProof/>
              </w:rPr>
              <w:t>Numer</w:t>
            </w:r>
          </w:p>
        </w:tc>
        <w:tc>
          <w:tcPr>
            <w:tcW w:w="1003" w:type="dxa"/>
            <w:shd w:val="clear" w:color="auto" w:fill="C6EFCE"/>
            <w:noWrap/>
            <w:vAlign w:val="center"/>
          </w:tcPr>
          <w:p w14:paraId="60307210" w14:textId="77777777" w:rsidR="004C6421" w:rsidRDefault="009D1962">
            <w:pPr>
              <w:pStyle w:val="P68B1DB1-Normal4"/>
              <w:spacing w:line="276" w:lineRule="auto"/>
              <w:jc w:val="center"/>
              <w:rPr>
                <w:noProof/>
              </w:rPr>
            </w:pPr>
            <w:r>
              <w:rPr>
                <w:noProof/>
              </w:rPr>
              <w:t>0</w:t>
            </w:r>
          </w:p>
        </w:tc>
        <w:tc>
          <w:tcPr>
            <w:tcW w:w="1391" w:type="dxa"/>
            <w:shd w:val="clear" w:color="auto" w:fill="C6EFCE"/>
            <w:noWrap/>
            <w:vAlign w:val="center"/>
          </w:tcPr>
          <w:p w14:paraId="3D94C886" w14:textId="77777777" w:rsidR="004C6421" w:rsidRDefault="009D1962">
            <w:pPr>
              <w:pStyle w:val="P68B1DB1-Normal4"/>
              <w:spacing w:line="276" w:lineRule="auto"/>
              <w:jc w:val="center"/>
              <w:rPr>
                <w:noProof/>
              </w:rPr>
            </w:pPr>
            <w:r>
              <w:rPr>
                <w:noProof/>
              </w:rPr>
              <w:t>2 500</w:t>
            </w:r>
          </w:p>
        </w:tc>
        <w:tc>
          <w:tcPr>
            <w:tcW w:w="975" w:type="dxa"/>
            <w:shd w:val="clear" w:color="auto" w:fill="C6EFCE"/>
            <w:noWrap/>
            <w:vAlign w:val="center"/>
          </w:tcPr>
          <w:p w14:paraId="0FDD8810" w14:textId="11AEBA4C" w:rsidR="004C6421" w:rsidRDefault="00CC179E">
            <w:pPr>
              <w:pStyle w:val="P68B1DB1-Normal4"/>
              <w:spacing w:line="276" w:lineRule="auto"/>
              <w:jc w:val="center"/>
              <w:rPr>
                <w:noProof/>
              </w:rPr>
            </w:pPr>
            <w:r>
              <w:rPr>
                <w:noProof/>
              </w:rPr>
              <w:t>KW. 4</w:t>
            </w:r>
          </w:p>
        </w:tc>
        <w:tc>
          <w:tcPr>
            <w:tcW w:w="698" w:type="dxa"/>
            <w:shd w:val="clear" w:color="auto" w:fill="C6EFCE"/>
            <w:noWrap/>
            <w:vAlign w:val="center"/>
          </w:tcPr>
          <w:p w14:paraId="40B976F3" w14:textId="77777777" w:rsidR="004C6421" w:rsidRDefault="009D1962">
            <w:pPr>
              <w:pStyle w:val="P68B1DB1-Normal4"/>
              <w:spacing w:line="276" w:lineRule="auto"/>
              <w:jc w:val="center"/>
              <w:rPr>
                <w:noProof/>
              </w:rPr>
            </w:pPr>
            <w:r>
              <w:rPr>
                <w:noProof/>
              </w:rPr>
              <w:t>2025</w:t>
            </w:r>
          </w:p>
        </w:tc>
        <w:tc>
          <w:tcPr>
            <w:tcW w:w="3770" w:type="dxa"/>
            <w:shd w:val="clear" w:color="auto" w:fill="C6EFCE"/>
            <w:noWrap/>
            <w:vAlign w:val="center"/>
          </w:tcPr>
          <w:p w14:paraId="26151767" w14:textId="77777777" w:rsidR="004C6421" w:rsidRDefault="009D1962">
            <w:pPr>
              <w:pStyle w:val="P68B1DB1-Normal4"/>
              <w:spacing w:after="120"/>
              <w:rPr>
                <w:noProof/>
              </w:rPr>
            </w:pPr>
            <w:r>
              <w:rPr>
                <w:noProof/>
              </w:rPr>
              <w:t>Uruchomienie co najmniej 2500 publicznych punktów infrastruktury szybkiego ładowania dla pojazdów elektrycznych o mocy co najmniej 175 kW.</w:t>
            </w:r>
          </w:p>
        </w:tc>
      </w:tr>
      <w:tr w:rsidR="004C6421" w14:paraId="43F6F732" w14:textId="77777777">
        <w:trPr>
          <w:trHeight w:val="309"/>
          <w:jc w:val="center"/>
        </w:trPr>
        <w:tc>
          <w:tcPr>
            <w:tcW w:w="1101" w:type="dxa"/>
            <w:shd w:val="clear" w:color="auto" w:fill="C6EFCE"/>
            <w:noWrap/>
            <w:vAlign w:val="center"/>
          </w:tcPr>
          <w:p w14:paraId="47A95610" w14:textId="77777777" w:rsidR="004C6421" w:rsidRDefault="009D1962">
            <w:pPr>
              <w:pStyle w:val="P68B1DB1-Normal4"/>
              <w:spacing w:line="276" w:lineRule="auto"/>
              <w:jc w:val="center"/>
              <w:rPr>
                <w:noProof/>
              </w:rPr>
            </w:pPr>
            <w:r>
              <w:rPr>
                <w:noProof/>
              </w:rPr>
              <w:t>M2C2-29bis</w:t>
            </w:r>
          </w:p>
        </w:tc>
        <w:tc>
          <w:tcPr>
            <w:tcW w:w="1682" w:type="dxa"/>
            <w:shd w:val="clear" w:color="auto" w:fill="C6EFCE"/>
            <w:noWrap/>
            <w:vAlign w:val="center"/>
          </w:tcPr>
          <w:p w14:paraId="46578931" w14:textId="77777777" w:rsidR="004C6421" w:rsidRDefault="009D1962">
            <w:pPr>
              <w:pStyle w:val="P68B1DB1-Normal4"/>
              <w:spacing w:line="276" w:lineRule="auto"/>
              <w:jc w:val="center"/>
              <w:rPr>
                <w:noProof/>
              </w:rPr>
            </w:pPr>
            <w:r>
              <w:rPr>
                <w:noProof/>
              </w:rPr>
              <w:t>Inwestycja 4.3 Instalacja infrastruktury ładowania</w:t>
            </w:r>
          </w:p>
        </w:tc>
        <w:tc>
          <w:tcPr>
            <w:tcW w:w="1110" w:type="dxa"/>
            <w:shd w:val="clear" w:color="auto" w:fill="C6EFCE"/>
            <w:noWrap/>
            <w:vAlign w:val="center"/>
          </w:tcPr>
          <w:p w14:paraId="2736ED6D" w14:textId="77777777" w:rsidR="004C6421" w:rsidRDefault="009D1962">
            <w:pPr>
              <w:pStyle w:val="P68B1DB1-Normal4"/>
              <w:spacing w:line="276" w:lineRule="auto"/>
              <w:jc w:val="center"/>
              <w:rPr>
                <w:noProof/>
              </w:rPr>
            </w:pPr>
            <w:r>
              <w:rPr>
                <w:noProof/>
              </w:rPr>
              <w:t>Cel</w:t>
            </w:r>
          </w:p>
        </w:tc>
        <w:tc>
          <w:tcPr>
            <w:tcW w:w="1391" w:type="dxa"/>
            <w:shd w:val="clear" w:color="auto" w:fill="C6EFCE"/>
            <w:noWrap/>
            <w:vAlign w:val="center"/>
          </w:tcPr>
          <w:p w14:paraId="013F3329" w14:textId="77777777" w:rsidR="004C6421" w:rsidRDefault="009D1962">
            <w:pPr>
              <w:pStyle w:val="P68B1DB1-Normal4"/>
              <w:spacing w:line="276" w:lineRule="auto"/>
              <w:jc w:val="center"/>
              <w:rPr>
                <w:noProof/>
              </w:rPr>
            </w:pPr>
            <w:r>
              <w:rPr>
                <w:noProof/>
              </w:rPr>
              <w:t>Liczba stacji szybkiego ładowania na obszarach miejskich</w:t>
            </w:r>
          </w:p>
        </w:tc>
        <w:tc>
          <w:tcPr>
            <w:tcW w:w="1253" w:type="dxa"/>
            <w:shd w:val="clear" w:color="auto" w:fill="C6EFCE"/>
            <w:noWrap/>
            <w:vAlign w:val="center"/>
          </w:tcPr>
          <w:p w14:paraId="709A6716" w14:textId="77777777" w:rsidR="004C6421" w:rsidRDefault="009D1962">
            <w:pPr>
              <w:pStyle w:val="P68B1DB1-Normal4"/>
              <w:spacing w:line="276" w:lineRule="auto"/>
              <w:jc w:val="center"/>
              <w:rPr>
                <w:noProof/>
              </w:rPr>
            </w:pPr>
            <w:r>
              <w:rPr>
                <w:noProof/>
              </w:rPr>
              <w:t>NIE DOT.</w:t>
            </w:r>
          </w:p>
        </w:tc>
        <w:tc>
          <w:tcPr>
            <w:tcW w:w="1388" w:type="dxa"/>
            <w:shd w:val="clear" w:color="auto" w:fill="C6EFCE"/>
            <w:noWrap/>
            <w:vAlign w:val="center"/>
          </w:tcPr>
          <w:p w14:paraId="6E71A3DD" w14:textId="77777777" w:rsidR="004C6421" w:rsidRDefault="009D1962">
            <w:pPr>
              <w:pStyle w:val="P68B1DB1-Normal4"/>
              <w:spacing w:line="276" w:lineRule="auto"/>
              <w:jc w:val="center"/>
              <w:rPr>
                <w:noProof/>
              </w:rPr>
            </w:pPr>
            <w:r>
              <w:rPr>
                <w:noProof/>
              </w:rPr>
              <w:t>Numer</w:t>
            </w:r>
          </w:p>
        </w:tc>
        <w:tc>
          <w:tcPr>
            <w:tcW w:w="1003" w:type="dxa"/>
            <w:shd w:val="clear" w:color="auto" w:fill="C6EFCE"/>
            <w:noWrap/>
            <w:vAlign w:val="center"/>
          </w:tcPr>
          <w:p w14:paraId="18A837D2" w14:textId="77777777" w:rsidR="004C6421" w:rsidRDefault="009D1962">
            <w:pPr>
              <w:pStyle w:val="P68B1DB1-Normal4"/>
              <w:spacing w:line="276" w:lineRule="auto"/>
              <w:jc w:val="center"/>
              <w:rPr>
                <w:noProof/>
              </w:rPr>
            </w:pPr>
            <w:r>
              <w:rPr>
                <w:noProof/>
              </w:rPr>
              <w:t>0</w:t>
            </w:r>
          </w:p>
        </w:tc>
        <w:tc>
          <w:tcPr>
            <w:tcW w:w="1391" w:type="dxa"/>
            <w:shd w:val="clear" w:color="auto" w:fill="C6EFCE"/>
            <w:noWrap/>
            <w:vAlign w:val="center"/>
          </w:tcPr>
          <w:p w14:paraId="08722160" w14:textId="77777777" w:rsidR="004C6421" w:rsidRDefault="009D1962">
            <w:pPr>
              <w:pStyle w:val="P68B1DB1-Normal4"/>
              <w:spacing w:line="276" w:lineRule="auto"/>
              <w:jc w:val="center"/>
              <w:rPr>
                <w:noProof/>
              </w:rPr>
            </w:pPr>
            <w:r>
              <w:rPr>
                <w:noProof/>
              </w:rPr>
              <w:t>4 700</w:t>
            </w:r>
          </w:p>
        </w:tc>
        <w:tc>
          <w:tcPr>
            <w:tcW w:w="975" w:type="dxa"/>
            <w:shd w:val="clear" w:color="auto" w:fill="C6EFCE"/>
            <w:noWrap/>
            <w:vAlign w:val="center"/>
          </w:tcPr>
          <w:p w14:paraId="1D770830" w14:textId="772DBEF6" w:rsidR="004C6421" w:rsidRDefault="00CC179E">
            <w:pPr>
              <w:pStyle w:val="P68B1DB1-Normal4"/>
              <w:spacing w:line="276" w:lineRule="auto"/>
              <w:jc w:val="center"/>
              <w:rPr>
                <w:noProof/>
              </w:rPr>
            </w:pPr>
            <w:r>
              <w:rPr>
                <w:noProof/>
              </w:rPr>
              <w:t>KW. 4</w:t>
            </w:r>
          </w:p>
        </w:tc>
        <w:tc>
          <w:tcPr>
            <w:tcW w:w="698" w:type="dxa"/>
            <w:shd w:val="clear" w:color="auto" w:fill="C6EFCE"/>
            <w:noWrap/>
            <w:vAlign w:val="center"/>
          </w:tcPr>
          <w:p w14:paraId="7A81E8A2" w14:textId="77777777" w:rsidR="004C6421" w:rsidRDefault="009D1962">
            <w:pPr>
              <w:pStyle w:val="P68B1DB1-Normal4"/>
              <w:spacing w:line="276" w:lineRule="auto"/>
              <w:jc w:val="center"/>
              <w:rPr>
                <w:noProof/>
              </w:rPr>
            </w:pPr>
            <w:r>
              <w:rPr>
                <w:noProof/>
              </w:rPr>
              <w:t>2025</w:t>
            </w:r>
          </w:p>
        </w:tc>
        <w:tc>
          <w:tcPr>
            <w:tcW w:w="3770" w:type="dxa"/>
            <w:shd w:val="clear" w:color="auto" w:fill="C6EFCE"/>
            <w:noWrap/>
            <w:vAlign w:val="center"/>
          </w:tcPr>
          <w:p w14:paraId="64C68ED4" w14:textId="77777777" w:rsidR="004C6421" w:rsidRDefault="009D1962">
            <w:pPr>
              <w:pStyle w:val="P68B1DB1-Normal4"/>
              <w:spacing w:after="120"/>
              <w:rPr>
                <w:noProof/>
              </w:rPr>
            </w:pPr>
            <w:r>
              <w:rPr>
                <w:noProof/>
              </w:rPr>
              <w:t>Uruchomienie co najmniej 4700 publicznych punktów infrastruktury szybkiego ładowania dla pojazdów elektrycznych o mocy co najmniej 90 kW na obszarach miejskich (wszystkie gminy).</w:t>
            </w:r>
          </w:p>
          <w:p w14:paraId="30623E26" w14:textId="77777777" w:rsidR="004C6421" w:rsidRDefault="009D1962">
            <w:pPr>
              <w:pStyle w:val="P68B1DB1-Normal4"/>
              <w:spacing w:after="120"/>
              <w:rPr>
                <w:noProof/>
              </w:rPr>
            </w:pPr>
            <w:r>
              <w:rPr>
                <w:noProof/>
              </w:rPr>
              <w:t>Projekt może również obejmować pilotażowe stacje ładowania mające na celu magazynowanie energii.</w:t>
            </w:r>
          </w:p>
        </w:tc>
      </w:tr>
      <w:tr w:rsidR="004C6421" w14:paraId="6748965F" w14:textId="77777777">
        <w:trPr>
          <w:trHeight w:val="309"/>
          <w:jc w:val="center"/>
        </w:trPr>
        <w:tc>
          <w:tcPr>
            <w:tcW w:w="1101" w:type="dxa"/>
            <w:shd w:val="clear" w:color="auto" w:fill="C6EFCE"/>
            <w:noWrap/>
            <w:vAlign w:val="center"/>
          </w:tcPr>
          <w:p w14:paraId="74760643" w14:textId="77777777" w:rsidR="004C6421" w:rsidRDefault="009D1962">
            <w:pPr>
              <w:pStyle w:val="P68B1DB1-Normal4"/>
              <w:spacing w:line="276" w:lineRule="auto"/>
              <w:jc w:val="center"/>
              <w:rPr>
                <w:noProof/>
              </w:rPr>
            </w:pPr>
            <w:r>
              <w:rPr>
                <w:noProof/>
              </w:rPr>
              <w:t>M2C2-30</w:t>
            </w:r>
          </w:p>
        </w:tc>
        <w:tc>
          <w:tcPr>
            <w:tcW w:w="1682" w:type="dxa"/>
            <w:shd w:val="clear" w:color="auto" w:fill="C6EFCE"/>
            <w:noWrap/>
            <w:vAlign w:val="center"/>
          </w:tcPr>
          <w:p w14:paraId="6EDB3505" w14:textId="77777777" w:rsidR="004C6421" w:rsidRDefault="009D1962">
            <w:pPr>
              <w:pStyle w:val="P68B1DB1-Normal4"/>
              <w:spacing w:line="276" w:lineRule="auto"/>
              <w:jc w:val="center"/>
              <w:rPr>
                <w:noProof/>
              </w:rPr>
            </w:pPr>
            <w:r>
              <w:rPr>
                <w:noProof/>
              </w:rPr>
              <w:t>Inwestycja 4.3: Instalacja infrastruktury ładowania</w:t>
            </w:r>
          </w:p>
        </w:tc>
        <w:tc>
          <w:tcPr>
            <w:tcW w:w="1110" w:type="dxa"/>
            <w:shd w:val="clear" w:color="auto" w:fill="C6EFCE"/>
            <w:noWrap/>
            <w:vAlign w:val="center"/>
          </w:tcPr>
          <w:p w14:paraId="6A8DE43E" w14:textId="77777777" w:rsidR="004C6421" w:rsidRDefault="009D1962">
            <w:pPr>
              <w:pStyle w:val="P68B1DB1-Normal4"/>
              <w:spacing w:line="276" w:lineRule="auto"/>
              <w:jc w:val="center"/>
              <w:rPr>
                <w:noProof/>
              </w:rPr>
            </w:pPr>
            <w:r>
              <w:rPr>
                <w:noProof/>
              </w:rPr>
              <w:t>Cel</w:t>
            </w:r>
          </w:p>
        </w:tc>
        <w:tc>
          <w:tcPr>
            <w:tcW w:w="1391" w:type="dxa"/>
            <w:shd w:val="clear" w:color="auto" w:fill="C6EFCE"/>
            <w:noWrap/>
            <w:vAlign w:val="center"/>
          </w:tcPr>
          <w:p w14:paraId="607A2039" w14:textId="77777777" w:rsidR="004C6421" w:rsidRDefault="009D1962">
            <w:pPr>
              <w:pStyle w:val="P68B1DB1-Normal4"/>
              <w:spacing w:line="276" w:lineRule="auto"/>
              <w:jc w:val="center"/>
              <w:rPr>
                <w:noProof/>
              </w:rPr>
            </w:pPr>
            <w:r>
              <w:rPr>
                <w:noProof/>
              </w:rPr>
              <w:t>Liczba stacji szybkiego ładowania wzdłuż dróg wolnocłowych</w:t>
            </w:r>
          </w:p>
        </w:tc>
        <w:tc>
          <w:tcPr>
            <w:tcW w:w="1253" w:type="dxa"/>
            <w:shd w:val="clear" w:color="auto" w:fill="C6EFCE"/>
            <w:noWrap/>
            <w:vAlign w:val="center"/>
          </w:tcPr>
          <w:p w14:paraId="483314A8" w14:textId="77777777" w:rsidR="004C6421" w:rsidRDefault="004C6421">
            <w:pPr>
              <w:spacing w:line="276" w:lineRule="auto"/>
              <w:jc w:val="center"/>
              <w:rPr>
                <w:rFonts w:ascii="Arial Narrow" w:hAnsi="Arial Narrow"/>
                <w:noProof/>
                <w:color w:val="006100"/>
                <w:sz w:val="20"/>
              </w:rPr>
            </w:pPr>
          </w:p>
        </w:tc>
        <w:tc>
          <w:tcPr>
            <w:tcW w:w="1388" w:type="dxa"/>
            <w:shd w:val="clear" w:color="auto" w:fill="C6EFCE"/>
            <w:noWrap/>
            <w:vAlign w:val="center"/>
          </w:tcPr>
          <w:p w14:paraId="6AAC44B9" w14:textId="77777777" w:rsidR="004C6421" w:rsidRDefault="009D1962">
            <w:pPr>
              <w:pStyle w:val="P68B1DB1-Normal4"/>
              <w:spacing w:line="276" w:lineRule="auto"/>
              <w:jc w:val="center"/>
              <w:rPr>
                <w:noProof/>
              </w:rPr>
            </w:pPr>
            <w:r>
              <w:rPr>
                <w:noProof/>
              </w:rPr>
              <w:t>Numer</w:t>
            </w:r>
          </w:p>
        </w:tc>
        <w:tc>
          <w:tcPr>
            <w:tcW w:w="1003" w:type="dxa"/>
            <w:shd w:val="clear" w:color="auto" w:fill="C6EFCE"/>
            <w:noWrap/>
            <w:vAlign w:val="center"/>
          </w:tcPr>
          <w:p w14:paraId="6DD56949" w14:textId="77777777" w:rsidR="004C6421" w:rsidRDefault="009D1962">
            <w:pPr>
              <w:pStyle w:val="P68B1DB1-Normal4"/>
              <w:spacing w:line="276" w:lineRule="auto"/>
              <w:jc w:val="center"/>
              <w:rPr>
                <w:noProof/>
              </w:rPr>
            </w:pPr>
            <w:r>
              <w:rPr>
                <w:noProof/>
              </w:rPr>
              <w:t>2 500</w:t>
            </w:r>
          </w:p>
        </w:tc>
        <w:tc>
          <w:tcPr>
            <w:tcW w:w="1391" w:type="dxa"/>
            <w:shd w:val="clear" w:color="auto" w:fill="C6EFCE"/>
            <w:noWrap/>
            <w:vAlign w:val="center"/>
          </w:tcPr>
          <w:p w14:paraId="2F350DEE" w14:textId="77777777" w:rsidR="004C6421" w:rsidRDefault="009D1962">
            <w:pPr>
              <w:pStyle w:val="P68B1DB1-Normal4"/>
              <w:spacing w:line="276" w:lineRule="auto"/>
              <w:jc w:val="center"/>
              <w:rPr>
                <w:noProof/>
              </w:rPr>
            </w:pPr>
            <w:r>
              <w:rPr>
                <w:noProof/>
              </w:rPr>
              <w:t>7 500</w:t>
            </w:r>
          </w:p>
        </w:tc>
        <w:tc>
          <w:tcPr>
            <w:tcW w:w="975" w:type="dxa"/>
            <w:shd w:val="clear" w:color="auto" w:fill="C6EFCE"/>
            <w:noWrap/>
            <w:vAlign w:val="center"/>
          </w:tcPr>
          <w:p w14:paraId="21643968" w14:textId="3103DCE7" w:rsidR="004C6421" w:rsidRDefault="00CC179E">
            <w:pPr>
              <w:pStyle w:val="P68B1DB1-Normal4"/>
              <w:spacing w:line="276" w:lineRule="auto"/>
              <w:jc w:val="center"/>
              <w:rPr>
                <w:noProof/>
              </w:rPr>
            </w:pPr>
            <w:r>
              <w:rPr>
                <w:noProof/>
              </w:rPr>
              <w:t>KW. 4</w:t>
            </w:r>
          </w:p>
        </w:tc>
        <w:tc>
          <w:tcPr>
            <w:tcW w:w="698" w:type="dxa"/>
            <w:shd w:val="clear" w:color="auto" w:fill="C6EFCE"/>
            <w:noWrap/>
            <w:vAlign w:val="center"/>
          </w:tcPr>
          <w:p w14:paraId="1CFB0B5F" w14:textId="77777777" w:rsidR="004C6421" w:rsidRDefault="009D1962">
            <w:pPr>
              <w:pStyle w:val="P68B1DB1-Normal4"/>
              <w:spacing w:line="276" w:lineRule="auto"/>
              <w:jc w:val="center"/>
              <w:rPr>
                <w:noProof/>
              </w:rPr>
            </w:pPr>
            <w:r>
              <w:rPr>
                <w:noProof/>
              </w:rPr>
              <w:t>2025</w:t>
            </w:r>
          </w:p>
        </w:tc>
        <w:tc>
          <w:tcPr>
            <w:tcW w:w="3770" w:type="dxa"/>
            <w:shd w:val="clear" w:color="auto" w:fill="C6EFCE"/>
            <w:noWrap/>
            <w:vAlign w:val="center"/>
          </w:tcPr>
          <w:p w14:paraId="65F00504" w14:textId="77777777" w:rsidR="004C6421" w:rsidRDefault="009D1962">
            <w:pPr>
              <w:pStyle w:val="P68B1DB1-Normal4"/>
              <w:spacing w:after="120"/>
              <w:rPr>
                <w:noProof/>
              </w:rPr>
            </w:pPr>
            <w:r>
              <w:rPr>
                <w:noProof/>
              </w:rPr>
              <w:t>Uruchomienie co najmniej 7500 publicznych punktów infrastruktury szybkiego ładowania dla pojazdów elektrycznych o mocy co najmniej 175 kW.</w:t>
            </w:r>
          </w:p>
          <w:p w14:paraId="43FD4B8F" w14:textId="77777777" w:rsidR="004C6421" w:rsidRDefault="009D1962">
            <w:pPr>
              <w:pStyle w:val="P68B1DB1-Normal4"/>
              <w:spacing w:after="120"/>
              <w:rPr>
                <w:noProof/>
              </w:rPr>
            </w:pPr>
            <w:r>
              <w:rPr>
                <w:noProof/>
              </w:rPr>
              <w:t>Projekt może również obejmować pilotażowe stacje ładowania mające na celu magazynowanie energii.</w:t>
            </w:r>
          </w:p>
        </w:tc>
      </w:tr>
      <w:tr w:rsidR="004C6421" w14:paraId="56A6B07E" w14:textId="77777777">
        <w:trPr>
          <w:trHeight w:val="309"/>
          <w:jc w:val="center"/>
        </w:trPr>
        <w:tc>
          <w:tcPr>
            <w:tcW w:w="1101" w:type="dxa"/>
            <w:shd w:val="clear" w:color="auto" w:fill="C6EFCE"/>
            <w:noWrap/>
            <w:vAlign w:val="center"/>
          </w:tcPr>
          <w:p w14:paraId="66BDAA27" w14:textId="77777777" w:rsidR="004C6421" w:rsidRDefault="009D1962">
            <w:pPr>
              <w:pStyle w:val="P68B1DB1-Normal4"/>
              <w:spacing w:line="276" w:lineRule="auto"/>
              <w:jc w:val="center"/>
              <w:rPr>
                <w:noProof/>
              </w:rPr>
            </w:pPr>
            <w:r>
              <w:rPr>
                <w:noProof/>
              </w:rPr>
              <w:t>M2C2-30bis</w:t>
            </w:r>
          </w:p>
        </w:tc>
        <w:tc>
          <w:tcPr>
            <w:tcW w:w="1682" w:type="dxa"/>
            <w:shd w:val="clear" w:color="auto" w:fill="C6EFCE"/>
            <w:noWrap/>
            <w:vAlign w:val="center"/>
          </w:tcPr>
          <w:p w14:paraId="15358CBC" w14:textId="77777777" w:rsidR="004C6421" w:rsidRDefault="009D1962">
            <w:pPr>
              <w:pStyle w:val="P68B1DB1-Normal4"/>
              <w:spacing w:line="276" w:lineRule="auto"/>
              <w:jc w:val="center"/>
              <w:rPr>
                <w:noProof/>
              </w:rPr>
            </w:pPr>
            <w:r>
              <w:rPr>
                <w:noProof/>
              </w:rPr>
              <w:t>Inwestycja 4.3: Instalacja infrastruktury ładowania</w:t>
            </w:r>
          </w:p>
        </w:tc>
        <w:tc>
          <w:tcPr>
            <w:tcW w:w="1110" w:type="dxa"/>
            <w:shd w:val="clear" w:color="auto" w:fill="C6EFCE"/>
            <w:noWrap/>
            <w:vAlign w:val="center"/>
          </w:tcPr>
          <w:p w14:paraId="4264D7B9" w14:textId="77777777" w:rsidR="004C6421" w:rsidRDefault="009D1962">
            <w:pPr>
              <w:pStyle w:val="P68B1DB1-Normal4"/>
              <w:spacing w:line="276" w:lineRule="auto"/>
              <w:jc w:val="center"/>
              <w:rPr>
                <w:noProof/>
              </w:rPr>
            </w:pPr>
            <w:r>
              <w:rPr>
                <w:noProof/>
              </w:rPr>
              <w:t>Cel</w:t>
            </w:r>
          </w:p>
        </w:tc>
        <w:tc>
          <w:tcPr>
            <w:tcW w:w="1391" w:type="dxa"/>
            <w:shd w:val="clear" w:color="auto" w:fill="C6EFCE"/>
            <w:noWrap/>
            <w:vAlign w:val="center"/>
          </w:tcPr>
          <w:p w14:paraId="31B49C5D" w14:textId="77777777" w:rsidR="004C6421" w:rsidRDefault="009D1962">
            <w:pPr>
              <w:pStyle w:val="P68B1DB1-Normal4"/>
              <w:spacing w:line="276" w:lineRule="auto"/>
              <w:jc w:val="center"/>
              <w:rPr>
                <w:noProof/>
              </w:rPr>
            </w:pPr>
            <w:r>
              <w:rPr>
                <w:noProof/>
              </w:rPr>
              <w:t>Liczba stacji szybkiego ładowania na obszarach miejskich</w:t>
            </w:r>
          </w:p>
        </w:tc>
        <w:tc>
          <w:tcPr>
            <w:tcW w:w="1253" w:type="dxa"/>
            <w:shd w:val="clear" w:color="auto" w:fill="C6EFCE"/>
            <w:noWrap/>
            <w:vAlign w:val="center"/>
          </w:tcPr>
          <w:p w14:paraId="78DF728D" w14:textId="77777777" w:rsidR="004C6421" w:rsidRDefault="004C6421">
            <w:pPr>
              <w:spacing w:line="276" w:lineRule="auto"/>
              <w:jc w:val="center"/>
              <w:rPr>
                <w:rFonts w:ascii="Arial Narrow" w:hAnsi="Arial Narrow"/>
                <w:noProof/>
                <w:color w:val="006100"/>
                <w:sz w:val="20"/>
              </w:rPr>
            </w:pPr>
          </w:p>
        </w:tc>
        <w:tc>
          <w:tcPr>
            <w:tcW w:w="1388" w:type="dxa"/>
            <w:shd w:val="clear" w:color="auto" w:fill="C6EFCE"/>
            <w:noWrap/>
            <w:vAlign w:val="center"/>
          </w:tcPr>
          <w:p w14:paraId="2F3A721A" w14:textId="77777777" w:rsidR="004C6421" w:rsidRDefault="009D1962">
            <w:pPr>
              <w:pStyle w:val="P68B1DB1-Normal4"/>
              <w:spacing w:line="276" w:lineRule="auto"/>
              <w:jc w:val="center"/>
              <w:rPr>
                <w:noProof/>
              </w:rPr>
            </w:pPr>
            <w:r>
              <w:rPr>
                <w:noProof/>
              </w:rPr>
              <w:t>Numer</w:t>
            </w:r>
          </w:p>
        </w:tc>
        <w:tc>
          <w:tcPr>
            <w:tcW w:w="1003" w:type="dxa"/>
            <w:shd w:val="clear" w:color="auto" w:fill="C6EFCE"/>
            <w:noWrap/>
            <w:vAlign w:val="center"/>
          </w:tcPr>
          <w:p w14:paraId="7038120E" w14:textId="77777777" w:rsidR="004C6421" w:rsidRDefault="009D1962">
            <w:pPr>
              <w:pStyle w:val="P68B1DB1-Normal4"/>
              <w:spacing w:line="276" w:lineRule="auto"/>
              <w:jc w:val="center"/>
              <w:rPr>
                <w:noProof/>
              </w:rPr>
            </w:pPr>
            <w:r>
              <w:rPr>
                <w:noProof/>
              </w:rPr>
              <w:t>4 700</w:t>
            </w:r>
          </w:p>
        </w:tc>
        <w:tc>
          <w:tcPr>
            <w:tcW w:w="1391" w:type="dxa"/>
            <w:shd w:val="clear" w:color="auto" w:fill="C6EFCE"/>
            <w:noWrap/>
            <w:vAlign w:val="center"/>
          </w:tcPr>
          <w:p w14:paraId="32198F49" w14:textId="77777777" w:rsidR="004C6421" w:rsidRDefault="009D1962">
            <w:pPr>
              <w:pStyle w:val="P68B1DB1-Normal4"/>
              <w:spacing w:line="276" w:lineRule="auto"/>
              <w:jc w:val="center"/>
              <w:rPr>
                <w:noProof/>
              </w:rPr>
            </w:pPr>
            <w:r>
              <w:rPr>
                <w:noProof/>
              </w:rPr>
              <w:t>13 755</w:t>
            </w:r>
          </w:p>
        </w:tc>
        <w:tc>
          <w:tcPr>
            <w:tcW w:w="975" w:type="dxa"/>
            <w:shd w:val="clear" w:color="auto" w:fill="C6EFCE"/>
            <w:noWrap/>
            <w:vAlign w:val="center"/>
          </w:tcPr>
          <w:p w14:paraId="199AA216" w14:textId="7C3E555E" w:rsidR="004C6421" w:rsidRDefault="00CC179E">
            <w:pPr>
              <w:pStyle w:val="P68B1DB1-Normal4"/>
              <w:spacing w:line="276" w:lineRule="auto"/>
              <w:jc w:val="center"/>
              <w:rPr>
                <w:noProof/>
              </w:rPr>
            </w:pPr>
            <w:r>
              <w:rPr>
                <w:noProof/>
              </w:rPr>
              <w:t>KW. 4</w:t>
            </w:r>
          </w:p>
        </w:tc>
        <w:tc>
          <w:tcPr>
            <w:tcW w:w="698" w:type="dxa"/>
            <w:shd w:val="clear" w:color="auto" w:fill="C6EFCE"/>
            <w:noWrap/>
            <w:vAlign w:val="center"/>
          </w:tcPr>
          <w:p w14:paraId="5C48F32B" w14:textId="77777777" w:rsidR="004C6421" w:rsidRDefault="009D1962">
            <w:pPr>
              <w:pStyle w:val="P68B1DB1-Normal4"/>
              <w:spacing w:line="276" w:lineRule="auto"/>
              <w:jc w:val="center"/>
              <w:rPr>
                <w:noProof/>
              </w:rPr>
            </w:pPr>
            <w:r>
              <w:rPr>
                <w:noProof/>
              </w:rPr>
              <w:t>2025</w:t>
            </w:r>
          </w:p>
        </w:tc>
        <w:tc>
          <w:tcPr>
            <w:tcW w:w="3770" w:type="dxa"/>
            <w:shd w:val="clear" w:color="auto" w:fill="C6EFCE"/>
            <w:noWrap/>
            <w:vAlign w:val="center"/>
          </w:tcPr>
          <w:p w14:paraId="75A595E7" w14:textId="77777777" w:rsidR="004C6421" w:rsidRDefault="009D1962">
            <w:pPr>
              <w:pStyle w:val="P68B1DB1-Normal6"/>
              <w:spacing w:after="120"/>
              <w:rPr>
                <w:noProof/>
                <w:color w:val="006100"/>
              </w:rPr>
            </w:pPr>
            <w:r>
              <w:rPr>
                <w:noProof/>
                <w:color w:val="006100"/>
              </w:rPr>
              <w:t>Uruchomienie co najmniej 13755 punktów publicznej infrastruktury szybkiego</w:t>
            </w:r>
            <w:r>
              <w:rPr>
                <w:noProof/>
              </w:rPr>
              <w:t xml:space="preserve"> ładowania pojazdów elektrycznych na obszarach miejskich o mocy co najmniej 90 kW. </w:t>
            </w:r>
          </w:p>
          <w:p w14:paraId="6C74C496" w14:textId="77777777" w:rsidR="004C6421" w:rsidRDefault="009D1962">
            <w:pPr>
              <w:pStyle w:val="P68B1DB1-Normal4"/>
              <w:spacing w:after="120"/>
              <w:rPr>
                <w:noProof/>
              </w:rPr>
            </w:pPr>
            <w:r>
              <w:rPr>
                <w:noProof/>
              </w:rPr>
              <w:t>Projekt może również obejmować pilotażowe stacje ładowania mające na celu magazynowanie energii.</w:t>
            </w:r>
          </w:p>
        </w:tc>
      </w:tr>
      <w:tr w:rsidR="004C6421" w14:paraId="007F0B0D" w14:textId="77777777">
        <w:trPr>
          <w:trHeight w:val="309"/>
          <w:jc w:val="center"/>
        </w:trPr>
        <w:tc>
          <w:tcPr>
            <w:tcW w:w="1101" w:type="dxa"/>
            <w:shd w:val="clear" w:color="auto" w:fill="C6EFCE"/>
            <w:noWrap/>
            <w:vAlign w:val="center"/>
          </w:tcPr>
          <w:p w14:paraId="53CDB14E" w14:textId="77777777" w:rsidR="004C6421" w:rsidRDefault="009D1962">
            <w:pPr>
              <w:pStyle w:val="P68B1DB1-Normal4"/>
              <w:spacing w:line="276" w:lineRule="auto"/>
              <w:jc w:val="center"/>
              <w:rPr>
                <w:noProof/>
              </w:rPr>
            </w:pPr>
            <w:r>
              <w:rPr>
                <w:noProof/>
              </w:rPr>
              <w:t>M2C2-30ter</w:t>
            </w:r>
          </w:p>
        </w:tc>
        <w:tc>
          <w:tcPr>
            <w:tcW w:w="1682" w:type="dxa"/>
            <w:shd w:val="clear" w:color="auto" w:fill="C6EFCE"/>
            <w:noWrap/>
            <w:vAlign w:val="center"/>
          </w:tcPr>
          <w:p w14:paraId="1517EDE2" w14:textId="77777777" w:rsidR="004C6421" w:rsidRDefault="009D1962">
            <w:pPr>
              <w:pStyle w:val="P68B1DB1-Normal4"/>
              <w:spacing w:line="276" w:lineRule="auto"/>
              <w:jc w:val="center"/>
              <w:rPr>
                <w:noProof/>
              </w:rPr>
            </w:pPr>
            <w:r>
              <w:rPr>
                <w:noProof/>
              </w:rPr>
              <w:t>Inwestycja 4.3: Instalacja infrastruktury ładowania</w:t>
            </w:r>
          </w:p>
        </w:tc>
        <w:tc>
          <w:tcPr>
            <w:tcW w:w="1110" w:type="dxa"/>
            <w:shd w:val="clear" w:color="auto" w:fill="C6EFCE"/>
            <w:noWrap/>
            <w:vAlign w:val="center"/>
          </w:tcPr>
          <w:p w14:paraId="520DA3D5" w14:textId="77777777" w:rsidR="004C6421" w:rsidRDefault="009D1962">
            <w:pPr>
              <w:pStyle w:val="P68B1DB1-Normal4"/>
              <w:spacing w:line="276" w:lineRule="auto"/>
              <w:jc w:val="center"/>
              <w:rPr>
                <w:noProof/>
              </w:rPr>
            </w:pPr>
            <w:r>
              <w:rPr>
                <w:noProof/>
              </w:rPr>
              <w:t>Cel</w:t>
            </w:r>
          </w:p>
        </w:tc>
        <w:tc>
          <w:tcPr>
            <w:tcW w:w="1391" w:type="dxa"/>
            <w:shd w:val="clear" w:color="auto" w:fill="C6EFCE"/>
            <w:noWrap/>
            <w:vAlign w:val="center"/>
          </w:tcPr>
          <w:p w14:paraId="70530D13" w14:textId="77777777" w:rsidR="004C6421" w:rsidRDefault="009D1962">
            <w:pPr>
              <w:pStyle w:val="P68B1DB1-Normal4"/>
              <w:spacing w:line="276" w:lineRule="auto"/>
              <w:jc w:val="center"/>
              <w:rPr>
                <w:noProof/>
              </w:rPr>
            </w:pPr>
            <w:r>
              <w:rPr>
                <w:noProof/>
              </w:rPr>
              <w:t>Liczba stacji szybkiego ładowania</w:t>
            </w:r>
          </w:p>
        </w:tc>
        <w:tc>
          <w:tcPr>
            <w:tcW w:w="1253" w:type="dxa"/>
            <w:shd w:val="clear" w:color="auto" w:fill="C6EFCE"/>
            <w:noWrap/>
            <w:vAlign w:val="center"/>
          </w:tcPr>
          <w:p w14:paraId="3D2984EB" w14:textId="77777777" w:rsidR="004C6421" w:rsidRDefault="004C6421">
            <w:pPr>
              <w:spacing w:line="276" w:lineRule="auto"/>
              <w:jc w:val="center"/>
              <w:rPr>
                <w:rFonts w:ascii="Arial Narrow" w:hAnsi="Arial Narrow"/>
                <w:noProof/>
                <w:color w:val="006100"/>
                <w:sz w:val="20"/>
              </w:rPr>
            </w:pPr>
          </w:p>
        </w:tc>
        <w:tc>
          <w:tcPr>
            <w:tcW w:w="1388" w:type="dxa"/>
            <w:shd w:val="clear" w:color="auto" w:fill="C6EFCE"/>
            <w:noWrap/>
            <w:vAlign w:val="center"/>
          </w:tcPr>
          <w:p w14:paraId="7CDCFE50" w14:textId="77777777" w:rsidR="004C6421" w:rsidRDefault="009D1962">
            <w:pPr>
              <w:pStyle w:val="P68B1DB1-Normal4"/>
              <w:spacing w:line="276" w:lineRule="auto"/>
              <w:jc w:val="center"/>
              <w:rPr>
                <w:noProof/>
              </w:rPr>
            </w:pPr>
            <w:r>
              <w:rPr>
                <w:noProof/>
              </w:rPr>
              <w:t>Numer</w:t>
            </w:r>
          </w:p>
        </w:tc>
        <w:tc>
          <w:tcPr>
            <w:tcW w:w="1003" w:type="dxa"/>
            <w:shd w:val="clear" w:color="auto" w:fill="C6EFCE"/>
            <w:noWrap/>
            <w:vAlign w:val="center"/>
          </w:tcPr>
          <w:p w14:paraId="45154630" w14:textId="77777777" w:rsidR="004C6421" w:rsidRDefault="009D1962">
            <w:pPr>
              <w:pStyle w:val="P68B1DB1-Normal4"/>
              <w:spacing w:line="276" w:lineRule="auto"/>
              <w:jc w:val="center"/>
              <w:rPr>
                <w:noProof/>
              </w:rPr>
            </w:pPr>
            <w:r>
              <w:rPr>
                <w:noProof/>
              </w:rPr>
              <w:t>0</w:t>
            </w:r>
          </w:p>
        </w:tc>
        <w:tc>
          <w:tcPr>
            <w:tcW w:w="1391" w:type="dxa"/>
            <w:shd w:val="clear" w:color="auto" w:fill="C6EFCE"/>
            <w:noWrap/>
            <w:vAlign w:val="center"/>
          </w:tcPr>
          <w:p w14:paraId="5C32747B" w14:textId="77777777" w:rsidR="004C6421" w:rsidRDefault="009D1962">
            <w:pPr>
              <w:pStyle w:val="P68B1DB1-Normal4"/>
              <w:spacing w:line="276" w:lineRule="auto"/>
              <w:jc w:val="center"/>
              <w:rPr>
                <w:noProof/>
              </w:rPr>
            </w:pPr>
            <w:r>
              <w:rPr>
                <w:noProof/>
              </w:rPr>
              <w:t>100</w:t>
            </w:r>
          </w:p>
        </w:tc>
        <w:tc>
          <w:tcPr>
            <w:tcW w:w="975" w:type="dxa"/>
            <w:shd w:val="clear" w:color="auto" w:fill="C6EFCE"/>
            <w:noWrap/>
            <w:vAlign w:val="center"/>
          </w:tcPr>
          <w:p w14:paraId="16AB72BF" w14:textId="7E5DF3FA" w:rsidR="004C6421" w:rsidRDefault="00CC179E">
            <w:pPr>
              <w:pStyle w:val="P68B1DB1-Normal4"/>
              <w:spacing w:line="276" w:lineRule="auto"/>
              <w:jc w:val="center"/>
              <w:rPr>
                <w:noProof/>
              </w:rPr>
            </w:pPr>
            <w:r>
              <w:rPr>
                <w:noProof/>
              </w:rPr>
              <w:t>KW. 4</w:t>
            </w:r>
          </w:p>
        </w:tc>
        <w:tc>
          <w:tcPr>
            <w:tcW w:w="698" w:type="dxa"/>
            <w:shd w:val="clear" w:color="auto" w:fill="C6EFCE"/>
            <w:noWrap/>
            <w:vAlign w:val="center"/>
          </w:tcPr>
          <w:p w14:paraId="4A5DB79E" w14:textId="77777777" w:rsidR="004C6421" w:rsidRDefault="009D1962">
            <w:pPr>
              <w:pStyle w:val="P68B1DB1-Normal4"/>
              <w:spacing w:line="276" w:lineRule="auto"/>
              <w:jc w:val="center"/>
              <w:rPr>
                <w:noProof/>
              </w:rPr>
            </w:pPr>
            <w:r>
              <w:rPr>
                <w:noProof/>
              </w:rPr>
              <w:t>2025</w:t>
            </w:r>
          </w:p>
        </w:tc>
        <w:tc>
          <w:tcPr>
            <w:tcW w:w="3770" w:type="dxa"/>
            <w:shd w:val="clear" w:color="auto" w:fill="C6EFCE"/>
            <w:noWrap/>
            <w:vAlign w:val="center"/>
          </w:tcPr>
          <w:p w14:paraId="085A0503" w14:textId="77777777" w:rsidR="004C6421" w:rsidRDefault="009D1962">
            <w:pPr>
              <w:pStyle w:val="P68B1DB1-Normal4"/>
              <w:spacing w:after="120"/>
              <w:rPr>
                <w:noProof/>
              </w:rPr>
            </w:pPr>
            <w:r>
              <w:rPr>
                <w:noProof/>
              </w:rPr>
              <w:t>Uruchomienie co najmniej 100 doświadczalnych stacji ładowania podłączonych do magazynowania</w:t>
            </w:r>
          </w:p>
        </w:tc>
      </w:tr>
      <w:tr w:rsidR="004C6421" w14:paraId="5F93D3D1" w14:textId="77777777">
        <w:trPr>
          <w:trHeight w:val="309"/>
          <w:jc w:val="center"/>
        </w:trPr>
        <w:tc>
          <w:tcPr>
            <w:tcW w:w="1101" w:type="dxa"/>
            <w:shd w:val="clear" w:color="auto" w:fill="C6EFCE"/>
            <w:noWrap/>
            <w:vAlign w:val="center"/>
          </w:tcPr>
          <w:p w14:paraId="24D7A5BA" w14:textId="77777777" w:rsidR="004C6421" w:rsidRDefault="009D1962">
            <w:pPr>
              <w:pStyle w:val="P68B1DB1-Normal4"/>
              <w:spacing w:line="276" w:lineRule="auto"/>
              <w:jc w:val="center"/>
              <w:rPr>
                <w:noProof/>
              </w:rPr>
            </w:pPr>
            <w:r>
              <w:rPr>
                <w:noProof/>
              </w:rPr>
              <w:t>M2C2-33</w:t>
            </w:r>
          </w:p>
        </w:tc>
        <w:tc>
          <w:tcPr>
            <w:tcW w:w="1682" w:type="dxa"/>
            <w:shd w:val="clear" w:color="auto" w:fill="C6EFCE"/>
            <w:noWrap/>
            <w:vAlign w:val="center"/>
          </w:tcPr>
          <w:p w14:paraId="7FFD864B" w14:textId="77777777" w:rsidR="004C6421" w:rsidRDefault="009D1962">
            <w:pPr>
              <w:pStyle w:val="P68B1DB1-Normal6"/>
              <w:spacing w:line="276" w:lineRule="auto"/>
              <w:jc w:val="center"/>
              <w:rPr>
                <w:noProof/>
                <w:color w:val="006100"/>
              </w:rPr>
            </w:pPr>
            <w:r>
              <w:rPr>
                <w:noProof/>
                <w:color w:val="006100"/>
              </w:rPr>
              <w:t>Inwestycja 4.4.2: Wzmocnienie regionalnego taboru kolejowego transportu publicznego z pociągami bezemisyjnymi i usługą powszechną</w:t>
            </w:r>
          </w:p>
        </w:tc>
        <w:tc>
          <w:tcPr>
            <w:tcW w:w="1110" w:type="dxa"/>
            <w:shd w:val="clear" w:color="auto" w:fill="C6EFCE"/>
            <w:noWrap/>
            <w:vAlign w:val="center"/>
          </w:tcPr>
          <w:p w14:paraId="3C15D9A7" w14:textId="7565AF55" w:rsidR="004C6421" w:rsidRDefault="00CC179E">
            <w:pPr>
              <w:pStyle w:val="P68B1DB1-Normal4"/>
              <w:spacing w:line="276" w:lineRule="auto"/>
              <w:jc w:val="center"/>
              <w:rPr>
                <w:noProof/>
              </w:rPr>
            </w:pPr>
            <w:r>
              <w:rPr>
                <w:noProof/>
              </w:rPr>
              <w:t>Milowy</w:t>
            </w:r>
          </w:p>
        </w:tc>
        <w:tc>
          <w:tcPr>
            <w:tcW w:w="1391" w:type="dxa"/>
            <w:shd w:val="clear" w:color="auto" w:fill="C6EFCE"/>
            <w:noWrap/>
            <w:vAlign w:val="center"/>
          </w:tcPr>
          <w:p w14:paraId="2D4BBB34" w14:textId="77777777" w:rsidR="004C6421" w:rsidRDefault="009D1962">
            <w:pPr>
              <w:pStyle w:val="P68B1DB1-Normal4"/>
              <w:spacing w:line="276" w:lineRule="auto"/>
              <w:jc w:val="center"/>
              <w:rPr>
                <w:noProof/>
              </w:rPr>
            </w:pPr>
            <w:r>
              <w:rPr>
                <w:noProof/>
              </w:rPr>
              <w:t>Udzielanie wszystkich zamówień publicznych na wzmocnienie regionalnego taboru kolejowego transportu publicznego pociągami bezemisyjnymi i usługą powszechną</w:t>
            </w:r>
          </w:p>
        </w:tc>
        <w:tc>
          <w:tcPr>
            <w:tcW w:w="1253" w:type="dxa"/>
            <w:shd w:val="clear" w:color="auto" w:fill="C6EFCE"/>
            <w:noWrap/>
            <w:vAlign w:val="center"/>
          </w:tcPr>
          <w:p w14:paraId="4D598412" w14:textId="77777777" w:rsidR="004C6421" w:rsidRDefault="009D1962">
            <w:pPr>
              <w:pStyle w:val="P68B1DB1-Normal4"/>
              <w:spacing w:line="276" w:lineRule="auto"/>
              <w:jc w:val="center"/>
              <w:rPr>
                <w:noProof/>
              </w:rPr>
            </w:pPr>
            <w:r>
              <w:rPr>
                <w:noProof/>
              </w:rPr>
              <w:t>Powiadomienie o udzieleniu wszystkich zamówień na flotę kolejową regionalnego transportu publicznego z pociągami bezemisyjnymi i usługą powszechną</w:t>
            </w:r>
          </w:p>
        </w:tc>
        <w:tc>
          <w:tcPr>
            <w:tcW w:w="1388" w:type="dxa"/>
            <w:shd w:val="clear" w:color="auto" w:fill="C6EFCE"/>
            <w:noWrap/>
            <w:vAlign w:val="center"/>
          </w:tcPr>
          <w:p w14:paraId="7E2C79A2" w14:textId="77777777" w:rsidR="004C6421" w:rsidRDefault="009D1962">
            <w:pPr>
              <w:pStyle w:val="P68B1DB1-Normal4"/>
              <w:spacing w:line="276" w:lineRule="auto"/>
              <w:jc w:val="center"/>
              <w:rPr>
                <w:noProof/>
              </w:rPr>
            </w:pPr>
            <w:r>
              <w:rPr>
                <w:noProof/>
              </w:rPr>
              <w:t>NIE DOT.</w:t>
            </w:r>
          </w:p>
        </w:tc>
        <w:tc>
          <w:tcPr>
            <w:tcW w:w="1003" w:type="dxa"/>
            <w:shd w:val="clear" w:color="auto" w:fill="C6EFCE"/>
            <w:noWrap/>
            <w:vAlign w:val="center"/>
          </w:tcPr>
          <w:p w14:paraId="0B43268E" w14:textId="77777777" w:rsidR="004C6421" w:rsidRDefault="009D1962">
            <w:pPr>
              <w:pStyle w:val="P68B1DB1-Normal4"/>
              <w:spacing w:line="276" w:lineRule="auto"/>
              <w:jc w:val="center"/>
              <w:rPr>
                <w:noProof/>
              </w:rPr>
            </w:pPr>
            <w:r>
              <w:rPr>
                <w:noProof/>
              </w:rPr>
              <w:t>NIE DOT.</w:t>
            </w:r>
          </w:p>
        </w:tc>
        <w:tc>
          <w:tcPr>
            <w:tcW w:w="1391" w:type="dxa"/>
            <w:shd w:val="clear" w:color="auto" w:fill="C6EFCE"/>
            <w:noWrap/>
            <w:vAlign w:val="center"/>
          </w:tcPr>
          <w:p w14:paraId="2A2ABBE0" w14:textId="77777777" w:rsidR="004C6421" w:rsidRDefault="009D1962">
            <w:pPr>
              <w:pStyle w:val="P68B1DB1-Normal4"/>
              <w:spacing w:line="276" w:lineRule="auto"/>
              <w:jc w:val="center"/>
              <w:rPr>
                <w:noProof/>
              </w:rPr>
            </w:pPr>
            <w:r>
              <w:rPr>
                <w:noProof/>
              </w:rPr>
              <w:t>NIE DOT.</w:t>
            </w:r>
          </w:p>
        </w:tc>
        <w:tc>
          <w:tcPr>
            <w:tcW w:w="975" w:type="dxa"/>
            <w:shd w:val="clear" w:color="auto" w:fill="C6EFCE"/>
            <w:noWrap/>
            <w:vAlign w:val="center"/>
          </w:tcPr>
          <w:p w14:paraId="4476533F" w14:textId="77777777" w:rsidR="004C6421" w:rsidRDefault="009D1962">
            <w:pPr>
              <w:pStyle w:val="P68B1DB1-Normal4"/>
              <w:spacing w:line="276" w:lineRule="auto"/>
              <w:jc w:val="center"/>
              <w:rPr>
                <w:noProof/>
              </w:rPr>
            </w:pPr>
            <w:r>
              <w:rPr>
                <w:noProof/>
              </w:rPr>
              <w:t>II KW.</w:t>
            </w:r>
          </w:p>
        </w:tc>
        <w:tc>
          <w:tcPr>
            <w:tcW w:w="698" w:type="dxa"/>
            <w:shd w:val="clear" w:color="auto" w:fill="C6EFCE"/>
            <w:noWrap/>
            <w:vAlign w:val="center"/>
          </w:tcPr>
          <w:p w14:paraId="0A646DAF" w14:textId="77777777" w:rsidR="004C6421" w:rsidRDefault="009D1962">
            <w:pPr>
              <w:pStyle w:val="P68B1DB1-Normal4"/>
              <w:spacing w:line="276" w:lineRule="auto"/>
              <w:jc w:val="center"/>
              <w:rPr>
                <w:noProof/>
              </w:rPr>
            </w:pPr>
            <w:r>
              <w:rPr>
                <w:noProof/>
              </w:rPr>
              <w:t>2023</w:t>
            </w:r>
          </w:p>
        </w:tc>
        <w:tc>
          <w:tcPr>
            <w:tcW w:w="3770" w:type="dxa"/>
            <w:shd w:val="clear" w:color="auto" w:fill="C6EFCE"/>
            <w:noWrap/>
            <w:vAlign w:val="center"/>
          </w:tcPr>
          <w:p w14:paraId="49D0853A" w14:textId="77777777" w:rsidR="004C6421" w:rsidRDefault="009D1962">
            <w:pPr>
              <w:spacing w:after="120"/>
              <w:rPr>
                <w:rFonts w:ascii="Arial Narrow" w:hAnsi="Arial Narrow"/>
                <w:noProof/>
                <w:color w:val="006100"/>
                <w:sz w:val="20"/>
              </w:rPr>
            </w:pPr>
            <w:r>
              <w:rPr>
                <w:rFonts w:ascii="Arial Narrow" w:hAnsi="Arial Narrow"/>
                <w:noProof/>
                <w:color w:val="006100"/>
                <w:sz w:val="20"/>
              </w:rPr>
              <w:t>Powiadomienie o udzieleniu wszystkich zamówień publicznych na zakup pociągów bezemisyjnych</w:t>
            </w:r>
            <w:r>
              <w:rPr>
                <w:rStyle w:val="FootnoteReference"/>
                <w:rFonts w:ascii="Arial Narrow" w:hAnsi="Arial Narrow"/>
                <w:noProof/>
                <w:color w:val="006100"/>
                <w:sz w:val="20"/>
              </w:rPr>
              <w:footnoteReference w:id="49"/>
            </w:r>
            <w:r>
              <w:rPr>
                <w:rFonts w:ascii="Arial Narrow" w:hAnsi="Arial Narrow"/>
                <w:noProof/>
              </w:rPr>
              <w:t>.</w:t>
            </w:r>
          </w:p>
        </w:tc>
      </w:tr>
      <w:tr w:rsidR="004C6421" w14:paraId="5A9EB6C1" w14:textId="77777777">
        <w:trPr>
          <w:trHeight w:val="309"/>
          <w:jc w:val="center"/>
        </w:trPr>
        <w:tc>
          <w:tcPr>
            <w:tcW w:w="1101" w:type="dxa"/>
            <w:shd w:val="clear" w:color="auto" w:fill="C6EFCE"/>
            <w:noWrap/>
            <w:vAlign w:val="center"/>
          </w:tcPr>
          <w:p w14:paraId="4531D949" w14:textId="77777777" w:rsidR="004C6421" w:rsidRDefault="009D1962">
            <w:pPr>
              <w:pStyle w:val="P68B1DB1-Normal4"/>
              <w:spacing w:line="276" w:lineRule="auto"/>
              <w:jc w:val="center"/>
              <w:rPr>
                <w:noProof/>
              </w:rPr>
            </w:pPr>
            <w:r>
              <w:rPr>
                <w:noProof/>
              </w:rPr>
              <w:t>M2C2-37</w:t>
            </w:r>
          </w:p>
        </w:tc>
        <w:tc>
          <w:tcPr>
            <w:tcW w:w="1682" w:type="dxa"/>
            <w:shd w:val="clear" w:color="auto" w:fill="C6EFCE"/>
            <w:noWrap/>
            <w:vAlign w:val="center"/>
          </w:tcPr>
          <w:p w14:paraId="24698FA0" w14:textId="77777777" w:rsidR="004C6421" w:rsidRDefault="009D1962">
            <w:pPr>
              <w:pStyle w:val="P68B1DB1-Normal4"/>
              <w:spacing w:line="276" w:lineRule="auto"/>
              <w:jc w:val="center"/>
              <w:rPr>
                <w:noProof/>
              </w:rPr>
            </w:pPr>
            <w:r>
              <w:rPr>
                <w:noProof/>
              </w:rPr>
              <w:t>Reforma 5: Inteligentniejsze procedury oceny projektów w sektorze lokalnych systemów transportu publicznego z stałymi instalacjami oraz w sektorze szybkiego transportu masowego</w:t>
            </w:r>
          </w:p>
        </w:tc>
        <w:tc>
          <w:tcPr>
            <w:tcW w:w="1110" w:type="dxa"/>
            <w:shd w:val="clear" w:color="auto" w:fill="C6EFCE"/>
            <w:noWrap/>
            <w:vAlign w:val="center"/>
          </w:tcPr>
          <w:p w14:paraId="00B7B942" w14:textId="59045746" w:rsidR="004C6421" w:rsidRDefault="00CC179E">
            <w:pPr>
              <w:pStyle w:val="P68B1DB1-Normal4"/>
              <w:spacing w:line="276" w:lineRule="auto"/>
              <w:jc w:val="center"/>
              <w:rPr>
                <w:noProof/>
              </w:rPr>
            </w:pPr>
            <w:r>
              <w:rPr>
                <w:noProof/>
              </w:rPr>
              <w:t>Milowy</w:t>
            </w:r>
          </w:p>
        </w:tc>
        <w:tc>
          <w:tcPr>
            <w:tcW w:w="1391" w:type="dxa"/>
            <w:shd w:val="clear" w:color="auto" w:fill="C6EFCE"/>
            <w:noWrap/>
            <w:vAlign w:val="center"/>
          </w:tcPr>
          <w:p w14:paraId="234ABB12" w14:textId="77777777" w:rsidR="004C6421" w:rsidRDefault="009D1962">
            <w:pPr>
              <w:pStyle w:val="P68B1DB1-Normal4"/>
              <w:spacing w:line="276" w:lineRule="auto"/>
              <w:jc w:val="center"/>
              <w:rPr>
                <w:noProof/>
              </w:rPr>
            </w:pPr>
            <w:r>
              <w:rPr>
                <w:noProof/>
              </w:rPr>
              <w:t>Wejście w życie dekretu z mocą ustawy</w:t>
            </w:r>
          </w:p>
        </w:tc>
        <w:tc>
          <w:tcPr>
            <w:tcW w:w="1253" w:type="dxa"/>
            <w:shd w:val="clear" w:color="auto" w:fill="C6EFCE"/>
            <w:noWrap/>
            <w:vAlign w:val="center"/>
          </w:tcPr>
          <w:p w14:paraId="04F76DD2" w14:textId="77777777" w:rsidR="004C6421" w:rsidRDefault="009D1962">
            <w:pPr>
              <w:pStyle w:val="P68B1DB1-Normal4"/>
              <w:spacing w:line="276" w:lineRule="auto"/>
              <w:jc w:val="center"/>
              <w:rPr>
                <w:noProof/>
              </w:rPr>
            </w:pPr>
            <w:r>
              <w:rPr>
                <w:noProof/>
              </w:rPr>
              <w:t>Przepis ustawy wskazujący na wejście w życie dekretu z mocą ustawy NIE DOT.</w:t>
            </w:r>
          </w:p>
        </w:tc>
        <w:tc>
          <w:tcPr>
            <w:tcW w:w="1388" w:type="dxa"/>
            <w:shd w:val="clear" w:color="auto" w:fill="C6EFCE"/>
            <w:noWrap/>
            <w:vAlign w:val="center"/>
          </w:tcPr>
          <w:p w14:paraId="233CCCD2" w14:textId="77777777" w:rsidR="004C6421" w:rsidRDefault="009D1962">
            <w:pPr>
              <w:pStyle w:val="P68B1DB1-Normal4"/>
              <w:spacing w:line="276" w:lineRule="auto"/>
              <w:jc w:val="center"/>
              <w:rPr>
                <w:noProof/>
              </w:rPr>
            </w:pPr>
            <w:r>
              <w:rPr>
                <w:noProof/>
              </w:rPr>
              <w:t>NIE DOT.</w:t>
            </w:r>
          </w:p>
        </w:tc>
        <w:tc>
          <w:tcPr>
            <w:tcW w:w="1003" w:type="dxa"/>
            <w:shd w:val="clear" w:color="auto" w:fill="C6EFCE"/>
            <w:noWrap/>
            <w:vAlign w:val="center"/>
          </w:tcPr>
          <w:p w14:paraId="6E8A66F8" w14:textId="77777777" w:rsidR="004C6421" w:rsidRDefault="009D1962">
            <w:pPr>
              <w:pStyle w:val="P68B1DB1-Normal4"/>
              <w:spacing w:line="276" w:lineRule="auto"/>
              <w:jc w:val="center"/>
              <w:rPr>
                <w:noProof/>
              </w:rPr>
            </w:pPr>
            <w:r>
              <w:rPr>
                <w:noProof/>
              </w:rPr>
              <w:t>NIE DOT.</w:t>
            </w:r>
          </w:p>
        </w:tc>
        <w:tc>
          <w:tcPr>
            <w:tcW w:w="1391" w:type="dxa"/>
            <w:shd w:val="clear" w:color="auto" w:fill="C6EFCE"/>
            <w:noWrap/>
            <w:vAlign w:val="center"/>
          </w:tcPr>
          <w:p w14:paraId="4E9D3603" w14:textId="77777777" w:rsidR="004C6421" w:rsidRDefault="009D1962">
            <w:pPr>
              <w:pStyle w:val="P68B1DB1-Normal4"/>
              <w:spacing w:line="276" w:lineRule="auto"/>
              <w:jc w:val="center"/>
              <w:rPr>
                <w:noProof/>
              </w:rPr>
            </w:pPr>
            <w:r>
              <w:rPr>
                <w:noProof/>
              </w:rPr>
              <w:t>NIE DOT.</w:t>
            </w:r>
          </w:p>
        </w:tc>
        <w:tc>
          <w:tcPr>
            <w:tcW w:w="975" w:type="dxa"/>
            <w:shd w:val="clear" w:color="auto" w:fill="C6EFCE"/>
            <w:noWrap/>
            <w:vAlign w:val="center"/>
          </w:tcPr>
          <w:p w14:paraId="002DE158" w14:textId="1694FAF7" w:rsidR="004C6421" w:rsidRDefault="00CC179E">
            <w:pPr>
              <w:pStyle w:val="P68B1DB1-Normal4"/>
              <w:spacing w:line="276" w:lineRule="auto"/>
              <w:jc w:val="center"/>
              <w:rPr>
                <w:noProof/>
              </w:rPr>
            </w:pPr>
            <w:r>
              <w:rPr>
                <w:noProof/>
              </w:rPr>
              <w:t>KW. 4</w:t>
            </w:r>
          </w:p>
        </w:tc>
        <w:tc>
          <w:tcPr>
            <w:tcW w:w="698" w:type="dxa"/>
            <w:shd w:val="clear" w:color="auto" w:fill="C6EFCE"/>
            <w:noWrap/>
            <w:vAlign w:val="center"/>
          </w:tcPr>
          <w:p w14:paraId="7B2A8EAF" w14:textId="77777777" w:rsidR="004C6421" w:rsidRDefault="009D1962">
            <w:pPr>
              <w:pStyle w:val="P68B1DB1-Normal4"/>
              <w:spacing w:line="276" w:lineRule="auto"/>
              <w:jc w:val="center"/>
              <w:rPr>
                <w:noProof/>
              </w:rPr>
            </w:pPr>
            <w:r>
              <w:rPr>
                <w:noProof/>
              </w:rPr>
              <w:t>2021</w:t>
            </w:r>
          </w:p>
        </w:tc>
        <w:tc>
          <w:tcPr>
            <w:tcW w:w="3770" w:type="dxa"/>
            <w:shd w:val="clear" w:color="auto" w:fill="C6EFCE"/>
            <w:noWrap/>
            <w:vAlign w:val="center"/>
          </w:tcPr>
          <w:p w14:paraId="2AB0C5BD" w14:textId="77777777" w:rsidR="004C6421" w:rsidRDefault="009D1962">
            <w:pPr>
              <w:pStyle w:val="P68B1DB1-Normal4"/>
              <w:spacing w:after="120"/>
              <w:rPr>
                <w:noProof/>
              </w:rPr>
            </w:pPr>
            <w:r>
              <w:rPr>
                <w:noProof/>
              </w:rPr>
              <w:t>Dekret z mocą ustawy upraszcza kryteria oceny projektów w odniesieniu do lokalnego transportu publicznego oraz przyspiesza proces projektowania i wydawania zezwoleń.</w:t>
            </w:r>
          </w:p>
        </w:tc>
      </w:tr>
      <w:tr w:rsidR="004C6421" w14:paraId="7F755A26" w14:textId="77777777">
        <w:trPr>
          <w:trHeight w:val="309"/>
          <w:jc w:val="center"/>
        </w:trPr>
        <w:tc>
          <w:tcPr>
            <w:tcW w:w="1101" w:type="dxa"/>
            <w:shd w:val="clear" w:color="auto" w:fill="C6EFCE"/>
            <w:noWrap/>
            <w:vAlign w:val="center"/>
          </w:tcPr>
          <w:p w14:paraId="15D5F4D0" w14:textId="77777777" w:rsidR="004C6421" w:rsidRDefault="009D1962">
            <w:pPr>
              <w:pStyle w:val="P68B1DB1-Normal4"/>
              <w:spacing w:line="276" w:lineRule="auto"/>
              <w:jc w:val="center"/>
              <w:rPr>
                <w:noProof/>
              </w:rPr>
            </w:pPr>
            <w:r>
              <w:rPr>
                <w:noProof/>
              </w:rPr>
              <w:t>M2C2-38</w:t>
            </w:r>
          </w:p>
        </w:tc>
        <w:tc>
          <w:tcPr>
            <w:tcW w:w="1682" w:type="dxa"/>
            <w:shd w:val="clear" w:color="auto" w:fill="C6EFCE"/>
            <w:noWrap/>
            <w:vAlign w:val="center"/>
          </w:tcPr>
          <w:p w14:paraId="4C1D9C37" w14:textId="77777777" w:rsidR="004C6421" w:rsidRDefault="009D1962">
            <w:pPr>
              <w:pStyle w:val="P68B1DB1-Normal4"/>
              <w:spacing w:line="276" w:lineRule="auto"/>
              <w:jc w:val="center"/>
              <w:rPr>
                <w:noProof/>
              </w:rPr>
            </w:pPr>
            <w:r>
              <w:rPr>
                <w:noProof/>
              </w:rPr>
              <w:t>Inwestycja 5.1: Odnawialne źródła energii i baterie</w:t>
            </w:r>
          </w:p>
        </w:tc>
        <w:tc>
          <w:tcPr>
            <w:tcW w:w="1110" w:type="dxa"/>
            <w:shd w:val="clear" w:color="auto" w:fill="C6EFCE"/>
            <w:noWrap/>
            <w:vAlign w:val="center"/>
          </w:tcPr>
          <w:p w14:paraId="26FEBCDA" w14:textId="6C6C83BC" w:rsidR="004C6421" w:rsidRDefault="00CC179E">
            <w:pPr>
              <w:pStyle w:val="P68B1DB1-Normal4"/>
              <w:spacing w:line="276" w:lineRule="auto"/>
              <w:jc w:val="center"/>
              <w:rPr>
                <w:noProof/>
              </w:rPr>
            </w:pPr>
            <w:r>
              <w:rPr>
                <w:noProof/>
              </w:rPr>
              <w:t>Milowy</w:t>
            </w:r>
          </w:p>
        </w:tc>
        <w:tc>
          <w:tcPr>
            <w:tcW w:w="1391" w:type="dxa"/>
            <w:shd w:val="clear" w:color="auto" w:fill="C6EFCE"/>
            <w:noWrap/>
            <w:vAlign w:val="center"/>
          </w:tcPr>
          <w:p w14:paraId="159FCCFE" w14:textId="77777777" w:rsidR="004C6421" w:rsidRDefault="009D1962">
            <w:pPr>
              <w:pStyle w:val="P68B1DB1-Normal4"/>
              <w:spacing w:line="276" w:lineRule="auto"/>
              <w:jc w:val="center"/>
              <w:rPr>
                <w:noProof/>
              </w:rPr>
            </w:pPr>
            <w:r>
              <w:rPr>
                <w:noProof/>
              </w:rPr>
              <w:t>Wejście w życie dekretu ministerialnego</w:t>
            </w:r>
          </w:p>
        </w:tc>
        <w:tc>
          <w:tcPr>
            <w:tcW w:w="1253" w:type="dxa"/>
            <w:shd w:val="clear" w:color="auto" w:fill="C6EFCE"/>
            <w:noWrap/>
            <w:vAlign w:val="center"/>
          </w:tcPr>
          <w:p w14:paraId="2E87DEED" w14:textId="77777777" w:rsidR="004C6421" w:rsidRDefault="009D1962">
            <w:pPr>
              <w:pStyle w:val="P68B1DB1-Normal4"/>
              <w:spacing w:line="276" w:lineRule="auto"/>
              <w:jc w:val="center"/>
              <w:rPr>
                <w:noProof/>
              </w:rPr>
            </w:pPr>
            <w:r>
              <w:rPr>
                <w:noProof/>
              </w:rPr>
              <w:t>Przepis ustawy wskazujący na wejście w życie dekretu ministerialnego NIE DOT.</w:t>
            </w:r>
          </w:p>
        </w:tc>
        <w:tc>
          <w:tcPr>
            <w:tcW w:w="1388" w:type="dxa"/>
            <w:shd w:val="clear" w:color="auto" w:fill="C6EFCE"/>
            <w:noWrap/>
            <w:vAlign w:val="center"/>
          </w:tcPr>
          <w:p w14:paraId="2D7FFBD9" w14:textId="77777777" w:rsidR="004C6421" w:rsidRDefault="009D1962">
            <w:pPr>
              <w:pStyle w:val="P68B1DB1-Normal4"/>
              <w:spacing w:line="276" w:lineRule="auto"/>
              <w:jc w:val="center"/>
              <w:rPr>
                <w:noProof/>
              </w:rPr>
            </w:pPr>
            <w:r>
              <w:rPr>
                <w:noProof/>
              </w:rPr>
              <w:t>NIE DOT.</w:t>
            </w:r>
          </w:p>
        </w:tc>
        <w:tc>
          <w:tcPr>
            <w:tcW w:w="1003" w:type="dxa"/>
            <w:shd w:val="clear" w:color="auto" w:fill="C6EFCE"/>
            <w:noWrap/>
            <w:vAlign w:val="center"/>
          </w:tcPr>
          <w:p w14:paraId="21ED6DD4" w14:textId="77777777" w:rsidR="004C6421" w:rsidRDefault="009D1962">
            <w:pPr>
              <w:pStyle w:val="P68B1DB1-Normal4"/>
              <w:spacing w:line="276" w:lineRule="auto"/>
              <w:jc w:val="center"/>
              <w:rPr>
                <w:noProof/>
              </w:rPr>
            </w:pPr>
            <w:r>
              <w:rPr>
                <w:noProof/>
              </w:rPr>
              <w:t>NIE DOT.</w:t>
            </w:r>
          </w:p>
        </w:tc>
        <w:tc>
          <w:tcPr>
            <w:tcW w:w="1391" w:type="dxa"/>
            <w:shd w:val="clear" w:color="auto" w:fill="C6EFCE"/>
            <w:noWrap/>
            <w:vAlign w:val="center"/>
          </w:tcPr>
          <w:p w14:paraId="2C9B281F" w14:textId="77777777" w:rsidR="004C6421" w:rsidRDefault="009D1962">
            <w:pPr>
              <w:pStyle w:val="P68B1DB1-Normal4"/>
              <w:spacing w:line="276" w:lineRule="auto"/>
              <w:jc w:val="center"/>
              <w:rPr>
                <w:noProof/>
              </w:rPr>
            </w:pPr>
            <w:r>
              <w:rPr>
                <w:noProof/>
              </w:rPr>
              <w:t>NIE DOT.</w:t>
            </w:r>
          </w:p>
        </w:tc>
        <w:tc>
          <w:tcPr>
            <w:tcW w:w="975" w:type="dxa"/>
            <w:shd w:val="clear" w:color="auto" w:fill="C6EFCE"/>
            <w:noWrap/>
            <w:vAlign w:val="center"/>
          </w:tcPr>
          <w:p w14:paraId="575EF963" w14:textId="77777777" w:rsidR="004C6421" w:rsidRDefault="009D1962">
            <w:pPr>
              <w:pStyle w:val="P68B1DB1-Normal4"/>
              <w:spacing w:line="276" w:lineRule="auto"/>
              <w:jc w:val="center"/>
              <w:rPr>
                <w:noProof/>
              </w:rPr>
            </w:pPr>
            <w:r>
              <w:rPr>
                <w:noProof/>
              </w:rPr>
              <w:t>II KW.</w:t>
            </w:r>
          </w:p>
        </w:tc>
        <w:tc>
          <w:tcPr>
            <w:tcW w:w="698" w:type="dxa"/>
            <w:shd w:val="clear" w:color="auto" w:fill="C6EFCE"/>
            <w:noWrap/>
            <w:vAlign w:val="center"/>
          </w:tcPr>
          <w:p w14:paraId="719239C8" w14:textId="77777777" w:rsidR="004C6421" w:rsidRDefault="009D1962">
            <w:pPr>
              <w:pStyle w:val="P68B1DB1-Normal4"/>
              <w:spacing w:line="276" w:lineRule="auto"/>
              <w:jc w:val="center"/>
              <w:rPr>
                <w:noProof/>
              </w:rPr>
            </w:pPr>
            <w:r>
              <w:rPr>
                <w:noProof/>
              </w:rPr>
              <w:t>2022</w:t>
            </w:r>
          </w:p>
        </w:tc>
        <w:tc>
          <w:tcPr>
            <w:tcW w:w="3770" w:type="dxa"/>
            <w:shd w:val="clear" w:color="auto" w:fill="C6EFCE"/>
            <w:noWrap/>
            <w:vAlign w:val="center"/>
          </w:tcPr>
          <w:p w14:paraId="11BFA04D" w14:textId="77777777" w:rsidR="004C6421" w:rsidRDefault="009D1962">
            <w:pPr>
              <w:pStyle w:val="P68B1DB1-Normal4"/>
              <w:spacing w:after="120"/>
              <w:rPr>
                <w:noProof/>
              </w:rPr>
            </w:pPr>
            <w:r>
              <w:rPr>
                <w:noProof/>
              </w:rPr>
              <w:t>Dekret ministerialny określa ilość dostępnych zasobów, warunki dostępu beneficjentów, warunki kwalifikowalności programów i projektów, wydatki kwalifikowalne oraz formę i intensywność pomocy na rozwój wysokowydajnych paneli fotowoltaicznych oraz na rozwój baterii.</w:t>
            </w:r>
          </w:p>
        </w:tc>
      </w:tr>
      <w:tr w:rsidR="004C6421" w14:paraId="63EF6556" w14:textId="77777777">
        <w:trPr>
          <w:trHeight w:val="309"/>
          <w:jc w:val="center"/>
        </w:trPr>
        <w:tc>
          <w:tcPr>
            <w:tcW w:w="1101" w:type="dxa"/>
            <w:shd w:val="clear" w:color="auto" w:fill="C6EFCE"/>
            <w:noWrap/>
            <w:vAlign w:val="center"/>
          </w:tcPr>
          <w:p w14:paraId="54105C23" w14:textId="77777777" w:rsidR="004C6421" w:rsidRDefault="009D1962">
            <w:pPr>
              <w:pStyle w:val="P68B1DB1-Normal4"/>
              <w:spacing w:line="276" w:lineRule="auto"/>
              <w:jc w:val="center"/>
              <w:rPr>
                <w:noProof/>
              </w:rPr>
            </w:pPr>
            <w:r>
              <w:rPr>
                <w:noProof/>
              </w:rPr>
              <w:t>M2C2-41</w:t>
            </w:r>
          </w:p>
        </w:tc>
        <w:tc>
          <w:tcPr>
            <w:tcW w:w="1682" w:type="dxa"/>
            <w:shd w:val="clear" w:color="auto" w:fill="C6EFCE"/>
            <w:noWrap/>
            <w:vAlign w:val="center"/>
          </w:tcPr>
          <w:p w14:paraId="12ABA021" w14:textId="77777777" w:rsidR="004C6421" w:rsidRDefault="009D1962">
            <w:pPr>
              <w:pStyle w:val="P68B1DB1-Normal4"/>
              <w:spacing w:line="276" w:lineRule="auto"/>
              <w:jc w:val="center"/>
              <w:rPr>
                <w:noProof/>
              </w:rPr>
            </w:pPr>
            <w:r>
              <w:rPr>
                <w:noProof/>
              </w:rPr>
              <w:t>Inwestycje 5.3: Autobusy elektryczne</w:t>
            </w:r>
          </w:p>
        </w:tc>
        <w:tc>
          <w:tcPr>
            <w:tcW w:w="1110" w:type="dxa"/>
            <w:shd w:val="clear" w:color="auto" w:fill="C6EFCE"/>
            <w:noWrap/>
            <w:vAlign w:val="center"/>
          </w:tcPr>
          <w:p w14:paraId="5D2ADDAA" w14:textId="1A06B15F" w:rsidR="004C6421" w:rsidRDefault="00CC179E">
            <w:pPr>
              <w:pStyle w:val="P68B1DB1-Normal4"/>
              <w:spacing w:line="276" w:lineRule="auto"/>
              <w:jc w:val="center"/>
              <w:rPr>
                <w:noProof/>
              </w:rPr>
            </w:pPr>
            <w:r>
              <w:rPr>
                <w:noProof/>
              </w:rPr>
              <w:t>Milowy</w:t>
            </w:r>
          </w:p>
        </w:tc>
        <w:tc>
          <w:tcPr>
            <w:tcW w:w="1391" w:type="dxa"/>
            <w:shd w:val="clear" w:color="auto" w:fill="C6EFCE"/>
            <w:noWrap/>
            <w:vAlign w:val="center"/>
          </w:tcPr>
          <w:p w14:paraId="5086AE21" w14:textId="77777777" w:rsidR="004C6421" w:rsidRDefault="009D1962">
            <w:pPr>
              <w:pStyle w:val="P68B1DB1-Normal4"/>
              <w:spacing w:line="276" w:lineRule="auto"/>
              <w:jc w:val="center"/>
              <w:rPr>
                <w:noProof/>
              </w:rPr>
            </w:pPr>
            <w:r>
              <w:rPr>
                <w:noProof/>
              </w:rPr>
              <w:t>Wejście w życie dekretu ministerialnego określającego kwotę dostępnych środków na osiągnięcie celu interwencji (łańcuch dostaw autobusów)</w:t>
            </w:r>
          </w:p>
        </w:tc>
        <w:tc>
          <w:tcPr>
            <w:tcW w:w="1253" w:type="dxa"/>
            <w:shd w:val="clear" w:color="auto" w:fill="C6EFCE"/>
            <w:noWrap/>
            <w:vAlign w:val="center"/>
          </w:tcPr>
          <w:p w14:paraId="59D30CFE" w14:textId="77777777" w:rsidR="004C6421" w:rsidRDefault="009D1962">
            <w:pPr>
              <w:pStyle w:val="P68B1DB1-Normal4"/>
              <w:spacing w:line="276" w:lineRule="auto"/>
              <w:jc w:val="center"/>
              <w:rPr>
                <w:noProof/>
              </w:rPr>
            </w:pPr>
            <w:r>
              <w:rPr>
                <w:noProof/>
              </w:rPr>
              <w:t>Przepis dekretu ministerialnego wskazujący na wejście w życie NIE DOT.</w:t>
            </w:r>
          </w:p>
        </w:tc>
        <w:tc>
          <w:tcPr>
            <w:tcW w:w="1388" w:type="dxa"/>
            <w:shd w:val="clear" w:color="auto" w:fill="C6EFCE"/>
            <w:noWrap/>
            <w:vAlign w:val="center"/>
          </w:tcPr>
          <w:p w14:paraId="10A6406C" w14:textId="77777777" w:rsidR="004C6421" w:rsidRDefault="009D1962">
            <w:pPr>
              <w:pStyle w:val="P68B1DB1-Normal4"/>
              <w:spacing w:line="276" w:lineRule="auto"/>
              <w:jc w:val="center"/>
              <w:rPr>
                <w:noProof/>
              </w:rPr>
            </w:pPr>
            <w:r>
              <w:rPr>
                <w:noProof/>
              </w:rPr>
              <w:t>NIE DOT.</w:t>
            </w:r>
          </w:p>
        </w:tc>
        <w:tc>
          <w:tcPr>
            <w:tcW w:w="1003" w:type="dxa"/>
            <w:shd w:val="clear" w:color="auto" w:fill="C6EFCE"/>
            <w:noWrap/>
            <w:vAlign w:val="center"/>
          </w:tcPr>
          <w:p w14:paraId="55022209" w14:textId="77777777" w:rsidR="004C6421" w:rsidRDefault="009D1962">
            <w:pPr>
              <w:pStyle w:val="P68B1DB1-Normal4"/>
              <w:spacing w:line="276" w:lineRule="auto"/>
              <w:jc w:val="center"/>
              <w:rPr>
                <w:noProof/>
              </w:rPr>
            </w:pPr>
            <w:r>
              <w:rPr>
                <w:noProof/>
              </w:rPr>
              <w:t>NIE DOT.</w:t>
            </w:r>
          </w:p>
        </w:tc>
        <w:tc>
          <w:tcPr>
            <w:tcW w:w="1391" w:type="dxa"/>
            <w:shd w:val="clear" w:color="auto" w:fill="C6EFCE"/>
            <w:noWrap/>
            <w:vAlign w:val="center"/>
          </w:tcPr>
          <w:p w14:paraId="4DE092F4" w14:textId="77777777" w:rsidR="004C6421" w:rsidRDefault="009D1962">
            <w:pPr>
              <w:pStyle w:val="P68B1DB1-Normal4"/>
              <w:spacing w:line="276" w:lineRule="auto"/>
              <w:jc w:val="center"/>
              <w:rPr>
                <w:noProof/>
              </w:rPr>
            </w:pPr>
            <w:r>
              <w:rPr>
                <w:noProof/>
              </w:rPr>
              <w:t>NIE DOT.</w:t>
            </w:r>
          </w:p>
        </w:tc>
        <w:tc>
          <w:tcPr>
            <w:tcW w:w="975" w:type="dxa"/>
            <w:shd w:val="clear" w:color="auto" w:fill="C6EFCE"/>
            <w:noWrap/>
            <w:vAlign w:val="center"/>
          </w:tcPr>
          <w:p w14:paraId="3B7272C2" w14:textId="0DCF368C" w:rsidR="004C6421" w:rsidRDefault="00CC179E">
            <w:pPr>
              <w:pStyle w:val="P68B1DB1-Normal4"/>
              <w:spacing w:line="276" w:lineRule="auto"/>
              <w:jc w:val="center"/>
              <w:rPr>
                <w:noProof/>
              </w:rPr>
            </w:pPr>
            <w:r>
              <w:rPr>
                <w:noProof/>
              </w:rPr>
              <w:t>KW. 4</w:t>
            </w:r>
          </w:p>
        </w:tc>
        <w:tc>
          <w:tcPr>
            <w:tcW w:w="698" w:type="dxa"/>
            <w:shd w:val="clear" w:color="auto" w:fill="C6EFCE"/>
            <w:noWrap/>
            <w:vAlign w:val="center"/>
          </w:tcPr>
          <w:p w14:paraId="30A94755" w14:textId="77777777" w:rsidR="004C6421" w:rsidRDefault="009D1962">
            <w:pPr>
              <w:pStyle w:val="P68B1DB1-Normal4"/>
              <w:spacing w:line="276" w:lineRule="auto"/>
              <w:jc w:val="center"/>
              <w:rPr>
                <w:noProof/>
              </w:rPr>
            </w:pPr>
            <w:r>
              <w:rPr>
                <w:noProof/>
              </w:rPr>
              <w:t>2021</w:t>
            </w:r>
          </w:p>
        </w:tc>
        <w:tc>
          <w:tcPr>
            <w:tcW w:w="3770" w:type="dxa"/>
            <w:shd w:val="clear" w:color="auto" w:fill="C6EFCE"/>
            <w:noWrap/>
            <w:vAlign w:val="center"/>
          </w:tcPr>
          <w:p w14:paraId="69224CF6" w14:textId="77777777" w:rsidR="004C6421" w:rsidRDefault="009D1962">
            <w:pPr>
              <w:pStyle w:val="P68B1DB1-Normal4"/>
              <w:spacing w:after="120"/>
              <w:rPr>
                <w:noProof/>
              </w:rPr>
            </w:pPr>
            <w:r>
              <w:rPr>
                <w:noProof/>
              </w:rPr>
              <w:t>W dekrecie ministerialnym określa się kwotę dostępnych zasobów na realizację około 45 projektów transformacji przemysłowej za pomocą „umów na rzecz rozwoju”.</w:t>
            </w:r>
          </w:p>
        </w:tc>
      </w:tr>
      <w:tr w:rsidR="004C6421" w14:paraId="2120D36D" w14:textId="77777777">
        <w:trPr>
          <w:trHeight w:val="7425"/>
          <w:jc w:val="center"/>
        </w:trPr>
        <w:tc>
          <w:tcPr>
            <w:tcW w:w="1101" w:type="dxa"/>
            <w:shd w:val="clear" w:color="auto" w:fill="C6EFCE"/>
            <w:noWrap/>
            <w:vAlign w:val="center"/>
          </w:tcPr>
          <w:p w14:paraId="720F8AA0" w14:textId="77777777" w:rsidR="004C6421" w:rsidRDefault="009D1962">
            <w:pPr>
              <w:pStyle w:val="P68B1DB1-Normal4"/>
              <w:spacing w:line="276" w:lineRule="auto"/>
              <w:jc w:val="center"/>
              <w:rPr>
                <w:noProof/>
              </w:rPr>
            </w:pPr>
            <w:r>
              <w:rPr>
                <w:noProof/>
              </w:rPr>
              <w:t>M2C2-42</w:t>
            </w:r>
          </w:p>
        </w:tc>
        <w:tc>
          <w:tcPr>
            <w:tcW w:w="1682" w:type="dxa"/>
            <w:shd w:val="clear" w:color="auto" w:fill="C6EFCE"/>
            <w:noWrap/>
            <w:vAlign w:val="center"/>
          </w:tcPr>
          <w:p w14:paraId="59461C07" w14:textId="77777777" w:rsidR="004C6421" w:rsidRDefault="009D1962">
            <w:pPr>
              <w:pStyle w:val="P68B1DB1-Normal4"/>
              <w:spacing w:line="276" w:lineRule="auto"/>
              <w:jc w:val="center"/>
              <w:rPr>
                <w:noProof/>
              </w:rPr>
            </w:pPr>
            <w:r>
              <w:rPr>
                <w:noProof/>
              </w:rPr>
              <w:t>Inwestycja 5.4: Wsparcie dla przedsiębiorstw typu start-up i kapitału wysokiego ryzyka działających w ramach transformacji ekologicznej</w:t>
            </w:r>
          </w:p>
        </w:tc>
        <w:tc>
          <w:tcPr>
            <w:tcW w:w="1110" w:type="dxa"/>
            <w:shd w:val="clear" w:color="auto" w:fill="C6EFCE"/>
            <w:noWrap/>
            <w:vAlign w:val="center"/>
          </w:tcPr>
          <w:p w14:paraId="71AE14C7" w14:textId="616C52B4" w:rsidR="004C6421" w:rsidRDefault="00CC179E">
            <w:pPr>
              <w:pStyle w:val="P68B1DB1-Normal4"/>
              <w:spacing w:line="276" w:lineRule="auto"/>
              <w:jc w:val="center"/>
              <w:rPr>
                <w:noProof/>
              </w:rPr>
            </w:pPr>
            <w:r>
              <w:rPr>
                <w:noProof/>
              </w:rPr>
              <w:t>Milowy</w:t>
            </w:r>
          </w:p>
        </w:tc>
        <w:tc>
          <w:tcPr>
            <w:tcW w:w="1391" w:type="dxa"/>
            <w:shd w:val="clear" w:color="auto" w:fill="C6EFCE"/>
            <w:noWrap/>
            <w:vAlign w:val="center"/>
          </w:tcPr>
          <w:p w14:paraId="3E600723" w14:textId="77777777" w:rsidR="004C6421" w:rsidRDefault="009D1962">
            <w:pPr>
              <w:pStyle w:val="P68B1DB1-Normal4"/>
              <w:spacing w:line="276" w:lineRule="auto"/>
              <w:jc w:val="center"/>
              <w:rPr>
                <w:noProof/>
              </w:rPr>
            </w:pPr>
            <w:r>
              <w:rPr>
                <w:noProof/>
              </w:rPr>
              <w:t>Podpisanie umowy finansowej</w:t>
            </w:r>
          </w:p>
        </w:tc>
        <w:tc>
          <w:tcPr>
            <w:tcW w:w="1253" w:type="dxa"/>
            <w:shd w:val="clear" w:color="auto" w:fill="C6EFCE"/>
            <w:noWrap/>
            <w:vAlign w:val="center"/>
          </w:tcPr>
          <w:p w14:paraId="04FE9279" w14:textId="77777777" w:rsidR="004C6421" w:rsidRDefault="009D1962">
            <w:pPr>
              <w:pStyle w:val="P68B1DB1-Normal4"/>
              <w:spacing w:line="276" w:lineRule="auto"/>
              <w:jc w:val="center"/>
              <w:rPr>
                <w:noProof/>
              </w:rPr>
            </w:pPr>
            <w:r>
              <w:rPr>
                <w:noProof/>
              </w:rPr>
              <w:t>Powiadomienie o podpisaniu umowy finansowej NIE DOT.</w:t>
            </w:r>
          </w:p>
        </w:tc>
        <w:tc>
          <w:tcPr>
            <w:tcW w:w="1388" w:type="dxa"/>
            <w:shd w:val="clear" w:color="auto" w:fill="C6EFCE"/>
            <w:noWrap/>
            <w:vAlign w:val="center"/>
          </w:tcPr>
          <w:p w14:paraId="3545EDBF" w14:textId="77777777" w:rsidR="004C6421" w:rsidRDefault="009D1962">
            <w:pPr>
              <w:pStyle w:val="P68B1DB1-Normal4"/>
              <w:spacing w:line="276" w:lineRule="auto"/>
              <w:jc w:val="center"/>
              <w:rPr>
                <w:noProof/>
              </w:rPr>
            </w:pPr>
            <w:r>
              <w:rPr>
                <w:noProof/>
              </w:rPr>
              <w:t>NIE DOT.</w:t>
            </w:r>
          </w:p>
        </w:tc>
        <w:tc>
          <w:tcPr>
            <w:tcW w:w="1003" w:type="dxa"/>
            <w:shd w:val="clear" w:color="auto" w:fill="C6EFCE"/>
            <w:noWrap/>
            <w:vAlign w:val="center"/>
          </w:tcPr>
          <w:p w14:paraId="56BE7E4B" w14:textId="77777777" w:rsidR="004C6421" w:rsidRDefault="009D1962">
            <w:pPr>
              <w:pStyle w:val="P68B1DB1-Normal4"/>
              <w:spacing w:line="276" w:lineRule="auto"/>
              <w:jc w:val="center"/>
              <w:rPr>
                <w:noProof/>
              </w:rPr>
            </w:pPr>
            <w:r>
              <w:rPr>
                <w:noProof/>
              </w:rPr>
              <w:t>NIE DOT.</w:t>
            </w:r>
          </w:p>
        </w:tc>
        <w:tc>
          <w:tcPr>
            <w:tcW w:w="1391" w:type="dxa"/>
            <w:shd w:val="clear" w:color="auto" w:fill="C6EFCE"/>
            <w:noWrap/>
            <w:vAlign w:val="center"/>
          </w:tcPr>
          <w:p w14:paraId="64FFEF24" w14:textId="77777777" w:rsidR="004C6421" w:rsidRDefault="009D1962">
            <w:pPr>
              <w:pStyle w:val="P68B1DB1-Normal4"/>
              <w:spacing w:line="276" w:lineRule="auto"/>
              <w:jc w:val="center"/>
              <w:rPr>
                <w:noProof/>
              </w:rPr>
            </w:pPr>
            <w:r>
              <w:rPr>
                <w:noProof/>
              </w:rPr>
              <w:t>NIE DOT.</w:t>
            </w:r>
          </w:p>
        </w:tc>
        <w:tc>
          <w:tcPr>
            <w:tcW w:w="975" w:type="dxa"/>
            <w:shd w:val="clear" w:color="auto" w:fill="C6EFCE"/>
            <w:noWrap/>
            <w:vAlign w:val="center"/>
          </w:tcPr>
          <w:p w14:paraId="4986277F" w14:textId="77777777" w:rsidR="004C6421" w:rsidRDefault="009D1962">
            <w:pPr>
              <w:pStyle w:val="P68B1DB1-Normal4"/>
              <w:spacing w:line="276" w:lineRule="auto"/>
              <w:jc w:val="center"/>
              <w:rPr>
                <w:noProof/>
              </w:rPr>
            </w:pPr>
            <w:r>
              <w:rPr>
                <w:noProof/>
              </w:rPr>
              <w:t>II KW.</w:t>
            </w:r>
          </w:p>
        </w:tc>
        <w:tc>
          <w:tcPr>
            <w:tcW w:w="698" w:type="dxa"/>
            <w:shd w:val="clear" w:color="auto" w:fill="C6EFCE"/>
            <w:noWrap/>
            <w:vAlign w:val="center"/>
          </w:tcPr>
          <w:p w14:paraId="3AA610CC" w14:textId="77777777" w:rsidR="004C6421" w:rsidRDefault="009D1962">
            <w:pPr>
              <w:pStyle w:val="P68B1DB1-Normal4"/>
              <w:spacing w:line="276" w:lineRule="auto"/>
              <w:jc w:val="center"/>
              <w:rPr>
                <w:noProof/>
              </w:rPr>
            </w:pPr>
            <w:r>
              <w:rPr>
                <w:noProof/>
              </w:rPr>
              <w:t>2022</w:t>
            </w:r>
          </w:p>
        </w:tc>
        <w:tc>
          <w:tcPr>
            <w:tcW w:w="3770" w:type="dxa"/>
            <w:shd w:val="clear" w:color="auto" w:fill="C6EFCE"/>
            <w:noWrap/>
            <w:vAlign w:val="center"/>
          </w:tcPr>
          <w:p w14:paraId="0FDF3DE6" w14:textId="77777777" w:rsidR="004C6421" w:rsidRDefault="009D1962">
            <w:pPr>
              <w:pStyle w:val="P68B1DB1-Normal4"/>
              <w:spacing w:after="120"/>
              <w:rPr>
                <w:noProof/>
              </w:rPr>
            </w:pPr>
            <w:r>
              <w:rPr>
                <w:noProof/>
              </w:rPr>
              <w:t>Umowa finansowa określa pośrednie inwestycje w zarządzających funduszami venture capital wraz z inwestycjami i przedsiębiorstwami/rozpoczęcie działalności zgodnie z celami zielonej transformacji, aby zwiększyć kapitał dostępny dla naukowców i przedsiębiorstw typu start-up, wzmocnić działania aktywnych funduszy venture capital, rozwijać nowe i innowacyjne przedsięwzięcia we współpracy z przedsiębiorstwami.</w:t>
            </w:r>
          </w:p>
          <w:p w14:paraId="02566797" w14:textId="77777777" w:rsidR="004C6421" w:rsidRDefault="004C6421">
            <w:pPr>
              <w:spacing w:after="120"/>
              <w:rPr>
                <w:rFonts w:ascii="Arial Narrow" w:hAnsi="Arial Narrow"/>
                <w:noProof/>
                <w:color w:val="006100"/>
                <w:sz w:val="20"/>
              </w:rPr>
            </w:pPr>
          </w:p>
          <w:p w14:paraId="47D0C6D3" w14:textId="77777777" w:rsidR="004C6421" w:rsidRDefault="009D1962">
            <w:pPr>
              <w:pStyle w:val="P68B1DB1-Normal4"/>
              <w:spacing w:after="120"/>
              <w:rPr>
                <w:noProof/>
              </w:rPr>
            </w:pPr>
            <w:r>
              <w:rPr>
                <w:noProof/>
              </w:rPr>
              <w:t>Umowa finansowa zawiera:</w:t>
            </w:r>
          </w:p>
          <w:p w14:paraId="2F68649F" w14:textId="77777777" w:rsidR="004C6421" w:rsidRDefault="009D1962">
            <w:pPr>
              <w:pStyle w:val="P68B1DB1-ListParagraph5"/>
              <w:numPr>
                <w:ilvl w:val="0"/>
                <w:numId w:val="74"/>
              </w:numPr>
              <w:spacing w:before="0"/>
              <w:ind w:left="296"/>
              <w:contextualSpacing w:val="0"/>
              <w:jc w:val="left"/>
              <w:rPr>
                <w:noProof/>
              </w:rPr>
            </w:pPr>
            <w:r>
              <w:rPr>
                <w:noProof/>
              </w:rPr>
              <w:t>politykę inwestycyjną,</w:t>
            </w:r>
          </w:p>
          <w:p w14:paraId="52E8FBAE" w14:textId="77777777" w:rsidR="004C6421" w:rsidRDefault="009D1962">
            <w:pPr>
              <w:pStyle w:val="P68B1DB1-ListParagraph5"/>
              <w:numPr>
                <w:ilvl w:val="0"/>
                <w:numId w:val="74"/>
              </w:numPr>
              <w:spacing w:before="0"/>
              <w:ind w:left="296"/>
              <w:contextualSpacing w:val="0"/>
              <w:jc w:val="left"/>
              <w:rPr>
                <w:noProof/>
              </w:rPr>
            </w:pPr>
            <w:r>
              <w:rPr>
                <w:noProof/>
              </w:rPr>
              <w:t>kryteria kwalifikowalności,</w:t>
            </w:r>
          </w:p>
          <w:p w14:paraId="4F0C2CD5" w14:textId="77777777" w:rsidR="004C6421" w:rsidRDefault="009D1962">
            <w:pPr>
              <w:pStyle w:val="P68B1DB1-Normal4"/>
              <w:spacing w:after="120"/>
              <w:rPr>
                <w:noProof/>
              </w:rPr>
            </w:pPr>
            <w:r>
              <w:rPr>
                <w:noProof/>
              </w:rPr>
              <w:t>zgodność z wytycznymi technicznymi dotyczącymi zasady „nie czyń poważnych szkód” (2021/C58/01) transakcji objętych wsparciem w ramach tego środka poprzez stosowanie kontroli zrównoważonego charakteru projektów, wykazu wyłączeń oraz wymogu zgodności z odpowiednimi unijnymi i krajowymi przepisami w zakresie ochrony środowiska.</w:t>
            </w:r>
          </w:p>
        </w:tc>
      </w:tr>
    </w:tbl>
    <w:p w14:paraId="035BD398" w14:textId="77777777" w:rsidR="004C6421" w:rsidRDefault="004C6421">
      <w:pPr>
        <w:spacing w:before="120" w:after="120"/>
        <w:ind w:left="709"/>
        <w:jc w:val="both"/>
        <w:rPr>
          <w:noProof/>
        </w:rPr>
      </w:pPr>
    </w:p>
    <w:p w14:paraId="74D11D45" w14:textId="77777777" w:rsidR="004C6421" w:rsidRDefault="004C6421">
      <w:pPr>
        <w:spacing w:before="120" w:after="120"/>
        <w:ind w:left="709"/>
        <w:jc w:val="both"/>
        <w:rPr>
          <w:noProof/>
        </w:rPr>
        <w:sectPr w:rsidR="004C6421" w:rsidSect="00797973">
          <w:headerReference w:type="even" r:id="rId146"/>
          <w:headerReference w:type="default" r:id="rId147"/>
          <w:footerReference w:type="even" r:id="rId148"/>
          <w:footerReference w:type="default" r:id="rId149"/>
          <w:headerReference w:type="first" r:id="rId150"/>
          <w:footerReference w:type="first" r:id="rId151"/>
          <w:pgSz w:w="16839" w:h="11907" w:orient="landscape"/>
          <w:pgMar w:top="1134" w:right="1134" w:bottom="1134" w:left="1134" w:header="567" w:footer="567" w:gutter="0"/>
          <w:cols w:space="720"/>
          <w:docGrid w:linePitch="360"/>
        </w:sectPr>
      </w:pPr>
    </w:p>
    <w:p w14:paraId="155CE2F8" w14:textId="77777777" w:rsidR="004C6421" w:rsidRDefault="009D1962">
      <w:pPr>
        <w:pStyle w:val="Heading3"/>
        <w:numPr>
          <w:ilvl w:val="0"/>
          <w:numId w:val="0"/>
        </w:numPr>
        <w:ind w:left="850" w:hanging="850"/>
        <w:rPr>
          <w:b/>
          <w:i w:val="0"/>
          <w:noProof/>
          <w:color w:val="4472C4" w:themeColor="accent1"/>
          <w:u w:val="single"/>
        </w:rPr>
      </w:pPr>
      <w:r>
        <w:rPr>
          <w:b/>
          <w:i w:val="0"/>
          <w:noProof/>
          <w:u w:val="single"/>
        </w:rPr>
        <w:t xml:space="preserve">E.3. </w:t>
      </w:r>
      <w:r>
        <w:rPr>
          <w:noProof/>
        </w:rPr>
        <w:t xml:space="preserve"> </w:t>
      </w:r>
      <w:r>
        <w:rPr>
          <w:b/>
          <w:i w:val="0"/>
          <w:noProof/>
          <w:u w:val="single"/>
        </w:rPr>
        <w:t xml:space="preserve">Opis reform i inwestycji związanych z pożyczką </w:t>
      </w:r>
    </w:p>
    <w:p w14:paraId="277C0429" w14:textId="77777777" w:rsidR="004C6421" w:rsidRDefault="009D1962">
      <w:pPr>
        <w:pStyle w:val="P68B1DB1-Normal2"/>
        <w:spacing w:before="120" w:after="120"/>
        <w:jc w:val="both"/>
        <w:rPr>
          <w:noProof/>
        </w:rPr>
      </w:pPr>
      <w:r>
        <w:rPr>
          <w:noProof/>
        </w:rPr>
        <w:t>Inwestycje 1.1 – Rozwój systemów agrowoltaicznych</w:t>
      </w:r>
    </w:p>
    <w:p w14:paraId="5BB857FC" w14:textId="77777777" w:rsidR="004C6421" w:rsidRDefault="009D1962">
      <w:pPr>
        <w:spacing w:before="120" w:after="120"/>
        <w:jc w:val="both"/>
        <w:rPr>
          <w:noProof/>
        </w:rPr>
      </w:pPr>
      <w:r>
        <w:rPr>
          <w:noProof/>
        </w:rPr>
        <w:t>Inwestycja ta obejmuje dotacje i pożyczki wspierające inwestycje w budowę systemów agrowoltaicznych oraz instalację przyrządów pomiarowych w celu monitorowania podstawowej działalności rolniczej w celu oceny mikroklimatu, oszczędzania wody, przywrócenia żyzności gleby, odporności na zmianę klimatu i wydajności rolnictwa w odniesieniu do różnych rodzajów upraw.</w:t>
      </w:r>
    </w:p>
    <w:p w14:paraId="4A143623" w14:textId="77777777" w:rsidR="004C6421" w:rsidRDefault="009D1962">
      <w:pPr>
        <w:pStyle w:val="P68B1DB1-Normal2"/>
        <w:spacing w:before="120" w:after="120"/>
        <w:jc w:val="both"/>
        <w:rPr>
          <w:noProof/>
        </w:rPr>
      </w:pPr>
      <w:r>
        <w:rPr>
          <w:noProof/>
        </w:rPr>
        <w:t>Inwestycje 1.2 – Promowanie OZE dla społeczności energetycznych i działających wspólnie prosumentów energii ze źródeł odnawialnych</w:t>
      </w:r>
    </w:p>
    <w:p w14:paraId="046DC385" w14:textId="77777777" w:rsidR="004C6421" w:rsidRDefault="009D1962">
      <w:pPr>
        <w:spacing w:before="120" w:after="120"/>
        <w:jc w:val="both"/>
        <w:rPr>
          <w:noProof/>
        </w:rPr>
      </w:pPr>
      <w:r>
        <w:rPr>
          <w:noProof/>
        </w:rPr>
        <w:t>Inwestycja ta polega na wsparciu instalacji o mocy 1 730 MW nowych mocy wytwórczych energii elektrycznej na potrzeby konfiguracji zbiorowej konsumpcji własnej i społeczności energetycznych działających w zakresie energii odnawialnej, w szczególności w gminach o liczbie ludności poniżej 5000 mieszkańców. Wsparcie opiera się na dotacjach na budowę odnawialnych źródeł energii i zakładów produkcyjnych w połączeniu z systemami magazynowania energii.</w:t>
      </w:r>
    </w:p>
    <w:p w14:paraId="01F280E3" w14:textId="77777777" w:rsidR="004C6421" w:rsidRDefault="009D1962">
      <w:pPr>
        <w:pStyle w:val="P68B1DB1-Normal2"/>
        <w:spacing w:before="120" w:after="120"/>
        <w:jc w:val="both"/>
        <w:rPr>
          <w:noProof/>
        </w:rPr>
      </w:pPr>
      <w:r>
        <w:rPr>
          <w:noProof/>
        </w:rPr>
        <w:t>Inwestycje 1.4 – Rozwój biometanu zgodnie z kryteriami promowania gospodarki o obiegu zamkniętym</w:t>
      </w:r>
    </w:p>
    <w:p w14:paraId="4F474773" w14:textId="77777777" w:rsidR="004C6421" w:rsidRDefault="009D1962">
      <w:pPr>
        <w:spacing w:before="120" w:after="120"/>
        <w:jc w:val="both"/>
        <w:rPr>
          <w:noProof/>
        </w:rPr>
      </w:pPr>
      <w:r>
        <w:rPr>
          <w:noProof/>
        </w:rPr>
        <w:t>Inwestycja ta obejmuje:</w:t>
      </w:r>
    </w:p>
    <w:p w14:paraId="7C8CEF73" w14:textId="77777777" w:rsidR="004C6421" w:rsidRDefault="009D1962">
      <w:pPr>
        <w:numPr>
          <w:ilvl w:val="0"/>
          <w:numId w:val="72"/>
        </w:numPr>
        <w:spacing w:before="120" w:after="120" w:line="259" w:lineRule="auto"/>
        <w:ind w:left="360"/>
        <w:contextualSpacing/>
        <w:jc w:val="both"/>
        <w:rPr>
          <w:noProof/>
        </w:rPr>
      </w:pPr>
      <w:r>
        <w:rPr>
          <w:noProof/>
        </w:rPr>
        <w:t>Wsparcie na budowę nowych zakładów produkcji biometanu</w:t>
      </w:r>
    </w:p>
    <w:p w14:paraId="45CB1C77" w14:textId="77777777" w:rsidR="004C6421" w:rsidRDefault="009D1962">
      <w:pPr>
        <w:numPr>
          <w:ilvl w:val="0"/>
          <w:numId w:val="72"/>
        </w:numPr>
        <w:spacing w:before="120" w:after="120" w:line="259" w:lineRule="auto"/>
        <w:ind w:left="360"/>
        <w:contextualSpacing/>
        <w:jc w:val="both"/>
        <w:rPr>
          <w:noProof/>
        </w:rPr>
      </w:pPr>
      <w:r>
        <w:rPr>
          <w:noProof/>
        </w:rPr>
        <w:t>Przekształcenie i poprawa wydajności istniejących biogazowni rolniczych (w tym organicznej frakcji stałych odpadów komunalnych – OFUSW) w kierunku produkcji biometanu dla transportu, przemysłu i ogrzewania. Biometan musi spełniać kryteria określone w dyrektywie 2018/2001 (dyrektywa RED II), aby umożliwić zgodność środka z zasadą „nie czyń poważnych szkód” oraz z odpowiednimi wymogami określonymi w przypisie 8 w załączniku VI do rozporządzenia (UE) 2021/241.</w:t>
      </w:r>
    </w:p>
    <w:p w14:paraId="1C0FEDA7" w14:textId="77777777" w:rsidR="004C6421" w:rsidRDefault="009D1962">
      <w:pPr>
        <w:numPr>
          <w:ilvl w:val="0"/>
          <w:numId w:val="72"/>
        </w:numPr>
        <w:spacing w:before="120" w:after="120" w:line="259" w:lineRule="auto"/>
        <w:ind w:left="360"/>
        <w:contextualSpacing/>
        <w:jc w:val="both"/>
        <w:rPr>
          <w:noProof/>
        </w:rPr>
      </w:pPr>
      <w:r>
        <w:rPr>
          <w:noProof/>
        </w:rPr>
        <w:t>Zastąpienie przestarzałych i niskowydajnych pojazdów mechanicznych pojazdami napędzanymi wyłącznie biometanem zgodnymi z kryteriami określonymi w dyrektywie 2018/2001 (dyrektywa RED II). Producenci biopaliw i biometanu oraz biopaliw muszą przedstawić certyfikaty (dowód zrównoważonego rozwoju) wydawane przez niezależnych oceniających, jak przewidziano w dyrektywie 2018/2001. Operator nabywa świadectwa pochodzenia proporcjonalne do przewidywanego zużycia paliwa.</w:t>
      </w:r>
    </w:p>
    <w:p w14:paraId="2A1CF324" w14:textId="77777777" w:rsidR="004C6421" w:rsidRDefault="009D1962">
      <w:pPr>
        <w:numPr>
          <w:ilvl w:val="0"/>
          <w:numId w:val="72"/>
        </w:numPr>
        <w:spacing w:before="120" w:after="120" w:line="259" w:lineRule="auto"/>
        <w:ind w:left="360"/>
        <w:contextualSpacing/>
        <w:jc w:val="both"/>
        <w:rPr>
          <w:noProof/>
        </w:rPr>
      </w:pPr>
      <w:r>
        <w:rPr>
          <w:noProof/>
        </w:rPr>
        <w:t>Rozpowszechnianie praktyk ekologicznych na etapie produkcji biogazu (miejsca minimalnej obróbki gleby, innowacyjne systemy niskiej konkurencyjności dystrybucji produktu pofermentacyjnego).</w:t>
      </w:r>
    </w:p>
    <w:p w14:paraId="33A86CE4" w14:textId="77777777" w:rsidR="004C6421" w:rsidRDefault="009D1962">
      <w:pPr>
        <w:pStyle w:val="P68B1DB1-Normal2"/>
        <w:spacing w:before="120" w:after="120"/>
        <w:jc w:val="both"/>
        <w:rPr>
          <w:noProof/>
        </w:rPr>
      </w:pPr>
      <w:r>
        <w:rPr>
          <w:noProof/>
        </w:rPr>
        <w:t>Inwestycje 2.1 – Wzmocnienie inteligentnych sieci</w:t>
      </w:r>
    </w:p>
    <w:p w14:paraId="5F66453C" w14:textId="77777777" w:rsidR="004C6421" w:rsidRDefault="009D1962">
      <w:pPr>
        <w:spacing w:before="120" w:after="120"/>
        <w:jc w:val="both"/>
        <w:rPr>
          <w:noProof/>
        </w:rPr>
      </w:pPr>
      <w:r>
        <w:rPr>
          <w:noProof/>
        </w:rPr>
        <w:t>Inwestycja ta polega na przekształceniu sieci dystrybucyjnych i zarządzaniu nimi, przy czym interwencje dotyczą zarówno sieci elektroenergetycznej, jak i jej elementów oprogramowania, aby umożliwić realizację nowych scenariuszy energetycznych, w których konsumenci i prosumenci również mogą odegrać pewną rolę.</w:t>
      </w:r>
    </w:p>
    <w:p w14:paraId="717B09E7" w14:textId="77777777" w:rsidR="004C6421" w:rsidRDefault="009D1962">
      <w:pPr>
        <w:pStyle w:val="P68B1DB1-Normal2"/>
        <w:spacing w:before="120" w:after="120"/>
        <w:jc w:val="both"/>
        <w:rPr>
          <w:noProof/>
        </w:rPr>
      </w:pPr>
      <w:r>
        <w:rPr>
          <w:noProof/>
        </w:rPr>
        <w:t>Inwestycje 2.2 – Interwencje mające na celu zwiększenie odporności sieci elektroenergetycznej</w:t>
      </w:r>
    </w:p>
    <w:p w14:paraId="1837CD78" w14:textId="77777777" w:rsidR="004C6421" w:rsidRDefault="009D1962">
      <w:pPr>
        <w:spacing w:before="120" w:after="120"/>
        <w:jc w:val="both"/>
        <w:rPr>
          <w:noProof/>
        </w:rPr>
      </w:pPr>
      <w:r>
        <w:rPr>
          <w:noProof/>
        </w:rPr>
        <w:t>Inwestycja ta obejmuje interwencje mające na celu poprawę odporności sieci elektroenergetycznej na ekstremalne zdarzenia pogodowe (wiatry/popadające drzewa, lód, fale upałów, powodzie i zagrożenia hydrogeologiczne), w szczególności w sieci dystrybucyjnej, oraz zmniejszenie prawdopodobieństwa długotrwałych przerw w dostawach energii elektrycznej oraz negatywnych skutków społecznych i gospodarczych dla dotkniętych obszarów.</w:t>
      </w:r>
    </w:p>
    <w:p w14:paraId="2FD23376" w14:textId="77777777" w:rsidR="004C6421" w:rsidRDefault="009D1962">
      <w:pPr>
        <w:pStyle w:val="P68B1DB1-Normal2"/>
        <w:spacing w:before="120" w:after="120"/>
        <w:jc w:val="both"/>
        <w:rPr>
          <w:noProof/>
        </w:rPr>
      </w:pPr>
      <w:r>
        <w:rPr>
          <w:noProof/>
        </w:rPr>
        <w:t>Inwestycja 3.1 – Produkcja wodoru na terenach zdegradowanych (Hydrogen Valleys)</w:t>
      </w:r>
    </w:p>
    <w:p w14:paraId="2E0CF88E" w14:textId="77777777" w:rsidR="004C6421" w:rsidRDefault="009D1962">
      <w:pPr>
        <w:spacing w:before="120" w:after="120"/>
        <w:jc w:val="both"/>
        <w:rPr>
          <w:noProof/>
        </w:rPr>
      </w:pPr>
      <w:r>
        <w:rPr>
          <w:noProof/>
        </w:rPr>
        <w:t>Inwestycja ta polega na wspieraniu lokalnej produkcji i wykorzystania zielonego wodoru w przemyśle, MŚP i transporcie lokalnym, tworząc w ten sposób nowe doliny wodorowe, zlokalizowane głównie na południu Włoch, z lokalną produkcją energii ze źródeł odnawialnych i lokalnym wykorzystaniem. Celem projektu jest ponowne wykorzystanie opuszczonych obszarów przemysłowych do testowania jednostek do produkcji wodoru z lokalnych zakładów OZE znajdujących się w tej samej przestrzeni przemysłowej i obiektach przemysłowych lub na sąsiednich obszarach. Środek ten wspiera produkcję wodoru w oparciu o elektrolizę z wykorzystaniem odnawialnych źródeł energii zdefiniowanych w dyrektywie (UE) 2018/2001 (dyrektywa w sprawie energii ze źródeł odnawialnych) lub energię elektryczną z sieci.”;</w:t>
      </w:r>
    </w:p>
    <w:p w14:paraId="42A82C63" w14:textId="77777777" w:rsidR="004C6421" w:rsidRDefault="009D1962">
      <w:pPr>
        <w:pStyle w:val="P68B1DB1-Normal2"/>
        <w:spacing w:before="120" w:after="120"/>
        <w:jc w:val="both"/>
        <w:rPr>
          <w:noProof/>
        </w:rPr>
      </w:pPr>
      <w:r>
        <w:rPr>
          <w:noProof/>
        </w:rPr>
        <w:t>Inwestycje 3.2 – Wykorzystanie wodoru w przemyśle, w którym trudno zredukować emisje</w:t>
      </w:r>
    </w:p>
    <w:p w14:paraId="48BBB2C6" w14:textId="77777777" w:rsidR="004C6421" w:rsidRDefault="009D1962">
      <w:pPr>
        <w:spacing w:before="120" w:after="120"/>
        <w:jc w:val="both"/>
        <w:rPr>
          <w:b/>
          <w:noProof/>
        </w:rPr>
      </w:pPr>
      <w:r>
        <w:rPr>
          <w:noProof/>
        </w:rPr>
        <w:t>Inwestycja ta polega na wspieraniu badań, rozwoju i innowacji w zakresie procesów przemysłowych w celu opracowania inicjatyw na rzecz wykorzystania wodoru w sektorach przemysłowych wykorzystujących metan jako źródło energii cieplnej (cement, papiernie, przemysł ceramiczny, szklarski itp.). Sektor paliw kopalnych, taki jak rafinerie ropy naftowej, nie kwalifikuje się do wsparcia. Środek ten wspiera produkcję wodoru w oparciu o elektrolizę z wykorzystaniem odnawialnych źródeł energii zdefiniowanych w dyrektywie (UE) 2018/2001 (dyrektywa w sprawie energii ze źródeł odnawialnych) lub energię elektryczną z sieci.”;</w:t>
      </w:r>
      <w:r>
        <w:rPr>
          <w:b/>
          <w:noProof/>
        </w:rPr>
        <w:t xml:space="preserve"> </w:t>
      </w:r>
    </w:p>
    <w:p w14:paraId="63C6237B" w14:textId="77777777" w:rsidR="004C6421" w:rsidRDefault="009D1962">
      <w:pPr>
        <w:spacing w:before="120" w:after="120"/>
        <w:jc w:val="both"/>
        <w:rPr>
          <w:noProof/>
        </w:rPr>
      </w:pPr>
      <w:r>
        <w:rPr>
          <w:noProof/>
        </w:rPr>
        <w:t>Aby zapewnić zgodność środka z zasadą „nie czyń poważnych szkód” w ramach Instrumentu na rzecz Odbudowy i Zwiększania Odporności określoną w wytycznych technicznych dotyczących zasady „nie czyń poważnych szkód” (2021/C58/01), kryteria kwalifikowalności w przyszłych zaproszeniach do składania wniosków wykluczają działania w ramach unijnego systemu handlu uprawnieniami do emisji (ETS), które osiągają prognozowane emisje gazów cieplarnianych, które nie są niższe od odpowiednich poziomów odniesienia. W przypadku gdy w ramach działalności osiąga się prognozowane emisje gazów cieplarnianych, które nie są znacznie niższe, ale nadal niższe od odpowiednich wskaźników referencyjnych, należy przedstawić wyjaśnienie powodów, dla których nie jest to możliwe. Wartości odniesienia ustanowione dla przydziału bezpłatnych uprawnień w odniesieniu do działań wchodzących w zakres systemu handlu uprawnieniami do emisji, jak określono w rozporządzeniu wykonawczym Komisji (UE) 2021/447.</w:t>
      </w:r>
    </w:p>
    <w:p w14:paraId="434BFF73" w14:textId="77777777" w:rsidR="004C6421" w:rsidRDefault="009D1962">
      <w:pPr>
        <w:pStyle w:val="P68B1DB1-Normal2"/>
        <w:spacing w:before="120" w:after="120"/>
        <w:jc w:val="both"/>
        <w:rPr>
          <w:noProof/>
        </w:rPr>
      </w:pPr>
      <w:r>
        <w:rPr>
          <w:noProof/>
        </w:rPr>
        <w:t>Inwestycje 3.3 – Badanie wodoru w transporcie drogowym</w:t>
      </w:r>
    </w:p>
    <w:p w14:paraId="5593A97B" w14:textId="77777777" w:rsidR="004C6421" w:rsidRDefault="009D1962">
      <w:pPr>
        <w:spacing w:before="120" w:after="120"/>
        <w:jc w:val="both"/>
        <w:rPr>
          <w:noProof/>
        </w:rPr>
      </w:pPr>
      <w:r>
        <w:rPr>
          <w:noProof/>
        </w:rPr>
        <w:t xml:space="preserve">Inwestycja ta polega na utworzeniu co najmniej 40 stacji tankowania opartych na wodorze zlokalizowanych na obszarach obsługi autostrad, magazynach logistycznych i portach zgodnie z wymogami dyrektywy 2014/94 w sprawie infrastruktury paliw alternatywnych. </w:t>
      </w:r>
    </w:p>
    <w:p w14:paraId="1CD9B132" w14:textId="77777777" w:rsidR="004C6421" w:rsidRDefault="009D1962">
      <w:pPr>
        <w:pStyle w:val="P68B1DB1-Normal2"/>
        <w:spacing w:before="120" w:after="120"/>
        <w:jc w:val="both"/>
        <w:rPr>
          <w:noProof/>
        </w:rPr>
      </w:pPr>
      <w:r>
        <w:rPr>
          <w:noProof/>
        </w:rPr>
        <w:t>Inwestycje 3.4 – Testowanie wodoru na potrzeby mobilności kolejowej</w:t>
      </w:r>
    </w:p>
    <w:p w14:paraId="666F9903" w14:textId="77777777" w:rsidR="004C6421" w:rsidRDefault="009D1962">
      <w:pPr>
        <w:spacing w:before="120" w:after="120"/>
        <w:jc w:val="both"/>
        <w:rPr>
          <w:noProof/>
        </w:rPr>
      </w:pPr>
      <w:r>
        <w:rPr>
          <w:noProof/>
        </w:rPr>
        <w:t xml:space="preserve">Inwestycja ta polega na budowie co najmniej dziesięciu stacji tankowania dla kolei opartych na wodorze na co najmniej sześciu liniach kolejowych. Stacje tankowania pociągów wodorowych są realizowane najlepiej w pobliżu miejsc produkcji wodoru odnawialnego lub stacji tankowania wodoru na autostradach.”;  </w:t>
      </w:r>
    </w:p>
    <w:p w14:paraId="624DFDBA" w14:textId="77777777" w:rsidR="004C6421" w:rsidRDefault="009D1962">
      <w:pPr>
        <w:pStyle w:val="P68B1DB1-Normal2"/>
        <w:spacing w:before="120" w:after="120"/>
        <w:jc w:val="both"/>
        <w:rPr>
          <w:noProof/>
        </w:rPr>
      </w:pPr>
      <w:r>
        <w:rPr>
          <w:noProof/>
        </w:rPr>
        <w:t>Inwestycje 3.5 – Badania i rozwój w zakresie wodoru</w:t>
      </w:r>
    </w:p>
    <w:p w14:paraId="650BA927" w14:textId="77777777" w:rsidR="004C6421" w:rsidRDefault="009D1962">
      <w:pPr>
        <w:spacing w:before="120" w:after="120" w:line="246" w:lineRule="auto"/>
        <w:jc w:val="both"/>
        <w:rPr>
          <w:noProof/>
        </w:rPr>
      </w:pPr>
      <w:r>
        <w:rPr>
          <w:noProof/>
        </w:rPr>
        <w:t>Inwestycja ta polega na wspieraniu działań badawczo-rozwojowych w zakresie wodoru w zakresie:</w:t>
      </w:r>
    </w:p>
    <w:p w14:paraId="0B651C2E" w14:textId="77777777" w:rsidR="004C6421" w:rsidRDefault="009D1962">
      <w:pPr>
        <w:numPr>
          <w:ilvl w:val="0"/>
          <w:numId w:val="73"/>
        </w:numPr>
        <w:spacing w:before="120" w:after="120" w:line="246" w:lineRule="auto"/>
        <w:ind w:left="360"/>
        <w:contextualSpacing/>
        <w:jc w:val="both"/>
        <w:rPr>
          <w:noProof/>
        </w:rPr>
      </w:pPr>
      <w:r>
        <w:rPr>
          <w:noProof/>
        </w:rPr>
        <w:t>Produkcja ekologicznego i czystego wodoru</w:t>
      </w:r>
    </w:p>
    <w:p w14:paraId="40F6D07A" w14:textId="77777777" w:rsidR="004C6421" w:rsidRDefault="009D1962">
      <w:pPr>
        <w:numPr>
          <w:ilvl w:val="0"/>
          <w:numId w:val="73"/>
        </w:numPr>
        <w:spacing w:before="120" w:after="120" w:line="246" w:lineRule="auto"/>
        <w:ind w:left="360"/>
        <w:contextualSpacing/>
        <w:jc w:val="both"/>
        <w:rPr>
          <w:noProof/>
        </w:rPr>
      </w:pPr>
      <w:r>
        <w:rPr>
          <w:noProof/>
        </w:rPr>
        <w:t>Innowacyjne technologie magazynowania, transportu i przetwarzania wodoru w produkty pochodne i e-paliwa</w:t>
      </w:r>
    </w:p>
    <w:p w14:paraId="57A8A1E6" w14:textId="77777777" w:rsidR="004C6421" w:rsidRDefault="009D1962">
      <w:pPr>
        <w:numPr>
          <w:ilvl w:val="0"/>
          <w:numId w:val="73"/>
        </w:numPr>
        <w:spacing w:before="120" w:after="120" w:line="246" w:lineRule="auto"/>
        <w:ind w:left="360"/>
        <w:contextualSpacing/>
        <w:jc w:val="both"/>
        <w:rPr>
          <w:noProof/>
        </w:rPr>
      </w:pPr>
      <w:r>
        <w:rPr>
          <w:noProof/>
        </w:rPr>
        <w:t>Ogniwa paliwowe do zastosowań stacjonarnych i w zakresie mobilności</w:t>
      </w:r>
    </w:p>
    <w:p w14:paraId="7B57DCA0" w14:textId="77777777" w:rsidR="004C6421" w:rsidRDefault="009D1962">
      <w:pPr>
        <w:numPr>
          <w:ilvl w:val="0"/>
          <w:numId w:val="73"/>
        </w:numPr>
        <w:spacing w:before="120" w:after="120" w:line="246" w:lineRule="auto"/>
        <w:ind w:left="360"/>
        <w:contextualSpacing/>
        <w:jc w:val="both"/>
        <w:rPr>
          <w:noProof/>
        </w:rPr>
      </w:pPr>
      <w:r>
        <w:rPr>
          <w:noProof/>
        </w:rPr>
        <w:t xml:space="preserve">Zintegrowane inteligentne systemy zarządzania w celu zwiększenia odporności i niezawodności inteligentnych infrastruktur opartych na wodorze </w:t>
      </w:r>
    </w:p>
    <w:p w14:paraId="74B7F1CA" w14:textId="77777777" w:rsidR="004C6421" w:rsidRDefault="009D1962">
      <w:pPr>
        <w:spacing w:before="120" w:after="120"/>
        <w:jc w:val="both"/>
        <w:rPr>
          <w:noProof/>
        </w:rPr>
      </w:pPr>
      <w:r>
        <w:rPr>
          <w:noProof/>
        </w:rPr>
        <w:t>Środek ten wspiera produkcję wodoru w oparciu o elektrolizę z wykorzystaniem odnawialnych źródeł energii zdefiniowanych w dyrektywie (UE) 2018/2001 (dyrektywa w sprawie odnawialnych źródeł energii) lub energię elektryczną z sieci, lub działalność związaną z wodorem, która spełnia wymóg ograniczenia emisji gazów cieplarnianych w całym cyklu życia wynoszący 73,4 % w odniesieniu do wodoru, co skutkuje emisjami gazów cieplarnianych w całym cyklu życia niższymi niż 3 t CO2e/tH2 i 70 % w przypadku paliw syntetycznych opartych na wodorze w porównaniu z odpowiednikiem kopalnym wynoszącym 94 g CO2e/MJ, analogicznie do podejścia określonego w art. 25 ust. 2 dyrektywy (UE) 2018/2001 i w załączniku V do tej dyrektywy.</w:t>
      </w:r>
    </w:p>
    <w:p w14:paraId="4FC3C266" w14:textId="77777777" w:rsidR="004C6421" w:rsidRDefault="009D1962">
      <w:pPr>
        <w:pStyle w:val="P68B1DB1-Normal2"/>
        <w:spacing w:after="120"/>
        <w:jc w:val="both"/>
        <w:rPr>
          <w:noProof/>
        </w:rPr>
      </w:pPr>
      <w:r>
        <w:rPr>
          <w:noProof/>
        </w:rPr>
        <w:t>Inwestycja 4.2 – Rozwój systemów szybkiego transportu masowego</w:t>
      </w:r>
    </w:p>
    <w:p w14:paraId="2405B22D" w14:textId="77777777" w:rsidR="004C6421" w:rsidRDefault="009D1962">
      <w:pPr>
        <w:spacing w:after="120"/>
        <w:jc w:val="both"/>
        <w:rPr>
          <w:noProof/>
        </w:rPr>
      </w:pPr>
      <w:r>
        <w:rPr>
          <w:noProof/>
        </w:rPr>
        <w:t xml:space="preserve">Celem środka jest zwiększenie szybkiego transportu zbiorowego, co sprzyja przechodzeniu z transportu samochodowego na transport publiczny. </w:t>
      </w:r>
    </w:p>
    <w:p w14:paraId="09912A23" w14:textId="77777777" w:rsidR="004C6421" w:rsidRDefault="009D1962">
      <w:pPr>
        <w:spacing w:after="120"/>
        <w:jc w:val="both"/>
        <w:rPr>
          <w:noProof/>
        </w:rPr>
      </w:pPr>
      <w:r>
        <w:rPr>
          <w:noProof/>
        </w:rPr>
        <w:t>Inwestycja ta obejmuje:</w:t>
      </w:r>
    </w:p>
    <w:p w14:paraId="210A46A0" w14:textId="77777777" w:rsidR="004C6421" w:rsidRDefault="009D1962">
      <w:pPr>
        <w:numPr>
          <w:ilvl w:val="0"/>
          <w:numId w:val="103"/>
        </w:numPr>
        <w:spacing w:after="120"/>
        <w:ind w:right="4"/>
        <w:jc w:val="both"/>
        <w:rPr>
          <w:noProof/>
        </w:rPr>
      </w:pPr>
      <w:r>
        <w:rPr>
          <w:noProof/>
        </w:rPr>
        <w:t>Budowa nowych linii i rozbudowa istniejących linii systemów szybkiego transportu masowego na co najmniej 231 km. Lista projektów obejmuje co najmniej 96 km pasów ruchu metra lub tramwajów oraz co najmniej 135 km trolejbusów, autobusów szybkiego tranzytu (BRT) lub kolei linowych.</w:t>
      </w:r>
    </w:p>
    <w:p w14:paraId="22442DA9" w14:textId="77777777" w:rsidR="004C6421" w:rsidRDefault="009D1962">
      <w:pPr>
        <w:numPr>
          <w:ilvl w:val="0"/>
          <w:numId w:val="103"/>
        </w:numPr>
        <w:spacing w:after="120"/>
        <w:ind w:right="4"/>
        <w:jc w:val="both"/>
        <w:rPr>
          <w:noProof/>
        </w:rPr>
      </w:pPr>
      <w:r>
        <w:rPr>
          <w:noProof/>
        </w:rPr>
        <w:t>Modernizację infrastruktury systemów szybkiego transportu masowego, która może obejmować ich cyfryzację. Interwencje te obejmują modernizację stacji metra i infrastruktury metra, systemów sygnalizacji dla kolei lub tramwajów, publicznych składów tranzytowych.</w:t>
      </w:r>
    </w:p>
    <w:p w14:paraId="2C987573" w14:textId="77777777" w:rsidR="004C6421" w:rsidRDefault="009D1962">
      <w:pPr>
        <w:numPr>
          <w:ilvl w:val="0"/>
          <w:numId w:val="103"/>
        </w:numPr>
        <w:spacing w:after="120"/>
        <w:ind w:right="4"/>
        <w:jc w:val="both"/>
        <w:rPr>
          <w:noProof/>
        </w:rPr>
      </w:pPr>
      <w:r>
        <w:rPr>
          <w:noProof/>
        </w:rPr>
        <w:t>Zakup bezemisyjnego taboru dla systemów szybkiego transportu masowego.</w:t>
      </w:r>
    </w:p>
    <w:p w14:paraId="6FDE9A6F" w14:textId="77777777" w:rsidR="004C6421" w:rsidRDefault="009D1962">
      <w:pPr>
        <w:pStyle w:val="ListParagraph"/>
        <w:numPr>
          <w:ilvl w:val="0"/>
          <w:numId w:val="103"/>
        </w:numPr>
        <w:spacing w:before="0"/>
        <w:rPr>
          <w:noProof/>
        </w:rPr>
      </w:pPr>
      <w:r>
        <w:rPr>
          <w:noProof/>
        </w:rPr>
        <w:t>Interwencje objęte tym środkiem obejmują co najmniej 28 obszarów metropolitalnych co</w:t>
      </w:r>
      <w:r>
        <w:rPr>
          <w:rStyle w:val="FootnoteReference"/>
          <w:noProof/>
        </w:rPr>
        <w:footnoteReference w:id="50"/>
      </w:r>
      <w:r>
        <w:rPr>
          <w:noProof/>
        </w:rPr>
        <w:t xml:space="preserve"> najmniej Bari, Bergamo, Bolonii, Katanii, Firenze, Genui, Mediolanu, Napoli, Padowy, Perugii, Rimini, Romów i Tarentu. </w:t>
      </w:r>
    </w:p>
    <w:p w14:paraId="49D79679" w14:textId="77777777" w:rsidR="004C6421" w:rsidRDefault="009D1962">
      <w:pPr>
        <w:spacing w:after="120"/>
        <w:ind w:right="4"/>
        <w:jc w:val="both"/>
        <w:rPr>
          <w:noProof/>
        </w:rPr>
      </w:pPr>
      <w:r>
        <w:rPr>
          <w:noProof/>
        </w:rPr>
        <w:t>Infrastruktura kwalifikująca się do budowy i modernizacji (tj. pasy ruchu metra, linie tramwajowe, pasy ruchu trolejbusowego, autobusowy szybki tranzyt lub kolej linowa) umożliwia eksploatację taboru bezemisyjnego. Inwestycja nie obejmuje budowy lub modernizacji dróg wykraczających poza zakres interwencji, chyba że są to integralne części infrastruktury umożliwiającej eksploatację taboru bezemisyjnego.</w:t>
      </w:r>
    </w:p>
    <w:p w14:paraId="6EB48D6D" w14:textId="77777777" w:rsidR="004C6421" w:rsidRDefault="009D1962">
      <w:pPr>
        <w:pStyle w:val="P68B1DB1-Normal2"/>
        <w:spacing w:after="120"/>
        <w:jc w:val="both"/>
        <w:rPr>
          <w:noProof/>
        </w:rPr>
      </w:pPr>
      <w:bookmarkStart w:id="9" w:name="_Hlk151064119"/>
      <w:r>
        <w:rPr>
          <w:noProof/>
        </w:rPr>
        <w:t>Inwestycje 4.4.1 – Wzmocnienie bezemisyjnej floty autobusów w regionalnym transporcie publicznym</w:t>
      </w:r>
    </w:p>
    <w:p w14:paraId="1FA276E6" w14:textId="77777777" w:rsidR="004C6421" w:rsidRDefault="009D1962">
      <w:pPr>
        <w:spacing w:after="120"/>
        <w:jc w:val="both"/>
        <w:rPr>
          <w:noProof/>
        </w:rPr>
      </w:pPr>
      <w:r>
        <w:rPr>
          <w:noProof/>
        </w:rPr>
        <w:t xml:space="preserve">Inwestycja ta polega na zamówieniu co najmniej 3000 bezemisyjnych autobusów niskopodłogowych i co najmniej 1000 stacji ładowania dla bezemisyjnych i niskoemisyjnych autobusów niskoemisyjnych. Autobusy muszą być wyposażone w funkcje cyfrowe. Kwalifikujące się autobusy to niskopodłogowe (tj. należą do kategorii M2 i M3 zgodnie z normami EKG ONZ) i są elektrycznymi lub wodorowymi ogniwami paliwowymi. </w:t>
      </w:r>
    </w:p>
    <w:bookmarkEnd w:id="9"/>
    <w:p w14:paraId="36B82966" w14:textId="77777777" w:rsidR="004C6421" w:rsidRDefault="009D1962">
      <w:pPr>
        <w:pStyle w:val="P68B1DB1-Normal2"/>
        <w:spacing w:before="120" w:after="120"/>
        <w:jc w:val="both"/>
        <w:rPr>
          <w:noProof/>
        </w:rPr>
      </w:pPr>
      <w:r>
        <w:rPr>
          <w:noProof/>
        </w:rPr>
        <w:t>Inwestycja 4.4.2 – Wzmacnianie taboru kolejowego transportu regionalnego transportu publicznego pociągami bezemisyjnymi i usługą powszechną</w:t>
      </w:r>
    </w:p>
    <w:p w14:paraId="521911B5" w14:textId="77777777" w:rsidR="004C6421" w:rsidRDefault="009D1962">
      <w:pPr>
        <w:spacing w:before="120" w:after="120"/>
        <w:jc w:val="both"/>
        <w:rPr>
          <w:noProof/>
        </w:rPr>
      </w:pPr>
      <w:r>
        <w:rPr>
          <w:noProof/>
        </w:rPr>
        <w:t>Inwestycja ta polega na zakupie i oddaniu do eksploatacji co najmniej 66 bezemisyjnych pociągów pasażerskich</w:t>
      </w:r>
      <w:r>
        <w:rPr>
          <w:rStyle w:val="FootnoteReference"/>
          <w:noProof/>
        </w:rPr>
        <w:footnoteReference w:id="51"/>
      </w:r>
      <w:r>
        <w:rPr>
          <w:noProof/>
        </w:rPr>
        <w:t xml:space="preserve"> (przy czym pociąg składa się z co najmniej jednej lokomotywy i obejmuje wagony pasażerskie) oraz dodatkowe 100 wagonów w ramach usługi powszechnej. Ogółem inwestycja obejmuje co najmniej 523 jednostki, z czego co najmniej 66 to lokomotywy.</w:t>
      </w:r>
    </w:p>
    <w:p w14:paraId="26C93CEC" w14:textId="77777777" w:rsidR="004C6421" w:rsidRDefault="009D1962">
      <w:pPr>
        <w:pStyle w:val="P68B1DB1-Normal2"/>
        <w:spacing w:before="120" w:after="120"/>
        <w:jc w:val="both"/>
        <w:rPr>
          <w:noProof/>
        </w:rPr>
      </w:pPr>
      <w:r>
        <w:rPr>
          <w:noProof/>
        </w:rPr>
        <w:t xml:space="preserve">Inwestycja 4.4.3 – Dowództwa Krajowej Straży Pożarnej </w:t>
      </w:r>
    </w:p>
    <w:p w14:paraId="1133005B" w14:textId="274B1EE8" w:rsidR="004C6421" w:rsidRDefault="009D1962">
      <w:pPr>
        <w:spacing w:after="120"/>
        <w:jc w:val="both"/>
        <w:rPr>
          <w:noProof/>
        </w:rPr>
      </w:pPr>
      <w:r>
        <w:rPr>
          <w:noProof/>
        </w:rPr>
        <w:t>Inwestycja ta polega na zamawianiu co najmniej 3800 pojazdów (z czego 200 zostanie przypisanych do kontyngentów portów lotniczych straży pożarnej) dla Państwowej Straży Pożarnej oraz na budowie 875 punktów ładowania zainstalowanych na stacjach pożarniczych, a także na zamawianiu co najmniej 3000 ruchomych punktów ładowania pojazdów elektrycznych. 3500 pojazdów jest bezemisyjnych, a reszta jest prowadzona wyłącznie z wykorzystaniem biometanu lub biopaliwa zgodnie z kryteriami zrównoważonego rozwoju i ograniczania emisji gazów cieplarnianych określonymi w art. 29–31 oraz przepisami dotyczącymi biopaliw produkowanych z roślin spożywczych i pastewnych określonymi w art. 26 dyrektywy (UE) 2018/2001 w sprawie odnawialnych źródeł energii (REDII) oraz w powiązanych aktach wykonawczych i delegowanych. Operatorzy nabywają certyfikat pochodzenia proporcjonalny do przewidywanego zużycia paliwa. Pojazdy napędzane biopaliwem muszą uzyskać homologację typu B100.</w:t>
      </w:r>
    </w:p>
    <w:p w14:paraId="6CA155A2" w14:textId="77777777" w:rsidR="004C6421" w:rsidRDefault="009D1962">
      <w:pPr>
        <w:pStyle w:val="P68B1DB1-Normal2"/>
        <w:spacing w:after="120"/>
        <w:jc w:val="both"/>
        <w:rPr>
          <w:noProof/>
        </w:rPr>
      </w:pPr>
      <w:r>
        <w:rPr>
          <w:noProof/>
        </w:rPr>
        <w:t>Inwestycja 5.1 – Rozwój wiodącej pozycji międzynarodowej, przemysłowej i badawczo-rozwojowej w dziedzinie odnawialnych źródeł energii i baterii</w:t>
      </w:r>
    </w:p>
    <w:p w14:paraId="045F18FF" w14:textId="77777777" w:rsidR="004C6421" w:rsidRDefault="009D1962">
      <w:pPr>
        <w:spacing w:after="120"/>
        <w:jc w:val="both"/>
        <w:rPr>
          <w:noProof/>
        </w:rPr>
      </w:pPr>
      <w:r>
        <w:rPr>
          <w:noProof/>
        </w:rPr>
        <w:t>Środek ten obejmuje inwestycję publiczną w instrument, „Zakład energii odnawialnej i baterii”, w celu zachęcenia do inwestycji prywatnych i poprawy dostępu do finansowania w celu wsparcia rozwoju łańcucha wartości w zakresie odnawialnych źródeł energii i baterii. Operatorzy nabywają świadectwo pochodzenia proporcjonalne do przewidywanego zużycia paliwa. Na podstawie inwestycji w ramach RRF instrument ma początkowo zapewnić finansowanie w wysokości co najmniej 1 400 000 000 EUR.</w:t>
      </w:r>
    </w:p>
    <w:p w14:paraId="4F4EACE7" w14:textId="77777777" w:rsidR="004C6421" w:rsidRDefault="009D1962">
      <w:pPr>
        <w:spacing w:after="120"/>
        <w:jc w:val="both"/>
        <w:rPr>
          <w:noProof/>
        </w:rPr>
      </w:pPr>
      <w:r>
        <w:rPr>
          <w:noProof/>
        </w:rPr>
        <w:t>Instrumentem zarządza Invitalia S.p.A. jako partner wykonawczy. Instrument obejmuje następujące linie produktów:</w:t>
      </w:r>
    </w:p>
    <w:p w14:paraId="184BF196" w14:textId="77777777" w:rsidR="004C6421" w:rsidRDefault="009D1962">
      <w:pPr>
        <w:pStyle w:val="ListParagraph"/>
        <w:numPr>
          <w:ilvl w:val="0"/>
          <w:numId w:val="105"/>
        </w:numPr>
        <w:spacing w:before="0"/>
        <w:rPr>
          <w:noProof/>
        </w:rPr>
      </w:pPr>
      <w:r>
        <w:rPr>
          <w:noProof/>
        </w:rPr>
        <w:t xml:space="preserve">Pierwszy z nich koncentruje się na produkcji technologii fotowoltaicznych lub wiatrowych i ma zwiększyć zdolność produkcyjną technologii fotowoltaicznych lub wiatrowych o co najmniej 2,4 GW rocznie.  </w:t>
      </w:r>
    </w:p>
    <w:p w14:paraId="347FCEE6" w14:textId="77777777" w:rsidR="004C6421" w:rsidRDefault="009D1962">
      <w:pPr>
        <w:pStyle w:val="ListParagraph"/>
        <w:numPr>
          <w:ilvl w:val="0"/>
          <w:numId w:val="105"/>
        </w:numPr>
        <w:spacing w:before="0"/>
        <w:rPr>
          <w:noProof/>
        </w:rPr>
      </w:pPr>
      <w:r>
        <w:rPr>
          <w:noProof/>
        </w:rPr>
        <w:t>Drugi koncentruje się na produkcji baterii i ma zwiększyć zdolność produkcyjną baterii o co najmniej 13 GW rocznie.</w:t>
      </w:r>
    </w:p>
    <w:p w14:paraId="26312B5E" w14:textId="77777777" w:rsidR="004C6421" w:rsidRDefault="009D1962">
      <w:pPr>
        <w:spacing w:after="120"/>
        <w:jc w:val="both"/>
        <w:rPr>
          <w:noProof/>
        </w:rPr>
      </w:pPr>
      <w:r>
        <w:rPr>
          <w:noProof/>
        </w:rPr>
        <w:t>W celu realizacji inwestycji w instrument Włochy i Invitalia podpisują umowę wykonawczą, która zawiera następującą treść:</w:t>
      </w:r>
    </w:p>
    <w:p w14:paraId="47597882" w14:textId="77777777" w:rsidR="004C6421" w:rsidRDefault="009D1962">
      <w:pPr>
        <w:pStyle w:val="ListParagraph"/>
        <w:numPr>
          <w:ilvl w:val="0"/>
          <w:numId w:val="141"/>
        </w:numPr>
        <w:spacing w:before="0"/>
        <w:contextualSpacing w:val="0"/>
        <w:rPr>
          <w:noProof/>
        </w:rPr>
      </w:pPr>
      <w:r>
        <w:rPr>
          <w:noProof/>
        </w:rPr>
        <w:t>Opis procesu decyzyjnego w ramach Instrumentu: Ostateczną decyzję inwestycyjną instrumentu podejmuje komitet inwestycyjny lub inny odpowiedni równoważny organ zarządzający i zatwierdza większością głosów członków niezależnych od rządu.</w:t>
      </w:r>
    </w:p>
    <w:p w14:paraId="4E70F861" w14:textId="77777777" w:rsidR="004C6421" w:rsidRDefault="009D1962">
      <w:pPr>
        <w:pStyle w:val="ListParagraph"/>
        <w:numPr>
          <w:ilvl w:val="0"/>
          <w:numId w:val="141"/>
        </w:numPr>
        <w:spacing w:before="0"/>
        <w:contextualSpacing w:val="0"/>
        <w:rPr>
          <w:noProof/>
        </w:rPr>
      </w:pPr>
      <w:r>
        <w:rPr>
          <w:noProof/>
        </w:rPr>
        <w:t>Kluczowe wymogi powiązanej polityki inwestycyjnej, które obejmują:</w:t>
      </w:r>
    </w:p>
    <w:p w14:paraId="5EF58351" w14:textId="77777777" w:rsidR="004C6421" w:rsidRDefault="009D1962">
      <w:pPr>
        <w:pStyle w:val="ListParagraph"/>
        <w:numPr>
          <w:ilvl w:val="4"/>
          <w:numId w:val="33"/>
        </w:numPr>
        <w:spacing w:before="0"/>
        <w:ind w:left="1276"/>
        <w:contextualSpacing w:val="0"/>
        <w:rPr>
          <w:noProof/>
        </w:rPr>
      </w:pPr>
      <w:r>
        <w:rPr>
          <w:noProof/>
        </w:rPr>
        <w:t xml:space="preserve">Opis produktów finansowych i kwalifikujących się beneficjentów końcowych. </w:t>
      </w:r>
    </w:p>
    <w:p w14:paraId="0BBBB1B7" w14:textId="77777777" w:rsidR="004C6421" w:rsidRDefault="009D1962">
      <w:pPr>
        <w:pStyle w:val="ListParagraph"/>
        <w:numPr>
          <w:ilvl w:val="4"/>
          <w:numId w:val="33"/>
        </w:numPr>
        <w:spacing w:before="0"/>
        <w:ind w:left="1276"/>
        <w:contextualSpacing w:val="0"/>
        <w:rPr>
          <w:noProof/>
        </w:rPr>
      </w:pPr>
      <w:r>
        <w:rPr>
          <w:noProof/>
        </w:rPr>
        <w:t xml:space="preserve">Wymóg, aby wszystkie wspierane inwestycje były ekonomicznie opłacalne. </w:t>
      </w:r>
    </w:p>
    <w:p w14:paraId="3A9D738D" w14:textId="77777777" w:rsidR="004C6421" w:rsidRDefault="009D1962">
      <w:pPr>
        <w:pStyle w:val="ListParagraph"/>
        <w:numPr>
          <w:ilvl w:val="4"/>
          <w:numId w:val="33"/>
        </w:numPr>
        <w:spacing w:before="0"/>
        <w:ind w:left="1276"/>
        <w:contextualSpacing w:val="0"/>
        <w:rPr>
          <w:noProof/>
        </w:rPr>
      </w:pPr>
      <w:r>
        <w:rPr>
          <w:noProof/>
        </w:rPr>
        <w:t>Wymóg zgodności z zasadą „nie czyń poważnych szkód” (DNSH) zgodnie z wytycznymi technicznymi dotyczącymi zasady DNSH (2021/C58/01). W szczególności polityka inwestycyjna wyłącza z kwalifikowalności następujący wykaz działań i aktywów: (i) działania i aktywa wynikające z kwalifikowalności: (i) działania i aktywa związane z paliwami kopalnymi, w tym wykorzystanie niższego szczebla;</w:t>
      </w:r>
      <w:r>
        <w:rPr>
          <w:rStyle w:val="FootnoteReference"/>
          <w:noProof/>
        </w:rPr>
        <w:footnoteReference w:id="52"/>
      </w:r>
      <w:r>
        <w:rPr>
          <w:noProof/>
        </w:rPr>
        <w:t>(ii) działania i aktywa w ramach unijnego systemu handlu uprawnieniami do emisji (ETS) prowadzące do osiągnięcia prognozowanych emisji gazów cieplarnianych, które nie są niższe niż odpowiednie wskaźniki referencyjne;</w:t>
      </w:r>
      <w:r>
        <w:rPr>
          <w:rStyle w:val="FootnoteReference"/>
          <w:noProof/>
        </w:rPr>
        <w:footnoteReference w:id="53"/>
      </w:r>
      <w:r>
        <w:rPr>
          <w:noProof/>
        </w:rPr>
        <w:t>(iii) działania i aktywa związane ze składowiskami odpadów, spalarniami</w:t>
      </w:r>
      <w:r>
        <w:rPr>
          <w:rStyle w:val="FootnoteReference"/>
          <w:noProof/>
        </w:rPr>
        <w:footnoteReference w:id="54"/>
      </w:r>
      <w:r>
        <w:rPr>
          <w:noProof/>
        </w:rPr>
        <w:t xml:space="preserve"> i zakładami mechaniczno-biologicznego przetwarzania odpadów</w:t>
      </w:r>
      <w:r>
        <w:rPr>
          <w:rStyle w:val="FootnoteReference"/>
          <w:noProof/>
        </w:rPr>
        <w:footnoteReference w:id="55"/>
      </w:r>
      <w:r>
        <w:rPr>
          <w:noProof/>
        </w:rPr>
        <w:t xml:space="preserve">. </w:t>
      </w:r>
    </w:p>
    <w:p w14:paraId="4566B94C" w14:textId="77777777" w:rsidR="004C6421" w:rsidRDefault="009D1962">
      <w:pPr>
        <w:pStyle w:val="ListParagraph"/>
        <w:numPr>
          <w:ilvl w:val="4"/>
          <w:numId w:val="33"/>
        </w:numPr>
        <w:spacing w:before="0"/>
        <w:ind w:left="1276"/>
        <w:contextualSpacing w:val="0"/>
        <w:rPr>
          <w:noProof/>
        </w:rPr>
      </w:pPr>
      <w:r>
        <w:rPr>
          <w:noProof/>
        </w:rPr>
        <w:t>Wymóg, zgodnie z którym beneficjenci końcowi Instrumentu nie mogą otrzymywać wsparcia z innych instrumentów unijnych w celu pokrycia tych samych kosztów.</w:t>
      </w:r>
    </w:p>
    <w:p w14:paraId="10DF609E" w14:textId="77777777" w:rsidR="004C6421" w:rsidRDefault="009D1962">
      <w:pPr>
        <w:pStyle w:val="ListParagraph"/>
        <w:numPr>
          <w:ilvl w:val="0"/>
          <w:numId w:val="141"/>
        </w:numPr>
        <w:spacing w:before="0"/>
        <w:contextualSpacing w:val="0"/>
        <w:rPr>
          <w:noProof/>
        </w:rPr>
      </w:pPr>
      <w:r>
        <w:rPr>
          <w:noProof/>
        </w:rPr>
        <w:t>Kwotę objętą umową wykonawczą, strukturę opłat dla partnera wykonawczego oraz wymóg reinwestowania wszelkich środków powracających zgodnie z polityką inwestycyjną instrumentu.</w:t>
      </w:r>
    </w:p>
    <w:p w14:paraId="648A563A" w14:textId="77777777" w:rsidR="004C6421" w:rsidRDefault="009D1962">
      <w:pPr>
        <w:pStyle w:val="ListParagraph"/>
        <w:numPr>
          <w:ilvl w:val="0"/>
          <w:numId w:val="141"/>
        </w:numPr>
        <w:spacing w:before="0"/>
        <w:contextualSpacing w:val="0"/>
        <w:rPr>
          <w:noProof/>
        </w:rPr>
      </w:pPr>
      <w:r>
        <w:rPr>
          <w:noProof/>
        </w:rPr>
        <w:t>Wymogi w zakresie monitorowania, audytu i kontroli, w tym:</w:t>
      </w:r>
    </w:p>
    <w:p w14:paraId="2A1ADE31" w14:textId="77777777" w:rsidR="004C6421" w:rsidRDefault="009D1962">
      <w:pPr>
        <w:pStyle w:val="ListParagraph"/>
        <w:numPr>
          <w:ilvl w:val="4"/>
          <w:numId w:val="33"/>
        </w:numPr>
        <w:spacing w:before="0"/>
        <w:ind w:left="1276"/>
        <w:contextualSpacing w:val="0"/>
        <w:rPr>
          <w:noProof/>
        </w:rPr>
      </w:pPr>
      <w:r>
        <w:rPr>
          <w:noProof/>
        </w:rPr>
        <w:t>Opis stosowanego przez partnera wykonawczego systemu monitorowania służącego do sprawozdawczości na temat uruchomionych inwestycji.</w:t>
      </w:r>
    </w:p>
    <w:p w14:paraId="63CABF96" w14:textId="77777777" w:rsidR="004C6421" w:rsidRDefault="009D1962">
      <w:pPr>
        <w:pStyle w:val="ListParagraph"/>
        <w:numPr>
          <w:ilvl w:val="4"/>
          <w:numId w:val="33"/>
        </w:numPr>
        <w:spacing w:before="0"/>
        <w:ind w:left="1276"/>
        <w:contextualSpacing w:val="0"/>
        <w:rPr>
          <w:noProof/>
        </w:rPr>
      </w:pPr>
      <w:r>
        <w:rPr>
          <w:noProof/>
        </w:rPr>
        <w:t xml:space="preserve">Opis procedur partnera wykonawczego, które zapewniają zapobieganie nadużyciom finansowym, korupcji i konfliktom interesów oraz ich wykrywanie i korygowanie. </w:t>
      </w:r>
    </w:p>
    <w:p w14:paraId="7424C9C3" w14:textId="77777777" w:rsidR="004C6421" w:rsidRDefault="009D1962">
      <w:pPr>
        <w:pStyle w:val="ListParagraph"/>
        <w:numPr>
          <w:ilvl w:val="4"/>
          <w:numId w:val="33"/>
        </w:numPr>
        <w:spacing w:before="0"/>
        <w:ind w:left="1276"/>
        <w:contextualSpacing w:val="0"/>
        <w:rPr>
          <w:noProof/>
        </w:rPr>
      </w:pPr>
      <w:r>
        <w:rPr>
          <w:noProof/>
        </w:rPr>
        <w:t>Obowiązek weryfikacji kwalifikowalności każdej operacji zgodnie z wymogami określonymi w umowie wykonawczej przed zobowiązaniem się do finansowania danej operacji.</w:t>
      </w:r>
    </w:p>
    <w:p w14:paraId="425D29BD" w14:textId="77777777" w:rsidR="004C6421" w:rsidRDefault="009D1962">
      <w:pPr>
        <w:pStyle w:val="ListParagraph"/>
        <w:numPr>
          <w:ilvl w:val="4"/>
          <w:numId w:val="33"/>
        </w:numPr>
        <w:spacing w:before="0"/>
        <w:ind w:left="1276"/>
        <w:contextualSpacing w:val="0"/>
        <w:rPr>
          <w:noProof/>
        </w:rPr>
      </w:pPr>
      <w:r>
        <w:rPr>
          <w:noProof/>
        </w:rPr>
        <w:t>Obowiązek przeprowadzania audytów ex post opartych na analizie ryzyka zgodnie z planem audytu OSO Invitalia. Audyty te służą sprawdzeniu:</w:t>
      </w:r>
    </w:p>
    <w:p w14:paraId="0B1700B8" w14:textId="77777777" w:rsidR="004C6421" w:rsidRDefault="009D1962">
      <w:pPr>
        <w:pStyle w:val="ListParagraph"/>
        <w:numPr>
          <w:ilvl w:val="5"/>
          <w:numId w:val="33"/>
        </w:numPr>
        <w:spacing w:before="0"/>
        <w:ind w:left="1985"/>
        <w:contextualSpacing w:val="0"/>
        <w:rPr>
          <w:noProof/>
        </w:rPr>
      </w:pPr>
      <w:r>
        <w:rPr>
          <w:noProof/>
        </w:rPr>
        <w:t>skuteczne systemy kontroli, w tym wykrywanie nadużyć finansowych, korupcji i konfliktu interesów;</w:t>
      </w:r>
    </w:p>
    <w:p w14:paraId="0C834A25" w14:textId="77777777" w:rsidR="004C6421" w:rsidRDefault="009D1962">
      <w:pPr>
        <w:pStyle w:val="ListParagraph"/>
        <w:numPr>
          <w:ilvl w:val="5"/>
          <w:numId w:val="33"/>
        </w:numPr>
        <w:spacing w:before="0"/>
        <w:ind w:left="1985"/>
        <w:contextualSpacing w:val="0"/>
        <w:rPr>
          <w:noProof/>
        </w:rPr>
      </w:pPr>
      <w:r>
        <w:rPr>
          <w:noProof/>
        </w:rPr>
        <w:t xml:space="preserve">zgodność z zasadą „nie czyń poważnych szkód”, zasadami pomocy państwa, wymogami dotyczącymi celów klimatycznych;  </w:t>
      </w:r>
    </w:p>
    <w:p w14:paraId="23C022DE" w14:textId="77777777" w:rsidR="004C6421" w:rsidRDefault="009D1962">
      <w:pPr>
        <w:pStyle w:val="ListParagraph"/>
        <w:numPr>
          <w:ilvl w:val="5"/>
          <w:numId w:val="33"/>
        </w:numPr>
        <w:spacing w:before="0"/>
        <w:ind w:left="1985"/>
        <w:contextualSpacing w:val="0"/>
        <w:rPr>
          <w:noProof/>
        </w:rPr>
      </w:pPr>
      <w:r>
        <w:rPr>
          <w:noProof/>
        </w:rPr>
        <w:t xml:space="preserve">wymóg, aby beneficjenci końcowi Instrumentu nie otrzymywali wsparcia z innych instrumentów unijnych w celu pokrycia tych samych kosztów, jest przestrzegany. W ramach audytów sprawdza się również legalność transakcji oraz przestrzeganie warunków obowiązującej umowy wykonawczej. </w:t>
      </w:r>
    </w:p>
    <w:p w14:paraId="1D0665AF" w14:textId="678CACB7" w:rsidR="004C6421" w:rsidRDefault="009D1962">
      <w:pPr>
        <w:pStyle w:val="ListParagraph"/>
        <w:numPr>
          <w:ilvl w:val="0"/>
          <w:numId w:val="141"/>
        </w:numPr>
        <w:spacing w:before="0"/>
        <w:contextualSpacing w:val="0"/>
        <w:rPr>
          <w:noProof/>
        </w:rPr>
      </w:pPr>
      <w:r>
        <w:rPr>
          <w:noProof/>
        </w:rPr>
        <w:t>Wymogi dotyczące inwestycji w dziedzinie klimatu realizowanych przez partnera wykonawczego: co najmniej 1 000 000 000 EUR z inwestycji RRF w Instrument przyczynia się do realizacji celów związanych ze zmianą klimatu zgodnie z załącznikiem VI do rozporządzenia w sprawie RRF.</w:t>
      </w:r>
      <w:r>
        <w:rPr>
          <w:rStyle w:val="FootnoteReference"/>
          <w:noProof/>
        </w:rPr>
        <w:footnoteReference w:id="56"/>
      </w:r>
    </w:p>
    <w:p w14:paraId="1977A58C" w14:textId="77777777" w:rsidR="004C6421" w:rsidRDefault="009D1962">
      <w:pPr>
        <w:spacing w:after="120"/>
        <w:jc w:val="both"/>
        <w:rPr>
          <w:noProof/>
        </w:rPr>
      </w:pPr>
      <w:r>
        <w:rPr>
          <w:noProof/>
        </w:rPr>
        <w:t>Wdrożenie środka należy zakończyć do dnia 31 sierpnia 2026 r.</w:t>
      </w:r>
    </w:p>
    <w:p w14:paraId="1E169D77" w14:textId="77777777" w:rsidR="004C6421" w:rsidRDefault="009D1962">
      <w:pPr>
        <w:pStyle w:val="P68B1DB1-Normal2"/>
        <w:spacing w:before="120" w:after="120"/>
        <w:jc w:val="both"/>
        <w:rPr>
          <w:noProof/>
        </w:rPr>
      </w:pPr>
      <w:r>
        <w:rPr>
          <w:noProof/>
        </w:rPr>
        <w:t>Inwestycja 5.2 – Rozwój wiodącej pozycji międzynarodowej, przemysłowej i badawczo-rozwojowej w dziedzinie wodoru</w:t>
      </w:r>
    </w:p>
    <w:p w14:paraId="64A39B25" w14:textId="77777777" w:rsidR="004C6421" w:rsidRDefault="009D1962">
      <w:pPr>
        <w:spacing w:before="120" w:after="120"/>
        <w:jc w:val="both"/>
        <w:rPr>
          <w:noProof/>
        </w:rPr>
      </w:pPr>
      <w:r>
        <w:rPr>
          <w:noProof/>
        </w:rPr>
        <w:t>Inwestycja ta polega na wspieraniu projektów na rzecz rozwoju łańcucha wartości wodoru we Włoszech, który może również uczestniczyć w potencjalnych ważnych projektach stanowiących przedmiot wspólnego europejskiego zainteresowania w dziedzinie wodoru.</w:t>
      </w:r>
    </w:p>
    <w:p w14:paraId="7383CE21" w14:textId="77777777" w:rsidR="004C6421" w:rsidRDefault="009D1962">
      <w:pPr>
        <w:pStyle w:val="P68B1DB1-Normal2"/>
        <w:spacing w:before="120" w:after="120"/>
        <w:jc w:val="both"/>
        <w:rPr>
          <w:noProof/>
        </w:rPr>
      </w:pPr>
      <w:r>
        <w:rPr>
          <w:noProof/>
        </w:rPr>
        <w:t>Inwestycja 5.3 – Rozwój wiodącej pozycji międzynarodowej, przemysłowej i badawczo-rozwojowej w zakresie autobusów elektrycznych</w:t>
      </w:r>
    </w:p>
    <w:p w14:paraId="2287B336" w14:textId="77777777" w:rsidR="004C6421" w:rsidRDefault="009D1962">
      <w:pPr>
        <w:spacing w:before="120" w:after="120"/>
        <w:jc w:val="both"/>
        <w:rPr>
          <w:noProof/>
        </w:rPr>
      </w:pPr>
      <w:r>
        <w:rPr>
          <w:noProof/>
        </w:rPr>
        <w:t>Inwestycje 5.2 – Rozwój wiodącej pozycji międzynarodowej, przemysłowej oraz w dziedzinie badań i rozwoju w dziedzinie wodoru  Oczekuje się również, że inwestycja ta będzie wspierać inwestycje w odnowienie floty autobusów elektrycznych (bez uwzględnienia autobusów hybrydowych).</w:t>
      </w:r>
    </w:p>
    <w:p w14:paraId="4AF2F5C2" w14:textId="77777777" w:rsidR="004C6421" w:rsidRDefault="009D1962">
      <w:pPr>
        <w:pStyle w:val="P68B1DB1-Normal2"/>
        <w:spacing w:before="120" w:after="120"/>
        <w:jc w:val="both"/>
        <w:rPr>
          <w:noProof/>
        </w:rPr>
      </w:pPr>
      <w:r>
        <w:rPr>
          <w:noProof/>
        </w:rPr>
        <w:t>Inwestycja 5.4 – Wsparcie dla przedsiębiorstw typu start-up i kapitału wysokiego ryzyka prowadzących działalność w zakresie transformacji ekologicznej</w:t>
      </w:r>
    </w:p>
    <w:p w14:paraId="65CAF6D4" w14:textId="77777777" w:rsidR="004C6421" w:rsidRDefault="009D1962">
      <w:pPr>
        <w:jc w:val="both"/>
        <w:rPr>
          <w:noProof/>
        </w:rPr>
      </w:pPr>
      <w:r>
        <w:rPr>
          <w:noProof/>
        </w:rPr>
        <w:t xml:space="preserve">Inwestycje 5.3 – Rozwój wiodącej pozycji międzynarodowej, przemysłowej oraz w dziedzinie badań i rozwoju w autobusach elektrycznych Inwestycja ta polega na wspieraniu około 45 projektów, które mogą promować cyfrową i ekologiczną transformację przemysłu autobusowego w kierunku produkcji autobusów elektrycznych i podłączonych do sieci. Instrument działa poprzez bezpośrednie lub pośrednie udzielanie wsparcia kapitałowego </w:t>
      </w:r>
      <w:r>
        <w:rPr>
          <w:noProof/>
          <w:color w:val="000000" w:themeColor="text1"/>
        </w:rPr>
        <w:t>lub quasi-kapitałowego</w:t>
      </w:r>
      <w:r>
        <w:rPr>
          <w:noProof/>
        </w:rPr>
        <w:t xml:space="preserve">. Inwestycje 5.4 – Wsparcie dla przedsiębiorstw typu start-up i kapitału wysokiego ryzyka prowadzących działalność w zakresie transformacji ekologicznej w przypadku inwestycji pośrednich SGR działa poprzez finansowanie funduszy osób trzecich (AFI – alternatywnego funduszu inwestycyjnego), które działają poprzez dostarczanie instrumentów kapitałowych lub quasi-kapitałowych, dłużnych lub quasi-dłużnych. GTF inwestuje w następujące obszary interwencji: instrument działa poprzez bezpośrednie lub pośrednie udzielanie wsparcia kapitałowego lub quasi-kapitałowego. </w:t>
      </w:r>
    </w:p>
    <w:p w14:paraId="366C1DAD" w14:textId="77777777" w:rsidR="004C6421" w:rsidRDefault="004C6421">
      <w:pPr>
        <w:jc w:val="both"/>
        <w:rPr>
          <w:noProof/>
        </w:rPr>
      </w:pPr>
    </w:p>
    <w:p w14:paraId="6CBB3695" w14:textId="77777777" w:rsidR="004C6421" w:rsidRDefault="009D1962">
      <w:pPr>
        <w:jc w:val="both"/>
        <w:rPr>
          <w:noProof/>
        </w:rPr>
      </w:pPr>
      <w:r>
        <w:rPr>
          <w:noProof/>
        </w:rPr>
        <w:t>Na podstawie inwestycji w ramach RRF instrument ma początkowo zapewnić finansowanie w wysokości co najmniej 250 000 000 EUR.</w:t>
      </w:r>
    </w:p>
    <w:p w14:paraId="6529EFEE" w14:textId="77777777" w:rsidR="004C6421" w:rsidRDefault="004C6421">
      <w:pPr>
        <w:jc w:val="both"/>
        <w:rPr>
          <w:noProof/>
        </w:rPr>
      </w:pPr>
    </w:p>
    <w:p w14:paraId="14E67CC4" w14:textId="77777777" w:rsidR="004C6421" w:rsidRDefault="009D1962">
      <w:pPr>
        <w:jc w:val="both"/>
        <w:rPr>
          <w:noProof/>
        </w:rPr>
      </w:pPr>
      <w:r>
        <w:rPr>
          <w:noProof/>
        </w:rPr>
        <w:t>Instrumentem zarządza CDP Venture Capital SGR jako partner wykonawczy. GTF trwa 15 lat, aby dopasować czas trwania zainwestowanych środków finansowych osób trzecich, i inwestuje w następujące linie produktów:</w:t>
      </w:r>
    </w:p>
    <w:p w14:paraId="694D35FB" w14:textId="77777777" w:rsidR="004C6421" w:rsidRDefault="009D1962">
      <w:pPr>
        <w:pStyle w:val="ListParagraph"/>
        <w:numPr>
          <w:ilvl w:val="0"/>
          <w:numId w:val="57"/>
        </w:numPr>
        <w:spacing w:before="0" w:after="160"/>
        <w:rPr>
          <w:noProof/>
        </w:rPr>
      </w:pPr>
      <w:r>
        <w:rPr>
          <w:noProof/>
        </w:rPr>
        <w:t>Wsparcie kapitałowe lub quasi-kapitałowe dla ekologicznych przedsiębiorstw typu start-up (w sposób bezpośredni);</w:t>
      </w:r>
    </w:p>
    <w:p w14:paraId="521CC2A9" w14:textId="77777777" w:rsidR="004C6421" w:rsidRDefault="009D1962">
      <w:pPr>
        <w:pStyle w:val="ListParagraph"/>
        <w:numPr>
          <w:ilvl w:val="0"/>
          <w:numId w:val="57"/>
        </w:numPr>
        <w:spacing w:before="0" w:after="160"/>
        <w:rPr>
          <w:noProof/>
        </w:rPr>
      </w:pPr>
      <w:r>
        <w:rPr>
          <w:noProof/>
        </w:rPr>
        <w:t>Wsparcie kapitałowe, quasi-kapitałowe na rzecz kapitału podwyższonego ryzyka/funduszy dłużnych (w sposób pośredni);</w:t>
      </w:r>
    </w:p>
    <w:p w14:paraId="3464BD7D" w14:textId="77777777" w:rsidR="004C6421" w:rsidRDefault="009D1962">
      <w:pPr>
        <w:pStyle w:val="ListParagraph"/>
        <w:numPr>
          <w:ilvl w:val="0"/>
          <w:numId w:val="57"/>
        </w:numPr>
        <w:spacing w:before="0" w:after="160"/>
        <w:rPr>
          <w:noProof/>
        </w:rPr>
      </w:pPr>
      <w:r>
        <w:rPr>
          <w:noProof/>
        </w:rPr>
        <w:t>Wsparcie w formie finansowania kapitałowego lub quasi-kapitałowego na rzecz programów inkubacji/przyspieszenia (w sposób bezpośredni i pośredni).</w:t>
      </w:r>
    </w:p>
    <w:p w14:paraId="17C63410" w14:textId="77777777" w:rsidR="004C6421" w:rsidRDefault="004C6421">
      <w:pPr>
        <w:pStyle w:val="ListParagraph"/>
        <w:rPr>
          <w:noProof/>
        </w:rPr>
      </w:pPr>
    </w:p>
    <w:p w14:paraId="29C80083" w14:textId="77777777" w:rsidR="004C6421" w:rsidRDefault="009D1962">
      <w:pPr>
        <w:jc w:val="both"/>
        <w:rPr>
          <w:noProof/>
        </w:rPr>
      </w:pPr>
      <w:r>
        <w:rPr>
          <w:noProof/>
        </w:rPr>
        <w:t>MIMIT i SGR zmieniają obecną umowę wykonawczą („</w:t>
      </w:r>
      <w:r>
        <w:rPr>
          <w:i/>
          <w:noProof/>
        </w:rPr>
        <w:t>Accordo Finanziario</w:t>
      </w:r>
      <w:r>
        <w:rPr>
          <w:noProof/>
        </w:rPr>
        <w:t>”) i zasady GTF w celu uwzględnienia następujących postanowień:</w:t>
      </w:r>
    </w:p>
    <w:p w14:paraId="78C86BFE" w14:textId="77777777" w:rsidR="004C6421" w:rsidRDefault="009D1962">
      <w:pPr>
        <w:pStyle w:val="LegalNumPar"/>
        <w:numPr>
          <w:ilvl w:val="0"/>
          <w:numId w:val="0"/>
        </w:numPr>
        <w:jc w:val="both"/>
        <w:rPr>
          <w:rFonts w:ascii="Times New Roman" w:eastAsia="Times New Roman" w:hAnsi="Times New Roman" w:cs="Times New Roman"/>
          <w:noProof/>
          <w:sz w:val="24"/>
        </w:rPr>
      </w:pPr>
      <w:r>
        <w:rPr>
          <w:rFonts w:ascii="Times New Roman" w:hAnsi="Times New Roman"/>
          <w:noProof/>
          <w:sz w:val="24"/>
        </w:rPr>
        <w:t>Opis procesu decyzyjnego w ramach Instrumentu: ostateczną decyzję inwestycyjną Instrumentu podejmuje zarząd lub inny odpowiedni równoważny organ zarządzający i zatwierdza większością głosów członków niezależnych od rządu</w:t>
      </w:r>
      <w:r>
        <w:rPr>
          <w:rStyle w:val="FootnoteReference"/>
          <w:rFonts w:eastAsia="Times New Roman"/>
          <w:noProof/>
        </w:rPr>
        <w:footnoteReference w:id="57"/>
      </w:r>
      <w:r>
        <w:rPr>
          <w:rFonts w:ascii="Times New Roman" w:hAnsi="Times New Roman"/>
          <w:noProof/>
          <w:sz w:val="24"/>
        </w:rPr>
        <w:t>.</w:t>
      </w:r>
    </w:p>
    <w:p w14:paraId="3BE3D746" w14:textId="77777777" w:rsidR="004C6421" w:rsidRDefault="009D1962">
      <w:pPr>
        <w:pStyle w:val="P68B1DB1-LegalNumPar19"/>
        <w:jc w:val="both"/>
        <w:rPr>
          <w:rFonts w:eastAsia="Times New Roman" w:cs="Times New Roman"/>
          <w:noProof/>
        </w:rPr>
      </w:pPr>
      <w:r>
        <w:rPr>
          <w:noProof/>
        </w:rPr>
        <w:t>Kluczowe wymogi powiązanej polityki inwestycyjnej,</w:t>
      </w:r>
      <w:r>
        <w:rPr>
          <w:b/>
          <w:noProof/>
        </w:rPr>
        <w:t xml:space="preserve"> </w:t>
      </w:r>
      <w:r>
        <w:rPr>
          <w:noProof/>
        </w:rPr>
        <w:t>które obejmują:</w:t>
      </w:r>
    </w:p>
    <w:p w14:paraId="2EC676C4" w14:textId="77777777" w:rsidR="004C6421" w:rsidRDefault="009D1962">
      <w:pPr>
        <w:pStyle w:val="P68B1DB1-LegalNumPar220"/>
        <w:jc w:val="both"/>
        <w:rPr>
          <w:rFonts w:eastAsia="Times New Roman" w:cs="Times New Roman"/>
          <w:noProof/>
        </w:rPr>
      </w:pPr>
      <w:r>
        <w:rPr>
          <w:noProof/>
        </w:rPr>
        <w:t xml:space="preserve">Opis produktów finansowych i kwalifikujących się beneficjentów końcowych. </w:t>
      </w:r>
    </w:p>
    <w:p w14:paraId="0EC70AFB" w14:textId="77777777" w:rsidR="004C6421" w:rsidRDefault="009D1962">
      <w:pPr>
        <w:pStyle w:val="P68B1DB1-LegalNumPar220"/>
        <w:jc w:val="both"/>
        <w:rPr>
          <w:rFonts w:eastAsia="Times New Roman" w:cs="Times New Roman"/>
          <w:noProof/>
        </w:rPr>
      </w:pPr>
      <w:r>
        <w:rPr>
          <w:noProof/>
        </w:rPr>
        <w:t>Wymóg, aby wszystkie wspierane inwestycje były ekonomicznie opłacalne</w:t>
      </w:r>
      <w:r>
        <w:rPr>
          <w:b/>
          <w:noProof/>
        </w:rPr>
        <w:t>.</w:t>
      </w:r>
    </w:p>
    <w:p w14:paraId="04FD077E" w14:textId="77777777" w:rsidR="004C6421" w:rsidRDefault="009D1962">
      <w:pPr>
        <w:pStyle w:val="P68B1DB1-LegalNumPar220"/>
        <w:numPr>
          <w:ilvl w:val="0"/>
          <w:numId w:val="0"/>
        </w:numPr>
        <w:jc w:val="both"/>
        <w:rPr>
          <w:rFonts w:eastAsia="Times New Roman" w:cs="Times New Roman"/>
          <w:noProof/>
        </w:rPr>
      </w:pPr>
      <w:r>
        <w:rPr>
          <w:noProof/>
        </w:rPr>
        <w:t>Wymóg zgodności z zasadą „nie czyń poważnych szkód” (DNSH) zgodnie z wytycznymi technicznymi dotyczącymi zasady DNSH (2021/C58/01). W szczególności w przypadku ogólnego wsparcia dla przedsiębiorstw typu start-up polityka inwestycyjna wyklucza przedsiębiorstwa, które</w:t>
      </w:r>
      <w:r>
        <w:rPr>
          <w:noProof/>
        </w:rPr>
        <w:footnoteReference w:id="58"/>
      </w:r>
      <w:r>
        <w:rPr>
          <w:noProof/>
        </w:rPr>
        <w:t xml:space="preserve"> w znacznym stopniu koncentrują się na następujących sektorach: (i) produkcja energii z paliw kopalnych i działalność pokrewna</w:t>
      </w:r>
      <w:r>
        <w:rPr>
          <w:noProof/>
        </w:rPr>
        <w:footnoteReference w:id="59"/>
      </w:r>
      <w:r>
        <w:rPr>
          <w:noProof/>
        </w:rPr>
        <w:t>; (II) energochłonne lub wysokoemisyjne gałęzie przemysłu emitujące CO2</w:t>
      </w:r>
      <w:r>
        <w:rPr>
          <w:noProof/>
        </w:rPr>
        <w:footnoteReference w:id="60"/>
      </w:r>
      <w:r>
        <w:rPr>
          <w:noProof/>
        </w:rPr>
        <w:t>; (III) produkcja, wynajem lub sprzedaż pojazdów zanieczyszczających środowisko</w:t>
      </w:r>
      <w:r>
        <w:rPr>
          <w:noProof/>
        </w:rPr>
        <w:footnoteReference w:id="61"/>
      </w:r>
      <w:r>
        <w:rPr>
          <w:noProof/>
        </w:rPr>
        <w:t>; (IV) zbieranie, przetwarzanie i unieszkodliwianie odpadów</w:t>
      </w:r>
      <w:r>
        <w:rPr>
          <w:noProof/>
        </w:rPr>
        <w:footnoteReference w:id="62"/>
      </w:r>
      <w:r>
        <w:rPr>
          <w:noProof/>
        </w:rPr>
        <w:t>, (v) przetwarzanie paliwa jądrowego, produkcja energii jądrowej. Ponadto polityka inwestycyjna wymaga zgodności</w:t>
      </w:r>
      <w:r>
        <w:rPr>
          <w:b/>
          <w:noProof/>
        </w:rPr>
        <w:t xml:space="preserve"> </w:t>
      </w:r>
      <w:r>
        <w:rPr>
          <w:noProof/>
        </w:rPr>
        <w:t>z odpowiednimi unijnymi i krajowymi przepisami w zakresie ochrony środowiska beneficjentów końcowych Instrumentu.</w:t>
      </w:r>
    </w:p>
    <w:p w14:paraId="7A152B1C" w14:textId="77777777" w:rsidR="004C6421" w:rsidRDefault="009D1962">
      <w:pPr>
        <w:pStyle w:val="P68B1DB1-LegalNumPar220"/>
        <w:jc w:val="both"/>
        <w:rPr>
          <w:rFonts w:eastAsia="Times New Roman" w:cs="Times New Roman"/>
          <w:noProof/>
        </w:rPr>
      </w:pPr>
      <w:r>
        <w:rPr>
          <w:noProof/>
        </w:rPr>
        <w:t>Wymóg, zgodnie z którym beneficjenci końcowi Instrumentu nie mogą otrzymywać wsparcia z innych instrumentów unijnych w celu pokrycia tych samych kosztów.</w:t>
      </w:r>
    </w:p>
    <w:p w14:paraId="1923D62C" w14:textId="77777777" w:rsidR="004C6421" w:rsidRDefault="009D1962">
      <w:pPr>
        <w:pStyle w:val="P68B1DB1-LegalNumPar19"/>
        <w:jc w:val="both"/>
        <w:rPr>
          <w:rFonts w:eastAsia="Times New Roman" w:cs="Times New Roman"/>
          <w:noProof/>
        </w:rPr>
      </w:pPr>
      <w:r>
        <w:rPr>
          <w:noProof/>
        </w:rPr>
        <w:t>Kwotę objętą umową wykonawczą, strukturę opłat dla partnera wykonawczego oraz wymóg reinwestowania wszelkich środków powracających zgodnie z polityką inwestycyjną instrumentu.</w:t>
      </w:r>
    </w:p>
    <w:p w14:paraId="0EDC1959" w14:textId="77777777" w:rsidR="004C6421" w:rsidRDefault="009D1962">
      <w:pPr>
        <w:pStyle w:val="P68B1DB1-LegalNumPar19"/>
        <w:jc w:val="both"/>
        <w:rPr>
          <w:rFonts w:eastAsia="Times New Roman" w:cs="Times New Roman"/>
          <w:noProof/>
        </w:rPr>
      </w:pPr>
      <w:r>
        <w:rPr>
          <w:noProof/>
        </w:rPr>
        <w:t>Wymogi w zakresie monitorowania, audytu i kontroli, w tym:</w:t>
      </w:r>
    </w:p>
    <w:p w14:paraId="2CC52A20" w14:textId="77777777" w:rsidR="004C6421" w:rsidRDefault="009D1962">
      <w:pPr>
        <w:numPr>
          <w:ilvl w:val="1"/>
          <w:numId w:val="104"/>
        </w:numPr>
        <w:spacing w:after="160"/>
        <w:jc w:val="both"/>
        <w:rPr>
          <w:noProof/>
        </w:rPr>
      </w:pPr>
      <w:r>
        <w:rPr>
          <w:noProof/>
        </w:rPr>
        <w:t>Opis stosowanego przez partnera wykonawczego systemu monitorowania służącego do sprawozdawczości na temat uruchomionych inwestycji.</w:t>
      </w:r>
    </w:p>
    <w:p w14:paraId="22EDC958" w14:textId="77777777" w:rsidR="004C6421" w:rsidRDefault="009D1962">
      <w:pPr>
        <w:numPr>
          <w:ilvl w:val="1"/>
          <w:numId w:val="104"/>
        </w:numPr>
        <w:spacing w:after="160" w:line="259" w:lineRule="auto"/>
        <w:jc w:val="both"/>
        <w:rPr>
          <w:noProof/>
        </w:rPr>
      </w:pPr>
      <w:r>
        <w:rPr>
          <w:noProof/>
        </w:rPr>
        <w:t xml:space="preserve">Opis procedur partnera wykonawczego, które zapewniają zapobieganie nadużyciom finansowym, korupcji i konfliktom interesów oraz ich wykrywanie i korygowanie. </w:t>
      </w:r>
    </w:p>
    <w:p w14:paraId="175205E5" w14:textId="77777777" w:rsidR="004C6421" w:rsidRDefault="009D1962">
      <w:pPr>
        <w:numPr>
          <w:ilvl w:val="1"/>
          <w:numId w:val="104"/>
        </w:numPr>
        <w:spacing w:after="160" w:line="259" w:lineRule="auto"/>
        <w:jc w:val="both"/>
        <w:rPr>
          <w:noProof/>
        </w:rPr>
      </w:pPr>
      <w:r>
        <w:rPr>
          <w:noProof/>
        </w:rPr>
        <w:t>Obowiązek weryfikacji kwalifikowalności każdej operacji zgodnie z wymogami określonymi w umowie wykonawczej przed zobowiązaniem się do finansowania danej operacji.</w:t>
      </w:r>
    </w:p>
    <w:p w14:paraId="40B8DC43" w14:textId="77777777" w:rsidR="004C6421" w:rsidRDefault="009D1962">
      <w:pPr>
        <w:numPr>
          <w:ilvl w:val="1"/>
          <w:numId w:val="104"/>
        </w:numPr>
        <w:spacing w:after="160"/>
        <w:jc w:val="both"/>
        <w:rPr>
          <w:noProof/>
        </w:rPr>
      </w:pPr>
      <w:r>
        <w:rPr>
          <w:noProof/>
        </w:rPr>
        <w:t xml:space="preserve">Obowiązek przeprowadzania opartych na analizie ryzyka audytów ex post zgodnie z planem audytu SGR. Audyty te mają na celu sprawdzenie (i) skuteczności systemów kontroli, w tym wykrywania nadużyć finansowych, korupcji i konfliktu interesów; zgodność z zasadą „nie czyń poważnych szkód”, zasadami pomocy państwa; oraz (iii) wymóg, zgodnie z którym beneficjenci końcowi Instrumentu nie otrzymali wsparcia z innych instrumentów unijnych w celu pokrycia tych samych kosztów, jest spełniony. W ramach audytów sprawdza się również legalność transakcji oraz przestrzeganie warunków mających zastosowanie umów wykonawczych i umów o finansowaniu. </w:t>
      </w:r>
    </w:p>
    <w:p w14:paraId="0EE6C76A" w14:textId="77777777" w:rsidR="004C6421" w:rsidRDefault="009D1962">
      <w:pPr>
        <w:numPr>
          <w:ilvl w:val="0"/>
          <w:numId w:val="31"/>
        </w:numPr>
        <w:spacing w:after="160"/>
        <w:ind w:left="720" w:hanging="360"/>
        <w:jc w:val="both"/>
        <w:rPr>
          <w:noProof/>
        </w:rPr>
      </w:pPr>
      <w:r>
        <w:rPr>
          <w:b/>
          <w:noProof/>
        </w:rPr>
        <w:t>Wymogi dotyczące wyboru kapitału podwyższonego ryzyka/ funduszydłużnych</w:t>
      </w:r>
      <w:r>
        <w:rPr>
          <w:noProof/>
        </w:rPr>
        <w:t xml:space="preserve">: Fundusz na rzecz Zielonej Transformacji wybiera pośredników finansowych w sposób otwarty, przejrzysty i niedyskryminujący, zgodnie z obecną praktyką, między innymi poprzez publikowanie wszystkich wymogów i formularzy wniosków zarówno na stronie internetowej SGR, jak i na stronie internetowej MIMIT. Kontrole dotyczące braku konfliktu interesów w odniesieniu do pośredników finansowych przeprowadza się i przeprowadza </w:t>
      </w:r>
      <w:r>
        <w:rPr>
          <w:i/>
          <w:noProof/>
        </w:rPr>
        <w:t>ex ante w</w:t>
      </w:r>
      <w:r>
        <w:rPr>
          <w:noProof/>
        </w:rPr>
        <w:t xml:space="preserve"> odniesieniu do wszystkich zaangażowanych podmiotów finansowych. Brak konfliktu interesów zawsze odnosi się do „beneficjenta końcowego” Instrumentu.</w:t>
      </w:r>
    </w:p>
    <w:p w14:paraId="467CF584" w14:textId="77777777" w:rsidR="004C6421" w:rsidRDefault="009D1962">
      <w:pPr>
        <w:numPr>
          <w:ilvl w:val="0"/>
          <w:numId w:val="31"/>
        </w:numPr>
        <w:spacing w:after="160"/>
        <w:ind w:left="720" w:hanging="360"/>
        <w:jc w:val="both"/>
        <w:rPr>
          <w:noProof/>
        </w:rPr>
      </w:pPr>
      <w:r>
        <w:rPr>
          <w:b/>
          <w:noProof/>
        </w:rPr>
        <w:t>Wymóg podpisania umów o finansowaniu</w:t>
      </w:r>
      <w:r>
        <w:rPr>
          <w:noProof/>
        </w:rPr>
        <w:t xml:space="preserve">: GTF podpisuje umowy o finansowaniu z pośrednikami finansowymi zgodnie z kluczowymi wymogami, które obejmują wszystkie wymogi, zgodnie z którymi działa GTF, w tym: </w:t>
      </w:r>
    </w:p>
    <w:p w14:paraId="42E391C9" w14:textId="77777777" w:rsidR="004C6421" w:rsidRDefault="009D1962">
      <w:pPr>
        <w:numPr>
          <w:ilvl w:val="0"/>
          <w:numId w:val="56"/>
        </w:numPr>
        <w:spacing w:after="160"/>
        <w:jc w:val="both"/>
        <w:rPr>
          <w:noProof/>
        </w:rPr>
      </w:pPr>
      <w:r>
        <w:rPr>
          <w:noProof/>
        </w:rPr>
        <w:t xml:space="preserve">Obowiązek pośrednika finansowego do podejmowania decyzji zgodnie </w:t>
      </w:r>
      <w:r>
        <w:rPr>
          <w:i/>
          <w:noProof/>
        </w:rPr>
        <w:t>mutatis mutandis</w:t>
      </w:r>
      <w:r>
        <w:rPr>
          <w:noProof/>
        </w:rPr>
        <w:t xml:space="preserve"> z wymogami dotyczącymi podejmowania decyzji i polityki inwestycyjnej określonymi wyżej, w tym dotyczącymi przestrzegania zasady „nie czyń poważnych szkód”.</w:t>
      </w:r>
    </w:p>
    <w:p w14:paraId="2F5C94C7" w14:textId="77777777" w:rsidR="004C6421" w:rsidRDefault="009D1962">
      <w:pPr>
        <w:numPr>
          <w:ilvl w:val="0"/>
          <w:numId w:val="56"/>
        </w:numPr>
        <w:spacing w:after="160"/>
        <w:jc w:val="both"/>
        <w:rPr>
          <w:noProof/>
        </w:rPr>
      </w:pPr>
      <w:r>
        <w:rPr>
          <w:noProof/>
        </w:rPr>
        <w:t xml:space="preserve">Opis ram monitorowania oraz audytu i kontroli, które pośrednik finansowy wprowadza, które </w:t>
      </w:r>
      <w:r>
        <w:rPr>
          <w:i/>
          <w:noProof/>
        </w:rPr>
        <w:t>odpowiednio</w:t>
      </w:r>
      <w:r>
        <w:rPr>
          <w:noProof/>
        </w:rPr>
        <w:t xml:space="preserve"> podlegają wszystkim wymogom w zakresie monitorowania, audytu i kontroli określonym powyżej. </w:t>
      </w:r>
    </w:p>
    <w:p w14:paraId="0DC45815" w14:textId="77777777" w:rsidR="004C6421" w:rsidRDefault="009D1962">
      <w:pPr>
        <w:spacing w:before="120" w:after="120"/>
        <w:jc w:val="both"/>
        <w:rPr>
          <w:noProof/>
        </w:rPr>
      </w:pPr>
      <w:r>
        <w:rPr>
          <w:noProof/>
        </w:rPr>
        <w:t xml:space="preserve">Wdrożenie środka należy zakończyć do dnia 31 sierpnia 2026 r. </w:t>
      </w:r>
    </w:p>
    <w:p w14:paraId="4073E38A" w14:textId="77777777" w:rsidR="004C6421" w:rsidRDefault="009D1962">
      <w:pPr>
        <w:pStyle w:val="Heading3"/>
        <w:numPr>
          <w:ilvl w:val="0"/>
          <w:numId w:val="0"/>
        </w:numPr>
        <w:ind w:left="850" w:hanging="850"/>
        <w:rPr>
          <w:b/>
          <w:i w:val="0"/>
          <w:noProof/>
          <w:u w:val="single"/>
        </w:rPr>
      </w:pPr>
      <w:r>
        <w:rPr>
          <w:b/>
          <w:i w:val="0"/>
          <w:noProof/>
          <w:u w:val="single"/>
        </w:rPr>
        <w:t xml:space="preserve">E.4. </w:t>
      </w:r>
      <w:r>
        <w:rPr>
          <w:noProof/>
        </w:rPr>
        <w:t xml:space="preserve"> </w:t>
      </w:r>
      <w:r>
        <w:rPr>
          <w:b/>
          <w:i w:val="0"/>
          <w:noProof/>
          <w:u w:val="single"/>
        </w:rPr>
        <w:t xml:space="preserve">Cele pośrednie, wartości docelowe, wskaźniki i harmonogram monitorowania i realizacji pożyczki </w:t>
      </w:r>
    </w:p>
    <w:p w14:paraId="38ECEAAB" w14:textId="77777777" w:rsidR="004C6421" w:rsidRDefault="004C6421">
      <w:pPr>
        <w:spacing w:before="120" w:after="120"/>
        <w:ind w:left="709"/>
        <w:contextualSpacing/>
        <w:jc w:val="both"/>
        <w:rPr>
          <w:noProof/>
        </w:rPr>
        <w:sectPr w:rsidR="004C6421" w:rsidSect="00797973">
          <w:headerReference w:type="even" r:id="rId152"/>
          <w:headerReference w:type="default" r:id="rId153"/>
          <w:footerReference w:type="even" r:id="rId154"/>
          <w:footerReference w:type="default" r:id="rId155"/>
          <w:headerReference w:type="first" r:id="rId156"/>
          <w:footerReference w:type="first" r:id="rId157"/>
          <w:pgSz w:w="11907" w:h="16839"/>
          <w:pgMar w:top="1134" w:right="1134" w:bottom="1134" w:left="1134" w:header="567" w:footer="567" w:gutter="0"/>
          <w:cols w:space="720"/>
          <w:docGrid w:linePitch="360"/>
        </w:sectPr>
      </w:pPr>
    </w:p>
    <w:p w14:paraId="73F36B2C" w14:textId="77777777" w:rsidR="004C6421" w:rsidRDefault="004C6421">
      <w:pPr>
        <w:spacing w:before="120" w:after="120"/>
        <w:ind w:left="709"/>
        <w:contextualSpacing/>
        <w:jc w:val="both"/>
        <w:rPr>
          <w:noProof/>
        </w:rPr>
      </w:pPr>
    </w:p>
    <w:tbl>
      <w:tblPr>
        <w:tblW w:w="44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516"/>
        <w:gridCol w:w="1369"/>
        <w:gridCol w:w="1516"/>
        <w:gridCol w:w="1613"/>
        <w:gridCol w:w="1247"/>
        <w:gridCol w:w="1004"/>
        <w:gridCol w:w="889"/>
        <w:gridCol w:w="882"/>
        <w:gridCol w:w="680"/>
        <w:gridCol w:w="2429"/>
      </w:tblGrid>
      <w:tr w:rsidR="004C6421" w14:paraId="3646E0F6" w14:textId="77777777">
        <w:trPr>
          <w:trHeight w:val="927"/>
          <w:tblHeader/>
          <w:jc w:val="center"/>
        </w:trPr>
        <w:tc>
          <w:tcPr>
            <w:tcW w:w="1613" w:type="dxa"/>
            <w:vMerge w:val="restart"/>
            <w:shd w:val="clear" w:color="auto" w:fill="BDD7EE"/>
            <w:vAlign w:val="center"/>
            <w:hideMark/>
          </w:tcPr>
          <w:p w14:paraId="5C637B02" w14:textId="77777777" w:rsidR="004C6421" w:rsidRDefault="009D1962">
            <w:pPr>
              <w:pStyle w:val="P68B1DB1-Normal6"/>
              <w:jc w:val="center"/>
              <w:rPr>
                <w:b/>
                <w:noProof/>
              </w:rPr>
            </w:pPr>
            <w:r>
              <w:rPr>
                <w:b/>
                <w:noProof/>
              </w:rPr>
              <w:t>Numer porządkowy</w:t>
            </w:r>
          </w:p>
        </w:tc>
        <w:tc>
          <w:tcPr>
            <w:tcW w:w="1643" w:type="dxa"/>
            <w:vMerge w:val="restart"/>
            <w:shd w:val="clear" w:color="auto" w:fill="BDD7EE"/>
            <w:vAlign w:val="center"/>
            <w:hideMark/>
          </w:tcPr>
          <w:p w14:paraId="6F72D7A9" w14:textId="77777777" w:rsidR="004C6421" w:rsidRDefault="009D1962">
            <w:pPr>
              <w:pStyle w:val="P68B1DB1-Normal3"/>
              <w:jc w:val="center"/>
              <w:rPr>
                <w:noProof/>
              </w:rPr>
            </w:pPr>
            <w:r>
              <w:rPr>
                <w:noProof/>
              </w:rPr>
              <w:t>Powiązane działanie (reforma lub inwestycja)</w:t>
            </w:r>
          </w:p>
        </w:tc>
        <w:tc>
          <w:tcPr>
            <w:tcW w:w="1559" w:type="dxa"/>
            <w:vMerge w:val="restart"/>
            <w:shd w:val="clear" w:color="auto" w:fill="BDD7EE"/>
            <w:vAlign w:val="center"/>
            <w:hideMark/>
          </w:tcPr>
          <w:p w14:paraId="23C869BB" w14:textId="77777777" w:rsidR="004C6421" w:rsidRDefault="009D1962">
            <w:pPr>
              <w:pStyle w:val="P68B1DB1-Normal3"/>
              <w:jc w:val="center"/>
              <w:rPr>
                <w:noProof/>
              </w:rPr>
            </w:pPr>
            <w:r>
              <w:rPr>
                <w:noProof/>
              </w:rPr>
              <w:t>Kamień milowy/wartość docelowa</w:t>
            </w:r>
          </w:p>
        </w:tc>
        <w:tc>
          <w:tcPr>
            <w:tcW w:w="1559" w:type="dxa"/>
            <w:vMerge w:val="restart"/>
            <w:shd w:val="clear" w:color="auto" w:fill="BDD7EE"/>
            <w:vAlign w:val="center"/>
            <w:hideMark/>
          </w:tcPr>
          <w:p w14:paraId="5A8CDDCF" w14:textId="77777777" w:rsidR="004C6421" w:rsidRDefault="009D1962">
            <w:pPr>
              <w:pStyle w:val="P68B1DB1-Normal3"/>
              <w:jc w:val="center"/>
              <w:rPr>
                <w:noProof/>
              </w:rPr>
            </w:pPr>
            <w:r>
              <w:rPr>
                <w:noProof/>
              </w:rPr>
              <w:t>Nazwa</w:t>
            </w:r>
          </w:p>
        </w:tc>
        <w:tc>
          <w:tcPr>
            <w:tcW w:w="1843" w:type="dxa"/>
            <w:vMerge w:val="restart"/>
            <w:shd w:val="clear" w:color="auto" w:fill="BDD7EE"/>
            <w:vAlign w:val="center"/>
            <w:hideMark/>
          </w:tcPr>
          <w:p w14:paraId="692634D9" w14:textId="77777777" w:rsidR="004C6421" w:rsidRDefault="009D1962">
            <w:pPr>
              <w:jc w:val="center"/>
              <w:rPr>
                <w:rFonts w:ascii="Arial Narrow" w:hAnsi="Arial Narrow"/>
                <w:b/>
                <w:noProof/>
                <w:sz w:val="20"/>
              </w:rPr>
            </w:pPr>
            <w:r>
              <w:rPr>
                <w:rFonts w:ascii="Arial Narrow" w:hAnsi="Arial Narrow"/>
                <w:b/>
                <w:noProof/>
                <w:sz w:val="20"/>
              </w:rPr>
              <w:t>Wskaźniki jakościowe</w:t>
            </w:r>
            <w:r>
              <w:rPr>
                <w:rFonts w:ascii="Arial Narrow" w:hAnsi="Arial Narrow"/>
                <w:noProof/>
              </w:rPr>
              <w:t xml:space="preserve"> </w:t>
            </w:r>
            <w:r>
              <w:rPr>
                <w:noProof/>
              </w:rPr>
              <w:t xml:space="preserve">  </w:t>
            </w:r>
            <w:r>
              <w:rPr>
                <w:noProof/>
              </w:rPr>
              <w:br/>
            </w:r>
            <w:r>
              <w:rPr>
                <w:rFonts w:ascii="Arial Narrow" w:hAnsi="Arial Narrow"/>
                <w:b/>
                <w:noProof/>
                <w:sz w:val="20"/>
              </w:rPr>
              <w:t>(dla kamieni milowych)</w:t>
            </w:r>
          </w:p>
        </w:tc>
        <w:tc>
          <w:tcPr>
            <w:tcW w:w="3497" w:type="dxa"/>
            <w:gridSpan w:val="3"/>
            <w:shd w:val="clear" w:color="auto" w:fill="BDD7EE"/>
            <w:vAlign w:val="center"/>
            <w:hideMark/>
          </w:tcPr>
          <w:p w14:paraId="79C66330" w14:textId="77777777" w:rsidR="004C6421" w:rsidRDefault="009D1962">
            <w:pPr>
              <w:jc w:val="center"/>
              <w:rPr>
                <w:rFonts w:ascii="Arial Narrow" w:hAnsi="Arial Narrow"/>
                <w:b/>
                <w:noProof/>
                <w:sz w:val="20"/>
              </w:rPr>
            </w:pPr>
            <w:r>
              <w:rPr>
                <w:rFonts w:ascii="Arial Narrow" w:hAnsi="Arial Narrow"/>
                <w:b/>
                <w:noProof/>
                <w:sz w:val="20"/>
              </w:rPr>
              <w:t xml:space="preserve">Wskaźniki ilościowe </w:t>
            </w:r>
            <w:r>
              <w:rPr>
                <w:rFonts w:ascii="Arial Narrow" w:hAnsi="Arial Narrow"/>
                <w:noProof/>
              </w:rPr>
              <w:t xml:space="preserve"> </w:t>
            </w:r>
            <w:r>
              <w:rPr>
                <w:noProof/>
              </w:rPr>
              <w:t xml:space="preserve">  </w:t>
            </w:r>
            <w:r>
              <w:rPr>
                <w:noProof/>
              </w:rPr>
              <w:br/>
            </w:r>
            <w:r>
              <w:rPr>
                <w:rFonts w:ascii="Arial Narrow" w:hAnsi="Arial Narrow"/>
                <w:b/>
                <w:noProof/>
                <w:sz w:val="20"/>
              </w:rPr>
              <w:t>(dla wartości docelowych)</w:t>
            </w:r>
          </w:p>
        </w:tc>
        <w:tc>
          <w:tcPr>
            <w:tcW w:w="1748" w:type="dxa"/>
            <w:gridSpan w:val="2"/>
            <w:shd w:val="clear" w:color="auto" w:fill="BDD7EE"/>
            <w:vAlign w:val="center"/>
            <w:hideMark/>
          </w:tcPr>
          <w:p w14:paraId="4AD81A07" w14:textId="77777777" w:rsidR="004C6421" w:rsidRDefault="009D1962">
            <w:pPr>
              <w:pStyle w:val="P68B1DB1-Normal3"/>
              <w:jc w:val="center"/>
              <w:rPr>
                <w:noProof/>
              </w:rPr>
            </w:pPr>
            <w:r>
              <w:rPr>
                <w:noProof/>
              </w:rPr>
              <w:t>Orientacyjny harmonogram zakończenia działania</w:t>
            </w:r>
          </w:p>
        </w:tc>
        <w:tc>
          <w:tcPr>
            <w:tcW w:w="2793" w:type="dxa"/>
            <w:vMerge w:val="restart"/>
            <w:shd w:val="clear" w:color="auto" w:fill="BDD7EE"/>
            <w:vAlign w:val="center"/>
            <w:hideMark/>
          </w:tcPr>
          <w:p w14:paraId="5F6B6678" w14:textId="77777777" w:rsidR="004C6421" w:rsidRDefault="009D1962">
            <w:pPr>
              <w:pStyle w:val="P68B1DB1-Normal3"/>
              <w:rPr>
                <w:noProof/>
              </w:rPr>
            </w:pPr>
            <w:r>
              <w:rPr>
                <w:noProof/>
              </w:rPr>
              <w:t>Opis każdego kamienia milowego i każdej wartości docelowej</w:t>
            </w:r>
          </w:p>
        </w:tc>
      </w:tr>
      <w:tr w:rsidR="004C6421" w14:paraId="5133F699" w14:textId="77777777">
        <w:trPr>
          <w:trHeight w:val="771"/>
          <w:tblHeader/>
          <w:jc w:val="center"/>
        </w:trPr>
        <w:tc>
          <w:tcPr>
            <w:tcW w:w="1613" w:type="dxa"/>
            <w:vMerge/>
            <w:vAlign w:val="center"/>
            <w:hideMark/>
          </w:tcPr>
          <w:p w14:paraId="58310F43" w14:textId="77777777" w:rsidR="004C6421" w:rsidRDefault="004C6421">
            <w:pPr>
              <w:jc w:val="center"/>
              <w:rPr>
                <w:rFonts w:ascii="Arial Narrow" w:hAnsi="Arial Narrow"/>
                <w:b/>
                <w:noProof/>
                <w:sz w:val="20"/>
              </w:rPr>
            </w:pPr>
          </w:p>
        </w:tc>
        <w:tc>
          <w:tcPr>
            <w:tcW w:w="1643" w:type="dxa"/>
            <w:vMerge/>
            <w:vAlign w:val="center"/>
            <w:hideMark/>
          </w:tcPr>
          <w:p w14:paraId="6D236BA2" w14:textId="77777777" w:rsidR="004C6421" w:rsidRDefault="004C6421">
            <w:pPr>
              <w:jc w:val="center"/>
              <w:rPr>
                <w:rFonts w:ascii="Arial Narrow" w:hAnsi="Arial Narrow"/>
                <w:b/>
                <w:noProof/>
                <w:sz w:val="20"/>
              </w:rPr>
            </w:pPr>
          </w:p>
        </w:tc>
        <w:tc>
          <w:tcPr>
            <w:tcW w:w="1559" w:type="dxa"/>
            <w:vMerge/>
            <w:vAlign w:val="center"/>
            <w:hideMark/>
          </w:tcPr>
          <w:p w14:paraId="02E50E15" w14:textId="77777777" w:rsidR="004C6421" w:rsidRDefault="004C6421">
            <w:pPr>
              <w:jc w:val="center"/>
              <w:rPr>
                <w:rFonts w:ascii="Arial Narrow" w:hAnsi="Arial Narrow"/>
                <w:b/>
                <w:noProof/>
                <w:sz w:val="20"/>
              </w:rPr>
            </w:pPr>
          </w:p>
        </w:tc>
        <w:tc>
          <w:tcPr>
            <w:tcW w:w="1559" w:type="dxa"/>
            <w:vMerge/>
            <w:vAlign w:val="center"/>
            <w:hideMark/>
          </w:tcPr>
          <w:p w14:paraId="2859E238" w14:textId="77777777" w:rsidR="004C6421" w:rsidRDefault="004C6421">
            <w:pPr>
              <w:jc w:val="center"/>
              <w:rPr>
                <w:rFonts w:ascii="Arial Narrow" w:hAnsi="Arial Narrow"/>
                <w:b/>
                <w:noProof/>
                <w:sz w:val="20"/>
              </w:rPr>
            </w:pPr>
          </w:p>
        </w:tc>
        <w:tc>
          <w:tcPr>
            <w:tcW w:w="1843" w:type="dxa"/>
            <w:vMerge/>
            <w:vAlign w:val="center"/>
            <w:hideMark/>
          </w:tcPr>
          <w:p w14:paraId="1B4846BB" w14:textId="77777777" w:rsidR="004C6421" w:rsidRDefault="004C6421">
            <w:pPr>
              <w:jc w:val="center"/>
              <w:rPr>
                <w:rFonts w:ascii="Arial Narrow" w:hAnsi="Arial Narrow"/>
                <w:b/>
                <w:noProof/>
                <w:sz w:val="20"/>
              </w:rPr>
            </w:pPr>
          </w:p>
        </w:tc>
        <w:tc>
          <w:tcPr>
            <w:tcW w:w="1417" w:type="dxa"/>
            <w:shd w:val="clear" w:color="auto" w:fill="BDD7EE"/>
            <w:vAlign w:val="center"/>
            <w:hideMark/>
          </w:tcPr>
          <w:p w14:paraId="3ECE29E2" w14:textId="77777777" w:rsidR="004C6421" w:rsidRDefault="009D1962">
            <w:pPr>
              <w:pStyle w:val="P68B1DB1-Normal3"/>
              <w:jc w:val="center"/>
              <w:rPr>
                <w:noProof/>
              </w:rPr>
            </w:pPr>
            <w:r>
              <w:rPr>
                <w:noProof/>
              </w:rPr>
              <w:t>Jednostka miary</w:t>
            </w:r>
          </w:p>
        </w:tc>
        <w:tc>
          <w:tcPr>
            <w:tcW w:w="1134" w:type="dxa"/>
            <w:shd w:val="clear" w:color="auto" w:fill="BDD7EE"/>
            <w:vAlign w:val="center"/>
            <w:hideMark/>
          </w:tcPr>
          <w:p w14:paraId="0629948D" w14:textId="77777777" w:rsidR="004C6421" w:rsidRDefault="009D1962">
            <w:pPr>
              <w:pStyle w:val="P68B1DB1-Normal3"/>
              <w:jc w:val="center"/>
              <w:rPr>
                <w:noProof/>
              </w:rPr>
            </w:pPr>
            <w:r>
              <w:rPr>
                <w:noProof/>
              </w:rPr>
              <w:t>Bazowy</w:t>
            </w:r>
          </w:p>
        </w:tc>
        <w:tc>
          <w:tcPr>
            <w:tcW w:w="946" w:type="dxa"/>
            <w:shd w:val="clear" w:color="auto" w:fill="BDD7EE"/>
            <w:vAlign w:val="center"/>
            <w:hideMark/>
          </w:tcPr>
          <w:p w14:paraId="0434A9B6" w14:textId="77777777" w:rsidR="004C6421" w:rsidRDefault="009D1962">
            <w:pPr>
              <w:pStyle w:val="P68B1DB1-Normal3"/>
              <w:jc w:val="center"/>
              <w:rPr>
                <w:noProof/>
              </w:rPr>
            </w:pPr>
            <w:r>
              <w:rPr>
                <w:noProof/>
              </w:rPr>
              <w:t>Cel</w:t>
            </w:r>
          </w:p>
        </w:tc>
        <w:tc>
          <w:tcPr>
            <w:tcW w:w="992" w:type="dxa"/>
            <w:shd w:val="clear" w:color="auto" w:fill="BDD7EE"/>
            <w:vAlign w:val="center"/>
            <w:hideMark/>
          </w:tcPr>
          <w:p w14:paraId="735F5F57" w14:textId="77777777" w:rsidR="004C6421" w:rsidRDefault="009D1962">
            <w:pPr>
              <w:pStyle w:val="P68B1DB1-Normal3"/>
              <w:jc w:val="center"/>
              <w:rPr>
                <w:noProof/>
              </w:rPr>
            </w:pPr>
            <w:r>
              <w:rPr>
                <w:noProof/>
              </w:rPr>
              <w:t>Kwartał</w:t>
            </w:r>
          </w:p>
        </w:tc>
        <w:tc>
          <w:tcPr>
            <w:tcW w:w="756" w:type="dxa"/>
            <w:shd w:val="clear" w:color="auto" w:fill="BDD7EE"/>
            <w:vAlign w:val="center"/>
            <w:hideMark/>
          </w:tcPr>
          <w:p w14:paraId="2CD97D99" w14:textId="77777777" w:rsidR="004C6421" w:rsidRDefault="009D1962">
            <w:pPr>
              <w:pStyle w:val="P68B1DB1-Normal3"/>
              <w:jc w:val="center"/>
              <w:rPr>
                <w:noProof/>
              </w:rPr>
            </w:pPr>
            <w:r>
              <w:rPr>
                <w:noProof/>
              </w:rPr>
              <w:t>Rok</w:t>
            </w:r>
          </w:p>
        </w:tc>
        <w:tc>
          <w:tcPr>
            <w:tcW w:w="2793" w:type="dxa"/>
            <w:vMerge/>
            <w:vAlign w:val="center"/>
            <w:hideMark/>
          </w:tcPr>
          <w:p w14:paraId="2EB42D20" w14:textId="77777777" w:rsidR="004C6421" w:rsidRDefault="004C6421">
            <w:pPr>
              <w:rPr>
                <w:rFonts w:ascii="Arial Narrow" w:hAnsi="Arial Narrow"/>
                <w:b/>
                <w:noProof/>
                <w:sz w:val="20"/>
              </w:rPr>
            </w:pPr>
          </w:p>
        </w:tc>
      </w:tr>
      <w:tr w:rsidR="004C6421" w14:paraId="5E5A44E4" w14:textId="77777777">
        <w:trPr>
          <w:trHeight w:val="309"/>
          <w:jc w:val="center"/>
        </w:trPr>
        <w:tc>
          <w:tcPr>
            <w:tcW w:w="1613" w:type="dxa"/>
            <w:shd w:val="clear" w:color="auto" w:fill="C6EFCE"/>
            <w:noWrap/>
            <w:vAlign w:val="center"/>
          </w:tcPr>
          <w:p w14:paraId="51881A7B" w14:textId="77777777" w:rsidR="004C6421" w:rsidRDefault="009D1962">
            <w:pPr>
              <w:pStyle w:val="P68B1DB1-Normal4"/>
              <w:jc w:val="center"/>
              <w:rPr>
                <w:noProof/>
              </w:rPr>
            </w:pPr>
            <w:r>
              <w:rPr>
                <w:noProof/>
              </w:rPr>
              <w:t>M2C2-3</w:t>
            </w:r>
          </w:p>
        </w:tc>
        <w:tc>
          <w:tcPr>
            <w:tcW w:w="1643" w:type="dxa"/>
            <w:shd w:val="clear" w:color="auto" w:fill="C6EFCE"/>
            <w:noWrap/>
            <w:vAlign w:val="center"/>
          </w:tcPr>
          <w:p w14:paraId="6D6CC4C9" w14:textId="77777777" w:rsidR="004C6421" w:rsidRDefault="009D1962">
            <w:pPr>
              <w:pStyle w:val="P68B1DB1-Normal4"/>
              <w:jc w:val="center"/>
              <w:rPr>
                <w:noProof/>
              </w:rPr>
            </w:pPr>
            <w:r>
              <w:rPr>
                <w:noProof/>
              </w:rPr>
              <w:t>Inwestycja 1.4 Rozwój biometanu zgodnie z kryteriami promowania gospodarki o obiegu zamkniętym</w:t>
            </w:r>
          </w:p>
        </w:tc>
        <w:tc>
          <w:tcPr>
            <w:tcW w:w="1559" w:type="dxa"/>
            <w:shd w:val="clear" w:color="auto" w:fill="C6EFCE"/>
            <w:noWrap/>
            <w:vAlign w:val="center"/>
          </w:tcPr>
          <w:p w14:paraId="00C646A3" w14:textId="77777777" w:rsidR="004C6421" w:rsidRDefault="009D1962">
            <w:pPr>
              <w:pStyle w:val="P68B1DB1-Normal4"/>
              <w:jc w:val="center"/>
              <w:rPr>
                <w:noProof/>
              </w:rPr>
            </w:pPr>
            <w:r>
              <w:rPr>
                <w:noProof/>
              </w:rPr>
              <w:t>Cel</w:t>
            </w:r>
          </w:p>
        </w:tc>
        <w:tc>
          <w:tcPr>
            <w:tcW w:w="1559" w:type="dxa"/>
            <w:shd w:val="clear" w:color="auto" w:fill="C6EFCE"/>
            <w:noWrap/>
            <w:vAlign w:val="center"/>
          </w:tcPr>
          <w:p w14:paraId="5190992E" w14:textId="77777777" w:rsidR="004C6421" w:rsidRDefault="009D1962">
            <w:pPr>
              <w:pStyle w:val="P68B1DB1-Normal4"/>
              <w:jc w:val="center"/>
              <w:rPr>
                <w:noProof/>
              </w:rPr>
            </w:pPr>
            <w:r>
              <w:rPr>
                <w:noProof/>
              </w:rPr>
              <w:t>Wymiana ciągników rolniczych</w:t>
            </w:r>
          </w:p>
        </w:tc>
        <w:tc>
          <w:tcPr>
            <w:tcW w:w="1843" w:type="dxa"/>
            <w:shd w:val="clear" w:color="auto" w:fill="C6EFCE"/>
            <w:noWrap/>
            <w:vAlign w:val="center"/>
          </w:tcPr>
          <w:p w14:paraId="33515BDF" w14:textId="77777777" w:rsidR="004C6421" w:rsidRDefault="009D1962">
            <w:pPr>
              <w:pStyle w:val="P68B1DB1-Normal4"/>
              <w:jc w:val="center"/>
              <w:rPr>
                <w:noProof/>
              </w:rPr>
            </w:pPr>
            <w:r>
              <w:rPr>
                <w:noProof/>
              </w:rPr>
              <w:t>NIE DOT.</w:t>
            </w:r>
          </w:p>
        </w:tc>
        <w:tc>
          <w:tcPr>
            <w:tcW w:w="1417" w:type="dxa"/>
            <w:shd w:val="clear" w:color="auto" w:fill="C6EFCE"/>
            <w:noWrap/>
            <w:vAlign w:val="center"/>
          </w:tcPr>
          <w:p w14:paraId="533E3701" w14:textId="77777777" w:rsidR="004C6421" w:rsidRDefault="009D1962">
            <w:pPr>
              <w:pStyle w:val="P68B1DB1-Normal4"/>
              <w:jc w:val="center"/>
              <w:rPr>
                <w:noProof/>
              </w:rPr>
            </w:pPr>
            <w:r>
              <w:rPr>
                <w:noProof/>
              </w:rPr>
              <w:t>Numer</w:t>
            </w:r>
          </w:p>
        </w:tc>
        <w:tc>
          <w:tcPr>
            <w:tcW w:w="1134" w:type="dxa"/>
            <w:shd w:val="clear" w:color="auto" w:fill="C6EFCE"/>
            <w:noWrap/>
            <w:vAlign w:val="center"/>
          </w:tcPr>
          <w:p w14:paraId="14D0F5A9" w14:textId="77777777" w:rsidR="004C6421" w:rsidRDefault="009D1962">
            <w:pPr>
              <w:pStyle w:val="P68B1DB1-Normal4"/>
              <w:jc w:val="center"/>
              <w:rPr>
                <w:noProof/>
              </w:rPr>
            </w:pPr>
            <w:r>
              <w:rPr>
                <w:noProof/>
              </w:rPr>
              <w:t>0</w:t>
            </w:r>
          </w:p>
        </w:tc>
        <w:tc>
          <w:tcPr>
            <w:tcW w:w="946" w:type="dxa"/>
            <w:shd w:val="clear" w:color="auto" w:fill="C6EFCE"/>
            <w:noWrap/>
            <w:vAlign w:val="center"/>
          </w:tcPr>
          <w:p w14:paraId="2F6D1522" w14:textId="77777777" w:rsidR="004C6421" w:rsidRDefault="009D1962">
            <w:pPr>
              <w:pStyle w:val="P68B1DB1-Normal4"/>
              <w:jc w:val="center"/>
              <w:rPr>
                <w:noProof/>
              </w:rPr>
            </w:pPr>
            <w:r>
              <w:rPr>
                <w:noProof/>
              </w:rPr>
              <w:t>300</w:t>
            </w:r>
          </w:p>
        </w:tc>
        <w:tc>
          <w:tcPr>
            <w:tcW w:w="992" w:type="dxa"/>
            <w:shd w:val="clear" w:color="auto" w:fill="C6EFCE"/>
            <w:noWrap/>
            <w:vAlign w:val="center"/>
          </w:tcPr>
          <w:p w14:paraId="06D090CC" w14:textId="77777777" w:rsidR="004C6421" w:rsidRDefault="009D1962">
            <w:pPr>
              <w:pStyle w:val="P68B1DB1-Normal4"/>
              <w:jc w:val="center"/>
              <w:rPr>
                <w:noProof/>
              </w:rPr>
            </w:pPr>
            <w:r>
              <w:rPr>
                <w:noProof/>
              </w:rPr>
              <w:t>II KW.</w:t>
            </w:r>
          </w:p>
        </w:tc>
        <w:tc>
          <w:tcPr>
            <w:tcW w:w="756" w:type="dxa"/>
            <w:shd w:val="clear" w:color="auto" w:fill="C6EFCE"/>
            <w:noWrap/>
            <w:vAlign w:val="center"/>
          </w:tcPr>
          <w:p w14:paraId="0A4F949D" w14:textId="77777777" w:rsidR="004C6421" w:rsidRDefault="009D1962">
            <w:pPr>
              <w:pStyle w:val="P68B1DB1-Normal4"/>
              <w:jc w:val="center"/>
              <w:rPr>
                <w:noProof/>
              </w:rPr>
            </w:pPr>
            <w:r>
              <w:rPr>
                <w:noProof/>
              </w:rPr>
              <w:t>2026</w:t>
            </w:r>
          </w:p>
        </w:tc>
        <w:tc>
          <w:tcPr>
            <w:tcW w:w="2793" w:type="dxa"/>
            <w:shd w:val="clear" w:color="auto" w:fill="C6EFCE"/>
            <w:noWrap/>
            <w:vAlign w:val="center"/>
          </w:tcPr>
          <w:p w14:paraId="2A050ED9" w14:textId="77777777" w:rsidR="004C6421" w:rsidRDefault="009D1962">
            <w:pPr>
              <w:pStyle w:val="P68B1DB1-Normal4"/>
              <w:spacing w:after="120"/>
              <w:rPr>
                <w:noProof/>
              </w:rPr>
            </w:pPr>
            <w:r>
              <w:rPr>
                <w:noProof/>
              </w:rPr>
              <w:t>Zastąpienie co najmniej 300 ciągników rolniczych ciągnikami mechanicznymi napędzanymi wyłącznie biometanem i wyposażonymi w narzędzia rolnictwa precyzyjnego.</w:t>
            </w:r>
          </w:p>
          <w:p w14:paraId="1F175D12" w14:textId="77777777" w:rsidR="004C6421" w:rsidRDefault="009D1962">
            <w:pPr>
              <w:pStyle w:val="P68B1DB1-Normal4"/>
              <w:rPr>
                <w:noProof/>
              </w:rPr>
            </w:pPr>
            <w:r>
              <w:rPr>
                <w:noProof/>
              </w:rPr>
              <w:t xml:space="preserve">Biometan musi spełniać kryteria określone w dyrektywie 2018/2001 (dyrektywa RED II) w celu zapewnienia zgodności z zasadą „nie czyń poważnych szkód”. Producenci biopaliw i biometanu oraz biopaliw muszą przedstawić certyfikaty (dowód zrównoważonego rozwoju) wydawane przez niezależnych oceniających, jak przewidziano w dyrektywie 2018/2001. Operator nabywa świadectwa pochodzenia proporcjonalne do przewidywanego zużycia paliwa.  </w:t>
            </w:r>
          </w:p>
        </w:tc>
      </w:tr>
      <w:tr w:rsidR="004C6421" w14:paraId="40E63374" w14:textId="77777777">
        <w:trPr>
          <w:trHeight w:val="309"/>
          <w:jc w:val="center"/>
        </w:trPr>
        <w:tc>
          <w:tcPr>
            <w:tcW w:w="1613" w:type="dxa"/>
            <w:shd w:val="clear" w:color="auto" w:fill="C6EFCE"/>
            <w:noWrap/>
            <w:vAlign w:val="center"/>
          </w:tcPr>
          <w:p w14:paraId="4811D85D" w14:textId="77777777" w:rsidR="004C6421" w:rsidRDefault="009D1962">
            <w:pPr>
              <w:pStyle w:val="P68B1DB1-Normal4"/>
              <w:jc w:val="center"/>
              <w:rPr>
                <w:noProof/>
              </w:rPr>
            </w:pPr>
            <w:r>
              <w:rPr>
                <w:noProof/>
              </w:rPr>
              <w:t>M2C2-4</w:t>
            </w:r>
          </w:p>
        </w:tc>
        <w:tc>
          <w:tcPr>
            <w:tcW w:w="1643" w:type="dxa"/>
            <w:shd w:val="clear" w:color="auto" w:fill="C6EFCE"/>
            <w:noWrap/>
            <w:vAlign w:val="center"/>
          </w:tcPr>
          <w:p w14:paraId="6FA63316" w14:textId="77777777" w:rsidR="004C6421" w:rsidRDefault="009D1962">
            <w:pPr>
              <w:pStyle w:val="P68B1DB1-Normal4"/>
              <w:jc w:val="center"/>
              <w:rPr>
                <w:noProof/>
              </w:rPr>
            </w:pPr>
            <w:r>
              <w:rPr>
                <w:noProof/>
              </w:rPr>
              <w:t>Inwestycja 1.4 Rozwój biometanu zgodnie z kryteriami promowania gospodarki o obiegu zamkniętym</w:t>
            </w:r>
          </w:p>
        </w:tc>
        <w:tc>
          <w:tcPr>
            <w:tcW w:w="1559" w:type="dxa"/>
            <w:shd w:val="clear" w:color="auto" w:fill="C6EFCE"/>
            <w:noWrap/>
            <w:vAlign w:val="center"/>
          </w:tcPr>
          <w:p w14:paraId="5602C1E3" w14:textId="77777777" w:rsidR="004C6421" w:rsidRDefault="009D1962">
            <w:pPr>
              <w:pStyle w:val="P68B1DB1-Normal4"/>
              <w:jc w:val="center"/>
              <w:rPr>
                <w:noProof/>
              </w:rPr>
            </w:pPr>
            <w:r>
              <w:rPr>
                <w:noProof/>
              </w:rPr>
              <w:t>Cel</w:t>
            </w:r>
          </w:p>
        </w:tc>
        <w:tc>
          <w:tcPr>
            <w:tcW w:w="1559" w:type="dxa"/>
            <w:shd w:val="clear" w:color="auto" w:fill="C6EFCE"/>
            <w:noWrap/>
            <w:vAlign w:val="center"/>
          </w:tcPr>
          <w:p w14:paraId="42D4F4B6" w14:textId="77777777" w:rsidR="004C6421" w:rsidRDefault="009D1962">
            <w:pPr>
              <w:pStyle w:val="P68B1DB1-Normal4"/>
              <w:jc w:val="center"/>
              <w:rPr>
                <w:noProof/>
              </w:rPr>
            </w:pPr>
            <w:r>
              <w:rPr>
                <w:noProof/>
              </w:rPr>
              <w:t>Dodatkowa zdolność produkcyjna biometanu</w:t>
            </w:r>
          </w:p>
        </w:tc>
        <w:tc>
          <w:tcPr>
            <w:tcW w:w="1843" w:type="dxa"/>
            <w:shd w:val="clear" w:color="auto" w:fill="C6EFCE"/>
            <w:noWrap/>
            <w:vAlign w:val="center"/>
          </w:tcPr>
          <w:p w14:paraId="7EBCBC63" w14:textId="77777777" w:rsidR="004C6421" w:rsidRDefault="009D1962">
            <w:pPr>
              <w:pStyle w:val="P68B1DB1-Normal4"/>
              <w:jc w:val="center"/>
              <w:rPr>
                <w:noProof/>
              </w:rPr>
            </w:pPr>
            <w:r>
              <w:rPr>
                <w:noProof/>
              </w:rPr>
              <w:t>NIE DOT.</w:t>
            </w:r>
          </w:p>
        </w:tc>
        <w:tc>
          <w:tcPr>
            <w:tcW w:w="1417" w:type="dxa"/>
            <w:shd w:val="clear" w:color="auto" w:fill="C6EFCE"/>
            <w:noWrap/>
            <w:vAlign w:val="center"/>
          </w:tcPr>
          <w:p w14:paraId="29940CBD" w14:textId="77777777" w:rsidR="004C6421" w:rsidRDefault="009D1962">
            <w:pPr>
              <w:pStyle w:val="P68B1DB1-Normal4"/>
              <w:jc w:val="center"/>
              <w:rPr>
                <w:noProof/>
              </w:rPr>
            </w:pPr>
            <w:r>
              <w:rPr>
                <w:noProof/>
              </w:rPr>
              <w:t>1 000 000 000</w:t>
            </w:r>
          </w:p>
        </w:tc>
        <w:tc>
          <w:tcPr>
            <w:tcW w:w="1134" w:type="dxa"/>
            <w:shd w:val="clear" w:color="auto" w:fill="C6EFCE"/>
            <w:noWrap/>
            <w:vAlign w:val="center"/>
          </w:tcPr>
          <w:p w14:paraId="2FB9825B" w14:textId="77777777" w:rsidR="004C6421" w:rsidRDefault="009D1962">
            <w:pPr>
              <w:pStyle w:val="P68B1DB1-Normal4"/>
              <w:jc w:val="center"/>
              <w:rPr>
                <w:noProof/>
              </w:rPr>
            </w:pPr>
            <w:r>
              <w:rPr>
                <w:noProof/>
              </w:rPr>
              <w:t>0</w:t>
            </w:r>
          </w:p>
        </w:tc>
        <w:tc>
          <w:tcPr>
            <w:tcW w:w="946" w:type="dxa"/>
            <w:shd w:val="clear" w:color="auto" w:fill="C6EFCE"/>
            <w:noWrap/>
            <w:vAlign w:val="center"/>
          </w:tcPr>
          <w:p w14:paraId="7ACAB2C6" w14:textId="77777777" w:rsidR="004C6421" w:rsidRDefault="009D1962">
            <w:pPr>
              <w:pStyle w:val="P68B1DB1-Normal4"/>
              <w:jc w:val="center"/>
              <w:rPr>
                <w:noProof/>
              </w:rPr>
            </w:pPr>
            <w:r>
              <w:rPr>
                <w:noProof/>
              </w:rPr>
              <w:t>0.6</w:t>
            </w:r>
          </w:p>
        </w:tc>
        <w:tc>
          <w:tcPr>
            <w:tcW w:w="992" w:type="dxa"/>
            <w:shd w:val="clear" w:color="auto" w:fill="C6EFCE"/>
            <w:noWrap/>
            <w:vAlign w:val="center"/>
          </w:tcPr>
          <w:p w14:paraId="4D394E57" w14:textId="77777777" w:rsidR="004C6421" w:rsidRDefault="009D1962">
            <w:pPr>
              <w:pStyle w:val="P68B1DB1-Normal4"/>
              <w:jc w:val="center"/>
              <w:rPr>
                <w:noProof/>
              </w:rPr>
            </w:pPr>
            <w:r>
              <w:rPr>
                <w:noProof/>
              </w:rPr>
              <w:t>II KW.</w:t>
            </w:r>
          </w:p>
        </w:tc>
        <w:tc>
          <w:tcPr>
            <w:tcW w:w="756" w:type="dxa"/>
            <w:shd w:val="clear" w:color="auto" w:fill="C6EFCE"/>
            <w:noWrap/>
            <w:vAlign w:val="center"/>
          </w:tcPr>
          <w:p w14:paraId="2A7F358D" w14:textId="77777777" w:rsidR="004C6421" w:rsidRDefault="009D1962">
            <w:pPr>
              <w:pStyle w:val="P68B1DB1-Normal4"/>
              <w:jc w:val="center"/>
              <w:rPr>
                <w:noProof/>
              </w:rPr>
            </w:pPr>
            <w:r>
              <w:rPr>
                <w:noProof/>
              </w:rPr>
              <w:t>2025</w:t>
            </w:r>
          </w:p>
        </w:tc>
        <w:tc>
          <w:tcPr>
            <w:tcW w:w="2793" w:type="dxa"/>
            <w:shd w:val="clear" w:color="auto" w:fill="C6EFCE"/>
            <w:noWrap/>
            <w:vAlign w:val="center"/>
          </w:tcPr>
          <w:p w14:paraId="6D3622CF" w14:textId="77777777" w:rsidR="004C6421" w:rsidRDefault="009D1962">
            <w:pPr>
              <w:pStyle w:val="P68B1DB1-Normal4"/>
              <w:spacing w:after="120"/>
              <w:rPr>
                <w:noProof/>
              </w:rPr>
            </w:pPr>
            <w:r>
              <w:rPr>
                <w:noProof/>
              </w:rPr>
              <w:t>Rozwój zdolności produkcyjnych biometanu z konwersji istniejących zakładów (w tym organicznej frakcji stałych odpadów komunalnych – OFUSW) oraz z nowych zakładów do co najmniej 0,6 mld m³.</w:t>
            </w:r>
          </w:p>
          <w:p w14:paraId="50E24F11" w14:textId="77777777" w:rsidR="004C6421" w:rsidRDefault="009D1962">
            <w:pPr>
              <w:pStyle w:val="P68B1DB1-Normal4"/>
              <w:spacing w:after="120"/>
              <w:rPr>
                <w:noProof/>
              </w:rPr>
            </w:pPr>
            <w:r>
              <w:rPr>
                <w:noProof/>
              </w:rPr>
              <w:t>Biometan musi spełniać kryteria określone w dyrektywie 2018/2001 (dyrektywa RED II), aby umożliwić zgodność środka z zasadą „nie czyń poważnych szkód” oraz z odpowiednimi wymogami określonymi w przypisie 8 w załączniku VI do rozporządzenia (UE) 2021/241.</w:t>
            </w:r>
          </w:p>
          <w:p w14:paraId="1500205C" w14:textId="77777777" w:rsidR="004C6421" w:rsidRDefault="009D1962">
            <w:pPr>
              <w:pStyle w:val="P68B1DB1-Normal4"/>
              <w:rPr>
                <w:noProof/>
              </w:rPr>
            </w:pPr>
            <w:r>
              <w:rPr>
                <w:noProof/>
              </w:rPr>
              <w:t xml:space="preserve">Producenci biopaliw i biometanu oraz biopaliw muszą przedstawić certyfikaty (dowód zrównoważonego rozwoju) wydawane przez niezależnych oceniających, jak przewidziano w dyrektywie 2018/2001. </w:t>
            </w:r>
          </w:p>
        </w:tc>
      </w:tr>
      <w:tr w:rsidR="004C6421" w14:paraId="4B286910" w14:textId="77777777">
        <w:trPr>
          <w:trHeight w:val="309"/>
          <w:jc w:val="center"/>
        </w:trPr>
        <w:tc>
          <w:tcPr>
            <w:tcW w:w="1613" w:type="dxa"/>
            <w:shd w:val="clear" w:color="auto" w:fill="C6EFCE"/>
            <w:noWrap/>
            <w:vAlign w:val="center"/>
          </w:tcPr>
          <w:p w14:paraId="5A50AE4C" w14:textId="77777777" w:rsidR="004C6421" w:rsidRDefault="009D1962">
            <w:pPr>
              <w:pStyle w:val="P68B1DB1-Normal4"/>
              <w:jc w:val="center"/>
              <w:rPr>
                <w:noProof/>
              </w:rPr>
            </w:pPr>
            <w:r>
              <w:rPr>
                <w:noProof/>
              </w:rPr>
              <w:t>M2C2-5</w:t>
            </w:r>
          </w:p>
        </w:tc>
        <w:tc>
          <w:tcPr>
            <w:tcW w:w="1643" w:type="dxa"/>
            <w:shd w:val="clear" w:color="auto" w:fill="C6EFCE"/>
            <w:noWrap/>
            <w:vAlign w:val="center"/>
          </w:tcPr>
          <w:p w14:paraId="643B8C8C" w14:textId="77777777" w:rsidR="004C6421" w:rsidRDefault="009D1962">
            <w:pPr>
              <w:pStyle w:val="P68B1DB1-Normal4"/>
              <w:jc w:val="center"/>
              <w:rPr>
                <w:noProof/>
              </w:rPr>
            </w:pPr>
            <w:r>
              <w:rPr>
                <w:noProof/>
              </w:rPr>
              <w:t>Inwestycja 1.4 Rozwój biometanu zgodnie z kryteriami promowania gospodarki o obiegu zamkniętym</w:t>
            </w:r>
          </w:p>
        </w:tc>
        <w:tc>
          <w:tcPr>
            <w:tcW w:w="1559" w:type="dxa"/>
            <w:shd w:val="clear" w:color="auto" w:fill="C6EFCE"/>
            <w:noWrap/>
            <w:vAlign w:val="center"/>
          </w:tcPr>
          <w:p w14:paraId="5B8BC920" w14:textId="77777777" w:rsidR="004C6421" w:rsidRDefault="009D1962">
            <w:pPr>
              <w:pStyle w:val="P68B1DB1-Normal4"/>
              <w:jc w:val="center"/>
              <w:rPr>
                <w:noProof/>
              </w:rPr>
            </w:pPr>
            <w:r>
              <w:rPr>
                <w:noProof/>
              </w:rPr>
              <w:t>Cel</w:t>
            </w:r>
          </w:p>
        </w:tc>
        <w:tc>
          <w:tcPr>
            <w:tcW w:w="1559" w:type="dxa"/>
            <w:shd w:val="clear" w:color="auto" w:fill="C6EFCE"/>
            <w:noWrap/>
            <w:vAlign w:val="center"/>
          </w:tcPr>
          <w:p w14:paraId="1CAFAA8B" w14:textId="77777777" w:rsidR="004C6421" w:rsidRDefault="009D1962">
            <w:pPr>
              <w:pStyle w:val="P68B1DB1-Normal4"/>
              <w:jc w:val="center"/>
              <w:rPr>
                <w:noProof/>
              </w:rPr>
            </w:pPr>
            <w:r>
              <w:rPr>
                <w:noProof/>
              </w:rPr>
              <w:t>Dodatkowa zdolność produkcyjna biometanu</w:t>
            </w:r>
          </w:p>
        </w:tc>
        <w:tc>
          <w:tcPr>
            <w:tcW w:w="1843" w:type="dxa"/>
            <w:shd w:val="clear" w:color="auto" w:fill="C6EFCE"/>
            <w:noWrap/>
            <w:vAlign w:val="center"/>
          </w:tcPr>
          <w:p w14:paraId="1A2E48C7" w14:textId="77777777" w:rsidR="004C6421" w:rsidRDefault="009D1962">
            <w:pPr>
              <w:pStyle w:val="P68B1DB1-Normal4"/>
              <w:jc w:val="center"/>
              <w:rPr>
                <w:noProof/>
              </w:rPr>
            </w:pPr>
            <w:r>
              <w:rPr>
                <w:noProof/>
              </w:rPr>
              <w:t>NIE DOT.</w:t>
            </w:r>
          </w:p>
        </w:tc>
        <w:tc>
          <w:tcPr>
            <w:tcW w:w="1417" w:type="dxa"/>
            <w:shd w:val="clear" w:color="auto" w:fill="C6EFCE"/>
            <w:noWrap/>
            <w:vAlign w:val="center"/>
          </w:tcPr>
          <w:p w14:paraId="7CAAA932" w14:textId="77777777" w:rsidR="004C6421" w:rsidRDefault="009D1962">
            <w:pPr>
              <w:pStyle w:val="P68B1DB1-Normal4"/>
              <w:jc w:val="center"/>
              <w:rPr>
                <w:noProof/>
              </w:rPr>
            </w:pPr>
            <w:r>
              <w:rPr>
                <w:noProof/>
              </w:rPr>
              <w:t xml:space="preserve">1 000 000 000 </w:t>
            </w:r>
          </w:p>
        </w:tc>
        <w:tc>
          <w:tcPr>
            <w:tcW w:w="1134" w:type="dxa"/>
            <w:shd w:val="clear" w:color="auto" w:fill="C6EFCE"/>
            <w:noWrap/>
            <w:vAlign w:val="center"/>
          </w:tcPr>
          <w:p w14:paraId="3A29D821" w14:textId="77777777" w:rsidR="004C6421" w:rsidRDefault="009D1962">
            <w:pPr>
              <w:pStyle w:val="P68B1DB1-Normal4"/>
              <w:jc w:val="center"/>
              <w:rPr>
                <w:noProof/>
              </w:rPr>
            </w:pPr>
            <w:r>
              <w:rPr>
                <w:noProof/>
              </w:rPr>
              <w:t>0.6</w:t>
            </w:r>
          </w:p>
        </w:tc>
        <w:tc>
          <w:tcPr>
            <w:tcW w:w="946" w:type="dxa"/>
            <w:shd w:val="clear" w:color="auto" w:fill="C6EFCE"/>
            <w:noWrap/>
            <w:vAlign w:val="center"/>
          </w:tcPr>
          <w:p w14:paraId="7255324B" w14:textId="77777777" w:rsidR="004C6421" w:rsidRDefault="009D1962">
            <w:pPr>
              <w:pStyle w:val="P68B1DB1-Normal4"/>
              <w:jc w:val="center"/>
              <w:rPr>
                <w:noProof/>
              </w:rPr>
            </w:pPr>
            <w:r>
              <w:rPr>
                <w:noProof/>
              </w:rPr>
              <w:t>2.3</w:t>
            </w:r>
          </w:p>
        </w:tc>
        <w:tc>
          <w:tcPr>
            <w:tcW w:w="992" w:type="dxa"/>
            <w:shd w:val="clear" w:color="auto" w:fill="C6EFCE"/>
            <w:noWrap/>
            <w:vAlign w:val="center"/>
          </w:tcPr>
          <w:p w14:paraId="49774BF3" w14:textId="77777777" w:rsidR="004C6421" w:rsidRDefault="009D1962">
            <w:pPr>
              <w:pStyle w:val="P68B1DB1-Normal4"/>
              <w:jc w:val="center"/>
              <w:rPr>
                <w:noProof/>
              </w:rPr>
            </w:pPr>
            <w:r>
              <w:rPr>
                <w:noProof/>
              </w:rPr>
              <w:t>II KW.</w:t>
            </w:r>
          </w:p>
        </w:tc>
        <w:tc>
          <w:tcPr>
            <w:tcW w:w="756" w:type="dxa"/>
            <w:shd w:val="clear" w:color="auto" w:fill="C6EFCE"/>
            <w:noWrap/>
            <w:vAlign w:val="center"/>
          </w:tcPr>
          <w:p w14:paraId="00A987EA" w14:textId="77777777" w:rsidR="004C6421" w:rsidRDefault="009D1962">
            <w:pPr>
              <w:pStyle w:val="P68B1DB1-Normal4"/>
              <w:jc w:val="center"/>
              <w:rPr>
                <w:noProof/>
              </w:rPr>
            </w:pPr>
            <w:r>
              <w:rPr>
                <w:noProof/>
              </w:rPr>
              <w:t>2026</w:t>
            </w:r>
          </w:p>
        </w:tc>
        <w:tc>
          <w:tcPr>
            <w:tcW w:w="2793" w:type="dxa"/>
            <w:shd w:val="clear" w:color="auto" w:fill="C6EFCE"/>
            <w:noWrap/>
            <w:vAlign w:val="center"/>
          </w:tcPr>
          <w:p w14:paraId="02CFDF4C" w14:textId="77777777" w:rsidR="004C6421" w:rsidRDefault="009D1962">
            <w:pPr>
              <w:pStyle w:val="P68B1DB1-Normal4"/>
              <w:spacing w:after="120"/>
              <w:rPr>
                <w:noProof/>
              </w:rPr>
            </w:pPr>
            <w:r>
              <w:rPr>
                <w:noProof/>
              </w:rPr>
              <w:t>Zwiększenie zdolności produkcyjnej biometanu w wyniku przekształcenia istniejących obiektów (w tym organicznego spalania stałych odpadów komunalnych – OFUSW) oraz z nowych zakładów do co najmniej 2,3 mld m³ pod koniec czerwca 2026 r.</w:t>
            </w:r>
          </w:p>
          <w:p w14:paraId="7BB61E6E" w14:textId="77777777" w:rsidR="004C6421" w:rsidRDefault="009D1962">
            <w:pPr>
              <w:pStyle w:val="P68B1DB1-Normal4"/>
              <w:spacing w:after="120"/>
              <w:rPr>
                <w:noProof/>
              </w:rPr>
            </w:pPr>
            <w:r>
              <w:rPr>
                <w:noProof/>
              </w:rPr>
              <w:t>Biometan musi spełniać kryteria określone w dyrektywie 2018/2001 (dyrektywa RED II), aby umożliwić zgodność środka z zasadą „nie czyń poważnych szkód” oraz z odpowiednimi wymogami określonymi w przypisie 8 w załączniku VI do rozporządzenia (UE) 2021/241.</w:t>
            </w:r>
          </w:p>
          <w:p w14:paraId="14BA53AA" w14:textId="77777777" w:rsidR="004C6421" w:rsidRDefault="009D1962">
            <w:pPr>
              <w:pStyle w:val="P68B1DB1-Normal4"/>
              <w:rPr>
                <w:noProof/>
              </w:rPr>
            </w:pPr>
            <w:r>
              <w:rPr>
                <w:noProof/>
              </w:rPr>
              <w:t xml:space="preserve">Producenci biopaliw i biometanu oraz biopaliw muszą przedstawić certyfikaty (dowód zrównoważonego rozwoju) wydawane przez niezależnych oceniających, jak przewidziano w dyrektywie 2018/2001. </w:t>
            </w:r>
          </w:p>
        </w:tc>
      </w:tr>
      <w:tr w:rsidR="004C6421" w14:paraId="21DD918F" w14:textId="77777777">
        <w:trPr>
          <w:trHeight w:val="309"/>
          <w:jc w:val="center"/>
        </w:trPr>
        <w:tc>
          <w:tcPr>
            <w:tcW w:w="1613" w:type="dxa"/>
            <w:shd w:val="clear" w:color="auto" w:fill="C6EFCE"/>
            <w:noWrap/>
            <w:vAlign w:val="center"/>
          </w:tcPr>
          <w:p w14:paraId="68536F84" w14:textId="77777777" w:rsidR="004C6421" w:rsidRDefault="009D1962">
            <w:pPr>
              <w:pStyle w:val="P68B1DB1-Normal4"/>
              <w:jc w:val="center"/>
              <w:rPr>
                <w:noProof/>
              </w:rPr>
            </w:pPr>
            <w:r>
              <w:rPr>
                <w:noProof/>
              </w:rPr>
              <w:t>M2C2-9</w:t>
            </w:r>
          </w:p>
        </w:tc>
        <w:tc>
          <w:tcPr>
            <w:tcW w:w="1643" w:type="dxa"/>
            <w:shd w:val="clear" w:color="auto" w:fill="C6EFCE"/>
            <w:noWrap/>
            <w:vAlign w:val="center"/>
          </w:tcPr>
          <w:p w14:paraId="63E9F996" w14:textId="77777777" w:rsidR="004C6421" w:rsidRDefault="009D1962">
            <w:pPr>
              <w:pStyle w:val="P68B1DB1-Normal4"/>
              <w:jc w:val="center"/>
              <w:rPr>
                <w:noProof/>
              </w:rPr>
            </w:pPr>
            <w:r>
              <w:rPr>
                <w:noProof/>
              </w:rPr>
              <w:t>Inwestycje 2.1 Wzmocnienie inteligentnych sieci</w:t>
            </w:r>
          </w:p>
        </w:tc>
        <w:tc>
          <w:tcPr>
            <w:tcW w:w="1559" w:type="dxa"/>
            <w:shd w:val="clear" w:color="auto" w:fill="C6EFCE"/>
            <w:noWrap/>
            <w:vAlign w:val="center"/>
          </w:tcPr>
          <w:p w14:paraId="2218D925" w14:textId="77777777" w:rsidR="004C6421" w:rsidRDefault="009D1962">
            <w:pPr>
              <w:pStyle w:val="P68B1DB1-Normal4"/>
              <w:jc w:val="center"/>
              <w:rPr>
                <w:noProof/>
              </w:rPr>
            </w:pPr>
            <w:r>
              <w:rPr>
                <w:noProof/>
              </w:rPr>
              <w:t>Cel</w:t>
            </w:r>
          </w:p>
        </w:tc>
        <w:tc>
          <w:tcPr>
            <w:tcW w:w="1559" w:type="dxa"/>
            <w:shd w:val="clear" w:color="auto" w:fill="C6EFCE"/>
            <w:noWrap/>
            <w:vAlign w:val="center"/>
          </w:tcPr>
          <w:p w14:paraId="2E4F1844" w14:textId="77777777" w:rsidR="004C6421" w:rsidRDefault="009D1962">
            <w:pPr>
              <w:pStyle w:val="P68B1DB1-Normal4"/>
              <w:jc w:val="center"/>
              <w:rPr>
                <w:noProof/>
              </w:rPr>
            </w:pPr>
            <w:r>
              <w:rPr>
                <w:noProof/>
              </w:rPr>
              <w:t>Inteligentne sieci – Zwiększenie przepustowości sieci dystrybucji energii ze źródeł odnawialnych</w:t>
            </w:r>
          </w:p>
        </w:tc>
        <w:tc>
          <w:tcPr>
            <w:tcW w:w="1843" w:type="dxa"/>
            <w:shd w:val="clear" w:color="auto" w:fill="C6EFCE"/>
            <w:noWrap/>
            <w:vAlign w:val="center"/>
          </w:tcPr>
          <w:p w14:paraId="2B62A88B" w14:textId="77777777" w:rsidR="004C6421" w:rsidRDefault="009D1962">
            <w:pPr>
              <w:pStyle w:val="P68B1DB1-Normal4"/>
              <w:jc w:val="center"/>
              <w:rPr>
                <w:noProof/>
              </w:rPr>
            </w:pPr>
            <w:r>
              <w:rPr>
                <w:noProof/>
              </w:rPr>
              <w:t>NIE DOT.</w:t>
            </w:r>
          </w:p>
        </w:tc>
        <w:tc>
          <w:tcPr>
            <w:tcW w:w="1417" w:type="dxa"/>
            <w:shd w:val="clear" w:color="auto" w:fill="C6EFCE"/>
            <w:noWrap/>
            <w:vAlign w:val="center"/>
          </w:tcPr>
          <w:p w14:paraId="02E8AD0C" w14:textId="77777777" w:rsidR="004C6421" w:rsidRDefault="009D1962">
            <w:pPr>
              <w:pStyle w:val="P68B1DB1-Normal4"/>
              <w:jc w:val="center"/>
              <w:rPr>
                <w:noProof/>
              </w:rPr>
            </w:pPr>
            <w:r>
              <w:rPr>
                <w:noProof/>
              </w:rPr>
              <w:t>Numer</w:t>
            </w:r>
          </w:p>
        </w:tc>
        <w:tc>
          <w:tcPr>
            <w:tcW w:w="1134" w:type="dxa"/>
            <w:shd w:val="clear" w:color="auto" w:fill="C6EFCE"/>
            <w:noWrap/>
            <w:vAlign w:val="center"/>
          </w:tcPr>
          <w:p w14:paraId="334362F4" w14:textId="77777777" w:rsidR="004C6421" w:rsidRDefault="009D1962">
            <w:pPr>
              <w:pStyle w:val="P68B1DB1-Normal4"/>
              <w:jc w:val="center"/>
              <w:rPr>
                <w:noProof/>
              </w:rPr>
            </w:pPr>
            <w:r>
              <w:rPr>
                <w:noProof/>
              </w:rPr>
              <w:t>0</w:t>
            </w:r>
          </w:p>
        </w:tc>
        <w:tc>
          <w:tcPr>
            <w:tcW w:w="946" w:type="dxa"/>
            <w:shd w:val="clear" w:color="auto" w:fill="C6EFCE"/>
            <w:noWrap/>
            <w:vAlign w:val="center"/>
          </w:tcPr>
          <w:p w14:paraId="3B37E9F5" w14:textId="77777777" w:rsidR="004C6421" w:rsidRDefault="009D1962">
            <w:pPr>
              <w:pStyle w:val="P68B1DB1-Normal8"/>
              <w:jc w:val="center"/>
              <w:rPr>
                <w:rFonts w:ascii="Arial Narrow" w:hAnsi="Arial Narrow"/>
                <w:noProof/>
              </w:rPr>
            </w:pPr>
            <w:r>
              <w:rPr>
                <w:rFonts w:ascii="Arial Narrow" w:hAnsi="Arial Narrow"/>
                <w:noProof/>
              </w:rPr>
              <w:t>1</w:t>
            </w:r>
            <w:r>
              <w:rPr>
                <w:noProof/>
              </w:rPr>
              <w:t xml:space="preserve"> </w:t>
            </w:r>
            <w:r>
              <w:rPr>
                <w:rFonts w:ascii="Arial Narrow" w:hAnsi="Arial Narrow"/>
                <w:noProof/>
              </w:rPr>
              <w:t>000</w:t>
            </w:r>
          </w:p>
        </w:tc>
        <w:tc>
          <w:tcPr>
            <w:tcW w:w="992" w:type="dxa"/>
            <w:shd w:val="clear" w:color="auto" w:fill="C6EFCE"/>
            <w:noWrap/>
            <w:vAlign w:val="center"/>
          </w:tcPr>
          <w:p w14:paraId="6B173923" w14:textId="5915FFAB" w:rsidR="004C6421" w:rsidRDefault="00CC179E">
            <w:pPr>
              <w:pStyle w:val="P68B1DB1-Normal4"/>
              <w:jc w:val="center"/>
              <w:rPr>
                <w:noProof/>
              </w:rPr>
            </w:pPr>
            <w:r>
              <w:rPr>
                <w:noProof/>
              </w:rPr>
              <w:t>KW. 4</w:t>
            </w:r>
          </w:p>
        </w:tc>
        <w:tc>
          <w:tcPr>
            <w:tcW w:w="756" w:type="dxa"/>
            <w:shd w:val="clear" w:color="auto" w:fill="C6EFCE"/>
            <w:noWrap/>
            <w:vAlign w:val="center"/>
          </w:tcPr>
          <w:p w14:paraId="74F7EB73" w14:textId="77777777" w:rsidR="004C6421" w:rsidRDefault="009D1962">
            <w:pPr>
              <w:pStyle w:val="P68B1DB1-Normal4"/>
              <w:jc w:val="center"/>
              <w:rPr>
                <w:noProof/>
              </w:rPr>
            </w:pPr>
            <w:r>
              <w:rPr>
                <w:noProof/>
              </w:rPr>
              <w:t>2024</w:t>
            </w:r>
          </w:p>
        </w:tc>
        <w:tc>
          <w:tcPr>
            <w:tcW w:w="2793" w:type="dxa"/>
            <w:shd w:val="clear" w:color="auto" w:fill="C6EFCE"/>
            <w:noWrap/>
            <w:vAlign w:val="center"/>
          </w:tcPr>
          <w:p w14:paraId="66107ECE" w14:textId="77777777" w:rsidR="004C6421" w:rsidRDefault="009D1962">
            <w:pPr>
              <w:pStyle w:val="P68B1DB1-Normal4"/>
              <w:rPr>
                <w:noProof/>
              </w:rPr>
            </w:pPr>
            <w:r>
              <w:rPr>
                <w:noProof/>
              </w:rPr>
              <w:t>Zwiększenie zdolności sieciowej w zakresie dystrybucji energii ze źródeł odnawialnych o co najmniej 1 000 MW</w:t>
            </w:r>
          </w:p>
        </w:tc>
      </w:tr>
      <w:tr w:rsidR="004C6421" w14:paraId="048FBA1C" w14:textId="77777777">
        <w:trPr>
          <w:trHeight w:val="309"/>
          <w:jc w:val="center"/>
        </w:trPr>
        <w:tc>
          <w:tcPr>
            <w:tcW w:w="1613" w:type="dxa"/>
            <w:shd w:val="clear" w:color="auto" w:fill="C6EFCE"/>
            <w:noWrap/>
            <w:vAlign w:val="center"/>
          </w:tcPr>
          <w:p w14:paraId="4C25E3EE" w14:textId="77777777" w:rsidR="004C6421" w:rsidRDefault="009D1962">
            <w:pPr>
              <w:pStyle w:val="P68B1DB1-Normal4"/>
              <w:jc w:val="center"/>
              <w:rPr>
                <w:noProof/>
              </w:rPr>
            </w:pPr>
            <w:r>
              <w:rPr>
                <w:noProof/>
              </w:rPr>
              <w:t>M2C2-10</w:t>
            </w:r>
          </w:p>
        </w:tc>
        <w:tc>
          <w:tcPr>
            <w:tcW w:w="1643" w:type="dxa"/>
            <w:shd w:val="clear" w:color="auto" w:fill="C6EFCE"/>
            <w:noWrap/>
            <w:vAlign w:val="center"/>
          </w:tcPr>
          <w:p w14:paraId="64A5F827" w14:textId="77777777" w:rsidR="004C6421" w:rsidRDefault="009D1962">
            <w:pPr>
              <w:pStyle w:val="P68B1DB1-Normal4"/>
              <w:jc w:val="center"/>
              <w:rPr>
                <w:noProof/>
              </w:rPr>
            </w:pPr>
            <w:r>
              <w:rPr>
                <w:noProof/>
              </w:rPr>
              <w:t>Inwestycje 2.1 Wzmocnienie inteligentnych sieci</w:t>
            </w:r>
          </w:p>
        </w:tc>
        <w:tc>
          <w:tcPr>
            <w:tcW w:w="1559" w:type="dxa"/>
            <w:shd w:val="clear" w:color="auto" w:fill="C6EFCE"/>
            <w:noWrap/>
            <w:vAlign w:val="center"/>
          </w:tcPr>
          <w:p w14:paraId="4E2DD013" w14:textId="77777777" w:rsidR="004C6421" w:rsidRDefault="009D1962">
            <w:pPr>
              <w:pStyle w:val="P68B1DB1-Normal4"/>
              <w:jc w:val="center"/>
              <w:rPr>
                <w:noProof/>
              </w:rPr>
            </w:pPr>
            <w:r>
              <w:rPr>
                <w:noProof/>
              </w:rPr>
              <w:t>Cel</w:t>
            </w:r>
          </w:p>
        </w:tc>
        <w:tc>
          <w:tcPr>
            <w:tcW w:w="1559" w:type="dxa"/>
            <w:shd w:val="clear" w:color="auto" w:fill="C6EFCE"/>
            <w:noWrap/>
            <w:vAlign w:val="center"/>
          </w:tcPr>
          <w:p w14:paraId="4E9455EC" w14:textId="77777777" w:rsidR="004C6421" w:rsidRDefault="009D1962">
            <w:pPr>
              <w:pStyle w:val="P68B1DB1-Normal4"/>
              <w:jc w:val="center"/>
              <w:rPr>
                <w:noProof/>
              </w:rPr>
            </w:pPr>
            <w:r>
              <w:rPr>
                <w:noProof/>
              </w:rPr>
              <w:t>Inteligentne sieci – Zwiększenie przepustowości sieci dystrybucji energii ze źródeł odnawialnych</w:t>
            </w:r>
          </w:p>
        </w:tc>
        <w:tc>
          <w:tcPr>
            <w:tcW w:w="1843" w:type="dxa"/>
            <w:shd w:val="clear" w:color="auto" w:fill="C6EFCE"/>
            <w:noWrap/>
            <w:vAlign w:val="center"/>
          </w:tcPr>
          <w:p w14:paraId="2BB12397" w14:textId="77777777" w:rsidR="004C6421" w:rsidRDefault="009D1962">
            <w:pPr>
              <w:pStyle w:val="P68B1DB1-Normal4"/>
              <w:jc w:val="center"/>
              <w:rPr>
                <w:noProof/>
              </w:rPr>
            </w:pPr>
            <w:r>
              <w:rPr>
                <w:noProof/>
              </w:rPr>
              <w:t>NIE DOT.</w:t>
            </w:r>
          </w:p>
        </w:tc>
        <w:tc>
          <w:tcPr>
            <w:tcW w:w="1417" w:type="dxa"/>
            <w:shd w:val="clear" w:color="auto" w:fill="C6EFCE"/>
            <w:noWrap/>
            <w:vAlign w:val="center"/>
          </w:tcPr>
          <w:p w14:paraId="45AF1E10" w14:textId="77777777" w:rsidR="004C6421" w:rsidRDefault="009D1962">
            <w:pPr>
              <w:pStyle w:val="P68B1DB1-Normal4"/>
              <w:jc w:val="center"/>
              <w:rPr>
                <w:noProof/>
              </w:rPr>
            </w:pPr>
            <w:r>
              <w:rPr>
                <w:noProof/>
              </w:rPr>
              <w:t>Numer</w:t>
            </w:r>
          </w:p>
        </w:tc>
        <w:tc>
          <w:tcPr>
            <w:tcW w:w="1134" w:type="dxa"/>
            <w:shd w:val="clear" w:color="auto" w:fill="C6EFCE"/>
            <w:noWrap/>
            <w:vAlign w:val="center"/>
          </w:tcPr>
          <w:p w14:paraId="6A212D38" w14:textId="77777777" w:rsidR="004C6421" w:rsidRDefault="009D1962">
            <w:pPr>
              <w:pStyle w:val="P68B1DB1-Normal8"/>
              <w:jc w:val="center"/>
              <w:rPr>
                <w:rFonts w:ascii="Arial Narrow" w:hAnsi="Arial Narrow"/>
                <w:noProof/>
              </w:rPr>
            </w:pPr>
            <w:r>
              <w:rPr>
                <w:rFonts w:ascii="Arial Narrow" w:hAnsi="Arial Narrow"/>
                <w:noProof/>
              </w:rPr>
              <w:t>1</w:t>
            </w:r>
            <w:r>
              <w:rPr>
                <w:noProof/>
              </w:rPr>
              <w:t xml:space="preserve"> </w:t>
            </w:r>
            <w:r>
              <w:rPr>
                <w:rFonts w:ascii="Arial Narrow" w:hAnsi="Arial Narrow"/>
                <w:noProof/>
              </w:rPr>
              <w:t>000</w:t>
            </w:r>
          </w:p>
        </w:tc>
        <w:tc>
          <w:tcPr>
            <w:tcW w:w="946" w:type="dxa"/>
            <w:shd w:val="clear" w:color="auto" w:fill="C6EFCE"/>
            <w:noWrap/>
            <w:vAlign w:val="center"/>
          </w:tcPr>
          <w:p w14:paraId="15D09C48" w14:textId="77777777" w:rsidR="004C6421" w:rsidRDefault="009D1962">
            <w:pPr>
              <w:pStyle w:val="P68B1DB1-Normal8"/>
              <w:jc w:val="center"/>
              <w:rPr>
                <w:rFonts w:ascii="Arial Narrow" w:hAnsi="Arial Narrow"/>
                <w:noProof/>
              </w:rPr>
            </w:pPr>
            <w:r>
              <w:rPr>
                <w:rFonts w:ascii="Arial Narrow" w:hAnsi="Arial Narrow"/>
                <w:noProof/>
              </w:rPr>
              <w:t>4</w:t>
            </w:r>
            <w:r>
              <w:rPr>
                <w:noProof/>
              </w:rPr>
              <w:t xml:space="preserve"> </w:t>
            </w:r>
            <w:r>
              <w:rPr>
                <w:rFonts w:ascii="Arial Narrow" w:hAnsi="Arial Narrow"/>
                <w:noProof/>
              </w:rPr>
              <w:t>000</w:t>
            </w:r>
          </w:p>
        </w:tc>
        <w:tc>
          <w:tcPr>
            <w:tcW w:w="992" w:type="dxa"/>
            <w:shd w:val="clear" w:color="auto" w:fill="C6EFCE"/>
            <w:noWrap/>
            <w:vAlign w:val="center"/>
          </w:tcPr>
          <w:p w14:paraId="7F082EF3" w14:textId="77777777" w:rsidR="004C6421" w:rsidRDefault="009D1962">
            <w:pPr>
              <w:pStyle w:val="P68B1DB1-Normal4"/>
              <w:jc w:val="center"/>
              <w:rPr>
                <w:noProof/>
              </w:rPr>
            </w:pPr>
            <w:r>
              <w:rPr>
                <w:noProof/>
              </w:rPr>
              <w:t>II KW.</w:t>
            </w:r>
          </w:p>
        </w:tc>
        <w:tc>
          <w:tcPr>
            <w:tcW w:w="756" w:type="dxa"/>
            <w:shd w:val="clear" w:color="auto" w:fill="C6EFCE"/>
            <w:noWrap/>
            <w:vAlign w:val="center"/>
          </w:tcPr>
          <w:p w14:paraId="77FE1457" w14:textId="77777777" w:rsidR="004C6421" w:rsidRDefault="009D1962">
            <w:pPr>
              <w:pStyle w:val="P68B1DB1-Normal4"/>
              <w:jc w:val="center"/>
              <w:rPr>
                <w:noProof/>
              </w:rPr>
            </w:pPr>
            <w:r>
              <w:rPr>
                <w:noProof/>
              </w:rPr>
              <w:t>2026</w:t>
            </w:r>
          </w:p>
        </w:tc>
        <w:tc>
          <w:tcPr>
            <w:tcW w:w="2793" w:type="dxa"/>
            <w:shd w:val="clear" w:color="auto" w:fill="C6EFCE"/>
            <w:noWrap/>
            <w:vAlign w:val="center"/>
          </w:tcPr>
          <w:p w14:paraId="695F3561" w14:textId="77777777" w:rsidR="004C6421" w:rsidRDefault="009D1962">
            <w:pPr>
              <w:pStyle w:val="P68B1DB1-Normal4"/>
              <w:rPr>
                <w:noProof/>
              </w:rPr>
            </w:pPr>
            <w:r>
              <w:rPr>
                <w:noProof/>
              </w:rPr>
              <w:t>Zwiększenie zdolności sieciowej w zakresie dystrybucji energii ze źródeł odnawialnych o co najmniej 4 000 MW</w:t>
            </w:r>
          </w:p>
        </w:tc>
      </w:tr>
      <w:tr w:rsidR="004C6421" w14:paraId="39B7BA15" w14:textId="77777777">
        <w:trPr>
          <w:trHeight w:val="309"/>
          <w:jc w:val="center"/>
        </w:trPr>
        <w:tc>
          <w:tcPr>
            <w:tcW w:w="1613" w:type="dxa"/>
            <w:shd w:val="clear" w:color="auto" w:fill="C6EFCE"/>
            <w:noWrap/>
            <w:vAlign w:val="center"/>
          </w:tcPr>
          <w:p w14:paraId="18E37EEB" w14:textId="77777777" w:rsidR="004C6421" w:rsidRDefault="009D1962">
            <w:pPr>
              <w:pStyle w:val="P68B1DB1-Normal4"/>
              <w:jc w:val="center"/>
              <w:rPr>
                <w:noProof/>
              </w:rPr>
            </w:pPr>
            <w:r>
              <w:rPr>
                <w:noProof/>
              </w:rPr>
              <w:t>M2C2-11</w:t>
            </w:r>
          </w:p>
        </w:tc>
        <w:tc>
          <w:tcPr>
            <w:tcW w:w="1643" w:type="dxa"/>
            <w:shd w:val="clear" w:color="auto" w:fill="C6EFCE"/>
            <w:noWrap/>
            <w:vAlign w:val="center"/>
          </w:tcPr>
          <w:p w14:paraId="6A88C06E" w14:textId="77777777" w:rsidR="004C6421" w:rsidRDefault="009D1962">
            <w:pPr>
              <w:pStyle w:val="P68B1DB1-Normal4"/>
              <w:jc w:val="center"/>
              <w:rPr>
                <w:noProof/>
              </w:rPr>
            </w:pPr>
            <w:r>
              <w:rPr>
                <w:noProof/>
              </w:rPr>
              <w:t>Inwestycje 2.1 Wzmocnienie inteligentnych sieci</w:t>
            </w:r>
          </w:p>
        </w:tc>
        <w:tc>
          <w:tcPr>
            <w:tcW w:w="1559" w:type="dxa"/>
            <w:shd w:val="clear" w:color="auto" w:fill="C6EFCE"/>
            <w:noWrap/>
            <w:vAlign w:val="center"/>
          </w:tcPr>
          <w:p w14:paraId="1B4B2B9B" w14:textId="77777777" w:rsidR="004C6421" w:rsidRDefault="009D1962">
            <w:pPr>
              <w:pStyle w:val="P68B1DB1-Normal4"/>
              <w:jc w:val="center"/>
              <w:rPr>
                <w:noProof/>
              </w:rPr>
            </w:pPr>
            <w:r>
              <w:rPr>
                <w:noProof/>
              </w:rPr>
              <w:t>Cel</w:t>
            </w:r>
          </w:p>
        </w:tc>
        <w:tc>
          <w:tcPr>
            <w:tcW w:w="1559" w:type="dxa"/>
            <w:shd w:val="clear" w:color="auto" w:fill="C6EFCE"/>
            <w:noWrap/>
            <w:vAlign w:val="center"/>
          </w:tcPr>
          <w:p w14:paraId="2DD4A583" w14:textId="77777777" w:rsidR="004C6421" w:rsidRDefault="009D1962">
            <w:pPr>
              <w:pStyle w:val="P68B1DB1-Normal4"/>
              <w:jc w:val="center"/>
              <w:rPr>
                <w:noProof/>
              </w:rPr>
            </w:pPr>
            <w:r>
              <w:rPr>
                <w:noProof/>
              </w:rPr>
              <w:t>Inteligentne sieci – elektryfikacja zużycia energii</w:t>
            </w:r>
          </w:p>
        </w:tc>
        <w:tc>
          <w:tcPr>
            <w:tcW w:w="1843" w:type="dxa"/>
            <w:shd w:val="clear" w:color="auto" w:fill="C6EFCE"/>
            <w:noWrap/>
            <w:vAlign w:val="center"/>
          </w:tcPr>
          <w:p w14:paraId="51DE6203" w14:textId="77777777" w:rsidR="004C6421" w:rsidRDefault="009D1962">
            <w:pPr>
              <w:pStyle w:val="P68B1DB1-Normal4"/>
              <w:jc w:val="center"/>
              <w:rPr>
                <w:noProof/>
              </w:rPr>
            </w:pPr>
            <w:r>
              <w:rPr>
                <w:noProof/>
              </w:rPr>
              <w:t>NIE DOT.</w:t>
            </w:r>
          </w:p>
        </w:tc>
        <w:tc>
          <w:tcPr>
            <w:tcW w:w="1417" w:type="dxa"/>
            <w:shd w:val="clear" w:color="auto" w:fill="C6EFCE"/>
            <w:noWrap/>
            <w:vAlign w:val="center"/>
          </w:tcPr>
          <w:p w14:paraId="5B62FB9C" w14:textId="77777777" w:rsidR="004C6421" w:rsidRDefault="009D1962">
            <w:pPr>
              <w:pStyle w:val="P68B1DB1-Normal4"/>
              <w:jc w:val="center"/>
              <w:rPr>
                <w:noProof/>
              </w:rPr>
            </w:pPr>
            <w:r>
              <w:rPr>
                <w:noProof/>
              </w:rPr>
              <w:t>Numer</w:t>
            </w:r>
          </w:p>
        </w:tc>
        <w:tc>
          <w:tcPr>
            <w:tcW w:w="1134" w:type="dxa"/>
            <w:shd w:val="clear" w:color="auto" w:fill="C6EFCE"/>
            <w:noWrap/>
            <w:vAlign w:val="center"/>
          </w:tcPr>
          <w:p w14:paraId="7F5B666F" w14:textId="77777777" w:rsidR="004C6421" w:rsidRDefault="009D1962">
            <w:pPr>
              <w:pStyle w:val="P68B1DB1-Normal4"/>
              <w:jc w:val="center"/>
              <w:rPr>
                <w:noProof/>
              </w:rPr>
            </w:pPr>
            <w:r>
              <w:rPr>
                <w:noProof/>
              </w:rPr>
              <w:t>0</w:t>
            </w:r>
          </w:p>
        </w:tc>
        <w:tc>
          <w:tcPr>
            <w:tcW w:w="946" w:type="dxa"/>
            <w:shd w:val="clear" w:color="auto" w:fill="C6EFCE"/>
            <w:noWrap/>
            <w:vAlign w:val="center"/>
          </w:tcPr>
          <w:p w14:paraId="7075BD90" w14:textId="77777777" w:rsidR="004C6421" w:rsidRDefault="009D1962">
            <w:pPr>
              <w:pStyle w:val="P68B1DB1-Normal4"/>
              <w:jc w:val="center"/>
              <w:rPr>
                <w:noProof/>
              </w:rPr>
            </w:pPr>
            <w:r>
              <w:rPr>
                <w:noProof/>
              </w:rPr>
              <w:t>1 500 000</w:t>
            </w:r>
          </w:p>
        </w:tc>
        <w:tc>
          <w:tcPr>
            <w:tcW w:w="992" w:type="dxa"/>
            <w:shd w:val="clear" w:color="auto" w:fill="C6EFCE"/>
            <w:noWrap/>
            <w:vAlign w:val="center"/>
          </w:tcPr>
          <w:p w14:paraId="6FF62649" w14:textId="77777777" w:rsidR="004C6421" w:rsidRDefault="009D1962">
            <w:pPr>
              <w:pStyle w:val="P68B1DB1-Normal4"/>
              <w:jc w:val="center"/>
              <w:rPr>
                <w:noProof/>
              </w:rPr>
            </w:pPr>
            <w:r>
              <w:rPr>
                <w:noProof/>
              </w:rPr>
              <w:t>II KW.</w:t>
            </w:r>
          </w:p>
        </w:tc>
        <w:tc>
          <w:tcPr>
            <w:tcW w:w="756" w:type="dxa"/>
            <w:shd w:val="clear" w:color="auto" w:fill="C6EFCE"/>
            <w:noWrap/>
            <w:vAlign w:val="center"/>
          </w:tcPr>
          <w:p w14:paraId="5127AACA" w14:textId="77777777" w:rsidR="004C6421" w:rsidRDefault="009D1962">
            <w:pPr>
              <w:pStyle w:val="P68B1DB1-Normal4"/>
              <w:jc w:val="center"/>
              <w:rPr>
                <w:noProof/>
              </w:rPr>
            </w:pPr>
            <w:r>
              <w:rPr>
                <w:noProof/>
              </w:rPr>
              <w:t>2026</w:t>
            </w:r>
          </w:p>
        </w:tc>
        <w:tc>
          <w:tcPr>
            <w:tcW w:w="2793" w:type="dxa"/>
            <w:shd w:val="clear" w:color="auto" w:fill="C6EFCE"/>
            <w:noWrap/>
            <w:vAlign w:val="center"/>
          </w:tcPr>
          <w:p w14:paraId="79CFF35A" w14:textId="77777777" w:rsidR="004C6421" w:rsidRDefault="009D1962">
            <w:pPr>
              <w:pStyle w:val="P68B1DB1-Normal4"/>
              <w:rPr>
                <w:noProof/>
              </w:rPr>
            </w:pPr>
            <w:r>
              <w:rPr>
                <w:noProof/>
              </w:rPr>
              <w:t>Elektryfikacja zużycia energii do co najmniej 1500000 mieszkańców</w:t>
            </w:r>
          </w:p>
        </w:tc>
      </w:tr>
      <w:tr w:rsidR="004C6421" w14:paraId="088FFC6E" w14:textId="77777777">
        <w:trPr>
          <w:trHeight w:val="309"/>
          <w:jc w:val="center"/>
        </w:trPr>
        <w:tc>
          <w:tcPr>
            <w:tcW w:w="1613" w:type="dxa"/>
            <w:shd w:val="clear" w:color="auto" w:fill="C6EFCE"/>
            <w:noWrap/>
            <w:vAlign w:val="center"/>
          </w:tcPr>
          <w:p w14:paraId="586A912B" w14:textId="77777777" w:rsidR="004C6421" w:rsidRDefault="009D1962">
            <w:pPr>
              <w:pStyle w:val="P68B1DB1-Normal4"/>
              <w:jc w:val="center"/>
              <w:rPr>
                <w:noProof/>
              </w:rPr>
            </w:pPr>
            <w:r>
              <w:rPr>
                <w:noProof/>
              </w:rPr>
              <w:t>M2C2-13</w:t>
            </w:r>
          </w:p>
        </w:tc>
        <w:tc>
          <w:tcPr>
            <w:tcW w:w="1643" w:type="dxa"/>
            <w:shd w:val="clear" w:color="auto" w:fill="C6EFCE"/>
            <w:noWrap/>
            <w:vAlign w:val="center"/>
          </w:tcPr>
          <w:p w14:paraId="0B4FFAC9" w14:textId="77777777" w:rsidR="004C6421" w:rsidRDefault="009D1962">
            <w:pPr>
              <w:pStyle w:val="P68B1DB1-Normal4"/>
              <w:jc w:val="center"/>
              <w:rPr>
                <w:noProof/>
              </w:rPr>
            </w:pPr>
            <w:r>
              <w:rPr>
                <w:noProof/>
              </w:rPr>
              <w:t>Inwestycje 2.2 Interwencje mające na celu zwiększenie odporności sieci elektroenergetycznej</w:t>
            </w:r>
          </w:p>
        </w:tc>
        <w:tc>
          <w:tcPr>
            <w:tcW w:w="1559" w:type="dxa"/>
            <w:shd w:val="clear" w:color="auto" w:fill="C6EFCE"/>
            <w:noWrap/>
            <w:vAlign w:val="center"/>
          </w:tcPr>
          <w:p w14:paraId="1654B488" w14:textId="77777777" w:rsidR="004C6421" w:rsidRDefault="009D1962">
            <w:pPr>
              <w:pStyle w:val="P68B1DB1-Normal4"/>
              <w:jc w:val="center"/>
              <w:rPr>
                <w:noProof/>
              </w:rPr>
            </w:pPr>
            <w:r>
              <w:rPr>
                <w:noProof/>
              </w:rPr>
              <w:t>Cel</w:t>
            </w:r>
          </w:p>
        </w:tc>
        <w:tc>
          <w:tcPr>
            <w:tcW w:w="1559" w:type="dxa"/>
            <w:shd w:val="clear" w:color="auto" w:fill="C6EFCE"/>
            <w:noWrap/>
            <w:vAlign w:val="center"/>
          </w:tcPr>
          <w:p w14:paraId="4A9E9222" w14:textId="77777777" w:rsidR="004C6421" w:rsidRDefault="009D1962">
            <w:pPr>
              <w:pStyle w:val="P68B1DB1-Normal4"/>
              <w:jc w:val="center"/>
              <w:rPr>
                <w:noProof/>
              </w:rPr>
            </w:pPr>
            <w:r>
              <w:rPr>
                <w:noProof/>
              </w:rPr>
              <w:t>Zwiększenie odporności sieci elektroenergetycznej</w:t>
            </w:r>
          </w:p>
        </w:tc>
        <w:tc>
          <w:tcPr>
            <w:tcW w:w="1843" w:type="dxa"/>
            <w:shd w:val="clear" w:color="auto" w:fill="C6EFCE"/>
            <w:noWrap/>
            <w:vAlign w:val="center"/>
          </w:tcPr>
          <w:p w14:paraId="4058FC31" w14:textId="77777777" w:rsidR="004C6421" w:rsidRDefault="009D1962">
            <w:pPr>
              <w:pStyle w:val="P68B1DB1-Normal4"/>
              <w:jc w:val="center"/>
              <w:rPr>
                <w:noProof/>
              </w:rPr>
            </w:pPr>
            <w:r>
              <w:rPr>
                <w:noProof/>
              </w:rPr>
              <w:t>NIE DOT.</w:t>
            </w:r>
          </w:p>
        </w:tc>
        <w:tc>
          <w:tcPr>
            <w:tcW w:w="1417" w:type="dxa"/>
            <w:shd w:val="clear" w:color="auto" w:fill="C6EFCE"/>
            <w:noWrap/>
            <w:vAlign w:val="center"/>
          </w:tcPr>
          <w:p w14:paraId="30CFB579" w14:textId="77777777" w:rsidR="004C6421" w:rsidRDefault="009D1962">
            <w:pPr>
              <w:pStyle w:val="P68B1DB1-Normal4"/>
              <w:jc w:val="center"/>
              <w:rPr>
                <w:noProof/>
              </w:rPr>
            </w:pPr>
            <w:r>
              <w:rPr>
                <w:noProof/>
              </w:rPr>
              <w:t>Numer</w:t>
            </w:r>
          </w:p>
        </w:tc>
        <w:tc>
          <w:tcPr>
            <w:tcW w:w="1134" w:type="dxa"/>
            <w:shd w:val="clear" w:color="auto" w:fill="C6EFCE"/>
            <w:noWrap/>
            <w:vAlign w:val="center"/>
          </w:tcPr>
          <w:p w14:paraId="2B71BC59" w14:textId="77777777" w:rsidR="004C6421" w:rsidRDefault="009D1962">
            <w:pPr>
              <w:pStyle w:val="P68B1DB1-Normal4"/>
              <w:jc w:val="center"/>
              <w:rPr>
                <w:noProof/>
              </w:rPr>
            </w:pPr>
            <w:r>
              <w:rPr>
                <w:noProof/>
              </w:rPr>
              <w:t>0</w:t>
            </w:r>
          </w:p>
        </w:tc>
        <w:tc>
          <w:tcPr>
            <w:tcW w:w="946" w:type="dxa"/>
            <w:shd w:val="clear" w:color="auto" w:fill="C6EFCE"/>
            <w:noWrap/>
            <w:vAlign w:val="center"/>
          </w:tcPr>
          <w:p w14:paraId="4553708F" w14:textId="77777777" w:rsidR="004C6421" w:rsidRDefault="009D1962">
            <w:pPr>
              <w:pStyle w:val="P68B1DB1-Normal4"/>
              <w:jc w:val="center"/>
              <w:rPr>
                <w:noProof/>
              </w:rPr>
            </w:pPr>
            <w:r>
              <w:rPr>
                <w:noProof/>
              </w:rPr>
              <w:t>4 000</w:t>
            </w:r>
          </w:p>
        </w:tc>
        <w:tc>
          <w:tcPr>
            <w:tcW w:w="992" w:type="dxa"/>
            <w:shd w:val="clear" w:color="auto" w:fill="C6EFCE"/>
            <w:noWrap/>
            <w:vAlign w:val="center"/>
          </w:tcPr>
          <w:p w14:paraId="2D11E9B4" w14:textId="77777777" w:rsidR="004C6421" w:rsidRDefault="009D1962">
            <w:pPr>
              <w:pStyle w:val="P68B1DB1-Normal4"/>
              <w:jc w:val="center"/>
              <w:rPr>
                <w:noProof/>
              </w:rPr>
            </w:pPr>
            <w:r>
              <w:rPr>
                <w:noProof/>
              </w:rPr>
              <w:t>II KW.</w:t>
            </w:r>
          </w:p>
        </w:tc>
        <w:tc>
          <w:tcPr>
            <w:tcW w:w="756" w:type="dxa"/>
            <w:shd w:val="clear" w:color="auto" w:fill="C6EFCE"/>
            <w:noWrap/>
            <w:vAlign w:val="center"/>
          </w:tcPr>
          <w:p w14:paraId="233F6A5F" w14:textId="77777777" w:rsidR="004C6421" w:rsidRDefault="009D1962">
            <w:pPr>
              <w:pStyle w:val="P68B1DB1-Normal4"/>
              <w:jc w:val="center"/>
              <w:rPr>
                <w:noProof/>
              </w:rPr>
            </w:pPr>
            <w:r>
              <w:rPr>
                <w:noProof/>
              </w:rPr>
              <w:t>2026</w:t>
            </w:r>
          </w:p>
        </w:tc>
        <w:tc>
          <w:tcPr>
            <w:tcW w:w="2793" w:type="dxa"/>
            <w:shd w:val="clear" w:color="auto" w:fill="C6EFCE"/>
            <w:noWrap/>
            <w:vAlign w:val="center"/>
          </w:tcPr>
          <w:p w14:paraId="52E07908" w14:textId="77777777" w:rsidR="004C6421" w:rsidRDefault="009D1962">
            <w:pPr>
              <w:pStyle w:val="P68B1DB1-Normal4"/>
              <w:rPr>
                <w:noProof/>
              </w:rPr>
            </w:pPr>
            <w:r>
              <w:rPr>
                <w:noProof/>
              </w:rPr>
              <w:t>Zwiększenie odporności sieci elektroenergetycznej o co najmniej 4 000 km w celu ograniczenia częstotliwości i czasu trwania przerw w dostawie energii wynikających z ekstremalnych warunków pogodowych.</w:t>
            </w:r>
          </w:p>
        </w:tc>
      </w:tr>
      <w:tr w:rsidR="004C6421" w14:paraId="2FEC6246" w14:textId="77777777">
        <w:trPr>
          <w:trHeight w:val="309"/>
          <w:jc w:val="center"/>
        </w:trPr>
        <w:tc>
          <w:tcPr>
            <w:tcW w:w="1613" w:type="dxa"/>
            <w:shd w:val="clear" w:color="auto" w:fill="C6EFCE"/>
            <w:noWrap/>
            <w:vAlign w:val="center"/>
          </w:tcPr>
          <w:p w14:paraId="16D3B73E" w14:textId="77777777" w:rsidR="004C6421" w:rsidRDefault="009D1962">
            <w:pPr>
              <w:pStyle w:val="P68B1DB1-Normal4"/>
              <w:jc w:val="center"/>
              <w:rPr>
                <w:noProof/>
              </w:rPr>
            </w:pPr>
            <w:r>
              <w:rPr>
                <w:noProof/>
              </w:rPr>
              <w:t>M2C2-15</w:t>
            </w:r>
          </w:p>
        </w:tc>
        <w:tc>
          <w:tcPr>
            <w:tcW w:w="1643" w:type="dxa"/>
            <w:shd w:val="clear" w:color="auto" w:fill="C6EFCE"/>
            <w:noWrap/>
            <w:vAlign w:val="center"/>
          </w:tcPr>
          <w:p w14:paraId="5329909A" w14:textId="77777777" w:rsidR="004C6421" w:rsidRDefault="009D1962">
            <w:pPr>
              <w:pStyle w:val="P68B1DB1-Normal4"/>
              <w:jc w:val="center"/>
              <w:rPr>
                <w:noProof/>
              </w:rPr>
            </w:pPr>
            <w:r>
              <w:rPr>
                <w:noProof/>
              </w:rPr>
              <w:t>Inwestycja 3.3 Badanie wodoru w transporcie drogowym</w:t>
            </w:r>
          </w:p>
        </w:tc>
        <w:tc>
          <w:tcPr>
            <w:tcW w:w="1559" w:type="dxa"/>
            <w:shd w:val="clear" w:color="auto" w:fill="C6EFCE"/>
            <w:noWrap/>
            <w:vAlign w:val="center"/>
          </w:tcPr>
          <w:p w14:paraId="7C9D3DEE" w14:textId="77777777" w:rsidR="004C6421" w:rsidRDefault="009D1962">
            <w:pPr>
              <w:pStyle w:val="P68B1DB1-Normal4"/>
              <w:jc w:val="center"/>
              <w:rPr>
                <w:noProof/>
              </w:rPr>
            </w:pPr>
            <w:r>
              <w:rPr>
                <w:noProof/>
              </w:rPr>
              <w:t>Cel</w:t>
            </w:r>
          </w:p>
        </w:tc>
        <w:tc>
          <w:tcPr>
            <w:tcW w:w="1559" w:type="dxa"/>
            <w:shd w:val="clear" w:color="auto" w:fill="C6EFCE"/>
            <w:noWrap/>
            <w:vAlign w:val="center"/>
          </w:tcPr>
          <w:p w14:paraId="375DD96F" w14:textId="77777777" w:rsidR="004C6421" w:rsidRDefault="009D1962">
            <w:pPr>
              <w:pStyle w:val="P68B1DB1-Normal4"/>
              <w:jc w:val="center"/>
              <w:rPr>
                <w:noProof/>
              </w:rPr>
            </w:pPr>
            <w:r>
              <w:rPr>
                <w:noProof/>
              </w:rPr>
              <w:t>Budowa stacji ładowania opartych na wodorze</w:t>
            </w:r>
          </w:p>
        </w:tc>
        <w:tc>
          <w:tcPr>
            <w:tcW w:w="1843" w:type="dxa"/>
            <w:shd w:val="clear" w:color="auto" w:fill="C6EFCE"/>
            <w:noWrap/>
            <w:vAlign w:val="center"/>
          </w:tcPr>
          <w:p w14:paraId="266B4879" w14:textId="77777777" w:rsidR="004C6421" w:rsidRDefault="009D1962">
            <w:pPr>
              <w:pStyle w:val="P68B1DB1-Normal4"/>
              <w:jc w:val="center"/>
              <w:rPr>
                <w:noProof/>
              </w:rPr>
            </w:pPr>
            <w:r>
              <w:rPr>
                <w:noProof/>
              </w:rPr>
              <w:t>NIE DOT.</w:t>
            </w:r>
          </w:p>
        </w:tc>
        <w:tc>
          <w:tcPr>
            <w:tcW w:w="1417" w:type="dxa"/>
            <w:shd w:val="clear" w:color="auto" w:fill="C6EFCE"/>
            <w:noWrap/>
            <w:vAlign w:val="center"/>
          </w:tcPr>
          <w:p w14:paraId="7CC818EE" w14:textId="77777777" w:rsidR="004C6421" w:rsidRDefault="009D1962">
            <w:pPr>
              <w:pStyle w:val="P68B1DB1-Normal4"/>
              <w:jc w:val="center"/>
              <w:rPr>
                <w:noProof/>
              </w:rPr>
            </w:pPr>
            <w:r>
              <w:rPr>
                <w:noProof/>
              </w:rPr>
              <w:t>Numer</w:t>
            </w:r>
          </w:p>
        </w:tc>
        <w:tc>
          <w:tcPr>
            <w:tcW w:w="1134" w:type="dxa"/>
            <w:shd w:val="clear" w:color="auto" w:fill="C6EFCE"/>
            <w:noWrap/>
            <w:vAlign w:val="center"/>
          </w:tcPr>
          <w:p w14:paraId="23714D89" w14:textId="77777777" w:rsidR="004C6421" w:rsidRDefault="009D1962">
            <w:pPr>
              <w:pStyle w:val="P68B1DB1-Normal4"/>
              <w:jc w:val="center"/>
              <w:rPr>
                <w:noProof/>
              </w:rPr>
            </w:pPr>
            <w:r>
              <w:rPr>
                <w:noProof/>
              </w:rPr>
              <w:t>0</w:t>
            </w:r>
          </w:p>
        </w:tc>
        <w:tc>
          <w:tcPr>
            <w:tcW w:w="946" w:type="dxa"/>
            <w:shd w:val="clear" w:color="auto" w:fill="C6EFCE"/>
            <w:noWrap/>
            <w:vAlign w:val="center"/>
          </w:tcPr>
          <w:p w14:paraId="4CB849F9" w14:textId="77777777" w:rsidR="004C6421" w:rsidRDefault="009D1962">
            <w:pPr>
              <w:pStyle w:val="P68B1DB1-Normal4"/>
              <w:jc w:val="center"/>
              <w:rPr>
                <w:noProof/>
              </w:rPr>
            </w:pPr>
            <w:r>
              <w:rPr>
                <w:noProof/>
              </w:rPr>
              <w:t>40</w:t>
            </w:r>
          </w:p>
        </w:tc>
        <w:tc>
          <w:tcPr>
            <w:tcW w:w="992" w:type="dxa"/>
            <w:shd w:val="clear" w:color="auto" w:fill="C6EFCE"/>
            <w:noWrap/>
            <w:vAlign w:val="center"/>
          </w:tcPr>
          <w:p w14:paraId="54FAC10E" w14:textId="77777777" w:rsidR="004C6421" w:rsidRDefault="009D1962">
            <w:pPr>
              <w:pStyle w:val="P68B1DB1-Normal4"/>
              <w:jc w:val="center"/>
              <w:rPr>
                <w:noProof/>
              </w:rPr>
            </w:pPr>
            <w:r>
              <w:rPr>
                <w:noProof/>
              </w:rPr>
              <w:t>II KW.</w:t>
            </w:r>
          </w:p>
        </w:tc>
        <w:tc>
          <w:tcPr>
            <w:tcW w:w="756" w:type="dxa"/>
            <w:shd w:val="clear" w:color="auto" w:fill="C6EFCE"/>
            <w:noWrap/>
            <w:vAlign w:val="center"/>
          </w:tcPr>
          <w:p w14:paraId="32CD09A2" w14:textId="77777777" w:rsidR="004C6421" w:rsidRDefault="009D1962">
            <w:pPr>
              <w:pStyle w:val="P68B1DB1-Normal4"/>
              <w:jc w:val="center"/>
              <w:rPr>
                <w:noProof/>
              </w:rPr>
            </w:pPr>
            <w:r>
              <w:rPr>
                <w:noProof/>
              </w:rPr>
              <w:t>2026</w:t>
            </w:r>
          </w:p>
        </w:tc>
        <w:tc>
          <w:tcPr>
            <w:tcW w:w="2793" w:type="dxa"/>
            <w:shd w:val="clear" w:color="auto" w:fill="C6EFCE"/>
            <w:noWrap/>
            <w:vAlign w:val="center"/>
          </w:tcPr>
          <w:p w14:paraId="7EF753A1" w14:textId="77777777" w:rsidR="004C6421" w:rsidRDefault="009D1962">
            <w:pPr>
              <w:pStyle w:val="P68B1DB1-Normal4"/>
              <w:spacing w:after="120"/>
              <w:rPr>
                <w:noProof/>
              </w:rPr>
            </w:pPr>
            <w:r>
              <w:rPr>
                <w:noProof/>
              </w:rPr>
              <w:t>Budowa co najmniej 40 stacji ładowania opartych na wodorze przeznaczonych dla pojazdów lekkich i ciężkich zgodnie z dyrektywą 2014/94/UE</w:t>
            </w:r>
          </w:p>
          <w:p w14:paraId="71504823" w14:textId="77777777" w:rsidR="004C6421" w:rsidRDefault="004C6421">
            <w:pPr>
              <w:rPr>
                <w:rFonts w:ascii="Arial Narrow" w:hAnsi="Arial Narrow"/>
                <w:noProof/>
                <w:sz w:val="20"/>
              </w:rPr>
            </w:pPr>
          </w:p>
        </w:tc>
      </w:tr>
      <w:tr w:rsidR="004C6421" w14:paraId="0146A29D" w14:textId="77777777">
        <w:trPr>
          <w:trHeight w:val="309"/>
          <w:jc w:val="center"/>
        </w:trPr>
        <w:tc>
          <w:tcPr>
            <w:tcW w:w="1613" w:type="dxa"/>
            <w:shd w:val="clear" w:color="auto" w:fill="C6EFCE"/>
            <w:noWrap/>
            <w:vAlign w:val="center"/>
          </w:tcPr>
          <w:p w14:paraId="1A82DF24" w14:textId="77777777" w:rsidR="004C6421" w:rsidRDefault="009D1962">
            <w:pPr>
              <w:pStyle w:val="P68B1DB1-Normal4"/>
              <w:jc w:val="center"/>
              <w:rPr>
                <w:noProof/>
              </w:rPr>
            </w:pPr>
            <w:r>
              <w:rPr>
                <w:noProof/>
              </w:rPr>
              <w:t>M2C2-17</w:t>
            </w:r>
          </w:p>
        </w:tc>
        <w:tc>
          <w:tcPr>
            <w:tcW w:w="1643" w:type="dxa"/>
            <w:shd w:val="clear" w:color="auto" w:fill="C6EFCE"/>
            <w:noWrap/>
            <w:vAlign w:val="center"/>
          </w:tcPr>
          <w:p w14:paraId="29B71509" w14:textId="77777777" w:rsidR="004C6421" w:rsidRDefault="009D1962">
            <w:pPr>
              <w:pStyle w:val="P68B1DB1-Normal4"/>
              <w:jc w:val="center"/>
              <w:rPr>
                <w:noProof/>
              </w:rPr>
            </w:pPr>
            <w:r>
              <w:rPr>
                <w:noProof/>
              </w:rPr>
              <w:t>Inwestycja 3.4 Testowanie wodoru na potrzeby mobilności kolejowej</w:t>
            </w:r>
          </w:p>
        </w:tc>
        <w:tc>
          <w:tcPr>
            <w:tcW w:w="1559" w:type="dxa"/>
            <w:shd w:val="clear" w:color="auto" w:fill="C6EFCE"/>
            <w:noWrap/>
            <w:vAlign w:val="center"/>
          </w:tcPr>
          <w:p w14:paraId="6FAED382" w14:textId="77777777" w:rsidR="004C6421" w:rsidRDefault="009D1962">
            <w:pPr>
              <w:pStyle w:val="P68B1DB1-Normal4"/>
              <w:jc w:val="center"/>
              <w:rPr>
                <w:noProof/>
              </w:rPr>
            </w:pPr>
            <w:r>
              <w:rPr>
                <w:noProof/>
              </w:rPr>
              <w:t>Cel</w:t>
            </w:r>
          </w:p>
        </w:tc>
        <w:tc>
          <w:tcPr>
            <w:tcW w:w="1559" w:type="dxa"/>
            <w:shd w:val="clear" w:color="auto" w:fill="C6EFCE"/>
            <w:noWrap/>
            <w:vAlign w:val="center"/>
          </w:tcPr>
          <w:p w14:paraId="20F508E1" w14:textId="77777777" w:rsidR="004C6421" w:rsidRDefault="009D1962">
            <w:pPr>
              <w:pStyle w:val="P68B1DB1-Normal4"/>
              <w:jc w:val="center"/>
              <w:rPr>
                <w:noProof/>
              </w:rPr>
            </w:pPr>
            <w:r>
              <w:rPr>
                <w:noProof/>
              </w:rPr>
              <w:t>Liczba stacji tankowania wodoru</w:t>
            </w:r>
          </w:p>
        </w:tc>
        <w:tc>
          <w:tcPr>
            <w:tcW w:w="1843" w:type="dxa"/>
            <w:shd w:val="clear" w:color="auto" w:fill="C6EFCE"/>
            <w:noWrap/>
            <w:vAlign w:val="center"/>
          </w:tcPr>
          <w:p w14:paraId="736273E1" w14:textId="77777777" w:rsidR="004C6421" w:rsidRDefault="009D1962">
            <w:pPr>
              <w:pStyle w:val="P68B1DB1-Normal4"/>
              <w:jc w:val="center"/>
              <w:rPr>
                <w:noProof/>
              </w:rPr>
            </w:pPr>
            <w:r>
              <w:rPr>
                <w:noProof/>
              </w:rPr>
              <w:t>NIE DOT.</w:t>
            </w:r>
          </w:p>
        </w:tc>
        <w:tc>
          <w:tcPr>
            <w:tcW w:w="1417" w:type="dxa"/>
            <w:shd w:val="clear" w:color="auto" w:fill="C6EFCE"/>
            <w:noWrap/>
            <w:vAlign w:val="center"/>
          </w:tcPr>
          <w:p w14:paraId="23047E45" w14:textId="77777777" w:rsidR="004C6421" w:rsidRDefault="009D1962">
            <w:pPr>
              <w:pStyle w:val="P68B1DB1-Normal4"/>
              <w:jc w:val="center"/>
              <w:rPr>
                <w:noProof/>
              </w:rPr>
            </w:pPr>
            <w:r>
              <w:rPr>
                <w:noProof/>
              </w:rPr>
              <w:t>Numer</w:t>
            </w:r>
          </w:p>
        </w:tc>
        <w:tc>
          <w:tcPr>
            <w:tcW w:w="1134" w:type="dxa"/>
            <w:shd w:val="clear" w:color="auto" w:fill="C6EFCE"/>
            <w:noWrap/>
            <w:vAlign w:val="center"/>
          </w:tcPr>
          <w:p w14:paraId="7E6CD688" w14:textId="77777777" w:rsidR="004C6421" w:rsidRDefault="009D1962">
            <w:pPr>
              <w:pStyle w:val="P68B1DB1-Normal4"/>
              <w:jc w:val="center"/>
              <w:rPr>
                <w:noProof/>
              </w:rPr>
            </w:pPr>
            <w:r>
              <w:rPr>
                <w:noProof/>
              </w:rPr>
              <w:t>0</w:t>
            </w:r>
          </w:p>
        </w:tc>
        <w:tc>
          <w:tcPr>
            <w:tcW w:w="946" w:type="dxa"/>
            <w:shd w:val="clear" w:color="auto" w:fill="C6EFCE"/>
            <w:noWrap/>
            <w:vAlign w:val="center"/>
          </w:tcPr>
          <w:p w14:paraId="306F2BD3" w14:textId="77777777" w:rsidR="004C6421" w:rsidRDefault="009D1962">
            <w:pPr>
              <w:pStyle w:val="P68B1DB1-Normal4"/>
              <w:jc w:val="center"/>
              <w:rPr>
                <w:noProof/>
              </w:rPr>
            </w:pPr>
            <w:r>
              <w:rPr>
                <w:noProof/>
              </w:rPr>
              <w:t>10</w:t>
            </w:r>
          </w:p>
        </w:tc>
        <w:tc>
          <w:tcPr>
            <w:tcW w:w="992" w:type="dxa"/>
            <w:shd w:val="clear" w:color="auto" w:fill="C6EFCE"/>
            <w:noWrap/>
            <w:vAlign w:val="center"/>
          </w:tcPr>
          <w:p w14:paraId="33F1006A" w14:textId="77777777" w:rsidR="004C6421" w:rsidRDefault="009D1962">
            <w:pPr>
              <w:pStyle w:val="P68B1DB1-Normal4"/>
              <w:jc w:val="center"/>
              <w:rPr>
                <w:noProof/>
              </w:rPr>
            </w:pPr>
            <w:r>
              <w:rPr>
                <w:noProof/>
              </w:rPr>
              <w:t>II KW.</w:t>
            </w:r>
          </w:p>
        </w:tc>
        <w:tc>
          <w:tcPr>
            <w:tcW w:w="756" w:type="dxa"/>
            <w:shd w:val="clear" w:color="auto" w:fill="C6EFCE"/>
            <w:noWrap/>
            <w:vAlign w:val="center"/>
          </w:tcPr>
          <w:p w14:paraId="3FA9B647" w14:textId="77777777" w:rsidR="004C6421" w:rsidRDefault="009D1962">
            <w:pPr>
              <w:pStyle w:val="P68B1DB1-Normal4"/>
              <w:jc w:val="center"/>
              <w:rPr>
                <w:noProof/>
              </w:rPr>
            </w:pPr>
            <w:r>
              <w:rPr>
                <w:noProof/>
              </w:rPr>
              <w:t>2026</w:t>
            </w:r>
          </w:p>
        </w:tc>
        <w:tc>
          <w:tcPr>
            <w:tcW w:w="2793" w:type="dxa"/>
            <w:shd w:val="clear" w:color="auto" w:fill="C6EFCE"/>
            <w:noWrap/>
            <w:vAlign w:val="center"/>
          </w:tcPr>
          <w:p w14:paraId="6CC29E7A" w14:textId="77777777" w:rsidR="004C6421" w:rsidRDefault="009D1962">
            <w:pPr>
              <w:pStyle w:val="P68B1DB1-Normal4"/>
              <w:spacing w:after="120"/>
              <w:rPr>
                <w:noProof/>
              </w:rPr>
            </w:pPr>
            <w:r>
              <w:rPr>
                <w:noProof/>
              </w:rPr>
              <w:t>Budowa dziesięciu stacji tankowania dla kolei opartych na wodorze wzdłuż sześciu linii kolejowych, które zostaną określone w procedurach publicznych ustanowionych przez Ministerstwo Zrównoważonej Mobilności (MIMS) i Ministerstwo Transformacji Ekologicznej (MITE).</w:t>
            </w:r>
          </w:p>
        </w:tc>
      </w:tr>
      <w:tr w:rsidR="004C6421" w14:paraId="3FC4E3CB" w14:textId="77777777">
        <w:trPr>
          <w:trHeight w:val="309"/>
          <w:jc w:val="center"/>
        </w:trPr>
        <w:tc>
          <w:tcPr>
            <w:tcW w:w="1613" w:type="dxa"/>
            <w:shd w:val="clear" w:color="auto" w:fill="C6EFCE"/>
            <w:noWrap/>
            <w:vAlign w:val="center"/>
          </w:tcPr>
          <w:p w14:paraId="0DD910EB" w14:textId="77777777" w:rsidR="004C6421" w:rsidRDefault="009D1962">
            <w:pPr>
              <w:pStyle w:val="P68B1DB1-Normal4"/>
              <w:jc w:val="center"/>
              <w:rPr>
                <w:noProof/>
              </w:rPr>
            </w:pPr>
            <w:r>
              <w:rPr>
                <w:noProof/>
              </w:rPr>
              <w:t>M2C2-19</w:t>
            </w:r>
          </w:p>
        </w:tc>
        <w:tc>
          <w:tcPr>
            <w:tcW w:w="1643" w:type="dxa"/>
            <w:shd w:val="clear" w:color="auto" w:fill="C6EFCE"/>
            <w:noWrap/>
            <w:vAlign w:val="center"/>
          </w:tcPr>
          <w:p w14:paraId="5B6ABD78" w14:textId="77777777" w:rsidR="004C6421" w:rsidRDefault="009D1962">
            <w:pPr>
              <w:pStyle w:val="P68B1DB1-Normal4"/>
              <w:jc w:val="center"/>
              <w:rPr>
                <w:noProof/>
              </w:rPr>
            </w:pPr>
            <w:r>
              <w:rPr>
                <w:noProof/>
              </w:rPr>
              <w:t>Inwestycja 3.5 Badania i rozwój w zakresie wodoru</w:t>
            </w:r>
          </w:p>
        </w:tc>
        <w:tc>
          <w:tcPr>
            <w:tcW w:w="1559" w:type="dxa"/>
            <w:shd w:val="clear" w:color="auto" w:fill="C6EFCE"/>
            <w:noWrap/>
            <w:vAlign w:val="center"/>
          </w:tcPr>
          <w:p w14:paraId="28F38F7B" w14:textId="77777777" w:rsidR="004C6421" w:rsidRDefault="009D1962">
            <w:pPr>
              <w:pStyle w:val="P68B1DB1-Normal4"/>
              <w:jc w:val="center"/>
              <w:rPr>
                <w:noProof/>
              </w:rPr>
            </w:pPr>
            <w:r>
              <w:rPr>
                <w:noProof/>
              </w:rPr>
              <w:t>Cel</w:t>
            </w:r>
          </w:p>
        </w:tc>
        <w:tc>
          <w:tcPr>
            <w:tcW w:w="1559" w:type="dxa"/>
            <w:shd w:val="clear" w:color="auto" w:fill="C6EFCE"/>
            <w:noWrap/>
            <w:vAlign w:val="center"/>
          </w:tcPr>
          <w:p w14:paraId="22D42C9D" w14:textId="77777777" w:rsidR="004C6421" w:rsidRDefault="009D1962">
            <w:pPr>
              <w:pStyle w:val="P68B1DB1-Normal4"/>
              <w:jc w:val="center"/>
              <w:rPr>
                <w:noProof/>
              </w:rPr>
            </w:pPr>
            <w:r>
              <w:rPr>
                <w:noProof/>
              </w:rPr>
              <w:t>Liczba projektów badawczo-rozwojowych w zakresie wodoru</w:t>
            </w:r>
          </w:p>
        </w:tc>
        <w:tc>
          <w:tcPr>
            <w:tcW w:w="1843" w:type="dxa"/>
            <w:shd w:val="clear" w:color="auto" w:fill="C6EFCE"/>
            <w:noWrap/>
            <w:vAlign w:val="center"/>
          </w:tcPr>
          <w:p w14:paraId="40C04F16" w14:textId="77777777" w:rsidR="004C6421" w:rsidRDefault="009D1962">
            <w:pPr>
              <w:pStyle w:val="P68B1DB1-Normal4"/>
              <w:jc w:val="center"/>
              <w:rPr>
                <w:noProof/>
              </w:rPr>
            </w:pPr>
            <w:r>
              <w:rPr>
                <w:noProof/>
              </w:rPr>
              <w:t>NIE DOT.</w:t>
            </w:r>
          </w:p>
        </w:tc>
        <w:tc>
          <w:tcPr>
            <w:tcW w:w="1417" w:type="dxa"/>
            <w:shd w:val="clear" w:color="auto" w:fill="C6EFCE"/>
            <w:noWrap/>
            <w:vAlign w:val="center"/>
          </w:tcPr>
          <w:p w14:paraId="2CA6E6D8" w14:textId="77777777" w:rsidR="004C6421" w:rsidRDefault="009D1962">
            <w:pPr>
              <w:pStyle w:val="P68B1DB1-Normal4"/>
              <w:jc w:val="center"/>
              <w:rPr>
                <w:noProof/>
              </w:rPr>
            </w:pPr>
            <w:r>
              <w:rPr>
                <w:noProof/>
              </w:rPr>
              <w:t>Numer</w:t>
            </w:r>
          </w:p>
        </w:tc>
        <w:tc>
          <w:tcPr>
            <w:tcW w:w="1134" w:type="dxa"/>
            <w:shd w:val="clear" w:color="auto" w:fill="C6EFCE"/>
            <w:noWrap/>
            <w:vAlign w:val="center"/>
          </w:tcPr>
          <w:p w14:paraId="19F2BCDF" w14:textId="77777777" w:rsidR="004C6421" w:rsidRDefault="009D1962">
            <w:pPr>
              <w:pStyle w:val="P68B1DB1-Normal4"/>
              <w:jc w:val="center"/>
              <w:rPr>
                <w:noProof/>
              </w:rPr>
            </w:pPr>
            <w:r>
              <w:rPr>
                <w:noProof/>
              </w:rPr>
              <w:t>0</w:t>
            </w:r>
          </w:p>
        </w:tc>
        <w:tc>
          <w:tcPr>
            <w:tcW w:w="946" w:type="dxa"/>
            <w:shd w:val="clear" w:color="auto" w:fill="C6EFCE"/>
            <w:noWrap/>
            <w:vAlign w:val="center"/>
          </w:tcPr>
          <w:p w14:paraId="104466AB" w14:textId="77777777" w:rsidR="004C6421" w:rsidRDefault="009D1962">
            <w:pPr>
              <w:pStyle w:val="P68B1DB1-Normal4"/>
              <w:jc w:val="center"/>
              <w:rPr>
                <w:noProof/>
              </w:rPr>
            </w:pPr>
            <w:r>
              <w:rPr>
                <w:noProof/>
              </w:rPr>
              <w:t>10</w:t>
            </w:r>
          </w:p>
        </w:tc>
        <w:tc>
          <w:tcPr>
            <w:tcW w:w="992" w:type="dxa"/>
            <w:shd w:val="clear" w:color="auto" w:fill="C6EFCE"/>
            <w:noWrap/>
            <w:vAlign w:val="center"/>
          </w:tcPr>
          <w:p w14:paraId="2B2375AE" w14:textId="77777777" w:rsidR="004C6421" w:rsidRDefault="009D1962">
            <w:pPr>
              <w:pStyle w:val="P68B1DB1-Normal4"/>
              <w:jc w:val="center"/>
              <w:rPr>
                <w:noProof/>
              </w:rPr>
            </w:pPr>
            <w:r>
              <w:rPr>
                <w:noProof/>
              </w:rPr>
              <w:t>II KW.</w:t>
            </w:r>
          </w:p>
        </w:tc>
        <w:tc>
          <w:tcPr>
            <w:tcW w:w="756" w:type="dxa"/>
            <w:shd w:val="clear" w:color="auto" w:fill="C6EFCE"/>
            <w:noWrap/>
            <w:vAlign w:val="center"/>
          </w:tcPr>
          <w:p w14:paraId="0A665999" w14:textId="77777777" w:rsidR="004C6421" w:rsidRDefault="009D1962">
            <w:pPr>
              <w:pStyle w:val="P68B1DB1-Normal4"/>
              <w:jc w:val="center"/>
              <w:rPr>
                <w:noProof/>
              </w:rPr>
            </w:pPr>
            <w:r>
              <w:rPr>
                <w:noProof/>
              </w:rPr>
              <w:t>2026</w:t>
            </w:r>
          </w:p>
        </w:tc>
        <w:tc>
          <w:tcPr>
            <w:tcW w:w="2793" w:type="dxa"/>
            <w:shd w:val="clear" w:color="auto" w:fill="C6EFCE"/>
            <w:noWrap/>
            <w:vAlign w:val="center"/>
          </w:tcPr>
          <w:p w14:paraId="1387FDB4" w14:textId="77777777" w:rsidR="004C6421" w:rsidRDefault="009D1962">
            <w:pPr>
              <w:pStyle w:val="P68B1DB1-Normal4"/>
              <w:spacing w:after="120"/>
              <w:rPr>
                <w:noProof/>
              </w:rPr>
            </w:pPr>
            <w:r>
              <w:rPr>
                <w:noProof/>
              </w:rPr>
              <w:t>Co najmniej 10 zrealizowanych projektów badawczo-rozwojowych (po jednym dla każdego wymiaru badań i rozwoju poniżej) i zaopatrzonych w świadectwo badania lub publikację</w:t>
            </w:r>
          </w:p>
          <w:p w14:paraId="631CA1EE" w14:textId="77777777" w:rsidR="004C6421" w:rsidRDefault="009D1962">
            <w:pPr>
              <w:pStyle w:val="P68B1DB1-Normal4"/>
              <w:spacing w:after="120"/>
              <w:rPr>
                <w:noProof/>
              </w:rPr>
            </w:pPr>
            <w:r>
              <w:rPr>
                <w:noProof/>
              </w:rPr>
              <w:t>Opracowane zostaną cztery kierunki działań badawczo-rozwojowych w odniesieniu do:</w:t>
            </w:r>
          </w:p>
          <w:p w14:paraId="5C7D027F" w14:textId="77777777" w:rsidR="004C6421" w:rsidRDefault="009D1962">
            <w:pPr>
              <w:pStyle w:val="P68B1DB1-Normal4"/>
              <w:spacing w:after="120"/>
              <w:rPr>
                <w:noProof/>
              </w:rPr>
            </w:pPr>
            <w:r>
              <w:rPr>
                <w:noProof/>
              </w:rPr>
              <w:t>produkcja zielonego i czystego wodoru</w:t>
            </w:r>
          </w:p>
          <w:p w14:paraId="42D5B693" w14:textId="77777777" w:rsidR="004C6421" w:rsidRDefault="009D1962">
            <w:pPr>
              <w:pStyle w:val="P68B1DB1-Normal4"/>
              <w:spacing w:after="120"/>
              <w:rPr>
                <w:noProof/>
              </w:rPr>
            </w:pPr>
            <w:r>
              <w:rPr>
                <w:noProof/>
              </w:rPr>
              <w:t>b) Innowacyjne technologie magazynowania, transportu i przekształcania wodoru w produkty pochodne i e-paliwa</w:t>
            </w:r>
          </w:p>
          <w:p w14:paraId="1BCA0996" w14:textId="77777777" w:rsidR="004C6421" w:rsidRDefault="009D1962">
            <w:pPr>
              <w:pStyle w:val="P68B1DB1-Normal4"/>
              <w:spacing w:after="120"/>
              <w:rPr>
                <w:noProof/>
              </w:rPr>
            </w:pPr>
            <w:r>
              <w:rPr>
                <w:noProof/>
              </w:rPr>
              <w:t>C) Komórki paliwowe do zastosowań stacjonarnych i mobilnych</w:t>
            </w:r>
          </w:p>
          <w:p w14:paraId="30DE6D59" w14:textId="77777777" w:rsidR="004C6421" w:rsidRDefault="009D1962">
            <w:pPr>
              <w:pStyle w:val="P68B1DB1-Normal4"/>
              <w:spacing w:after="120"/>
              <w:rPr>
                <w:noProof/>
              </w:rPr>
            </w:pPr>
            <w:r>
              <w:rPr>
                <w:noProof/>
              </w:rPr>
              <w:t>zintegrowane inteligentne systemy zarządzania w celu zwiększenia odporności i niezawodności inteligentnej infrastruktury opartej na wodorze</w:t>
            </w:r>
          </w:p>
          <w:p w14:paraId="6015CF77" w14:textId="77777777" w:rsidR="004C6421" w:rsidRDefault="009D1962">
            <w:pPr>
              <w:pStyle w:val="P68B1DB1-Normal4"/>
              <w:rPr>
                <w:noProof/>
              </w:rPr>
            </w:pPr>
            <w:r>
              <w:rPr>
                <w:noProof/>
              </w:rPr>
              <w:t>Środek ten wspiera produkcję wodoru w oparciu o elektrolizę z wykorzystaniem odnawialnych źródeł energii zdefiniowanych w dyrektywie (UE) 2018/2001 (dyrektywa w sprawie odnawialnych źródeł energii) lub energię elektryczną z sieci lub działalność związaną z wodorem, która spełnia wymóg ograniczenia emisji gazów cieplarnianych w całym cyklu życia wynoszący 73,4 % w odniesieniu do wodoru, co skutkuje emisjami gazów cieplarnianych w całym cyklu życia niższymi niż 3 t ekwiwalentu CO2/tH2 i 70 % w przypadku syntetycznych paliw opartych na wodorze w porównaniu z odpowiednikiem kopalnym wynoszącym 94 g CO2e/MJ, analogicznie do podejścia określonego w art. 25 ust. 2 dyrektywy (UE) 2018/2001 i w załączniku V do tej dyrektywy.</w:t>
            </w:r>
          </w:p>
        </w:tc>
      </w:tr>
      <w:tr w:rsidR="004C6421" w14:paraId="12ECE94C" w14:textId="77777777">
        <w:trPr>
          <w:trHeight w:val="309"/>
          <w:jc w:val="center"/>
        </w:trPr>
        <w:tc>
          <w:tcPr>
            <w:tcW w:w="1613" w:type="dxa"/>
            <w:shd w:val="clear" w:color="auto" w:fill="C6EFCE"/>
            <w:noWrap/>
            <w:vAlign w:val="center"/>
          </w:tcPr>
          <w:p w14:paraId="7F63BB3C" w14:textId="77777777" w:rsidR="004C6421" w:rsidRDefault="009D1962">
            <w:pPr>
              <w:pStyle w:val="P68B1DB1-Normal4"/>
              <w:jc w:val="center"/>
              <w:rPr>
                <w:noProof/>
              </w:rPr>
            </w:pPr>
            <w:r>
              <w:rPr>
                <w:noProof/>
              </w:rPr>
              <w:t>M2C2-24</w:t>
            </w:r>
          </w:p>
        </w:tc>
        <w:tc>
          <w:tcPr>
            <w:tcW w:w="1643" w:type="dxa"/>
            <w:shd w:val="clear" w:color="auto" w:fill="C6EFCE"/>
            <w:noWrap/>
            <w:vAlign w:val="center"/>
          </w:tcPr>
          <w:p w14:paraId="3012DA7E" w14:textId="77777777" w:rsidR="004C6421" w:rsidRDefault="009D1962">
            <w:pPr>
              <w:pStyle w:val="P68B1DB1-Normal4"/>
              <w:jc w:val="center"/>
              <w:rPr>
                <w:noProof/>
              </w:rPr>
            </w:pPr>
            <w:r>
              <w:rPr>
                <w:noProof/>
              </w:rPr>
              <w:t xml:space="preserve">Inwestycja 4.2 Rozwój systemów szybkiego transportu masowego </w:t>
            </w:r>
          </w:p>
        </w:tc>
        <w:tc>
          <w:tcPr>
            <w:tcW w:w="1559" w:type="dxa"/>
            <w:shd w:val="clear" w:color="auto" w:fill="C6EFCE"/>
            <w:noWrap/>
            <w:vAlign w:val="center"/>
          </w:tcPr>
          <w:p w14:paraId="5E54EA9D" w14:textId="3BFE29C6" w:rsidR="004C6421" w:rsidRDefault="00CC179E">
            <w:pPr>
              <w:pStyle w:val="P68B1DB1-Normal4"/>
              <w:jc w:val="center"/>
              <w:rPr>
                <w:noProof/>
              </w:rPr>
            </w:pPr>
            <w:r>
              <w:rPr>
                <w:noProof/>
              </w:rPr>
              <w:t>Milowy</w:t>
            </w:r>
          </w:p>
        </w:tc>
        <w:tc>
          <w:tcPr>
            <w:tcW w:w="1559" w:type="dxa"/>
            <w:shd w:val="clear" w:color="auto" w:fill="C6EFCE"/>
            <w:noWrap/>
            <w:vAlign w:val="center"/>
          </w:tcPr>
          <w:p w14:paraId="7AB976E0" w14:textId="77777777" w:rsidR="004C6421" w:rsidRDefault="009D1962">
            <w:pPr>
              <w:pStyle w:val="P68B1DB1-Normal4"/>
              <w:jc w:val="center"/>
              <w:rPr>
                <w:noProof/>
              </w:rPr>
            </w:pPr>
            <w:r>
              <w:rPr>
                <w:noProof/>
              </w:rPr>
              <w:t>Udzielanie wszystkich zamówień publicznych na rozbudowę</w:t>
            </w:r>
            <w:r>
              <w:rPr>
                <w:noProof/>
                <w:shd w:val="clear" w:color="auto" w:fill="E6E6E6"/>
              </w:rPr>
              <w:t xml:space="preserve"> </w:t>
            </w:r>
            <w:r>
              <w:rPr>
                <w:noProof/>
              </w:rPr>
              <w:t xml:space="preserve">infrastruktury dla systemów szybkiego transportu masowego </w:t>
            </w:r>
          </w:p>
        </w:tc>
        <w:tc>
          <w:tcPr>
            <w:tcW w:w="1843" w:type="dxa"/>
            <w:shd w:val="clear" w:color="auto" w:fill="C6EFCE"/>
            <w:noWrap/>
            <w:vAlign w:val="center"/>
          </w:tcPr>
          <w:p w14:paraId="38127A85" w14:textId="77777777" w:rsidR="004C6421" w:rsidRDefault="009D1962">
            <w:pPr>
              <w:pStyle w:val="P68B1DB1-Normal4"/>
              <w:jc w:val="center"/>
              <w:rPr>
                <w:noProof/>
              </w:rPr>
            </w:pPr>
            <w:r>
              <w:rPr>
                <w:noProof/>
              </w:rPr>
              <w:t>Powiadomienie o udzieleniu wszystkich zamówień publicznych</w:t>
            </w:r>
          </w:p>
        </w:tc>
        <w:tc>
          <w:tcPr>
            <w:tcW w:w="1417" w:type="dxa"/>
            <w:shd w:val="clear" w:color="auto" w:fill="C6EFCE"/>
            <w:noWrap/>
            <w:vAlign w:val="center"/>
          </w:tcPr>
          <w:p w14:paraId="37F2FFA2"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0045AFFD" w14:textId="77777777" w:rsidR="004C6421" w:rsidRDefault="009D1962">
            <w:pPr>
              <w:pStyle w:val="P68B1DB1-Normal4"/>
              <w:jc w:val="center"/>
              <w:rPr>
                <w:noProof/>
              </w:rPr>
            </w:pPr>
            <w:r>
              <w:rPr>
                <w:noProof/>
              </w:rPr>
              <w:t>NIE DOT.</w:t>
            </w:r>
          </w:p>
        </w:tc>
        <w:tc>
          <w:tcPr>
            <w:tcW w:w="946" w:type="dxa"/>
            <w:shd w:val="clear" w:color="auto" w:fill="C6EFCE"/>
            <w:noWrap/>
            <w:vAlign w:val="center"/>
          </w:tcPr>
          <w:p w14:paraId="0C7D30FD" w14:textId="77777777" w:rsidR="004C6421" w:rsidRDefault="009D1962">
            <w:pPr>
              <w:pStyle w:val="P68B1DB1-Normal4"/>
              <w:jc w:val="center"/>
              <w:rPr>
                <w:noProof/>
              </w:rPr>
            </w:pPr>
            <w:r>
              <w:rPr>
                <w:noProof/>
              </w:rPr>
              <w:t>NIE DOT.</w:t>
            </w:r>
          </w:p>
        </w:tc>
        <w:tc>
          <w:tcPr>
            <w:tcW w:w="992" w:type="dxa"/>
            <w:shd w:val="clear" w:color="auto" w:fill="C6EFCE"/>
            <w:noWrap/>
            <w:vAlign w:val="center"/>
          </w:tcPr>
          <w:p w14:paraId="39CD169B" w14:textId="209564ED" w:rsidR="004C6421" w:rsidRDefault="00CC179E">
            <w:pPr>
              <w:pStyle w:val="P68B1DB1-Normal4"/>
              <w:jc w:val="center"/>
              <w:rPr>
                <w:noProof/>
              </w:rPr>
            </w:pPr>
            <w:r>
              <w:rPr>
                <w:noProof/>
              </w:rPr>
              <w:t>KW. 4</w:t>
            </w:r>
          </w:p>
        </w:tc>
        <w:tc>
          <w:tcPr>
            <w:tcW w:w="756" w:type="dxa"/>
            <w:shd w:val="clear" w:color="auto" w:fill="C6EFCE"/>
            <w:noWrap/>
            <w:vAlign w:val="center"/>
          </w:tcPr>
          <w:p w14:paraId="0BE8FF1C" w14:textId="77777777" w:rsidR="004C6421" w:rsidRDefault="009D1962">
            <w:pPr>
              <w:pStyle w:val="P68B1DB1-Normal4"/>
              <w:jc w:val="center"/>
              <w:rPr>
                <w:noProof/>
              </w:rPr>
            </w:pPr>
            <w:r>
              <w:rPr>
                <w:noProof/>
              </w:rPr>
              <w:t>2023</w:t>
            </w:r>
          </w:p>
        </w:tc>
        <w:tc>
          <w:tcPr>
            <w:tcW w:w="2793" w:type="dxa"/>
            <w:shd w:val="clear" w:color="auto" w:fill="C6EFCE"/>
            <w:noWrap/>
            <w:vAlign w:val="center"/>
          </w:tcPr>
          <w:p w14:paraId="048F9251" w14:textId="77777777" w:rsidR="004C6421" w:rsidRDefault="009D1962">
            <w:pPr>
              <w:pStyle w:val="P68B1DB1-Normal4"/>
              <w:rPr>
                <w:noProof/>
              </w:rPr>
            </w:pPr>
            <w:r>
              <w:rPr>
                <w:noProof/>
              </w:rPr>
              <w:t>Powiadomienie o udzieleniu wszystkich zamówień publicznych na rozbudowę projektów infrastrukturalnych określonych w opisie środka.</w:t>
            </w:r>
          </w:p>
        </w:tc>
      </w:tr>
      <w:tr w:rsidR="004C6421" w14:paraId="6F89FF3D" w14:textId="77777777">
        <w:trPr>
          <w:trHeight w:val="309"/>
          <w:jc w:val="center"/>
        </w:trPr>
        <w:tc>
          <w:tcPr>
            <w:tcW w:w="1613" w:type="dxa"/>
            <w:shd w:val="clear" w:color="auto" w:fill="C6EFCE"/>
            <w:noWrap/>
            <w:vAlign w:val="center"/>
          </w:tcPr>
          <w:p w14:paraId="25BEC11B" w14:textId="77777777" w:rsidR="004C6421" w:rsidRDefault="009D1962">
            <w:pPr>
              <w:pStyle w:val="P68B1DB1-Normal4"/>
              <w:jc w:val="center"/>
              <w:rPr>
                <w:noProof/>
              </w:rPr>
            </w:pPr>
            <w:r>
              <w:rPr>
                <w:noProof/>
              </w:rPr>
              <w:t>M2C2-25</w:t>
            </w:r>
          </w:p>
        </w:tc>
        <w:tc>
          <w:tcPr>
            <w:tcW w:w="1643" w:type="dxa"/>
            <w:shd w:val="clear" w:color="auto" w:fill="C6EFCE"/>
            <w:noWrap/>
            <w:vAlign w:val="center"/>
          </w:tcPr>
          <w:p w14:paraId="22030100" w14:textId="77777777" w:rsidR="004C6421" w:rsidRDefault="009D1962">
            <w:pPr>
              <w:pStyle w:val="P68B1DB1-Normal4"/>
              <w:jc w:val="center"/>
              <w:rPr>
                <w:noProof/>
              </w:rPr>
            </w:pPr>
            <w:r>
              <w:rPr>
                <w:noProof/>
              </w:rPr>
              <w:t>Inwestycja 4.2 Rozwój systemów szybkiego transportu masowego</w:t>
            </w:r>
          </w:p>
        </w:tc>
        <w:tc>
          <w:tcPr>
            <w:tcW w:w="1559" w:type="dxa"/>
            <w:shd w:val="clear" w:color="auto" w:fill="C6EFCE"/>
            <w:noWrap/>
            <w:vAlign w:val="center"/>
          </w:tcPr>
          <w:p w14:paraId="684A2ED2" w14:textId="1E4DA354" w:rsidR="004C6421" w:rsidRDefault="00CC179E">
            <w:pPr>
              <w:pStyle w:val="P68B1DB1-Normal4"/>
              <w:jc w:val="center"/>
              <w:rPr>
                <w:noProof/>
              </w:rPr>
            </w:pPr>
            <w:r>
              <w:rPr>
                <w:noProof/>
              </w:rPr>
              <w:t>Milowy</w:t>
            </w:r>
          </w:p>
        </w:tc>
        <w:tc>
          <w:tcPr>
            <w:tcW w:w="1559" w:type="dxa"/>
            <w:shd w:val="clear" w:color="auto" w:fill="C6EFCE"/>
            <w:noWrap/>
            <w:vAlign w:val="center"/>
          </w:tcPr>
          <w:p w14:paraId="00F3159F" w14:textId="77777777" w:rsidR="004C6421" w:rsidRDefault="009D1962">
            <w:pPr>
              <w:pStyle w:val="P68B1DB1-Normal6"/>
              <w:jc w:val="center"/>
              <w:rPr>
                <w:noProof/>
                <w:color w:val="006100"/>
              </w:rPr>
            </w:pPr>
            <w:r>
              <w:rPr>
                <w:noProof/>
                <w:color w:val="006100"/>
              </w:rPr>
              <w:t>Udzielanie</w:t>
            </w:r>
            <w:r>
              <w:rPr>
                <w:noProof/>
              </w:rPr>
              <w:t xml:space="preserve"> </w:t>
            </w:r>
            <w:r>
              <w:rPr>
                <w:noProof/>
                <w:color w:val="006100"/>
              </w:rPr>
              <w:t>wszystkich zamówień publicznych na zakup taboru bezemisyjnego oraz interwencje na rzecz modernizacji infrastruktury systemów szybkiego transportu masowego</w:t>
            </w:r>
          </w:p>
        </w:tc>
        <w:tc>
          <w:tcPr>
            <w:tcW w:w="1843" w:type="dxa"/>
            <w:shd w:val="clear" w:color="auto" w:fill="C6EFCE"/>
            <w:noWrap/>
            <w:vAlign w:val="center"/>
          </w:tcPr>
          <w:p w14:paraId="08911463" w14:textId="77777777" w:rsidR="004C6421" w:rsidRDefault="009D1962">
            <w:pPr>
              <w:pStyle w:val="P68B1DB1-Normal4"/>
              <w:jc w:val="center"/>
              <w:rPr>
                <w:noProof/>
              </w:rPr>
            </w:pPr>
            <w:r>
              <w:rPr>
                <w:noProof/>
              </w:rPr>
              <w:t xml:space="preserve">Powiadomienie o udzieleniu wszystkich zamówień publicznych </w:t>
            </w:r>
          </w:p>
        </w:tc>
        <w:tc>
          <w:tcPr>
            <w:tcW w:w="1417" w:type="dxa"/>
            <w:shd w:val="clear" w:color="auto" w:fill="C6EFCE"/>
            <w:noWrap/>
            <w:vAlign w:val="center"/>
          </w:tcPr>
          <w:p w14:paraId="40C7C01B"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4A219C3E" w14:textId="77777777" w:rsidR="004C6421" w:rsidRDefault="009D1962">
            <w:pPr>
              <w:pStyle w:val="P68B1DB1-Normal4"/>
              <w:jc w:val="center"/>
              <w:rPr>
                <w:noProof/>
              </w:rPr>
            </w:pPr>
            <w:r>
              <w:rPr>
                <w:noProof/>
              </w:rPr>
              <w:t>NIE DOT.</w:t>
            </w:r>
          </w:p>
        </w:tc>
        <w:tc>
          <w:tcPr>
            <w:tcW w:w="946" w:type="dxa"/>
            <w:shd w:val="clear" w:color="auto" w:fill="C6EFCE"/>
            <w:noWrap/>
            <w:vAlign w:val="center"/>
          </w:tcPr>
          <w:p w14:paraId="0673E32C" w14:textId="77777777" w:rsidR="004C6421" w:rsidRDefault="009D1962">
            <w:pPr>
              <w:pStyle w:val="P68B1DB1-Normal4"/>
              <w:jc w:val="center"/>
              <w:rPr>
                <w:noProof/>
              </w:rPr>
            </w:pPr>
            <w:r>
              <w:rPr>
                <w:noProof/>
              </w:rPr>
              <w:t>NIE DOT.</w:t>
            </w:r>
          </w:p>
        </w:tc>
        <w:tc>
          <w:tcPr>
            <w:tcW w:w="992" w:type="dxa"/>
            <w:shd w:val="clear" w:color="auto" w:fill="C6EFCE"/>
            <w:noWrap/>
            <w:vAlign w:val="center"/>
          </w:tcPr>
          <w:p w14:paraId="26DED100" w14:textId="77777777" w:rsidR="004C6421" w:rsidRDefault="009D1962">
            <w:pPr>
              <w:pStyle w:val="P68B1DB1-Normal4"/>
              <w:jc w:val="center"/>
              <w:rPr>
                <w:noProof/>
              </w:rPr>
            </w:pPr>
            <w:r>
              <w:rPr>
                <w:noProof/>
              </w:rPr>
              <w:t>III KW.</w:t>
            </w:r>
          </w:p>
        </w:tc>
        <w:tc>
          <w:tcPr>
            <w:tcW w:w="756" w:type="dxa"/>
            <w:shd w:val="clear" w:color="auto" w:fill="C6EFCE"/>
            <w:noWrap/>
            <w:vAlign w:val="center"/>
          </w:tcPr>
          <w:p w14:paraId="4D04A173" w14:textId="77777777" w:rsidR="004C6421" w:rsidRDefault="009D1962">
            <w:pPr>
              <w:pStyle w:val="P68B1DB1-Normal4"/>
              <w:jc w:val="center"/>
              <w:rPr>
                <w:noProof/>
              </w:rPr>
            </w:pPr>
            <w:r>
              <w:rPr>
                <w:noProof/>
              </w:rPr>
              <w:t>2024</w:t>
            </w:r>
          </w:p>
        </w:tc>
        <w:tc>
          <w:tcPr>
            <w:tcW w:w="2793" w:type="dxa"/>
            <w:shd w:val="clear" w:color="auto" w:fill="C6EFCE"/>
            <w:noWrap/>
            <w:vAlign w:val="center"/>
          </w:tcPr>
          <w:p w14:paraId="45B29850" w14:textId="77777777" w:rsidR="004C6421" w:rsidRDefault="009D1962">
            <w:pPr>
              <w:pStyle w:val="P68B1DB1-Normal6"/>
              <w:rPr>
                <w:noProof/>
              </w:rPr>
            </w:pPr>
            <w:r>
              <w:rPr>
                <w:noProof/>
                <w:color w:val="006100"/>
              </w:rPr>
              <w:t>Powiadomienie o udzieleniu</w:t>
            </w:r>
            <w:r>
              <w:rPr>
                <w:noProof/>
              </w:rPr>
              <w:t xml:space="preserve"> </w:t>
            </w:r>
            <w:r>
              <w:rPr>
                <w:noProof/>
                <w:color w:val="006100"/>
              </w:rPr>
              <w:t>wszystkich zamówień publicznych na zakup co najmniej 85 jednostek taboru kolejowego oraz co najmniej 5 interwencji na modernizację infrastruktury systemów szybkiego transportu masowego, jak określono w opisie środka.</w:t>
            </w:r>
          </w:p>
        </w:tc>
      </w:tr>
      <w:tr w:rsidR="004C6421" w14:paraId="4AB21FF2" w14:textId="77777777">
        <w:trPr>
          <w:trHeight w:val="309"/>
          <w:jc w:val="center"/>
        </w:trPr>
        <w:tc>
          <w:tcPr>
            <w:tcW w:w="1613" w:type="dxa"/>
            <w:shd w:val="clear" w:color="auto" w:fill="C6EFCE"/>
            <w:noWrap/>
            <w:vAlign w:val="center"/>
          </w:tcPr>
          <w:p w14:paraId="1C11C09F" w14:textId="77777777" w:rsidR="004C6421" w:rsidRDefault="009D1962">
            <w:pPr>
              <w:pStyle w:val="P68B1DB1-Normal4"/>
              <w:jc w:val="center"/>
              <w:rPr>
                <w:noProof/>
              </w:rPr>
            </w:pPr>
            <w:r>
              <w:rPr>
                <w:noProof/>
              </w:rPr>
              <w:t>M2C2-25bis</w:t>
            </w:r>
          </w:p>
        </w:tc>
        <w:tc>
          <w:tcPr>
            <w:tcW w:w="1643" w:type="dxa"/>
            <w:shd w:val="clear" w:color="auto" w:fill="C6EFCE"/>
            <w:noWrap/>
            <w:vAlign w:val="center"/>
          </w:tcPr>
          <w:p w14:paraId="7017582B" w14:textId="77777777" w:rsidR="004C6421" w:rsidRDefault="009D1962">
            <w:pPr>
              <w:pStyle w:val="P68B1DB1-Normal4"/>
              <w:jc w:val="center"/>
              <w:rPr>
                <w:noProof/>
              </w:rPr>
            </w:pPr>
            <w:r>
              <w:rPr>
                <w:noProof/>
              </w:rPr>
              <w:t>Inwestycja 4.2 Rozwój systemów szybkiego transportu masowego</w:t>
            </w:r>
          </w:p>
        </w:tc>
        <w:tc>
          <w:tcPr>
            <w:tcW w:w="1559" w:type="dxa"/>
            <w:shd w:val="clear" w:color="auto" w:fill="C6EFCE"/>
            <w:noWrap/>
            <w:vAlign w:val="center"/>
          </w:tcPr>
          <w:p w14:paraId="4A9E639B" w14:textId="77777777" w:rsidR="004C6421" w:rsidRDefault="009D1962">
            <w:pPr>
              <w:pStyle w:val="P68B1DB1-Normal4"/>
              <w:jc w:val="center"/>
              <w:rPr>
                <w:noProof/>
              </w:rPr>
            </w:pPr>
            <w:r>
              <w:rPr>
                <w:noProof/>
              </w:rPr>
              <w:t>Cel</w:t>
            </w:r>
          </w:p>
        </w:tc>
        <w:tc>
          <w:tcPr>
            <w:tcW w:w="1559" w:type="dxa"/>
            <w:shd w:val="clear" w:color="auto" w:fill="C6EFCE"/>
            <w:noWrap/>
            <w:vAlign w:val="center"/>
          </w:tcPr>
          <w:p w14:paraId="3960000F" w14:textId="77777777" w:rsidR="004C6421" w:rsidRDefault="009D1962">
            <w:pPr>
              <w:pStyle w:val="P68B1DB1-Normal4"/>
              <w:jc w:val="center"/>
              <w:rPr>
                <w:noProof/>
              </w:rPr>
            </w:pPr>
            <w:r>
              <w:rPr>
                <w:noProof/>
              </w:rPr>
              <w:t>Co najmniej 5 interwencji na rzecz modernizacji infrastruktury systemów szybkiego transportu masowego</w:t>
            </w:r>
          </w:p>
        </w:tc>
        <w:tc>
          <w:tcPr>
            <w:tcW w:w="1843" w:type="dxa"/>
            <w:shd w:val="clear" w:color="auto" w:fill="C6EFCE"/>
            <w:noWrap/>
            <w:vAlign w:val="center"/>
          </w:tcPr>
          <w:p w14:paraId="32EF159E" w14:textId="77777777" w:rsidR="004C6421" w:rsidRDefault="004C6421">
            <w:pPr>
              <w:jc w:val="center"/>
              <w:rPr>
                <w:rFonts w:ascii="Arial Narrow" w:hAnsi="Arial Narrow"/>
                <w:noProof/>
                <w:color w:val="006100"/>
                <w:sz w:val="20"/>
              </w:rPr>
            </w:pPr>
          </w:p>
        </w:tc>
        <w:tc>
          <w:tcPr>
            <w:tcW w:w="1417" w:type="dxa"/>
            <w:shd w:val="clear" w:color="auto" w:fill="C6EFCE"/>
            <w:noWrap/>
            <w:vAlign w:val="center"/>
          </w:tcPr>
          <w:p w14:paraId="191D23E5" w14:textId="77777777" w:rsidR="004C6421" w:rsidRDefault="009D1962">
            <w:pPr>
              <w:pStyle w:val="P68B1DB1-Normal4"/>
              <w:jc w:val="center"/>
              <w:rPr>
                <w:noProof/>
              </w:rPr>
            </w:pPr>
            <w:r>
              <w:rPr>
                <w:noProof/>
              </w:rPr>
              <w:t>Numer</w:t>
            </w:r>
          </w:p>
        </w:tc>
        <w:tc>
          <w:tcPr>
            <w:tcW w:w="1134" w:type="dxa"/>
            <w:shd w:val="clear" w:color="auto" w:fill="C6EFCE"/>
            <w:noWrap/>
            <w:vAlign w:val="center"/>
          </w:tcPr>
          <w:p w14:paraId="0DF6C556" w14:textId="77777777" w:rsidR="004C6421" w:rsidRDefault="009D1962">
            <w:pPr>
              <w:pStyle w:val="P68B1DB1-Normal4"/>
              <w:jc w:val="center"/>
              <w:rPr>
                <w:noProof/>
              </w:rPr>
            </w:pPr>
            <w:r>
              <w:rPr>
                <w:noProof/>
              </w:rPr>
              <w:t>0</w:t>
            </w:r>
          </w:p>
        </w:tc>
        <w:tc>
          <w:tcPr>
            <w:tcW w:w="946" w:type="dxa"/>
            <w:shd w:val="clear" w:color="auto" w:fill="C6EFCE"/>
            <w:noWrap/>
            <w:vAlign w:val="center"/>
          </w:tcPr>
          <w:p w14:paraId="4EFD301C" w14:textId="77777777" w:rsidR="004C6421" w:rsidRDefault="009D1962">
            <w:pPr>
              <w:pStyle w:val="P68B1DB1-Normal4"/>
              <w:jc w:val="center"/>
              <w:rPr>
                <w:noProof/>
              </w:rPr>
            </w:pPr>
            <w:r>
              <w:rPr>
                <w:noProof/>
              </w:rPr>
              <w:t>5</w:t>
            </w:r>
          </w:p>
        </w:tc>
        <w:tc>
          <w:tcPr>
            <w:tcW w:w="992" w:type="dxa"/>
            <w:shd w:val="clear" w:color="auto" w:fill="C6EFCE"/>
            <w:noWrap/>
            <w:vAlign w:val="center"/>
          </w:tcPr>
          <w:p w14:paraId="622B8108" w14:textId="77777777" w:rsidR="004C6421" w:rsidRDefault="009D1962">
            <w:pPr>
              <w:pStyle w:val="P68B1DB1-Normal4"/>
              <w:jc w:val="center"/>
              <w:rPr>
                <w:noProof/>
              </w:rPr>
            </w:pPr>
            <w:r>
              <w:rPr>
                <w:noProof/>
              </w:rPr>
              <w:t>II KW.</w:t>
            </w:r>
          </w:p>
        </w:tc>
        <w:tc>
          <w:tcPr>
            <w:tcW w:w="756" w:type="dxa"/>
            <w:shd w:val="clear" w:color="auto" w:fill="C6EFCE"/>
            <w:noWrap/>
            <w:vAlign w:val="center"/>
          </w:tcPr>
          <w:p w14:paraId="3A01E819" w14:textId="77777777" w:rsidR="004C6421" w:rsidRDefault="009D1962">
            <w:pPr>
              <w:pStyle w:val="P68B1DB1-Normal4"/>
              <w:jc w:val="center"/>
              <w:rPr>
                <w:noProof/>
              </w:rPr>
            </w:pPr>
            <w:r>
              <w:rPr>
                <w:noProof/>
              </w:rPr>
              <w:t>2026</w:t>
            </w:r>
          </w:p>
        </w:tc>
        <w:tc>
          <w:tcPr>
            <w:tcW w:w="2793" w:type="dxa"/>
            <w:shd w:val="clear" w:color="auto" w:fill="C6EFCE"/>
            <w:noWrap/>
            <w:vAlign w:val="center"/>
          </w:tcPr>
          <w:p w14:paraId="7631D8E7" w14:textId="77777777" w:rsidR="004C6421" w:rsidRDefault="009D1962">
            <w:pPr>
              <w:pStyle w:val="P68B1DB1-Normal4"/>
              <w:spacing w:after="120"/>
              <w:rPr>
                <w:noProof/>
              </w:rPr>
            </w:pPr>
            <w:r>
              <w:rPr>
                <w:noProof/>
              </w:rPr>
              <w:t>Zakończenie co najmniej 5 interwencji w celu modernizacji infrastruktury (zgodnie z definicją w opisie działania) systemów szybkiego transportu masowego.</w:t>
            </w:r>
          </w:p>
          <w:p w14:paraId="715AFD3E" w14:textId="77777777" w:rsidR="004C6421" w:rsidRDefault="009D1962">
            <w:pPr>
              <w:pStyle w:val="P68B1DB1-Normal4"/>
              <w:rPr>
                <w:noProof/>
              </w:rPr>
            </w:pPr>
            <w:r>
              <w:rPr>
                <w:noProof/>
              </w:rPr>
              <w:t>Po zakończeniu prac planowana infrastruktura musi być operacyjna lub dostępna (w zależności od rodzaju infrastruktury).</w:t>
            </w:r>
          </w:p>
        </w:tc>
      </w:tr>
      <w:tr w:rsidR="004C6421" w14:paraId="5AEFE47A" w14:textId="77777777">
        <w:trPr>
          <w:trHeight w:val="309"/>
          <w:jc w:val="center"/>
        </w:trPr>
        <w:tc>
          <w:tcPr>
            <w:tcW w:w="1613" w:type="dxa"/>
            <w:shd w:val="clear" w:color="auto" w:fill="C6EFCE"/>
            <w:noWrap/>
            <w:vAlign w:val="center"/>
          </w:tcPr>
          <w:p w14:paraId="2E805A76" w14:textId="77777777" w:rsidR="004C6421" w:rsidRDefault="009D1962">
            <w:pPr>
              <w:pStyle w:val="P68B1DB1-Normal4"/>
              <w:jc w:val="center"/>
              <w:rPr>
                <w:noProof/>
              </w:rPr>
            </w:pPr>
            <w:r>
              <w:rPr>
                <w:noProof/>
              </w:rPr>
              <w:t>M2C2-25ter</w:t>
            </w:r>
          </w:p>
        </w:tc>
        <w:tc>
          <w:tcPr>
            <w:tcW w:w="1643" w:type="dxa"/>
            <w:shd w:val="clear" w:color="auto" w:fill="C6EFCE"/>
            <w:noWrap/>
            <w:vAlign w:val="center"/>
          </w:tcPr>
          <w:p w14:paraId="0D1B28A7" w14:textId="77777777" w:rsidR="004C6421" w:rsidRDefault="009D1962">
            <w:pPr>
              <w:pStyle w:val="P68B1DB1-Normal4"/>
              <w:jc w:val="center"/>
              <w:rPr>
                <w:noProof/>
              </w:rPr>
            </w:pPr>
            <w:r>
              <w:rPr>
                <w:noProof/>
              </w:rPr>
              <w:t>Inwestycja 4.2 Rozwój systemów szybkiego transportu masowego</w:t>
            </w:r>
          </w:p>
        </w:tc>
        <w:tc>
          <w:tcPr>
            <w:tcW w:w="1559" w:type="dxa"/>
            <w:shd w:val="clear" w:color="auto" w:fill="C6EFCE"/>
            <w:noWrap/>
            <w:vAlign w:val="center"/>
          </w:tcPr>
          <w:p w14:paraId="65F34297" w14:textId="77777777" w:rsidR="004C6421" w:rsidRDefault="009D1962">
            <w:pPr>
              <w:pStyle w:val="P68B1DB1-Normal4"/>
              <w:jc w:val="center"/>
              <w:rPr>
                <w:noProof/>
              </w:rPr>
            </w:pPr>
            <w:r>
              <w:rPr>
                <w:noProof/>
              </w:rPr>
              <w:t>Cel</w:t>
            </w:r>
          </w:p>
        </w:tc>
        <w:tc>
          <w:tcPr>
            <w:tcW w:w="1559" w:type="dxa"/>
            <w:shd w:val="clear" w:color="auto" w:fill="C6EFCE"/>
            <w:noWrap/>
            <w:vAlign w:val="center"/>
          </w:tcPr>
          <w:p w14:paraId="404E9656" w14:textId="77777777" w:rsidR="004C6421" w:rsidRDefault="009D1962">
            <w:pPr>
              <w:pStyle w:val="P68B1DB1-Normal4"/>
              <w:jc w:val="center"/>
              <w:rPr>
                <w:noProof/>
              </w:rPr>
            </w:pPr>
            <w:r>
              <w:rPr>
                <w:noProof/>
              </w:rPr>
              <w:t>Zakup co najmniej 85 jednostek taboru do szybkiego transportu masowego</w:t>
            </w:r>
          </w:p>
        </w:tc>
        <w:tc>
          <w:tcPr>
            <w:tcW w:w="1843" w:type="dxa"/>
            <w:shd w:val="clear" w:color="auto" w:fill="C6EFCE"/>
            <w:noWrap/>
            <w:vAlign w:val="center"/>
          </w:tcPr>
          <w:p w14:paraId="21EA4845" w14:textId="77777777" w:rsidR="004C6421" w:rsidRDefault="004C6421">
            <w:pPr>
              <w:jc w:val="center"/>
              <w:rPr>
                <w:rFonts w:ascii="Arial Narrow" w:hAnsi="Arial Narrow"/>
                <w:noProof/>
                <w:color w:val="006100"/>
                <w:sz w:val="20"/>
              </w:rPr>
            </w:pPr>
          </w:p>
        </w:tc>
        <w:tc>
          <w:tcPr>
            <w:tcW w:w="1417" w:type="dxa"/>
            <w:shd w:val="clear" w:color="auto" w:fill="C6EFCE"/>
            <w:noWrap/>
            <w:vAlign w:val="center"/>
          </w:tcPr>
          <w:p w14:paraId="33E34F8A" w14:textId="77777777" w:rsidR="004C6421" w:rsidRDefault="009D1962">
            <w:pPr>
              <w:pStyle w:val="P68B1DB1-Normal4"/>
              <w:jc w:val="center"/>
              <w:rPr>
                <w:noProof/>
              </w:rPr>
            </w:pPr>
            <w:r>
              <w:rPr>
                <w:noProof/>
              </w:rPr>
              <w:t>Numer</w:t>
            </w:r>
          </w:p>
        </w:tc>
        <w:tc>
          <w:tcPr>
            <w:tcW w:w="1134" w:type="dxa"/>
            <w:shd w:val="clear" w:color="auto" w:fill="C6EFCE"/>
            <w:noWrap/>
            <w:vAlign w:val="center"/>
          </w:tcPr>
          <w:p w14:paraId="326F3E1F" w14:textId="77777777" w:rsidR="004C6421" w:rsidRDefault="009D1962">
            <w:pPr>
              <w:pStyle w:val="P68B1DB1-Normal4"/>
              <w:jc w:val="center"/>
              <w:rPr>
                <w:noProof/>
              </w:rPr>
            </w:pPr>
            <w:r>
              <w:rPr>
                <w:noProof/>
              </w:rPr>
              <w:t>0</w:t>
            </w:r>
          </w:p>
        </w:tc>
        <w:tc>
          <w:tcPr>
            <w:tcW w:w="946" w:type="dxa"/>
            <w:shd w:val="clear" w:color="auto" w:fill="C6EFCE"/>
            <w:noWrap/>
            <w:vAlign w:val="center"/>
          </w:tcPr>
          <w:p w14:paraId="70AEEEB2" w14:textId="77777777" w:rsidR="004C6421" w:rsidRDefault="009D1962">
            <w:pPr>
              <w:pStyle w:val="P68B1DB1-Normal4"/>
              <w:jc w:val="center"/>
              <w:rPr>
                <w:noProof/>
              </w:rPr>
            </w:pPr>
            <w:r>
              <w:rPr>
                <w:noProof/>
              </w:rPr>
              <w:t>85</w:t>
            </w:r>
          </w:p>
        </w:tc>
        <w:tc>
          <w:tcPr>
            <w:tcW w:w="992" w:type="dxa"/>
            <w:shd w:val="clear" w:color="auto" w:fill="C6EFCE"/>
            <w:noWrap/>
            <w:vAlign w:val="center"/>
          </w:tcPr>
          <w:p w14:paraId="02080ECA" w14:textId="77777777" w:rsidR="004C6421" w:rsidRDefault="009D1962">
            <w:pPr>
              <w:pStyle w:val="P68B1DB1-Normal4"/>
              <w:jc w:val="center"/>
              <w:rPr>
                <w:noProof/>
              </w:rPr>
            </w:pPr>
            <w:r>
              <w:rPr>
                <w:noProof/>
              </w:rPr>
              <w:t>II KW.</w:t>
            </w:r>
          </w:p>
        </w:tc>
        <w:tc>
          <w:tcPr>
            <w:tcW w:w="756" w:type="dxa"/>
            <w:shd w:val="clear" w:color="auto" w:fill="C6EFCE"/>
            <w:noWrap/>
            <w:vAlign w:val="center"/>
          </w:tcPr>
          <w:p w14:paraId="0A2C130F" w14:textId="77777777" w:rsidR="004C6421" w:rsidRDefault="009D1962">
            <w:pPr>
              <w:pStyle w:val="P68B1DB1-Normal4"/>
              <w:jc w:val="center"/>
              <w:rPr>
                <w:noProof/>
              </w:rPr>
            </w:pPr>
            <w:r>
              <w:rPr>
                <w:noProof/>
              </w:rPr>
              <w:t>2026</w:t>
            </w:r>
          </w:p>
        </w:tc>
        <w:tc>
          <w:tcPr>
            <w:tcW w:w="2793" w:type="dxa"/>
            <w:shd w:val="clear" w:color="auto" w:fill="C6EFCE"/>
            <w:noWrap/>
            <w:vAlign w:val="center"/>
          </w:tcPr>
          <w:p w14:paraId="57E3D85A" w14:textId="77777777" w:rsidR="004C6421" w:rsidRDefault="009D1962">
            <w:pPr>
              <w:pStyle w:val="P68B1DB1-Normal4"/>
              <w:rPr>
                <w:noProof/>
              </w:rPr>
            </w:pPr>
            <w:r>
              <w:rPr>
                <w:noProof/>
              </w:rPr>
              <w:t>Zakup co najmniej 85 jednostek taboru bezemisyjnego do szybkiego transportu masowego na obszarach metropolitalnych, jak określono w opisie środka.</w:t>
            </w:r>
          </w:p>
        </w:tc>
      </w:tr>
      <w:tr w:rsidR="004C6421" w14:paraId="4DBBB481" w14:textId="77777777">
        <w:trPr>
          <w:trHeight w:val="309"/>
          <w:jc w:val="center"/>
        </w:trPr>
        <w:tc>
          <w:tcPr>
            <w:tcW w:w="1613" w:type="dxa"/>
            <w:shd w:val="clear" w:color="auto" w:fill="C6EFCE"/>
            <w:noWrap/>
            <w:vAlign w:val="center"/>
          </w:tcPr>
          <w:p w14:paraId="401D0D8A" w14:textId="77777777" w:rsidR="004C6421" w:rsidRDefault="009D1962">
            <w:pPr>
              <w:pStyle w:val="P68B1DB1-Normal4"/>
              <w:jc w:val="center"/>
              <w:rPr>
                <w:noProof/>
              </w:rPr>
            </w:pPr>
            <w:r>
              <w:rPr>
                <w:noProof/>
              </w:rPr>
              <w:t>M2C2-26</w:t>
            </w:r>
          </w:p>
        </w:tc>
        <w:tc>
          <w:tcPr>
            <w:tcW w:w="1643" w:type="dxa"/>
            <w:shd w:val="clear" w:color="auto" w:fill="C6EFCE"/>
            <w:noWrap/>
            <w:vAlign w:val="center"/>
          </w:tcPr>
          <w:p w14:paraId="359D2C38" w14:textId="77777777" w:rsidR="004C6421" w:rsidRDefault="009D1962">
            <w:pPr>
              <w:pStyle w:val="P68B1DB1-Normal4"/>
              <w:jc w:val="center"/>
              <w:rPr>
                <w:noProof/>
              </w:rPr>
            </w:pPr>
            <w:r>
              <w:rPr>
                <w:noProof/>
              </w:rPr>
              <w:t>Inwestycja 4.2 Rozwój systemów szybkiego transportu masowego</w:t>
            </w:r>
          </w:p>
        </w:tc>
        <w:tc>
          <w:tcPr>
            <w:tcW w:w="1559" w:type="dxa"/>
            <w:shd w:val="clear" w:color="auto" w:fill="C6EFCE"/>
            <w:noWrap/>
            <w:vAlign w:val="center"/>
          </w:tcPr>
          <w:p w14:paraId="69B625F3" w14:textId="77777777" w:rsidR="004C6421" w:rsidRDefault="009D1962">
            <w:pPr>
              <w:pStyle w:val="P68B1DB1-Normal4"/>
              <w:jc w:val="center"/>
              <w:rPr>
                <w:noProof/>
              </w:rPr>
            </w:pPr>
            <w:r>
              <w:rPr>
                <w:noProof/>
              </w:rPr>
              <w:t>Cel</w:t>
            </w:r>
          </w:p>
        </w:tc>
        <w:tc>
          <w:tcPr>
            <w:tcW w:w="1559" w:type="dxa"/>
            <w:shd w:val="clear" w:color="auto" w:fill="C6EFCE"/>
            <w:noWrap/>
            <w:vAlign w:val="center"/>
          </w:tcPr>
          <w:p w14:paraId="0BDAD1AB" w14:textId="77777777" w:rsidR="004C6421" w:rsidRDefault="009D1962">
            <w:pPr>
              <w:pStyle w:val="P68B1DB1-Normal4"/>
              <w:jc w:val="center"/>
              <w:rPr>
                <w:noProof/>
              </w:rPr>
            </w:pPr>
            <w:r>
              <w:rPr>
                <w:noProof/>
              </w:rPr>
              <w:t>Liczba km infrastruktury transportu publicznego</w:t>
            </w:r>
          </w:p>
        </w:tc>
        <w:tc>
          <w:tcPr>
            <w:tcW w:w="1843" w:type="dxa"/>
            <w:shd w:val="clear" w:color="auto" w:fill="C6EFCE"/>
            <w:noWrap/>
            <w:vAlign w:val="center"/>
          </w:tcPr>
          <w:p w14:paraId="64AA404C" w14:textId="77777777" w:rsidR="004C6421" w:rsidRDefault="009D1962">
            <w:pPr>
              <w:pStyle w:val="P68B1DB1-Normal4"/>
              <w:jc w:val="center"/>
              <w:rPr>
                <w:noProof/>
              </w:rPr>
            </w:pPr>
            <w:r>
              <w:rPr>
                <w:noProof/>
              </w:rPr>
              <w:t>NIE DOT.</w:t>
            </w:r>
          </w:p>
        </w:tc>
        <w:tc>
          <w:tcPr>
            <w:tcW w:w="1417" w:type="dxa"/>
            <w:shd w:val="clear" w:color="auto" w:fill="C6EFCE"/>
            <w:noWrap/>
            <w:vAlign w:val="center"/>
          </w:tcPr>
          <w:p w14:paraId="72717FC5" w14:textId="77777777" w:rsidR="004C6421" w:rsidRDefault="009D1962">
            <w:pPr>
              <w:pStyle w:val="P68B1DB1-Normal4"/>
              <w:jc w:val="center"/>
              <w:rPr>
                <w:noProof/>
              </w:rPr>
            </w:pPr>
            <w:r>
              <w:rPr>
                <w:noProof/>
              </w:rPr>
              <w:t>kilometry</w:t>
            </w:r>
          </w:p>
        </w:tc>
        <w:tc>
          <w:tcPr>
            <w:tcW w:w="1134" w:type="dxa"/>
            <w:shd w:val="clear" w:color="auto" w:fill="C6EFCE"/>
            <w:noWrap/>
            <w:vAlign w:val="center"/>
          </w:tcPr>
          <w:p w14:paraId="073F9272" w14:textId="77777777" w:rsidR="004C6421" w:rsidRDefault="009D1962">
            <w:pPr>
              <w:pStyle w:val="P68B1DB1-Normal4"/>
              <w:jc w:val="center"/>
              <w:rPr>
                <w:noProof/>
              </w:rPr>
            </w:pPr>
            <w:r>
              <w:rPr>
                <w:noProof/>
              </w:rPr>
              <w:t>0</w:t>
            </w:r>
          </w:p>
        </w:tc>
        <w:tc>
          <w:tcPr>
            <w:tcW w:w="946" w:type="dxa"/>
            <w:shd w:val="clear" w:color="auto" w:fill="C6EFCE"/>
            <w:noWrap/>
            <w:vAlign w:val="center"/>
          </w:tcPr>
          <w:p w14:paraId="2CE1C5DB" w14:textId="77777777" w:rsidR="004C6421" w:rsidRDefault="009D1962">
            <w:pPr>
              <w:pStyle w:val="P68B1DB1-Normal4"/>
              <w:jc w:val="center"/>
              <w:rPr>
                <w:noProof/>
              </w:rPr>
            </w:pPr>
            <w:r>
              <w:rPr>
                <w:noProof/>
              </w:rPr>
              <w:t>231</w:t>
            </w:r>
          </w:p>
        </w:tc>
        <w:tc>
          <w:tcPr>
            <w:tcW w:w="992" w:type="dxa"/>
            <w:shd w:val="clear" w:color="auto" w:fill="C6EFCE"/>
            <w:noWrap/>
            <w:vAlign w:val="center"/>
          </w:tcPr>
          <w:p w14:paraId="6C701D00" w14:textId="77777777" w:rsidR="004C6421" w:rsidRDefault="009D1962">
            <w:pPr>
              <w:pStyle w:val="P68B1DB1-Normal4"/>
              <w:jc w:val="center"/>
              <w:rPr>
                <w:noProof/>
              </w:rPr>
            </w:pPr>
            <w:r>
              <w:rPr>
                <w:noProof/>
              </w:rPr>
              <w:t>II KW.</w:t>
            </w:r>
          </w:p>
        </w:tc>
        <w:tc>
          <w:tcPr>
            <w:tcW w:w="756" w:type="dxa"/>
            <w:shd w:val="clear" w:color="auto" w:fill="C6EFCE"/>
            <w:noWrap/>
            <w:vAlign w:val="center"/>
          </w:tcPr>
          <w:p w14:paraId="24157CEB" w14:textId="77777777" w:rsidR="004C6421" w:rsidRDefault="009D1962">
            <w:pPr>
              <w:pStyle w:val="P68B1DB1-Normal4"/>
              <w:jc w:val="center"/>
              <w:rPr>
                <w:noProof/>
              </w:rPr>
            </w:pPr>
            <w:r>
              <w:rPr>
                <w:noProof/>
              </w:rPr>
              <w:t>2026</w:t>
            </w:r>
          </w:p>
        </w:tc>
        <w:tc>
          <w:tcPr>
            <w:tcW w:w="2793" w:type="dxa"/>
            <w:shd w:val="clear" w:color="auto" w:fill="C6EFCE"/>
            <w:noWrap/>
            <w:vAlign w:val="center"/>
          </w:tcPr>
          <w:p w14:paraId="6765F6D8" w14:textId="77777777" w:rsidR="004C6421" w:rsidRDefault="009D1962">
            <w:pPr>
              <w:pStyle w:val="P68B1DB1-Normal4"/>
              <w:rPr>
                <w:noProof/>
              </w:rPr>
            </w:pPr>
            <w:r>
              <w:rPr>
                <w:noProof/>
              </w:rPr>
              <w:t xml:space="preserve">Budowa co najmniej 231 km infrastruktury transportu publicznego na miejskich obszarach funkcjonalnych, jak określono w opisie środka. </w:t>
            </w:r>
          </w:p>
        </w:tc>
      </w:tr>
      <w:tr w:rsidR="004C6421" w14:paraId="560792D5" w14:textId="77777777">
        <w:trPr>
          <w:trHeight w:val="309"/>
          <w:jc w:val="center"/>
        </w:trPr>
        <w:tc>
          <w:tcPr>
            <w:tcW w:w="1613" w:type="dxa"/>
            <w:shd w:val="clear" w:color="auto" w:fill="C6EFCE"/>
            <w:noWrap/>
            <w:vAlign w:val="center"/>
          </w:tcPr>
          <w:p w14:paraId="35089241" w14:textId="77777777" w:rsidR="004C6421" w:rsidRDefault="009D1962">
            <w:pPr>
              <w:pStyle w:val="P68B1DB1-Normal4"/>
              <w:jc w:val="center"/>
              <w:rPr>
                <w:noProof/>
              </w:rPr>
            </w:pPr>
            <w:r>
              <w:rPr>
                <w:noProof/>
              </w:rPr>
              <w:t>M2C2-31</w:t>
            </w:r>
          </w:p>
        </w:tc>
        <w:tc>
          <w:tcPr>
            <w:tcW w:w="1643" w:type="dxa"/>
            <w:shd w:val="clear" w:color="auto" w:fill="C6EFCE"/>
            <w:noWrap/>
            <w:vAlign w:val="center"/>
          </w:tcPr>
          <w:p w14:paraId="24DF95D7" w14:textId="77777777" w:rsidR="004C6421" w:rsidRDefault="009D1962">
            <w:pPr>
              <w:pStyle w:val="P68B1DB1-Normal4"/>
              <w:jc w:val="center"/>
              <w:rPr>
                <w:noProof/>
              </w:rPr>
            </w:pPr>
            <w:r>
              <w:rPr>
                <w:noProof/>
              </w:rPr>
              <w:t>Inwestycja 4.4.3: Odnowienie floty na potrzeby dowództwa Krajowej Straży Pożarnej</w:t>
            </w:r>
          </w:p>
        </w:tc>
        <w:tc>
          <w:tcPr>
            <w:tcW w:w="1559" w:type="dxa"/>
            <w:shd w:val="clear" w:color="auto" w:fill="C6EFCE"/>
            <w:noWrap/>
            <w:vAlign w:val="center"/>
          </w:tcPr>
          <w:p w14:paraId="308424DC" w14:textId="237F8F14" w:rsidR="004C6421" w:rsidRDefault="00CC179E">
            <w:pPr>
              <w:pStyle w:val="P68B1DB1-Normal4"/>
              <w:jc w:val="center"/>
              <w:rPr>
                <w:noProof/>
              </w:rPr>
            </w:pPr>
            <w:r>
              <w:rPr>
                <w:noProof/>
              </w:rPr>
              <w:t>Milowy</w:t>
            </w:r>
          </w:p>
        </w:tc>
        <w:tc>
          <w:tcPr>
            <w:tcW w:w="1559" w:type="dxa"/>
            <w:shd w:val="clear" w:color="auto" w:fill="C6EFCE"/>
            <w:noWrap/>
            <w:vAlign w:val="center"/>
          </w:tcPr>
          <w:p w14:paraId="5886D7E6" w14:textId="77777777" w:rsidR="004C6421" w:rsidRDefault="009D1962">
            <w:pPr>
              <w:pStyle w:val="P68B1DB1-Normal4"/>
              <w:jc w:val="center"/>
              <w:rPr>
                <w:noProof/>
              </w:rPr>
            </w:pPr>
            <w:r>
              <w:rPr>
                <w:noProof/>
              </w:rPr>
              <w:t>Udzielanie wszystkich zamówień publicznych na odnowienie floty dla dowództwa Krajowej Straży Pożarnej</w:t>
            </w:r>
          </w:p>
        </w:tc>
        <w:tc>
          <w:tcPr>
            <w:tcW w:w="1843" w:type="dxa"/>
            <w:shd w:val="clear" w:color="auto" w:fill="C6EFCE"/>
            <w:noWrap/>
            <w:vAlign w:val="center"/>
          </w:tcPr>
          <w:p w14:paraId="48157370" w14:textId="77777777" w:rsidR="004C6421" w:rsidRDefault="009D1962">
            <w:pPr>
              <w:pStyle w:val="P68B1DB1-Normal4"/>
              <w:jc w:val="center"/>
              <w:rPr>
                <w:noProof/>
              </w:rPr>
            </w:pPr>
            <w:r>
              <w:rPr>
                <w:noProof/>
              </w:rPr>
              <w:t>Powiadomienie o udzieleniu wszystkich zamówień na odnowienie floty dla dowództwa Krajowej Straży Pożarnej NIE DOT.</w:t>
            </w:r>
          </w:p>
        </w:tc>
        <w:tc>
          <w:tcPr>
            <w:tcW w:w="1417" w:type="dxa"/>
            <w:shd w:val="clear" w:color="auto" w:fill="C6EFCE"/>
            <w:noWrap/>
            <w:vAlign w:val="center"/>
          </w:tcPr>
          <w:p w14:paraId="79FA6434"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15E31AE6" w14:textId="77777777" w:rsidR="004C6421" w:rsidRDefault="009D1962">
            <w:pPr>
              <w:pStyle w:val="P68B1DB1-Normal4"/>
              <w:jc w:val="center"/>
              <w:rPr>
                <w:noProof/>
              </w:rPr>
            </w:pPr>
            <w:r>
              <w:rPr>
                <w:noProof/>
              </w:rPr>
              <w:t>NIE DOT.</w:t>
            </w:r>
          </w:p>
        </w:tc>
        <w:tc>
          <w:tcPr>
            <w:tcW w:w="946" w:type="dxa"/>
            <w:shd w:val="clear" w:color="auto" w:fill="C6EFCE"/>
            <w:noWrap/>
            <w:vAlign w:val="center"/>
          </w:tcPr>
          <w:p w14:paraId="448BB4B5" w14:textId="77777777" w:rsidR="004C6421" w:rsidRDefault="009D1962">
            <w:pPr>
              <w:pStyle w:val="P68B1DB1-Normal4"/>
              <w:jc w:val="center"/>
              <w:rPr>
                <w:noProof/>
              </w:rPr>
            </w:pPr>
            <w:r>
              <w:rPr>
                <w:noProof/>
              </w:rPr>
              <w:t>NIE DOTYCZY</w:t>
            </w:r>
          </w:p>
        </w:tc>
        <w:tc>
          <w:tcPr>
            <w:tcW w:w="992" w:type="dxa"/>
            <w:shd w:val="clear" w:color="auto" w:fill="C6EFCE"/>
            <w:noWrap/>
            <w:vAlign w:val="center"/>
          </w:tcPr>
          <w:p w14:paraId="3EA064B6" w14:textId="77777777" w:rsidR="004C6421" w:rsidRDefault="009D1962">
            <w:pPr>
              <w:pStyle w:val="P68B1DB1-Normal4"/>
              <w:jc w:val="center"/>
              <w:rPr>
                <w:noProof/>
              </w:rPr>
            </w:pPr>
            <w:r>
              <w:rPr>
                <w:noProof/>
              </w:rPr>
              <w:t>II KW.</w:t>
            </w:r>
          </w:p>
        </w:tc>
        <w:tc>
          <w:tcPr>
            <w:tcW w:w="756" w:type="dxa"/>
            <w:shd w:val="clear" w:color="auto" w:fill="C6EFCE"/>
            <w:noWrap/>
            <w:vAlign w:val="center"/>
          </w:tcPr>
          <w:p w14:paraId="2A44759B" w14:textId="77777777" w:rsidR="004C6421" w:rsidRDefault="009D1962">
            <w:pPr>
              <w:pStyle w:val="P68B1DB1-Normal4"/>
              <w:jc w:val="center"/>
              <w:rPr>
                <w:noProof/>
              </w:rPr>
            </w:pPr>
            <w:r>
              <w:rPr>
                <w:noProof/>
              </w:rPr>
              <w:t>2024</w:t>
            </w:r>
          </w:p>
        </w:tc>
        <w:tc>
          <w:tcPr>
            <w:tcW w:w="2793" w:type="dxa"/>
            <w:shd w:val="clear" w:color="auto" w:fill="C6EFCE"/>
            <w:noWrap/>
            <w:vAlign w:val="center"/>
          </w:tcPr>
          <w:p w14:paraId="1F608CD5" w14:textId="77777777" w:rsidR="004C6421" w:rsidRDefault="009D1962">
            <w:pPr>
              <w:pStyle w:val="P68B1DB1-Normal4"/>
              <w:rPr>
                <w:noProof/>
              </w:rPr>
            </w:pPr>
            <w:r>
              <w:rPr>
                <w:noProof/>
              </w:rPr>
              <w:t>Powiadomienie o udzieleniu wszystkich zamówień publicznych na zakup krajowych pojazdów straży pożarnej.</w:t>
            </w:r>
          </w:p>
        </w:tc>
      </w:tr>
      <w:tr w:rsidR="004C6421" w14:paraId="76BA1F0F" w14:textId="77777777">
        <w:trPr>
          <w:trHeight w:val="309"/>
          <w:jc w:val="center"/>
        </w:trPr>
        <w:tc>
          <w:tcPr>
            <w:tcW w:w="1613" w:type="dxa"/>
            <w:shd w:val="clear" w:color="auto" w:fill="C6EFCE"/>
            <w:noWrap/>
            <w:vAlign w:val="center"/>
          </w:tcPr>
          <w:p w14:paraId="7B98CBD8" w14:textId="77777777" w:rsidR="004C6421" w:rsidRDefault="009D1962">
            <w:pPr>
              <w:pStyle w:val="P68B1DB1-Normal4"/>
              <w:jc w:val="center"/>
              <w:rPr>
                <w:noProof/>
              </w:rPr>
            </w:pPr>
            <w:r>
              <w:rPr>
                <w:noProof/>
              </w:rPr>
              <w:t>M2C2-32</w:t>
            </w:r>
          </w:p>
        </w:tc>
        <w:tc>
          <w:tcPr>
            <w:tcW w:w="1643" w:type="dxa"/>
            <w:shd w:val="clear" w:color="auto" w:fill="C6EFCE"/>
            <w:noWrap/>
            <w:vAlign w:val="center"/>
          </w:tcPr>
          <w:p w14:paraId="2FD10ED6" w14:textId="77777777" w:rsidR="004C6421" w:rsidRDefault="009D1962">
            <w:pPr>
              <w:pStyle w:val="P68B1DB1-Normal4"/>
              <w:jc w:val="center"/>
              <w:rPr>
                <w:noProof/>
              </w:rPr>
            </w:pPr>
            <w:r>
              <w:rPr>
                <w:noProof/>
              </w:rPr>
              <w:t>Inwestycja 4.4.1: Wzmocnienie floty autobusów transportu publicznego bezemisyjnymi niskopodłogowymi autobusami</w:t>
            </w:r>
          </w:p>
        </w:tc>
        <w:tc>
          <w:tcPr>
            <w:tcW w:w="1559" w:type="dxa"/>
            <w:shd w:val="clear" w:color="auto" w:fill="C6EFCE"/>
            <w:noWrap/>
            <w:vAlign w:val="center"/>
          </w:tcPr>
          <w:p w14:paraId="0232FAD7" w14:textId="6FA0C9A1" w:rsidR="004C6421" w:rsidRDefault="00CC179E">
            <w:pPr>
              <w:pStyle w:val="P68B1DB1-Normal4"/>
              <w:jc w:val="center"/>
              <w:rPr>
                <w:noProof/>
              </w:rPr>
            </w:pPr>
            <w:r>
              <w:rPr>
                <w:noProof/>
              </w:rPr>
              <w:t>Milowy</w:t>
            </w:r>
          </w:p>
        </w:tc>
        <w:tc>
          <w:tcPr>
            <w:tcW w:w="1559" w:type="dxa"/>
            <w:shd w:val="clear" w:color="auto" w:fill="C6EFCE"/>
            <w:noWrap/>
            <w:vAlign w:val="center"/>
          </w:tcPr>
          <w:p w14:paraId="78CDCE70" w14:textId="77777777" w:rsidR="004C6421" w:rsidRDefault="009D1962">
            <w:pPr>
              <w:pStyle w:val="P68B1DB1-Normal4"/>
              <w:jc w:val="center"/>
              <w:rPr>
                <w:noProof/>
              </w:rPr>
            </w:pPr>
            <w:r>
              <w:rPr>
                <w:noProof/>
              </w:rPr>
              <w:t>Udzielanie wszystkich zamówień publicznych na wzmocnienie floty autobusów transportu publicznego bezemisyjnego niskopodłogowymi autobusami</w:t>
            </w:r>
          </w:p>
        </w:tc>
        <w:tc>
          <w:tcPr>
            <w:tcW w:w="1843" w:type="dxa"/>
            <w:shd w:val="clear" w:color="auto" w:fill="C6EFCE"/>
            <w:noWrap/>
            <w:vAlign w:val="center"/>
          </w:tcPr>
          <w:p w14:paraId="0A7591B5" w14:textId="77777777" w:rsidR="004C6421" w:rsidRDefault="009D1962">
            <w:pPr>
              <w:pStyle w:val="P68B1DB1-Normal4"/>
              <w:jc w:val="center"/>
              <w:rPr>
                <w:noProof/>
              </w:rPr>
            </w:pPr>
            <w:r>
              <w:rPr>
                <w:noProof/>
              </w:rPr>
              <w:t xml:space="preserve">Powiadomienie o udzieleniu wszystkich zamówień </w:t>
            </w:r>
          </w:p>
        </w:tc>
        <w:tc>
          <w:tcPr>
            <w:tcW w:w="1417" w:type="dxa"/>
            <w:shd w:val="clear" w:color="auto" w:fill="C6EFCE"/>
            <w:noWrap/>
            <w:vAlign w:val="center"/>
          </w:tcPr>
          <w:p w14:paraId="5B639043"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15A24D6F" w14:textId="77777777" w:rsidR="004C6421" w:rsidRDefault="009D1962">
            <w:pPr>
              <w:pStyle w:val="P68B1DB1-Normal4"/>
              <w:jc w:val="center"/>
              <w:rPr>
                <w:noProof/>
              </w:rPr>
            </w:pPr>
            <w:r>
              <w:rPr>
                <w:noProof/>
              </w:rPr>
              <w:t>NIE DOT.</w:t>
            </w:r>
          </w:p>
        </w:tc>
        <w:tc>
          <w:tcPr>
            <w:tcW w:w="946" w:type="dxa"/>
            <w:shd w:val="clear" w:color="auto" w:fill="C6EFCE"/>
            <w:noWrap/>
            <w:vAlign w:val="center"/>
          </w:tcPr>
          <w:p w14:paraId="0E814ECE" w14:textId="77777777" w:rsidR="004C6421" w:rsidRDefault="009D1962">
            <w:pPr>
              <w:pStyle w:val="P68B1DB1-Normal4"/>
              <w:jc w:val="center"/>
              <w:rPr>
                <w:noProof/>
              </w:rPr>
            </w:pPr>
            <w:r>
              <w:rPr>
                <w:noProof/>
              </w:rPr>
              <w:t>NIE DOT.</w:t>
            </w:r>
          </w:p>
        </w:tc>
        <w:tc>
          <w:tcPr>
            <w:tcW w:w="992" w:type="dxa"/>
            <w:shd w:val="clear" w:color="auto" w:fill="C6EFCE"/>
            <w:noWrap/>
            <w:vAlign w:val="center"/>
          </w:tcPr>
          <w:p w14:paraId="11B8E026" w14:textId="06641DC1" w:rsidR="004C6421" w:rsidRDefault="00CC179E">
            <w:pPr>
              <w:pStyle w:val="P68B1DB1-Normal4"/>
              <w:jc w:val="center"/>
              <w:rPr>
                <w:noProof/>
              </w:rPr>
            </w:pPr>
            <w:r>
              <w:rPr>
                <w:noProof/>
              </w:rPr>
              <w:t>KW. 4</w:t>
            </w:r>
          </w:p>
        </w:tc>
        <w:tc>
          <w:tcPr>
            <w:tcW w:w="756" w:type="dxa"/>
            <w:shd w:val="clear" w:color="auto" w:fill="C6EFCE"/>
            <w:noWrap/>
            <w:vAlign w:val="center"/>
          </w:tcPr>
          <w:p w14:paraId="7C7BC4D4" w14:textId="77777777" w:rsidR="004C6421" w:rsidRDefault="009D1962">
            <w:pPr>
              <w:pStyle w:val="P68B1DB1-Normal4"/>
              <w:jc w:val="center"/>
              <w:rPr>
                <w:noProof/>
              </w:rPr>
            </w:pPr>
            <w:r>
              <w:rPr>
                <w:noProof/>
              </w:rPr>
              <w:t>2023</w:t>
            </w:r>
          </w:p>
        </w:tc>
        <w:tc>
          <w:tcPr>
            <w:tcW w:w="2793" w:type="dxa"/>
            <w:shd w:val="clear" w:color="auto" w:fill="C6EFCE"/>
            <w:noWrap/>
            <w:vAlign w:val="center"/>
          </w:tcPr>
          <w:p w14:paraId="333AED9B" w14:textId="77777777" w:rsidR="004C6421" w:rsidRDefault="009D1962">
            <w:pPr>
              <w:pStyle w:val="P68B1DB1-Normal4"/>
              <w:rPr>
                <w:noProof/>
              </w:rPr>
            </w:pPr>
            <w:r>
              <w:rPr>
                <w:noProof/>
              </w:rPr>
              <w:t>Powiadomienie o udzieleniu zamówień publicznych na nabycie co najmniej 3000 bezemisyjnych autobusów niskopodłogowych.</w:t>
            </w:r>
          </w:p>
        </w:tc>
      </w:tr>
      <w:tr w:rsidR="004C6421" w14:paraId="13542467" w14:textId="77777777">
        <w:trPr>
          <w:trHeight w:val="309"/>
          <w:jc w:val="center"/>
        </w:trPr>
        <w:tc>
          <w:tcPr>
            <w:tcW w:w="1613" w:type="dxa"/>
            <w:shd w:val="clear" w:color="auto" w:fill="C6EFCE"/>
            <w:noWrap/>
            <w:vAlign w:val="center"/>
          </w:tcPr>
          <w:p w14:paraId="5D4674CA" w14:textId="77777777" w:rsidR="004C6421" w:rsidRDefault="009D1962">
            <w:pPr>
              <w:pStyle w:val="P68B1DB1-Normal4"/>
              <w:jc w:val="center"/>
              <w:rPr>
                <w:noProof/>
              </w:rPr>
            </w:pPr>
            <w:r>
              <w:rPr>
                <w:noProof/>
              </w:rPr>
              <w:t>M2C2-34</w:t>
            </w:r>
          </w:p>
        </w:tc>
        <w:tc>
          <w:tcPr>
            <w:tcW w:w="1643" w:type="dxa"/>
            <w:shd w:val="clear" w:color="auto" w:fill="C6EFCE"/>
            <w:noWrap/>
            <w:vAlign w:val="center"/>
          </w:tcPr>
          <w:p w14:paraId="72FB4A6A" w14:textId="77777777" w:rsidR="004C6421" w:rsidRDefault="009D1962">
            <w:pPr>
              <w:pStyle w:val="P68B1DB1-Normal4"/>
              <w:jc w:val="center"/>
              <w:rPr>
                <w:noProof/>
              </w:rPr>
            </w:pPr>
            <w:r>
              <w:rPr>
                <w:noProof/>
              </w:rPr>
              <w:t>Inwestycja 4.4.1: Wzmocnienie floty autobusów transportu publicznego bezemisyjnymi niskopodłogowymi autobusami</w:t>
            </w:r>
          </w:p>
        </w:tc>
        <w:tc>
          <w:tcPr>
            <w:tcW w:w="1559" w:type="dxa"/>
            <w:shd w:val="clear" w:color="auto" w:fill="C6EFCE"/>
            <w:noWrap/>
            <w:vAlign w:val="center"/>
          </w:tcPr>
          <w:p w14:paraId="2D62A6F7" w14:textId="77777777" w:rsidR="004C6421" w:rsidRDefault="009D1962">
            <w:pPr>
              <w:pStyle w:val="P68B1DB1-Normal4"/>
              <w:jc w:val="center"/>
              <w:rPr>
                <w:noProof/>
              </w:rPr>
            </w:pPr>
            <w:r>
              <w:rPr>
                <w:noProof/>
              </w:rPr>
              <w:t>Cel</w:t>
            </w:r>
          </w:p>
        </w:tc>
        <w:tc>
          <w:tcPr>
            <w:tcW w:w="1559" w:type="dxa"/>
            <w:shd w:val="clear" w:color="auto" w:fill="C6EFCE"/>
            <w:noWrap/>
            <w:vAlign w:val="center"/>
          </w:tcPr>
          <w:p w14:paraId="3CAC1F48" w14:textId="77777777" w:rsidR="004C6421" w:rsidRDefault="009D1962">
            <w:pPr>
              <w:pStyle w:val="P68B1DB1-Normal4"/>
              <w:jc w:val="center"/>
              <w:rPr>
                <w:noProof/>
              </w:rPr>
            </w:pPr>
            <w:r>
              <w:rPr>
                <w:noProof/>
              </w:rPr>
              <w:t>Liczba bezemisyjnych autobusów niskopodłogowych zakupionych T1</w:t>
            </w:r>
          </w:p>
        </w:tc>
        <w:tc>
          <w:tcPr>
            <w:tcW w:w="1843" w:type="dxa"/>
            <w:shd w:val="clear" w:color="auto" w:fill="C6EFCE"/>
            <w:noWrap/>
            <w:vAlign w:val="center"/>
          </w:tcPr>
          <w:p w14:paraId="3238E6EC" w14:textId="77777777" w:rsidR="004C6421" w:rsidRDefault="009D1962">
            <w:pPr>
              <w:pStyle w:val="P68B1DB1-Normal4"/>
              <w:jc w:val="center"/>
              <w:rPr>
                <w:noProof/>
              </w:rPr>
            </w:pPr>
            <w:r>
              <w:rPr>
                <w:noProof/>
              </w:rPr>
              <w:t>NIE DOT.</w:t>
            </w:r>
          </w:p>
        </w:tc>
        <w:tc>
          <w:tcPr>
            <w:tcW w:w="1417" w:type="dxa"/>
            <w:shd w:val="clear" w:color="auto" w:fill="C6EFCE"/>
            <w:noWrap/>
            <w:vAlign w:val="center"/>
          </w:tcPr>
          <w:p w14:paraId="4BFFB670" w14:textId="77777777" w:rsidR="004C6421" w:rsidRDefault="009D1962">
            <w:pPr>
              <w:pStyle w:val="P68B1DB1-Normal4"/>
              <w:jc w:val="center"/>
              <w:rPr>
                <w:noProof/>
              </w:rPr>
            </w:pPr>
            <w:r>
              <w:rPr>
                <w:noProof/>
              </w:rPr>
              <w:t>Numer</w:t>
            </w:r>
          </w:p>
        </w:tc>
        <w:tc>
          <w:tcPr>
            <w:tcW w:w="1134" w:type="dxa"/>
            <w:shd w:val="clear" w:color="auto" w:fill="C6EFCE"/>
            <w:noWrap/>
            <w:vAlign w:val="center"/>
          </w:tcPr>
          <w:p w14:paraId="2C06C433" w14:textId="77777777" w:rsidR="004C6421" w:rsidRDefault="009D1962">
            <w:pPr>
              <w:pStyle w:val="P68B1DB1-Normal4"/>
              <w:jc w:val="center"/>
              <w:rPr>
                <w:noProof/>
              </w:rPr>
            </w:pPr>
            <w:r>
              <w:rPr>
                <w:noProof/>
              </w:rPr>
              <w:t>0</w:t>
            </w:r>
          </w:p>
        </w:tc>
        <w:tc>
          <w:tcPr>
            <w:tcW w:w="946" w:type="dxa"/>
            <w:shd w:val="clear" w:color="auto" w:fill="C6EFCE"/>
            <w:noWrap/>
            <w:vAlign w:val="center"/>
          </w:tcPr>
          <w:p w14:paraId="1AA1A661" w14:textId="77777777" w:rsidR="004C6421" w:rsidRDefault="009D1962">
            <w:pPr>
              <w:pStyle w:val="P68B1DB1-Normal4"/>
              <w:jc w:val="center"/>
              <w:rPr>
                <w:noProof/>
              </w:rPr>
            </w:pPr>
            <w:r>
              <w:rPr>
                <w:noProof/>
              </w:rPr>
              <w:t>800</w:t>
            </w:r>
          </w:p>
        </w:tc>
        <w:tc>
          <w:tcPr>
            <w:tcW w:w="992" w:type="dxa"/>
            <w:shd w:val="clear" w:color="auto" w:fill="C6EFCE"/>
            <w:noWrap/>
            <w:vAlign w:val="center"/>
          </w:tcPr>
          <w:p w14:paraId="4678A683" w14:textId="49D616C1" w:rsidR="004C6421" w:rsidRDefault="00CC179E">
            <w:pPr>
              <w:pStyle w:val="P68B1DB1-Normal4"/>
              <w:jc w:val="center"/>
              <w:rPr>
                <w:noProof/>
              </w:rPr>
            </w:pPr>
            <w:r>
              <w:rPr>
                <w:noProof/>
              </w:rPr>
              <w:t>KW. 4</w:t>
            </w:r>
          </w:p>
        </w:tc>
        <w:tc>
          <w:tcPr>
            <w:tcW w:w="756" w:type="dxa"/>
            <w:shd w:val="clear" w:color="auto" w:fill="C6EFCE"/>
            <w:noWrap/>
            <w:vAlign w:val="center"/>
          </w:tcPr>
          <w:p w14:paraId="1D98D02D" w14:textId="77777777" w:rsidR="004C6421" w:rsidRDefault="009D1962">
            <w:pPr>
              <w:pStyle w:val="P68B1DB1-Normal4"/>
              <w:jc w:val="center"/>
              <w:rPr>
                <w:noProof/>
              </w:rPr>
            </w:pPr>
            <w:r>
              <w:rPr>
                <w:noProof/>
              </w:rPr>
              <w:t>2024</w:t>
            </w:r>
          </w:p>
        </w:tc>
        <w:tc>
          <w:tcPr>
            <w:tcW w:w="2793" w:type="dxa"/>
            <w:shd w:val="clear" w:color="auto" w:fill="C6EFCE"/>
            <w:noWrap/>
            <w:vAlign w:val="center"/>
          </w:tcPr>
          <w:p w14:paraId="0A7706FF" w14:textId="77777777" w:rsidR="004C6421" w:rsidRDefault="009D1962">
            <w:pPr>
              <w:pStyle w:val="P68B1DB1-Normal4"/>
              <w:rPr>
                <w:noProof/>
              </w:rPr>
            </w:pPr>
            <w:r>
              <w:rPr>
                <w:noProof/>
              </w:rPr>
              <w:t>Zakup co najmniej 800 bezemisyjnych autobusów niskopodłogowych zamówionych w ramach M2C2-32 w celu wzmocnienia odpowiedniej floty.</w:t>
            </w:r>
          </w:p>
        </w:tc>
      </w:tr>
      <w:tr w:rsidR="004C6421" w14:paraId="526CE60B" w14:textId="77777777">
        <w:trPr>
          <w:trHeight w:val="309"/>
          <w:jc w:val="center"/>
        </w:trPr>
        <w:tc>
          <w:tcPr>
            <w:tcW w:w="1613" w:type="dxa"/>
            <w:shd w:val="clear" w:color="auto" w:fill="C6EFCE"/>
            <w:noWrap/>
            <w:vAlign w:val="center"/>
          </w:tcPr>
          <w:p w14:paraId="1E054D00" w14:textId="77777777" w:rsidR="004C6421" w:rsidRDefault="009D1962">
            <w:pPr>
              <w:pStyle w:val="P68B1DB1-Normal4"/>
              <w:jc w:val="center"/>
              <w:rPr>
                <w:noProof/>
              </w:rPr>
            </w:pPr>
            <w:r>
              <w:rPr>
                <w:noProof/>
              </w:rPr>
              <w:t>M2C2-34 Bis</w:t>
            </w:r>
          </w:p>
        </w:tc>
        <w:tc>
          <w:tcPr>
            <w:tcW w:w="1643" w:type="dxa"/>
            <w:shd w:val="clear" w:color="auto" w:fill="C6EFCE"/>
            <w:noWrap/>
            <w:vAlign w:val="center"/>
          </w:tcPr>
          <w:p w14:paraId="4C67BAB6" w14:textId="77777777" w:rsidR="004C6421" w:rsidRDefault="009D1962">
            <w:pPr>
              <w:pStyle w:val="P68B1DB1-Normal4"/>
              <w:jc w:val="center"/>
              <w:rPr>
                <w:noProof/>
              </w:rPr>
            </w:pPr>
            <w:r>
              <w:rPr>
                <w:noProof/>
              </w:rPr>
              <w:t>Inwestycja 4.4.2:  Wzmocnienie regionalnego taboru kolejowego transportu publicznego z pociągami bezemisyjnymi i usługą powszechną</w:t>
            </w:r>
          </w:p>
        </w:tc>
        <w:tc>
          <w:tcPr>
            <w:tcW w:w="1559" w:type="dxa"/>
            <w:shd w:val="clear" w:color="auto" w:fill="C6EFCE"/>
            <w:noWrap/>
            <w:vAlign w:val="center"/>
          </w:tcPr>
          <w:p w14:paraId="4272BD6C" w14:textId="77777777" w:rsidR="004C6421" w:rsidRDefault="009D1962">
            <w:pPr>
              <w:pStyle w:val="P68B1DB1-Normal4"/>
              <w:jc w:val="center"/>
              <w:rPr>
                <w:noProof/>
              </w:rPr>
            </w:pPr>
            <w:r>
              <w:rPr>
                <w:noProof/>
              </w:rPr>
              <w:t>Cel</w:t>
            </w:r>
          </w:p>
        </w:tc>
        <w:tc>
          <w:tcPr>
            <w:tcW w:w="1559" w:type="dxa"/>
            <w:shd w:val="clear" w:color="auto" w:fill="C6EFCE"/>
            <w:noWrap/>
            <w:vAlign w:val="center"/>
          </w:tcPr>
          <w:p w14:paraId="46D9A1E4" w14:textId="77777777" w:rsidR="004C6421" w:rsidRDefault="009D1962">
            <w:pPr>
              <w:pStyle w:val="P68B1DB1-Normal4"/>
              <w:jc w:val="center"/>
              <w:rPr>
                <w:noProof/>
              </w:rPr>
            </w:pPr>
            <w:r>
              <w:rPr>
                <w:noProof/>
              </w:rPr>
              <w:t>Liczba pociągów bezemisyjnych T1</w:t>
            </w:r>
          </w:p>
        </w:tc>
        <w:tc>
          <w:tcPr>
            <w:tcW w:w="1843" w:type="dxa"/>
            <w:shd w:val="clear" w:color="auto" w:fill="C6EFCE"/>
            <w:noWrap/>
            <w:vAlign w:val="center"/>
          </w:tcPr>
          <w:p w14:paraId="26247083" w14:textId="77777777" w:rsidR="004C6421" w:rsidRDefault="009D1962">
            <w:pPr>
              <w:pStyle w:val="P68B1DB1-Normal4"/>
              <w:jc w:val="center"/>
              <w:rPr>
                <w:noProof/>
              </w:rPr>
            </w:pPr>
            <w:r>
              <w:rPr>
                <w:noProof/>
              </w:rPr>
              <w:t>NIE DOT.</w:t>
            </w:r>
          </w:p>
        </w:tc>
        <w:tc>
          <w:tcPr>
            <w:tcW w:w="1417" w:type="dxa"/>
            <w:shd w:val="clear" w:color="auto" w:fill="C6EFCE"/>
            <w:noWrap/>
            <w:vAlign w:val="center"/>
          </w:tcPr>
          <w:p w14:paraId="5EFD0C68" w14:textId="77777777" w:rsidR="004C6421" w:rsidRDefault="009D1962">
            <w:pPr>
              <w:pStyle w:val="P68B1DB1-Normal4"/>
              <w:jc w:val="center"/>
              <w:rPr>
                <w:noProof/>
              </w:rPr>
            </w:pPr>
            <w:r>
              <w:rPr>
                <w:noProof/>
              </w:rPr>
              <w:t>Numer</w:t>
            </w:r>
          </w:p>
        </w:tc>
        <w:tc>
          <w:tcPr>
            <w:tcW w:w="1134" w:type="dxa"/>
            <w:shd w:val="clear" w:color="auto" w:fill="C6EFCE"/>
            <w:noWrap/>
            <w:vAlign w:val="center"/>
          </w:tcPr>
          <w:p w14:paraId="2CD1E22D" w14:textId="77777777" w:rsidR="004C6421" w:rsidRDefault="009D1962">
            <w:pPr>
              <w:pStyle w:val="P68B1DB1-Normal4"/>
              <w:jc w:val="center"/>
              <w:rPr>
                <w:noProof/>
              </w:rPr>
            </w:pPr>
            <w:r>
              <w:rPr>
                <w:noProof/>
              </w:rPr>
              <w:t>0</w:t>
            </w:r>
          </w:p>
        </w:tc>
        <w:tc>
          <w:tcPr>
            <w:tcW w:w="946" w:type="dxa"/>
            <w:shd w:val="clear" w:color="auto" w:fill="C6EFCE"/>
            <w:noWrap/>
            <w:vAlign w:val="center"/>
          </w:tcPr>
          <w:p w14:paraId="0ADE9D83" w14:textId="77777777" w:rsidR="004C6421" w:rsidRDefault="009D1962">
            <w:pPr>
              <w:pStyle w:val="P68B1DB1-Normal4"/>
              <w:jc w:val="center"/>
              <w:rPr>
                <w:noProof/>
              </w:rPr>
            </w:pPr>
            <w:r>
              <w:rPr>
                <w:noProof/>
              </w:rPr>
              <w:t>25</w:t>
            </w:r>
          </w:p>
        </w:tc>
        <w:tc>
          <w:tcPr>
            <w:tcW w:w="992" w:type="dxa"/>
            <w:shd w:val="clear" w:color="auto" w:fill="C6EFCE"/>
            <w:noWrap/>
            <w:vAlign w:val="center"/>
          </w:tcPr>
          <w:p w14:paraId="194D50CE" w14:textId="3533D94F" w:rsidR="004C6421" w:rsidRDefault="00CC179E">
            <w:pPr>
              <w:pStyle w:val="P68B1DB1-Normal4"/>
              <w:jc w:val="center"/>
              <w:rPr>
                <w:noProof/>
              </w:rPr>
            </w:pPr>
            <w:r>
              <w:rPr>
                <w:noProof/>
              </w:rPr>
              <w:t>KW. 4</w:t>
            </w:r>
          </w:p>
        </w:tc>
        <w:tc>
          <w:tcPr>
            <w:tcW w:w="756" w:type="dxa"/>
            <w:shd w:val="clear" w:color="auto" w:fill="C6EFCE"/>
            <w:noWrap/>
            <w:vAlign w:val="center"/>
          </w:tcPr>
          <w:p w14:paraId="4621BABD" w14:textId="77777777" w:rsidR="004C6421" w:rsidRDefault="009D1962">
            <w:pPr>
              <w:pStyle w:val="P68B1DB1-Normal4"/>
              <w:jc w:val="center"/>
              <w:rPr>
                <w:noProof/>
              </w:rPr>
            </w:pPr>
            <w:r>
              <w:rPr>
                <w:noProof/>
              </w:rPr>
              <w:t>2024</w:t>
            </w:r>
          </w:p>
        </w:tc>
        <w:tc>
          <w:tcPr>
            <w:tcW w:w="2793" w:type="dxa"/>
            <w:shd w:val="clear" w:color="auto" w:fill="C6EFCE"/>
            <w:noWrap/>
            <w:vAlign w:val="center"/>
          </w:tcPr>
          <w:p w14:paraId="1705BE94" w14:textId="77777777" w:rsidR="004C6421" w:rsidRDefault="009D1962">
            <w:pPr>
              <w:pStyle w:val="P68B1DB1-Normal4"/>
              <w:rPr>
                <w:noProof/>
              </w:rPr>
            </w:pPr>
            <w:r>
              <w:rPr>
                <w:noProof/>
              </w:rPr>
              <w:t>Uzyskanie deklaracji weryfikacji zgodności WE zgodnie z art. 15 dekretu ustawodawczego nr 57/2019 (tj. Dichiarazione di verifica di conformità CE di cui all’art 15 del D.Lgs 57/2019) dla co najmniej 25 pociągów bezemisyjnych w celu wzmocnienia odpowiedniej floty.</w:t>
            </w:r>
          </w:p>
        </w:tc>
      </w:tr>
      <w:tr w:rsidR="004C6421" w14:paraId="71B0B4ED" w14:textId="77777777">
        <w:trPr>
          <w:trHeight w:val="309"/>
          <w:jc w:val="center"/>
        </w:trPr>
        <w:tc>
          <w:tcPr>
            <w:tcW w:w="1613" w:type="dxa"/>
            <w:shd w:val="clear" w:color="auto" w:fill="C6EFCE"/>
            <w:noWrap/>
            <w:vAlign w:val="center"/>
          </w:tcPr>
          <w:p w14:paraId="36C20944" w14:textId="77777777" w:rsidR="004C6421" w:rsidRDefault="009D1962">
            <w:pPr>
              <w:pStyle w:val="P68B1DB1-Normal4"/>
              <w:jc w:val="center"/>
              <w:rPr>
                <w:noProof/>
              </w:rPr>
            </w:pPr>
            <w:r>
              <w:rPr>
                <w:noProof/>
              </w:rPr>
              <w:t>M2C2-35</w:t>
            </w:r>
          </w:p>
        </w:tc>
        <w:tc>
          <w:tcPr>
            <w:tcW w:w="1643" w:type="dxa"/>
            <w:shd w:val="clear" w:color="auto" w:fill="C6EFCE"/>
            <w:noWrap/>
            <w:vAlign w:val="center"/>
          </w:tcPr>
          <w:p w14:paraId="4CEA444D" w14:textId="77777777" w:rsidR="004C6421" w:rsidRDefault="009D1962">
            <w:pPr>
              <w:pStyle w:val="P68B1DB1-Normal6"/>
              <w:jc w:val="center"/>
              <w:rPr>
                <w:noProof/>
                <w:color w:val="006100"/>
              </w:rPr>
            </w:pPr>
            <w:r>
              <w:rPr>
                <w:noProof/>
                <w:color w:val="006100"/>
              </w:rPr>
              <w:t>Inwestycja 4.4.1: Wzmocnienie floty autobusów transportu publicznego</w:t>
            </w:r>
            <w:r>
              <w:rPr>
                <w:noProof/>
              </w:rPr>
              <w:t xml:space="preserve"> </w:t>
            </w:r>
            <w:r>
              <w:rPr>
                <w:noProof/>
                <w:color w:val="006100"/>
              </w:rPr>
              <w:t>bezemisyjnymi niskopodłogowymi autobusami</w:t>
            </w:r>
          </w:p>
        </w:tc>
        <w:tc>
          <w:tcPr>
            <w:tcW w:w="1559" w:type="dxa"/>
            <w:shd w:val="clear" w:color="auto" w:fill="C6EFCE"/>
            <w:noWrap/>
            <w:vAlign w:val="center"/>
          </w:tcPr>
          <w:p w14:paraId="524B2C91" w14:textId="77777777" w:rsidR="004C6421" w:rsidRDefault="009D1962">
            <w:pPr>
              <w:pStyle w:val="P68B1DB1-Normal4"/>
              <w:jc w:val="center"/>
              <w:rPr>
                <w:noProof/>
              </w:rPr>
            </w:pPr>
            <w:r>
              <w:rPr>
                <w:noProof/>
              </w:rPr>
              <w:t>Cel</w:t>
            </w:r>
          </w:p>
        </w:tc>
        <w:tc>
          <w:tcPr>
            <w:tcW w:w="1559" w:type="dxa"/>
            <w:shd w:val="clear" w:color="auto" w:fill="C6EFCE"/>
            <w:noWrap/>
            <w:vAlign w:val="center"/>
          </w:tcPr>
          <w:p w14:paraId="28F9946A" w14:textId="77777777" w:rsidR="004C6421" w:rsidRDefault="009D1962">
            <w:pPr>
              <w:pStyle w:val="P68B1DB1-Normal4"/>
              <w:jc w:val="center"/>
              <w:rPr>
                <w:noProof/>
              </w:rPr>
            </w:pPr>
            <w:r>
              <w:rPr>
                <w:noProof/>
              </w:rPr>
              <w:t>Liczba bezemisyjnych autobusów niskopodłogowych weszła w życie T2</w:t>
            </w:r>
          </w:p>
        </w:tc>
        <w:tc>
          <w:tcPr>
            <w:tcW w:w="1843" w:type="dxa"/>
            <w:shd w:val="clear" w:color="auto" w:fill="C6EFCE"/>
            <w:noWrap/>
            <w:vAlign w:val="center"/>
          </w:tcPr>
          <w:p w14:paraId="09BF62E7" w14:textId="77777777" w:rsidR="004C6421" w:rsidRDefault="009D1962">
            <w:pPr>
              <w:pStyle w:val="P68B1DB1-Normal4"/>
              <w:jc w:val="center"/>
              <w:rPr>
                <w:noProof/>
              </w:rPr>
            </w:pPr>
            <w:r>
              <w:rPr>
                <w:noProof/>
              </w:rPr>
              <w:t>NIE DOT.</w:t>
            </w:r>
          </w:p>
        </w:tc>
        <w:tc>
          <w:tcPr>
            <w:tcW w:w="1417" w:type="dxa"/>
            <w:shd w:val="clear" w:color="auto" w:fill="C6EFCE"/>
            <w:noWrap/>
            <w:vAlign w:val="center"/>
          </w:tcPr>
          <w:p w14:paraId="0E41FAD5" w14:textId="77777777" w:rsidR="004C6421" w:rsidRDefault="009D1962">
            <w:pPr>
              <w:pStyle w:val="P68B1DB1-Normal4"/>
              <w:jc w:val="center"/>
              <w:rPr>
                <w:noProof/>
              </w:rPr>
            </w:pPr>
            <w:r>
              <w:rPr>
                <w:noProof/>
              </w:rPr>
              <w:t>Numer</w:t>
            </w:r>
          </w:p>
        </w:tc>
        <w:tc>
          <w:tcPr>
            <w:tcW w:w="1134" w:type="dxa"/>
            <w:shd w:val="clear" w:color="auto" w:fill="C6EFCE"/>
            <w:noWrap/>
            <w:vAlign w:val="center"/>
          </w:tcPr>
          <w:p w14:paraId="144078BA" w14:textId="77777777" w:rsidR="004C6421" w:rsidRDefault="009D1962">
            <w:pPr>
              <w:pStyle w:val="P68B1DB1-Normal4"/>
              <w:jc w:val="center"/>
              <w:rPr>
                <w:noProof/>
              </w:rPr>
            </w:pPr>
            <w:r>
              <w:rPr>
                <w:noProof/>
              </w:rPr>
              <w:t>0</w:t>
            </w:r>
          </w:p>
        </w:tc>
        <w:tc>
          <w:tcPr>
            <w:tcW w:w="946" w:type="dxa"/>
            <w:shd w:val="clear" w:color="auto" w:fill="C6EFCE"/>
            <w:noWrap/>
            <w:vAlign w:val="center"/>
          </w:tcPr>
          <w:p w14:paraId="086425A8" w14:textId="77777777" w:rsidR="004C6421" w:rsidRDefault="009D1962">
            <w:pPr>
              <w:pStyle w:val="P68B1DB1-Normal4"/>
              <w:jc w:val="center"/>
              <w:rPr>
                <w:noProof/>
              </w:rPr>
            </w:pPr>
            <w:r>
              <w:rPr>
                <w:noProof/>
              </w:rPr>
              <w:t>3 000</w:t>
            </w:r>
          </w:p>
        </w:tc>
        <w:tc>
          <w:tcPr>
            <w:tcW w:w="992" w:type="dxa"/>
            <w:shd w:val="clear" w:color="auto" w:fill="C6EFCE"/>
            <w:noWrap/>
            <w:vAlign w:val="center"/>
          </w:tcPr>
          <w:p w14:paraId="05054659" w14:textId="77777777" w:rsidR="004C6421" w:rsidRDefault="009D1962">
            <w:pPr>
              <w:pStyle w:val="P68B1DB1-Normal4"/>
              <w:jc w:val="center"/>
              <w:rPr>
                <w:noProof/>
              </w:rPr>
            </w:pPr>
            <w:r>
              <w:rPr>
                <w:noProof/>
              </w:rPr>
              <w:t>II KW.</w:t>
            </w:r>
          </w:p>
        </w:tc>
        <w:tc>
          <w:tcPr>
            <w:tcW w:w="756" w:type="dxa"/>
            <w:shd w:val="clear" w:color="auto" w:fill="C6EFCE"/>
            <w:noWrap/>
            <w:vAlign w:val="center"/>
          </w:tcPr>
          <w:p w14:paraId="36686D2B" w14:textId="77777777" w:rsidR="004C6421" w:rsidRDefault="009D1962">
            <w:pPr>
              <w:pStyle w:val="P68B1DB1-Normal4"/>
              <w:jc w:val="center"/>
              <w:rPr>
                <w:noProof/>
              </w:rPr>
            </w:pPr>
            <w:r>
              <w:rPr>
                <w:noProof/>
              </w:rPr>
              <w:t>2026</w:t>
            </w:r>
          </w:p>
        </w:tc>
        <w:tc>
          <w:tcPr>
            <w:tcW w:w="2793" w:type="dxa"/>
            <w:shd w:val="clear" w:color="auto" w:fill="C6EFCE"/>
            <w:noWrap/>
            <w:vAlign w:val="center"/>
          </w:tcPr>
          <w:p w14:paraId="5F30E43C" w14:textId="77777777" w:rsidR="004C6421" w:rsidRDefault="009D1962">
            <w:pPr>
              <w:pStyle w:val="P68B1DB1-Normal4"/>
              <w:rPr>
                <w:noProof/>
              </w:rPr>
            </w:pPr>
            <w:r>
              <w:rPr>
                <w:noProof/>
              </w:rPr>
              <w:t>Dopuszczenie do eksploatacji co najmniej 3000 bezemisyjnych autobusów niskopodłogowych zamówionych w ramach M2C2-32 w celu wzmocnienia odpowiedniej floty.</w:t>
            </w:r>
          </w:p>
        </w:tc>
      </w:tr>
      <w:tr w:rsidR="004C6421" w14:paraId="1CC3E168" w14:textId="77777777">
        <w:trPr>
          <w:trHeight w:val="309"/>
          <w:jc w:val="center"/>
        </w:trPr>
        <w:tc>
          <w:tcPr>
            <w:tcW w:w="1613" w:type="dxa"/>
            <w:shd w:val="clear" w:color="auto" w:fill="C6EFCE"/>
            <w:noWrap/>
            <w:vAlign w:val="center"/>
          </w:tcPr>
          <w:p w14:paraId="2319CDDA" w14:textId="77777777" w:rsidR="004C6421" w:rsidRDefault="009D1962">
            <w:pPr>
              <w:pStyle w:val="P68B1DB1-Normal4"/>
              <w:jc w:val="center"/>
              <w:rPr>
                <w:noProof/>
              </w:rPr>
            </w:pPr>
            <w:r>
              <w:rPr>
                <w:noProof/>
              </w:rPr>
              <w:t>M2C2-35 ter</w:t>
            </w:r>
          </w:p>
        </w:tc>
        <w:tc>
          <w:tcPr>
            <w:tcW w:w="1643" w:type="dxa"/>
            <w:shd w:val="clear" w:color="auto" w:fill="C6EFCE"/>
            <w:noWrap/>
            <w:vAlign w:val="center"/>
          </w:tcPr>
          <w:p w14:paraId="2FFAF173" w14:textId="77777777" w:rsidR="004C6421" w:rsidRDefault="009D1962">
            <w:pPr>
              <w:pStyle w:val="P68B1DB1-Normal4"/>
              <w:jc w:val="center"/>
              <w:rPr>
                <w:noProof/>
              </w:rPr>
            </w:pPr>
            <w:r>
              <w:rPr>
                <w:noProof/>
              </w:rPr>
              <w:t>Inwestycja 4.4.1: Wzmocnienie floty autobusów regionalnego transportu publicznego za pomocą bezemisyjnych autobusów niskopodłogowych</w:t>
            </w:r>
          </w:p>
        </w:tc>
        <w:tc>
          <w:tcPr>
            <w:tcW w:w="1559" w:type="dxa"/>
            <w:shd w:val="clear" w:color="auto" w:fill="C6EFCE"/>
            <w:noWrap/>
            <w:vAlign w:val="center"/>
          </w:tcPr>
          <w:p w14:paraId="490D86AB" w14:textId="77777777" w:rsidR="004C6421" w:rsidRDefault="009D1962">
            <w:pPr>
              <w:pStyle w:val="P68B1DB1-Normal4"/>
              <w:jc w:val="center"/>
              <w:rPr>
                <w:noProof/>
              </w:rPr>
            </w:pPr>
            <w:r>
              <w:rPr>
                <w:noProof/>
              </w:rPr>
              <w:t>Cel</w:t>
            </w:r>
          </w:p>
        </w:tc>
        <w:tc>
          <w:tcPr>
            <w:tcW w:w="1559" w:type="dxa"/>
            <w:shd w:val="clear" w:color="auto" w:fill="C6EFCE"/>
            <w:noWrap/>
            <w:vAlign w:val="center"/>
          </w:tcPr>
          <w:p w14:paraId="26F42950" w14:textId="77777777" w:rsidR="004C6421" w:rsidRDefault="009D1962">
            <w:pPr>
              <w:pStyle w:val="P68B1DB1-Normal4"/>
              <w:jc w:val="center"/>
              <w:rPr>
                <w:noProof/>
              </w:rPr>
            </w:pPr>
            <w:r>
              <w:rPr>
                <w:noProof/>
              </w:rPr>
              <w:t>Liczba stacji ładowania dla bezemisyjnych i niskoemisyjnych autobusów niskopodłogowych</w:t>
            </w:r>
          </w:p>
        </w:tc>
        <w:tc>
          <w:tcPr>
            <w:tcW w:w="1843" w:type="dxa"/>
            <w:shd w:val="clear" w:color="auto" w:fill="C6EFCE"/>
            <w:noWrap/>
            <w:vAlign w:val="center"/>
          </w:tcPr>
          <w:p w14:paraId="7FE197B5" w14:textId="77777777" w:rsidR="004C6421" w:rsidRDefault="004C6421">
            <w:pPr>
              <w:jc w:val="center"/>
              <w:rPr>
                <w:rFonts w:ascii="Arial Narrow" w:hAnsi="Arial Narrow"/>
                <w:noProof/>
                <w:color w:val="006100"/>
                <w:sz w:val="20"/>
              </w:rPr>
            </w:pPr>
          </w:p>
        </w:tc>
        <w:tc>
          <w:tcPr>
            <w:tcW w:w="1417" w:type="dxa"/>
            <w:shd w:val="clear" w:color="auto" w:fill="C6EFCE"/>
            <w:noWrap/>
            <w:vAlign w:val="center"/>
          </w:tcPr>
          <w:p w14:paraId="0C85FD0F" w14:textId="77777777" w:rsidR="004C6421" w:rsidRDefault="009D1962">
            <w:pPr>
              <w:pStyle w:val="P68B1DB1-Normal4"/>
              <w:jc w:val="center"/>
              <w:rPr>
                <w:noProof/>
              </w:rPr>
            </w:pPr>
            <w:r>
              <w:rPr>
                <w:noProof/>
              </w:rPr>
              <w:t>Numer</w:t>
            </w:r>
          </w:p>
        </w:tc>
        <w:tc>
          <w:tcPr>
            <w:tcW w:w="1134" w:type="dxa"/>
            <w:shd w:val="clear" w:color="auto" w:fill="C6EFCE"/>
            <w:noWrap/>
            <w:vAlign w:val="center"/>
          </w:tcPr>
          <w:p w14:paraId="0B49D722" w14:textId="77777777" w:rsidR="004C6421" w:rsidRDefault="009D1962">
            <w:pPr>
              <w:pStyle w:val="P68B1DB1-Normal4"/>
              <w:jc w:val="center"/>
              <w:rPr>
                <w:noProof/>
              </w:rPr>
            </w:pPr>
            <w:r>
              <w:rPr>
                <w:noProof/>
              </w:rPr>
              <w:t>0</w:t>
            </w:r>
          </w:p>
        </w:tc>
        <w:tc>
          <w:tcPr>
            <w:tcW w:w="946" w:type="dxa"/>
            <w:shd w:val="clear" w:color="auto" w:fill="C6EFCE"/>
            <w:noWrap/>
            <w:vAlign w:val="center"/>
          </w:tcPr>
          <w:p w14:paraId="2ACEED0C" w14:textId="77777777" w:rsidR="004C6421" w:rsidRDefault="009D1962">
            <w:pPr>
              <w:pStyle w:val="P68B1DB1-Normal4"/>
              <w:jc w:val="center"/>
              <w:rPr>
                <w:noProof/>
              </w:rPr>
            </w:pPr>
            <w:r>
              <w:rPr>
                <w:noProof/>
              </w:rPr>
              <w:t>1 000</w:t>
            </w:r>
          </w:p>
        </w:tc>
        <w:tc>
          <w:tcPr>
            <w:tcW w:w="992" w:type="dxa"/>
            <w:shd w:val="clear" w:color="auto" w:fill="C6EFCE"/>
            <w:noWrap/>
            <w:vAlign w:val="center"/>
          </w:tcPr>
          <w:p w14:paraId="5F68B9F4" w14:textId="77777777" w:rsidR="004C6421" w:rsidRDefault="009D1962">
            <w:pPr>
              <w:pStyle w:val="P68B1DB1-Normal4"/>
              <w:jc w:val="center"/>
              <w:rPr>
                <w:noProof/>
              </w:rPr>
            </w:pPr>
            <w:r>
              <w:rPr>
                <w:noProof/>
              </w:rPr>
              <w:t>II KW.</w:t>
            </w:r>
          </w:p>
        </w:tc>
        <w:tc>
          <w:tcPr>
            <w:tcW w:w="756" w:type="dxa"/>
            <w:shd w:val="clear" w:color="auto" w:fill="C6EFCE"/>
            <w:noWrap/>
            <w:vAlign w:val="center"/>
          </w:tcPr>
          <w:p w14:paraId="4FB2A240" w14:textId="77777777" w:rsidR="004C6421" w:rsidRDefault="009D1962">
            <w:pPr>
              <w:pStyle w:val="P68B1DB1-Normal4"/>
              <w:jc w:val="center"/>
              <w:rPr>
                <w:noProof/>
              </w:rPr>
            </w:pPr>
            <w:r>
              <w:rPr>
                <w:noProof/>
              </w:rPr>
              <w:t>2026</w:t>
            </w:r>
          </w:p>
        </w:tc>
        <w:tc>
          <w:tcPr>
            <w:tcW w:w="2793" w:type="dxa"/>
            <w:shd w:val="clear" w:color="auto" w:fill="C6EFCE"/>
            <w:noWrap/>
            <w:vAlign w:val="center"/>
          </w:tcPr>
          <w:p w14:paraId="13075E93" w14:textId="77777777" w:rsidR="004C6421" w:rsidRDefault="009D1962">
            <w:pPr>
              <w:pStyle w:val="P68B1DB1-Normal8"/>
              <w:rPr>
                <w:rFonts w:ascii="Arial Narrow" w:hAnsi="Arial Narrow"/>
                <w:noProof/>
              </w:rPr>
            </w:pPr>
            <w:r>
              <w:rPr>
                <w:rFonts w:ascii="Arial Narrow" w:hAnsi="Arial Narrow"/>
                <w:noProof/>
              </w:rPr>
              <w:t>Uruchomienie co najmniej 1000</w:t>
            </w:r>
            <w:r>
              <w:rPr>
                <w:noProof/>
              </w:rPr>
              <w:t xml:space="preserve"> </w:t>
            </w:r>
            <w:r>
              <w:rPr>
                <w:rFonts w:ascii="Arial Narrow" w:hAnsi="Arial Narrow"/>
                <w:noProof/>
              </w:rPr>
              <w:t>stacji ładowania dla bezemisyjnych lub niskoemisyjnych autobusów niskopodłogowych.</w:t>
            </w:r>
          </w:p>
        </w:tc>
      </w:tr>
      <w:tr w:rsidR="004C6421" w14:paraId="091DE6E9" w14:textId="77777777">
        <w:trPr>
          <w:trHeight w:val="309"/>
          <w:jc w:val="center"/>
        </w:trPr>
        <w:tc>
          <w:tcPr>
            <w:tcW w:w="1613" w:type="dxa"/>
            <w:shd w:val="clear" w:color="auto" w:fill="C6EFCE"/>
            <w:noWrap/>
            <w:vAlign w:val="center"/>
          </w:tcPr>
          <w:p w14:paraId="21AB0882" w14:textId="77777777" w:rsidR="004C6421" w:rsidRDefault="009D1962">
            <w:pPr>
              <w:pStyle w:val="P68B1DB1-Normal4"/>
              <w:jc w:val="center"/>
              <w:rPr>
                <w:noProof/>
              </w:rPr>
            </w:pPr>
            <w:r>
              <w:rPr>
                <w:noProof/>
              </w:rPr>
              <w:t xml:space="preserve">M2C2-35 bis </w:t>
            </w:r>
          </w:p>
        </w:tc>
        <w:tc>
          <w:tcPr>
            <w:tcW w:w="1643" w:type="dxa"/>
            <w:shd w:val="clear" w:color="auto" w:fill="C6EFCE"/>
            <w:noWrap/>
            <w:vAlign w:val="center"/>
          </w:tcPr>
          <w:p w14:paraId="39721FC5" w14:textId="77777777" w:rsidR="004C6421" w:rsidRDefault="009D1962">
            <w:pPr>
              <w:pStyle w:val="P68B1DB1-Normal4"/>
              <w:jc w:val="center"/>
              <w:rPr>
                <w:noProof/>
              </w:rPr>
            </w:pPr>
            <w:r>
              <w:rPr>
                <w:noProof/>
              </w:rPr>
              <w:t>Inwestycja 4.4.2:  Wzmocnienie regionalnego taboru kolejowego transportu publicznego z pociągami bezemisyjnymi i usługą powszechną</w:t>
            </w:r>
          </w:p>
        </w:tc>
        <w:tc>
          <w:tcPr>
            <w:tcW w:w="1559" w:type="dxa"/>
            <w:shd w:val="clear" w:color="auto" w:fill="C6EFCE"/>
            <w:noWrap/>
            <w:vAlign w:val="center"/>
          </w:tcPr>
          <w:p w14:paraId="6A399969" w14:textId="77777777" w:rsidR="004C6421" w:rsidRDefault="009D1962">
            <w:pPr>
              <w:pStyle w:val="P68B1DB1-Normal4"/>
              <w:jc w:val="center"/>
              <w:rPr>
                <w:noProof/>
              </w:rPr>
            </w:pPr>
            <w:r>
              <w:rPr>
                <w:noProof/>
              </w:rPr>
              <w:t>Cel</w:t>
            </w:r>
          </w:p>
        </w:tc>
        <w:tc>
          <w:tcPr>
            <w:tcW w:w="1559" w:type="dxa"/>
            <w:shd w:val="clear" w:color="auto" w:fill="C6EFCE"/>
            <w:noWrap/>
            <w:vAlign w:val="center"/>
          </w:tcPr>
          <w:p w14:paraId="3EBF50F9" w14:textId="77777777" w:rsidR="004C6421" w:rsidRDefault="009D1962">
            <w:pPr>
              <w:pStyle w:val="P68B1DB1-Normal4"/>
              <w:jc w:val="center"/>
              <w:rPr>
                <w:noProof/>
              </w:rPr>
            </w:pPr>
            <w:r>
              <w:rPr>
                <w:noProof/>
              </w:rPr>
              <w:t xml:space="preserve">Liczba pociągów zeroemisyjnych i liczba przewozów w ramach usługi powszechnej </w:t>
            </w:r>
          </w:p>
        </w:tc>
        <w:tc>
          <w:tcPr>
            <w:tcW w:w="1843" w:type="dxa"/>
            <w:shd w:val="clear" w:color="auto" w:fill="C6EFCE"/>
            <w:noWrap/>
            <w:vAlign w:val="center"/>
          </w:tcPr>
          <w:p w14:paraId="4C9235A6" w14:textId="77777777" w:rsidR="004C6421" w:rsidRDefault="009D1962">
            <w:pPr>
              <w:pStyle w:val="P68B1DB1-Normal4"/>
              <w:jc w:val="center"/>
              <w:rPr>
                <w:noProof/>
              </w:rPr>
            </w:pPr>
            <w:r>
              <w:rPr>
                <w:noProof/>
              </w:rPr>
              <w:t>NIE DOT.</w:t>
            </w:r>
          </w:p>
        </w:tc>
        <w:tc>
          <w:tcPr>
            <w:tcW w:w="1417" w:type="dxa"/>
            <w:shd w:val="clear" w:color="auto" w:fill="C6EFCE"/>
            <w:noWrap/>
            <w:vAlign w:val="center"/>
          </w:tcPr>
          <w:p w14:paraId="20210F4D" w14:textId="77777777" w:rsidR="004C6421" w:rsidRDefault="009D1962">
            <w:pPr>
              <w:pStyle w:val="P68B1DB1-Normal4"/>
              <w:jc w:val="center"/>
              <w:rPr>
                <w:noProof/>
              </w:rPr>
            </w:pPr>
            <w:r>
              <w:rPr>
                <w:noProof/>
              </w:rPr>
              <w:t>Numer</w:t>
            </w:r>
          </w:p>
        </w:tc>
        <w:tc>
          <w:tcPr>
            <w:tcW w:w="1134" w:type="dxa"/>
            <w:shd w:val="clear" w:color="auto" w:fill="C6EFCE"/>
            <w:noWrap/>
            <w:vAlign w:val="center"/>
          </w:tcPr>
          <w:p w14:paraId="2F54C953" w14:textId="77777777" w:rsidR="004C6421" w:rsidRDefault="009D1962">
            <w:pPr>
              <w:pStyle w:val="P68B1DB1-Normal4"/>
              <w:jc w:val="center"/>
              <w:rPr>
                <w:noProof/>
              </w:rPr>
            </w:pPr>
            <w:r>
              <w:rPr>
                <w:noProof/>
              </w:rPr>
              <w:t>25</w:t>
            </w:r>
          </w:p>
        </w:tc>
        <w:tc>
          <w:tcPr>
            <w:tcW w:w="946" w:type="dxa"/>
            <w:shd w:val="clear" w:color="auto" w:fill="C6EFCE"/>
            <w:noWrap/>
            <w:vAlign w:val="center"/>
          </w:tcPr>
          <w:p w14:paraId="62BC5283" w14:textId="77777777" w:rsidR="004C6421" w:rsidRDefault="009D1962">
            <w:pPr>
              <w:pStyle w:val="P68B1DB1-Normal4"/>
              <w:jc w:val="center"/>
              <w:rPr>
                <w:noProof/>
              </w:rPr>
            </w:pPr>
            <w:r>
              <w:rPr>
                <w:noProof/>
              </w:rPr>
              <w:t>66</w:t>
            </w:r>
          </w:p>
        </w:tc>
        <w:tc>
          <w:tcPr>
            <w:tcW w:w="992" w:type="dxa"/>
            <w:shd w:val="clear" w:color="auto" w:fill="C6EFCE"/>
            <w:noWrap/>
            <w:vAlign w:val="center"/>
          </w:tcPr>
          <w:p w14:paraId="6DB651DD" w14:textId="77777777" w:rsidR="004C6421" w:rsidRDefault="009D1962">
            <w:pPr>
              <w:pStyle w:val="P68B1DB1-Normal4"/>
              <w:jc w:val="center"/>
              <w:rPr>
                <w:noProof/>
              </w:rPr>
            </w:pPr>
            <w:r>
              <w:rPr>
                <w:noProof/>
              </w:rPr>
              <w:t>II KW.</w:t>
            </w:r>
          </w:p>
        </w:tc>
        <w:tc>
          <w:tcPr>
            <w:tcW w:w="756" w:type="dxa"/>
            <w:shd w:val="clear" w:color="auto" w:fill="C6EFCE"/>
            <w:noWrap/>
            <w:vAlign w:val="center"/>
          </w:tcPr>
          <w:p w14:paraId="066F892B" w14:textId="77777777" w:rsidR="004C6421" w:rsidRDefault="009D1962">
            <w:pPr>
              <w:pStyle w:val="P68B1DB1-Normal4"/>
              <w:jc w:val="center"/>
              <w:rPr>
                <w:noProof/>
              </w:rPr>
            </w:pPr>
            <w:r>
              <w:rPr>
                <w:noProof/>
              </w:rPr>
              <w:t>2026</w:t>
            </w:r>
          </w:p>
        </w:tc>
        <w:tc>
          <w:tcPr>
            <w:tcW w:w="2793" w:type="dxa"/>
            <w:shd w:val="clear" w:color="auto" w:fill="C6EFCE"/>
            <w:noWrap/>
            <w:vAlign w:val="center"/>
          </w:tcPr>
          <w:p w14:paraId="7FEDF016" w14:textId="77777777" w:rsidR="004C6421" w:rsidRDefault="009D1962">
            <w:pPr>
              <w:pStyle w:val="P68B1DB1-Normal4"/>
              <w:spacing w:after="120"/>
              <w:rPr>
                <w:noProof/>
              </w:rPr>
            </w:pPr>
            <w:r>
              <w:rPr>
                <w:noProof/>
              </w:rPr>
              <w:t xml:space="preserve">Dopuszczenie do eksploatacji i uzyskanie deklaracji weryfikacji zgodności WE zgodnie z art. 15 dekretu ustawodawczego nr 57/2019 (tj. Dichiarazione di verifica di conformità CE di cui all’art 15 del D.Lgs 57/2019) co najmniej 53 pociągów bezemisyjnych dla regionalnej floty kolejowej, co najmniej 13 pociągów dwumodalnych i 100 wagonów w ramach usługi powszechnej. </w:t>
            </w:r>
          </w:p>
          <w:p w14:paraId="66208868" w14:textId="77777777" w:rsidR="004C6421" w:rsidRDefault="009D1962">
            <w:pPr>
              <w:pStyle w:val="P68B1DB1-Normal4"/>
              <w:rPr>
                <w:noProof/>
              </w:rPr>
            </w:pPr>
            <w:r>
              <w:rPr>
                <w:noProof/>
              </w:rPr>
              <w:t>Jeżeli chodzi o usługę powszechną/międzymiasto, tabor zakupiony ze środków RRF jest własnością państwa. W związku z tym po wygaśnięciu umowy o świadczenie usług zawartej przez zasiedziałych dostawców tabor kolejowy zostanie udostępniony nowemu podmiotowi, któremu udzielono zamówienia na usługi, w pełnej zgodności z rozporządzeniem (UE) nr 1370/2007.</w:t>
            </w:r>
          </w:p>
        </w:tc>
      </w:tr>
      <w:tr w:rsidR="004C6421" w14:paraId="44ED0CB3" w14:textId="77777777">
        <w:trPr>
          <w:trHeight w:val="309"/>
          <w:jc w:val="center"/>
        </w:trPr>
        <w:tc>
          <w:tcPr>
            <w:tcW w:w="1613" w:type="dxa"/>
            <w:shd w:val="clear" w:color="auto" w:fill="C6EFCE"/>
            <w:noWrap/>
            <w:vAlign w:val="center"/>
          </w:tcPr>
          <w:p w14:paraId="5B30260D" w14:textId="77777777" w:rsidR="004C6421" w:rsidRDefault="009D1962">
            <w:pPr>
              <w:pStyle w:val="P68B1DB1-Normal4"/>
              <w:jc w:val="center"/>
              <w:rPr>
                <w:noProof/>
              </w:rPr>
            </w:pPr>
            <w:r>
              <w:rPr>
                <w:noProof/>
              </w:rPr>
              <w:t>M2C2-36</w:t>
            </w:r>
          </w:p>
        </w:tc>
        <w:tc>
          <w:tcPr>
            <w:tcW w:w="1643" w:type="dxa"/>
            <w:shd w:val="clear" w:color="auto" w:fill="C6EFCE"/>
            <w:noWrap/>
            <w:vAlign w:val="center"/>
          </w:tcPr>
          <w:p w14:paraId="61309D68" w14:textId="77777777" w:rsidR="004C6421" w:rsidRDefault="009D1962">
            <w:pPr>
              <w:pStyle w:val="P68B1DB1-Normal4"/>
              <w:jc w:val="center"/>
              <w:rPr>
                <w:noProof/>
              </w:rPr>
            </w:pPr>
            <w:r>
              <w:rPr>
                <w:noProof/>
              </w:rPr>
              <w:t>Inwestycja 4.4.3: Odnowienie floty na potrzeby dowództwa Krajowej Straży Pożarnej</w:t>
            </w:r>
          </w:p>
        </w:tc>
        <w:tc>
          <w:tcPr>
            <w:tcW w:w="1559" w:type="dxa"/>
            <w:shd w:val="clear" w:color="auto" w:fill="C6EFCE"/>
            <w:noWrap/>
            <w:vAlign w:val="center"/>
          </w:tcPr>
          <w:p w14:paraId="21139312" w14:textId="77777777" w:rsidR="004C6421" w:rsidRDefault="009D1962">
            <w:pPr>
              <w:pStyle w:val="P68B1DB1-Normal4"/>
              <w:jc w:val="center"/>
              <w:rPr>
                <w:noProof/>
              </w:rPr>
            </w:pPr>
            <w:r>
              <w:rPr>
                <w:noProof/>
              </w:rPr>
              <w:t>Cel</w:t>
            </w:r>
          </w:p>
        </w:tc>
        <w:tc>
          <w:tcPr>
            <w:tcW w:w="1559" w:type="dxa"/>
            <w:shd w:val="clear" w:color="auto" w:fill="C6EFCE"/>
            <w:noWrap/>
            <w:vAlign w:val="center"/>
          </w:tcPr>
          <w:p w14:paraId="06FDEFC9" w14:textId="77777777" w:rsidR="004C6421" w:rsidRDefault="009D1962">
            <w:pPr>
              <w:pStyle w:val="P68B1DB1-Normal4"/>
              <w:jc w:val="center"/>
              <w:rPr>
                <w:noProof/>
              </w:rPr>
            </w:pPr>
            <w:r>
              <w:rPr>
                <w:noProof/>
              </w:rPr>
              <w:t>Liczba ekologicznie czystych pojazdów na potrzeby odnowienia floty na potrzeby dowództwa Krajowej Straży Pożarnej</w:t>
            </w:r>
          </w:p>
        </w:tc>
        <w:tc>
          <w:tcPr>
            <w:tcW w:w="1843" w:type="dxa"/>
            <w:shd w:val="clear" w:color="auto" w:fill="C6EFCE"/>
            <w:noWrap/>
            <w:vAlign w:val="center"/>
          </w:tcPr>
          <w:p w14:paraId="56E4A81E" w14:textId="77777777" w:rsidR="004C6421" w:rsidRDefault="009D1962">
            <w:pPr>
              <w:pStyle w:val="P68B1DB1-Normal4"/>
              <w:jc w:val="center"/>
              <w:rPr>
                <w:noProof/>
              </w:rPr>
            </w:pPr>
            <w:r>
              <w:rPr>
                <w:noProof/>
              </w:rPr>
              <w:t>NIE DOT.</w:t>
            </w:r>
          </w:p>
        </w:tc>
        <w:tc>
          <w:tcPr>
            <w:tcW w:w="1417" w:type="dxa"/>
            <w:shd w:val="clear" w:color="auto" w:fill="C6EFCE"/>
            <w:noWrap/>
            <w:vAlign w:val="center"/>
          </w:tcPr>
          <w:p w14:paraId="1D126649" w14:textId="77777777" w:rsidR="004C6421" w:rsidRDefault="009D1962">
            <w:pPr>
              <w:pStyle w:val="P68B1DB1-Normal4"/>
              <w:jc w:val="center"/>
              <w:rPr>
                <w:noProof/>
              </w:rPr>
            </w:pPr>
            <w:r>
              <w:rPr>
                <w:noProof/>
              </w:rPr>
              <w:t>Numer</w:t>
            </w:r>
          </w:p>
        </w:tc>
        <w:tc>
          <w:tcPr>
            <w:tcW w:w="1134" w:type="dxa"/>
            <w:shd w:val="clear" w:color="auto" w:fill="C6EFCE"/>
            <w:noWrap/>
            <w:vAlign w:val="center"/>
          </w:tcPr>
          <w:p w14:paraId="65EABAC3" w14:textId="77777777" w:rsidR="004C6421" w:rsidRDefault="009D1962">
            <w:pPr>
              <w:pStyle w:val="P68B1DB1-Normal4"/>
              <w:jc w:val="center"/>
              <w:rPr>
                <w:noProof/>
              </w:rPr>
            </w:pPr>
            <w:r>
              <w:rPr>
                <w:noProof/>
              </w:rPr>
              <w:t>0</w:t>
            </w:r>
          </w:p>
        </w:tc>
        <w:tc>
          <w:tcPr>
            <w:tcW w:w="946" w:type="dxa"/>
            <w:shd w:val="clear" w:color="auto" w:fill="C6EFCE"/>
            <w:noWrap/>
            <w:vAlign w:val="center"/>
          </w:tcPr>
          <w:p w14:paraId="790BA62D" w14:textId="77777777" w:rsidR="004C6421" w:rsidRDefault="009D1962">
            <w:pPr>
              <w:pStyle w:val="P68B1DB1-Normal4"/>
              <w:jc w:val="center"/>
              <w:rPr>
                <w:noProof/>
              </w:rPr>
            </w:pPr>
            <w:r>
              <w:rPr>
                <w:noProof/>
              </w:rPr>
              <w:t>3 800</w:t>
            </w:r>
          </w:p>
        </w:tc>
        <w:tc>
          <w:tcPr>
            <w:tcW w:w="992" w:type="dxa"/>
            <w:shd w:val="clear" w:color="auto" w:fill="C6EFCE"/>
            <w:noWrap/>
            <w:vAlign w:val="center"/>
          </w:tcPr>
          <w:p w14:paraId="4EF2F64C" w14:textId="77777777" w:rsidR="004C6421" w:rsidRDefault="009D1962">
            <w:pPr>
              <w:pStyle w:val="P68B1DB1-Normal4"/>
              <w:jc w:val="center"/>
              <w:rPr>
                <w:noProof/>
              </w:rPr>
            </w:pPr>
            <w:r>
              <w:rPr>
                <w:noProof/>
              </w:rPr>
              <w:t>II KW.</w:t>
            </w:r>
          </w:p>
        </w:tc>
        <w:tc>
          <w:tcPr>
            <w:tcW w:w="756" w:type="dxa"/>
            <w:shd w:val="clear" w:color="auto" w:fill="C6EFCE"/>
            <w:noWrap/>
            <w:vAlign w:val="center"/>
          </w:tcPr>
          <w:p w14:paraId="59DF9574" w14:textId="77777777" w:rsidR="004C6421" w:rsidRDefault="009D1962">
            <w:pPr>
              <w:pStyle w:val="P68B1DB1-Normal4"/>
              <w:jc w:val="center"/>
              <w:rPr>
                <w:noProof/>
              </w:rPr>
            </w:pPr>
            <w:r>
              <w:rPr>
                <w:noProof/>
              </w:rPr>
              <w:t>2026</w:t>
            </w:r>
          </w:p>
        </w:tc>
        <w:tc>
          <w:tcPr>
            <w:tcW w:w="2793" w:type="dxa"/>
            <w:shd w:val="clear" w:color="auto" w:fill="C6EFCE"/>
            <w:noWrap/>
            <w:vAlign w:val="center"/>
          </w:tcPr>
          <w:p w14:paraId="717566CB" w14:textId="77777777" w:rsidR="004C6421" w:rsidRDefault="009D1962">
            <w:pPr>
              <w:pStyle w:val="P68B1DB1-Normal8"/>
              <w:spacing w:after="120"/>
              <w:rPr>
                <w:rFonts w:ascii="Arial Narrow" w:hAnsi="Arial Narrow"/>
                <w:noProof/>
              </w:rPr>
            </w:pPr>
            <w:r>
              <w:rPr>
                <w:rFonts w:ascii="Arial Narrow" w:hAnsi="Arial Narrow"/>
                <w:noProof/>
              </w:rPr>
              <w:t>Oddanie do eksploatacji co najmniej 3800</w:t>
            </w:r>
            <w:r>
              <w:rPr>
                <w:noProof/>
              </w:rPr>
              <w:t xml:space="preserve"> </w:t>
            </w:r>
            <w:r>
              <w:rPr>
                <w:rFonts w:ascii="Arial Narrow" w:hAnsi="Arial Narrow"/>
                <w:noProof/>
              </w:rPr>
              <w:t>ekologicznie czystych pojazdów na potrzeby dowództwa Krajowej Straży Pożarnej.</w:t>
            </w:r>
          </w:p>
          <w:p w14:paraId="3FF569EA" w14:textId="77777777" w:rsidR="004C6421" w:rsidRDefault="009D1962">
            <w:pPr>
              <w:pStyle w:val="P68B1DB1-Normal4"/>
              <w:rPr>
                <w:noProof/>
              </w:rPr>
            </w:pPr>
            <w:r>
              <w:rPr>
                <w:noProof/>
              </w:rPr>
              <w:t xml:space="preserve">3500 pojazdów może korzystać z oznakowania ekologicznego w 100 %, ponieważ są one w 100 % elektryczne, a punkty ładowania zasilane są panelami fotowoltaicznymi. 300 pojazdów ciężkich, 200 dla portów lotniczych i 100 do ratownictwa miejskiego, może być eksploatowanych wyłącznie z wykorzystaniem biometanu lub biopaliwa i spełniać kryteria określone w dyrektywie 2018/2001 w sprawie odnawialnych źródeł energii (dyrektywa RED II). Producenci biopaliw i biometanu oraz biopaliw muszą przedstawić certyfikaty (dowód zrównoważonego rozwoju) wydawane przez niezależnych oceniających, jak przewidziano w dyrektywie 2018/2001. Operator nabywa świadectwa pochodzenia proporcjonalne do przewidywanego zużycia paliwa.  Pojazdy napędzane biopaliwem muszą uzyskać homologację typu B100. </w:t>
            </w:r>
          </w:p>
        </w:tc>
      </w:tr>
      <w:tr w:rsidR="004C6421" w14:paraId="1A8B3827" w14:textId="77777777">
        <w:trPr>
          <w:trHeight w:val="309"/>
          <w:jc w:val="center"/>
        </w:trPr>
        <w:tc>
          <w:tcPr>
            <w:tcW w:w="1613" w:type="dxa"/>
            <w:shd w:val="clear" w:color="auto" w:fill="C6EFCE"/>
            <w:noWrap/>
            <w:vAlign w:val="center"/>
          </w:tcPr>
          <w:p w14:paraId="550D0EEF" w14:textId="77777777" w:rsidR="004C6421" w:rsidRDefault="009D1962">
            <w:pPr>
              <w:pStyle w:val="P68B1DB1-Normal4"/>
              <w:jc w:val="center"/>
              <w:rPr>
                <w:noProof/>
              </w:rPr>
            </w:pPr>
            <w:r>
              <w:rPr>
                <w:noProof/>
              </w:rPr>
              <w:t>M2C2-38bis</w:t>
            </w:r>
          </w:p>
        </w:tc>
        <w:tc>
          <w:tcPr>
            <w:tcW w:w="1643" w:type="dxa"/>
            <w:shd w:val="clear" w:color="auto" w:fill="C6EFCE"/>
            <w:noWrap/>
            <w:vAlign w:val="center"/>
          </w:tcPr>
          <w:p w14:paraId="7102D3D8" w14:textId="77777777" w:rsidR="004C6421" w:rsidRDefault="009D1962">
            <w:pPr>
              <w:pStyle w:val="P68B1DB1-Normal4"/>
              <w:jc w:val="center"/>
              <w:rPr>
                <w:noProof/>
              </w:rPr>
            </w:pPr>
            <w:r>
              <w:rPr>
                <w:noProof/>
              </w:rPr>
              <w:t>Inwestycja 5.1: Odnawialne źródła energii i baterie</w:t>
            </w:r>
          </w:p>
        </w:tc>
        <w:tc>
          <w:tcPr>
            <w:tcW w:w="1559" w:type="dxa"/>
            <w:shd w:val="clear" w:color="auto" w:fill="C6EFCE"/>
            <w:noWrap/>
            <w:vAlign w:val="center"/>
          </w:tcPr>
          <w:p w14:paraId="1485EA53" w14:textId="21247475" w:rsidR="004C6421" w:rsidRDefault="00CC179E">
            <w:pPr>
              <w:pStyle w:val="P68B1DB1-Normal4"/>
              <w:jc w:val="center"/>
              <w:rPr>
                <w:noProof/>
              </w:rPr>
            </w:pPr>
            <w:r>
              <w:rPr>
                <w:noProof/>
              </w:rPr>
              <w:t>Milowy</w:t>
            </w:r>
          </w:p>
        </w:tc>
        <w:tc>
          <w:tcPr>
            <w:tcW w:w="1559" w:type="dxa"/>
            <w:shd w:val="clear" w:color="auto" w:fill="C6EFCE"/>
            <w:noWrap/>
            <w:vAlign w:val="center"/>
          </w:tcPr>
          <w:p w14:paraId="707B3882" w14:textId="77777777" w:rsidR="004C6421" w:rsidRDefault="009D1962">
            <w:pPr>
              <w:pStyle w:val="P68B1DB1-Normal4"/>
              <w:jc w:val="center"/>
              <w:rPr>
                <w:noProof/>
              </w:rPr>
            </w:pPr>
            <w:r>
              <w:rPr>
                <w:noProof/>
              </w:rPr>
              <w:t>Umowa wykonawcza</w:t>
            </w:r>
          </w:p>
        </w:tc>
        <w:tc>
          <w:tcPr>
            <w:tcW w:w="1843" w:type="dxa"/>
            <w:shd w:val="clear" w:color="auto" w:fill="C6EFCE"/>
            <w:noWrap/>
            <w:vAlign w:val="center"/>
          </w:tcPr>
          <w:p w14:paraId="4233C292" w14:textId="77777777" w:rsidR="004C6421" w:rsidRDefault="009D1962">
            <w:pPr>
              <w:pStyle w:val="P68B1DB1-Normal4"/>
              <w:jc w:val="center"/>
              <w:rPr>
                <w:noProof/>
              </w:rPr>
            </w:pPr>
            <w:r>
              <w:rPr>
                <w:noProof/>
              </w:rPr>
              <w:t>Wejście w życie umowy wykonawczej</w:t>
            </w:r>
          </w:p>
        </w:tc>
        <w:tc>
          <w:tcPr>
            <w:tcW w:w="1417" w:type="dxa"/>
            <w:shd w:val="clear" w:color="auto" w:fill="C6EFCE"/>
            <w:noWrap/>
          </w:tcPr>
          <w:p w14:paraId="56BC31E1" w14:textId="77777777" w:rsidR="004C6421" w:rsidRDefault="004C6421">
            <w:pPr>
              <w:jc w:val="center"/>
              <w:rPr>
                <w:rFonts w:ascii="Arial Narrow" w:hAnsi="Arial Narrow"/>
                <w:noProof/>
                <w:color w:val="006100"/>
                <w:sz w:val="20"/>
              </w:rPr>
            </w:pPr>
          </w:p>
        </w:tc>
        <w:tc>
          <w:tcPr>
            <w:tcW w:w="1134" w:type="dxa"/>
            <w:shd w:val="clear" w:color="auto" w:fill="C6EFCE"/>
            <w:noWrap/>
            <w:vAlign w:val="center"/>
          </w:tcPr>
          <w:p w14:paraId="0CD27296" w14:textId="77777777" w:rsidR="004C6421" w:rsidRDefault="004C6421">
            <w:pPr>
              <w:jc w:val="center"/>
              <w:rPr>
                <w:rFonts w:ascii="Arial Narrow" w:hAnsi="Arial Narrow"/>
                <w:noProof/>
                <w:color w:val="006100"/>
                <w:sz w:val="20"/>
              </w:rPr>
            </w:pPr>
          </w:p>
        </w:tc>
        <w:tc>
          <w:tcPr>
            <w:tcW w:w="946" w:type="dxa"/>
            <w:shd w:val="clear" w:color="auto" w:fill="C6EFCE"/>
            <w:noWrap/>
            <w:vAlign w:val="center"/>
          </w:tcPr>
          <w:p w14:paraId="0082A2E9" w14:textId="77777777" w:rsidR="004C6421" w:rsidRDefault="004C6421">
            <w:pPr>
              <w:jc w:val="center"/>
              <w:rPr>
                <w:rFonts w:ascii="Arial Narrow" w:hAnsi="Arial Narrow"/>
                <w:noProof/>
                <w:color w:val="006100"/>
                <w:sz w:val="20"/>
              </w:rPr>
            </w:pPr>
          </w:p>
        </w:tc>
        <w:tc>
          <w:tcPr>
            <w:tcW w:w="992" w:type="dxa"/>
            <w:shd w:val="clear" w:color="auto" w:fill="C6EFCE"/>
            <w:noWrap/>
            <w:vAlign w:val="center"/>
          </w:tcPr>
          <w:p w14:paraId="2EB083E3" w14:textId="0E946E4B" w:rsidR="004C6421" w:rsidRDefault="00CC179E">
            <w:pPr>
              <w:pStyle w:val="P68B1DB1-Normal4"/>
              <w:jc w:val="center"/>
              <w:rPr>
                <w:noProof/>
              </w:rPr>
            </w:pPr>
            <w:r>
              <w:rPr>
                <w:noProof/>
              </w:rPr>
              <w:t>KW. 4</w:t>
            </w:r>
          </w:p>
        </w:tc>
        <w:tc>
          <w:tcPr>
            <w:tcW w:w="756" w:type="dxa"/>
            <w:shd w:val="clear" w:color="auto" w:fill="C6EFCE"/>
            <w:noWrap/>
            <w:vAlign w:val="center"/>
          </w:tcPr>
          <w:p w14:paraId="44C05AA1" w14:textId="77777777" w:rsidR="004C6421" w:rsidRDefault="009D1962">
            <w:pPr>
              <w:pStyle w:val="P68B1DB1-Normal4"/>
              <w:jc w:val="center"/>
              <w:rPr>
                <w:noProof/>
              </w:rPr>
            </w:pPr>
            <w:r>
              <w:rPr>
                <w:noProof/>
              </w:rPr>
              <w:t>2024</w:t>
            </w:r>
          </w:p>
        </w:tc>
        <w:tc>
          <w:tcPr>
            <w:tcW w:w="2793" w:type="dxa"/>
            <w:shd w:val="clear" w:color="auto" w:fill="C6EFCE"/>
            <w:noWrap/>
            <w:vAlign w:val="center"/>
          </w:tcPr>
          <w:p w14:paraId="2261BC8D" w14:textId="77777777" w:rsidR="004C6421" w:rsidRDefault="009D1962">
            <w:pPr>
              <w:pStyle w:val="P68B1DB1-Normal4"/>
              <w:rPr>
                <w:noProof/>
              </w:rPr>
            </w:pPr>
            <w:r>
              <w:rPr>
                <w:noProof/>
              </w:rPr>
              <w:t>Wejście w życie umowy wykonawczej.</w:t>
            </w:r>
          </w:p>
        </w:tc>
      </w:tr>
      <w:tr w:rsidR="004C6421" w14:paraId="3AECB0A2" w14:textId="77777777">
        <w:trPr>
          <w:trHeight w:val="309"/>
          <w:jc w:val="center"/>
        </w:trPr>
        <w:tc>
          <w:tcPr>
            <w:tcW w:w="1613" w:type="dxa"/>
            <w:shd w:val="clear" w:color="auto" w:fill="C6EFCE"/>
            <w:noWrap/>
            <w:vAlign w:val="center"/>
          </w:tcPr>
          <w:p w14:paraId="69F5FC38" w14:textId="77777777" w:rsidR="004C6421" w:rsidRDefault="009D1962">
            <w:pPr>
              <w:pStyle w:val="P68B1DB1-Normal4"/>
              <w:jc w:val="center"/>
              <w:rPr>
                <w:noProof/>
              </w:rPr>
            </w:pPr>
            <w:r>
              <w:rPr>
                <w:noProof/>
              </w:rPr>
              <w:t>M2C2-39</w:t>
            </w:r>
          </w:p>
        </w:tc>
        <w:tc>
          <w:tcPr>
            <w:tcW w:w="1643" w:type="dxa"/>
            <w:shd w:val="clear" w:color="auto" w:fill="C6EFCE"/>
            <w:noWrap/>
            <w:vAlign w:val="center"/>
          </w:tcPr>
          <w:p w14:paraId="1CD9D832" w14:textId="77777777" w:rsidR="004C6421" w:rsidRDefault="009D1962">
            <w:pPr>
              <w:pStyle w:val="P68B1DB1-Normal4"/>
              <w:jc w:val="center"/>
              <w:rPr>
                <w:noProof/>
              </w:rPr>
            </w:pPr>
            <w:r>
              <w:rPr>
                <w:noProof/>
              </w:rPr>
              <w:t>Inwestycja 5.1.: Odnawialne źródła energii i baterie</w:t>
            </w:r>
          </w:p>
        </w:tc>
        <w:tc>
          <w:tcPr>
            <w:tcW w:w="1559" w:type="dxa"/>
            <w:shd w:val="clear" w:color="auto" w:fill="C6EFCE"/>
            <w:noWrap/>
            <w:vAlign w:val="center"/>
          </w:tcPr>
          <w:p w14:paraId="6C47C68F" w14:textId="6F57F927" w:rsidR="004C6421" w:rsidRDefault="00CC179E">
            <w:pPr>
              <w:pStyle w:val="P68B1DB1-Normal4"/>
              <w:jc w:val="center"/>
              <w:rPr>
                <w:noProof/>
              </w:rPr>
            </w:pPr>
            <w:r>
              <w:rPr>
                <w:noProof/>
              </w:rPr>
              <w:t>Milowy</w:t>
            </w:r>
          </w:p>
        </w:tc>
        <w:tc>
          <w:tcPr>
            <w:tcW w:w="1559" w:type="dxa"/>
            <w:shd w:val="clear" w:color="auto" w:fill="C6EFCE"/>
            <w:noWrap/>
            <w:vAlign w:val="center"/>
          </w:tcPr>
          <w:p w14:paraId="18995855" w14:textId="77777777" w:rsidR="004C6421" w:rsidRDefault="009D1962">
            <w:pPr>
              <w:pStyle w:val="P68B1DB1-Normal4"/>
              <w:jc w:val="center"/>
              <w:rPr>
                <w:noProof/>
              </w:rPr>
            </w:pPr>
            <w:r>
              <w:rPr>
                <w:noProof/>
              </w:rPr>
              <w:t>Ministerstwo Przedsiębiorstw i Made we Włoszech zakończyło przekazywanie środków do Invitalia S.p.A.</w:t>
            </w:r>
          </w:p>
        </w:tc>
        <w:tc>
          <w:tcPr>
            <w:tcW w:w="1843" w:type="dxa"/>
            <w:shd w:val="clear" w:color="auto" w:fill="C6EFCE"/>
            <w:noWrap/>
            <w:vAlign w:val="center"/>
          </w:tcPr>
          <w:p w14:paraId="4DDE7C6F" w14:textId="77777777" w:rsidR="004C6421" w:rsidRDefault="009D1962">
            <w:pPr>
              <w:pStyle w:val="P68B1DB1-Normal4"/>
              <w:jc w:val="center"/>
              <w:rPr>
                <w:noProof/>
              </w:rPr>
            </w:pPr>
            <w:r>
              <w:rPr>
                <w:noProof/>
              </w:rPr>
              <w:t>Świadectwo transferu</w:t>
            </w:r>
          </w:p>
        </w:tc>
        <w:tc>
          <w:tcPr>
            <w:tcW w:w="1417" w:type="dxa"/>
            <w:shd w:val="clear" w:color="auto" w:fill="C6EFCE"/>
            <w:noWrap/>
          </w:tcPr>
          <w:p w14:paraId="6B589A12" w14:textId="77777777" w:rsidR="004C6421" w:rsidRDefault="004C6421">
            <w:pPr>
              <w:jc w:val="center"/>
              <w:rPr>
                <w:rFonts w:ascii="Arial Narrow" w:hAnsi="Arial Narrow"/>
                <w:noProof/>
                <w:color w:val="006100"/>
                <w:sz w:val="20"/>
              </w:rPr>
            </w:pPr>
          </w:p>
        </w:tc>
        <w:tc>
          <w:tcPr>
            <w:tcW w:w="1134" w:type="dxa"/>
            <w:shd w:val="clear" w:color="auto" w:fill="C6EFCE"/>
            <w:noWrap/>
            <w:vAlign w:val="center"/>
          </w:tcPr>
          <w:p w14:paraId="411B8605" w14:textId="77777777" w:rsidR="004C6421" w:rsidRDefault="004C6421">
            <w:pPr>
              <w:jc w:val="center"/>
              <w:rPr>
                <w:rFonts w:ascii="Arial Narrow" w:hAnsi="Arial Narrow"/>
                <w:noProof/>
                <w:color w:val="006100"/>
                <w:sz w:val="20"/>
              </w:rPr>
            </w:pPr>
          </w:p>
        </w:tc>
        <w:tc>
          <w:tcPr>
            <w:tcW w:w="946" w:type="dxa"/>
            <w:shd w:val="clear" w:color="auto" w:fill="C6EFCE"/>
            <w:noWrap/>
            <w:vAlign w:val="center"/>
          </w:tcPr>
          <w:p w14:paraId="57F153CB" w14:textId="77777777" w:rsidR="004C6421" w:rsidRDefault="004C6421">
            <w:pPr>
              <w:jc w:val="center"/>
              <w:rPr>
                <w:rFonts w:ascii="Arial Narrow" w:hAnsi="Arial Narrow"/>
                <w:noProof/>
                <w:color w:val="006100"/>
                <w:sz w:val="20"/>
              </w:rPr>
            </w:pPr>
          </w:p>
        </w:tc>
        <w:tc>
          <w:tcPr>
            <w:tcW w:w="992" w:type="dxa"/>
            <w:shd w:val="clear" w:color="auto" w:fill="C6EFCE"/>
            <w:noWrap/>
            <w:vAlign w:val="center"/>
          </w:tcPr>
          <w:p w14:paraId="602874C0" w14:textId="1CFE3911" w:rsidR="004C6421" w:rsidRDefault="00CC179E">
            <w:pPr>
              <w:pStyle w:val="P68B1DB1-Normal4"/>
              <w:jc w:val="center"/>
              <w:rPr>
                <w:noProof/>
              </w:rPr>
            </w:pPr>
            <w:r>
              <w:rPr>
                <w:noProof/>
              </w:rPr>
              <w:t>KW. 4</w:t>
            </w:r>
          </w:p>
        </w:tc>
        <w:tc>
          <w:tcPr>
            <w:tcW w:w="756" w:type="dxa"/>
            <w:shd w:val="clear" w:color="auto" w:fill="C6EFCE"/>
            <w:noWrap/>
            <w:vAlign w:val="center"/>
          </w:tcPr>
          <w:p w14:paraId="0B13DA12" w14:textId="77777777" w:rsidR="004C6421" w:rsidRDefault="009D1962">
            <w:pPr>
              <w:pStyle w:val="P68B1DB1-Normal4"/>
              <w:jc w:val="center"/>
              <w:rPr>
                <w:noProof/>
              </w:rPr>
            </w:pPr>
            <w:r>
              <w:rPr>
                <w:noProof/>
              </w:rPr>
              <w:t>2024</w:t>
            </w:r>
          </w:p>
        </w:tc>
        <w:tc>
          <w:tcPr>
            <w:tcW w:w="2793" w:type="dxa"/>
            <w:shd w:val="clear" w:color="auto" w:fill="C6EFCE"/>
            <w:noWrap/>
            <w:vAlign w:val="center"/>
          </w:tcPr>
          <w:p w14:paraId="13A1A2BC" w14:textId="77777777" w:rsidR="004C6421" w:rsidRDefault="009D1962">
            <w:pPr>
              <w:pStyle w:val="P68B1DB1-Normal8"/>
              <w:rPr>
                <w:rFonts w:ascii="Arial Narrow" w:hAnsi="Arial Narrow"/>
                <w:noProof/>
              </w:rPr>
            </w:pPr>
            <w:r>
              <w:rPr>
                <w:rFonts w:ascii="Arial Narrow" w:hAnsi="Arial Narrow"/>
                <w:noProof/>
              </w:rPr>
              <w:t>Włochy przesuną 1 000 000 000 EUR</w:t>
            </w:r>
            <w:r>
              <w:rPr>
                <w:noProof/>
              </w:rPr>
              <w:t xml:space="preserve"> </w:t>
            </w:r>
            <w:r>
              <w:rPr>
                <w:rFonts w:ascii="Arial Narrow" w:hAnsi="Arial Narrow"/>
                <w:noProof/>
              </w:rPr>
              <w:t>na</w:t>
            </w:r>
            <w:r>
              <w:rPr>
                <w:noProof/>
              </w:rPr>
              <w:t xml:space="preserve"> </w:t>
            </w:r>
            <w:r>
              <w:rPr>
                <w:rFonts w:ascii="Arial Narrow" w:hAnsi="Arial Narrow"/>
                <w:noProof/>
              </w:rPr>
              <w:t>rzecz</w:t>
            </w:r>
            <w:r>
              <w:rPr>
                <w:noProof/>
              </w:rPr>
              <w:t xml:space="preserve"> </w:t>
            </w:r>
            <w:r>
              <w:rPr>
                <w:rFonts w:ascii="Arial Narrow" w:hAnsi="Arial Narrow"/>
                <w:noProof/>
              </w:rPr>
              <w:t>Invitalia S.p.A. na rzecz Instrumentu.</w:t>
            </w:r>
          </w:p>
        </w:tc>
      </w:tr>
      <w:tr w:rsidR="004C6421" w14:paraId="7CD6E455" w14:textId="77777777">
        <w:trPr>
          <w:trHeight w:val="309"/>
          <w:jc w:val="center"/>
        </w:trPr>
        <w:tc>
          <w:tcPr>
            <w:tcW w:w="1613" w:type="dxa"/>
            <w:shd w:val="clear" w:color="auto" w:fill="C6EFCE"/>
            <w:noWrap/>
            <w:vAlign w:val="center"/>
          </w:tcPr>
          <w:p w14:paraId="25410262" w14:textId="77777777" w:rsidR="004C6421" w:rsidRDefault="009D1962">
            <w:pPr>
              <w:pStyle w:val="P68B1DB1-Normal4"/>
              <w:jc w:val="center"/>
              <w:rPr>
                <w:noProof/>
              </w:rPr>
            </w:pPr>
            <w:r>
              <w:rPr>
                <w:noProof/>
              </w:rPr>
              <w:t>M2C2-40</w:t>
            </w:r>
          </w:p>
        </w:tc>
        <w:tc>
          <w:tcPr>
            <w:tcW w:w="1643" w:type="dxa"/>
            <w:shd w:val="clear" w:color="auto" w:fill="C6EFCE"/>
            <w:noWrap/>
            <w:vAlign w:val="center"/>
          </w:tcPr>
          <w:p w14:paraId="4A0520AC" w14:textId="77777777" w:rsidR="004C6421" w:rsidRDefault="009D1962">
            <w:pPr>
              <w:pStyle w:val="P68B1DB1-Normal4"/>
              <w:jc w:val="center"/>
              <w:rPr>
                <w:noProof/>
              </w:rPr>
            </w:pPr>
            <w:r>
              <w:rPr>
                <w:noProof/>
              </w:rPr>
              <w:t>Inwestycja 5.1:  Odnawialne źródła energii i baterie</w:t>
            </w:r>
          </w:p>
        </w:tc>
        <w:tc>
          <w:tcPr>
            <w:tcW w:w="1559" w:type="dxa"/>
            <w:shd w:val="clear" w:color="auto" w:fill="C6EFCE"/>
            <w:noWrap/>
            <w:vAlign w:val="center"/>
          </w:tcPr>
          <w:p w14:paraId="41C353BB" w14:textId="77777777" w:rsidR="004C6421" w:rsidRDefault="009D1962">
            <w:pPr>
              <w:pStyle w:val="P68B1DB1-Normal4"/>
              <w:jc w:val="center"/>
              <w:rPr>
                <w:noProof/>
              </w:rPr>
            </w:pPr>
            <w:r>
              <w:rPr>
                <w:noProof/>
              </w:rPr>
              <w:t>Cel</w:t>
            </w:r>
          </w:p>
        </w:tc>
        <w:tc>
          <w:tcPr>
            <w:tcW w:w="1559" w:type="dxa"/>
            <w:shd w:val="clear" w:color="auto" w:fill="C6EFCE"/>
            <w:noWrap/>
            <w:vAlign w:val="center"/>
          </w:tcPr>
          <w:p w14:paraId="7D700053" w14:textId="77777777" w:rsidR="004C6421" w:rsidRDefault="009D1962">
            <w:pPr>
              <w:pStyle w:val="P68B1DB1-Normal4"/>
              <w:jc w:val="center"/>
              <w:rPr>
                <w:noProof/>
              </w:rPr>
            </w:pPr>
            <w:r>
              <w:rPr>
                <w:noProof/>
              </w:rPr>
              <w:t>Umowy prawne podpisane z beneficjentami końcowymi odpowiadające zdolności produkcji energii z technologii fotowoltaicznych lub wiatrowych oraz baterii</w:t>
            </w:r>
          </w:p>
        </w:tc>
        <w:tc>
          <w:tcPr>
            <w:tcW w:w="1843" w:type="dxa"/>
            <w:shd w:val="clear" w:color="auto" w:fill="C6EFCE"/>
            <w:noWrap/>
            <w:vAlign w:val="center"/>
          </w:tcPr>
          <w:p w14:paraId="4CC976B9" w14:textId="77777777" w:rsidR="004C6421" w:rsidRDefault="004C6421">
            <w:pPr>
              <w:jc w:val="center"/>
              <w:rPr>
                <w:rFonts w:ascii="Arial Narrow" w:hAnsi="Arial Narrow"/>
                <w:noProof/>
                <w:color w:val="006100"/>
                <w:sz w:val="20"/>
              </w:rPr>
            </w:pPr>
          </w:p>
        </w:tc>
        <w:tc>
          <w:tcPr>
            <w:tcW w:w="1417" w:type="dxa"/>
            <w:shd w:val="clear" w:color="auto" w:fill="C6EFCE"/>
            <w:noWrap/>
            <w:vAlign w:val="center"/>
          </w:tcPr>
          <w:p w14:paraId="67DC79BC" w14:textId="77777777" w:rsidR="004C6421" w:rsidRDefault="009D1962">
            <w:pPr>
              <w:pStyle w:val="P68B1DB1-Normal4"/>
              <w:jc w:val="center"/>
              <w:rPr>
                <w:noProof/>
              </w:rPr>
            </w:pPr>
            <w:r>
              <w:rPr>
                <w:noProof/>
              </w:rPr>
              <w:t>Procent (%)</w:t>
            </w:r>
          </w:p>
        </w:tc>
        <w:tc>
          <w:tcPr>
            <w:tcW w:w="1134" w:type="dxa"/>
            <w:shd w:val="clear" w:color="auto" w:fill="C6EFCE"/>
            <w:noWrap/>
            <w:vAlign w:val="center"/>
          </w:tcPr>
          <w:p w14:paraId="10371C08" w14:textId="77777777" w:rsidR="004C6421" w:rsidRDefault="009D1962">
            <w:pPr>
              <w:pStyle w:val="P68B1DB1-Normal4"/>
              <w:jc w:val="center"/>
              <w:rPr>
                <w:noProof/>
              </w:rPr>
            </w:pPr>
            <w:r>
              <w:rPr>
                <w:noProof/>
              </w:rPr>
              <w:t>0</w:t>
            </w:r>
          </w:p>
        </w:tc>
        <w:tc>
          <w:tcPr>
            <w:tcW w:w="946" w:type="dxa"/>
            <w:shd w:val="clear" w:color="auto" w:fill="C6EFCE"/>
            <w:noWrap/>
            <w:vAlign w:val="center"/>
          </w:tcPr>
          <w:p w14:paraId="2D3B269D" w14:textId="77777777" w:rsidR="004C6421" w:rsidRDefault="009D1962">
            <w:pPr>
              <w:pStyle w:val="P68B1DB1-Normal4"/>
              <w:jc w:val="center"/>
              <w:rPr>
                <w:noProof/>
              </w:rPr>
            </w:pPr>
            <w:r>
              <w:rPr>
                <w:noProof/>
              </w:rPr>
              <w:t>100 %</w:t>
            </w:r>
          </w:p>
        </w:tc>
        <w:tc>
          <w:tcPr>
            <w:tcW w:w="992" w:type="dxa"/>
            <w:shd w:val="clear" w:color="auto" w:fill="C6EFCE"/>
            <w:noWrap/>
            <w:vAlign w:val="center"/>
          </w:tcPr>
          <w:p w14:paraId="5145285B" w14:textId="5FE00A3B" w:rsidR="004C6421" w:rsidRDefault="00CC179E">
            <w:pPr>
              <w:pStyle w:val="P68B1DB1-Normal4"/>
              <w:jc w:val="center"/>
              <w:rPr>
                <w:noProof/>
              </w:rPr>
            </w:pPr>
            <w:r>
              <w:rPr>
                <w:noProof/>
              </w:rPr>
              <w:t>KW. 4</w:t>
            </w:r>
          </w:p>
        </w:tc>
        <w:tc>
          <w:tcPr>
            <w:tcW w:w="756" w:type="dxa"/>
            <w:shd w:val="clear" w:color="auto" w:fill="C6EFCE"/>
            <w:noWrap/>
            <w:vAlign w:val="center"/>
          </w:tcPr>
          <w:p w14:paraId="652A044C" w14:textId="77777777" w:rsidR="004C6421" w:rsidRDefault="009D1962">
            <w:pPr>
              <w:pStyle w:val="P68B1DB1-Normal4"/>
              <w:jc w:val="center"/>
              <w:rPr>
                <w:noProof/>
              </w:rPr>
            </w:pPr>
            <w:r>
              <w:rPr>
                <w:noProof/>
              </w:rPr>
              <w:t>2025</w:t>
            </w:r>
          </w:p>
        </w:tc>
        <w:tc>
          <w:tcPr>
            <w:tcW w:w="2793" w:type="dxa"/>
            <w:shd w:val="clear" w:color="auto" w:fill="C6EFCE"/>
            <w:noWrap/>
            <w:vAlign w:val="center"/>
          </w:tcPr>
          <w:p w14:paraId="17F3BE44" w14:textId="77777777" w:rsidR="004C6421" w:rsidRDefault="009D1962">
            <w:pPr>
              <w:pStyle w:val="P68B1DB1-Normal4"/>
              <w:rPr>
                <w:noProof/>
              </w:rPr>
            </w:pPr>
            <w:r>
              <w:rPr>
                <w:noProof/>
              </w:rPr>
              <w:t>Invitalia S.p.A. zawarła z beneficjentami końcowymi prawne umowy w sprawie finansowania na kwotę niezbędną do wykorzystania 100 % inwestycji RRF w instrument (z uwzględnieniem opłat za zarządzanie).</w:t>
            </w:r>
          </w:p>
        </w:tc>
      </w:tr>
      <w:tr w:rsidR="004C6421" w14:paraId="79F51804" w14:textId="77777777">
        <w:trPr>
          <w:trHeight w:val="309"/>
          <w:jc w:val="center"/>
        </w:trPr>
        <w:tc>
          <w:tcPr>
            <w:tcW w:w="1613" w:type="dxa"/>
            <w:shd w:val="clear" w:color="auto" w:fill="C6EFCE"/>
            <w:noWrap/>
            <w:vAlign w:val="center"/>
          </w:tcPr>
          <w:p w14:paraId="5B028278" w14:textId="77777777" w:rsidR="004C6421" w:rsidRDefault="009D1962">
            <w:pPr>
              <w:pStyle w:val="P68B1DB1-Normal4"/>
              <w:jc w:val="center"/>
              <w:rPr>
                <w:noProof/>
              </w:rPr>
            </w:pPr>
            <w:r>
              <w:rPr>
                <w:noProof/>
              </w:rPr>
              <w:t>M2C2-42 BIS</w:t>
            </w:r>
          </w:p>
        </w:tc>
        <w:tc>
          <w:tcPr>
            <w:tcW w:w="1643" w:type="dxa"/>
            <w:shd w:val="clear" w:color="auto" w:fill="C6EFCE"/>
            <w:noWrap/>
            <w:vAlign w:val="center"/>
          </w:tcPr>
          <w:p w14:paraId="0A541D86" w14:textId="77777777" w:rsidR="004C6421" w:rsidRDefault="009D1962">
            <w:pPr>
              <w:pStyle w:val="P68B1DB1-Normal4"/>
              <w:jc w:val="both"/>
              <w:rPr>
                <w:noProof/>
              </w:rPr>
            </w:pPr>
            <w:r>
              <w:rPr>
                <w:noProof/>
              </w:rPr>
              <w:t>Inwestycje 5.4 – Wsparcie dla przedsiębiorstw typu start-up i kapitału wysokiego ryzyka prowadzących działalność w zakresie transformacji ekologicznej.</w:t>
            </w:r>
          </w:p>
        </w:tc>
        <w:tc>
          <w:tcPr>
            <w:tcW w:w="1559" w:type="dxa"/>
            <w:shd w:val="clear" w:color="auto" w:fill="C6EFCE"/>
            <w:noWrap/>
            <w:vAlign w:val="center"/>
          </w:tcPr>
          <w:p w14:paraId="57FD4EAF" w14:textId="30F55718" w:rsidR="004C6421" w:rsidRDefault="00CC179E">
            <w:pPr>
              <w:pStyle w:val="P68B1DB1-Normal4"/>
              <w:jc w:val="both"/>
              <w:rPr>
                <w:noProof/>
              </w:rPr>
            </w:pPr>
            <w:r>
              <w:rPr>
                <w:noProof/>
              </w:rPr>
              <w:t>Milowy</w:t>
            </w:r>
          </w:p>
        </w:tc>
        <w:tc>
          <w:tcPr>
            <w:tcW w:w="1559" w:type="dxa"/>
            <w:shd w:val="clear" w:color="auto" w:fill="C6EFCE"/>
            <w:noWrap/>
            <w:vAlign w:val="center"/>
          </w:tcPr>
          <w:p w14:paraId="2BC06179" w14:textId="77777777" w:rsidR="004C6421" w:rsidRDefault="009D1962">
            <w:pPr>
              <w:pStyle w:val="P68B1DB1-Normal4"/>
              <w:jc w:val="both"/>
              <w:rPr>
                <w:noProof/>
              </w:rPr>
            </w:pPr>
            <w:r>
              <w:rPr>
                <w:noProof/>
              </w:rPr>
              <w:t>Ministerstwo zakończyło przekazywanie środków do CDP Venture Capital SGR</w:t>
            </w:r>
          </w:p>
        </w:tc>
        <w:tc>
          <w:tcPr>
            <w:tcW w:w="1843" w:type="dxa"/>
            <w:shd w:val="clear" w:color="auto" w:fill="C6EFCE"/>
            <w:noWrap/>
            <w:vAlign w:val="center"/>
          </w:tcPr>
          <w:p w14:paraId="0E6826E4" w14:textId="77777777" w:rsidR="004C6421" w:rsidRDefault="009D1962">
            <w:pPr>
              <w:pStyle w:val="P68B1DB1-Normal4"/>
              <w:jc w:val="center"/>
              <w:rPr>
                <w:noProof/>
              </w:rPr>
            </w:pPr>
            <w:r>
              <w:rPr>
                <w:noProof/>
              </w:rPr>
              <w:t>Świadectwo transferu</w:t>
            </w:r>
          </w:p>
        </w:tc>
        <w:tc>
          <w:tcPr>
            <w:tcW w:w="1417" w:type="dxa"/>
            <w:shd w:val="clear" w:color="auto" w:fill="C6EFCE"/>
            <w:noWrap/>
            <w:vAlign w:val="center"/>
          </w:tcPr>
          <w:p w14:paraId="4CA8BAB1"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000EE52E" w14:textId="77777777" w:rsidR="004C6421" w:rsidRDefault="009D1962">
            <w:pPr>
              <w:pStyle w:val="P68B1DB1-Normal4"/>
              <w:jc w:val="center"/>
              <w:rPr>
                <w:noProof/>
              </w:rPr>
            </w:pPr>
            <w:r>
              <w:rPr>
                <w:noProof/>
              </w:rPr>
              <w:t xml:space="preserve"> NIE DOT.</w:t>
            </w:r>
          </w:p>
        </w:tc>
        <w:tc>
          <w:tcPr>
            <w:tcW w:w="946" w:type="dxa"/>
            <w:shd w:val="clear" w:color="auto" w:fill="C6EFCE"/>
            <w:noWrap/>
            <w:vAlign w:val="center"/>
          </w:tcPr>
          <w:p w14:paraId="567AD71F" w14:textId="77777777" w:rsidR="004C6421" w:rsidRDefault="009D1962">
            <w:pPr>
              <w:pStyle w:val="P68B1DB1-Normal4"/>
              <w:jc w:val="center"/>
              <w:rPr>
                <w:noProof/>
              </w:rPr>
            </w:pPr>
            <w:r>
              <w:rPr>
                <w:noProof/>
              </w:rPr>
              <w:t>NIE DOT.</w:t>
            </w:r>
          </w:p>
        </w:tc>
        <w:tc>
          <w:tcPr>
            <w:tcW w:w="992" w:type="dxa"/>
            <w:shd w:val="clear" w:color="auto" w:fill="C6EFCE"/>
            <w:noWrap/>
            <w:vAlign w:val="center"/>
          </w:tcPr>
          <w:p w14:paraId="419BB00E" w14:textId="4F1B0F81" w:rsidR="004C6421" w:rsidRDefault="00CC179E">
            <w:pPr>
              <w:pStyle w:val="P68B1DB1-Normal4"/>
              <w:jc w:val="center"/>
              <w:rPr>
                <w:noProof/>
              </w:rPr>
            </w:pPr>
            <w:r>
              <w:rPr>
                <w:noProof/>
              </w:rPr>
              <w:t>KW. 4</w:t>
            </w:r>
          </w:p>
        </w:tc>
        <w:tc>
          <w:tcPr>
            <w:tcW w:w="756" w:type="dxa"/>
            <w:shd w:val="clear" w:color="auto" w:fill="C6EFCE"/>
            <w:noWrap/>
            <w:vAlign w:val="center"/>
          </w:tcPr>
          <w:p w14:paraId="0CBDF0DD" w14:textId="77777777" w:rsidR="004C6421" w:rsidRDefault="009D1962">
            <w:pPr>
              <w:pStyle w:val="P68B1DB1-Normal4"/>
              <w:jc w:val="center"/>
              <w:rPr>
                <w:noProof/>
              </w:rPr>
            </w:pPr>
            <w:r>
              <w:rPr>
                <w:noProof/>
              </w:rPr>
              <w:t>2024</w:t>
            </w:r>
          </w:p>
        </w:tc>
        <w:tc>
          <w:tcPr>
            <w:tcW w:w="2793" w:type="dxa"/>
            <w:shd w:val="clear" w:color="auto" w:fill="C6EFCE"/>
            <w:noWrap/>
            <w:vAlign w:val="center"/>
          </w:tcPr>
          <w:p w14:paraId="6DCE17B6" w14:textId="7609B0ED" w:rsidR="004C6421" w:rsidRDefault="009D1962">
            <w:pPr>
              <w:spacing w:after="120"/>
              <w:jc w:val="both"/>
              <w:rPr>
                <w:rFonts w:ascii="Arial Narrow" w:hAnsi="Arial Narrow"/>
                <w:noProof/>
                <w:color w:val="006100"/>
                <w:sz w:val="20"/>
              </w:rPr>
            </w:pPr>
            <w:r>
              <w:rPr>
                <w:rFonts w:ascii="Arial Narrow" w:hAnsi="Arial Narrow"/>
                <w:noProof/>
                <w:color w:val="006100"/>
                <w:sz w:val="20"/>
              </w:rPr>
              <w:t>Włochy przekażą kwotę 250 000 000 EUR</w:t>
            </w:r>
            <w:r>
              <w:rPr>
                <w:noProof/>
                <w:sz w:val="23"/>
              </w:rPr>
              <w:t xml:space="preserve"> </w:t>
            </w:r>
            <w:r>
              <w:rPr>
                <w:rFonts w:ascii="Arial Narrow" w:hAnsi="Arial Narrow"/>
                <w:noProof/>
                <w:color w:val="006100"/>
                <w:sz w:val="20"/>
              </w:rPr>
              <w:t>na</w:t>
            </w:r>
            <w:r>
              <w:rPr>
                <w:noProof/>
                <w:sz w:val="23"/>
              </w:rPr>
              <w:t xml:space="preserve"> </w:t>
            </w:r>
            <w:r>
              <w:rPr>
                <w:rFonts w:ascii="Arial Narrow" w:hAnsi="Arial Narrow"/>
                <w:noProof/>
                <w:color w:val="006100"/>
                <w:sz w:val="20"/>
              </w:rPr>
              <w:t>rzecz CDP Venture Capital SGR na rzecz instrumentu.</w:t>
            </w:r>
          </w:p>
          <w:p w14:paraId="1670A19F" w14:textId="77777777" w:rsidR="004C6421" w:rsidRDefault="009D1962">
            <w:pPr>
              <w:pStyle w:val="P68B1DB1-Normal4"/>
              <w:rPr>
                <w:noProof/>
              </w:rPr>
            </w:pPr>
            <w:r>
              <w:rPr>
                <w:noProof/>
              </w:rPr>
              <w:t>Zadowalające osiągnięcie wartości docelowej wymaga również zmiany umowy wykonawczej między Włochami a CDP Venture Capital SGR oraz regulaminu instrumentu, zgodnie z warunkami określonymi w decyzji wykonawczej Rady.</w:t>
            </w:r>
          </w:p>
        </w:tc>
      </w:tr>
      <w:tr w:rsidR="004C6421" w14:paraId="7658C9D8" w14:textId="77777777">
        <w:trPr>
          <w:trHeight w:val="309"/>
          <w:jc w:val="center"/>
        </w:trPr>
        <w:tc>
          <w:tcPr>
            <w:tcW w:w="1613" w:type="dxa"/>
            <w:shd w:val="clear" w:color="auto" w:fill="C6EFCE"/>
            <w:noWrap/>
            <w:vAlign w:val="center"/>
          </w:tcPr>
          <w:p w14:paraId="4AA747B1" w14:textId="77777777" w:rsidR="004C6421" w:rsidRDefault="009D1962">
            <w:pPr>
              <w:pStyle w:val="P68B1DB1-Normal4"/>
              <w:jc w:val="center"/>
              <w:rPr>
                <w:noProof/>
              </w:rPr>
            </w:pPr>
            <w:r>
              <w:rPr>
                <w:noProof/>
              </w:rPr>
              <w:t>M2C2-43</w:t>
            </w:r>
          </w:p>
        </w:tc>
        <w:tc>
          <w:tcPr>
            <w:tcW w:w="1643" w:type="dxa"/>
            <w:shd w:val="clear" w:color="auto" w:fill="C6EFCE"/>
            <w:noWrap/>
            <w:vAlign w:val="center"/>
          </w:tcPr>
          <w:p w14:paraId="0E761D0E" w14:textId="77777777" w:rsidR="004C6421" w:rsidRDefault="009D1962">
            <w:pPr>
              <w:pStyle w:val="P68B1DB1-Normal4"/>
              <w:jc w:val="center"/>
              <w:rPr>
                <w:noProof/>
              </w:rPr>
            </w:pPr>
            <w:r>
              <w:rPr>
                <w:noProof/>
              </w:rPr>
              <w:t>Inwestycje 5.4 – Wsparcie dla przedsiębiorstw typu start-up i kapitału wysokiego ryzyka prowadzących działalność w zakresie transformacji ekologicznej.</w:t>
            </w:r>
          </w:p>
        </w:tc>
        <w:tc>
          <w:tcPr>
            <w:tcW w:w="1559" w:type="dxa"/>
            <w:shd w:val="clear" w:color="auto" w:fill="C6EFCE"/>
            <w:noWrap/>
            <w:vAlign w:val="center"/>
          </w:tcPr>
          <w:p w14:paraId="64456E10" w14:textId="77777777" w:rsidR="004C6421" w:rsidRDefault="009D1962">
            <w:pPr>
              <w:pStyle w:val="P68B1DB1-Normal4"/>
              <w:jc w:val="center"/>
              <w:rPr>
                <w:noProof/>
              </w:rPr>
            </w:pPr>
            <w:r>
              <w:rPr>
                <w:noProof/>
              </w:rPr>
              <w:t>Cel</w:t>
            </w:r>
          </w:p>
        </w:tc>
        <w:tc>
          <w:tcPr>
            <w:tcW w:w="1559" w:type="dxa"/>
            <w:shd w:val="clear" w:color="auto" w:fill="C6EFCE"/>
            <w:noWrap/>
            <w:vAlign w:val="center"/>
          </w:tcPr>
          <w:p w14:paraId="569C3CB2" w14:textId="77777777" w:rsidR="004C6421" w:rsidRDefault="009D1962">
            <w:pPr>
              <w:pStyle w:val="P68B1DB1-Normal4"/>
              <w:jc w:val="center"/>
              <w:rPr>
                <w:noProof/>
              </w:rPr>
            </w:pPr>
            <w:r>
              <w:rPr>
                <w:noProof/>
              </w:rPr>
              <w:t>Umowy prawne podpisane z funduszami venture capital i przedsiębiorstwami typu start-up</w:t>
            </w:r>
          </w:p>
        </w:tc>
        <w:tc>
          <w:tcPr>
            <w:tcW w:w="1843" w:type="dxa"/>
            <w:shd w:val="clear" w:color="auto" w:fill="C6EFCE"/>
            <w:noWrap/>
            <w:vAlign w:val="center"/>
          </w:tcPr>
          <w:p w14:paraId="42D14D2F" w14:textId="77777777" w:rsidR="004C6421" w:rsidRDefault="004C6421">
            <w:pPr>
              <w:jc w:val="center"/>
              <w:rPr>
                <w:rFonts w:ascii="Arial Narrow" w:hAnsi="Arial Narrow"/>
                <w:noProof/>
                <w:color w:val="006100"/>
                <w:sz w:val="20"/>
              </w:rPr>
            </w:pPr>
          </w:p>
        </w:tc>
        <w:tc>
          <w:tcPr>
            <w:tcW w:w="1417" w:type="dxa"/>
            <w:shd w:val="clear" w:color="auto" w:fill="C6EFCE"/>
            <w:noWrap/>
            <w:vAlign w:val="center"/>
          </w:tcPr>
          <w:p w14:paraId="728AD9B7" w14:textId="77777777" w:rsidR="004C6421" w:rsidRDefault="009D1962">
            <w:pPr>
              <w:pStyle w:val="P68B1DB1-Normal4"/>
              <w:jc w:val="center"/>
              <w:rPr>
                <w:noProof/>
              </w:rPr>
            </w:pPr>
            <w:r>
              <w:rPr>
                <w:noProof/>
              </w:rPr>
              <w:t>EUR</w:t>
            </w:r>
          </w:p>
        </w:tc>
        <w:tc>
          <w:tcPr>
            <w:tcW w:w="1134" w:type="dxa"/>
            <w:shd w:val="clear" w:color="auto" w:fill="C6EFCE"/>
            <w:noWrap/>
            <w:vAlign w:val="center"/>
          </w:tcPr>
          <w:p w14:paraId="53CF32EC" w14:textId="77777777" w:rsidR="004C6421" w:rsidRDefault="009D1962">
            <w:pPr>
              <w:pStyle w:val="P68B1DB1-Normal4"/>
              <w:jc w:val="center"/>
              <w:rPr>
                <w:noProof/>
              </w:rPr>
            </w:pPr>
            <w:r>
              <w:rPr>
                <w:noProof/>
              </w:rPr>
              <w:t>0</w:t>
            </w:r>
          </w:p>
        </w:tc>
        <w:tc>
          <w:tcPr>
            <w:tcW w:w="946" w:type="dxa"/>
            <w:shd w:val="clear" w:color="auto" w:fill="C6EFCE"/>
            <w:noWrap/>
            <w:vAlign w:val="center"/>
          </w:tcPr>
          <w:p w14:paraId="4EE161DF" w14:textId="77777777" w:rsidR="004C6421" w:rsidRDefault="009D1962">
            <w:pPr>
              <w:pStyle w:val="P68B1DB1-Normal4"/>
              <w:jc w:val="center"/>
              <w:rPr>
                <w:noProof/>
              </w:rPr>
            </w:pPr>
            <w:r>
              <w:rPr>
                <w:noProof/>
              </w:rPr>
              <w:t>100 %</w:t>
            </w:r>
          </w:p>
        </w:tc>
        <w:tc>
          <w:tcPr>
            <w:tcW w:w="992" w:type="dxa"/>
            <w:shd w:val="clear" w:color="auto" w:fill="C6EFCE"/>
            <w:noWrap/>
            <w:vAlign w:val="center"/>
          </w:tcPr>
          <w:p w14:paraId="3774958F" w14:textId="77777777" w:rsidR="004C6421" w:rsidRDefault="009D1962">
            <w:pPr>
              <w:pStyle w:val="P68B1DB1-Normal4"/>
              <w:jc w:val="center"/>
              <w:rPr>
                <w:noProof/>
              </w:rPr>
            </w:pPr>
            <w:r>
              <w:rPr>
                <w:noProof/>
              </w:rPr>
              <w:t>II KW.</w:t>
            </w:r>
          </w:p>
        </w:tc>
        <w:tc>
          <w:tcPr>
            <w:tcW w:w="756" w:type="dxa"/>
            <w:shd w:val="clear" w:color="auto" w:fill="C6EFCE"/>
            <w:noWrap/>
            <w:vAlign w:val="center"/>
          </w:tcPr>
          <w:p w14:paraId="0E9A57DC" w14:textId="77777777" w:rsidR="004C6421" w:rsidRDefault="009D1962">
            <w:pPr>
              <w:pStyle w:val="P68B1DB1-Normal4"/>
              <w:jc w:val="center"/>
              <w:rPr>
                <w:noProof/>
              </w:rPr>
            </w:pPr>
            <w:r>
              <w:rPr>
                <w:noProof/>
              </w:rPr>
              <w:t>2026</w:t>
            </w:r>
          </w:p>
        </w:tc>
        <w:tc>
          <w:tcPr>
            <w:tcW w:w="2793" w:type="dxa"/>
            <w:shd w:val="clear" w:color="auto" w:fill="C6EFCE"/>
            <w:noWrap/>
          </w:tcPr>
          <w:p w14:paraId="52293C48" w14:textId="77777777" w:rsidR="004C6421" w:rsidRDefault="009D1962">
            <w:pPr>
              <w:pStyle w:val="P68B1DB1-Normal4"/>
              <w:jc w:val="both"/>
              <w:rPr>
                <w:noProof/>
              </w:rPr>
            </w:pPr>
            <w:r>
              <w:rPr>
                <w:noProof/>
              </w:rPr>
              <w:t>Cassa Depositi e Prestiti Venture Capital musi zawrzeć prawne umowy o finansowaniu z przedsiębiorstwami typu start-up, programy inkubacji/przyśpieszenia lub funduszem venture capital na kwotę niezbędną do wykorzystania 100 % inwestycji RRF (250 mln EUR) w instrument (w tym średni maksymalny pułap w wysokości 13 % opłat za zarządzanie i kosztów GTF w całym cyklu życia funduszu, a także z uwzględnieniem warunków wstępnych dotyczących kolejnych rund inwestycyjnych, z wyjątkiem przeniesionych opłat za wyniki oraz wszystkich kosztów i opłat za zarządzanie związanych ze środkami osób trzecich).</w:t>
            </w:r>
          </w:p>
          <w:p w14:paraId="12FA7A30" w14:textId="77777777" w:rsidR="004C6421" w:rsidRDefault="004C6421">
            <w:pPr>
              <w:jc w:val="both"/>
              <w:rPr>
                <w:rFonts w:ascii="Arial Narrow" w:hAnsi="Arial Narrow"/>
                <w:noProof/>
                <w:color w:val="006100"/>
                <w:sz w:val="20"/>
              </w:rPr>
            </w:pPr>
          </w:p>
          <w:p w14:paraId="2E2E49B9" w14:textId="77777777" w:rsidR="004C6421" w:rsidRDefault="009D1962">
            <w:pPr>
              <w:pStyle w:val="P68B1DB1-Normal4"/>
              <w:jc w:val="both"/>
              <w:rPr>
                <w:noProof/>
              </w:rPr>
            </w:pPr>
            <w:r>
              <w:rPr>
                <w:noProof/>
              </w:rPr>
              <w:t>Inwestycję dzieli się na następujące dwie linie interwencji:</w:t>
            </w:r>
          </w:p>
          <w:p w14:paraId="40CF0038" w14:textId="77777777" w:rsidR="004C6421" w:rsidRDefault="004C6421">
            <w:pPr>
              <w:jc w:val="both"/>
              <w:rPr>
                <w:rFonts w:ascii="Arial Narrow" w:hAnsi="Arial Narrow"/>
                <w:noProof/>
                <w:color w:val="006100"/>
                <w:sz w:val="20"/>
              </w:rPr>
            </w:pPr>
          </w:p>
          <w:p w14:paraId="60483F28" w14:textId="77777777" w:rsidR="004C6421" w:rsidRDefault="009D1962">
            <w:pPr>
              <w:pStyle w:val="P68B1DB1-Normal4"/>
              <w:jc w:val="both"/>
              <w:rPr>
                <w:noProof/>
              </w:rPr>
            </w:pPr>
            <w:r>
              <w:rPr>
                <w:noProof/>
              </w:rPr>
              <w:t>— Inwestycje bezpośrednie.</w:t>
            </w:r>
          </w:p>
          <w:p w14:paraId="4EABC110" w14:textId="77777777" w:rsidR="004C6421" w:rsidRDefault="004C6421">
            <w:pPr>
              <w:jc w:val="both"/>
              <w:rPr>
                <w:rFonts w:ascii="Arial Narrow" w:hAnsi="Arial Narrow"/>
                <w:noProof/>
                <w:color w:val="006100"/>
                <w:sz w:val="20"/>
              </w:rPr>
            </w:pPr>
          </w:p>
          <w:p w14:paraId="2E1A735B" w14:textId="77777777" w:rsidR="004C6421" w:rsidRDefault="009D1962">
            <w:pPr>
              <w:pStyle w:val="P68B1DB1-Normal4"/>
              <w:jc w:val="both"/>
              <w:rPr>
                <w:noProof/>
              </w:rPr>
            </w:pPr>
            <w:r>
              <w:rPr>
                <w:noProof/>
              </w:rPr>
              <w:t>Inwestycje pośrednie.</w:t>
            </w:r>
          </w:p>
          <w:p w14:paraId="47C83D27" w14:textId="77777777" w:rsidR="004C6421" w:rsidRDefault="004C6421">
            <w:pPr>
              <w:jc w:val="both"/>
              <w:rPr>
                <w:rFonts w:ascii="Arial Narrow" w:hAnsi="Arial Narrow"/>
                <w:noProof/>
                <w:color w:val="006100"/>
                <w:sz w:val="20"/>
              </w:rPr>
            </w:pPr>
          </w:p>
          <w:p w14:paraId="67DEEBDD" w14:textId="77777777" w:rsidR="004C6421" w:rsidRDefault="009D1962">
            <w:pPr>
              <w:pStyle w:val="P68B1DB1-Normal4"/>
              <w:jc w:val="both"/>
              <w:rPr>
                <w:noProof/>
              </w:rPr>
            </w:pPr>
            <w:r>
              <w:rPr>
                <w:noProof/>
              </w:rPr>
              <w:t xml:space="preserve">W przypadku inwestycji pośrednich w fundusze venture capital Cassa Depositi e Prestiti Venture Capital musi zawrzeć z funduszami venture capital prawne umowy w sprawie finansowania na kwotę niezbędną do orientacyjnego wykorzystania około 60 % inwestycji RRF w instrument (z wyłączeniem opłat za zarządzanie i kosztów GTF w całym cyklu życia funduszu). </w:t>
            </w:r>
          </w:p>
          <w:p w14:paraId="6E0B704C" w14:textId="77777777" w:rsidR="004C6421" w:rsidRDefault="004C6421">
            <w:pPr>
              <w:jc w:val="both"/>
              <w:rPr>
                <w:rFonts w:ascii="Arial Narrow" w:hAnsi="Arial Narrow"/>
                <w:noProof/>
                <w:color w:val="006100"/>
                <w:sz w:val="20"/>
              </w:rPr>
            </w:pPr>
          </w:p>
          <w:p w14:paraId="47E00CD8" w14:textId="77777777" w:rsidR="004C6421" w:rsidRDefault="009D1962">
            <w:pPr>
              <w:pStyle w:val="P68B1DB1-Normal4"/>
              <w:jc w:val="both"/>
              <w:rPr>
                <w:noProof/>
              </w:rPr>
            </w:pPr>
            <w:r>
              <w:rPr>
                <w:noProof/>
              </w:rPr>
              <w:t>W przypadku inwestycji pośrednich w przedsiębiorstwa typu start-up prawne umowy w sprawie finansowania z funduszami venture capital zawierają wiążące zobowiązanie do osiągnięcia skumulowanego efektu dźwigni wykorzystanego kapitału zarówno na poziomie funduszy, jak i na poziomie przedsiębiorstw typu start-up o co najmniej 1x1 przez cały okres funkcjonowania funduszu.</w:t>
            </w:r>
          </w:p>
          <w:p w14:paraId="79599069" w14:textId="77777777" w:rsidR="004C6421" w:rsidRDefault="004C6421">
            <w:pPr>
              <w:jc w:val="both"/>
              <w:rPr>
                <w:rFonts w:ascii="Arial Narrow" w:hAnsi="Arial Narrow"/>
                <w:noProof/>
                <w:color w:val="006100"/>
                <w:sz w:val="20"/>
              </w:rPr>
            </w:pPr>
          </w:p>
          <w:p w14:paraId="7C05F318" w14:textId="77777777" w:rsidR="004C6421" w:rsidRDefault="009D1962">
            <w:pPr>
              <w:pStyle w:val="P68B1DB1-Normal4"/>
              <w:jc w:val="both"/>
              <w:rPr>
                <w:noProof/>
              </w:rPr>
            </w:pPr>
            <w:r>
              <w:rPr>
                <w:noProof/>
              </w:rPr>
              <w:t>W przypadku inwestycji bezpośrednich kapitał wysokiego ryzyka CDP zawiera prawne umowy o finansowaniu z przedsiębiorstwami typu start-up/inkubacji/programami przyspieszenia na kwotę niezbędną do orientacyjnego wykorzystania około 40 % inwestycji w RRF (250 mln EUR) w instrument (w tym opłaty za zarządzanie i koszty GTF w całym cyklu życia funduszu).</w:t>
            </w:r>
          </w:p>
          <w:p w14:paraId="0B4BCFBD" w14:textId="77777777" w:rsidR="004C6421" w:rsidRDefault="009D1962">
            <w:pPr>
              <w:pStyle w:val="P68B1DB1-Normal4"/>
              <w:jc w:val="both"/>
              <w:rPr>
                <w:noProof/>
              </w:rPr>
            </w:pPr>
            <w:r>
              <w:rPr>
                <w:noProof/>
              </w:rPr>
              <w:t>Ponadto w przypadku inwestycji bezpośrednich prawna umowa o finansowaniu z przedsiębiorstwami typu start-up może zawierać warunki ex ante dotyczące kolejnych rund inwestycyjnych (tj. warunki uwolnienia finansowania Serie B lub Serie C).</w:t>
            </w:r>
          </w:p>
          <w:p w14:paraId="766D4E6A" w14:textId="77777777" w:rsidR="004C6421" w:rsidRDefault="004C6421">
            <w:pPr>
              <w:jc w:val="both"/>
              <w:rPr>
                <w:rFonts w:ascii="Arial Narrow" w:hAnsi="Arial Narrow"/>
                <w:noProof/>
                <w:color w:val="006100"/>
                <w:sz w:val="20"/>
              </w:rPr>
            </w:pPr>
          </w:p>
          <w:p w14:paraId="5A6620A8" w14:textId="77777777" w:rsidR="004C6421" w:rsidRDefault="009D1962">
            <w:pPr>
              <w:pStyle w:val="P68B1DB1-Normal4"/>
              <w:jc w:val="both"/>
              <w:rPr>
                <w:noProof/>
              </w:rPr>
            </w:pPr>
            <w:r>
              <w:rPr>
                <w:noProof/>
              </w:rPr>
              <w:t xml:space="preserve">Zobowiązania w ramach tego środka podjęte przed wejściem w życie zmian w polityce inwestycyjnej umowy wykonawczej oraz zgodnie z umową w ramach kamienia milowego M2C2-42 poprzednia polityka inwestycyjna są również zaliczane na poczet osiągnięcia wartości docelowej. </w:t>
            </w:r>
          </w:p>
          <w:p w14:paraId="1AFFB974" w14:textId="77777777" w:rsidR="004C6421" w:rsidRDefault="009D1962">
            <w:pPr>
              <w:pStyle w:val="P68B1DB1-Normal4"/>
              <w:jc w:val="both"/>
              <w:rPr>
                <w:noProof/>
              </w:rPr>
            </w:pPr>
            <w:r>
              <w:rPr>
                <w:noProof/>
              </w:rPr>
              <w:t xml:space="preserve">Od daty wejścia w życie decyzji wykonawczej Rady nowe zobowiązania powinny zacząć obowiązywać zgodnie z nową polityką inwestycyjną zgodnie z nową decyzją wykonawczą Rady. </w:t>
            </w:r>
          </w:p>
          <w:p w14:paraId="5F7A6A9C" w14:textId="77777777" w:rsidR="004C6421" w:rsidRDefault="004C6421">
            <w:pPr>
              <w:rPr>
                <w:rFonts w:ascii="Arial Narrow" w:hAnsi="Arial Narrow"/>
                <w:noProof/>
                <w:sz w:val="20"/>
              </w:rPr>
            </w:pPr>
          </w:p>
        </w:tc>
      </w:tr>
      <w:tr w:rsidR="004C6421" w14:paraId="66F23A08" w14:textId="77777777">
        <w:trPr>
          <w:trHeight w:val="309"/>
          <w:jc w:val="center"/>
        </w:trPr>
        <w:tc>
          <w:tcPr>
            <w:tcW w:w="1613" w:type="dxa"/>
            <w:shd w:val="clear" w:color="auto" w:fill="C6EFCE"/>
            <w:noWrap/>
            <w:vAlign w:val="center"/>
            <w:hideMark/>
          </w:tcPr>
          <w:p w14:paraId="4744683E" w14:textId="77777777" w:rsidR="004C6421" w:rsidRDefault="009D1962">
            <w:pPr>
              <w:pStyle w:val="P68B1DB1-Normal4"/>
              <w:jc w:val="center"/>
              <w:rPr>
                <w:noProof/>
              </w:rPr>
            </w:pPr>
            <w:r>
              <w:rPr>
                <w:noProof/>
              </w:rPr>
              <w:t>M2C2-44</w:t>
            </w:r>
          </w:p>
        </w:tc>
        <w:tc>
          <w:tcPr>
            <w:tcW w:w="1643" w:type="dxa"/>
            <w:shd w:val="clear" w:color="auto" w:fill="C6EFCE"/>
            <w:noWrap/>
            <w:vAlign w:val="center"/>
            <w:hideMark/>
          </w:tcPr>
          <w:p w14:paraId="265FE745" w14:textId="77777777" w:rsidR="004C6421" w:rsidRDefault="009D1962">
            <w:pPr>
              <w:pStyle w:val="P68B1DB1-Normal4"/>
              <w:jc w:val="center"/>
              <w:rPr>
                <w:noProof/>
              </w:rPr>
            </w:pPr>
            <w:r>
              <w:rPr>
                <w:noProof/>
              </w:rPr>
              <w:t>Inwestycja 1.1 Rozwój systemów agrowoltaicznych</w:t>
            </w:r>
          </w:p>
        </w:tc>
        <w:tc>
          <w:tcPr>
            <w:tcW w:w="1559" w:type="dxa"/>
            <w:shd w:val="clear" w:color="auto" w:fill="C6EFCE"/>
            <w:noWrap/>
            <w:vAlign w:val="center"/>
            <w:hideMark/>
          </w:tcPr>
          <w:p w14:paraId="48380640" w14:textId="5C2EB542" w:rsidR="004C6421" w:rsidRDefault="00CC179E">
            <w:pPr>
              <w:pStyle w:val="P68B1DB1-Normal4"/>
              <w:jc w:val="center"/>
              <w:rPr>
                <w:noProof/>
              </w:rPr>
            </w:pPr>
            <w:r>
              <w:rPr>
                <w:noProof/>
              </w:rPr>
              <w:t>Milowy</w:t>
            </w:r>
          </w:p>
        </w:tc>
        <w:tc>
          <w:tcPr>
            <w:tcW w:w="1559" w:type="dxa"/>
            <w:shd w:val="clear" w:color="auto" w:fill="C6EFCE"/>
            <w:noWrap/>
            <w:vAlign w:val="center"/>
            <w:hideMark/>
          </w:tcPr>
          <w:p w14:paraId="2854AA54" w14:textId="77777777" w:rsidR="004C6421" w:rsidRDefault="009D1962">
            <w:pPr>
              <w:pStyle w:val="P68B1DB1-Normal4"/>
              <w:jc w:val="center"/>
              <w:rPr>
                <w:noProof/>
              </w:rPr>
            </w:pPr>
            <w:r>
              <w:rPr>
                <w:noProof/>
              </w:rPr>
              <w:t>Udzielanie wszystkich zamówień publicznych na instalację fotowoltaicznych paneli słonecznych w systemach rolniczych</w:t>
            </w:r>
          </w:p>
        </w:tc>
        <w:tc>
          <w:tcPr>
            <w:tcW w:w="1843" w:type="dxa"/>
            <w:shd w:val="clear" w:color="auto" w:fill="C6EFCE"/>
            <w:noWrap/>
            <w:vAlign w:val="center"/>
            <w:hideMark/>
          </w:tcPr>
          <w:p w14:paraId="531733A1" w14:textId="77777777" w:rsidR="004C6421" w:rsidRDefault="009D1962">
            <w:pPr>
              <w:pStyle w:val="P68B1DB1-Normal4"/>
              <w:jc w:val="center"/>
              <w:rPr>
                <w:noProof/>
              </w:rPr>
            </w:pPr>
            <w:r>
              <w:rPr>
                <w:noProof/>
              </w:rPr>
              <w:t xml:space="preserve">Powiadomienie o udzieleniu wszystkich zamówień publicznych na instalację fotowoltaicznych paneli słonecznych w systemach rolniczych </w:t>
            </w:r>
          </w:p>
        </w:tc>
        <w:tc>
          <w:tcPr>
            <w:tcW w:w="1417" w:type="dxa"/>
            <w:shd w:val="clear" w:color="auto" w:fill="C6EFCE"/>
            <w:noWrap/>
            <w:vAlign w:val="center"/>
            <w:hideMark/>
          </w:tcPr>
          <w:p w14:paraId="3C247C88" w14:textId="77777777" w:rsidR="004C6421" w:rsidRDefault="009D1962">
            <w:pPr>
              <w:pStyle w:val="P68B1DB1-Normal4"/>
              <w:jc w:val="center"/>
              <w:rPr>
                <w:noProof/>
              </w:rPr>
            </w:pPr>
            <w:r>
              <w:rPr>
                <w:noProof/>
              </w:rPr>
              <w:t>NIE DOT.</w:t>
            </w:r>
          </w:p>
        </w:tc>
        <w:tc>
          <w:tcPr>
            <w:tcW w:w="1134" w:type="dxa"/>
            <w:shd w:val="clear" w:color="auto" w:fill="C6EFCE"/>
            <w:noWrap/>
            <w:vAlign w:val="center"/>
            <w:hideMark/>
          </w:tcPr>
          <w:p w14:paraId="5ECA4D76" w14:textId="77777777" w:rsidR="004C6421" w:rsidRDefault="009D1962">
            <w:pPr>
              <w:pStyle w:val="P68B1DB1-Normal4"/>
              <w:jc w:val="center"/>
              <w:rPr>
                <w:noProof/>
              </w:rPr>
            </w:pPr>
            <w:r>
              <w:rPr>
                <w:noProof/>
              </w:rPr>
              <w:t>NIE DOT.</w:t>
            </w:r>
          </w:p>
        </w:tc>
        <w:tc>
          <w:tcPr>
            <w:tcW w:w="946" w:type="dxa"/>
            <w:shd w:val="clear" w:color="auto" w:fill="C6EFCE"/>
            <w:noWrap/>
            <w:vAlign w:val="center"/>
            <w:hideMark/>
          </w:tcPr>
          <w:p w14:paraId="120AA2D4" w14:textId="77777777" w:rsidR="004C6421" w:rsidRDefault="009D1962">
            <w:pPr>
              <w:pStyle w:val="P68B1DB1-Normal4"/>
              <w:jc w:val="center"/>
              <w:rPr>
                <w:noProof/>
              </w:rPr>
            </w:pPr>
            <w:r>
              <w:rPr>
                <w:noProof/>
              </w:rPr>
              <w:t>NIE DOT.</w:t>
            </w:r>
          </w:p>
        </w:tc>
        <w:tc>
          <w:tcPr>
            <w:tcW w:w="992" w:type="dxa"/>
            <w:shd w:val="clear" w:color="auto" w:fill="C6EFCE"/>
            <w:noWrap/>
            <w:vAlign w:val="center"/>
            <w:hideMark/>
          </w:tcPr>
          <w:p w14:paraId="3D155544" w14:textId="06EC8650" w:rsidR="004C6421" w:rsidRDefault="00CC179E">
            <w:pPr>
              <w:pStyle w:val="P68B1DB1-Normal4"/>
              <w:jc w:val="center"/>
              <w:rPr>
                <w:noProof/>
              </w:rPr>
            </w:pPr>
            <w:r>
              <w:rPr>
                <w:noProof/>
              </w:rPr>
              <w:t>KW. 4</w:t>
            </w:r>
          </w:p>
        </w:tc>
        <w:tc>
          <w:tcPr>
            <w:tcW w:w="756" w:type="dxa"/>
            <w:shd w:val="clear" w:color="auto" w:fill="C6EFCE"/>
            <w:noWrap/>
            <w:vAlign w:val="center"/>
            <w:hideMark/>
          </w:tcPr>
          <w:p w14:paraId="7674D8A8" w14:textId="77777777" w:rsidR="004C6421" w:rsidRDefault="009D1962">
            <w:pPr>
              <w:pStyle w:val="P68B1DB1-Normal4"/>
              <w:jc w:val="center"/>
              <w:rPr>
                <w:noProof/>
              </w:rPr>
            </w:pPr>
            <w:r>
              <w:rPr>
                <w:noProof/>
              </w:rPr>
              <w:t>2024</w:t>
            </w:r>
          </w:p>
        </w:tc>
        <w:tc>
          <w:tcPr>
            <w:tcW w:w="2793" w:type="dxa"/>
            <w:shd w:val="clear" w:color="auto" w:fill="C6EFCE"/>
            <w:noWrap/>
            <w:vAlign w:val="center"/>
            <w:hideMark/>
          </w:tcPr>
          <w:p w14:paraId="7BA8A5C1" w14:textId="77777777" w:rsidR="004C6421" w:rsidRDefault="009D1962">
            <w:pPr>
              <w:pStyle w:val="P68B1DB1-Normal4"/>
              <w:rPr>
                <w:noProof/>
              </w:rPr>
            </w:pPr>
            <w:r>
              <w:rPr>
                <w:noProof/>
              </w:rPr>
              <w:t>Powiadomienie o udzieleniu wszystkich zamówień publicznych na instalację fotowoltaicznych paneli słonecznych i przyrządów pomiarowych w systemach agrowoltaicznych.</w:t>
            </w:r>
          </w:p>
          <w:p w14:paraId="0FEBDFB7" w14:textId="77777777" w:rsidR="004C6421" w:rsidRDefault="009D1962">
            <w:pPr>
              <w:pStyle w:val="P68B1DB1-Normal4"/>
              <w:rPr>
                <w:noProof/>
              </w:rPr>
            </w:pPr>
            <w:r>
              <w:rPr>
                <w:noProof/>
              </w:rPr>
              <w:t>Oczekuje się, że moc zainstalowana systemów agrowoltaicznych o charakterze eksperymentalnym będzie zachęcać do opracowywania innowacyjnych rozwiązań dla instalacji naziemnych, w których może współistnieć wiele sposobów użytkowania gruntów, przynosząc konkurencyjne korzyści. Uruchomienie zakładów jest rejestrowane w krajowym systemie Gaudì (rejestr zakładów produkcyjnych), który dostarcza jednoznacznych dowodów na osiągnięcie celów.</w:t>
            </w:r>
          </w:p>
        </w:tc>
      </w:tr>
      <w:tr w:rsidR="004C6421" w14:paraId="728BBF00" w14:textId="77777777">
        <w:trPr>
          <w:trHeight w:val="309"/>
          <w:jc w:val="center"/>
        </w:trPr>
        <w:tc>
          <w:tcPr>
            <w:tcW w:w="1613" w:type="dxa"/>
            <w:shd w:val="clear" w:color="auto" w:fill="C6EFCE"/>
            <w:noWrap/>
            <w:vAlign w:val="center"/>
            <w:hideMark/>
          </w:tcPr>
          <w:p w14:paraId="75A93AD7" w14:textId="77777777" w:rsidR="004C6421" w:rsidRDefault="009D1962">
            <w:pPr>
              <w:pStyle w:val="P68B1DB1-Normal4"/>
              <w:jc w:val="center"/>
              <w:rPr>
                <w:noProof/>
              </w:rPr>
            </w:pPr>
            <w:r>
              <w:rPr>
                <w:noProof/>
              </w:rPr>
              <w:t>M2C2-45</w:t>
            </w:r>
          </w:p>
        </w:tc>
        <w:tc>
          <w:tcPr>
            <w:tcW w:w="1643" w:type="dxa"/>
            <w:shd w:val="clear" w:color="auto" w:fill="C6EFCE"/>
            <w:noWrap/>
            <w:vAlign w:val="center"/>
            <w:hideMark/>
          </w:tcPr>
          <w:p w14:paraId="7843468F" w14:textId="77777777" w:rsidR="004C6421" w:rsidRDefault="009D1962">
            <w:pPr>
              <w:pStyle w:val="P68B1DB1-Normal4"/>
              <w:jc w:val="center"/>
              <w:rPr>
                <w:noProof/>
              </w:rPr>
            </w:pPr>
            <w:r>
              <w:rPr>
                <w:noProof/>
              </w:rPr>
              <w:t>Inwestycja 1.1 Rozwój systemów agrowoltaicznych</w:t>
            </w:r>
          </w:p>
        </w:tc>
        <w:tc>
          <w:tcPr>
            <w:tcW w:w="1559" w:type="dxa"/>
            <w:shd w:val="clear" w:color="auto" w:fill="C6EFCE"/>
            <w:noWrap/>
            <w:vAlign w:val="center"/>
            <w:hideMark/>
          </w:tcPr>
          <w:p w14:paraId="47F6D0EA" w14:textId="77777777" w:rsidR="004C6421" w:rsidRDefault="009D1962">
            <w:pPr>
              <w:pStyle w:val="P68B1DB1-Normal4"/>
              <w:jc w:val="center"/>
              <w:rPr>
                <w:noProof/>
              </w:rPr>
            </w:pPr>
            <w:r>
              <w:rPr>
                <w:noProof/>
              </w:rPr>
              <w:t>Cel</w:t>
            </w:r>
          </w:p>
        </w:tc>
        <w:tc>
          <w:tcPr>
            <w:tcW w:w="1559" w:type="dxa"/>
            <w:shd w:val="clear" w:color="auto" w:fill="C6EFCE"/>
            <w:noWrap/>
            <w:vAlign w:val="center"/>
            <w:hideMark/>
          </w:tcPr>
          <w:p w14:paraId="62B96950" w14:textId="77777777" w:rsidR="004C6421" w:rsidRDefault="009D1962">
            <w:pPr>
              <w:pStyle w:val="P68B1DB1-Normal4"/>
              <w:jc w:val="center"/>
              <w:rPr>
                <w:noProof/>
              </w:rPr>
            </w:pPr>
            <w:r>
              <w:rPr>
                <w:noProof/>
              </w:rPr>
              <w:t xml:space="preserve">Instalacja fotowoltaicznych paneli słonecznych w systemach rolniczych </w:t>
            </w:r>
          </w:p>
        </w:tc>
        <w:tc>
          <w:tcPr>
            <w:tcW w:w="1843" w:type="dxa"/>
            <w:shd w:val="clear" w:color="auto" w:fill="C6EFCE"/>
            <w:noWrap/>
            <w:vAlign w:val="center"/>
            <w:hideMark/>
          </w:tcPr>
          <w:p w14:paraId="7E0A06C3" w14:textId="77777777" w:rsidR="004C6421" w:rsidRDefault="009D1962">
            <w:pPr>
              <w:pStyle w:val="P68B1DB1-Normal4"/>
              <w:jc w:val="center"/>
              <w:rPr>
                <w:noProof/>
              </w:rPr>
            </w:pPr>
            <w:r>
              <w:rPr>
                <w:noProof/>
              </w:rPr>
              <w:t>NIE DOT.</w:t>
            </w:r>
          </w:p>
        </w:tc>
        <w:tc>
          <w:tcPr>
            <w:tcW w:w="1417" w:type="dxa"/>
            <w:shd w:val="clear" w:color="auto" w:fill="C6EFCE"/>
            <w:noWrap/>
            <w:vAlign w:val="center"/>
            <w:hideMark/>
          </w:tcPr>
          <w:p w14:paraId="61B26BD6" w14:textId="77777777" w:rsidR="004C6421" w:rsidRDefault="009D1962">
            <w:pPr>
              <w:pStyle w:val="P68B1DB1-Normal4"/>
              <w:jc w:val="center"/>
              <w:rPr>
                <w:noProof/>
              </w:rPr>
            </w:pPr>
            <w:r>
              <w:rPr>
                <w:noProof/>
              </w:rPr>
              <w:t>MW</w:t>
            </w:r>
          </w:p>
        </w:tc>
        <w:tc>
          <w:tcPr>
            <w:tcW w:w="1134" w:type="dxa"/>
            <w:shd w:val="clear" w:color="auto" w:fill="C6EFCE"/>
            <w:noWrap/>
            <w:vAlign w:val="center"/>
            <w:hideMark/>
          </w:tcPr>
          <w:p w14:paraId="14DFDA78" w14:textId="77777777" w:rsidR="004C6421" w:rsidRDefault="009D1962">
            <w:pPr>
              <w:pStyle w:val="P68B1DB1-Normal4"/>
              <w:jc w:val="center"/>
              <w:rPr>
                <w:noProof/>
              </w:rPr>
            </w:pPr>
            <w:r>
              <w:rPr>
                <w:noProof/>
              </w:rPr>
              <w:t>0</w:t>
            </w:r>
          </w:p>
        </w:tc>
        <w:tc>
          <w:tcPr>
            <w:tcW w:w="946" w:type="dxa"/>
            <w:shd w:val="clear" w:color="auto" w:fill="C6EFCE"/>
            <w:noWrap/>
            <w:vAlign w:val="center"/>
            <w:hideMark/>
          </w:tcPr>
          <w:p w14:paraId="6ACCEC62" w14:textId="77777777" w:rsidR="004C6421" w:rsidRDefault="009D1962">
            <w:pPr>
              <w:pStyle w:val="P68B1DB1-Normal4"/>
              <w:jc w:val="center"/>
              <w:rPr>
                <w:noProof/>
              </w:rPr>
            </w:pPr>
            <w:r>
              <w:rPr>
                <w:noProof/>
              </w:rPr>
              <w:t>900</w:t>
            </w:r>
          </w:p>
        </w:tc>
        <w:tc>
          <w:tcPr>
            <w:tcW w:w="992" w:type="dxa"/>
            <w:shd w:val="clear" w:color="auto" w:fill="C6EFCE"/>
            <w:noWrap/>
            <w:vAlign w:val="center"/>
            <w:hideMark/>
          </w:tcPr>
          <w:p w14:paraId="52954DAF" w14:textId="77777777" w:rsidR="004C6421" w:rsidRDefault="009D1962">
            <w:pPr>
              <w:pStyle w:val="P68B1DB1-Normal4"/>
              <w:jc w:val="center"/>
              <w:rPr>
                <w:noProof/>
              </w:rPr>
            </w:pPr>
            <w:r>
              <w:rPr>
                <w:noProof/>
              </w:rPr>
              <w:t>II KW.</w:t>
            </w:r>
          </w:p>
        </w:tc>
        <w:tc>
          <w:tcPr>
            <w:tcW w:w="756" w:type="dxa"/>
            <w:shd w:val="clear" w:color="auto" w:fill="C6EFCE"/>
            <w:noWrap/>
            <w:vAlign w:val="center"/>
            <w:hideMark/>
          </w:tcPr>
          <w:p w14:paraId="44D20392" w14:textId="77777777" w:rsidR="004C6421" w:rsidRDefault="009D1962">
            <w:pPr>
              <w:pStyle w:val="P68B1DB1-Normal4"/>
              <w:jc w:val="center"/>
              <w:rPr>
                <w:noProof/>
              </w:rPr>
            </w:pPr>
            <w:r>
              <w:rPr>
                <w:noProof/>
              </w:rPr>
              <w:t>2026</w:t>
            </w:r>
          </w:p>
        </w:tc>
        <w:tc>
          <w:tcPr>
            <w:tcW w:w="2793" w:type="dxa"/>
            <w:shd w:val="clear" w:color="auto" w:fill="C6EFCE"/>
            <w:noWrap/>
            <w:vAlign w:val="center"/>
            <w:hideMark/>
          </w:tcPr>
          <w:p w14:paraId="47DFDF71" w14:textId="77777777" w:rsidR="004C6421" w:rsidRDefault="009D1962">
            <w:pPr>
              <w:pStyle w:val="P68B1DB1-Normal4"/>
              <w:rPr>
                <w:noProof/>
              </w:rPr>
            </w:pPr>
            <w:r>
              <w:rPr>
                <w:noProof/>
              </w:rPr>
              <w:t xml:space="preserve">Zainstalowanie fotowoltaicznych paneli słonecznych w systemach rolniczych o mocy co najmniej 900 MW. </w:t>
            </w:r>
          </w:p>
        </w:tc>
      </w:tr>
      <w:tr w:rsidR="004C6421" w14:paraId="4D07E73A" w14:textId="77777777">
        <w:trPr>
          <w:trHeight w:val="309"/>
          <w:jc w:val="center"/>
        </w:trPr>
        <w:tc>
          <w:tcPr>
            <w:tcW w:w="1613" w:type="dxa"/>
            <w:shd w:val="clear" w:color="auto" w:fill="C6EFCE"/>
            <w:noWrap/>
            <w:vAlign w:val="center"/>
            <w:hideMark/>
          </w:tcPr>
          <w:p w14:paraId="762B51BE" w14:textId="77777777" w:rsidR="004C6421" w:rsidRDefault="009D1962">
            <w:pPr>
              <w:pStyle w:val="P68B1DB1-Normal4"/>
              <w:jc w:val="center"/>
              <w:rPr>
                <w:noProof/>
              </w:rPr>
            </w:pPr>
            <w:r>
              <w:rPr>
                <w:noProof/>
              </w:rPr>
              <w:t>M2C2-46</w:t>
            </w:r>
          </w:p>
        </w:tc>
        <w:tc>
          <w:tcPr>
            <w:tcW w:w="1643" w:type="dxa"/>
            <w:shd w:val="clear" w:color="auto" w:fill="C6EFCE"/>
            <w:noWrap/>
            <w:vAlign w:val="center"/>
            <w:hideMark/>
          </w:tcPr>
          <w:p w14:paraId="76EBD1D8" w14:textId="77777777" w:rsidR="004C6421" w:rsidRDefault="009D1962">
            <w:pPr>
              <w:pStyle w:val="P68B1DB1-Normal4"/>
              <w:jc w:val="center"/>
              <w:rPr>
                <w:noProof/>
              </w:rPr>
            </w:pPr>
            <w:r>
              <w:rPr>
                <w:noProof/>
              </w:rPr>
              <w:t>Inwestycje 1.2 Promowanie odnawialnych źródeł energii dla społeczności energetycznych i działających wspólnie prosumentów energii ze źródeł odnawialnych</w:t>
            </w:r>
          </w:p>
        </w:tc>
        <w:tc>
          <w:tcPr>
            <w:tcW w:w="1559" w:type="dxa"/>
            <w:shd w:val="clear" w:color="auto" w:fill="C6EFCE"/>
            <w:noWrap/>
            <w:vAlign w:val="center"/>
            <w:hideMark/>
          </w:tcPr>
          <w:p w14:paraId="4FDE33FE" w14:textId="3AE95CAA" w:rsidR="004C6421" w:rsidRDefault="00CC179E">
            <w:pPr>
              <w:pStyle w:val="P68B1DB1-Normal4"/>
              <w:jc w:val="center"/>
              <w:rPr>
                <w:noProof/>
              </w:rPr>
            </w:pPr>
            <w:r>
              <w:rPr>
                <w:noProof/>
              </w:rPr>
              <w:t>Milowy</w:t>
            </w:r>
          </w:p>
        </w:tc>
        <w:tc>
          <w:tcPr>
            <w:tcW w:w="1559" w:type="dxa"/>
            <w:shd w:val="clear" w:color="auto" w:fill="C6EFCE"/>
            <w:noWrap/>
            <w:vAlign w:val="center"/>
            <w:hideMark/>
          </w:tcPr>
          <w:p w14:paraId="1A7D801A" w14:textId="77777777" w:rsidR="004C6421" w:rsidRDefault="009D1962">
            <w:pPr>
              <w:pStyle w:val="P68B1DB1-Normal4"/>
              <w:jc w:val="center"/>
              <w:rPr>
                <w:noProof/>
              </w:rPr>
            </w:pPr>
            <w:r>
              <w:rPr>
                <w:noProof/>
              </w:rPr>
              <w:t>Udzielanie wszystkich zamówień publicznych na udzielenie dotacji na realizację interwencji na rzecz społeczności energetycznych</w:t>
            </w:r>
          </w:p>
        </w:tc>
        <w:tc>
          <w:tcPr>
            <w:tcW w:w="1843" w:type="dxa"/>
            <w:shd w:val="clear" w:color="auto" w:fill="C6EFCE"/>
            <w:noWrap/>
            <w:vAlign w:val="center"/>
            <w:hideMark/>
          </w:tcPr>
          <w:p w14:paraId="5BA81D57" w14:textId="77777777" w:rsidR="004C6421" w:rsidRDefault="009D1962">
            <w:pPr>
              <w:pStyle w:val="P68B1DB1-Normal4"/>
              <w:jc w:val="center"/>
              <w:rPr>
                <w:noProof/>
              </w:rPr>
            </w:pPr>
            <w:r>
              <w:rPr>
                <w:noProof/>
              </w:rPr>
              <w:t xml:space="preserve">Powiadomienie o udzieleniu wszystkich zamówień publicznych na realizację interwencji na rzecz społeczności energetycznych </w:t>
            </w:r>
          </w:p>
        </w:tc>
        <w:tc>
          <w:tcPr>
            <w:tcW w:w="1417" w:type="dxa"/>
            <w:shd w:val="clear" w:color="auto" w:fill="C6EFCE"/>
            <w:noWrap/>
            <w:vAlign w:val="center"/>
            <w:hideMark/>
          </w:tcPr>
          <w:p w14:paraId="5B7A7FC6" w14:textId="77777777" w:rsidR="004C6421" w:rsidRDefault="009D1962">
            <w:pPr>
              <w:pStyle w:val="P68B1DB1-Normal4"/>
              <w:jc w:val="center"/>
              <w:rPr>
                <w:noProof/>
              </w:rPr>
            </w:pPr>
            <w:r>
              <w:rPr>
                <w:noProof/>
              </w:rPr>
              <w:t>NIE DOT.</w:t>
            </w:r>
          </w:p>
        </w:tc>
        <w:tc>
          <w:tcPr>
            <w:tcW w:w="1134" w:type="dxa"/>
            <w:shd w:val="clear" w:color="auto" w:fill="C6EFCE"/>
            <w:noWrap/>
            <w:vAlign w:val="center"/>
            <w:hideMark/>
          </w:tcPr>
          <w:p w14:paraId="0584C1B9" w14:textId="77777777" w:rsidR="004C6421" w:rsidRDefault="009D1962">
            <w:pPr>
              <w:pStyle w:val="P68B1DB1-Normal4"/>
              <w:jc w:val="center"/>
              <w:rPr>
                <w:noProof/>
              </w:rPr>
            </w:pPr>
            <w:r>
              <w:rPr>
                <w:noProof/>
              </w:rPr>
              <w:t>NIE DOT.</w:t>
            </w:r>
          </w:p>
        </w:tc>
        <w:tc>
          <w:tcPr>
            <w:tcW w:w="946" w:type="dxa"/>
            <w:shd w:val="clear" w:color="auto" w:fill="C6EFCE"/>
            <w:noWrap/>
            <w:vAlign w:val="center"/>
            <w:hideMark/>
          </w:tcPr>
          <w:p w14:paraId="5108942C" w14:textId="77777777" w:rsidR="004C6421" w:rsidRDefault="009D1962">
            <w:pPr>
              <w:pStyle w:val="P68B1DB1-Normal4"/>
              <w:jc w:val="center"/>
              <w:rPr>
                <w:noProof/>
              </w:rPr>
            </w:pPr>
            <w:r>
              <w:rPr>
                <w:noProof/>
              </w:rPr>
              <w:t>NIE DOT.</w:t>
            </w:r>
          </w:p>
        </w:tc>
        <w:tc>
          <w:tcPr>
            <w:tcW w:w="992" w:type="dxa"/>
            <w:shd w:val="clear" w:color="auto" w:fill="C6EFCE"/>
            <w:noWrap/>
            <w:vAlign w:val="center"/>
            <w:hideMark/>
          </w:tcPr>
          <w:p w14:paraId="51293E24" w14:textId="2594C90A" w:rsidR="004C6421" w:rsidRDefault="00CC179E">
            <w:pPr>
              <w:pStyle w:val="P68B1DB1-Normal4"/>
              <w:jc w:val="center"/>
              <w:rPr>
                <w:noProof/>
              </w:rPr>
            </w:pPr>
            <w:r>
              <w:rPr>
                <w:noProof/>
              </w:rPr>
              <w:t>KW. 4</w:t>
            </w:r>
          </w:p>
        </w:tc>
        <w:tc>
          <w:tcPr>
            <w:tcW w:w="756" w:type="dxa"/>
            <w:shd w:val="clear" w:color="auto" w:fill="C6EFCE"/>
            <w:noWrap/>
            <w:vAlign w:val="center"/>
            <w:hideMark/>
          </w:tcPr>
          <w:p w14:paraId="3641C2F8" w14:textId="77777777" w:rsidR="004C6421" w:rsidRDefault="009D1962">
            <w:pPr>
              <w:pStyle w:val="P68B1DB1-Normal4"/>
              <w:jc w:val="center"/>
              <w:rPr>
                <w:noProof/>
              </w:rPr>
            </w:pPr>
            <w:r>
              <w:rPr>
                <w:noProof/>
              </w:rPr>
              <w:t xml:space="preserve">2025 </w:t>
            </w:r>
          </w:p>
        </w:tc>
        <w:tc>
          <w:tcPr>
            <w:tcW w:w="2793" w:type="dxa"/>
            <w:shd w:val="clear" w:color="auto" w:fill="C6EFCE"/>
            <w:noWrap/>
            <w:vAlign w:val="center"/>
            <w:hideMark/>
          </w:tcPr>
          <w:p w14:paraId="13E18069" w14:textId="77777777" w:rsidR="004C6421" w:rsidRDefault="009D1962">
            <w:pPr>
              <w:pStyle w:val="P68B1DB1-Normal4"/>
              <w:rPr>
                <w:noProof/>
              </w:rPr>
            </w:pPr>
            <w:r>
              <w:rPr>
                <w:noProof/>
              </w:rPr>
              <w:t>Podpisanie umów o udzielenie dotacji na realizację interwencji na rzecz społeczności energetycznych.</w:t>
            </w:r>
          </w:p>
        </w:tc>
      </w:tr>
      <w:tr w:rsidR="004C6421" w14:paraId="20C8A318" w14:textId="77777777">
        <w:trPr>
          <w:trHeight w:val="309"/>
          <w:jc w:val="center"/>
        </w:trPr>
        <w:tc>
          <w:tcPr>
            <w:tcW w:w="1613" w:type="dxa"/>
            <w:shd w:val="clear" w:color="auto" w:fill="C6EFCE"/>
            <w:noWrap/>
            <w:vAlign w:val="center"/>
            <w:hideMark/>
          </w:tcPr>
          <w:p w14:paraId="433E86EB" w14:textId="77777777" w:rsidR="004C6421" w:rsidRDefault="009D1962">
            <w:pPr>
              <w:pStyle w:val="P68B1DB1-Normal4"/>
              <w:jc w:val="center"/>
              <w:rPr>
                <w:noProof/>
              </w:rPr>
            </w:pPr>
            <w:r>
              <w:rPr>
                <w:noProof/>
              </w:rPr>
              <w:t>M2C2-47</w:t>
            </w:r>
          </w:p>
        </w:tc>
        <w:tc>
          <w:tcPr>
            <w:tcW w:w="1643" w:type="dxa"/>
            <w:shd w:val="clear" w:color="auto" w:fill="C6EFCE"/>
            <w:noWrap/>
            <w:vAlign w:val="center"/>
            <w:hideMark/>
          </w:tcPr>
          <w:p w14:paraId="50CABFF5" w14:textId="77777777" w:rsidR="004C6421" w:rsidRDefault="009D1962">
            <w:pPr>
              <w:pStyle w:val="P68B1DB1-Normal4"/>
              <w:jc w:val="center"/>
              <w:rPr>
                <w:noProof/>
              </w:rPr>
            </w:pPr>
            <w:r>
              <w:rPr>
                <w:noProof/>
              </w:rPr>
              <w:t>Inwestycje 1.2 Promowanie OZE dla społeczności energetycznych i działających wspólnie prosumentów energii ze źródeł odnawialnych</w:t>
            </w:r>
          </w:p>
        </w:tc>
        <w:tc>
          <w:tcPr>
            <w:tcW w:w="1559" w:type="dxa"/>
            <w:shd w:val="clear" w:color="auto" w:fill="C6EFCE"/>
            <w:noWrap/>
            <w:vAlign w:val="center"/>
            <w:hideMark/>
          </w:tcPr>
          <w:p w14:paraId="0D330B00" w14:textId="77777777" w:rsidR="004C6421" w:rsidRDefault="009D1962">
            <w:pPr>
              <w:pStyle w:val="P68B1DB1-Normal4"/>
              <w:jc w:val="center"/>
              <w:rPr>
                <w:noProof/>
              </w:rPr>
            </w:pPr>
            <w:r>
              <w:rPr>
                <w:noProof/>
              </w:rPr>
              <w:t>Cel</w:t>
            </w:r>
          </w:p>
        </w:tc>
        <w:tc>
          <w:tcPr>
            <w:tcW w:w="1559" w:type="dxa"/>
            <w:shd w:val="clear" w:color="auto" w:fill="C6EFCE"/>
            <w:noWrap/>
            <w:vAlign w:val="center"/>
            <w:hideMark/>
          </w:tcPr>
          <w:p w14:paraId="7A39AF2D" w14:textId="1A8DF178" w:rsidR="004C6421" w:rsidRDefault="009D1962">
            <w:pPr>
              <w:pStyle w:val="P68B1DB1-Normal4"/>
              <w:jc w:val="center"/>
              <w:rPr>
                <w:noProof/>
              </w:rPr>
            </w:pPr>
            <w:r>
              <w:rPr>
                <w:noProof/>
              </w:rPr>
              <w:t>Instalacja nowych mocy wytwórczych z odnawialnych źródeł energii w społecznościach energetycznych i wspólnie działających prosumentach energii ze źródeł odnawialnych</w:t>
            </w:r>
          </w:p>
        </w:tc>
        <w:tc>
          <w:tcPr>
            <w:tcW w:w="1843" w:type="dxa"/>
            <w:shd w:val="clear" w:color="auto" w:fill="C6EFCE"/>
            <w:noWrap/>
            <w:vAlign w:val="center"/>
            <w:hideMark/>
          </w:tcPr>
          <w:p w14:paraId="120249B0" w14:textId="77777777" w:rsidR="004C6421" w:rsidRDefault="009D1962">
            <w:pPr>
              <w:pStyle w:val="P68B1DB1-Normal4"/>
              <w:jc w:val="center"/>
              <w:rPr>
                <w:noProof/>
              </w:rPr>
            </w:pPr>
            <w:r>
              <w:rPr>
                <w:noProof/>
              </w:rPr>
              <w:t>NIE DOT.</w:t>
            </w:r>
          </w:p>
        </w:tc>
        <w:tc>
          <w:tcPr>
            <w:tcW w:w="1417" w:type="dxa"/>
            <w:shd w:val="clear" w:color="auto" w:fill="C6EFCE"/>
            <w:noWrap/>
            <w:vAlign w:val="center"/>
            <w:hideMark/>
          </w:tcPr>
          <w:p w14:paraId="7CD18D9F" w14:textId="0C4A913B" w:rsidR="004C6421" w:rsidRDefault="009D1962">
            <w:pPr>
              <w:pStyle w:val="P68B1DB1-Normal4"/>
              <w:jc w:val="center"/>
              <w:rPr>
                <w:noProof/>
              </w:rPr>
            </w:pPr>
            <w:r>
              <w:rPr>
                <w:noProof/>
              </w:rPr>
              <w:t>MW</w:t>
            </w:r>
          </w:p>
        </w:tc>
        <w:tc>
          <w:tcPr>
            <w:tcW w:w="1134" w:type="dxa"/>
            <w:shd w:val="clear" w:color="auto" w:fill="C6EFCE"/>
            <w:noWrap/>
            <w:vAlign w:val="center"/>
            <w:hideMark/>
          </w:tcPr>
          <w:p w14:paraId="0E32FECE" w14:textId="77777777" w:rsidR="004C6421" w:rsidRDefault="009D1962">
            <w:pPr>
              <w:pStyle w:val="P68B1DB1-Normal4"/>
              <w:jc w:val="center"/>
              <w:rPr>
                <w:noProof/>
              </w:rPr>
            </w:pPr>
            <w:r>
              <w:rPr>
                <w:noProof/>
              </w:rPr>
              <w:t>0</w:t>
            </w:r>
          </w:p>
        </w:tc>
        <w:tc>
          <w:tcPr>
            <w:tcW w:w="946" w:type="dxa"/>
            <w:shd w:val="clear" w:color="auto" w:fill="C6EFCE"/>
            <w:noWrap/>
            <w:vAlign w:val="center"/>
            <w:hideMark/>
          </w:tcPr>
          <w:p w14:paraId="5565E9FE" w14:textId="77777777" w:rsidR="004C6421" w:rsidRDefault="009D1962">
            <w:pPr>
              <w:pStyle w:val="P68B1DB1-Normal4"/>
              <w:jc w:val="center"/>
              <w:rPr>
                <w:noProof/>
              </w:rPr>
            </w:pPr>
            <w:r>
              <w:rPr>
                <w:noProof/>
              </w:rPr>
              <w:t>1 730</w:t>
            </w:r>
          </w:p>
        </w:tc>
        <w:tc>
          <w:tcPr>
            <w:tcW w:w="992" w:type="dxa"/>
            <w:shd w:val="clear" w:color="auto" w:fill="C6EFCE"/>
            <w:noWrap/>
            <w:vAlign w:val="center"/>
            <w:hideMark/>
          </w:tcPr>
          <w:p w14:paraId="41CEA837" w14:textId="77777777" w:rsidR="004C6421" w:rsidRDefault="009D1962">
            <w:pPr>
              <w:pStyle w:val="P68B1DB1-Normal4"/>
              <w:jc w:val="center"/>
              <w:rPr>
                <w:noProof/>
              </w:rPr>
            </w:pPr>
            <w:r>
              <w:rPr>
                <w:noProof/>
              </w:rPr>
              <w:t>II KW.</w:t>
            </w:r>
          </w:p>
        </w:tc>
        <w:tc>
          <w:tcPr>
            <w:tcW w:w="756" w:type="dxa"/>
            <w:shd w:val="clear" w:color="auto" w:fill="C6EFCE"/>
            <w:noWrap/>
            <w:vAlign w:val="center"/>
            <w:hideMark/>
          </w:tcPr>
          <w:p w14:paraId="301811E2" w14:textId="77777777" w:rsidR="004C6421" w:rsidRDefault="009D1962">
            <w:pPr>
              <w:pStyle w:val="P68B1DB1-Normal4"/>
              <w:jc w:val="center"/>
              <w:rPr>
                <w:noProof/>
              </w:rPr>
            </w:pPr>
            <w:r>
              <w:rPr>
                <w:noProof/>
              </w:rPr>
              <w:t>2026</w:t>
            </w:r>
          </w:p>
        </w:tc>
        <w:tc>
          <w:tcPr>
            <w:tcW w:w="2793" w:type="dxa"/>
            <w:shd w:val="clear" w:color="auto" w:fill="C6EFCE"/>
            <w:noWrap/>
            <w:vAlign w:val="center"/>
            <w:hideMark/>
          </w:tcPr>
          <w:p w14:paraId="2672E504" w14:textId="29FF488F" w:rsidR="004C6421" w:rsidRDefault="009D1962">
            <w:pPr>
              <w:pStyle w:val="P68B1DB1-Normal4"/>
              <w:rPr>
                <w:noProof/>
              </w:rPr>
            </w:pPr>
            <w:r>
              <w:rPr>
                <w:noProof/>
              </w:rPr>
              <w:t>Nowe moce wytwórcze energii elektrycznej o mocy co najmniej 1 730 MW ze źródeł odnawialnych zostały zainstalowane w społecznościach energetycznych i działających wspólnie prosumentach energii ze źródeł odnawialnych zlokalizowanych w gminach liczących mniej niż 5000 mieszkańców. Środek ten nie wspiera działań związanych z wodorem, które prowadzą do emisji gazów cieplarnianych powyżej 3 t CO2eq/tH2.</w:t>
            </w:r>
          </w:p>
        </w:tc>
      </w:tr>
      <w:tr w:rsidR="004C6421" w14:paraId="76AFCEBD" w14:textId="77777777">
        <w:trPr>
          <w:trHeight w:val="309"/>
          <w:jc w:val="center"/>
        </w:trPr>
        <w:tc>
          <w:tcPr>
            <w:tcW w:w="1613" w:type="dxa"/>
            <w:shd w:val="clear" w:color="auto" w:fill="C6EFCE"/>
            <w:noWrap/>
            <w:vAlign w:val="center"/>
          </w:tcPr>
          <w:p w14:paraId="4C25A4FD" w14:textId="77777777" w:rsidR="004C6421" w:rsidRDefault="009D1962">
            <w:pPr>
              <w:pStyle w:val="P68B1DB1-Normal4"/>
              <w:jc w:val="center"/>
              <w:rPr>
                <w:noProof/>
              </w:rPr>
            </w:pPr>
            <w:r>
              <w:rPr>
                <w:noProof/>
              </w:rPr>
              <w:t>M2C2-48</w:t>
            </w:r>
          </w:p>
        </w:tc>
        <w:tc>
          <w:tcPr>
            <w:tcW w:w="1643" w:type="dxa"/>
            <w:shd w:val="clear" w:color="auto" w:fill="C6EFCE"/>
            <w:noWrap/>
            <w:vAlign w:val="center"/>
          </w:tcPr>
          <w:p w14:paraId="5B374C82" w14:textId="77777777" w:rsidR="004C6421" w:rsidRDefault="009D1962">
            <w:pPr>
              <w:pStyle w:val="P68B1DB1-Normal4"/>
              <w:jc w:val="center"/>
              <w:rPr>
                <w:noProof/>
              </w:rPr>
            </w:pPr>
            <w:r>
              <w:rPr>
                <w:noProof/>
              </w:rPr>
              <w:t>Inwestycja 3.1 Produkcja wodoru na terenach zdegradowanych (Hydrogen Valleys)</w:t>
            </w:r>
          </w:p>
        </w:tc>
        <w:tc>
          <w:tcPr>
            <w:tcW w:w="1559" w:type="dxa"/>
            <w:shd w:val="clear" w:color="auto" w:fill="C6EFCE"/>
            <w:noWrap/>
            <w:vAlign w:val="center"/>
          </w:tcPr>
          <w:p w14:paraId="737F05D1" w14:textId="57F151F5" w:rsidR="004C6421" w:rsidRDefault="00CC179E">
            <w:pPr>
              <w:pStyle w:val="P68B1DB1-Normal4"/>
              <w:jc w:val="center"/>
              <w:rPr>
                <w:noProof/>
              </w:rPr>
            </w:pPr>
            <w:r>
              <w:rPr>
                <w:noProof/>
              </w:rPr>
              <w:t>Milowy</w:t>
            </w:r>
          </w:p>
        </w:tc>
        <w:tc>
          <w:tcPr>
            <w:tcW w:w="1559" w:type="dxa"/>
            <w:shd w:val="clear" w:color="auto" w:fill="C6EFCE"/>
            <w:noWrap/>
            <w:vAlign w:val="center"/>
          </w:tcPr>
          <w:p w14:paraId="6B0F2706" w14:textId="77777777" w:rsidR="004C6421" w:rsidRDefault="009D1962">
            <w:pPr>
              <w:pStyle w:val="P68B1DB1-Normal4"/>
              <w:jc w:val="center"/>
              <w:rPr>
                <w:noProof/>
              </w:rPr>
            </w:pPr>
            <w:r>
              <w:rPr>
                <w:noProof/>
              </w:rPr>
              <w:t>Udzielanie wszystkich zamówień publicznych na projekty produkcji wodoru w opuszczonych ośrodkach przemysłowych</w:t>
            </w:r>
          </w:p>
        </w:tc>
        <w:tc>
          <w:tcPr>
            <w:tcW w:w="1843" w:type="dxa"/>
            <w:shd w:val="clear" w:color="auto" w:fill="C6EFCE"/>
            <w:noWrap/>
            <w:vAlign w:val="center"/>
          </w:tcPr>
          <w:p w14:paraId="3F58F403" w14:textId="77777777" w:rsidR="004C6421" w:rsidRDefault="009D1962">
            <w:pPr>
              <w:pStyle w:val="P68B1DB1-Normal4"/>
              <w:jc w:val="center"/>
              <w:rPr>
                <w:noProof/>
              </w:rPr>
            </w:pPr>
            <w:r>
              <w:rPr>
                <w:noProof/>
              </w:rPr>
              <w:t>Powiadomienie o udzieleniu wszystkich zamówień publicznych na produkcję wodoru w opuszczonych ośrodkach przemysłowych NIE DOT.</w:t>
            </w:r>
          </w:p>
        </w:tc>
        <w:tc>
          <w:tcPr>
            <w:tcW w:w="1417" w:type="dxa"/>
            <w:shd w:val="clear" w:color="auto" w:fill="C6EFCE"/>
            <w:noWrap/>
            <w:vAlign w:val="center"/>
          </w:tcPr>
          <w:p w14:paraId="5295E10B"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5AE7478C" w14:textId="77777777" w:rsidR="004C6421" w:rsidRDefault="009D1962">
            <w:pPr>
              <w:pStyle w:val="P68B1DB1-Normal4"/>
              <w:jc w:val="center"/>
              <w:rPr>
                <w:noProof/>
              </w:rPr>
            </w:pPr>
            <w:r>
              <w:rPr>
                <w:noProof/>
              </w:rPr>
              <w:t>NIE DOT.</w:t>
            </w:r>
          </w:p>
        </w:tc>
        <w:tc>
          <w:tcPr>
            <w:tcW w:w="946" w:type="dxa"/>
            <w:shd w:val="clear" w:color="auto" w:fill="C6EFCE"/>
            <w:noWrap/>
            <w:vAlign w:val="center"/>
          </w:tcPr>
          <w:p w14:paraId="75B0BCEB" w14:textId="77777777" w:rsidR="004C6421" w:rsidRDefault="009D1962">
            <w:pPr>
              <w:pStyle w:val="P68B1DB1-Normal4"/>
              <w:jc w:val="center"/>
              <w:rPr>
                <w:noProof/>
              </w:rPr>
            </w:pPr>
            <w:r>
              <w:rPr>
                <w:noProof/>
              </w:rPr>
              <w:t>NIE DOT.</w:t>
            </w:r>
          </w:p>
        </w:tc>
        <w:tc>
          <w:tcPr>
            <w:tcW w:w="992" w:type="dxa"/>
            <w:shd w:val="clear" w:color="auto" w:fill="C6EFCE"/>
            <w:noWrap/>
            <w:vAlign w:val="center"/>
          </w:tcPr>
          <w:p w14:paraId="184C7544" w14:textId="5FE20F3A" w:rsidR="004C6421" w:rsidRDefault="00CC179E">
            <w:pPr>
              <w:pStyle w:val="P68B1DB1-Normal4"/>
              <w:jc w:val="center"/>
              <w:rPr>
                <w:noProof/>
              </w:rPr>
            </w:pPr>
            <w:r>
              <w:rPr>
                <w:noProof/>
              </w:rPr>
              <w:t>KW. 1</w:t>
            </w:r>
          </w:p>
        </w:tc>
        <w:tc>
          <w:tcPr>
            <w:tcW w:w="756" w:type="dxa"/>
            <w:shd w:val="clear" w:color="auto" w:fill="C6EFCE"/>
            <w:noWrap/>
            <w:vAlign w:val="center"/>
          </w:tcPr>
          <w:p w14:paraId="483B68C6" w14:textId="77777777" w:rsidR="004C6421" w:rsidRDefault="009D1962">
            <w:pPr>
              <w:pStyle w:val="P68B1DB1-Normal4"/>
              <w:jc w:val="center"/>
              <w:rPr>
                <w:noProof/>
              </w:rPr>
            </w:pPr>
            <w:r>
              <w:rPr>
                <w:noProof/>
              </w:rPr>
              <w:t>2023</w:t>
            </w:r>
          </w:p>
        </w:tc>
        <w:tc>
          <w:tcPr>
            <w:tcW w:w="2793" w:type="dxa"/>
            <w:shd w:val="clear" w:color="auto" w:fill="C6EFCE"/>
            <w:noWrap/>
            <w:vAlign w:val="center"/>
          </w:tcPr>
          <w:p w14:paraId="2A2F612D" w14:textId="77777777" w:rsidR="004C6421" w:rsidRDefault="009D1962">
            <w:pPr>
              <w:pStyle w:val="P68B1DB1-Normal6"/>
              <w:rPr>
                <w:noProof/>
                <w:color w:val="006100"/>
              </w:rPr>
            </w:pPr>
            <w:r>
              <w:rPr>
                <w:noProof/>
                <w:color w:val="006100"/>
              </w:rPr>
              <w:t>Przyznawanie zamówień na projekty dotyczące produkcji wodoru w porzuconych ośrodkach przemysłowych. Finansowanie przyznaje się na produkcję zielonego wodoru o wartości poniżej 3 tCO2eq/tH2, aby uzyskać najlepszy wynik pod względem dekarbonizacji. Środek ten wspiera produkcję wodoru w oparciu o elektrolizę z wykorzystaniem odnawialnych źródeł energii zdefiniowanych w dyrektywie (UE) 2018/2001 (dyrektywa w sprawie odnawialnych źródeł energii) lub energii elektrycznej z sieci</w:t>
            </w:r>
            <w:r>
              <w:rPr>
                <w:noProof/>
              </w:rPr>
              <w:t>.</w:t>
            </w:r>
          </w:p>
        </w:tc>
      </w:tr>
      <w:tr w:rsidR="004C6421" w14:paraId="5D00DC45" w14:textId="77777777">
        <w:trPr>
          <w:trHeight w:val="309"/>
          <w:jc w:val="center"/>
        </w:trPr>
        <w:tc>
          <w:tcPr>
            <w:tcW w:w="1613" w:type="dxa"/>
            <w:shd w:val="clear" w:color="auto" w:fill="C6EFCE"/>
            <w:noWrap/>
            <w:vAlign w:val="center"/>
          </w:tcPr>
          <w:p w14:paraId="519B2F3B" w14:textId="77777777" w:rsidR="004C6421" w:rsidRDefault="009D1962">
            <w:pPr>
              <w:pStyle w:val="P68B1DB1-Normal4"/>
              <w:jc w:val="center"/>
              <w:rPr>
                <w:noProof/>
              </w:rPr>
            </w:pPr>
            <w:r>
              <w:rPr>
                <w:noProof/>
              </w:rPr>
              <w:t>M2C2-49</w:t>
            </w:r>
          </w:p>
        </w:tc>
        <w:tc>
          <w:tcPr>
            <w:tcW w:w="1643" w:type="dxa"/>
            <w:shd w:val="clear" w:color="auto" w:fill="C6EFCE"/>
            <w:noWrap/>
            <w:vAlign w:val="center"/>
          </w:tcPr>
          <w:p w14:paraId="496FCCF7" w14:textId="77777777" w:rsidR="004C6421" w:rsidRDefault="009D1962">
            <w:pPr>
              <w:pStyle w:val="P68B1DB1-Normal4"/>
              <w:jc w:val="center"/>
              <w:rPr>
                <w:noProof/>
              </w:rPr>
            </w:pPr>
            <w:r>
              <w:rPr>
                <w:noProof/>
              </w:rPr>
              <w:t>Inwestycja 3.1 Produkcja wodoru na terenach zdegradowanych (Hydrogen Valleys)</w:t>
            </w:r>
          </w:p>
        </w:tc>
        <w:tc>
          <w:tcPr>
            <w:tcW w:w="1559" w:type="dxa"/>
            <w:shd w:val="clear" w:color="auto" w:fill="C6EFCE"/>
            <w:noWrap/>
            <w:vAlign w:val="center"/>
          </w:tcPr>
          <w:p w14:paraId="6116F419" w14:textId="77777777" w:rsidR="004C6421" w:rsidRDefault="009D1962">
            <w:pPr>
              <w:pStyle w:val="P68B1DB1-Normal4"/>
              <w:jc w:val="center"/>
              <w:rPr>
                <w:noProof/>
              </w:rPr>
            </w:pPr>
            <w:r>
              <w:rPr>
                <w:noProof/>
              </w:rPr>
              <w:t>Cel</w:t>
            </w:r>
          </w:p>
        </w:tc>
        <w:tc>
          <w:tcPr>
            <w:tcW w:w="1559" w:type="dxa"/>
            <w:shd w:val="clear" w:color="auto" w:fill="C6EFCE"/>
            <w:noWrap/>
            <w:vAlign w:val="center"/>
          </w:tcPr>
          <w:p w14:paraId="489F5127" w14:textId="77777777" w:rsidR="004C6421" w:rsidRDefault="009D1962">
            <w:pPr>
              <w:pStyle w:val="P68B1DB1-Normal4"/>
              <w:jc w:val="center"/>
              <w:rPr>
                <w:noProof/>
              </w:rPr>
            </w:pPr>
            <w:r>
              <w:rPr>
                <w:noProof/>
              </w:rPr>
              <w:t>Zakończenie projektu dotyczącego produkcji wodoru na obszarach przemysłowych</w:t>
            </w:r>
          </w:p>
        </w:tc>
        <w:tc>
          <w:tcPr>
            <w:tcW w:w="1843" w:type="dxa"/>
            <w:shd w:val="clear" w:color="auto" w:fill="C6EFCE"/>
            <w:noWrap/>
            <w:vAlign w:val="center"/>
          </w:tcPr>
          <w:p w14:paraId="22F9187E" w14:textId="77777777" w:rsidR="004C6421" w:rsidRDefault="009D1962">
            <w:pPr>
              <w:pStyle w:val="P68B1DB1-Normal4"/>
              <w:jc w:val="center"/>
              <w:rPr>
                <w:noProof/>
              </w:rPr>
            </w:pPr>
            <w:r>
              <w:rPr>
                <w:noProof/>
              </w:rPr>
              <w:t>NIE DOT.</w:t>
            </w:r>
          </w:p>
        </w:tc>
        <w:tc>
          <w:tcPr>
            <w:tcW w:w="1417" w:type="dxa"/>
            <w:shd w:val="clear" w:color="auto" w:fill="C6EFCE"/>
            <w:noWrap/>
            <w:vAlign w:val="center"/>
          </w:tcPr>
          <w:p w14:paraId="492D4CA6" w14:textId="77777777" w:rsidR="004C6421" w:rsidRDefault="009D1962">
            <w:pPr>
              <w:pStyle w:val="P68B1DB1-Normal4"/>
              <w:jc w:val="center"/>
              <w:rPr>
                <w:noProof/>
              </w:rPr>
            </w:pPr>
            <w:r>
              <w:rPr>
                <w:noProof/>
              </w:rPr>
              <w:t>Numer</w:t>
            </w:r>
          </w:p>
        </w:tc>
        <w:tc>
          <w:tcPr>
            <w:tcW w:w="1134" w:type="dxa"/>
            <w:shd w:val="clear" w:color="auto" w:fill="C6EFCE"/>
            <w:noWrap/>
            <w:vAlign w:val="center"/>
          </w:tcPr>
          <w:p w14:paraId="69E262F4" w14:textId="77777777" w:rsidR="004C6421" w:rsidRDefault="009D1962">
            <w:pPr>
              <w:pStyle w:val="P68B1DB1-Normal4"/>
              <w:jc w:val="center"/>
              <w:rPr>
                <w:noProof/>
              </w:rPr>
            </w:pPr>
            <w:r>
              <w:rPr>
                <w:noProof/>
              </w:rPr>
              <w:t>0</w:t>
            </w:r>
          </w:p>
        </w:tc>
        <w:tc>
          <w:tcPr>
            <w:tcW w:w="946" w:type="dxa"/>
            <w:shd w:val="clear" w:color="auto" w:fill="C6EFCE"/>
            <w:noWrap/>
            <w:vAlign w:val="center"/>
          </w:tcPr>
          <w:p w14:paraId="2CFB2500" w14:textId="77777777" w:rsidR="004C6421" w:rsidRDefault="009D1962">
            <w:pPr>
              <w:pStyle w:val="P68B1DB1-Normal4"/>
              <w:jc w:val="center"/>
              <w:rPr>
                <w:noProof/>
              </w:rPr>
            </w:pPr>
            <w:r>
              <w:rPr>
                <w:noProof/>
              </w:rPr>
              <w:t>10</w:t>
            </w:r>
          </w:p>
        </w:tc>
        <w:tc>
          <w:tcPr>
            <w:tcW w:w="992" w:type="dxa"/>
            <w:shd w:val="clear" w:color="auto" w:fill="C6EFCE"/>
            <w:noWrap/>
            <w:vAlign w:val="center"/>
          </w:tcPr>
          <w:p w14:paraId="39C73C3B" w14:textId="77777777" w:rsidR="004C6421" w:rsidRDefault="009D1962">
            <w:pPr>
              <w:pStyle w:val="P68B1DB1-Normal4"/>
              <w:jc w:val="center"/>
              <w:rPr>
                <w:noProof/>
              </w:rPr>
            </w:pPr>
            <w:r>
              <w:rPr>
                <w:noProof/>
              </w:rPr>
              <w:t>II KW.</w:t>
            </w:r>
          </w:p>
        </w:tc>
        <w:tc>
          <w:tcPr>
            <w:tcW w:w="756" w:type="dxa"/>
            <w:shd w:val="clear" w:color="auto" w:fill="C6EFCE"/>
            <w:noWrap/>
            <w:vAlign w:val="center"/>
          </w:tcPr>
          <w:p w14:paraId="2B5E64FF" w14:textId="77777777" w:rsidR="004C6421" w:rsidRDefault="009D1962">
            <w:pPr>
              <w:pStyle w:val="P68B1DB1-Normal4"/>
              <w:jc w:val="center"/>
              <w:rPr>
                <w:noProof/>
              </w:rPr>
            </w:pPr>
            <w:r>
              <w:rPr>
                <w:noProof/>
              </w:rPr>
              <w:t>2026</w:t>
            </w:r>
          </w:p>
        </w:tc>
        <w:tc>
          <w:tcPr>
            <w:tcW w:w="2793" w:type="dxa"/>
            <w:shd w:val="clear" w:color="auto" w:fill="C6EFCE"/>
            <w:noWrap/>
            <w:vAlign w:val="center"/>
          </w:tcPr>
          <w:p w14:paraId="5F556200" w14:textId="77777777" w:rsidR="004C6421" w:rsidRDefault="009D1962">
            <w:pPr>
              <w:pStyle w:val="P68B1DB1-Normal4"/>
              <w:spacing w:after="120"/>
              <w:rPr>
                <w:noProof/>
              </w:rPr>
            </w:pPr>
            <w:r>
              <w:rPr>
                <w:noProof/>
              </w:rPr>
              <w:t>Ukończenie co najmniej 10 projektów dotyczących produkcji wodoru na opuszczonych obszarach przemysłowych o średniej mocy wynoszącej co najmniej 1–5 MW każdy.</w:t>
            </w:r>
          </w:p>
          <w:p w14:paraId="699D9242" w14:textId="77777777" w:rsidR="004C6421" w:rsidRDefault="009D1962">
            <w:pPr>
              <w:pStyle w:val="P68B1DB1-Normal4"/>
              <w:spacing w:after="120"/>
              <w:rPr>
                <w:noProof/>
              </w:rPr>
            </w:pPr>
            <w:r>
              <w:rPr>
                <w:noProof/>
              </w:rPr>
              <w:t>Środek ten wspiera produkcję wodoru w oparciu o elektrolizę z wykorzystaniem odnawialnych źródeł energii zdefiniowanych w dyrektywie (UE) 2018/2001 (dyrektywa w sprawie odnawialnych źródeł energii) lub energii elektrycznej z sieci.</w:t>
            </w:r>
          </w:p>
        </w:tc>
      </w:tr>
      <w:tr w:rsidR="004C6421" w14:paraId="1E1E8D2B" w14:textId="77777777">
        <w:trPr>
          <w:trHeight w:val="309"/>
          <w:jc w:val="center"/>
        </w:trPr>
        <w:tc>
          <w:tcPr>
            <w:tcW w:w="1613" w:type="dxa"/>
            <w:shd w:val="clear" w:color="auto" w:fill="C6EFCE"/>
            <w:noWrap/>
            <w:vAlign w:val="center"/>
          </w:tcPr>
          <w:p w14:paraId="050F2B4C" w14:textId="77777777" w:rsidR="004C6421" w:rsidRDefault="009D1962">
            <w:pPr>
              <w:pStyle w:val="P68B1DB1-Normal4"/>
              <w:jc w:val="center"/>
              <w:rPr>
                <w:noProof/>
              </w:rPr>
            </w:pPr>
            <w:r>
              <w:rPr>
                <w:noProof/>
              </w:rPr>
              <w:t>M2C2-50</w:t>
            </w:r>
          </w:p>
        </w:tc>
        <w:tc>
          <w:tcPr>
            <w:tcW w:w="1643" w:type="dxa"/>
            <w:shd w:val="clear" w:color="auto" w:fill="C6EFCE"/>
            <w:noWrap/>
            <w:vAlign w:val="center"/>
          </w:tcPr>
          <w:p w14:paraId="31FCA920" w14:textId="77777777" w:rsidR="004C6421" w:rsidRDefault="009D1962">
            <w:pPr>
              <w:pStyle w:val="P68B1DB1-Normal4"/>
              <w:jc w:val="center"/>
              <w:rPr>
                <w:noProof/>
              </w:rPr>
            </w:pPr>
            <w:r>
              <w:rPr>
                <w:noProof/>
              </w:rPr>
              <w:t>Inwestycje 3.2 Wykorzystanie wodoru w przemyśle, w którym trudno zredukować emisje</w:t>
            </w:r>
          </w:p>
        </w:tc>
        <w:tc>
          <w:tcPr>
            <w:tcW w:w="1559" w:type="dxa"/>
            <w:shd w:val="clear" w:color="auto" w:fill="C6EFCE"/>
            <w:noWrap/>
            <w:vAlign w:val="center"/>
          </w:tcPr>
          <w:p w14:paraId="44F0F20A" w14:textId="7E6EFB22" w:rsidR="004C6421" w:rsidRDefault="00CC179E">
            <w:pPr>
              <w:pStyle w:val="P68B1DB1-Normal4"/>
              <w:jc w:val="center"/>
              <w:rPr>
                <w:noProof/>
              </w:rPr>
            </w:pPr>
            <w:r>
              <w:rPr>
                <w:noProof/>
              </w:rPr>
              <w:t>Milowy</w:t>
            </w:r>
          </w:p>
        </w:tc>
        <w:tc>
          <w:tcPr>
            <w:tcW w:w="1559" w:type="dxa"/>
            <w:shd w:val="clear" w:color="auto" w:fill="C6EFCE"/>
            <w:noWrap/>
            <w:vAlign w:val="center"/>
          </w:tcPr>
          <w:p w14:paraId="6A82330F" w14:textId="77777777" w:rsidR="004C6421" w:rsidRDefault="009D1962">
            <w:pPr>
              <w:pStyle w:val="P68B1DB1-Normal4"/>
              <w:jc w:val="center"/>
              <w:rPr>
                <w:noProof/>
              </w:rPr>
            </w:pPr>
            <w:r>
              <w:rPr>
                <w:noProof/>
              </w:rPr>
              <w:t>Porozumienie w sprawie promowania przejścia z metanu na zielony wodór</w:t>
            </w:r>
          </w:p>
        </w:tc>
        <w:tc>
          <w:tcPr>
            <w:tcW w:w="1843" w:type="dxa"/>
            <w:shd w:val="clear" w:color="auto" w:fill="C6EFCE"/>
            <w:noWrap/>
            <w:vAlign w:val="center"/>
          </w:tcPr>
          <w:p w14:paraId="1FEDC6F4" w14:textId="77777777" w:rsidR="004C6421" w:rsidRDefault="009D1962">
            <w:pPr>
              <w:pStyle w:val="P68B1DB1-Normal4"/>
              <w:jc w:val="center"/>
              <w:rPr>
                <w:noProof/>
              </w:rPr>
            </w:pPr>
            <w:r>
              <w:rPr>
                <w:noProof/>
              </w:rPr>
              <w:t>Podpisanie umowy NIE DOT.</w:t>
            </w:r>
          </w:p>
        </w:tc>
        <w:tc>
          <w:tcPr>
            <w:tcW w:w="1417" w:type="dxa"/>
            <w:shd w:val="clear" w:color="auto" w:fill="C6EFCE"/>
            <w:noWrap/>
            <w:vAlign w:val="center"/>
          </w:tcPr>
          <w:p w14:paraId="7FF645D2"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25E1788F" w14:textId="77777777" w:rsidR="004C6421" w:rsidRDefault="009D1962">
            <w:pPr>
              <w:pStyle w:val="P68B1DB1-Normal4"/>
              <w:jc w:val="center"/>
              <w:rPr>
                <w:noProof/>
              </w:rPr>
            </w:pPr>
            <w:r>
              <w:rPr>
                <w:noProof/>
              </w:rPr>
              <w:t>NIE DOT.</w:t>
            </w:r>
          </w:p>
        </w:tc>
        <w:tc>
          <w:tcPr>
            <w:tcW w:w="946" w:type="dxa"/>
            <w:shd w:val="clear" w:color="auto" w:fill="C6EFCE"/>
            <w:noWrap/>
            <w:vAlign w:val="center"/>
          </w:tcPr>
          <w:p w14:paraId="55DAD5BF" w14:textId="77777777" w:rsidR="004C6421" w:rsidRDefault="009D1962">
            <w:pPr>
              <w:pStyle w:val="P68B1DB1-Normal4"/>
              <w:jc w:val="center"/>
              <w:rPr>
                <w:noProof/>
              </w:rPr>
            </w:pPr>
            <w:r>
              <w:rPr>
                <w:noProof/>
              </w:rPr>
              <w:t>NIE DOT.</w:t>
            </w:r>
          </w:p>
        </w:tc>
        <w:tc>
          <w:tcPr>
            <w:tcW w:w="992" w:type="dxa"/>
            <w:shd w:val="clear" w:color="auto" w:fill="C6EFCE"/>
            <w:noWrap/>
            <w:vAlign w:val="center"/>
          </w:tcPr>
          <w:p w14:paraId="4746EB62" w14:textId="02A54A1B" w:rsidR="004C6421" w:rsidRDefault="00CC179E">
            <w:pPr>
              <w:pStyle w:val="P68B1DB1-Normal4"/>
              <w:jc w:val="center"/>
              <w:rPr>
                <w:noProof/>
              </w:rPr>
            </w:pPr>
            <w:r>
              <w:rPr>
                <w:noProof/>
              </w:rPr>
              <w:t>KW. 1</w:t>
            </w:r>
          </w:p>
        </w:tc>
        <w:tc>
          <w:tcPr>
            <w:tcW w:w="756" w:type="dxa"/>
            <w:shd w:val="clear" w:color="auto" w:fill="C6EFCE"/>
            <w:noWrap/>
            <w:vAlign w:val="center"/>
          </w:tcPr>
          <w:p w14:paraId="06C0F721" w14:textId="77777777" w:rsidR="004C6421" w:rsidRDefault="009D1962">
            <w:pPr>
              <w:pStyle w:val="P68B1DB1-Normal4"/>
              <w:jc w:val="center"/>
              <w:rPr>
                <w:noProof/>
              </w:rPr>
            </w:pPr>
            <w:r>
              <w:rPr>
                <w:noProof/>
              </w:rPr>
              <w:t>2023</w:t>
            </w:r>
          </w:p>
        </w:tc>
        <w:tc>
          <w:tcPr>
            <w:tcW w:w="2793" w:type="dxa"/>
            <w:shd w:val="clear" w:color="auto" w:fill="C6EFCE"/>
            <w:noWrap/>
            <w:vAlign w:val="center"/>
          </w:tcPr>
          <w:p w14:paraId="33D56F60" w14:textId="77777777" w:rsidR="004C6421" w:rsidRDefault="009D1962">
            <w:pPr>
              <w:pStyle w:val="P68B1DB1-Normal6"/>
              <w:rPr>
                <w:noProof/>
                <w:color w:val="006100"/>
              </w:rPr>
            </w:pPr>
            <w:r>
              <w:rPr>
                <w:noProof/>
                <w:color w:val="006100"/>
              </w:rPr>
              <w:t>Podpisanie umowy z wybranymi właścicielami projektów w celu promowania przejścia z metanu na zielony wodór. Projekty są częściowo przeznaczone na proces badań, rozwoju i innowacji w celu opracowania, a częściowo na realizację i testowanie prototypu przemysłowego z wykorzystaniem wodoru.</w:t>
            </w:r>
            <w:r>
              <w:rPr>
                <w:noProof/>
              </w:rPr>
              <w:t xml:space="preserve"> </w:t>
            </w:r>
            <w:r>
              <w:rPr>
                <w:noProof/>
                <w:color w:val="006100"/>
              </w:rPr>
              <w:t>Środek ten wspiera produkcję wodoru w oparciu o elektrolizę z wykorzystaniem odnawialnych źródeł energii zdefiniowanych w dyrektywie (UE) 2018/2001 (dyrektywa w sprawie odnawialnych źródeł energii) lub energii elektrycznej z sieci.</w:t>
            </w:r>
          </w:p>
        </w:tc>
      </w:tr>
      <w:tr w:rsidR="004C6421" w14:paraId="228D56A8" w14:textId="77777777">
        <w:trPr>
          <w:trHeight w:val="309"/>
          <w:jc w:val="center"/>
        </w:trPr>
        <w:tc>
          <w:tcPr>
            <w:tcW w:w="1613" w:type="dxa"/>
            <w:shd w:val="clear" w:color="auto" w:fill="C6EFCE"/>
            <w:noWrap/>
            <w:vAlign w:val="center"/>
          </w:tcPr>
          <w:p w14:paraId="151A758D" w14:textId="77777777" w:rsidR="004C6421" w:rsidRDefault="009D1962">
            <w:pPr>
              <w:pStyle w:val="P68B1DB1-Normal4"/>
              <w:jc w:val="center"/>
              <w:rPr>
                <w:noProof/>
              </w:rPr>
            </w:pPr>
            <w:r>
              <w:rPr>
                <w:noProof/>
              </w:rPr>
              <w:t>M2C2-51</w:t>
            </w:r>
          </w:p>
        </w:tc>
        <w:tc>
          <w:tcPr>
            <w:tcW w:w="1643" w:type="dxa"/>
            <w:shd w:val="clear" w:color="auto" w:fill="C6EFCE"/>
            <w:noWrap/>
            <w:vAlign w:val="center"/>
          </w:tcPr>
          <w:p w14:paraId="331C6E47" w14:textId="77777777" w:rsidR="004C6421" w:rsidRDefault="009D1962">
            <w:pPr>
              <w:pStyle w:val="P68B1DB1-Normal4"/>
              <w:jc w:val="center"/>
              <w:rPr>
                <w:noProof/>
              </w:rPr>
            </w:pPr>
            <w:r>
              <w:rPr>
                <w:noProof/>
              </w:rPr>
              <w:t>Inwestycje 3.2 Wykorzystanie wodoru w przemyśle, w którym trudno zredukować emisje</w:t>
            </w:r>
          </w:p>
        </w:tc>
        <w:tc>
          <w:tcPr>
            <w:tcW w:w="1559" w:type="dxa"/>
            <w:shd w:val="clear" w:color="auto" w:fill="C6EFCE"/>
            <w:noWrap/>
            <w:vAlign w:val="center"/>
          </w:tcPr>
          <w:p w14:paraId="64BF5B47" w14:textId="77777777" w:rsidR="004C6421" w:rsidRDefault="009D1962">
            <w:pPr>
              <w:pStyle w:val="P68B1DB1-Normal4"/>
              <w:jc w:val="center"/>
              <w:rPr>
                <w:noProof/>
              </w:rPr>
            </w:pPr>
            <w:r>
              <w:rPr>
                <w:noProof/>
              </w:rPr>
              <w:t>Cel</w:t>
            </w:r>
          </w:p>
        </w:tc>
        <w:tc>
          <w:tcPr>
            <w:tcW w:w="1559" w:type="dxa"/>
            <w:shd w:val="clear" w:color="auto" w:fill="C6EFCE"/>
            <w:noWrap/>
            <w:vAlign w:val="center"/>
          </w:tcPr>
          <w:p w14:paraId="1C1DA98F" w14:textId="77777777" w:rsidR="004C6421" w:rsidRDefault="009D1962">
            <w:pPr>
              <w:pStyle w:val="P68B1DB1-Normal4"/>
              <w:jc w:val="center"/>
              <w:rPr>
                <w:noProof/>
              </w:rPr>
            </w:pPr>
            <w:r>
              <w:rPr>
                <w:noProof/>
              </w:rPr>
              <w:t>Wprowadzenie wodoru do procesu przemysłowego</w:t>
            </w:r>
          </w:p>
        </w:tc>
        <w:tc>
          <w:tcPr>
            <w:tcW w:w="1843" w:type="dxa"/>
            <w:shd w:val="clear" w:color="auto" w:fill="C6EFCE"/>
            <w:noWrap/>
            <w:vAlign w:val="center"/>
          </w:tcPr>
          <w:p w14:paraId="38FE829B" w14:textId="77777777" w:rsidR="004C6421" w:rsidRDefault="009D1962">
            <w:pPr>
              <w:pStyle w:val="P68B1DB1-Normal4"/>
              <w:jc w:val="center"/>
              <w:rPr>
                <w:noProof/>
              </w:rPr>
            </w:pPr>
            <w:r>
              <w:rPr>
                <w:noProof/>
              </w:rPr>
              <w:t>NIE DOT.</w:t>
            </w:r>
          </w:p>
        </w:tc>
        <w:tc>
          <w:tcPr>
            <w:tcW w:w="1417" w:type="dxa"/>
            <w:shd w:val="clear" w:color="auto" w:fill="C6EFCE"/>
            <w:noWrap/>
            <w:vAlign w:val="center"/>
          </w:tcPr>
          <w:p w14:paraId="16E53BDE" w14:textId="77777777" w:rsidR="004C6421" w:rsidRDefault="009D1962">
            <w:pPr>
              <w:pStyle w:val="P68B1DB1-Normal4"/>
              <w:jc w:val="center"/>
              <w:rPr>
                <w:noProof/>
              </w:rPr>
            </w:pPr>
            <w:r>
              <w:rPr>
                <w:noProof/>
              </w:rPr>
              <w:t xml:space="preserve">Numer </w:t>
            </w:r>
          </w:p>
        </w:tc>
        <w:tc>
          <w:tcPr>
            <w:tcW w:w="1134" w:type="dxa"/>
            <w:shd w:val="clear" w:color="auto" w:fill="C6EFCE"/>
            <w:noWrap/>
            <w:vAlign w:val="center"/>
          </w:tcPr>
          <w:p w14:paraId="73367907" w14:textId="77777777" w:rsidR="004C6421" w:rsidRDefault="009D1962">
            <w:pPr>
              <w:pStyle w:val="P68B1DB1-Normal4"/>
              <w:jc w:val="center"/>
              <w:rPr>
                <w:noProof/>
              </w:rPr>
            </w:pPr>
            <w:r>
              <w:rPr>
                <w:noProof/>
              </w:rPr>
              <w:t>0</w:t>
            </w:r>
          </w:p>
        </w:tc>
        <w:tc>
          <w:tcPr>
            <w:tcW w:w="946" w:type="dxa"/>
            <w:shd w:val="clear" w:color="auto" w:fill="C6EFCE"/>
            <w:noWrap/>
            <w:vAlign w:val="center"/>
          </w:tcPr>
          <w:p w14:paraId="0BCE0964" w14:textId="77777777" w:rsidR="004C6421" w:rsidRDefault="009D1962">
            <w:pPr>
              <w:pStyle w:val="P68B1DB1-Normal4"/>
              <w:jc w:val="center"/>
              <w:rPr>
                <w:noProof/>
              </w:rPr>
            </w:pPr>
            <w:r>
              <w:rPr>
                <w:noProof/>
              </w:rPr>
              <w:t>1</w:t>
            </w:r>
          </w:p>
        </w:tc>
        <w:tc>
          <w:tcPr>
            <w:tcW w:w="992" w:type="dxa"/>
            <w:shd w:val="clear" w:color="auto" w:fill="C6EFCE"/>
            <w:noWrap/>
            <w:vAlign w:val="center"/>
          </w:tcPr>
          <w:p w14:paraId="7A4B00F0" w14:textId="77777777" w:rsidR="004C6421" w:rsidRDefault="009D1962">
            <w:pPr>
              <w:pStyle w:val="P68B1DB1-Normal4"/>
              <w:jc w:val="center"/>
              <w:rPr>
                <w:noProof/>
              </w:rPr>
            </w:pPr>
            <w:r>
              <w:rPr>
                <w:noProof/>
              </w:rPr>
              <w:t>II KW.</w:t>
            </w:r>
          </w:p>
        </w:tc>
        <w:tc>
          <w:tcPr>
            <w:tcW w:w="756" w:type="dxa"/>
            <w:shd w:val="clear" w:color="auto" w:fill="C6EFCE"/>
            <w:noWrap/>
            <w:vAlign w:val="center"/>
          </w:tcPr>
          <w:p w14:paraId="2A6FFF8F" w14:textId="77777777" w:rsidR="004C6421" w:rsidRDefault="009D1962">
            <w:pPr>
              <w:pStyle w:val="P68B1DB1-Normal4"/>
              <w:jc w:val="center"/>
              <w:rPr>
                <w:noProof/>
              </w:rPr>
            </w:pPr>
            <w:r>
              <w:rPr>
                <w:noProof/>
              </w:rPr>
              <w:t>2026</w:t>
            </w:r>
          </w:p>
        </w:tc>
        <w:tc>
          <w:tcPr>
            <w:tcW w:w="2793" w:type="dxa"/>
            <w:shd w:val="clear" w:color="auto" w:fill="C6EFCE"/>
            <w:noWrap/>
            <w:vAlign w:val="center"/>
          </w:tcPr>
          <w:p w14:paraId="25ABDAE8" w14:textId="77777777" w:rsidR="004C6421" w:rsidRDefault="009D1962">
            <w:pPr>
              <w:pStyle w:val="P68B1DB1-Normal4"/>
              <w:spacing w:after="120"/>
              <w:rPr>
                <w:noProof/>
              </w:rPr>
            </w:pPr>
            <w:r>
              <w:rPr>
                <w:noProof/>
              </w:rPr>
              <w:t>Wprowadzenie wodoru w co najmniej 1 zakładzie przemysłowym w celu dekarbonizacji sektorów, z których trudno jest zrezygnować. Środek ten wspiera produkcję wodoru w oparciu o elektrolizę z wykorzystaniem odnawialnych źródeł energii zdefiniowanych w dyrektywie (UE) 2018/2001 (dyrektywa w sprawie energii ze źródeł odnawialnych) lub energię elektryczną z sieci.”;</w:t>
            </w:r>
          </w:p>
          <w:p w14:paraId="4CF9B479" w14:textId="77777777" w:rsidR="004C6421" w:rsidRDefault="009D1962">
            <w:pPr>
              <w:pStyle w:val="P68B1DB1-Normal4"/>
              <w:spacing w:after="120"/>
              <w:rPr>
                <w:noProof/>
              </w:rPr>
            </w:pPr>
            <w:r>
              <w:rPr>
                <w:noProof/>
              </w:rPr>
              <w:t>Co najmniej 400 000 000 EUR wspiera rozwój przemysłowy, który zastępuje 90 % wykorzystania metanu i paliw kopalnych w procesie przemysłowym wodorem opartym na elektrolizie z wykorzystaniem odnawialnych źródeł energii zdefiniowanych w dyrektywie (UE) 2018/2001 (dyrektywa w sprawie odnawialnych źródeł energii) lub energią elektryczną z sieci.</w:t>
            </w:r>
          </w:p>
        </w:tc>
      </w:tr>
      <w:tr w:rsidR="004C6421" w14:paraId="529BF8FB" w14:textId="77777777">
        <w:trPr>
          <w:trHeight w:val="309"/>
          <w:jc w:val="center"/>
        </w:trPr>
        <w:tc>
          <w:tcPr>
            <w:tcW w:w="1613" w:type="dxa"/>
            <w:shd w:val="clear" w:color="auto" w:fill="C6EFCE"/>
            <w:noWrap/>
            <w:vAlign w:val="center"/>
          </w:tcPr>
          <w:p w14:paraId="23423690" w14:textId="77777777" w:rsidR="004C6421" w:rsidRDefault="009D1962">
            <w:pPr>
              <w:pStyle w:val="P68B1DB1-Normal4"/>
              <w:jc w:val="center"/>
              <w:rPr>
                <w:noProof/>
              </w:rPr>
            </w:pPr>
            <w:r>
              <w:rPr>
                <w:noProof/>
              </w:rPr>
              <w:t>M2C2-52</w:t>
            </w:r>
          </w:p>
        </w:tc>
        <w:tc>
          <w:tcPr>
            <w:tcW w:w="1643" w:type="dxa"/>
            <w:shd w:val="clear" w:color="auto" w:fill="C6EFCE"/>
            <w:noWrap/>
            <w:vAlign w:val="center"/>
          </w:tcPr>
          <w:p w14:paraId="3E33E963" w14:textId="77777777" w:rsidR="004C6421" w:rsidRDefault="009D1962">
            <w:pPr>
              <w:pStyle w:val="P68B1DB1-Normal4"/>
              <w:jc w:val="center"/>
              <w:rPr>
                <w:noProof/>
              </w:rPr>
            </w:pPr>
            <w:r>
              <w:rPr>
                <w:noProof/>
              </w:rPr>
              <w:t>Inwestycje 5.2 Wodor</w:t>
            </w:r>
          </w:p>
        </w:tc>
        <w:tc>
          <w:tcPr>
            <w:tcW w:w="1559" w:type="dxa"/>
            <w:shd w:val="clear" w:color="auto" w:fill="C6EFCE"/>
            <w:noWrap/>
            <w:vAlign w:val="center"/>
          </w:tcPr>
          <w:p w14:paraId="688D41D8" w14:textId="1A189FF0" w:rsidR="004C6421" w:rsidRDefault="00CC179E">
            <w:pPr>
              <w:pStyle w:val="P68B1DB1-Normal4"/>
              <w:jc w:val="center"/>
              <w:rPr>
                <w:noProof/>
              </w:rPr>
            </w:pPr>
            <w:r>
              <w:rPr>
                <w:noProof/>
              </w:rPr>
              <w:t>Milowy</w:t>
            </w:r>
          </w:p>
        </w:tc>
        <w:tc>
          <w:tcPr>
            <w:tcW w:w="1559" w:type="dxa"/>
            <w:shd w:val="clear" w:color="auto" w:fill="C6EFCE"/>
            <w:noWrap/>
            <w:vAlign w:val="center"/>
          </w:tcPr>
          <w:p w14:paraId="0E23F53B" w14:textId="77777777" w:rsidR="004C6421" w:rsidRDefault="009D1962">
            <w:pPr>
              <w:pStyle w:val="P68B1DB1-Normal4"/>
              <w:jc w:val="center"/>
              <w:rPr>
                <w:noProof/>
              </w:rPr>
            </w:pPr>
            <w:r>
              <w:rPr>
                <w:noProof/>
              </w:rPr>
              <w:t>Produkcja elektrolizerów</w:t>
            </w:r>
          </w:p>
        </w:tc>
        <w:tc>
          <w:tcPr>
            <w:tcW w:w="1843" w:type="dxa"/>
            <w:shd w:val="clear" w:color="auto" w:fill="C6EFCE"/>
            <w:noWrap/>
            <w:vAlign w:val="center"/>
          </w:tcPr>
          <w:p w14:paraId="14839248" w14:textId="77777777" w:rsidR="004C6421" w:rsidRDefault="009D1962">
            <w:pPr>
              <w:pStyle w:val="P68B1DB1-Normal4"/>
              <w:jc w:val="center"/>
              <w:rPr>
                <w:noProof/>
              </w:rPr>
            </w:pPr>
            <w:r>
              <w:rPr>
                <w:noProof/>
              </w:rPr>
              <w:t>Powiadomienie o publikacji wszystkich zamówień publicznych</w:t>
            </w:r>
          </w:p>
        </w:tc>
        <w:tc>
          <w:tcPr>
            <w:tcW w:w="1417" w:type="dxa"/>
            <w:shd w:val="clear" w:color="auto" w:fill="C6EFCE"/>
            <w:noWrap/>
            <w:vAlign w:val="center"/>
          </w:tcPr>
          <w:p w14:paraId="168F9054"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1CA09486" w14:textId="77777777" w:rsidR="004C6421" w:rsidRDefault="009D1962">
            <w:pPr>
              <w:pStyle w:val="P68B1DB1-Normal4"/>
              <w:jc w:val="center"/>
              <w:rPr>
                <w:noProof/>
              </w:rPr>
            </w:pPr>
            <w:r>
              <w:rPr>
                <w:noProof/>
              </w:rPr>
              <w:t>NIE DOT.</w:t>
            </w:r>
          </w:p>
        </w:tc>
        <w:tc>
          <w:tcPr>
            <w:tcW w:w="946" w:type="dxa"/>
            <w:shd w:val="clear" w:color="auto" w:fill="C6EFCE"/>
            <w:noWrap/>
            <w:vAlign w:val="center"/>
          </w:tcPr>
          <w:p w14:paraId="576EA063" w14:textId="77777777" w:rsidR="004C6421" w:rsidRDefault="009D1962">
            <w:pPr>
              <w:pStyle w:val="P68B1DB1-Normal4"/>
              <w:jc w:val="center"/>
              <w:rPr>
                <w:noProof/>
              </w:rPr>
            </w:pPr>
            <w:r>
              <w:rPr>
                <w:noProof/>
              </w:rPr>
              <w:t>NIE DOT.</w:t>
            </w:r>
          </w:p>
        </w:tc>
        <w:tc>
          <w:tcPr>
            <w:tcW w:w="992" w:type="dxa"/>
            <w:shd w:val="clear" w:color="auto" w:fill="C6EFCE"/>
            <w:noWrap/>
            <w:vAlign w:val="center"/>
          </w:tcPr>
          <w:p w14:paraId="4A0BC949" w14:textId="77777777" w:rsidR="004C6421" w:rsidRDefault="009D1962">
            <w:pPr>
              <w:pStyle w:val="P68B1DB1-Normal4"/>
              <w:jc w:val="center"/>
              <w:rPr>
                <w:noProof/>
              </w:rPr>
            </w:pPr>
            <w:r>
              <w:rPr>
                <w:noProof/>
              </w:rPr>
              <w:t>II KW.</w:t>
            </w:r>
          </w:p>
        </w:tc>
        <w:tc>
          <w:tcPr>
            <w:tcW w:w="756" w:type="dxa"/>
            <w:shd w:val="clear" w:color="auto" w:fill="C6EFCE"/>
            <w:noWrap/>
            <w:vAlign w:val="center"/>
          </w:tcPr>
          <w:p w14:paraId="4135CEC2" w14:textId="77777777" w:rsidR="004C6421" w:rsidRDefault="009D1962">
            <w:pPr>
              <w:pStyle w:val="P68B1DB1-Normal4"/>
              <w:jc w:val="center"/>
              <w:rPr>
                <w:noProof/>
              </w:rPr>
            </w:pPr>
            <w:r>
              <w:rPr>
                <w:noProof/>
              </w:rPr>
              <w:t>2022</w:t>
            </w:r>
          </w:p>
        </w:tc>
        <w:tc>
          <w:tcPr>
            <w:tcW w:w="2793" w:type="dxa"/>
            <w:shd w:val="clear" w:color="auto" w:fill="C6EFCE"/>
            <w:noWrap/>
            <w:vAlign w:val="center"/>
          </w:tcPr>
          <w:p w14:paraId="4849CF21" w14:textId="77777777" w:rsidR="004C6421" w:rsidRDefault="009D1962">
            <w:pPr>
              <w:pStyle w:val="P68B1DB1-Normal4"/>
              <w:rPr>
                <w:noProof/>
              </w:rPr>
            </w:pPr>
            <w:r>
              <w:rPr>
                <w:noProof/>
              </w:rPr>
              <w:t xml:space="preserve">Udzielenie zamówienia na budowę zakładu przemysłowego do produkcji elektrolizerów. </w:t>
            </w:r>
          </w:p>
        </w:tc>
      </w:tr>
      <w:tr w:rsidR="004C6421" w14:paraId="437F62AA" w14:textId="77777777">
        <w:trPr>
          <w:trHeight w:val="309"/>
          <w:jc w:val="center"/>
        </w:trPr>
        <w:tc>
          <w:tcPr>
            <w:tcW w:w="1613" w:type="dxa"/>
            <w:shd w:val="clear" w:color="auto" w:fill="C6EFCE"/>
            <w:noWrap/>
            <w:vAlign w:val="center"/>
          </w:tcPr>
          <w:p w14:paraId="44ABA6C6" w14:textId="77777777" w:rsidR="004C6421" w:rsidRDefault="009D1962">
            <w:pPr>
              <w:pStyle w:val="P68B1DB1-Normal4"/>
              <w:jc w:val="center"/>
              <w:rPr>
                <w:noProof/>
              </w:rPr>
            </w:pPr>
            <w:r>
              <w:rPr>
                <w:noProof/>
              </w:rPr>
              <w:t>M2C2-53</w:t>
            </w:r>
          </w:p>
        </w:tc>
        <w:tc>
          <w:tcPr>
            <w:tcW w:w="1643" w:type="dxa"/>
            <w:shd w:val="clear" w:color="auto" w:fill="C6EFCE"/>
            <w:noWrap/>
            <w:vAlign w:val="center"/>
          </w:tcPr>
          <w:p w14:paraId="0829E1DC" w14:textId="77777777" w:rsidR="004C6421" w:rsidRDefault="009D1962">
            <w:pPr>
              <w:pStyle w:val="P68B1DB1-Normal4"/>
              <w:jc w:val="center"/>
              <w:rPr>
                <w:noProof/>
              </w:rPr>
            </w:pPr>
            <w:r>
              <w:rPr>
                <w:noProof/>
              </w:rPr>
              <w:t>Inwestycje 5.2 Wodor</w:t>
            </w:r>
          </w:p>
        </w:tc>
        <w:tc>
          <w:tcPr>
            <w:tcW w:w="1559" w:type="dxa"/>
            <w:shd w:val="clear" w:color="auto" w:fill="C6EFCE"/>
            <w:noWrap/>
            <w:vAlign w:val="center"/>
          </w:tcPr>
          <w:p w14:paraId="49CA65ED" w14:textId="77777777" w:rsidR="004C6421" w:rsidRDefault="009D1962">
            <w:pPr>
              <w:pStyle w:val="P68B1DB1-Normal4"/>
              <w:jc w:val="center"/>
              <w:rPr>
                <w:noProof/>
              </w:rPr>
            </w:pPr>
            <w:r>
              <w:rPr>
                <w:noProof/>
              </w:rPr>
              <w:t>Cel</w:t>
            </w:r>
          </w:p>
        </w:tc>
        <w:tc>
          <w:tcPr>
            <w:tcW w:w="1559" w:type="dxa"/>
            <w:shd w:val="clear" w:color="auto" w:fill="C6EFCE"/>
            <w:noWrap/>
            <w:vAlign w:val="center"/>
          </w:tcPr>
          <w:p w14:paraId="74B506FE" w14:textId="49779C07" w:rsidR="004C6421" w:rsidRDefault="009D1962">
            <w:pPr>
              <w:pStyle w:val="P68B1DB1-Normal4"/>
              <w:jc w:val="center"/>
              <w:rPr>
                <w:noProof/>
              </w:rPr>
            </w:pPr>
            <w:r>
              <w:rPr>
                <w:noProof/>
              </w:rPr>
              <w:t xml:space="preserve">Wybudowana instalacja przemysłowa </w:t>
            </w:r>
          </w:p>
        </w:tc>
        <w:tc>
          <w:tcPr>
            <w:tcW w:w="1843" w:type="dxa"/>
            <w:shd w:val="clear" w:color="auto" w:fill="C6EFCE"/>
            <w:noWrap/>
            <w:vAlign w:val="center"/>
          </w:tcPr>
          <w:p w14:paraId="5FDA2C91" w14:textId="77777777" w:rsidR="004C6421" w:rsidRDefault="009D1962">
            <w:pPr>
              <w:pStyle w:val="P68B1DB1-Normal4"/>
              <w:jc w:val="center"/>
              <w:rPr>
                <w:noProof/>
              </w:rPr>
            </w:pPr>
            <w:r>
              <w:rPr>
                <w:noProof/>
              </w:rPr>
              <w:t>NIE DOT.</w:t>
            </w:r>
          </w:p>
        </w:tc>
        <w:tc>
          <w:tcPr>
            <w:tcW w:w="1417" w:type="dxa"/>
            <w:shd w:val="clear" w:color="auto" w:fill="C6EFCE"/>
            <w:noWrap/>
            <w:vAlign w:val="center"/>
          </w:tcPr>
          <w:p w14:paraId="4FEC9EE6" w14:textId="77777777" w:rsidR="004C6421" w:rsidRDefault="009D1962">
            <w:pPr>
              <w:pStyle w:val="P68B1DB1-Normal4"/>
              <w:jc w:val="center"/>
              <w:rPr>
                <w:noProof/>
              </w:rPr>
            </w:pPr>
            <w:r>
              <w:rPr>
                <w:noProof/>
              </w:rPr>
              <w:t>Numer</w:t>
            </w:r>
          </w:p>
        </w:tc>
        <w:tc>
          <w:tcPr>
            <w:tcW w:w="1134" w:type="dxa"/>
            <w:shd w:val="clear" w:color="auto" w:fill="C6EFCE"/>
            <w:noWrap/>
            <w:vAlign w:val="center"/>
          </w:tcPr>
          <w:p w14:paraId="4398D0CB" w14:textId="77777777" w:rsidR="004C6421" w:rsidRDefault="009D1962">
            <w:pPr>
              <w:pStyle w:val="P68B1DB1-Normal4"/>
              <w:jc w:val="center"/>
              <w:rPr>
                <w:noProof/>
              </w:rPr>
            </w:pPr>
            <w:r>
              <w:rPr>
                <w:noProof/>
              </w:rPr>
              <w:t>0</w:t>
            </w:r>
          </w:p>
        </w:tc>
        <w:tc>
          <w:tcPr>
            <w:tcW w:w="946" w:type="dxa"/>
            <w:shd w:val="clear" w:color="auto" w:fill="C6EFCE"/>
            <w:noWrap/>
            <w:vAlign w:val="center"/>
          </w:tcPr>
          <w:p w14:paraId="588EE385" w14:textId="77777777" w:rsidR="004C6421" w:rsidRDefault="009D1962">
            <w:pPr>
              <w:pStyle w:val="P68B1DB1-Normal4"/>
              <w:jc w:val="center"/>
              <w:rPr>
                <w:noProof/>
              </w:rPr>
            </w:pPr>
            <w:r>
              <w:rPr>
                <w:noProof/>
              </w:rPr>
              <w:t>1</w:t>
            </w:r>
          </w:p>
        </w:tc>
        <w:tc>
          <w:tcPr>
            <w:tcW w:w="992" w:type="dxa"/>
            <w:shd w:val="clear" w:color="auto" w:fill="C6EFCE"/>
            <w:noWrap/>
            <w:vAlign w:val="center"/>
          </w:tcPr>
          <w:p w14:paraId="7CBB551B" w14:textId="77777777" w:rsidR="004C6421" w:rsidRDefault="009D1962">
            <w:pPr>
              <w:pStyle w:val="P68B1DB1-Normal4"/>
              <w:jc w:val="center"/>
              <w:rPr>
                <w:noProof/>
              </w:rPr>
            </w:pPr>
            <w:r>
              <w:rPr>
                <w:noProof/>
              </w:rPr>
              <w:t>II KW.</w:t>
            </w:r>
          </w:p>
        </w:tc>
        <w:tc>
          <w:tcPr>
            <w:tcW w:w="756" w:type="dxa"/>
            <w:shd w:val="clear" w:color="auto" w:fill="C6EFCE"/>
            <w:noWrap/>
            <w:vAlign w:val="center"/>
          </w:tcPr>
          <w:p w14:paraId="39BCED50" w14:textId="77777777" w:rsidR="004C6421" w:rsidRDefault="009D1962">
            <w:pPr>
              <w:pStyle w:val="P68B1DB1-Normal4"/>
              <w:jc w:val="center"/>
              <w:rPr>
                <w:noProof/>
              </w:rPr>
            </w:pPr>
            <w:r>
              <w:rPr>
                <w:noProof/>
              </w:rPr>
              <w:t>2026</w:t>
            </w:r>
          </w:p>
        </w:tc>
        <w:tc>
          <w:tcPr>
            <w:tcW w:w="2793" w:type="dxa"/>
            <w:shd w:val="clear" w:color="auto" w:fill="C6EFCE"/>
            <w:noWrap/>
            <w:vAlign w:val="center"/>
          </w:tcPr>
          <w:p w14:paraId="1FE8DD52" w14:textId="77777777" w:rsidR="004C6421" w:rsidRDefault="009D1962">
            <w:pPr>
              <w:pStyle w:val="P68B1DB1-Normal4"/>
              <w:rPr>
                <w:noProof/>
              </w:rPr>
            </w:pPr>
            <w:r>
              <w:rPr>
                <w:noProof/>
              </w:rPr>
              <w:t>Budowa co najmniej jednego zakładu przemysłowego do produkcji elektrolizerów o całkowitej mocy produkcyjnej dla całej inwestycji wynoszącej co najmniej 1 GW rocznie.</w:t>
            </w:r>
          </w:p>
        </w:tc>
      </w:tr>
    </w:tbl>
    <w:p w14:paraId="08F8DF5D" w14:textId="77777777" w:rsidR="004C6421" w:rsidRDefault="004C6421">
      <w:pPr>
        <w:tabs>
          <w:tab w:val="left" w:pos="1860"/>
        </w:tabs>
        <w:spacing w:before="120" w:after="120"/>
        <w:jc w:val="both"/>
        <w:rPr>
          <w:noProof/>
        </w:rPr>
      </w:pPr>
    </w:p>
    <w:p w14:paraId="4E9DB0D3" w14:textId="77777777" w:rsidR="004C6421" w:rsidRDefault="004C6421">
      <w:pPr>
        <w:tabs>
          <w:tab w:val="left" w:pos="1860"/>
        </w:tabs>
        <w:spacing w:before="120" w:after="120"/>
        <w:jc w:val="both"/>
        <w:rPr>
          <w:noProof/>
        </w:rPr>
        <w:sectPr w:rsidR="004C6421" w:rsidSect="00797973">
          <w:headerReference w:type="even" r:id="rId158"/>
          <w:headerReference w:type="default" r:id="rId159"/>
          <w:footerReference w:type="even" r:id="rId160"/>
          <w:footerReference w:type="default" r:id="rId161"/>
          <w:headerReference w:type="first" r:id="rId162"/>
          <w:footerReference w:type="first" r:id="rId163"/>
          <w:pgSz w:w="16839" w:h="11907" w:orient="landscape"/>
          <w:pgMar w:top="1134" w:right="1134" w:bottom="1134" w:left="1134" w:header="567" w:footer="567" w:gutter="0"/>
          <w:cols w:space="720"/>
          <w:docGrid w:linePitch="360"/>
        </w:sectPr>
      </w:pPr>
    </w:p>
    <w:p w14:paraId="129577C8" w14:textId="06B4F737" w:rsidR="004C6421" w:rsidRDefault="009D1962">
      <w:pPr>
        <w:pStyle w:val="Heading2"/>
        <w:numPr>
          <w:ilvl w:val="0"/>
          <w:numId w:val="0"/>
        </w:numPr>
        <w:rPr>
          <w:noProof/>
        </w:rPr>
      </w:pPr>
      <w:r>
        <w:rPr>
          <w:noProof/>
        </w:rPr>
        <w:t xml:space="preserve">F. </w:t>
      </w:r>
      <w:r w:rsidR="002175A3">
        <w:rPr>
          <w:noProof/>
        </w:rPr>
        <w:t>ZADANIE</w:t>
      </w:r>
      <w:r>
        <w:rPr>
          <w:noProof/>
        </w:rPr>
        <w:t xml:space="preserve"> 2 KOMPONENT 3 – Efektywność energetyczna i przekwalifikowanie budynków</w:t>
      </w:r>
    </w:p>
    <w:p w14:paraId="0B20E111" w14:textId="77777777" w:rsidR="004C6421" w:rsidRDefault="009D1962">
      <w:pPr>
        <w:spacing w:before="120" w:after="120"/>
        <w:jc w:val="both"/>
        <w:rPr>
          <w:noProof/>
        </w:rPr>
      </w:pPr>
      <w:r>
        <w:rPr>
          <w:noProof/>
        </w:rPr>
        <w:t xml:space="preserve">Efektywność energetyczna jest podstawą tego komponentu, który składa się z trzech głównych filarów. </w:t>
      </w:r>
    </w:p>
    <w:p w14:paraId="0766FF81" w14:textId="77777777" w:rsidR="004C6421" w:rsidRDefault="009D1962">
      <w:pPr>
        <w:numPr>
          <w:ilvl w:val="0"/>
          <w:numId w:val="75"/>
        </w:numPr>
        <w:spacing w:before="120" w:after="120"/>
        <w:ind w:left="360"/>
        <w:contextualSpacing/>
        <w:jc w:val="both"/>
        <w:rPr>
          <w:noProof/>
        </w:rPr>
      </w:pPr>
      <w:r>
        <w:rPr>
          <w:noProof/>
        </w:rPr>
        <w:t xml:space="preserve">Pierwszym filarem jest wprowadzenie tymczasowej zachęty do renowacji energetycznej i antysejsmicznej prywatnych nieruchomości poprzez odliczenie od podatku kosztów poniesionych w związku z interwencjami. Kwalifikujące się interwencje to te, które zwiększają charakterystykę energetyczną lokalu mieszkalnego o co najmniej dwie kategorie świadectwa energetycznego, osiągając średnio poprawę zużycia energii powyżej 30 %. </w:t>
      </w:r>
    </w:p>
    <w:p w14:paraId="15649F6E" w14:textId="77777777" w:rsidR="004C6421" w:rsidRDefault="009D1962">
      <w:pPr>
        <w:numPr>
          <w:ilvl w:val="0"/>
          <w:numId w:val="75"/>
        </w:numPr>
        <w:spacing w:before="120" w:after="120"/>
        <w:ind w:left="360"/>
        <w:contextualSpacing/>
        <w:jc w:val="both"/>
        <w:rPr>
          <w:noProof/>
        </w:rPr>
      </w:pPr>
      <w:r>
        <w:rPr>
          <w:noProof/>
        </w:rPr>
        <w:t>Drugim filarem tego komponentu jest poprawa skuteczności i bezpieczeństwa szkół publicznych i cytadeli sądowych.</w:t>
      </w:r>
    </w:p>
    <w:p w14:paraId="5044EED7" w14:textId="77777777" w:rsidR="004C6421" w:rsidRDefault="009D1962">
      <w:pPr>
        <w:numPr>
          <w:ilvl w:val="0"/>
          <w:numId w:val="75"/>
        </w:numPr>
        <w:spacing w:before="120" w:after="120"/>
        <w:ind w:left="360"/>
        <w:contextualSpacing/>
        <w:jc w:val="both"/>
        <w:rPr>
          <w:noProof/>
        </w:rPr>
      </w:pPr>
      <w:r>
        <w:rPr>
          <w:noProof/>
        </w:rPr>
        <w:t xml:space="preserve">Trzeci filar ma na celu stymulowanie budowy i rozbudowy efektywnych sieci ciepłowniczych na obszarach miejskich. </w:t>
      </w:r>
    </w:p>
    <w:p w14:paraId="7F8B8A90" w14:textId="77777777" w:rsidR="004C6421" w:rsidRDefault="009D1962">
      <w:pPr>
        <w:spacing w:before="120" w:after="120"/>
        <w:jc w:val="both"/>
        <w:rPr>
          <w:noProof/>
        </w:rPr>
      </w:pPr>
      <w:r>
        <w:rPr>
          <w:noProof/>
        </w:rPr>
        <w:t xml:space="preserve">Ponadto przeprowadzono szereg reform mających na celu uproszczenie i przyspieszenie realizacji projektów mających na celu poprawę efektywności energetycznej budynków. </w:t>
      </w:r>
    </w:p>
    <w:p w14:paraId="274FBC10" w14:textId="77777777" w:rsidR="004C6421" w:rsidRDefault="009D1962">
      <w:pPr>
        <w:spacing w:before="120" w:after="120"/>
        <w:jc w:val="both"/>
        <w:rPr>
          <w:noProof/>
        </w:rPr>
      </w:pPr>
      <w:r>
        <w:rPr>
          <w:noProof/>
        </w:rPr>
        <w:t xml:space="preserve">Oczekuje się, że komponent ten w znacznym stopniu przyczyni się do osiągnięcia celów Włoch w zakresie klimatu i energii na 2030 r., ponieważ sektor cywilny odpowiada za prawie połowę całkowitego zużycia energii we Włoszech. Większość budynków została zbudowana przed przyjęciem kryteriów oszczędności energii i wejściem w życie odpowiednich przepisów, w związku z czym potrzeby w zakresie efektywności energetycznej i przystosowania się do zagrożeń sejsmicznych są znaczne.  </w:t>
      </w:r>
    </w:p>
    <w:p w14:paraId="38EE6E21" w14:textId="77777777" w:rsidR="004C6421" w:rsidRDefault="009D1962">
      <w:pPr>
        <w:spacing w:before="120" w:after="120"/>
        <w:jc w:val="both"/>
        <w:rPr>
          <w:noProof/>
        </w:rPr>
      </w:pPr>
      <w:r>
        <w:rPr>
          <w:noProof/>
        </w:rPr>
        <w:t>Komponent ten stanowi część zalecenia krajowego 3, w którym Rada zaleciła Włochom podjęcie działań mających na celu „ukierunkowanie inwestycji na transformację ekologiczną i cyfrową, w szczególności na [...] gospodarkę wodną, a także wzmocnioną infrastrukturę cyfrową w celu zapewnienia świadczenia podstawowych usług”. Odniesiono się w nim również do zaleceń dla poszczególnych krajów z 2019 r. nr 3 („Ukierunkowanie polityki gospodarczej związanej z inwestycjami na jakość infrastruktury, z uwzględnieniem różnic regionalnych. [...] oraz poprawa skuteczności administracji publicznej [...] poprzez przyspieszenie cyfryzacji oraz zwiększenie wydajności i jakości lokalnych usług publicznych”).</w:t>
      </w:r>
    </w:p>
    <w:p w14:paraId="2E03CA4C" w14:textId="77777777" w:rsidR="004C6421" w:rsidRDefault="009D1962">
      <w:pPr>
        <w:spacing w:before="120" w:after="120"/>
        <w:jc w:val="both"/>
        <w:rPr>
          <w:noProof/>
        </w:rPr>
      </w:pPr>
      <w:r>
        <w:rPr>
          <w:noProof/>
        </w:rPr>
        <w:t xml:space="preserve">Oczekuje się, że żaden środek w ramach tego komponentu nie spowoduje znaczącej szkody w realizacji celów środowiskowych w rozumieniu art. 17 rozporządzenia (UE) 2020/852, biorąc pod uwagę opis środków i działań łagodzących określonych w planie odbudowy i zwiększania odporności zgodnie z wytycznymi technicznymi dotyczącymi zasady „nie czyń poważnych szkód” (2021/C58/01). </w:t>
      </w:r>
    </w:p>
    <w:p w14:paraId="62748512" w14:textId="77777777" w:rsidR="004C6421" w:rsidRDefault="009D1962">
      <w:pPr>
        <w:pStyle w:val="Heading3"/>
        <w:numPr>
          <w:ilvl w:val="0"/>
          <w:numId w:val="0"/>
        </w:numPr>
        <w:ind w:left="850" w:hanging="850"/>
        <w:rPr>
          <w:b/>
          <w:i w:val="0"/>
          <w:noProof/>
          <w:color w:val="4472C4" w:themeColor="accent1"/>
          <w:u w:val="single"/>
        </w:rPr>
      </w:pPr>
      <w:r>
        <w:rPr>
          <w:b/>
          <w:i w:val="0"/>
          <w:noProof/>
          <w:u w:val="single"/>
        </w:rPr>
        <w:t xml:space="preserve">F.1. </w:t>
      </w:r>
      <w:r>
        <w:rPr>
          <w:noProof/>
        </w:rPr>
        <w:t xml:space="preserve"> </w:t>
      </w:r>
      <w:r>
        <w:rPr>
          <w:b/>
          <w:i w:val="0"/>
          <w:noProof/>
          <w:u w:val="single"/>
        </w:rPr>
        <w:t>Opis reform i inwestycji, które mają być finansowane z bezzwrotnego wsparcia finansowego</w:t>
      </w:r>
    </w:p>
    <w:p w14:paraId="2B21FDF9" w14:textId="77777777" w:rsidR="004C6421" w:rsidRDefault="009D1962">
      <w:pPr>
        <w:pStyle w:val="P68B1DB1-Normal2"/>
        <w:spacing w:before="120" w:after="120" w:line="257" w:lineRule="auto"/>
        <w:jc w:val="both"/>
        <w:rPr>
          <w:noProof/>
        </w:rPr>
      </w:pPr>
      <w:r>
        <w:rPr>
          <w:noProof/>
        </w:rPr>
        <w:t>Inwestycja 2.1: Wzmocnienie Ecobonus na rzecz efektywności energetycznej</w:t>
      </w:r>
    </w:p>
    <w:p w14:paraId="52190BA7" w14:textId="77777777" w:rsidR="004C6421" w:rsidRDefault="009D1962">
      <w:pPr>
        <w:spacing w:before="120" w:after="120"/>
        <w:jc w:val="both"/>
        <w:rPr>
          <w:noProof/>
        </w:rPr>
      </w:pPr>
      <w:r>
        <w:rPr>
          <w:noProof/>
        </w:rPr>
        <w:t xml:space="preserve">Środek Superbonus finansuje renowację energetyczną budynków mieszkalnych, w tym mieszkań socjalnych, jak określono w art. 119 tzw. „dekretu Rilancio” przyjętego w celu zaradzenia niekorzystnym skutkom gospodarczym i społecznym pandemii. Działaniom w tym zakresie przyświecają dwa cele: 1) wniesienie znaczącego wkładu w osiągnięcie celów w zakresie oszczędności energii i redukcji emisji określonych w zintegrowanym krajowym planie na rzecz energii i klimatu Włoch (PNIEC) na 2030 r. oraz 2) zapewnienie antycyklicznego wsparcia dla sektora budowlanego i popytu prywatnego w celu zrównoważenia skutków pogorszenia koniunktury gospodarczej. </w:t>
      </w:r>
    </w:p>
    <w:p w14:paraId="25E0E979" w14:textId="77777777" w:rsidR="004C6421" w:rsidRDefault="009D1962">
      <w:pPr>
        <w:spacing w:before="120" w:after="120"/>
        <w:jc w:val="both"/>
        <w:rPr>
          <w:noProof/>
        </w:rPr>
      </w:pPr>
      <w:r>
        <w:rPr>
          <w:noProof/>
        </w:rPr>
        <w:t xml:space="preserve">Wsparcie udzielane jest w formie odliczenia podatkowego przez okres pięciu lat. Do dnia 16 lutego 2023 r. przewiduje się, że odbiorcy, jako alternatywa dla instrumentu odliczenia podatkowego, mogą, zamiast bezpośredniego korzystania z odliczenia, zdecydować się na wykorzystanie instrumentów finansowych (tzw. „transfer kredytowy” i „zniżka na fakturze”) w celu rozwiązania problemu wysokich kosztów inwestycji początkowych. Te alternatywne instrumenty przewidują, że ulga podatkowa naliczona przez beneficjenta jest realizowana w takiej samej wysokości jako: </w:t>
      </w:r>
    </w:p>
    <w:p w14:paraId="40699EB3" w14:textId="77777777" w:rsidR="004C6421" w:rsidRDefault="009D1962">
      <w:pPr>
        <w:spacing w:before="120" w:after="120"/>
        <w:jc w:val="both"/>
        <w:rPr>
          <w:noProof/>
        </w:rPr>
      </w:pPr>
      <w:r>
        <w:rPr>
          <w:noProof/>
        </w:rPr>
        <w:t xml:space="preserve">1. wkład w formie rabatu od ceny przedpłaty od dostawcy (tj. przedsiębiorstw budowlanych, projektantów lub, bardziej ogólnie, głównego wykonawcy), który obniża go bezpośrednio na fakturze i odzyska w formie ulgi podatkowej zmniejszającej koszt inwestycji początkowej; </w:t>
      </w:r>
    </w:p>
    <w:p w14:paraId="2EFA0767" w14:textId="77777777" w:rsidR="004C6421" w:rsidRDefault="009D1962">
      <w:pPr>
        <w:spacing w:before="120" w:after="120"/>
        <w:jc w:val="both"/>
        <w:rPr>
          <w:noProof/>
        </w:rPr>
      </w:pPr>
      <w:r>
        <w:rPr>
          <w:noProof/>
        </w:rPr>
        <w:t>2) ulga podatkowa, która ma zostać przekazana instytucji finansowej, która z góry wpłaca niezbędny kapitał. Mechanizm ten kompensuje ewentualne zniechęcanie do renowacji ze względu na wysokie koszty inwestycji początkowych. Wybór głównego wykonawcy lub instytucji finansowej pozostawia się beneficjentowi.</w:t>
      </w:r>
    </w:p>
    <w:p w14:paraId="48FAD41B" w14:textId="77777777" w:rsidR="004C6421" w:rsidRDefault="009D1962">
      <w:pPr>
        <w:spacing w:before="120" w:after="120"/>
        <w:jc w:val="both"/>
        <w:rPr>
          <w:noProof/>
        </w:rPr>
      </w:pPr>
      <w:r>
        <w:rPr>
          <w:noProof/>
        </w:rPr>
        <w:t xml:space="preserve">Z tej zachęty podatkowej mogą korzystać kondominia, budynki jednorodzinne, niepodzielne spółdzielnie mieszkaniowe, organizacje nienastawione na zysk i stowarzyszenia wolontariackie, amatorskie stowarzyszenia i kluby sportowe oraz mieszkania socjalne. Aby kwalifikować się do renowacji, renowacja musi zostać zakwalifikowana jako »głęboka renowacja« (tj. renowacja średnia zgodnie z zaleceniem Komisji (UE) 2019/786), co wiąże się z poprawą o co najmniej dwie klasy efektywności energetycznej (co odpowiada średnio oszczędności energii pierwotnej wynoszącej 40 %). Zakres kwalifikowalnych interwencji objętych tym środkiem jest szeroki, w tym na przykład interwencje napędowe, interwencje holowane, izolacja cieplna nieprzezroczystych powierzchni oraz interwencje w systemach klimatyzacji (kotły kondensacyjne; pompy ciepła; podłączenie do efektywnych sieci ciepłowniczych na określonych warunkach; energia słoneczna termiczna; kotły na biomasę w określonych warunkach), systemy fotowoltaiczne z powiązanymi systemami magazynowania lub infrastrukturą do ładowania pojazdów elektrycznych. W dwóch dekretach ministerialnych z dnia 6 sierpnia 2020 r. określono już wymogi techniczne interwencji oraz procedury poświadczania zgodności ze szczególnymi maksymalnymi wymogami i kosztami. </w:t>
      </w:r>
    </w:p>
    <w:p w14:paraId="59A7F9E8" w14:textId="77777777" w:rsidR="004C6421" w:rsidRDefault="009D1962">
      <w:pPr>
        <w:spacing w:before="120" w:after="120"/>
        <w:jc w:val="both"/>
        <w:rPr>
          <w:noProof/>
        </w:rPr>
      </w:pPr>
      <w:r>
        <w:rPr>
          <w:noProof/>
        </w:rPr>
        <w:t xml:space="preserve">Superbonus działa już od dnia 1 lipca 2020 r. i pozostaje w mocy do dnia 30 czerwca 2022 r. (w odniesieniu do mieszkalnictwa socjalnego do dnia 31 grudnia 2022 r.). Dostęp do świadczenia może być wymagany przez okres kolejnych sześciu miesięcy, w przypadku robót w kondominiach lub mieszkalnictwie socjalnym, jeżeli co najmniej 60 % prac zostało wykonanych przed upływem wskazanych powyżej terminów. Aby dać więcej czasu na bardziej złożone interwencje, planuje się przedłużenie stosowania środka w odniesieniu do kondominiów do dnia 31 grudnia 2022 r. oraz w odniesieniu do mieszkalnictwa socjalnego do dnia 30 czerwca 2023 r., niezależnie od ukończenia co najmniej 60 % robót. </w:t>
      </w:r>
    </w:p>
    <w:p w14:paraId="1C2B1AEA" w14:textId="77777777" w:rsidR="004C6421" w:rsidRDefault="009D1962">
      <w:pPr>
        <w:spacing w:before="120" w:after="120"/>
        <w:jc w:val="both"/>
        <w:rPr>
          <w:noProof/>
        </w:rPr>
      </w:pPr>
      <w:r>
        <w:rPr>
          <w:noProof/>
        </w:rPr>
        <w:t>Oczekuje się, że środek ten nie spowoduje znaczących szkód dla celów środowiskowych w rozumieniu art. 17 rozporządzenia (UE) 2020/852, biorąc pod uwagę opis środka i działania łagodzące określone w planie odbudowy i zwiększania odporności zgodnie z wytycznymi technicznymi DNSH (2021/C58/01). W szczególności koszty instalacji gazowych kotłów kondensacyjnych stanowią maksymalnie 20 % ogólnego kosztu programu renowacji. W przypadku gdy w celu wymiany nieefektywnych kotłów gazowych, węglowych i olejowych instaluje się gazowe kotły kondensacyjne, mają one klasę efektywności A. Ponadto instalacja kotłów na gaz ziemny musi być zgodna z warunkami określonymi w wytycznych technicznych DNSH (2021/C58/01).”;</w:t>
      </w:r>
    </w:p>
    <w:p w14:paraId="3CB4507C" w14:textId="77777777" w:rsidR="004C6421" w:rsidRDefault="009D1962">
      <w:pPr>
        <w:pStyle w:val="P68B1DB1-Normal2"/>
        <w:spacing w:before="120" w:after="120" w:line="257" w:lineRule="auto"/>
        <w:jc w:val="both"/>
        <w:rPr>
          <w:noProof/>
        </w:rPr>
      </w:pPr>
      <w:r>
        <w:rPr>
          <w:noProof/>
        </w:rPr>
        <w:t>Reforma 1.1 – Uproszczenie i przyspieszenie procedur interwencji w zakresie efektywności energetycznej</w:t>
      </w:r>
    </w:p>
    <w:p w14:paraId="6C8077D7" w14:textId="77777777" w:rsidR="004C6421" w:rsidRDefault="009D1962">
      <w:pPr>
        <w:spacing w:before="120" w:after="120"/>
        <w:jc w:val="both"/>
        <w:rPr>
          <w:noProof/>
        </w:rPr>
      </w:pPr>
      <w:r>
        <w:rPr>
          <w:noProof/>
        </w:rPr>
        <w:t>Reforma ta ma na celu uproszczenie i przyspieszenie procedur wdrażania interwencji związanych z efektywnością energetyczną. Składa się on z czterech głównych działań:</w:t>
      </w:r>
    </w:p>
    <w:p w14:paraId="1782684C" w14:textId="77777777" w:rsidR="004C6421" w:rsidRDefault="009D1962">
      <w:pPr>
        <w:numPr>
          <w:ilvl w:val="0"/>
          <w:numId w:val="76"/>
        </w:numPr>
        <w:spacing w:before="120" w:after="120"/>
        <w:ind w:left="357" w:hanging="357"/>
        <w:contextualSpacing/>
        <w:jc w:val="both"/>
        <w:rPr>
          <w:noProof/>
        </w:rPr>
      </w:pPr>
      <w:r>
        <w:rPr>
          <w:b/>
          <w:noProof/>
        </w:rPr>
        <w:t xml:space="preserve">Uruchomienie krajowego portalu na rzecz efektywności energetycznej budynków: </w:t>
      </w:r>
      <w:r>
        <w:rPr>
          <w:noProof/>
        </w:rPr>
        <w:t xml:space="preserve">Portal wspiera obywateli i operatorów w zarządzaniu projektami w zakresie efektywności energetycznej i jest łatwym źródłem dostępu do informacji dla decydentów. Zawiera ona informacje na temat charakterystyki energetycznej krajowych zasobów budowlanych, które mają pomóc przedsiębiorstwom i obywatelom w podejmowaniu decyzji dotyczących poprawy charakterystyki energetycznej ich nieruchomości. Ustanawia się punkt kompleksowej obsługi w celu zapewnienia pomocy i wszelkich przydatnych informacji obywatelom i przedsiębiorstwom w zakresie sporządzania map energetycznych budynków, zgodności z przepisami sektorowymi, oceny potencjału efektywności i wyboru priorytetów działania, w tym planów zagospodarowania przestrzennego, wyboru najodpowiedniejszych do tego celu narzędzi promocyjnych oraz szkolenia umiejętności zawodowych. </w:t>
      </w:r>
    </w:p>
    <w:p w14:paraId="00E7E263" w14:textId="77777777" w:rsidR="004C6421" w:rsidRDefault="009D1962">
      <w:pPr>
        <w:numPr>
          <w:ilvl w:val="0"/>
          <w:numId w:val="76"/>
        </w:numPr>
        <w:spacing w:before="120" w:after="120"/>
        <w:ind w:left="357" w:hanging="357"/>
        <w:contextualSpacing/>
        <w:jc w:val="both"/>
        <w:rPr>
          <w:b/>
          <w:noProof/>
        </w:rPr>
      </w:pPr>
      <w:r>
        <w:rPr>
          <w:b/>
          <w:noProof/>
        </w:rPr>
        <w:t xml:space="preserve">Wzmocnienie działań w ramach planu informacyjnego i szkoleniowego skierowanego do sektora cywilnego – </w:t>
      </w:r>
      <w:r>
        <w:rPr>
          <w:noProof/>
        </w:rPr>
        <w:t>w planie informacyjnym i szkoleniowym uwzględnia się potrzebę opracowania zarówno konkretnych inicjatyw mających na celu wypełnienie luki informacyjnej wśród użytkowników końcowych w sektorze mieszkaniowym, jak i odpowiednich działań szkoleniowych w zakresie zachęt i najskuteczniejszych interwencji dla przedsiębiorstw oferujących usługi energetyczne, które przeprowadzają interwencje, oraz dla administratorów kondominium. Plan jest opracowywany z uwzględnieniem potrzeb wynikających ze środka Superbonus, aby zmaksymalizować jego skuteczność i stworzyć podwaliny pod trwałą kulturę efektywności w budownictwie.</w:t>
      </w:r>
      <w:r>
        <w:rPr>
          <w:b/>
          <w:noProof/>
        </w:rPr>
        <w:t xml:space="preserve"> </w:t>
      </w:r>
    </w:p>
    <w:p w14:paraId="5AE49AF9" w14:textId="77777777" w:rsidR="004C6421" w:rsidRDefault="009D1962">
      <w:pPr>
        <w:numPr>
          <w:ilvl w:val="0"/>
          <w:numId w:val="76"/>
        </w:numPr>
        <w:spacing w:before="120" w:after="120"/>
        <w:ind w:left="357" w:hanging="357"/>
        <w:contextualSpacing/>
        <w:jc w:val="both"/>
        <w:rPr>
          <w:noProof/>
        </w:rPr>
      </w:pPr>
      <w:r>
        <w:rPr>
          <w:b/>
          <w:noProof/>
        </w:rPr>
        <w:t xml:space="preserve">Aktualizacja i wzmocnienie Narodowego Funduszu na rzecz Efektywności Energetycznej: </w:t>
      </w:r>
      <w:r>
        <w:rPr>
          <w:noProof/>
        </w:rPr>
        <w:t xml:space="preserve">Wraz ze zmianą przepisów dotyczących utworzenia Krajowego Funduszu Efektywności Energetycznej i zarządzania nim (art. 15 dekretu ustawodawczego nr 102/2014 i dekretu międzyresortowego z dnia 22 grudnia 2017 r.) wejdą w życie zmiany mające na celu zwiększenie i zwiększenie wykorzystania dostępnych zasobów. </w:t>
      </w:r>
    </w:p>
    <w:p w14:paraId="0F1A2657" w14:textId="77777777" w:rsidR="004C6421" w:rsidRDefault="009D1962">
      <w:pPr>
        <w:numPr>
          <w:ilvl w:val="0"/>
          <w:numId w:val="76"/>
        </w:numPr>
        <w:spacing w:before="120" w:after="120"/>
        <w:ind w:left="357" w:hanging="357"/>
        <w:contextualSpacing/>
        <w:jc w:val="both"/>
        <w:rPr>
          <w:noProof/>
        </w:rPr>
      </w:pPr>
      <w:r>
        <w:rPr>
          <w:b/>
          <w:noProof/>
        </w:rPr>
        <w:t>Przyspieszenie etapu realizacji projektów finansowanych w ramach programu EPAC w ramach centralnego programu na rzecz rewitalizacji społeczeństwa: Przeprowadza się przegląd</w:t>
      </w:r>
      <w:r>
        <w:rPr>
          <w:noProof/>
        </w:rPr>
        <w:t>regulacyjny mający na celu promowanie skuteczniejszego zarządzania zasobami przeznaczonymi specjalnie na program modernizacji budynków centralnej administracji publicznej (PREPAC).</w:t>
      </w:r>
    </w:p>
    <w:p w14:paraId="793D9B6A" w14:textId="77777777" w:rsidR="004C6421" w:rsidRDefault="009D1962">
      <w:pPr>
        <w:pStyle w:val="Heading3"/>
        <w:numPr>
          <w:ilvl w:val="0"/>
          <w:numId w:val="0"/>
        </w:numPr>
        <w:ind w:left="850" w:hanging="850"/>
        <w:rPr>
          <w:b/>
          <w:i w:val="0"/>
          <w:noProof/>
          <w:u w:val="single"/>
        </w:rPr>
      </w:pPr>
      <w:r>
        <w:rPr>
          <w:b/>
          <w:i w:val="0"/>
          <w:noProof/>
          <w:u w:val="single"/>
        </w:rPr>
        <w:t xml:space="preserve">F.2. </w:t>
      </w:r>
      <w:r>
        <w:rPr>
          <w:noProof/>
        </w:rPr>
        <w:t xml:space="preserve"> </w:t>
      </w:r>
      <w:r>
        <w:rPr>
          <w:b/>
          <w:i w:val="0"/>
          <w:noProof/>
          <w:u w:val="single"/>
        </w:rPr>
        <w:t>Kamienie milowe, wartości docelowe, wskaźniki i harmonogram monitorowania i realizacji na potrzeby bezzwrotnego wsparcia finansowego</w:t>
      </w:r>
    </w:p>
    <w:p w14:paraId="4B801A1B" w14:textId="77777777" w:rsidR="004C6421" w:rsidRDefault="004C6421">
      <w:pPr>
        <w:spacing w:before="120" w:after="120"/>
        <w:ind w:left="709"/>
        <w:jc w:val="both"/>
        <w:rPr>
          <w:noProof/>
        </w:rPr>
        <w:sectPr w:rsidR="004C6421" w:rsidSect="00797973">
          <w:headerReference w:type="even" r:id="rId164"/>
          <w:headerReference w:type="default" r:id="rId165"/>
          <w:footerReference w:type="even" r:id="rId166"/>
          <w:footerReference w:type="default" r:id="rId167"/>
          <w:headerReference w:type="first" r:id="rId168"/>
          <w:footerReference w:type="first" r:id="rId169"/>
          <w:pgSz w:w="11907" w:h="16839"/>
          <w:pgMar w:top="1440" w:right="1440" w:bottom="1440" w:left="1440" w:header="567" w:footer="567" w:gutter="0"/>
          <w:cols w:space="720"/>
          <w:docGrid w:linePitch="360"/>
        </w:sectPr>
      </w:pPr>
    </w:p>
    <w:tbl>
      <w:tblPr>
        <w:tblpPr w:leftFromText="180" w:rightFromText="180" w:horzAnchor="margin" w:tblpXSpec="center" w:tblpY="-720"/>
        <w:tblW w:w="5122" w:type="pct"/>
        <w:tblLook w:val="04A0" w:firstRow="1" w:lastRow="0" w:firstColumn="1" w:lastColumn="0" w:noHBand="0" w:noVBand="1"/>
      </w:tblPr>
      <w:tblGrid>
        <w:gridCol w:w="1164"/>
        <w:gridCol w:w="1559"/>
        <w:gridCol w:w="1438"/>
        <w:gridCol w:w="1559"/>
        <w:gridCol w:w="1609"/>
        <w:gridCol w:w="1084"/>
        <w:gridCol w:w="1276"/>
        <w:gridCol w:w="1219"/>
        <w:gridCol w:w="995"/>
        <w:gridCol w:w="704"/>
        <w:gridCol w:w="2647"/>
      </w:tblGrid>
      <w:tr w:rsidR="004C6421" w14:paraId="7B1810C9" w14:textId="77777777">
        <w:trPr>
          <w:trHeight w:val="927"/>
          <w:tblHeader/>
        </w:trPr>
        <w:tc>
          <w:tcPr>
            <w:tcW w:w="113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C766D88" w14:textId="77777777" w:rsidR="004C6421" w:rsidRDefault="009D1962">
            <w:pPr>
              <w:pStyle w:val="P68B1DB1-Normal3"/>
              <w:jc w:val="center"/>
              <w:rPr>
                <w:noProof/>
              </w:rPr>
            </w:pPr>
            <w:r>
              <w:rPr>
                <w:noProof/>
              </w:rPr>
              <w:t>Numer porządkowy</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654A737" w14:textId="77777777" w:rsidR="004C6421" w:rsidRDefault="009D1962">
            <w:pPr>
              <w:pStyle w:val="P68B1DB1-Normal3"/>
              <w:jc w:val="center"/>
              <w:rPr>
                <w:noProof/>
              </w:rPr>
            </w:pPr>
            <w:r>
              <w:rPr>
                <w:noProof/>
              </w:rPr>
              <w:t>Powiązane działanie (reforma lub inwestycja)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89FB448" w14:textId="77777777" w:rsidR="004C6421" w:rsidRDefault="009D1962">
            <w:pPr>
              <w:pStyle w:val="P68B1DB1-Normal3"/>
              <w:jc w:val="center"/>
              <w:rPr>
                <w:noProof/>
              </w:rPr>
            </w:pPr>
            <w:r>
              <w:rPr>
                <w:noProof/>
              </w:rPr>
              <w:t>Kamień milowy/wartość docelowa</w:t>
            </w:r>
          </w:p>
        </w:tc>
        <w:tc>
          <w:tcPr>
            <w:tcW w:w="1559" w:type="dxa"/>
            <w:vMerge w:val="restart"/>
            <w:tcBorders>
              <w:top w:val="single" w:sz="4" w:space="0" w:color="auto"/>
              <w:left w:val="nil"/>
              <w:bottom w:val="single" w:sz="4" w:space="0" w:color="auto"/>
              <w:right w:val="single" w:sz="4" w:space="0" w:color="auto"/>
            </w:tcBorders>
            <w:shd w:val="clear" w:color="auto" w:fill="BDD7EE"/>
            <w:vAlign w:val="center"/>
            <w:hideMark/>
          </w:tcPr>
          <w:p w14:paraId="51D41D0D" w14:textId="77777777" w:rsidR="004C6421" w:rsidRDefault="009D1962">
            <w:pPr>
              <w:pStyle w:val="P68B1DB1-Normal3"/>
              <w:jc w:val="center"/>
              <w:rPr>
                <w:noProof/>
              </w:rPr>
            </w:pPr>
            <w:r>
              <w:rPr>
                <w:noProof/>
              </w:rPr>
              <w:t>Nazwa</w:t>
            </w:r>
          </w:p>
        </w:tc>
        <w:tc>
          <w:tcPr>
            <w:tcW w:w="160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16B4EF8" w14:textId="77777777" w:rsidR="004C6421" w:rsidRDefault="009D1962">
            <w:pPr>
              <w:jc w:val="center"/>
              <w:rPr>
                <w:rFonts w:ascii="Arial Narrow" w:hAnsi="Arial Narrow"/>
                <w:b/>
                <w:noProof/>
                <w:sz w:val="20"/>
              </w:rPr>
            </w:pPr>
            <w:r>
              <w:rPr>
                <w:rFonts w:ascii="Arial Narrow" w:hAnsi="Arial Narrow"/>
                <w:b/>
                <w:noProof/>
                <w:sz w:val="20"/>
              </w:rPr>
              <w:t xml:space="preserve">Wskaźniki jakościowe </w:t>
            </w:r>
            <w:r>
              <w:rPr>
                <w:rFonts w:ascii="Arial Narrow" w:hAnsi="Arial Narrow"/>
                <w:noProof/>
              </w:rPr>
              <w:t xml:space="preserve"> </w:t>
            </w:r>
            <w:r>
              <w:rPr>
                <w:noProof/>
              </w:rPr>
              <w:t xml:space="preserve">  </w:t>
            </w:r>
            <w:r>
              <w:rPr>
                <w:noProof/>
              </w:rPr>
              <w:br/>
            </w:r>
            <w:r>
              <w:rPr>
                <w:rFonts w:ascii="Arial Narrow" w:hAnsi="Arial Narrow"/>
                <w:b/>
                <w:noProof/>
                <w:sz w:val="20"/>
              </w:rPr>
              <w:t>(dla kamieni milowych)</w:t>
            </w:r>
          </w:p>
        </w:tc>
        <w:tc>
          <w:tcPr>
            <w:tcW w:w="3579" w:type="dxa"/>
            <w:gridSpan w:val="3"/>
            <w:tcBorders>
              <w:top w:val="single" w:sz="4" w:space="0" w:color="auto"/>
              <w:left w:val="nil"/>
              <w:bottom w:val="single" w:sz="4" w:space="0" w:color="auto"/>
              <w:right w:val="single" w:sz="4" w:space="0" w:color="auto"/>
            </w:tcBorders>
            <w:shd w:val="clear" w:color="auto" w:fill="BDD7EE"/>
            <w:vAlign w:val="center"/>
            <w:hideMark/>
          </w:tcPr>
          <w:p w14:paraId="1CC1525E" w14:textId="77777777" w:rsidR="004C6421" w:rsidRDefault="009D1962">
            <w:pPr>
              <w:jc w:val="center"/>
              <w:rPr>
                <w:rFonts w:ascii="Arial Narrow" w:hAnsi="Arial Narrow"/>
                <w:b/>
                <w:noProof/>
                <w:sz w:val="20"/>
              </w:rPr>
            </w:pPr>
            <w:r>
              <w:rPr>
                <w:rFonts w:ascii="Arial Narrow" w:hAnsi="Arial Narrow"/>
                <w:b/>
                <w:noProof/>
                <w:sz w:val="20"/>
              </w:rPr>
              <w:t xml:space="preserve">Wskaźniki ilościowe </w:t>
            </w:r>
            <w:r>
              <w:rPr>
                <w:rFonts w:ascii="Arial Narrow" w:hAnsi="Arial Narrow"/>
                <w:noProof/>
              </w:rPr>
              <w:t xml:space="preserve"> </w:t>
            </w:r>
            <w:r>
              <w:rPr>
                <w:noProof/>
              </w:rPr>
              <w:t xml:space="preserve">  </w:t>
            </w:r>
            <w:r>
              <w:rPr>
                <w:noProof/>
              </w:rPr>
              <w:br/>
            </w:r>
            <w:r>
              <w:rPr>
                <w:rFonts w:ascii="Arial Narrow" w:hAnsi="Arial Narrow"/>
                <w:b/>
                <w:noProof/>
                <w:sz w:val="20"/>
              </w:rPr>
              <w:t>(dla wartości docelowych)</w:t>
            </w:r>
          </w:p>
        </w:tc>
        <w:tc>
          <w:tcPr>
            <w:tcW w:w="1699" w:type="dxa"/>
            <w:gridSpan w:val="2"/>
            <w:tcBorders>
              <w:top w:val="single" w:sz="4" w:space="0" w:color="auto"/>
              <w:left w:val="nil"/>
              <w:bottom w:val="single" w:sz="4" w:space="0" w:color="auto"/>
              <w:right w:val="single" w:sz="4" w:space="0" w:color="auto"/>
            </w:tcBorders>
            <w:shd w:val="clear" w:color="auto" w:fill="BDD7EE"/>
            <w:vAlign w:val="center"/>
            <w:hideMark/>
          </w:tcPr>
          <w:p w14:paraId="3F81A48F" w14:textId="77777777" w:rsidR="004C6421" w:rsidRDefault="009D1962">
            <w:pPr>
              <w:pStyle w:val="P68B1DB1-Normal3"/>
              <w:jc w:val="center"/>
              <w:rPr>
                <w:noProof/>
              </w:rPr>
            </w:pPr>
            <w:r>
              <w:rPr>
                <w:noProof/>
              </w:rPr>
              <w:t xml:space="preserve">Orientacyjny harmonogram zakończenia działania </w:t>
            </w:r>
          </w:p>
        </w:tc>
        <w:tc>
          <w:tcPr>
            <w:tcW w:w="264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B92D591" w14:textId="77777777" w:rsidR="004C6421" w:rsidRDefault="009D1962">
            <w:pPr>
              <w:pStyle w:val="P68B1DB1-Normal3"/>
              <w:rPr>
                <w:noProof/>
              </w:rPr>
            </w:pPr>
            <w:r>
              <w:rPr>
                <w:noProof/>
              </w:rPr>
              <w:t>Opis każdego kamienia milowego i każdej wartości docelowej</w:t>
            </w:r>
          </w:p>
        </w:tc>
      </w:tr>
      <w:tr w:rsidR="004C6421" w14:paraId="47200B3D" w14:textId="77777777">
        <w:trPr>
          <w:trHeight w:val="751"/>
          <w:tblHeader/>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6548EBA0" w14:textId="77777777" w:rsidR="004C6421" w:rsidRDefault="004C6421">
            <w:pPr>
              <w:rPr>
                <w:rFonts w:ascii="Arial Narrow" w:hAnsi="Arial Narrow"/>
                <w:b/>
                <w:noProof/>
                <w:sz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98435AA" w14:textId="77777777" w:rsidR="004C6421" w:rsidRDefault="004C6421">
            <w:pPr>
              <w:rPr>
                <w:rFonts w:ascii="Arial Narrow" w:hAnsi="Arial Narrow"/>
                <w:b/>
                <w:noProof/>
                <w:sz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0B7AC0" w14:textId="77777777" w:rsidR="004C6421" w:rsidRDefault="004C6421">
            <w:pPr>
              <w:rPr>
                <w:rFonts w:ascii="Arial Narrow" w:hAnsi="Arial Narrow"/>
                <w:b/>
                <w:noProof/>
                <w:sz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370CFDE" w14:textId="77777777" w:rsidR="004C6421" w:rsidRDefault="004C6421">
            <w:pPr>
              <w:rPr>
                <w:rFonts w:ascii="Arial Narrow" w:hAnsi="Arial Narrow"/>
                <w:b/>
                <w:noProof/>
                <w:sz w:val="20"/>
              </w:rPr>
            </w:pPr>
          </w:p>
        </w:tc>
        <w:tc>
          <w:tcPr>
            <w:tcW w:w="1609" w:type="dxa"/>
            <w:vMerge/>
            <w:tcBorders>
              <w:top w:val="single" w:sz="4" w:space="0" w:color="auto"/>
              <w:left w:val="single" w:sz="4" w:space="0" w:color="auto"/>
              <w:bottom w:val="single" w:sz="4" w:space="0" w:color="auto"/>
            </w:tcBorders>
            <w:vAlign w:val="center"/>
            <w:hideMark/>
          </w:tcPr>
          <w:p w14:paraId="49E379B9" w14:textId="77777777" w:rsidR="004C6421" w:rsidRDefault="004C6421">
            <w:pPr>
              <w:rPr>
                <w:rFonts w:ascii="Arial Narrow" w:hAnsi="Arial Narrow"/>
                <w:b/>
                <w:noProof/>
                <w:sz w:val="20"/>
              </w:rPr>
            </w:pPr>
          </w:p>
        </w:tc>
        <w:tc>
          <w:tcPr>
            <w:tcW w:w="1084" w:type="dxa"/>
            <w:tcBorders>
              <w:top w:val="nil"/>
              <w:left w:val="single" w:sz="4" w:space="0" w:color="auto"/>
              <w:bottom w:val="single" w:sz="4" w:space="0" w:color="auto"/>
              <w:right w:val="single" w:sz="4" w:space="0" w:color="auto"/>
            </w:tcBorders>
            <w:shd w:val="clear" w:color="auto" w:fill="BDD7EE"/>
            <w:vAlign w:val="center"/>
            <w:hideMark/>
          </w:tcPr>
          <w:p w14:paraId="36C194A3" w14:textId="77777777" w:rsidR="004C6421" w:rsidRDefault="009D1962">
            <w:pPr>
              <w:pStyle w:val="P68B1DB1-Normal3"/>
              <w:jc w:val="center"/>
              <w:rPr>
                <w:noProof/>
              </w:rPr>
            </w:pPr>
            <w:r>
              <w:rPr>
                <w:noProof/>
              </w:rPr>
              <w:t>Jednostka miary</w:t>
            </w:r>
          </w:p>
        </w:tc>
        <w:tc>
          <w:tcPr>
            <w:tcW w:w="1276" w:type="dxa"/>
            <w:tcBorders>
              <w:top w:val="nil"/>
              <w:left w:val="nil"/>
              <w:bottom w:val="single" w:sz="4" w:space="0" w:color="auto"/>
              <w:right w:val="single" w:sz="4" w:space="0" w:color="auto"/>
            </w:tcBorders>
            <w:shd w:val="clear" w:color="auto" w:fill="BDD7EE"/>
            <w:vAlign w:val="center"/>
            <w:hideMark/>
          </w:tcPr>
          <w:p w14:paraId="3B6FF04E" w14:textId="77777777" w:rsidR="004C6421" w:rsidRDefault="009D1962">
            <w:pPr>
              <w:pStyle w:val="P68B1DB1-Normal3"/>
              <w:jc w:val="center"/>
              <w:rPr>
                <w:noProof/>
              </w:rPr>
            </w:pPr>
            <w:r>
              <w:rPr>
                <w:noProof/>
              </w:rPr>
              <w:t xml:space="preserve">Bazowy </w:t>
            </w:r>
          </w:p>
        </w:tc>
        <w:tc>
          <w:tcPr>
            <w:tcW w:w="1219" w:type="dxa"/>
            <w:tcBorders>
              <w:top w:val="nil"/>
              <w:left w:val="nil"/>
              <w:bottom w:val="single" w:sz="4" w:space="0" w:color="auto"/>
              <w:right w:val="single" w:sz="4" w:space="0" w:color="auto"/>
            </w:tcBorders>
            <w:shd w:val="clear" w:color="auto" w:fill="BDD7EE"/>
            <w:vAlign w:val="center"/>
            <w:hideMark/>
          </w:tcPr>
          <w:p w14:paraId="5062B7ED" w14:textId="77777777" w:rsidR="004C6421" w:rsidRDefault="009D1962">
            <w:pPr>
              <w:pStyle w:val="P68B1DB1-Normal3"/>
              <w:jc w:val="center"/>
              <w:rPr>
                <w:noProof/>
              </w:rPr>
            </w:pPr>
            <w:r>
              <w:rPr>
                <w:noProof/>
              </w:rPr>
              <w:t xml:space="preserve">Cel </w:t>
            </w:r>
          </w:p>
        </w:tc>
        <w:tc>
          <w:tcPr>
            <w:tcW w:w="995" w:type="dxa"/>
            <w:tcBorders>
              <w:top w:val="nil"/>
              <w:left w:val="nil"/>
              <w:bottom w:val="single" w:sz="4" w:space="0" w:color="auto"/>
              <w:right w:val="single" w:sz="4" w:space="0" w:color="auto"/>
            </w:tcBorders>
            <w:shd w:val="clear" w:color="auto" w:fill="BDD7EE"/>
            <w:vAlign w:val="center"/>
            <w:hideMark/>
          </w:tcPr>
          <w:p w14:paraId="7636E5E5" w14:textId="77777777" w:rsidR="004C6421" w:rsidRDefault="009D1962">
            <w:pPr>
              <w:pStyle w:val="P68B1DB1-Normal3"/>
              <w:jc w:val="center"/>
              <w:rPr>
                <w:noProof/>
              </w:rPr>
            </w:pPr>
            <w:r>
              <w:rPr>
                <w:noProof/>
              </w:rPr>
              <w:t>Kwartał</w:t>
            </w:r>
          </w:p>
        </w:tc>
        <w:tc>
          <w:tcPr>
            <w:tcW w:w="704" w:type="dxa"/>
            <w:tcBorders>
              <w:top w:val="nil"/>
              <w:left w:val="nil"/>
              <w:bottom w:val="single" w:sz="4" w:space="0" w:color="auto"/>
              <w:right w:val="single" w:sz="4" w:space="0" w:color="auto"/>
            </w:tcBorders>
            <w:shd w:val="clear" w:color="auto" w:fill="BDD7EE"/>
            <w:vAlign w:val="center"/>
            <w:hideMark/>
          </w:tcPr>
          <w:p w14:paraId="331E8A7D" w14:textId="77777777" w:rsidR="004C6421" w:rsidRDefault="009D1962">
            <w:pPr>
              <w:pStyle w:val="P68B1DB1-Normal3"/>
              <w:jc w:val="center"/>
              <w:rPr>
                <w:noProof/>
              </w:rPr>
            </w:pPr>
            <w:r>
              <w:rPr>
                <w:noProof/>
              </w:rPr>
              <w:t>Rok</w:t>
            </w:r>
          </w:p>
        </w:tc>
        <w:tc>
          <w:tcPr>
            <w:tcW w:w="2647" w:type="dxa"/>
            <w:vMerge/>
            <w:tcBorders>
              <w:top w:val="single" w:sz="4" w:space="0" w:color="auto"/>
              <w:bottom w:val="single" w:sz="4" w:space="0" w:color="auto"/>
              <w:right w:val="single" w:sz="4" w:space="0" w:color="auto"/>
            </w:tcBorders>
            <w:vAlign w:val="center"/>
            <w:hideMark/>
          </w:tcPr>
          <w:p w14:paraId="35B3A079" w14:textId="77777777" w:rsidR="004C6421" w:rsidRDefault="004C6421">
            <w:pPr>
              <w:rPr>
                <w:rFonts w:ascii="Arial Narrow" w:hAnsi="Arial Narrow"/>
                <w:b/>
                <w:noProof/>
                <w:sz w:val="20"/>
              </w:rPr>
            </w:pPr>
          </w:p>
        </w:tc>
      </w:tr>
      <w:tr w:rsidR="004C6421" w14:paraId="228F3559" w14:textId="77777777">
        <w:trPr>
          <w:trHeight w:val="309"/>
        </w:trPr>
        <w:tc>
          <w:tcPr>
            <w:tcW w:w="1130"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35BEF5D" w14:textId="77777777" w:rsidR="004C6421" w:rsidRDefault="009D1962">
            <w:pPr>
              <w:pStyle w:val="P68B1DB1-Normal4"/>
              <w:spacing w:line="276" w:lineRule="auto"/>
              <w:jc w:val="center"/>
              <w:rPr>
                <w:noProof/>
              </w:rPr>
            </w:pPr>
            <w:r>
              <w:rPr>
                <w:noProof/>
              </w:rPr>
              <w:t>M2C3-1</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68FA9235" w14:textId="77777777" w:rsidR="004C6421" w:rsidRDefault="009D1962">
            <w:pPr>
              <w:pStyle w:val="P68B1DB1-Normal4"/>
              <w:spacing w:line="276" w:lineRule="auto"/>
              <w:jc w:val="center"/>
              <w:rPr>
                <w:noProof/>
              </w:rPr>
            </w:pPr>
            <w:r>
              <w:rPr>
                <w:noProof/>
              </w:rPr>
              <w:t xml:space="preserve">Inwestycje 2.1 – Wzmocnienie Ecobonus na rzecz efektywności energetycznej </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6FC7E9C5" w14:textId="228C5B86" w:rsidR="004C6421" w:rsidRDefault="00CC179E">
            <w:pPr>
              <w:pStyle w:val="P68B1DB1-Normal4"/>
              <w:spacing w:line="276" w:lineRule="auto"/>
              <w:jc w:val="center"/>
              <w:rPr>
                <w:noProof/>
              </w:rPr>
            </w:pPr>
            <w:r>
              <w:rPr>
                <w:noProof/>
              </w:rPr>
              <w:t>Milowy</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636027B2" w14:textId="77777777" w:rsidR="004C6421" w:rsidRDefault="009D1962">
            <w:pPr>
              <w:pStyle w:val="P68B1DB1-Normal4"/>
              <w:spacing w:line="276" w:lineRule="auto"/>
              <w:jc w:val="center"/>
              <w:rPr>
                <w:noProof/>
              </w:rPr>
            </w:pPr>
            <w:r>
              <w:rPr>
                <w:noProof/>
              </w:rPr>
              <w:t>Wejście w życie przedłużenia obowiązywania Superbonus</w:t>
            </w:r>
          </w:p>
        </w:tc>
        <w:tc>
          <w:tcPr>
            <w:tcW w:w="1609" w:type="dxa"/>
            <w:tcBorders>
              <w:top w:val="single" w:sz="4" w:space="0" w:color="auto"/>
              <w:left w:val="nil"/>
              <w:bottom w:val="single" w:sz="4" w:space="0" w:color="auto"/>
              <w:right w:val="single" w:sz="4" w:space="0" w:color="auto"/>
            </w:tcBorders>
            <w:shd w:val="clear" w:color="auto" w:fill="C6EFCE"/>
            <w:noWrap/>
            <w:vAlign w:val="center"/>
          </w:tcPr>
          <w:p w14:paraId="7ADFBEB0" w14:textId="77777777" w:rsidR="004C6421" w:rsidRDefault="009D1962">
            <w:pPr>
              <w:pStyle w:val="P68B1DB1-Normal4"/>
              <w:spacing w:line="276" w:lineRule="auto"/>
              <w:jc w:val="center"/>
              <w:rPr>
                <w:noProof/>
              </w:rPr>
            </w:pPr>
            <w:r>
              <w:rPr>
                <w:noProof/>
              </w:rPr>
              <w:t>Przepis w akcie(-ach) prawnym(-ych) wskazujący na wejście w życie</w:t>
            </w:r>
          </w:p>
        </w:tc>
        <w:tc>
          <w:tcPr>
            <w:tcW w:w="1084" w:type="dxa"/>
            <w:tcBorders>
              <w:top w:val="nil"/>
              <w:left w:val="nil"/>
              <w:bottom w:val="single" w:sz="4" w:space="0" w:color="auto"/>
              <w:right w:val="single" w:sz="4" w:space="0" w:color="auto"/>
            </w:tcBorders>
            <w:shd w:val="clear" w:color="auto" w:fill="C6EFCE"/>
            <w:noWrap/>
            <w:vAlign w:val="center"/>
          </w:tcPr>
          <w:p w14:paraId="74A35CC5" w14:textId="77777777" w:rsidR="004C6421" w:rsidRDefault="009D1962">
            <w:pPr>
              <w:pStyle w:val="P68B1DB1-Normal4"/>
              <w:spacing w:line="276" w:lineRule="auto"/>
              <w:jc w:val="center"/>
              <w:rPr>
                <w:noProof/>
              </w:rPr>
            </w:pPr>
            <w:r>
              <w:rPr>
                <w:noProof/>
              </w:rPr>
              <w:t>NIE DOT.</w:t>
            </w:r>
          </w:p>
        </w:tc>
        <w:tc>
          <w:tcPr>
            <w:tcW w:w="1276" w:type="dxa"/>
            <w:tcBorders>
              <w:top w:val="nil"/>
              <w:left w:val="nil"/>
              <w:bottom w:val="single" w:sz="4" w:space="0" w:color="auto"/>
              <w:right w:val="single" w:sz="4" w:space="0" w:color="auto"/>
            </w:tcBorders>
            <w:shd w:val="clear" w:color="auto" w:fill="C6EFCE"/>
            <w:noWrap/>
            <w:vAlign w:val="center"/>
          </w:tcPr>
          <w:p w14:paraId="3A2AF511" w14:textId="77777777" w:rsidR="004C6421" w:rsidRDefault="009D1962">
            <w:pPr>
              <w:pStyle w:val="P68B1DB1-Normal4"/>
              <w:spacing w:line="276" w:lineRule="auto"/>
              <w:jc w:val="center"/>
              <w:rPr>
                <w:noProof/>
              </w:rPr>
            </w:pPr>
            <w:r>
              <w:rPr>
                <w:noProof/>
              </w:rPr>
              <w:t>NIE DOT.</w:t>
            </w:r>
          </w:p>
        </w:tc>
        <w:tc>
          <w:tcPr>
            <w:tcW w:w="1219" w:type="dxa"/>
            <w:tcBorders>
              <w:top w:val="nil"/>
              <w:left w:val="nil"/>
              <w:bottom w:val="single" w:sz="4" w:space="0" w:color="auto"/>
              <w:right w:val="single" w:sz="4" w:space="0" w:color="auto"/>
            </w:tcBorders>
            <w:shd w:val="clear" w:color="auto" w:fill="C6EFCE"/>
            <w:noWrap/>
            <w:vAlign w:val="center"/>
          </w:tcPr>
          <w:p w14:paraId="1D085EA0" w14:textId="77777777" w:rsidR="004C6421" w:rsidRDefault="009D1962">
            <w:pPr>
              <w:pStyle w:val="P68B1DB1-Normal4"/>
              <w:spacing w:line="276" w:lineRule="auto"/>
              <w:jc w:val="center"/>
              <w:rPr>
                <w:noProof/>
              </w:rPr>
            </w:pPr>
            <w:r>
              <w:rPr>
                <w:noProof/>
              </w:rPr>
              <w:t>NIE DOT.</w:t>
            </w:r>
          </w:p>
        </w:tc>
        <w:tc>
          <w:tcPr>
            <w:tcW w:w="995" w:type="dxa"/>
            <w:tcBorders>
              <w:top w:val="nil"/>
              <w:left w:val="nil"/>
              <w:bottom w:val="single" w:sz="4" w:space="0" w:color="auto"/>
              <w:right w:val="single" w:sz="4" w:space="0" w:color="auto"/>
            </w:tcBorders>
            <w:shd w:val="clear" w:color="auto" w:fill="C6EFCE"/>
            <w:noWrap/>
            <w:vAlign w:val="center"/>
          </w:tcPr>
          <w:p w14:paraId="6522E49C" w14:textId="7D9FDBDF" w:rsidR="004C6421" w:rsidRDefault="00CC179E">
            <w:pPr>
              <w:pStyle w:val="P68B1DB1-Normal4"/>
              <w:spacing w:line="276" w:lineRule="auto"/>
              <w:jc w:val="center"/>
              <w:rPr>
                <w:noProof/>
              </w:rPr>
            </w:pPr>
            <w:r>
              <w:rPr>
                <w:noProof/>
              </w:rPr>
              <w:t>KW. 4</w:t>
            </w:r>
          </w:p>
        </w:tc>
        <w:tc>
          <w:tcPr>
            <w:tcW w:w="704" w:type="dxa"/>
            <w:tcBorders>
              <w:top w:val="nil"/>
              <w:left w:val="nil"/>
              <w:bottom w:val="single" w:sz="4" w:space="0" w:color="auto"/>
              <w:right w:val="single" w:sz="4" w:space="0" w:color="auto"/>
            </w:tcBorders>
            <w:shd w:val="clear" w:color="auto" w:fill="C6EFCE"/>
            <w:noWrap/>
            <w:vAlign w:val="center"/>
          </w:tcPr>
          <w:p w14:paraId="06A90F44" w14:textId="77777777" w:rsidR="004C6421" w:rsidRDefault="009D1962">
            <w:pPr>
              <w:pStyle w:val="P68B1DB1-Normal4"/>
              <w:spacing w:line="276" w:lineRule="auto"/>
              <w:jc w:val="center"/>
              <w:rPr>
                <w:noProof/>
              </w:rPr>
            </w:pPr>
            <w:r>
              <w:rPr>
                <w:noProof/>
              </w:rPr>
              <w:t>2021</w:t>
            </w:r>
          </w:p>
        </w:tc>
        <w:tc>
          <w:tcPr>
            <w:tcW w:w="2647" w:type="dxa"/>
            <w:tcBorders>
              <w:top w:val="single" w:sz="4" w:space="0" w:color="auto"/>
              <w:left w:val="nil"/>
              <w:bottom w:val="single" w:sz="4" w:space="0" w:color="auto"/>
              <w:right w:val="single" w:sz="4" w:space="0" w:color="auto"/>
            </w:tcBorders>
            <w:shd w:val="clear" w:color="auto" w:fill="C6EFCE"/>
            <w:noWrap/>
            <w:vAlign w:val="center"/>
          </w:tcPr>
          <w:p w14:paraId="1EBB47F9" w14:textId="77777777" w:rsidR="004C6421" w:rsidRDefault="009D1962">
            <w:pPr>
              <w:pStyle w:val="P68B1DB1-Normal4"/>
              <w:spacing w:line="276" w:lineRule="auto"/>
              <w:rPr>
                <w:noProof/>
              </w:rPr>
            </w:pPr>
            <w:r>
              <w:rPr>
                <w:noProof/>
              </w:rPr>
              <w:t>Akt(y) prawny(-e)</w:t>
            </w:r>
          </w:p>
          <w:p w14:paraId="11C4CBA4" w14:textId="77777777" w:rsidR="004C6421" w:rsidRDefault="009D1962">
            <w:pPr>
              <w:pStyle w:val="P68B1DB1-Normal4"/>
              <w:spacing w:line="276" w:lineRule="auto"/>
              <w:rPr>
                <w:noProof/>
              </w:rPr>
            </w:pPr>
            <w:r>
              <w:rPr>
                <w:noProof/>
              </w:rPr>
              <w:t>przedłużenie do 31 grudnia 2022 r. korzyści z Ecobonus i Sismabonus</w:t>
            </w:r>
          </w:p>
          <w:p w14:paraId="45C4FE30" w14:textId="77777777" w:rsidR="004C6421" w:rsidRDefault="009D1962">
            <w:pPr>
              <w:pStyle w:val="P68B1DB1-Normal4"/>
              <w:spacing w:line="276" w:lineRule="auto"/>
              <w:rPr>
                <w:noProof/>
              </w:rPr>
            </w:pPr>
            <w:r>
              <w:rPr>
                <w:noProof/>
              </w:rPr>
              <w:t>w przypadku kondominium i 30 czerwca 2023 r. w odniesieniu do spraw społecznych</w:t>
            </w:r>
          </w:p>
          <w:p w14:paraId="31584657" w14:textId="77777777" w:rsidR="004C6421" w:rsidRDefault="009D1962">
            <w:pPr>
              <w:pStyle w:val="P68B1DB1-Normal4"/>
              <w:spacing w:line="276" w:lineRule="auto"/>
              <w:rPr>
                <w:noProof/>
              </w:rPr>
            </w:pPr>
            <w:r>
              <w:rPr>
                <w:noProof/>
              </w:rPr>
              <w:t>mieszkalnictwo (IACP).</w:t>
            </w:r>
          </w:p>
        </w:tc>
      </w:tr>
      <w:tr w:rsidR="004C6421" w14:paraId="07158EC5" w14:textId="77777777">
        <w:trPr>
          <w:trHeight w:val="309"/>
        </w:trPr>
        <w:tc>
          <w:tcPr>
            <w:tcW w:w="1130" w:type="dxa"/>
            <w:tcBorders>
              <w:top w:val="nil"/>
              <w:left w:val="single" w:sz="4" w:space="0" w:color="auto"/>
              <w:bottom w:val="single" w:sz="4" w:space="0" w:color="auto"/>
              <w:right w:val="single" w:sz="4" w:space="0" w:color="auto"/>
            </w:tcBorders>
            <w:shd w:val="clear" w:color="auto" w:fill="C6EFCE"/>
            <w:noWrap/>
            <w:vAlign w:val="center"/>
          </w:tcPr>
          <w:p w14:paraId="6AFE6495" w14:textId="77777777" w:rsidR="004C6421" w:rsidRDefault="009D1962">
            <w:pPr>
              <w:pStyle w:val="P68B1DB1-Normal4"/>
              <w:spacing w:line="276" w:lineRule="auto"/>
              <w:jc w:val="center"/>
              <w:rPr>
                <w:noProof/>
              </w:rPr>
            </w:pPr>
            <w:r>
              <w:rPr>
                <w:noProof/>
              </w:rPr>
              <w:t>M2C3-2</w:t>
            </w:r>
          </w:p>
        </w:tc>
        <w:tc>
          <w:tcPr>
            <w:tcW w:w="1559" w:type="dxa"/>
            <w:tcBorders>
              <w:top w:val="nil"/>
              <w:left w:val="nil"/>
              <w:bottom w:val="single" w:sz="4" w:space="0" w:color="auto"/>
              <w:right w:val="single" w:sz="4" w:space="0" w:color="auto"/>
            </w:tcBorders>
            <w:shd w:val="clear" w:color="auto" w:fill="C6EFCE"/>
            <w:noWrap/>
            <w:vAlign w:val="center"/>
          </w:tcPr>
          <w:p w14:paraId="3C658C62" w14:textId="77777777" w:rsidR="004C6421" w:rsidRDefault="009D1962">
            <w:pPr>
              <w:pStyle w:val="P68B1DB1-Normal4"/>
              <w:spacing w:line="276" w:lineRule="auto"/>
              <w:jc w:val="center"/>
              <w:rPr>
                <w:noProof/>
              </w:rPr>
            </w:pPr>
            <w:r>
              <w:rPr>
                <w:noProof/>
              </w:rPr>
              <w:t>Inwestycje 2.1 – Wzmocnienie Ecobonus na rzecz efektywności energetycznej</w:t>
            </w:r>
          </w:p>
        </w:tc>
        <w:tc>
          <w:tcPr>
            <w:tcW w:w="1134" w:type="dxa"/>
            <w:tcBorders>
              <w:top w:val="nil"/>
              <w:left w:val="nil"/>
              <w:bottom w:val="single" w:sz="4" w:space="0" w:color="auto"/>
              <w:right w:val="single" w:sz="4" w:space="0" w:color="auto"/>
            </w:tcBorders>
            <w:shd w:val="clear" w:color="auto" w:fill="C6EFCE"/>
            <w:noWrap/>
            <w:vAlign w:val="center"/>
          </w:tcPr>
          <w:p w14:paraId="1EC766F1" w14:textId="77777777" w:rsidR="004C6421" w:rsidRDefault="009D1962">
            <w:pPr>
              <w:pStyle w:val="P68B1DB1-Normal4"/>
              <w:spacing w:line="276" w:lineRule="auto"/>
              <w:jc w:val="center"/>
              <w:rPr>
                <w:noProof/>
              </w:rPr>
            </w:pPr>
            <w:r>
              <w:rPr>
                <w:noProof/>
              </w:rPr>
              <w:t>Cel</w:t>
            </w:r>
          </w:p>
        </w:tc>
        <w:tc>
          <w:tcPr>
            <w:tcW w:w="1559" w:type="dxa"/>
            <w:tcBorders>
              <w:top w:val="nil"/>
              <w:left w:val="nil"/>
              <w:bottom w:val="single" w:sz="4" w:space="0" w:color="auto"/>
              <w:right w:val="single" w:sz="4" w:space="0" w:color="auto"/>
            </w:tcBorders>
            <w:shd w:val="clear" w:color="auto" w:fill="C6EFCE"/>
            <w:noWrap/>
            <w:vAlign w:val="center"/>
          </w:tcPr>
          <w:p w14:paraId="62C4EF22" w14:textId="77777777" w:rsidR="004C6421" w:rsidRDefault="009D1962">
            <w:pPr>
              <w:pStyle w:val="P68B1DB1-Normal4"/>
              <w:spacing w:line="276" w:lineRule="auto"/>
              <w:jc w:val="center"/>
              <w:rPr>
                <w:noProof/>
              </w:rPr>
            </w:pPr>
            <w:r>
              <w:rPr>
                <w:noProof/>
              </w:rPr>
              <w:t>Renowacja budynków Superbonus T1</w:t>
            </w:r>
          </w:p>
        </w:tc>
        <w:tc>
          <w:tcPr>
            <w:tcW w:w="1609" w:type="dxa"/>
            <w:tcBorders>
              <w:top w:val="nil"/>
              <w:left w:val="nil"/>
              <w:bottom w:val="single" w:sz="4" w:space="0" w:color="auto"/>
              <w:right w:val="single" w:sz="4" w:space="0" w:color="auto"/>
            </w:tcBorders>
            <w:shd w:val="clear" w:color="auto" w:fill="C6EFCE"/>
            <w:noWrap/>
            <w:vAlign w:val="center"/>
          </w:tcPr>
          <w:p w14:paraId="3816E569" w14:textId="77777777" w:rsidR="004C6421" w:rsidRDefault="009D1962">
            <w:pPr>
              <w:pStyle w:val="P68B1DB1-Normal4"/>
              <w:spacing w:line="276" w:lineRule="auto"/>
              <w:jc w:val="center"/>
              <w:rPr>
                <w:noProof/>
              </w:rPr>
            </w:pPr>
            <w:r>
              <w:rPr>
                <w:noProof/>
              </w:rPr>
              <w:t>NIE DOT.</w:t>
            </w:r>
          </w:p>
        </w:tc>
        <w:tc>
          <w:tcPr>
            <w:tcW w:w="1084" w:type="dxa"/>
            <w:tcBorders>
              <w:top w:val="nil"/>
              <w:left w:val="nil"/>
              <w:bottom w:val="single" w:sz="4" w:space="0" w:color="auto"/>
              <w:right w:val="single" w:sz="4" w:space="0" w:color="auto"/>
            </w:tcBorders>
            <w:shd w:val="clear" w:color="auto" w:fill="C6EFCE"/>
            <w:noWrap/>
            <w:vAlign w:val="center"/>
          </w:tcPr>
          <w:p w14:paraId="616BC2DC" w14:textId="77777777" w:rsidR="004C6421" w:rsidRDefault="009D1962">
            <w:pPr>
              <w:pStyle w:val="P68B1DB1-Normal4"/>
              <w:spacing w:line="276" w:lineRule="auto"/>
              <w:jc w:val="center"/>
              <w:rPr>
                <w:noProof/>
              </w:rPr>
            </w:pPr>
            <w:r>
              <w:rPr>
                <w:noProof/>
              </w:rPr>
              <w:t xml:space="preserve">Numer </w:t>
            </w:r>
          </w:p>
        </w:tc>
        <w:tc>
          <w:tcPr>
            <w:tcW w:w="1276" w:type="dxa"/>
            <w:tcBorders>
              <w:top w:val="nil"/>
              <w:left w:val="nil"/>
              <w:bottom w:val="single" w:sz="4" w:space="0" w:color="auto"/>
              <w:right w:val="single" w:sz="4" w:space="0" w:color="auto"/>
            </w:tcBorders>
            <w:shd w:val="clear" w:color="auto" w:fill="C6EFCE"/>
            <w:noWrap/>
            <w:vAlign w:val="center"/>
          </w:tcPr>
          <w:p w14:paraId="7E1F6A54" w14:textId="77777777" w:rsidR="004C6421" w:rsidRDefault="009D1962">
            <w:pPr>
              <w:pStyle w:val="P68B1DB1-Normal4"/>
              <w:spacing w:line="276" w:lineRule="auto"/>
              <w:jc w:val="center"/>
              <w:rPr>
                <w:noProof/>
              </w:rPr>
            </w:pPr>
            <w:r>
              <w:rPr>
                <w:noProof/>
              </w:rPr>
              <w:t>0</w:t>
            </w:r>
          </w:p>
        </w:tc>
        <w:tc>
          <w:tcPr>
            <w:tcW w:w="1219" w:type="dxa"/>
            <w:tcBorders>
              <w:top w:val="nil"/>
              <w:left w:val="nil"/>
              <w:bottom w:val="single" w:sz="4" w:space="0" w:color="auto"/>
              <w:right w:val="single" w:sz="4" w:space="0" w:color="auto"/>
            </w:tcBorders>
            <w:shd w:val="clear" w:color="auto" w:fill="C6EFCE"/>
            <w:noWrap/>
            <w:vAlign w:val="center"/>
          </w:tcPr>
          <w:p w14:paraId="163F14C0" w14:textId="77777777" w:rsidR="004C6421" w:rsidRDefault="009D1962">
            <w:pPr>
              <w:pStyle w:val="P68B1DB1-Normal4"/>
              <w:spacing w:line="276" w:lineRule="auto"/>
              <w:jc w:val="center"/>
              <w:rPr>
                <w:noProof/>
              </w:rPr>
            </w:pPr>
            <w:r>
              <w:rPr>
                <w:noProof/>
              </w:rPr>
              <w:t>17 000 000</w:t>
            </w:r>
          </w:p>
        </w:tc>
        <w:tc>
          <w:tcPr>
            <w:tcW w:w="995" w:type="dxa"/>
            <w:tcBorders>
              <w:top w:val="nil"/>
              <w:left w:val="nil"/>
              <w:bottom w:val="single" w:sz="4" w:space="0" w:color="auto"/>
              <w:right w:val="single" w:sz="4" w:space="0" w:color="auto"/>
            </w:tcBorders>
            <w:shd w:val="clear" w:color="auto" w:fill="C6EFCE"/>
            <w:noWrap/>
            <w:vAlign w:val="center"/>
          </w:tcPr>
          <w:p w14:paraId="0D0BC386" w14:textId="77777777" w:rsidR="004C6421" w:rsidRDefault="009D1962">
            <w:pPr>
              <w:pStyle w:val="P68B1DB1-Normal4"/>
              <w:spacing w:line="276" w:lineRule="auto"/>
              <w:jc w:val="center"/>
              <w:rPr>
                <w:noProof/>
              </w:rPr>
            </w:pPr>
            <w:r>
              <w:rPr>
                <w:noProof/>
              </w:rPr>
              <w:t>II KW.</w:t>
            </w:r>
          </w:p>
        </w:tc>
        <w:tc>
          <w:tcPr>
            <w:tcW w:w="704" w:type="dxa"/>
            <w:tcBorders>
              <w:top w:val="nil"/>
              <w:left w:val="nil"/>
              <w:bottom w:val="single" w:sz="4" w:space="0" w:color="auto"/>
              <w:right w:val="single" w:sz="4" w:space="0" w:color="auto"/>
            </w:tcBorders>
            <w:shd w:val="clear" w:color="auto" w:fill="C6EFCE"/>
            <w:noWrap/>
            <w:vAlign w:val="center"/>
          </w:tcPr>
          <w:p w14:paraId="1758A0E2" w14:textId="77777777" w:rsidR="004C6421" w:rsidRDefault="009D1962">
            <w:pPr>
              <w:pStyle w:val="P68B1DB1-Normal4"/>
              <w:spacing w:line="276" w:lineRule="auto"/>
              <w:jc w:val="center"/>
              <w:rPr>
                <w:noProof/>
              </w:rPr>
            </w:pPr>
            <w:r>
              <w:rPr>
                <w:noProof/>
              </w:rPr>
              <w:t>2023</w:t>
            </w:r>
          </w:p>
        </w:tc>
        <w:tc>
          <w:tcPr>
            <w:tcW w:w="2647" w:type="dxa"/>
            <w:tcBorders>
              <w:top w:val="nil"/>
              <w:left w:val="nil"/>
              <w:bottom w:val="single" w:sz="4" w:space="0" w:color="auto"/>
              <w:right w:val="single" w:sz="4" w:space="0" w:color="auto"/>
            </w:tcBorders>
            <w:shd w:val="clear" w:color="auto" w:fill="C6EFCE"/>
            <w:noWrap/>
            <w:vAlign w:val="center"/>
          </w:tcPr>
          <w:p w14:paraId="3E20B03B" w14:textId="77777777" w:rsidR="004C6421" w:rsidRDefault="009D1962">
            <w:pPr>
              <w:pStyle w:val="P68B1DB1-Normal4"/>
              <w:spacing w:line="276" w:lineRule="auto"/>
              <w:rPr>
                <w:noProof/>
              </w:rPr>
            </w:pPr>
            <w:r>
              <w:rPr>
                <w:noProof/>
              </w:rPr>
              <w:t>Pełna renowacja budynków (co najmniej 17000000 metrów kwadratowych, co skutkuje oszczędnościami energii pierwotnej wynoszącymi co najmniej 40 % i zwiększeniem co najmniej dwóch kategorii w świadectwie efektywności energetycznej).</w:t>
            </w:r>
          </w:p>
        </w:tc>
      </w:tr>
      <w:tr w:rsidR="004C6421" w14:paraId="14A72C41" w14:textId="77777777">
        <w:trPr>
          <w:trHeight w:val="309"/>
        </w:trPr>
        <w:tc>
          <w:tcPr>
            <w:tcW w:w="1130" w:type="dxa"/>
            <w:tcBorders>
              <w:top w:val="nil"/>
              <w:left w:val="single" w:sz="4" w:space="0" w:color="auto"/>
              <w:bottom w:val="single" w:sz="4" w:space="0" w:color="auto"/>
              <w:right w:val="single" w:sz="4" w:space="0" w:color="auto"/>
            </w:tcBorders>
            <w:shd w:val="clear" w:color="auto" w:fill="C6EFCE"/>
            <w:noWrap/>
            <w:vAlign w:val="center"/>
          </w:tcPr>
          <w:p w14:paraId="6112CC0B" w14:textId="77777777" w:rsidR="004C6421" w:rsidRDefault="009D1962">
            <w:pPr>
              <w:pStyle w:val="P68B1DB1-Normal4"/>
              <w:spacing w:line="276" w:lineRule="auto"/>
              <w:jc w:val="center"/>
              <w:rPr>
                <w:noProof/>
              </w:rPr>
            </w:pPr>
            <w:r>
              <w:rPr>
                <w:noProof/>
              </w:rPr>
              <w:t>M2C3-3</w:t>
            </w:r>
          </w:p>
        </w:tc>
        <w:tc>
          <w:tcPr>
            <w:tcW w:w="1559" w:type="dxa"/>
            <w:tcBorders>
              <w:top w:val="nil"/>
              <w:left w:val="nil"/>
              <w:bottom w:val="single" w:sz="4" w:space="0" w:color="auto"/>
              <w:right w:val="single" w:sz="4" w:space="0" w:color="auto"/>
            </w:tcBorders>
            <w:shd w:val="clear" w:color="auto" w:fill="C6EFCE"/>
            <w:noWrap/>
            <w:vAlign w:val="center"/>
          </w:tcPr>
          <w:p w14:paraId="292AAFD8" w14:textId="77777777" w:rsidR="004C6421" w:rsidRDefault="009D1962">
            <w:pPr>
              <w:pStyle w:val="P68B1DB1-Normal4"/>
              <w:spacing w:line="276" w:lineRule="auto"/>
              <w:jc w:val="center"/>
              <w:rPr>
                <w:noProof/>
              </w:rPr>
            </w:pPr>
            <w:r>
              <w:rPr>
                <w:noProof/>
              </w:rPr>
              <w:t>Inwestycje 2.1 – Wzmocnienie Ecobonus na rzecz efektywności energetycznej</w:t>
            </w:r>
          </w:p>
        </w:tc>
        <w:tc>
          <w:tcPr>
            <w:tcW w:w="1134" w:type="dxa"/>
            <w:tcBorders>
              <w:top w:val="nil"/>
              <w:left w:val="nil"/>
              <w:bottom w:val="single" w:sz="4" w:space="0" w:color="auto"/>
              <w:right w:val="single" w:sz="4" w:space="0" w:color="auto"/>
            </w:tcBorders>
            <w:shd w:val="clear" w:color="auto" w:fill="C6EFCE"/>
            <w:noWrap/>
            <w:vAlign w:val="center"/>
          </w:tcPr>
          <w:p w14:paraId="65A8AFE2" w14:textId="77777777" w:rsidR="004C6421" w:rsidRDefault="009D1962">
            <w:pPr>
              <w:pStyle w:val="P68B1DB1-Normal4"/>
              <w:spacing w:line="276" w:lineRule="auto"/>
              <w:jc w:val="center"/>
              <w:rPr>
                <w:noProof/>
              </w:rPr>
            </w:pPr>
            <w:r>
              <w:rPr>
                <w:noProof/>
              </w:rPr>
              <w:t>Cel</w:t>
            </w:r>
          </w:p>
        </w:tc>
        <w:tc>
          <w:tcPr>
            <w:tcW w:w="1559" w:type="dxa"/>
            <w:tcBorders>
              <w:top w:val="nil"/>
              <w:left w:val="nil"/>
              <w:bottom w:val="single" w:sz="4" w:space="0" w:color="auto"/>
              <w:right w:val="single" w:sz="4" w:space="0" w:color="auto"/>
            </w:tcBorders>
            <w:shd w:val="clear" w:color="auto" w:fill="C6EFCE"/>
            <w:noWrap/>
            <w:vAlign w:val="center"/>
          </w:tcPr>
          <w:p w14:paraId="137056B5" w14:textId="77777777" w:rsidR="004C6421" w:rsidRDefault="009D1962">
            <w:pPr>
              <w:pStyle w:val="P68B1DB1-Normal4"/>
              <w:spacing w:line="276" w:lineRule="auto"/>
              <w:jc w:val="center"/>
              <w:rPr>
                <w:noProof/>
              </w:rPr>
            </w:pPr>
            <w:r>
              <w:rPr>
                <w:noProof/>
              </w:rPr>
              <w:t>Renowacja budynków Superbonus T2</w:t>
            </w:r>
          </w:p>
        </w:tc>
        <w:tc>
          <w:tcPr>
            <w:tcW w:w="1609" w:type="dxa"/>
            <w:tcBorders>
              <w:top w:val="nil"/>
              <w:left w:val="nil"/>
              <w:bottom w:val="single" w:sz="4" w:space="0" w:color="auto"/>
              <w:right w:val="single" w:sz="4" w:space="0" w:color="auto"/>
            </w:tcBorders>
            <w:shd w:val="clear" w:color="auto" w:fill="C6EFCE"/>
            <w:noWrap/>
            <w:vAlign w:val="center"/>
          </w:tcPr>
          <w:p w14:paraId="57BB1CEB" w14:textId="77777777" w:rsidR="004C6421" w:rsidRDefault="009D1962">
            <w:pPr>
              <w:pStyle w:val="P68B1DB1-Normal4"/>
              <w:spacing w:line="276" w:lineRule="auto"/>
              <w:jc w:val="center"/>
              <w:rPr>
                <w:noProof/>
              </w:rPr>
            </w:pPr>
            <w:r>
              <w:rPr>
                <w:noProof/>
              </w:rPr>
              <w:t>NIE DOT.</w:t>
            </w:r>
          </w:p>
        </w:tc>
        <w:tc>
          <w:tcPr>
            <w:tcW w:w="1084" w:type="dxa"/>
            <w:tcBorders>
              <w:top w:val="nil"/>
              <w:left w:val="nil"/>
              <w:bottom w:val="single" w:sz="4" w:space="0" w:color="auto"/>
              <w:right w:val="single" w:sz="4" w:space="0" w:color="auto"/>
            </w:tcBorders>
            <w:shd w:val="clear" w:color="auto" w:fill="C6EFCE"/>
            <w:noWrap/>
            <w:vAlign w:val="center"/>
          </w:tcPr>
          <w:p w14:paraId="405141EE" w14:textId="77777777" w:rsidR="004C6421" w:rsidRDefault="009D1962">
            <w:pPr>
              <w:pStyle w:val="P68B1DB1-Normal4"/>
              <w:spacing w:line="276" w:lineRule="auto"/>
              <w:jc w:val="center"/>
              <w:rPr>
                <w:noProof/>
              </w:rPr>
            </w:pPr>
            <w:r>
              <w:rPr>
                <w:noProof/>
              </w:rPr>
              <w:t xml:space="preserve">Numer </w:t>
            </w:r>
          </w:p>
        </w:tc>
        <w:tc>
          <w:tcPr>
            <w:tcW w:w="1276" w:type="dxa"/>
            <w:tcBorders>
              <w:top w:val="nil"/>
              <w:left w:val="nil"/>
              <w:bottom w:val="single" w:sz="4" w:space="0" w:color="auto"/>
              <w:right w:val="single" w:sz="4" w:space="0" w:color="auto"/>
            </w:tcBorders>
            <w:shd w:val="clear" w:color="auto" w:fill="C6EFCE"/>
            <w:noWrap/>
            <w:vAlign w:val="center"/>
          </w:tcPr>
          <w:p w14:paraId="085B2A25" w14:textId="77777777" w:rsidR="004C6421" w:rsidRDefault="009D1962">
            <w:pPr>
              <w:pStyle w:val="P68B1DB1-Normal4"/>
              <w:spacing w:line="276" w:lineRule="auto"/>
              <w:jc w:val="center"/>
              <w:rPr>
                <w:noProof/>
              </w:rPr>
            </w:pPr>
            <w:r>
              <w:rPr>
                <w:noProof/>
              </w:rPr>
              <w:t>17 000 000</w:t>
            </w:r>
          </w:p>
        </w:tc>
        <w:tc>
          <w:tcPr>
            <w:tcW w:w="1219" w:type="dxa"/>
            <w:tcBorders>
              <w:top w:val="nil"/>
              <w:left w:val="nil"/>
              <w:bottom w:val="single" w:sz="4" w:space="0" w:color="auto"/>
              <w:right w:val="single" w:sz="4" w:space="0" w:color="auto"/>
            </w:tcBorders>
            <w:shd w:val="clear" w:color="auto" w:fill="C6EFCE"/>
            <w:noWrap/>
            <w:vAlign w:val="center"/>
          </w:tcPr>
          <w:p w14:paraId="2C6C8963" w14:textId="77777777" w:rsidR="004C6421" w:rsidRDefault="009D1962">
            <w:pPr>
              <w:pStyle w:val="P68B1DB1-Normal4"/>
              <w:spacing w:line="276" w:lineRule="auto"/>
              <w:jc w:val="center"/>
              <w:rPr>
                <w:noProof/>
              </w:rPr>
            </w:pPr>
            <w:r>
              <w:rPr>
                <w:noProof/>
              </w:rPr>
              <w:t>35 800 000</w:t>
            </w:r>
          </w:p>
        </w:tc>
        <w:tc>
          <w:tcPr>
            <w:tcW w:w="995" w:type="dxa"/>
            <w:tcBorders>
              <w:top w:val="nil"/>
              <w:left w:val="nil"/>
              <w:bottom w:val="single" w:sz="4" w:space="0" w:color="auto"/>
              <w:right w:val="single" w:sz="4" w:space="0" w:color="auto"/>
            </w:tcBorders>
            <w:shd w:val="clear" w:color="auto" w:fill="C6EFCE"/>
            <w:noWrap/>
            <w:vAlign w:val="center"/>
          </w:tcPr>
          <w:p w14:paraId="5ADF5A6E" w14:textId="78C3030D" w:rsidR="004C6421" w:rsidRDefault="00CC179E">
            <w:pPr>
              <w:pStyle w:val="P68B1DB1-Normal4"/>
              <w:spacing w:line="276" w:lineRule="auto"/>
              <w:jc w:val="center"/>
              <w:rPr>
                <w:noProof/>
              </w:rPr>
            </w:pPr>
            <w:r>
              <w:rPr>
                <w:noProof/>
              </w:rPr>
              <w:t>KW. 4</w:t>
            </w:r>
          </w:p>
        </w:tc>
        <w:tc>
          <w:tcPr>
            <w:tcW w:w="704" w:type="dxa"/>
            <w:tcBorders>
              <w:top w:val="nil"/>
              <w:left w:val="nil"/>
              <w:bottom w:val="single" w:sz="4" w:space="0" w:color="auto"/>
              <w:right w:val="single" w:sz="4" w:space="0" w:color="auto"/>
            </w:tcBorders>
            <w:shd w:val="clear" w:color="auto" w:fill="C6EFCE"/>
            <w:noWrap/>
            <w:vAlign w:val="center"/>
          </w:tcPr>
          <w:p w14:paraId="459D0208" w14:textId="77777777" w:rsidR="004C6421" w:rsidRDefault="009D1962">
            <w:pPr>
              <w:pStyle w:val="P68B1DB1-Normal4"/>
              <w:spacing w:line="276" w:lineRule="auto"/>
              <w:jc w:val="center"/>
              <w:rPr>
                <w:noProof/>
              </w:rPr>
            </w:pPr>
            <w:r>
              <w:rPr>
                <w:noProof/>
              </w:rPr>
              <w:t>2025</w:t>
            </w:r>
          </w:p>
        </w:tc>
        <w:tc>
          <w:tcPr>
            <w:tcW w:w="2647" w:type="dxa"/>
            <w:tcBorders>
              <w:top w:val="nil"/>
              <w:left w:val="nil"/>
              <w:bottom w:val="single" w:sz="4" w:space="0" w:color="auto"/>
              <w:right w:val="single" w:sz="4" w:space="0" w:color="auto"/>
            </w:tcBorders>
            <w:shd w:val="clear" w:color="auto" w:fill="C6EFCE"/>
            <w:noWrap/>
            <w:vAlign w:val="center"/>
          </w:tcPr>
          <w:p w14:paraId="3363BF1B" w14:textId="77777777" w:rsidR="004C6421" w:rsidRDefault="009D1962">
            <w:pPr>
              <w:pStyle w:val="P68B1DB1-Normal4"/>
              <w:spacing w:line="276" w:lineRule="auto"/>
              <w:rPr>
                <w:noProof/>
              </w:rPr>
            </w:pPr>
            <w:r>
              <w:rPr>
                <w:noProof/>
              </w:rPr>
              <w:t>Pełna renowacja budynków o powierzchni co najmniej 35800000 metrów kwadratowych, która prowadzi do oszczędności energii pierwotnej o co najmniej 40 %, zwiększając co najmniej dwie kategorie w świadectwie efektywności energetycznej.</w:t>
            </w:r>
          </w:p>
        </w:tc>
      </w:tr>
      <w:tr w:rsidR="004C6421" w14:paraId="5DC39A33" w14:textId="77777777">
        <w:trPr>
          <w:trHeight w:val="309"/>
        </w:trPr>
        <w:tc>
          <w:tcPr>
            <w:tcW w:w="1130" w:type="dxa"/>
            <w:tcBorders>
              <w:top w:val="nil"/>
              <w:left w:val="single" w:sz="4" w:space="0" w:color="auto"/>
              <w:bottom w:val="single" w:sz="4" w:space="0" w:color="auto"/>
              <w:right w:val="single" w:sz="4" w:space="0" w:color="auto"/>
            </w:tcBorders>
            <w:shd w:val="clear" w:color="auto" w:fill="C6EFCE"/>
            <w:noWrap/>
            <w:vAlign w:val="center"/>
          </w:tcPr>
          <w:p w14:paraId="6C596AFD" w14:textId="77777777" w:rsidR="004C6421" w:rsidRDefault="009D1962">
            <w:pPr>
              <w:pStyle w:val="P68B1DB1-Normal4"/>
              <w:spacing w:line="276" w:lineRule="auto"/>
              <w:jc w:val="center"/>
              <w:rPr>
                <w:noProof/>
              </w:rPr>
            </w:pPr>
            <w:r>
              <w:rPr>
                <w:noProof/>
              </w:rPr>
              <w:t>M2C3-4</w:t>
            </w:r>
          </w:p>
        </w:tc>
        <w:tc>
          <w:tcPr>
            <w:tcW w:w="1559" w:type="dxa"/>
            <w:tcBorders>
              <w:top w:val="nil"/>
              <w:left w:val="nil"/>
              <w:bottom w:val="single" w:sz="4" w:space="0" w:color="auto"/>
              <w:right w:val="single" w:sz="4" w:space="0" w:color="auto"/>
            </w:tcBorders>
            <w:shd w:val="clear" w:color="auto" w:fill="C6EFCE"/>
            <w:noWrap/>
            <w:vAlign w:val="center"/>
          </w:tcPr>
          <w:p w14:paraId="3D6A60A6" w14:textId="77777777" w:rsidR="004C6421" w:rsidRDefault="009D1962">
            <w:pPr>
              <w:pStyle w:val="P68B1DB1-Normal4"/>
              <w:spacing w:line="276" w:lineRule="auto"/>
              <w:jc w:val="center"/>
              <w:rPr>
                <w:noProof/>
              </w:rPr>
            </w:pPr>
            <w:r>
              <w:rPr>
                <w:noProof/>
              </w:rPr>
              <w:t>Reforma 1.1: Uproszczenie i przyspieszenie procedur interwencji w zakresie efektywności energetycznej</w:t>
            </w:r>
          </w:p>
        </w:tc>
        <w:tc>
          <w:tcPr>
            <w:tcW w:w="1134" w:type="dxa"/>
            <w:tcBorders>
              <w:top w:val="nil"/>
              <w:left w:val="nil"/>
              <w:bottom w:val="single" w:sz="4" w:space="0" w:color="auto"/>
              <w:right w:val="single" w:sz="4" w:space="0" w:color="auto"/>
            </w:tcBorders>
            <w:shd w:val="clear" w:color="auto" w:fill="C6EFCE"/>
            <w:noWrap/>
            <w:vAlign w:val="center"/>
          </w:tcPr>
          <w:p w14:paraId="350A9A25" w14:textId="6C591277" w:rsidR="004C6421" w:rsidRDefault="00CC179E">
            <w:pPr>
              <w:pStyle w:val="P68B1DB1-Normal4"/>
              <w:spacing w:line="276" w:lineRule="auto"/>
              <w:jc w:val="center"/>
              <w:rPr>
                <w:noProof/>
              </w:rPr>
            </w:pPr>
            <w:r>
              <w:rPr>
                <w:noProof/>
              </w:rPr>
              <w:t>Milowy</w:t>
            </w:r>
          </w:p>
        </w:tc>
        <w:tc>
          <w:tcPr>
            <w:tcW w:w="1559" w:type="dxa"/>
            <w:tcBorders>
              <w:top w:val="nil"/>
              <w:left w:val="nil"/>
              <w:bottom w:val="single" w:sz="4" w:space="0" w:color="auto"/>
              <w:right w:val="single" w:sz="4" w:space="0" w:color="auto"/>
            </w:tcBorders>
            <w:shd w:val="clear" w:color="auto" w:fill="C6EFCE"/>
            <w:noWrap/>
            <w:vAlign w:val="center"/>
          </w:tcPr>
          <w:p w14:paraId="72C84F1C" w14:textId="77777777" w:rsidR="004C6421" w:rsidRDefault="009D1962">
            <w:pPr>
              <w:pStyle w:val="P68B1DB1-Normal4"/>
              <w:spacing w:line="276" w:lineRule="auto"/>
              <w:jc w:val="center"/>
              <w:rPr>
                <w:noProof/>
              </w:rPr>
            </w:pPr>
            <w:r>
              <w:rPr>
                <w:noProof/>
              </w:rPr>
              <w:t>Uproszczenie i przyspieszenie procedur interwencji w zakresie efektywności energetycznej</w:t>
            </w:r>
          </w:p>
        </w:tc>
        <w:tc>
          <w:tcPr>
            <w:tcW w:w="1609" w:type="dxa"/>
            <w:tcBorders>
              <w:top w:val="nil"/>
              <w:left w:val="nil"/>
              <w:bottom w:val="single" w:sz="4" w:space="0" w:color="auto"/>
              <w:right w:val="single" w:sz="4" w:space="0" w:color="auto"/>
            </w:tcBorders>
            <w:shd w:val="clear" w:color="auto" w:fill="C6EFCE"/>
            <w:noWrap/>
            <w:vAlign w:val="center"/>
          </w:tcPr>
          <w:p w14:paraId="098FE4EE" w14:textId="77777777" w:rsidR="004C6421" w:rsidRDefault="009D1962">
            <w:pPr>
              <w:pStyle w:val="P68B1DB1-Normal4"/>
              <w:spacing w:line="276" w:lineRule="auto"/>
              <w:jc w:val="center"/>
              <w:rPr>
                <w:noProof/>
              </w:rPr>
            </w:pPr>
            <w:r>
              <w:rPr>
                <w:noProof/>
              </w:rPr>
              <w:t xml:space="preserve">Przepis w akcie(-ach) prawnym(-ych) wskazujący na wejście w życie </w:t>
            </w:r>
          </w:p>
        </w:tc>
        <w:tc>
          <w:tcPr>
            <w:tcW w:w="1084" w:type="dxa"/>
            <w:tcBorders>
              <w:top w:val="nil"/>
              <w:left w:val="nil"/>
              <w:bottom w:val="single" w:sz="4" w:space="0" w:color="auto"/>
              <w:right w:val="single" w:sz="4" w:space="0" w:color="auto"/>
            </w:tcBorders>
            <w:shd w:val="clear" w:color="auto" w:fill="C6EFCE"/>
            <w:noWrap/>
            <w:vAlign w:val="center"/>
          </w:tcPr>
          <w:p w14:paraId="704E2665" w14:textId="77777777" w:rsidR="004C6421" w:rsidRDefault="009D1962">
            <w:pPr>
              <w:pStyle w:val="P68B1DB1-Normal4"/>
              <w:spacing w:line="276" w:lineRule="auto"/>
              <w:jc w:val="center"/>
              <w:rPr>
                <w:noProof/>
              </w:rPr>
            </w:pPr>
            <w:r>
              <w:rPr>
                <w:noProof/>
              </w:rPr>
              <w:t>NIE DOT.</w:t>
            </w:r>
          </w:p>
        </w:tc>
        <w:tc>
          <w:tcPr>
            <w:tcW w:w="1276" w:type="dxa"/>
            <w:tcBorders>
              <w:top w:val="nil"/>
              <w:left w:val="nil"/>
              <w:bottom w:val="single" w:sz="4" w:space="0" w:color="auto"/>
              <w:right w:val="single" w:sz="4" w:space="0" w:color="auto"/>
            </w:tcBorders>
            <w:shd w:val="clear" w:color="auto" w:fill="C6EFCE"/>
            <w:noWrap/>
            <w:vAlign w:val="center"/>
          </w:tcPr>
          <w:p w14:paraId="0123E9C8" w14:textId="77777777" w:rsidR="004C6421" w:rsidRDefault="009D1962">
            <w:pPr>
              <w:pStyle w:val="P68B1DB1-Normal4"/>
              <w:spacing w:line="276" w:lineRule="auto"/>
              <w:jc w:val="center"/>
              <w:rPr>
                <w:noProof/>
              </w:rPr>
            </w:pPr>
            <w:r>
              <w:rPr>
                <w:noProof/>
              </w:rPr>
              <w:t>NIE DOT.</w:t>
            </w:r>
          </w:p>
        </w:tc>
        <w:tc>
          <w:tcPr>
            <w:tcW w:w="1219" w:type="dxa"/>
            <w:tcBorders>
              <w:top w:val="nil"/>
              <w:left w:val="nil"/>
              <w:bottom w:val="single" w:sz="4" w:space="0" w:color="auto"/>
              <w:right w:val="single" w:sz="4" w:space="0" w:color="auto"/>
            </w:tcBorders>
            <w:shd w:val="clear" w:color="auto" w:fill="C6EFCE"/>
            <w:noWrap/>
            <w:vAlign w:val="center"/>
          </w:tcPr>
          <w:p w14:paraId="59CC3F26" w14:textId="77777777" w:rsidR="004C6421" w:rsidRDefault="009D1962">
            <w:pPr>
              <w:pStyle w:val="P68B1DB1-Normal4"/>
              <w:spacing w:line="276" w:lineRule="auto"/>
              <w:jc w:val="center"/>
              <w:rPr>
                <w:noProof/>
              </w:rPr>
            </w:pPr>
            <w:r>
              <w:rPr>
                <w:noProof/>
              </w:rPr>
              <w:t>NIE DOT.</w:t>
            </w:r>
          </w:p>
        </w:tc>
        <w:tc>
          <w:tcPr>
            <w:tcW w:w="995" w:type="dxa"/>
            <w:tcBorders>
              <w:top w:val="nil"/>
              <w:left w:val="nil"/>
              <w:bottom w:val="single" w:sz="4" w:space="0" w:color="auto"/>
              <w:right w:val="single" w:sz="4" w:space="0" w:color="auto"/>
            </w:tcBorders>
            <w:shd w:val="clear" w:color="auto" w:fill="C6EFCE"/>
            <w:noWrap/>
            <w:vAlign w:val="center"/>
          </w:tcPr>
          <w:p w14:paraId="0B9F7611" w14:textId="77777777" w:rsidR="004C6421" w:rsidRDefault="009D1962">
            <w:pPr>
              <w:pStyle w:val="P68B1DB1-Normal4"/>
              <w:spacing w:line="276" w:lineRule="auto"/>
              <w:jc w:val="center"/>
              <w:rPr>
                <w:noProof/>
              </w:rPr>
            </w:pPr>
            <w:r>
              <w:rPr>
                <w:noProof/>
              </w:rPr>
              <w:t>II KW.</w:t>
            </w:r>
          </w:p>
        </w:tc>
        <w:tc>
          <w:tcPr>
            <w:tcW w:w="704" w:type="dxa"/>
            <w:tcBorders>
              <w:top w:val="nil"/>
              <w:left w:val="nil"/>
              <w:bottom w:val="single" w:sz="4" w:space="0" w:color="auto"/>
              <w:right w:val="single" w:sz="4" w:space="0" w:color="auto"/>
            </w:tcBorders>
            <w:shd w:val="clear" w:color="auto" w:fill="C6EFCE"/>
            <w:noWrap/>
            <w:vAlign w:val="center"/>
          </w:tcPr>
          <w:p w14:paraId="7F812045" w14:textId="77777777" w:rsidR="004C6421" w:rsidRDefault="009D1962">
            <w:pPr>
              <w:pStyle w:val="P68B1DB1-Normal4"/>
              <w:spacing w:line="276" w:lineRule="auto"/>
              <w:jc w:val="center"/>
              <w:rPr>
                <w:noProof/>
              </w:rPr>
            </w:pPr>
            <w:r>
              <w:rPr>
                <w:noProof/>
              </w:rPr>
              <w:t>2022</w:t>
            </w:r>
          </w:p>
        </w:tc>
        <w:tc>
          <w:tcPr>
            <w:tcW w:w="2647" w:type="dxa"/>
            <w:tcBorders>
              <w:top w:val="nil"/>
              <w:left w:val="nil"/>
              <w:bottom w:val="single" w:sz="4" w:space="0" w:color="auto"/>
              <w:right w:val="single" w:sz="4" w:space="0" w:color="auto"/>
            </w:tcBorders>
            <w:shd w:val="clear" w:color="auto" w:fill="C6EFCE"/>
            <w:noWrap/>
            <w:vAlign w:val="center"/>
          </w:tcPr>
          <w:p w14:paraId="17BFFCD1" w14:textId="77777777" w:rsidR="004C6421" w:rsidRDefault="009D1962">
            <w:pPr>
              <w:pStyle w:val="P68B1DB1-Normal4"/>
              <w:spacing w:line="276" w:lineRule="auto"/>
              <w:rPr>
                <w:noProof/>
              </w:rPr>
            </w:pPr>
            <w:r>
              <w:rPr>
                <w:noProof/>
              </w:rPr>
              <w:t>Akt prawny upraszcza i przyspiesza procedury interwencji w zakresie efektywności energetycznej poprzez:</w:t>
            </w:r>
          </w:p>
          <w:p w14:paraId="3B529A3E" w14:textId="77777777" w:rsidR="004C6421" w:rsidRDefault="009D1962">
            <w:pPr>
              <w:pStyle w:val="P68B1DB1-ListParagraph5"/>
              <w:numPr>
                <w:ilvl w:val="0"/>
                <w:numId w:val="95"/>
              </w:numPr>
              <w:spacing w:line="276" w:lineRule="auto"/>
              <w:jc w:val="left"/>
              <w:rPr>
                <w:noProof/>
              </w:rPr>
            </w:pPr>
            <w:r>
              <w:rPr>
                <w:noProof/>
              </w:rPr>
              <w:t>Uruchomienie krajowego portalu na rzecz efektywności energetycznej budynków</w:t>
            </w:r>
          </w:p>
          <w:p w14:paraId="6AF41ED4" w14:textId="77777777" w:rsidR="004C6421" w:rsidRDefault="009D1962">
            <w:pPr>
              <w:pStyle w:val="P68B1DB1-ListParagraph5"/>
              <w:numPr>
                <w:ilvl w:val="0"/>
                <w:numId w:val="95"/>
              </w:numPr>
              <w:spacing w:line="276" w:lineRule="auto"/>
              <w:jc w:val="left"/>
              <w:rPr>
                <w:noProof/>
              </w:rPr>
            </w:pPr>
            <w:r>
              <w:rPr>
                <w:noProof/>
              </w:rPr>
              <w:t>Wzmocnienie działań w ramach planu informacyjnego i szkoleniowego skierowanego do sektora cywilnego</w:t>
            </w:r>
          </w:p>
          <w:p w14:paraId="324F90D8" w14:textId="77777777" w:rsidR="004C6421" w:rsidRDefault="009D1962">
            <w:pPr>
              <w:pStyle w:val="P68B1DB1-ListParagraph5"/>
              <w:numPr>
                <w:ilvl w:val="0"/>
                <w:numId w:val="95"/>
              </w:numPr>
              <w:spacing w:line="276" w:lineRule="auto"/>
              <w:jc w:val="left"/>
              <w:rPr>
                <w:noProof/>
              </w:rPr>
            </w:pPr>
            <w:r>
              <w:rPr>
                <w:noProof/>
              </w:rPr>
              <w:t>Aktualizacja i wzmocnienie Narodowego Funduszu na rzecz Efektywności Energetycznej</w:t>
            </w:r>
          </w:p>
          <w:p w14:paraId="3174829D" w14:textId="77777777" w:rsidR="004C6421" w:rsidRDefault="009D1962">
            <w:pPr>
              <w:pStyle w:val="P68B1DB1-ListParagraph5"/>
              <w:numPr>
                <w:ilvl w:val="0"/>
                <w:numId w:val="95"/>
              </w:numPr>
              <w:spacing w:line="276" w:lineRule="auto"/>
              <w:jc w:val="left"/>
              <w:rPr>
                <w:noProof/>
              </w:rPr>
            </w:pPr>
            <w:r>
              <w:rPr>
                <w:noProof/>
              </w:rPr>
              <w:t>Przyspieszenie etapu wdrażania projektów finansowanych z programu PREPAC</w:t>
            </w:r>
          </w:p>
        </w:tc>
      </w:tr>
    </w:tbl>
    <w:p w14:paraId="33FF7636" w14:textId="77777777" w:rsidR="004C6421" w:rsidRDefault="004C6421">
      <w:pPr>
        <w:spacing w:before="120" w:after="120"/>
        <w:ind w:left="709"/>
        <w:jc w:val="both"/>
        <w:rPr>
          <w:noProof/>
        </w:rPr>
        <w:sectPr w:rsidR="004C6421" w:rsidSect="00797973">
          <w:headerReference w:type="even" r:id="rId170"/>
          <w:headerReference w:type="default" r:id="rId171"/>
          <w:footerReference w:type="even" r:id="rId172"/>
          <w:footerReference w:type="default" r:id="rId173"/>
          <w:headerReference w:type="first" r:id="rId174"/>
          <w:footerReference w:type="first" r:id="rId175"/>
          <w:pgSz w:w="16839" w:h="11907" w:orient="landscape"/>
          <w:pgMar w:top="1134" w:right="1134" w:bottom="1134" w:left="1134" w:header="567" w:footer="567" w:gutter="0"/>
          <w:cols w:space="720"/>
          <w:docGrid w:linePitch="360"/>
        </w:sectPr>
      </w:pPr>
    </w:p>
    <w:p w14:paraId="6A66CDBB" w14:textId="77777777" w:rsidR="004C6421" w:rsidRDefault="009D1962">
      <w:pPr>
        <w:pStyle w:val="Heading3"/>
        <w:numPr>
          <w:ilvl w:val="0"/>
          <w:numId w:val="0"/>
        </w:numPr>
        <w:ind w:left="850" w:hanging="850"/>
        <w:rPr>
          <w:b/>
          <w:i w:val="0"/>
          <w:noProof/>
          <w:color w:val="4472C4" w:themeColor="accent1"/>
          <w:u w:val="single"/>
        </w:rPr>
      </w:pPr>
      <w:r>
        <w:rPr>
          <w:b/>
          <w:i w:val="0"/>
          <w:noProof/>
          <w:u w:val="single"/>
        </w:rPr>
        <w:t xml:space="preserve">F.3. </w:t>
      </w:r>
      <w:r>
        <w:rPr>
          <w:noProof/>
        </w:rPr>
        <w:t xml:space="preserve"> </w:t>
      </w:r>
      <w:r>
        <w:rPr>
          <w:b/>
          <w:i w:val="0"/>
          <w:noProof/>
          <w:u w:val="single"/>
        </w:rPr>
        <w:t xml:space="preserve">Opis reform i inwestycji związanych z pożyczką </w:t>
      </w:r>
    </w:p>
    <w:p w14:paraId="04EF7027" w14:textId="77777777" w:rsidR="004C6421" w:rsidRDefault="009D1962">
      <w:pPr>
        <w:pStyle w:val="P68B1DB1-Normal21"/>
        <w:spacing w:before="120" w:after="120"/>
        <w:jc w:val="both"/>
        <w:rPr>
          <w:rFonts w:eastAsia="Calibri"/>
          <w:noProof/>
          <w:color w:val="4472C4" w:themeColor="accent1"/>
        </w:rPr>
      </w:pPr>
      <w:r>
        <w:rPr>
          <w:noProof/>
        </w:rPr>
        <w:t xml:space="preserve">Inwestycje 1.1: Budowa nowych szkół poprzez wymianę budynków </w:t>
      </w:r>
    </w:p>
    <w:p w14:paraId="70AE4D40" w14:textId="77777777" w:rsidR="004C6421" w:rsidRDefault="009D1962">
      <w:pPr>
        <w:spacing w:before="120" w:after="120"/>
        <w:jc w:val="both"/>
        <w:rPr>
          <w:noProof/>
        </w:rPr>
      </w:pPr>
      <w:r>
        <w:rPr>
          <w:noProof/>
        </w:rPr>
        <w:t>Środek ten koncentruje się na stopniowym zastępowaniu części zasobów budowlanych szkół publicznych w celu stworzenia nowoczesnych i zrównoważonych struktur.</w:t>
      </w:r>
    </w:p>
    <w:p w14:paraId="69D67C38" w14:textId="77777777" w:rsidR="004C6421" w:rsidRDefault="009D1962">
      <w:pPr>
        <w:spacing w:before="120" w:after="120"/>
        <w:jc w:val="both"/>
        <w:rPr>
          <w:noProof/>
        </w:rPr>
      </w:pPr>
      <w:r>
        <w:rPr>
          <w:noProof/>
        </w:rPr>
        <w:t>Celem interwencji jest zmniejszenie zużycia energii, zwiększenie bezpieczeństwa sejsmicznego budynków oraz rozwój terenów zielonych.</w:t>
      </w:r>
    </w:p>
    <w:p w14:paraId="646866CE" w14:textId="77777777" w:rsidR="004C6421" w:rsidRDefault="009D1962">
      <w:pPr>
        <w:spacing w:before="120" w:after="120"/>
        <w:jc w:val="both"/>
        <w:rPr>
          <w:noProof/>
        </w:rPr>
      </w:pPr>
      <w:r>
        <w:rPr>
          <w:noProof/>
        </w:rPr>
        <w:t xml:space="preserve">Oczekuje się, że plan będzie ukierunkowany na 166 budynków szkolnych o łącznej powierzchni 400 tys. m². </w:t>
      </w:r>
    </w:p>
    <w:p w14:paraId="143CCD59" w14:textId="77777777" w:rsidR="004C6421" w:rsidRDefault="009D1962">
      <w:pPr>
        <w:pStyle w:val="P68B1DB1-Normal2"/>
        <w:spacing w:before="120" w:after="120"/>
        <w:jc w:val="both"/>
        <w:rPr>
          <w:rFonts w:eastAsia="Calibri"/>
          <w:noProof/>
        </w:rPr>
      </w:pPr>
      <w:r>
        <w:rPr>
          <w:noProof/>
        </w:rPr>
        <w:t>Inwestycje 1.2 – Budowa budynków, przekwalifikowanie i wzmocnienie nieruchomości administracji wymiaru sprawiedliwości</w:t>
      </w:r>
    </w:p>
    <w:p w14:paraId="7B9E8102" w14:textId="77777777" w:rsidR="004C6421" w:rsidRDefault="009D1962">
      <w:pPr>
        <w:spacing w:before="120" w:after="120"/>
        <w:jc w:val="both"/>
        <w:rPr>
          <w:rFonts w:eastAsia="Calibri"/>
          <w:noProof/>
        </w:rPr>
      </w:pPr>
      <w:r>
        <w:rPr>
          <w:noProof/>
        </w:rPr>
        <w:t xml:space="preserve">Środek ten ma na celu renowację i zmianę kwalifikacji nieodpowiednich struktur wymiaru sprawiedliwości. </w:t>
      </w:r>
    </w:p>
    <w:p w14:paraId="0AC813FA" w14:textId="77777777" w:rsidR="004C6421" w:rsidRDefault="009D1962">
      <w:pPr>
        <w:spacing w:before="120" w:after="120"/>
        <w:jc w:val="both"/>
        <w:rPr>
          <w:b/>
          <w:noProof/>
          <w:u w:val="single"/>
        </w:rPr>
      </w:pPr>
      <w:r>
        <w:rPr>
          <w:noProof/>
        </w:rPr>
        <w:t>Interwencja koncentruje się na utrzymaniu istniejących aktywów, umożliwiając ochronę, waloryzację i odbudowę dziedzictwa historycznego, które często charakteryzuje biura administracji włoskiego wymiaru sprawiedliwości. Oprócz efektywności energetycznej program ma również na celu zapewnienie zrównoważenia gospodarczego, środowiskowego i społecznego interwencji poprzez wykorzystanie zrównoważonych materiałów i wykorzystanie wytworzonej we własnym zakresie energii elektrycznej ze źródeł odnawialnych. Interwencje mogą również dostosowywać struktury w celu zmniejszenia podatności budynków na zagrożenia sejsmiczne.</w:t>
      </w:r>
    </w:p>
    <w:p w14:paraId="38B3272D" w14:textId="77777777" w:rsidR="004C6421" w:rsidRDefault="009D1962">
      <w:pPr>
        <w:spacing w:before="120" w:after="120"/>
        <w:jc w:val="both"/>
        <w:rPr>
          <w:noProof/>
        </w:rPr>
      </w:pPr>
      <w:r>
        <w:rPr>
          <w:noProof/>
        </w:rPr>
        <w:t>Orientacyjny wykaz gmin, w których mają miejsce interwencje, jest następujący: Bari, Bergamo, Bolonia, Cagliari, Florencja, Genua, Latina, Mesyna, Mediolan, Monza, Neapol, Palermo, Perugia, Reggio Calabria, Rzym, Trani, Turyn, Velletri i Wenecja.</w:t>
      </w:r>
    </w:p>
    <w:p w14:paraId="4BF2BC85" w14:textId="77777777" w:rsidR="004C6421" w:rsidRDefault="009D1962">
      <w:pPr>
        <w:spacing w:before="120" w:after="120"/>
        <w:jc w:val="both"/>
        <w:rPr>
          <w:noProof/>
        </w:rPr>
      </w:pPr>
      <w:r>
        <w:rPr>
          <w:noProof/>
        </w:rPr>
        <w:t>Interwencja nie obejmuje kotłów gazu ziemnego.</w:t>
      </w:r>
    </w:p>
    <w:p w14:paraId="3A37059F" w14:textId="77777777" w:rsidR="004C6421" w:rsidRDefault="009D1962">
      <w:pPr>
        <w:pStyle w:val="P68B1DB1-Normal2"/>
        <w:spacing w:before="120" w:after="120"/>
        <w:jc w:val="both"/>
        <w:rPr>
          <w:rFonts w:eastAsia="Calibri"/>
          <w:noProof/>
        </w:rPr>
      </w:pPr>
      <w:r>
        <w:rPr>
          <w:noProof/>
        </w:rPr>
        <w:t>Inwestycja 3.1: Promowanie efektywnego systemu ciepłowniczego</w:t>
      </w:r>
    </w:p>
    <w:p w14:paraId="6BDF6D4A" w14:textId="77777777" w:rsidR="004C6421" w:rsidRDefault="009D1962">
      <w:pPr>
        <w:spacing w:before="120" w:after="120"/>
        <w:jc w:val="both"/>
        <w:rPr>
          <w:rFonts w:eastAsia="Calibri"/>
          <w:noProof/>
        </w:rPr>
      </w:pPr>
      <w:r>
        <w:rPr>
          <w:noProof/>
        </w:rPr>
        <w:t>Systemy ciepłownicze odgrywają ważną rolę w osiąganiu celów środowiskowych sektora ogrzewania i chłodzenia, zwłaszcza na dużych obszarach miejskich, gdzie problem ten jest jeszcze poważniejszy.</w:t>
      </w:r>
    </w:p>
    <w:p w14:paraId="7570A97D" w14:textId="77777777" w:rsidR="004C6421" w:rsidRDefault="009D1962">
      <w:pPr>
        <w:spacing w:before="120" w:after="120"/>
        <w:jc w:val="both"/>
        <w:rPr>
          <w:rFonts w:eastAsia="Calibri"/>
          <w:noProof/>
        </w:rPr>
      </w:pPr>
      <w:r>
        <w:rPr>
          <w:noProof/>
        </w:rPr>
        <w:t xml:space="preserve">Środek ten ma na celu rozwój efektywnego systemu ciepłowniczego opartego na dystrybucji ciepła wytwarzanego ze źródeł odnawialnych, ciepła odpadowego lub kogenerowanego w wysokowydajnych instalacjach. Środek ten finansuje projekty, które mają zostać wybrane w drodze przetargu, który ma zostać ogłoszony w 2022 r., dotyczące budowy nowych sieci lub rozbudowy istniejących sieci ciepłowniczych. Kolejny przetarg może zostać ogłoszony w 2023 r. Pierwszeństwo przyznaje się projektom, które gwarantują największe oszczędności w nieodnawialnej energii pierwotnej. </w:t>
      </w:r>
    </w:p>
    <w:p w14:paraId="7E23191E" w14:textId="77777777" w:rsidR="004C6421" w:rsidRDefault="009D1962">
      <w:pPr>
        <w:spacing w:before="120" w:after="120"/>
        <w:jc w:val="both"/>
        <w:rPr>
          <w:rFonts w:eastAsia="Calibri"/>
          <w:noProof/>
        </w:rPr>
      </w:pPr>
      <w:r>
        <w:rPr>
          <w:noProof/>
        </w:rPr>
        <w:t xml:space="preserve">Oczekuje się, że korzyści energetyczno-środowiskowe równe 20 ktoe energii pierwotnej pochodzącej z paliw kopalnych rocznie i 40 kton CO2 w odniesieniu do emisji gazów cieplarnianych, których uniknięto każdego roku w sektorach nieobjętych systemem handlu uprawnieniami do emisji, zostaną osiągnięte. </w:t>
      </w:r>
    </w:p>
    <w:p w14:paraId="238785B7" w14:textId="77777777" w:rsidR="004C6421" w:rsidRDefault="009D1962">
      <w:pPr>
        <w:spacing w:before="120" w:after="120"/>
        <w:jc w:val="both"/>
        <w:rPr>
          <w:rFonts w:eastAsia="Calibri"/>
          <w:noProof/>
        </w:rPr>
      </w:pPr>
      <w:r>
        <w:rPr>
          <w:noProof/>
        </w:rPr>
        <w:t>Oczekuje się, że środek ten nie spowoduje znaczących szkód dla celów środowiskowych w rozumieniu art. 17 rozporządzenia (UE) 2020/852, biorąc pod uwagę opis środka i działania łagodzące określone w planie odbudowy i zwiększania odporności zgodnie z wytycznymi technicznymi DNSH (2021/C58/01). W szczególności w budynku efektywnego systemu ciepłowniczego nie wykorzystuje się paliw kopalnych jako źródła ciepła, lecz opiera się wyłącznie na energii cieplnej wytwarzanej ze źródeł odnawialnych, z ciepła odpadowego lub z kogeneracji w wysokowydajnych instalacjach. Powiązana infrastruktura dla systemów ciepłowniczych jest zgodna z dyrektywą Parlamentu Europejskiego i Rady 2012/27/UE z dnia 25 października 2012 r. w sprawie efektywności energetycznej, zmiany dyrektyw 2009/125/WE i 2010/30/UE oraz uchylenia dyrektyw 2004/8/WE i 2006/32/WE (Dz.U. L 315 z 14.11.2012, s. 1) i ma zagwarantować redukcję emisji o 0,04 Mt CO2/rok.</w:t>
      </w:r>
    </w:p>
    <w:p w14:paraId="21219406" w14:textId="77777777" w:rsidR="004C6421" w:rsidRDefault="009D1962">
      <w:pPr>
        <w:pStyle w:val="Heading3"/>
        <w:numPr>
          <w:ilvl w:val="0"/>
          <w:numId w:val="0"/>
        </w:numPr>
        <w:ind w:left="850" w:hanging="850"/>
        <w:rPr>
          <w:b/>
          <w:i w:val="0"/>
          <w:noProof/>
          <w:u w:val="single"/>
        </w:rPr>
      </w:pPr>
      <w:r>
        <w:rPr>
          <w:b/>
          <w:i w:val="0"/>
          <w:noProof/>
          <w:u w:val="single"/>
        </w:rPr>
        <w:t xml:space="preserve">F.4. </w:t>
      </w:r>
      <w:r>
        <w:rPr>
          <w:noProof/>
        </w:rPr>
        <w:t xml:space="preserve"> </w:t>
      </w:r>
      <w:r>
        <w:rPr>
          <w:b/>
          <w:i w:val="0"/>
          <w:noProof/>
          <w:u w:val="single"/>
        </w:rPr>
        <w:t xml:space="preserve">Cele pośrednie, wartości docelowe, wskaźniki i harmonogram monitorowania i realizacji pożyczki </w:t>
      </w:r>
    </w:p>
    <w:p w14:paraId="20387C27" w14:textId="77777777" w:rsidR="004C6421" w:rsidRDefault="004C6421">
      <w:pPr>
        <w:spacing w:before="120" w:after="120"/>
        <w:ind w:left="709"/>
        <w:contextualSpacing/>
        <w:jc w:val="both"/>
        <w:rPr>
          <w:noProof/>
        </w:rPr>
        <w:sectPr w:rsidR="004C6421" w:rsidSect="00797973">
          <w:headerReference w:type="even" r:id="rId176"/>
          <w:headerReference w:type="default" r:id="rId177"/>
          <w:footerReference w:type="even" r:id="rId178"/>
          <w:footerReference w:type="default" r:id="rId179"/>
          <w:headerReference w:type="first" r:id="rId180"/>
          <w:footerReference w:type="first" r:id="rId181"/>
          <w:pgSz w:w="11907" w:h="16839"/>
          <w:pgMar w:top="1134" w:right="1134" w:bottom="1134" w:left="1134" w:header="567" w:footer="567" w:gutter="0"/>
          <w:cols w:space="720"/>
          <w:docGrid w:linePitch="360"/>
        </w:sectPr>
      </w:pPr>
    </w:p>
    <w:tbl>
      <w:tblPr>
        <w:tblpPr w:leftFromText="180" w:rightFromText="180" w:horzAnchor="margin" w:tblpXSpec="center" w:tblpY="-720"/>
        <w:tblW w:w="14789" w:type="dxa"/>
        <w:tblLook w:val="04A0" w:firstRow="1" w:lastRow="0" w:firstColumn="1" w:lastColumn="0" w:noHBand="0" w:noVBand="1"/>
      </w:tblPr>
      <w:tblGrid>
        <w:gridCol w:w="1271"/>
        <w:gridCol w:w="1584"/>
        <w:gridCol w:w="1438"/>
        <w:gridCol w:w="1985"/>
        <w:gridCol w:w="1701"/>
        <w:gridCol w:w="1276"/>
        <w:gridCol w:w="918"/>
        <w:gridCol w:w="1022"/>
        <w:gridCol w:w="809"/>
        <w:gridCol w:w="653"/>
        <w:gridCol w:w="2461"/>
      </w:tblGrid>
      <w:tr w:rsidR="004C6421" w14:paraId="14EE019E" w14:textId="77777777">
        <w:trPr>
          <w:trHeight w:val="939"/>
          <w:tblHeader/>
        </w:trPr>
        <w:tc>
          <w:tcPr>
            <w:tcW w:w="127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1FFB312" w14:textId="77777777" w:rsidR="004C6421" w:rsidRDefault="009D1962">
            <w:pPr>
              <w:pStyle w:val="P68B1DB1-Normal3"/>
              <w:jc w:val="center"/>
              <w:rPr>
                <w:noProof/>
              </w:rPr>
            </w:pPr>
            <w:r>
              <w:rPr>
                <w:noProof/>
              </w:rPr>
              <w:t>Numer porządkowy</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9857748" w14:textId="77777777" w:rsidR="004C6421" w:rsidRDefault="009D1962">
            <w:pPr>
              <w:pStyle w:val="P68B1DB1-Normal3"/>
              <w:jc w:val="center"/>
              <w:rPr>
                <w:noProof/>
              </w:rPr>
            </w:pPr>
            <w:r>
              <w:rPr>
                <w:noProof/>
              </w:rPr>
              <w:t>Powiązane działanie (reforma lub inwestycja)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03DD268" w14:textId="77777777" w:rsidR="004C6421" w:rsidRDefault="009D1962">
            <w:pPr>
              <w:pStyle w:val="P68B1DB1-Normal3"/>
              <w:jc w:val="center"/>
              <w:rPr>
                <w:noProof/>
              </w:rPr>
            </w:pPr>
            <w:r>
              <w:rPr>
                <w:noProof/>
              </w:rPr>
              <w:t>Kamień milowy/wartość docelowa</w:t>
            </w:r>
          </w:p>
        </w:tc>
        <w:tc>
          <w:tcPr>
            <w:tcW w:w="1985" w:type="dxa"/>
            <w:vMerge w:val="restart"/>
            <w:tcBorders>
              <w:top w:val="single" w:sz="4" w:space="0" w:color="auto"/>
              <w:left w:val="nil"/>
              <w:bottom w:val="single" w:sz="4" w:space="0" w:color="auto"/>
              <w:right w:val="single" w:sz="4" w:space="0" w:color="auto"/>
            </w:tcBorders>
            <w:shd w:val="clear" w:color="auto" w:fill="BDD7EE"/>
            <w:vAlign w:val="center"/>
            <w:hideMark/>
          </w:tcPr>
          <w:p w14:paraId="6EBDC408" w14:textId="77777777" w:rsidR="004C6421" w:rsidRDefault="009D1962">
            <w:pPr>
              <w:pStyle w:val="P68B1DB1-Normal3"/>
              <w:jc w:val="center"/>
              <w:rPr>
                <w:noProof/>
              </w:rPr>
            </w:pPr>
            <w:r>
              <w:rPr>
                <w:noProof/>
              </w:rPr>
              <w:t>Nazwa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1166876" w14:textId="77777777" w:rsidR="004C6421" w:rsidRDefault="009D1962">
            <w:pPr>
              <w:jc w:val="center"/>
              <w:rPr>
                <w:rFonts w:ascii="Arial Narrow" w:hAnsi="Arial Narrow"/>
                <w:b/>
                <w:noProof/>
                <w:sz w:val="20"/>
              </w:rPr>
            </w:pPr>
            <w:r>
              <w:rPr>
                <w:rFonts w:ascii="Arial Narrow" w:hAnsi="Arial Narrow"/>
                <w:b/>
                <w:noProof/>
                <w:sz w:val="20"/>
              </w:rPr>
              <w:t xml:space="preserve">Wskaźniki jakościowe </w:t>
            </w:r>
            <w:r>
              <w:rPr>
                <w:rFonts w:ascii="Arial Narrow" w:hAnsi="Arial Narrow"/>
                <w:noProof/>
              </w:rPr>
              <w:t xml:space="preserve"> </w:t>
            </w:r>
            <w:r>
              <w:rPr>
                <w:noProof/>
              </w:rPr>
              <w:t xml:space="preserve">  </w:t>
            </w:r>
            <w:r>
              <w:rPr>
                <w:noProof/>
              </w:rPr>
              <w:br/>
            </w:r>
            <w:r>
              <w:rPr>
                <w:rFonts w:ascii="Arial Narrow" w:hAnsi="Arial Narrow"/>
                <w:b/>
                <w:noProof/>
                <w:sz w:val="20"/>
              </w:rPr>
              <w:t>(dla kamieni milowych)</w:t>
            </w:r>
          </w:p>
        </w:tc>
        <w:tc>
          <w:tcPr>
            <w:tcW w:w="3216"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53B22C97" w14:textId="77777777" w:rsidR="004C6421" w:rsidRDefault="009D1962">
            <w:pPr>
              <w:jc w:val="center"/>
              <w:rPr>
                <w:rFonts w:ascii="Arial Narrow" w:hAnsi="Arial Narrow"/>
                <w:b/>
                <w:noProof/>
                <w:sz w:val="20"/>
              </w:rPr>
            </w:pPr>
            <w:r>
              <w:rPr>
                <w:rFonts w:ascii="Arial Narrow" w:hAnsi="Arial Narrow"/>
                <w:b/>
                <w:noProof/>
                <w:sz w:val="20"/>
              </w:rPr>
              <w:t xml:space="preserve">Wskaźniki ilościowe </w:t>
            </w:r>
            <w:r>
              <w:rPr>
                <w:rFonts w:ascii="Arial Narrow" w:hAnsi="Arial Narrow"/>
                <w:noProof/>
              </w:rPr>
              <w:t xml:space="preserve"> </w:t>
            </w:r>
            <w:r>
              <w:rPr>
                <w:noProof/>
              </w:rPr>
              <w:t xml:space="preserve">  </w:t>
            </w:r>
            <w:r>
              <w:rPr>
                <w:noProof/>
              </w:rPr>
              <w:br/>
            </w:r>
            <w:r>
              <w:rPr>
                <w:rFonts w:ascii="Arial Narrow" w:hAnsi="Arial Narrow"/>
                <w:b/>
                <w:noProof/>
                <w:sz w:val="20"/>
              </w:rPr>
              <w:t>(dla wartości docelowych)</w:t>
            </w:r>
          </w:p>
        </w:tc>
        <w:tc>
          <w:tcPr>
            <w:tcW w:w="1462" w:type="dxa"/>
            <w:gridSpan w:val="2"/>
            <w:tcBorders>
              <w:top w:val="single" w:sz="4" w:space="0" w:color="auto"/>
              <w:left w:val="nil"/>
              <w:bottom w:val="single" w:sz="4" w:space="0" w:color="auto"/>
              <w:right w:val="single" w:sz="4" w:space="0" w:color="auto"/>
            </w:tcBorders>
            <w:shd w:val="clear" w:color="auto" w:fill="BDD7EE"/>
            <w:vAlign w:val="center"/>
            <w:hideMark/>
          </w:tcPr>
          <w:p w14:paraId="75657FC2" w14:textId="77777777" w:rsidR="004C6421" w:rsidRDefault="009D1962">
            <w:pPr>
              <w:pStyle w:val="P68B1DB1-Normal3"/>
              <w:jc w:val="center"/>
              <w:rPr>
                <w:noProof/>
              </w:rPr>
            </w:pPr>
            <w:r>
              <w:rPr>
                <w:noProof/>
              </w:rPr>
              <w:t xml:space="preserve">Orientacyjny harmonogram zakończenia działania </w:t>
            </w:r>
          </w:p>
        </w:tc>
        <w:tc>
          <w:tcPr>
            <w:tcW w:w="246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1E33827" w14:textId="77777777" w:rsidR="004C6421" w:rsidRDefault="009D1962">
            <w:pPr>
              <w:pStyle w:val="P68B1DB1-Normal3"/>
              <w:jc w:val="center"/>
              <w:rPr>
                <w:noProof/>
              </w:rPr>
            </w:pPr>
            <w:r>
              <w:rPr>
                <w:noProof/>
              </w:rPr>
              <w:t>Opis każdego kamienia milowego i każdej wartości docelowej</w:t>
            </w:r>
          </w:p>
        </w:tc>
      </w:tr>
      <w:tr w:rsidR="004C6421" w14:paraId="7F0C1A53" w14:textId="77777777">
        <w:trPr>
          <w:trHeight w:val="1027"/>
          <w:tblHead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9C0CEE3" w14:textId="77777777" w:rsidR="004C6421" w:rsidRDefault="004C6421">
            <w:pPr>
              <w:rPr>
                <w:rFonts w:ascii="Arial Narrow" w:hAnsi="Arial Narrow"/>
                <w:b/>
                <w:noProof/>
                <w:sz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4CD8EB1" w14:textId="77777777" w:rsidR="004C6421" w:rsidRDefault="004C6421">
            <w:pPr>
              <w:rPr>
                <w:rFonts w:ascii="Arial Narrow" w:hAnsi="Arial Narrow"/>
                <w:b/>
                <w:noProof/>
                <w:sz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E7E6EF" w14:textId="77777777" w:rsidR="004C6421" w:rsidRDefault="004C6421">
            <w:pPr>
              <w:rPr>
                <w:rFonts w:ascii="Arial Narrow" w:hAnsi="Arial Narrow"/>
                <w:b/>
                <w:noProof/>
                <w:sz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7930F02" w14:textId="77777777" w:rsidR="004C6421" w:rsidRDefault="004C6421">
            <w:pPr>
              <w:rPr>
                <w:rFonts w:ascii="Arial Narrow" w:hAnsi="Arial Narrow"/>
                <w:b/>
                <w:noProof/>
                <w:sz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FB36B56" w14:textId="77777777" w:rsidR="004C6421" w:rsidRDefault="004C6421">
            <w:pPr>
              <w:rPr>
                <w:rFonts w:ascii="Arial Narrow" w:hAnsi="Arial Narrow"/>
                <w:b/>
                <w:noProof/>
                <w:sz w:val="20"/>
              </w:rPr>
            </w:pPr>
          </w:p>
        </w:tc>
        <w:tc>
          <w:tcPr>
            <w:tcW w:w="1276"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11299125" w14:textId="77777777" w:rsidR="004C6421" w:rsidRDefault="009D1962">
            <w:pPr>
              <w:pStyle w:val="P68B1DB1-Normal3"/>
              <w:jc w:val="center"/>
              <w:rPr>
                <w:noProof/>
              </w:rPr>
            </w:pPr>
            <w:r>
              <w:rPr>
                <w:noProof/>
              </w:rPr>
              <w:t>Jednostka miary</w:t>
            </w:r>
          </w:p>
        </w:tc>
        <w:tc>
          <w:tcPr>
            <w:tcW w:w="918"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02B1F630" w14:textId="77777777" w:rsidR="004C6421" w:rsidRDefault="009D1962">
            <w:pPr>
              <w:pStyle w:val="P68B1DB1-Normal3"/>
              <w:jc w:val="center"/>
              <w:rPr>
                <w:noProof/>
              </w:rPr>
            </w:pPr>
            <w:r>
              <w:rPr>
                <w:noProof/>
              </w:rPr>
              <w:t xml:space="preserve">Bazowy </w:t>
            </w:r>
          </w:p>
        </w:tc>
        <w:tc>
          <w:tcPr>
            <w:tcW w:w="1022"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003E3654" w14:textId="77777777" w:rsidR="004C6421" w:rsidRDefault="009D1962">
            <w:pPr>
              <w:pStyle w:val="P68B1DB1-Normal3"/>
              <w:jc w:val="center"/>
              <w:rPr>
                <w:noProof/>
              </w:rPr>
            </w:pPr>
            <w:r>
              <w:rPr>
                <w:noProof/>
              </w:rPr>
              <w:t xml:space="preserve">Cel </w:t>
            </w:r>
          </w:p>
        </w:tc>
        <w:tc>
          <w:tcPr>
            <w:tcW w:w="809"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6DB6F268" w14:textId="77777777" w:rsidR="004C6421" w:rsidRDefault="009D1962">
            <w:pPr>
              <w:pStyle w:val="P68B1DB1-Normal3"/>
              <w:jc w:val="center"/>
              <w:rPr>
                <w:noProof/>
              </w:rPr>
            </w:pPr>
            <w:r>
              <w:rPr>
                <w:noProof/>
              </w:rPr>
              <w:t>Kwartał</w:t>
            </w:r>
          </w:p>
        </w:tc>
        <w:tc>
          <w:tcPr>
            <w:tcW w:w="653"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1E7E71F8" w14:textId="77777777" w:rsidR="004C6421" w:rsidRDefault="009D1962">
            <w:pPr>
              <w:pStyle w:val="P68B1DB1-Normal3"/>
              <w:jc w:val="center"/>
              <w:rPr>
                <w:noProof/>
              </w:rPr>
            </w:pPr>
            <w:r>
              <w:rPr>
                <w:noProof/>
              </w:rPr>
              <w:t>Rok</w:t>
            </w:r>
          </w:p>
        </w:tc>
        <w:tc>
          <w:tcPr>
            <w:tcW w:w="2461" w:type="dxa"/>
            <w:vMerge/>
            <w:vAlign w:val="center"/>
            <w:hideMark/>
          </w:tcPr>
          <w:p w14:paraId="73E6F9DA" w14:textId="77777777" w:rsidR="004C6421" w:rsidRDefault="004C6421">
            <w:pPr>
              <w:rPr>
                <w:rFonts w:ascii="Arial Narrow" w:hAnsi="Arial Narrow"/>
                <w:b/>
                <w:noProof/>
                <w:sz w:val="20"/>
              </w:rPr>
            </w:pPr>
          </w:p>
        </w:tc>
      </w:tr>
      <w:tr w:rsidR="004C6421" w14:paraId="3AC2EC1B" w14:textId="77777777">
        <w:trPr>
          <w:trHeight w:val="313"/>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5AE55B" w14:textId="77777777" w:rsidR="004C6421" w:rsidRDefault="009D1962">
            <w:pPr>
              <w:pStyle w:val="P68B1DB1-Normal4"/>
              <w:spacing w:line="276" w:lineRule="auto"/>
              <w:jc w:val="center"/>
              <w:rPr>
                <w:noProof/>
              </w:rPr>
            </w:pPr>
            <w:r>
              <w:rPr>
                <w:noProof/>
              </w:rPr>
              <w:t>M2C3-5</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501D89A2" w14:textId="77777777" w:rsidR="004C6421" w:rsidRDefault="009D1962">
            <w:pPr>
              <w:pStyle w:val="P68B1DB1-Normal4"/>
              <w:spacing w:line="276" w:lineRule="auto"/>
              <w:jc w:val="center"/>
              <w:rPr>
                <w:noProof/>
              </w:rPr>
            </w:pPr>
            <w:r>
              <w:rPr>
                <w:noProof/>
              </w:rPr>
              <w:t xml:space="preserve">Inwestycje 1.1: Budowa nowych szkół poprzez wymianę budynków </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1835E0D3" w14:textId="42A12452" w:rsidR="004C6421" w:rsidRDefault="00CC179E">
            <w:pPr>
              <w:pStyle w:val="P68B1DB1-Normal4"/>
              <w:spacing w:line="276" w:lineRule="auto"/>
              <w:jc w:val="center"/>
              <w:rPr>
                <w:noProof/>
              </w:rPr>
            </w:pPr>
            <w:r>
              <w:rPr>
                <w:noProof/>
              </w:rPr>
              <w:t>Milowy</w:t>
            </w:r>
          </w:p>
        </w:tc>
        <w:tc>
          <w:tcPr>
            <w:tcW w:w="1985" w:type="dxa"/>
            <w:tcBorders>
              <w:top w:val="single" w:sz="4" w:space="0" w:color="auto"/>
              <w:left w:val="nil"/>
              <w:bottom w:val="single" w:sz="4" w:space="0" w:color="auto"/>
              <w:right w:val="single" w:sz="4" w:space="0" w:color="auto"/>
            </w:tcBorders>
            <w:shd w:val="clear" w:color="auto" w:fill="C6EFCE"/>
            <w:noWrap/>
            <w:vAlign w:val="center"/>
          </w:tcPr>
          <w:p w14:paraId="65FEB160" w14:textId="77777777" w:rsidR="004C6421" w:rsidRDefault="009D1962">
            <w:pPr>
              <w:pStyle w:val="P68B1DB1-Normal4"/>
              <w:spacing w:line="276" w:lineRule="auto"/>
              <w:jc w:val="center"/>
              <w:rPr>
                <w:noProof/>
              </w:rPr>
            </w:pPr>
            <w:r>
              <w:rPr>
                <w:noProof/>
              </w:rPr>
              <w:t xml:space="preserve">Udzielanie wszystkich zamówień publicznych na budowę nowych szkół w drodze wymiany budynków na modernizację energii w budynkach szkolnych w następstwie procedury przetargowej </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76E7AEF3" w14:textId="77777777" w:rsidR="004C6421" w:rsidRDefault="009D1962">
            <w:pPr>
              <w:pStyle w:val="P68B1DB1-Normal4"/>
              <w:spacing w:line="276" w:lineRule="auto"/>
              <w:jc w:val="center"/>
              <w:rPr>
                <w:noProof/>
              </w:rPr>
            </w:pPr>
            <w:r>
              <w:rPr>
                <w:noProof/>
              </w:rPr>
              <w:t>Powiadomienie o udzieleniu wszystkich zamówień publicznych w następstwie procedury przetargowej</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312FA2E1" w14:textId="77777777" w:rsidR="004C6421" w:rsidRDefault="009D1962">
            <w:pPr>
              <w:pStyle w:val="P68B1DB1-Normal4"/>
              <w:spacing w:line="276" w:lineRule="auto"/>
              <w:jc w:val="center"/>
              <w:rPr>
                <w:noProof/>
              </w:rPr>
            </w:pPr>
            <w:r>
              <w:rPr>
                <w:noProof/>
              </w:rPr>
              <w:t>NIE DOT.</w:t>
            </w:r>
          </w:p>
        </w:tc>
        <w:tc>
          <w:tcPr>
            <w:tcW w:w="918" w:type="dxa"/>
            <w:tcBorders>
              <w:top w:val="single" w:sz="4" w:space="0" w:color="auto"/>
              <w:left w:val="nil"/>
              <w:bottom w:val="single" w:sz="4" w:space="0" w:color="auto"/>
              <w:right w:val="single" w:sz="4" w:space="0" w:color="auto"/>
            </w:tcBorders>
            <w:shd w:val="clear" w:color="auto" w:fill="C6EFCE"/>
            <w:noWrap/>
            <w:vAlign w:val="center"/>
          </w:tcPr>
          <w:p w14:paraId="0B885C4C" w14:textId="77777777" w:rsidR="004C6421" w:rsidRDefault="009D1962">
            <w:pPr>
              <w:pStyle w:val="P68B1DB1-Normal4"/>
              <w:spacing w:line="276" w:lineRule="auto"/>
              <w:jc w:val="center"/>
              <w:rPr>
                <w:noProof/>
              </w:rPr>
            </w:pPr>
            <w:r>
              <w:rPr>
                <w:noProof/>
              </w:rPr>
              <w:t>NIE DOT.</w:t>
            </w:r>
          </w:p>
        </w:tc>
        <w:tc>
          <w:tcPr>
            <w:tcW w:w="1022" w:type="dxa"/>
            <w:tcBorders>
              <w:top w:val="single" w:sz="4" w:space="0" w:color="auto"/>
              <w:left w:val="nil"/>
              <w:bottom w:val="single" w:sz="4" w:space="0" w:color="auto"/>
              <w:right w:val="single" w:sz="4" w:space="0" w:color="auto"/>
            </w:tcBorders>
            <w:shd w:val="clear" w:color="auto" w:fill="C6EFCE"/>
            <w:noWrap/>
            <w:vAlign w:val="center"/>
          </w:tcPr>
          <w:p w14:paraId="094978D3" w14:textId="77777777" w:rsidR="004C6421" w:rsidRDefault="009D1962">
            <w:pPr>
              <w:pStyle w:val="P68B1DB1-Normal4"/>
              <w:spacing w:line="276" w:lineRule="auto"/>
              <w:jc w:val="center"/>
              <w:rPr>
                <w:noProof/>
              </w:rPr>
            </w:pPr>
            <w:r>
              <w:rPr>
                <w:noProof/>
              </w:rPr>
              <w:t>NIE DOT.</w:t>
            </w:r>
          </w:p>
        </w:tc>
        <w:tc>
          <w:tcPr>
            <w:tcW w:w="809" w:type="dxa"/>
            <w:tcBorders>
              <w:top w:val="single" w:sz="4" w:space="0" w:color="auto"/>
              <w:left w:val="nil"/>
              <w:bottom w:val="single" w:sz="4" w:space="0" w:color="auto"/>
              <w:right w:val="single" w:sz="4" w:space="0" w:color="auto"/>
            </w:tcBorders>
            <w:shd w:val="clear" w:color="auto" w:fill="C6EFCE"/>
            <w:noWrap/>
            <w:vAlign w:val="center"/>
          </w:tcPr>
          <w:p w14:paraId="62ACE661" w14:textId="77777777" w:rsidR="004C6421" w:rsidRDefault="009D1962">
            <w:pPr>
              <w:pStyle w:val="P68B1DB1-Normal4"/>
              <w:spacing w:line="276" w:lineRule="auto"/>
              <w:jc w:val="center"/>
              <w:rPr>
                <w:noProof/>
              </w:rPr>
            </w:pPr>
            <w:r>
              <w:rPr>
                <w:noProof/>
              </w:rPr>
              <w:t>III KW.</w:t>
            </w:r>
          </w:p>
        </w:tc>
        <w:tc>
          <w:tcPr>
            <w:tcW w:w="653" w:type="dxa"/>
            <w:tcBorders>
              <w:top w:val="single" w:sz="4" w:space="0" w:color="auto"/>
              <w:left w:val="nil"/>
              <w:bottom w:val="single" w:sz="4" w:space="0" w:color="auto"/>
              <w:right w:val="single" w:sz="4" w:space="0" w:color="auto"/>
            </w:tcBorders>
            <w:shd w:val="clear" w:color="auto" w:fill="C6EFCE"/>
            <w:noWrap/>
            <w:vAlign w:val="center"/>
          </w:tcPr>
          <w:p w14:paraId="1E0F0C21" w14:textId="77777777" w:rsidR="004C6421" w:rsidRDefault="009D1962">
            <w:pPr>
              <w:pStyle w:val="P68B1DB1-Normal4"/>
              <w:spacing w:line="276" w:lineRule="auto"/>
              <w:jc w:val="center"/>
              <w:rPr>
                <w:noProof/>
              </w:rPr>
            </w:pPr>
            <w:r>
              <w:rPr>
                <w:noProof/>
              </w:rPr>
              <w:t>2023</w:t>
            </w:r>
          </w:p>
        </w:tc>
        <w:tc>
          <w:tcPr>
            <w:tcW w:w="2461" w:type="dxa"/>
            <w:tcBorders>
              <w:top w:val="single" w:sz="4" w:space="0" w:color="auto"/>
              <w:left w:val="nil"/>
              <w:bottom w:val="single" w:sz="4" w:space="0" w:color="auto"/>
              <w:right w:val="single" w:sz="4" w:space="0" w:color="auto"/>
            </w:tcBorders>
            <w:shd w:val="clear" w:color="auto" w:fill="C6EFCE"/>
            <w:noWrap/>
            <w:vAlign w:val="center"/>
          </w:tcPr>
          <w:p w14:paraId="42510F40" w14:textId="50D362A3" w:rsidR="004C6421" w:rsidRDefault="009D1962">
            <w:pPr>
              <w:spacing w:after="120"/>
              <w:rPr>
                <w:rFonts w:ascii="Arial Narrow" w:hAnsi="Arial Narrow"/>
                <w:noProof/>
                <w:color w:val="006100"/>
                <w:sz w:val="20"/>
              </w:rPr>
            </w:pPr>
            <w:r>
              <w:rPr>
                <w:rFonts w:ascii="Arial Narrow" w:hAnsi="Arial Narrow"/>
                <w:noProof/>
                <w:color w:val="006100"/>
                <w:sz w:val="20"/>
              </w:rPr>
              <w:t>Powiadomienie o udzieleniu wszystkich zamówień publicznych na zastąpienie budynków nowych szkół kwalifikujących się do finansowania sformalizowane przez władze lokalne o łącznej powierzchni co najmniej 400000</w:t>
            </w:r>
            <w:r>
              <w:rPr>
                <w:noProof/>
                <w:sz w:val="23"/>
              </w:rPr>
              <w:t xml:space="preserve"> </w:t>
            </w:r>
            <w:r>
              <w:rPr>
                <w:rFonts w:ascii="Arial Narrow" w:hAnsi="Arial Narrow"/>
                <w:noProof/>
                <w:color w:val="006100"/>
                <w:sz w:val="20"/>
              </w:rPr>
              <w:t>metrów kwadratowych</w:t>
            </w:r>
          </w:p>
        </w:tc>
      </w:tr>
      <w:tr w:rsidR="004C6421" w14:paraId="642A98AA" w14:textId="77777777">
        <w:trPr>
          <w:trHeight w:val="313"/>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E8AA30" w14:textId="77777777" w:rsidR="004C6421" w:rsidRDefault="009D1962">
            <w:pPr>
              <w:pStyle w:val="P68B1DB1-Normal4"/>
              <w:spacing w:line="276" w:lineRule="auto"/>
              <w:jc w:val="center"/>
              <w:rPr>
                <w:noProof/>
              </w:rPr>
            </w:pPr>
            <w:r>
              <w:rPr>
                <w:noProof/>
              </w:rPr>
              <w:t>M2C3-6</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12D5E03D" w14:textId="77777777" w:rsidR="004C6421" w:rsidRDefault="009D1962">
            <w:pPr>
              <w:pStyle w:val="P68B1DB1-Normal4"/>
              <w:spacing w:line="276" w:lineRule="auto"/>
              <w:jc w:val="center"/>
              <w:rPr>
                <w:noProof/>
              </w:rPr>
            </w:pPr>
            <w:r>
              <w:rPr>
                <w:noProof/>
              </w:rPr>
              <w:t>Inwestycje 1.1: Budowa nowych szkół poprzez wymianę budynków</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32082DBF" w14:textId="77777777" w:rsidR="004C6421" w:rsidRDefault="009D1962">
            <w:pPr>
              <w:pStyle w:val="P68B1DB1-Normal4"/>
              <w:spacing w:line="276" w:lineRule="auto"/>
              <w:jc w:val="center"/>
              <w:rPr>
                <w:noProof/>
              </w:rPr>
            </w:pPr>
            <w:r>
              <w:rPr>
                <w:noProof/>
              </w:rPr>
              <w:t>Cel</w:t>
            </w:r>
          </w:p>
        </w:tc>
        <w:tc>
          <w:tcPr>
            <w:tcW w:w="1985" w:type="dxa"/>
            <w:tcBorders>
              <w:top w:val="single" w:sz="4" w:space="0" w:color="auto"/>
              <w:left w:val="nil"/>
              <w:bottom w:val="single" w:sz="4" w:space="0" w:color="auto"/>
              <w:right w:val="single" w:sz="4" w:space="0" w:color="auto"/>
            </w:tcBorders>
            <w:shd w:val="clear" w:color="auto" w:fill="C6EFCE"/>
            <w:noWrap/>
            <w:vAlign w:val="center"/>
          </w:tcPr>
          <w:p w14:paraId="7ECFCAF4" w14:textId="77777777" w:rsidR="004C6421" w:rsidRDefault="009D1962">
            <w:pPr>
              <w:pStyle w:val="P68B1DB1-Normal8"/>
              <w:spacing w:line="276" w:lineRule="auto"/>
              <w:jc w:val="center"/>
              <w:rPr>
                <w:rFonts w:ascii="Arial Narrow" w:hAnsi="Arial Narrow"/>
                <w:noProof/>
              </w:rPr>
            </w:pPr>
            <w:r>
              <w:rPr>
                <w:rFonts w:ascii="Arial Narrow" w:hAnsi="Arial Narrow"/>
                <w:noProof/>
              </w:rPr>
              <w:t>W drodze wymiany budynków budowane są co najmniej 400000 m² nowych szkół.</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04A9F94A" w14:textId="77777777" w:rsidR="004C6421" w:rsidRDefault="009D1962">
            <w:pPr>
              <w:pStyle w:val="P68B1DB1-Normal4"/>
              <w:spacing w:line="276" w:lineRule="auto"/>
              <w:jc w:val="center"/>
              <w:rPr>
                <w:noProof/>
              </w:rPr>
            </w:pPr>
            <w:r>
              <w:rPr>
                <w:noProof/>
              </w:rPr>
              <w:t>NIE DOT.</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07CD4F19" w14:textId="77777777" w:rsidR="004C6421" w:rsidRDefault="009D1962">
            <w:pPr>
              <w:pStyle w:val="P68B1DB1-Normal4"/>
              <w:spacing w:line="276" w:lineRule="auto"/>
              <w:jc w:val="center"/>
              <w:rPr>
                <w:noProof/>
              </w:rPr>
            </w:pPr>
            <w:r>
              <w:rPr>
                <w:noProof/>
              </w:rPr>
              <w:t>Numer</w:t>
            </w:r>
          </w:p>
        </w:tc>
        <w:tc>
          <w:tcPr>
            <w:tcW w:w="918" w:type="dxa"/>
            <w:tcBorders>
              <w:top w:val="single" w:sz="4" w:space="0" w:color="auto"/>
              <w:left w:val="nil"/>
              <w:bottom w:val="single" w:sz="4" w:space="0" w:color="auto"/>
              <w:right w:val="single" w:sz="4" w:space="0" w:color="auto"/>
            </w:tcBorders>
            <w:shd w:val="clear" w:color="auto" w:fill="C6EFCE"/>
            <w:noWrap/>
            <w:vAlign w:val="center"/>
          </w:tcPr>
          <w:p w14:paraId="6A6022EF" w14:textId="77777777" w:rsidR="004C6421" w:rsidRDefault="009D1962">
            <w:pPr>
              <w:pStyle w:val="P68B1DB1-Normal4"/>
              <w:spacing w:line="276" w:lineRule="auto"/>
              <w:jc w:val="center"/>
              <w:rPr>
                <w:noProof/>
              </w:rPr>
            </w:pPr>
            <w:r>
              <w:rPr>
                <w:noProof/>
              </w:rPr>
              <w:t>0</w:t>
            </w:r>
          </w:p>
        </w:tc>
        <w:tc>
          <w:tcPr>
            <w:tcW w:w="1022" w:type="dxa"/>
            <w:tcBorders>
              <w:top w:val="single" w:sz="4" w:space="0" w:color="auto"/>
              <w:left w:val="nil"/>
              <w:bottom w:val="single" w:sz="4" w:space="0" w:color="auto"/>
              <w:right w:val="single" w:sz="4" w:space="0" w:color="auto"/>
            </w:tcBorders>
            <w:shd w:val="clear" w:color="auto" w:fill="C6EFCE"/>
            <w:noWrap/>
            <w:vAlign w:val="center"/>
          </w:tcPr>
          <w:p w14:paraId="05291527" w14:textId="77777777" w:rsidR="004C6421" w:rsidRDefault="009D1962">
            <w:pPr>
              <w:pStyle w:val="P68B1DB1-Normal4"/>
              <w:spacing w:line="276" w:lineRule="auto"/>
              <w:jc w:val="center"/>
              <w:rPr>
                <w:noProof/>
              </w:rPr>
            </w:pPr>
            <w:r>
              <w:rPr>
                <w:noProof/>
              </w:rPr>
              <w:t>400 000</w:t>
            </w:r>
          </w:p>
        </w:tc>
        <w:tc>
          <w:tcPr>
            <w:tcW w:w="809" w:type="dxa"/>
            <w:tcBorders>
              <w:top w:val="single" w:sz="4" w:space="0" w:color="auto"/>
              <w:left w:val="nil"/>
              <w:bottom w:val="single" w:sz="4" w:space="0" w:color="auto"/>
              <w:right w:val="single" w:sz="4" w:space="0" w:color="auto"/>
            </w:tcBorders>
            <w:shd w:val="clear" w:color="auto" w:fill="C6EFCE"/>
            <w:noWrap/>
            <w:vAlign w:val="center"/>
          </w:tcPr>
          <w:p w14:paraId="141D22FB" w14:textId="3AFB3C46" w:rsidR="004C6421" w:rsidRDefault="00CC179E">
            <w:pPr>
              <w:pStyle w:val="P68B1DB1-Normal4"/>
              <w:spacing w:line="276" w:lineRule="auto"/>
              <w:jc w:val="center"/>
              <w:rPr>
                <w:noProof/>
              </w:rPr>
            </w:pPr>
            <w:r>
              <w:rPr>
                <w:noProof/>
              </w:rPr>
              <w:t>KW. 1</w:t>
            </w:r>
          </w:p>
        </w:tc>
        <w:tc>
          <w:tcPr>
            <w:tcW w:w="653" w:type="dxa"/>
            <w:tcBorders>
              <w:top w:val="single" w:sz="4" w:space="0" w:color="auto"/>
              <w:left w:val="nil"/>
              <w:bottom w:val="single" w:sz="4" w:space="0" w:color="auto"/>
              <w:right w:val="single" w:sz="4" w:space="0" w:color="auto"/>
            </w:tcBorders>
            <w:shd w:val="clear" w:color="auto" w:fill="C6EFCE"/>
            <w:noWrap/>
            <w:vAlign w:val="center"/>
          </w:tcPr>
          <w:p w14:paraId="3CD3B84C" w14:textId="77777777" w:rsidR="004C6421" w:rsidRDefault="009D1962">
            <w:pPr>
              <w:pStyle w:val="P68B1DB1-Normal4"/>
              <w:spacing w:line="276" w:lineRule="auto"/>
              <w:jc w:val="center"/>
              <w:rPr>
                <w:noProof/>
              </w:rPr>
            </w:pPr>
            <w:r>
              <w:rPr>
                <w:noProof/>
              </w:rPr>
              <w:t>2026</w:t>
            </w:r>
          </w:p>
        </w:tc>
        <w:tc>
          <w:tcPr>
            <w:tcW w:w="2461" w:type="dxa"/>
            <w:tcBorders>
              <w:top w:val="single" w:sz="4" w:space="0" w:color="auto"/>
              <w:left w:val="nil"/>
              <w:bottom w:val="single" w:sz="4" w:space="0" w:color="auto"/>
              <w:right w:val="single" w:sz="4" w:space="0" w:color="auto"/>
            </w:tcBorders>
            <w:shd w:val="clear" w:color="auto" w:fill="C6EFCE"/>
            <w:noWrap/>
            <w:vAlign w:val="center"/>
          </w:tcPr>
          <w:p w14:paraId="21520F88" w14:textId="77777777" w:rsidR="004C6421" w:rsidRDefault="009D1962">
            <w:pPr>
              <w:pStyle w:val="P68B1DB1-Normal4"/>
              <w:spacing w:after="120"/>
              <w:rPr>
                <w:noProof/>
              </w:rPr>
            </w:pPr>
            <w:r>
              <w:rPr>
                <w:noProof/>
              </w:rPr>
              <w:t>Zakończenie budowy co najmniej 400000 metrów kwadratowych nowych szkół w drodze wymiany budynków, w wyniku czego zużycie energii pierwotnej jest o co najmniej 20 % niższe niż zapotrzebowanie na budynki o niemal zerowym zużyciu energii</w:t>
            </w:r>
          </w:p>
        </w:tc>
      </w:tr>
      <w:tr w:rsidR="004C6421" w14:paraId="0BD30BF4" w14:textId="77777777">
        <w:trPr>
          <w:trHeight w:val="313"/>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2F9DCE" w14:textId="77777777" w:rsidR="004C6421" w:rsidRDefault="009D1962">
            <w:pPr>
              <w:pStyle w:val="P68B1DB1-Normal4"/>
              <w:spacing w:line="276" w:lineRule="auto"/>
              <w:jc w:val="center"/>
              <w:rPr>
                <w:noProof/>
              </w:rPr>
            </w:pPr>
            <w:r>
              <w:rPr>
                <w:noProof/>
              </w:rPr>
              <w:t>M2C3-7</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2AC5BED4" w14:textId="77777777" w:rsidR="004C6421" w:rsidRDefault="009D1962">
            <w:pPr>
              <w:pStyle w:val="P68B1DB1-Normal4"/>
              <w:spacing w:line="276" w:lineRule="auto"/>
              <w:jc w:val="center"/>
              <w:rPr>
                <w:noProof/>
              </w:rPr>
            </w:pPr>
            <w:r>
              <w:rPr>
                <w:noProof/>
              </w:rPr>
              <w:t>Inwestycje 1.2 – Budowa budynków, przekwalifikowanie i wzmocnienie nieruchomości administracji wymiaru sprawiedliwości</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7F36A06E" w14:textId="53442524" w:rsidR="004C6421" w:rsidRDefault="00CC179E">
            <w:pPr>
              <w:pStyle w:val="P68B1DB1-Normal4"/>
              <w:spacing w:line="276" w:lineRule="auto"/>
              <w:jc w:val="center"/>
              <w:rPr>
                <w:noProof/>
              </w:rPr>
            </w:pPr>
            <w:r>
              <w:rPr>
                <w:noProof/>
              </w:rPr>
              <w:t>Milowy</w:t>
            </w:r>
          </w:p>
        </w:tc>
        <w:tc>
          <w:tcPr>
            <w:tcW w:w="1985" w:type="dxa"/>
            <w:tcBorders>
              <w:top w:val="single" w:sz="4" w:space="0" w:color="auto"/>
              <w:left w:val="nil"/>
              <w:bottom w:val="single" w:sz="4" w:space="0" w:color="auto"/>
              <w:right w:val="single" w:sz="4" w:space="0" w:color="auto"/>
            </w:tcBorders>
            <w:shd w:val="clear" w:color="auto" w:fill="C6EFCE"/>
            <w:noWrap/>
            <w:vAlign w:val="center"/>
          </w:tcPr>
          <w:p w14:paraId="6DB59EDC" w14:textId="77777777" w:rsidR="004C6421" w:rsidRDefault="009D1962">
            <w:pPr>
              <w:pStyle w:val="P68B1DB1-Normal4"/>
              <w:spacing w:line="276" w:lineRule="auto"/>
              <w:jc w:val="center"/>
              <w:rPr>
                <w:noProof/>
              </w:rPr>
            </w:pPr>
            <w:r>
              <w:rPr>
                <w:noProof/>
              </w:rPr>
              <w:t>Udzielenie wszystkich zamówień publicznych na budowę nowych budynków, rekwalifikację i wzmocnienie nieruchomości organów wymiaru sprawiedliwości jest podpisywane przez instytucję zamawiającą po przeprowadzeniu postępowania o udzielenie zamówienia publicznego.</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6B9C4459" w14:textId="77777777" w:rsidR="004C6421" w:rsidRDefault="009D1962">
            <w:pPr>
              <w:pStyle w:val="P68B1DB1-Normal4"/>
              <w:spacing w:line="276" w:lineRule="auto"/>
              <w:jc w:val="center"/>
              <w:rPr>
                <w:noProof/>
              </w:rPr>
            </w:pPr>
            <w:r>
              <w:rPr>
                <w:noProof/>
              </w:rPr>
              <w:t>Powiadomienie o udzieleniu wszystkich zamówień publicznych w następstwie procedury przetargowej</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64F6EFDC" w14:textId="77777777" w:rsidR="004C6421" w:rsidRDefault="009D1962">
            <w:pPr>
              <w:pStyle w:val="P68B1DB1-Normal4"/>
              <w:spacing w:line="276" w:lineRule="auto"/>
              <w:jc w:val="center"/>
              <w:rPr>
                <w:noProof/>
              </w:rPr>
            </w:pPr>
            <w:r>
              <w:rPr>
                <w:noProof/>
              </w:rPr>
              <w:t>NIE DOT.</w:t>
            </w:r>
          </w:p>
        </w:tc>
        <w:tc>
          <w:tcPr>
            <w:tcW w:w="918" w:type="dxa"/>
            <w:tcBorders>
              <w:top w:val="single" w:sz="4" w:space="0" w:color="auto"/>
              <w:left w:val="nil"/>
              <w:bottom w:val="single" w:sz="4" w:space="0" w:color="auto"/>
              <w:right w:val="single" w:sz="4" w:space="0" w:color="auto"/>
            </w:tcBorders>
            <w:shd w:val="clear" w:color="auto" w:fill="C6EFCE"/>
            <w:noWrap/>
            <w:vAlign w:val="center"/>
          </w:tcPr>
          <w:p w14:paraId="705CA98E" w14:textId="77777777" w:rsidR="004C6421" w:rsidRDefault="009D1962">
            <w:pPr>
              <w:pStyle w:val="P68B1DB1-Normal4"/>
              <w:spacing w:line="276" w:lineRule="auto"/>
              <w:jc w:val="center"/>
              <w:rPr>
                <w:noProof/>
              </w:rPr>
            </w:pPr>
            <w:r>
              <w:rPr>
                <w:noProof/>
              </w:rPr>
              <w:t>NIE DOT.</w:t>
            </w:r>
          </w:p>
        </w:tc>
        <w:tc>
          <w:tcPr>
            <w:tcW w:w="1022" w:type="dxa"/>
            <w:tcBorders>
              <w:top w:val="single" w:sz="4" w:space="0" w:color="auto"/>
              <w:left w:val="nil"/>
              <w:bottom w:val="single" w:sz="4" w:space="0" w:color="auto"/>
              <w:right w:val="single" w:sz="4" w:space="0" w:color="auto"/>
            </w:tcBorders>
            <w:shd w:val="clear" w:color="auto" w:fill="C6EFCE"/>
            <w:noWrap/>
            <w:vAlign w:val="center"/>
          </w:tcPr>
          <w:p w14:paraId="2DE1963C" w14:textId="77777777" w:rsidR="004C6421" w:rsidRDefault="009D1962">
            <w:pPr>
              <w:pStyle w:val="P68B1DB1-Normal4"/>
              <w:spacing w:line="276" w:lineRule="auto"/>
              <w:jc w:val="center"/>
              <w:rPr>
                <w:noProof/>
              </w:rPr>
            </w:pPr>
            <w:r>
              <w:rPr>
                <w:noProof/>
              </w:rPr>
              <w:t>NIE DOT.</w:t>
            </w:r>
          </w:p>
        </w:tc>
        <w:tc>
          <w:tcPr>
            <w:tcW w:w="809" w:type="dxa"/>
            <w:tcBorders>
              <w:top w:val="single" w:sz="4" w:space="0" w:color="auto"/>
              <w:left w:val="nil"/>
              <w:bottom w:val="single" w:sz="4" w:space="0" w:color="auto"/>
              <w:right w:val="single" w:sz="4" w:space="0" w:color="auto"/>
            </w:tcBorders>
            <w:shd w:val="clear" w:color="auto" w:fill="C6EFCE"/>
            <w:noWrap/>
            <w:vAlign w:val="center"/>
          </w:tcPr>
          <w:p w14:paraId="424D5A22" w14:textId="7851BC81" w:rsidR="004C6421" w:rsidRDefault="00CC179E">
            <w:pPr>
              <w:pStyle w:val="P68B1DB1-Normal4"/>
              <w:spacing w:line="276" w:lineRule="auto"/>
              <w:jc w:val="center"/>
              <w:rPr>
                <w:noProof/>
              </w:rPr>
            </w:pPr>
            <w:r>
              <w:rPr>
                <w:noProof/>
              </w:rPr>
              <w:t>KW. 4</w:t>
            </w:r>
          </w:p>
        </w:tc>
        <w:tc>
          <w:tcPr>
            <w:tcW w:w="653" w:type="dxa"/>
            <w:tcBorders>
              <w:top w:val="single" w:sz="4" w:space="0" w:color="auto"/>
              <w:left w:val="nil"/>
              <w:bottom w:val="single" w:sz="4" w:space="0" w:color="auto"/>
              <w:right w:val="single" w:sz="4" w:space="0" w:color="auto"/>
            </w:tcBorders>
            <w:shd w:val="clear" w:color="auto" w:fill="C6EFCE"/>
            <w:noWrap/>
            <w:vAlign w:val="center"/>
          </w:tcPr>
          <w:p w14:paraId="2C879821" w14:textId="77777777" w:rsidR="004C6421" w:rsidRDefault="009D1962">
            <w:pPr>
              <w:pStyle w:val="P68B1DB1-Normal4"/>
              <w:spacing w:line="276" w:lineRule="auto"/>
              <w:jc w:val="center"/>
              <w:rPr>
                <w:noProof/>
              </w:rPr>
            </w:pPr>
            <w:r>
              <w:rPr>
                <w:noProof/>
              </w:rPr>
              <w:t>2023</w:t>
            </w:r>
          </w:p>
        </w:tc>
        <w:tc>
          <w:tcPr>
            <w:tcW w:w="2461" w:type="dxa"/>
            <w:tcBorders>
              <w:top w:val="single" w:sz="4" w:space="0" w:color="auto"/>
              <w:left w:val="nil"/>
              <w:bottom w:val="single" w:sz="4" w:space="0" w:color="auto"/>
              <w:right w:val="single" w:sz="4" w:space="0" w:color="auto"/>
            </w:tcBorders>
            <w:shd w:val="clear" w:color="auto" w:fill="C6EFCE"/>
            <w:noWrap/>
            <w:vAlign w:val="center"/>
          </w:tcPr>
          <w:p w14:paraId="68E3F24B" w14:textId="77777777" w:rsidR="004C6421" w:rsidRDefault="009D1962">
            <w:pPr>
              <w:pStyle w:val="P68B1DB1-Normal4"/>
              <w:spacing w:after="120"/>
              <w:rPr>
                <w:noProof/>
              </w:rPr>
            </w:pPr>
            <w:r>
              <w:rPr>
                <w:noProof/>
              </w:rPr>
              <w:t>Powiadomienie o udzieleniu wszystkich zamówień publicznych na budowę budynków, przekwalifikowywanie i wzmocnienie nieruchomości organów wymiaru sprawiedliwości.</w:t>
            </w:r>
          </w:p>
        </w:tc>
      </w:tr>
      <w:tr w:rsidR="004C6421" w14:paraId="44C434FE" w14:textId="77777777">
        <w:trPr>
          <w:trHeight w:val="313"/>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A7E47EA" w14:textId="77777777" w:rsidR="004C6421" w:rsidRDefault="009D1962">
            <w:pPr>
              <w:pStyle w:val="P68B1DB1-Normal4"/>
              <w:spacing w:line="276" w:lineRule="auto"/>
              <w:jc w:val="center"/>
              <w:rPr>
                <w:noProof/>
              </w:rPr>
            </w:pPr>
            <w:r>
              <w:rPr>
                <w:noProof/>
              </w:rPr>
              <w:t>M2C3-8</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19999F4C" w14:textId="77777777" w:rsidR="004C6421" w:rsidRDefault="009D1962">
            <w:pPr>
              <w:pStyle w:val="P68B1DB1-Normal4"/>
              <w:spacing w:line="276" w:lineRule="auto"/>
              <w:jc w:val="center"/>
              <w:rPr>
                <w:noProof/>
              </w:rPr>
            </w:pPr>
            <w:r>
              <w:rPr>
                <w:noProof/>
              </w:rPr>
              <w:t>Inwestycje 1.2 – Budowa budynków, przekwalifikowanie i wzmocnienie nieruchomości administracji wymiaru sprawiedliwości</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3580DE6F" w14:textId="77777777" w:rsidR="004C6421" w:rsidRDefault="009D1962">
            <w:pPr>
              <w:pStyle w:val="P68B1DB1-Normal4"/>
              <w:spacing w:line="276" w:lineRule="auto"/>
              <w:jc w:val="center"/>
              <w:rPr>
                <w:noProof/>
              </w:rPr>
            </w:pPr>
            <w:r>
              <w:rPr>
                <w:noProof/>
              </w:rPr>
              <w:t>Cel</w:t>
            </w:r>
          </w:p>
        </w:tc>
        <w:tc>
          <w:tcPr>
            <w:tcW w:w="1985" w:type="dxa"/>
            <w:tcBorders>
              <w:top w:val="single" w:sz="4" w:space="0" w:color="auto"/>
              <w:left w:val="nil"/>
              <w:bottom w:val="single" w:sz="4" w:space="0" w:color="auto"/>
              <w:right w:val="single" w:sz="4" w:space="0" w:color="auto"/>
            </w:tcBorders>
            <w:shd w:val="clear" w:color="auto" w:fill="C6EFCE"/>
            <w:noWrap/>
            <w:vAlign w:val="center"/>
          </w:tcPr>
          <w:p w14:paraId="2BE2082A" w14:textId="77777777" w:rsidR="004C6421" w:rsidRDefault="009D1962">
            <w:pPr>
              <w:pStyle w:val="P68B1DB1-Normal4"/>
              <w:spacing w:line="276" w:lineRule="auto"/>
              <w:jc w:val="center"/>
              <w:rPr>
                <w:noProof/>
              </w:rPr>
            </w:pPr>
            <w:r>
              <w:rPr>
                <w:noProof/>
              </w:rPr>
              <w:t>Budowa budynków, przekwalifikowanie i wzmocnienie majątku nieruchomego organów wymiaru sprawiedliwości</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196003CF" w14:textId="77777777" w:rsidR="004C6421" w:rsidRDefault="009D1962">
            <w:pPr>
              <w:pStyle w:val="P68B1DB1-Normal4"/>
              <w:spacing w:line="276" w:lineRule="auto"/>
              <w:jc w:val="center"/>
              <w:rPr>
                <w:noProof/>
              </w:rPr>
            </w:pPr>
            <w:r>
              <w:rPr>
                <w:noProof/>
              </w:rPr>
              <w:t>NIE DOT.</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137ED9CB" w14:textId="77777777" w:rsidR="004C6421" w:rsidRDefault="009D1962">
            <w:pPr>
              <w:pStyle w:val="P68B1DB1-Normal4"/>
              <w:spacing w:line="276" w:lineRule="auto"/>
              <w:jc w:val="center"/>
              <w:rPr>
                <w:noProof/>
              </w:rPr>
            </w:pPr>
            <w:r>
              <w:rPr>
                <w:noProof/>
              </w:rPr>
              <w:t>Numer</w:t>
            </w:r>
          </w:p>
        </w:tc>
        <w:tc>
          <w:tcPr>
            <w:tcW w:w="918" w:type="dxa"/>
            <w:tcBorders>
              <w:top w:val="single" w:sz="4" w:space="0" w:color="auto"/>
              <w:left w:val="nil"/>
              <w:bottom w:val="single" w:sz="4" w:space="0" w:color="auto"/>
              <w:right w:val="single" w:sz="4" w:space="0" w:color="auto"/>
            </w:tcBorders>
            <w:shd w:val="clear" w:color="auto" w:fill="C6EFCE"/>
            <w:noWrap/>
            <w:vAlign w:val="center"/>
          </w:tcPr>
          <w:p w14:paraId="04760011" w14:textId="77777777" w:rsidR="004C6421" w:rsidRDefault="009D1962">
            <w:pPr>
              <w:pStyle w:val="P68B1DB1-Normal4"/>
              <w:spacing w:line="276" w:lineRule="auto"/>
              <w:jc w:val="center"/>
              <w:rPr>
                <w:noProof/>
              </w:rPr>
            </w:pPr>
            <w:r>
              <w:rPr>
                <w:noProof/>
              </w:rPr>
              <w:t>0</w:t>
            </w:r>
          </w:p>
        </w:tc>
        <w:tc>
          <w:tcPr>
            <w:tcW w:w="1022" w:type="dxa"/>
            <w:tcBorders>
              <w:top w:val="single" w:sz="4" w:space="0" w:color="auto"/>
              <w:left w:val="nil"/>
              <w:bottom w:val="single" w:sz="4" w:space="0" w:color="auto"/>
              <w:right w:val="single" w:sz="4" w:space="0" w:color="auto"/>
            </w:tcBorders>
            <w:shd w:val="clear" w:color="auto" w:fill="C6EFCE"/>
            <w:noWrap/>
            <w:vAlign w:val="center"/>
          </w:tcPr>
          <w:p w14:paraId="3DED2BF2" w14:textId="77777777" w:rsidR="004C6421" w:rsidRDefault="009D1962">
            <w:pPr>
              <w:pStyle w:val="P68B1DB1-Normal4"/>
              <w:spacing w:line="276" w:lineRule="auto"/>
              <w:jc w:val="center"/>
              <w:rPr>
                <w:noProof/>
              </w:rPr>
            </w:pPr>
            <w:r>
              <w:rPr>
                <w:noProof/>
              </w:rPr>
              <w:t>289 000</w:t>
            </w:r>
          </w:p>
        </w:tc>
        <w:tc>
          <w:tcPr>
            <w:tcW w:w="809" w:type="dxa"/>
            <w:tcBorders>
              <w:top w:val="single" w:sz="4" w:space="0" w:color="auto"/>
              <w:left w:val="nil"/>
              <w:bottom w:val="single" w:sz="4" w:space="0" w:color="auto"/>
              <w:right w:val="single" w:sz="4" w:space="0" w:color="auto"/>
            </w:tcBorders>
            <w:shd w:val="clear" w:color="auto" w:fill="C6EFCE"/>
            <w:noWrap/>
            <w:vAlign w:val="center"/>
          </w:tcPr>
          <w:p w14:paraId="4EBBBD5A" w14:textId="72B98650" w:rsidR="004C6421" w:rsidRDefault="00CC179E">
            <w:pPr>
              <w:pStyle w:val="P68B1DB1-Normal4"/>
              <w:spacing w:line="276" w:lineRule="auto"/>
              <w:jc w:val="center"/>
              <w:rPr>
                <w:noProof/>
              </w:rPr>
            </w:pPr>
            <w:r>
              <w:rPr>
                <w:noProof/>
              </w:rPr>
              <w:t>KW. 1</w:t>
            </w:r>
          </w:p>
        </w:tc>
        <w:tc>
          <w:tcPr>
            <w:tcW w:w="653" w:type="dxa"/>
            <w:tcBorders>
              <w:top w:val="single" w:sz="4" w:space="0" w:color="auto"/>
              <w:left w:val="nil"/>
              <w:bottom w:val="single" w:sz="4" w:space="0" w:color="auto"/>
              <w:right w:val="single" w:sz="4" w:space="0" w:color="auto"/>
            </w:tcBorders>
            <w:shd w:val="clear" w:color="auto" w:fill="C6EFCE"/>
            <w:noWrap/>
            <w:vAlign w:val="center"/>
          </w:tcPr>
          <w:p w14:paraId="135C08C1" w14:textId="77777777" w:rsidR="004C6421" w:rsidRDefault="009D1962">
            <w:pPr>
              <w:pStyle w:val="P68B1DB1-Normal4"/>
              <w:spacing w:line="276" w:lineRule="auto"/>
              <w:jc w:val="center"/>
              <w:rPr>
                <w:noProof/>
              </w:rPr>
            </w:pPr>
            <w:r>
              <w:rPr>
                <w:noProof/>
              </w:rPr>
              <w:t>2026</w:t>
            </w:r>
          </w:p>
        </w:tc>
        <w:tc>
          <w:tcPr>
            <w:tcW w:w="2461" w:type="dxa"/>
            <w:tcBorders>
              <w:top w:val="single" w:sz="4" w:space="0" w:color="auto"/>
              <w:left w:val="nil"/>
              <w:bottom w:val="single" w:sz="4" w:space="0" w:color="auto"/>
              <w:right w:val="single" w:sz="4" w:space="0" w:color="auto"/>
            </w:tcBorders>
            <w:shd w:val="clear" w:color="auto" w:fill="C6EFCE"/>
            <w:noWrap/>
            <w:vAlign w:val="center"/>
          </w:tcPr>
          <w:p w14:paraId="4CC88C89" w14:textId="77777777" w:rsidR="004C6421" w:rsidRDefault="009D1962">
            <w:pPr>
              <w:pStyle w:val="P68B1DB1-Normal8"/>
              <w:spacing w:after="120"/>
              <w:rPr>
                <w:rFonts w:ascii="Arial Narrow" w:hAnsi="Arial Narrow"/>
                <w:noProof/>
              </w:rPr>
            </w:pPr>
            <w:r>
              <w:rPr>
                <w:rFonts w:ascii="Arial Narrow" w:hAnsi="Arial Narrow"/>
                <w:noProof/>
              </w:rPr>
              <w:t>Budowa budynków, przebudowa i wzmocnienie nieruchomości wymiaru sprawiedliwości o powierzchni co najmniej 289000</w:t>
            </w:r>
            <w:r>
              <w:rPr>
                <w:noProof/>
              </w:rPr>
              <w:t xml:space="preserve"> </w:t>
            </w:r>
            <w:r>
              <w:rPr>
                <w:rFonts w:ascii="Arial Narrow" w:hAnsi="Arial Narrow"/>
                <w:noProof/>
              </w:rPr>
              <w:t>metrów kwadratowych</w:t>
            </w:r>
          </w:p>
        </w:tc>
      </w:tr>
      <w:tr w:rsidR="004C6421" w14:paraId="22173B3A" w14:textId="77777777">
        <w:trPr>
          <w:trHeight w:val="313"/>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631CA38" w14:textId="77777777" w:rsidR="004C6421" w:rsidRDefault="009D1962">
            <w:pPr>
              <w:pStyle w:val="P68B1DB1-Normal4"/>
              <w:spacing w:line="276" w:lineRule="auto"/>
              <w:jc w:val="center"/>
              <w:rPr>
                <w:noProof/>
              </w:rPr>
            </w:pPr>
            <w:r>
              <w:rPr>
                <w:noProof/>
              </w:rPr>
              <w:t>M2C3-9</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2F2786EF" w14:textId="77777777" w:rsidR="004C6421" w:rsidRDefault="009D1962">
            <w:pPr>
              <w:pStyle w:val="P68B1DB1-Normal4"/>
              <w:spacing w:line="276" w:lineRule="auto"/>
              <w:jc w:val="center"/>
              <w:rPr>
                <w:noProof/>
              </w:rPr>
            </w:pPr>
            <w:r>
              <w:rPr>
                <w:noProof/>
              </w:rPr>
              <w:t>Inwestycja 3.1: Promowanie efektywnego systemu ciepłowniczego</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1A704855" w14:textId="5262A92B" w:rsidR="004C6421" w:rsidRDefault="00CC179E">
            <w:pPr>
              <w:pStyle w:val="P68B1DB1-Normal4"/>
              <w:spacing w:line="276" w:lineRule="auto"/>
              <w:jc w:val="center"/>
              <w:rPr>
                <w:noProof/>
              </w:rPr>
            </w:pPr>
            <w:r>
              <w:rPr>
                <w:noProof/>
              </w:rPr>
              <w:t>Milowy</w:t>
            </w:r>
          </w:p>
        </w:tc>
        <w:tc>
          <w:tcPr>
            <w:tcW w:w="1985" w:type="dxa"/>
            <w:tcBorders>
              <w:top w:val="single" w:sz="4" w:space="0" w:color="auto"/>
              <w:left w:val="nil"/>
              <w:bottom w:val="single" w:sz="4" w:space="0" w:color="auto"/>
              <w:right w:val="single" w:sz="4" w:space="0" w:color="auto"/>
            </w:tcBorders>
            <w:shd w:val="clear" w:color="auto" w:fill="C6EFCE"/>
            <w:noWrap/>
            <w:vAlign w:val="center"/>
          </w:tcPr>
          <w:p w14:paraId="60939F9F" w14:textId="77777777" w:rsidR="004C6421" w:rsidRDefault="009D1962">
            <w:pPr>
              <w:pStyle w:val="P68B1DB1-Normal4"/>
              <w:spacing w:line="276" w:lineRule="auto"/>
              <w:jc w:val="center"/>
              <w:rPr>
                <w:noProof/>
              </w:rPr>
            </w:pPr>
            <w:r>
              <w:rPr>
                <w:noProof/>
              </w:rPr>
              <w:t>Zamówienia na poprawę sieci ciepłowniczych udzielane są przez Ministerstwo Transformacji Ekologicznej w drodze procedury przetargowej.</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1A5F8030" w14:textId="77777777" w:rsidR="004C6421" w:rsidRDefault="009D1962">
            <w:pPr>
              <w:pStyle w:val="P68B1DB1-Normal4"/>
              <w:spacing w:line="276" w:lineRule="auto"/>
              <w:jc w:val="center"/>
              <w:rPr>
                <w:noProof/>
              </w:rPr>
            </w:pPr>
            <w:r>
              <w:rPr>
                <w:noProof/>
              </w:rPr>
              <w:t>Powiadomienie o udzieleniu wszystkich zamówień publicznych w następstwie procedury przetargowej</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5CC57AB7" w14:textId="77777777" w:rsidR="004C6421" w:rsidRDefault="009D1962">
            <w:pPr>
              <w:pStyle w:val="P68B1DB1-Normal4"/>
              <w:spacing w:line="276" w:lineRule="auto"/>
              <w:jc w:val="center"/>
              <w:rPr>
                <w:noProof/>
              </w:rPr>
            </w:pPr>
            <w:r>
              <w:rPr>
                <w:noProof/>
              </w:rPr>
              <w:t>NIE DOT.</w:t>
            </w:r>
          </w:p>
        </w:tc>
        <w:tc>
          <w:tcPr>
            <w:tcW w:w="918" w:type="dxa"/>
            <w:tcBorders>
              <w:top w:val="single" w:sz="4" w:space="0" w:color="auto"/>
              <w:left w:val="nil"/>
              <w:bottom w:val="single" w:sz="4" w:space="0" w:color="auto"/>
              <w:right w:val="single" w:sz="4" w:space="0" w:color="auto"/>
            </w:tcBorders>
            <w:shd w:val="clear" w:color="auto" w:fill="C6EFCE"/>
            <w:noWrap/>
            <w:vAlign w:val="center"/>
          </w:tcPr>
          <w:p w14:paraId="1F01B10C" w14:textId="77777777" w:rsidR="004C6421" w:rsidRDefault="009D1962">
            <w:pPr>
              <w:pStyle w:val="P68B1DB1-Normal4"/>
              <w:spacing w:line="276" w:lineRule="auto"/>
              <w:jc w:val="center"/>
              <w:rPr>
                <w:noProof/>
              </w:rPr>
            </w:pPr>
            <w:r>
              <w:rPr>
                <w:noProof/>
              </w:rPr>
              <w:t>NIE DOT.</w:t>
            </w:r>
          </w:p>
        </w:tc>
        <w:tc>
          <w:tcPr>
            <w:tcW w:w="1022" w:type="dxa"/>
            <w:tcBorders>
              <w:top w:val="single" w:sz="4" w:space="0" w:color="auto"/>
              <w:left w:val="nil"/>
              <w:bottom w:val="single" w:sz="4" w:space="0" w:color="auto"/>
              <w:right w:val="single" w:sz="4" w:space="0" w:color="auto"/>
            </w:tcBorders>
            <w:shd w:val="clear" w:color="auto" w:fill="C6EFCE"/>
            <w:noWrap/>
            <w:vAlign w:val="center"/>
          </w:tcPr>
          <w:p w14:paraId="1EF1E8C9" w14:textId="77777777" w:rsidR="004C6421" w:rsidRDefault="009D1962">
            <w:pPr>
              <w:pStyle w:val="P68B1DB1-Normal4"/>
              <w:spacing w:line="276" w:lineRule="auto"/>
              <w:jc w:val="center"/>
              <w:rPr>
                <w:noProof/>
              </w:rPr>
            </w:pPr>
            <w:r>
              <w:rPr>
                <w:noProof/>
              </w:rPr>
              <w:t>NIE DOT.</w:t>
            </w:r>
          </w:p>
        </w:tc>
        <w:tc>
          <w:tcPr>
            <w:tcW w:w="809" w:type="dxa"/>
            <w:tcBorders>
              <w:top w:val="single" w:sz="4" w:space="0" w:color="auto"/>
              <w:left w:val="nil"/>
              <w:bottom w:val="single" w:sz="4" w:space="0" w:color="auto"/>
              <w:right w:val="single" w:sz="4" w:space="0" w:color="auto"/>
            </w:tcBorders>
            <w:shd w:val="clear" w:color="auto" w:fill="C6EFCE"/>
            <w:noWrap/>
            <w:vAlign w:val="center"/>
          </w:tcPr>
          <w:p w14:paraId="417C2F2D" w14:textId="2E00A513" w:rsidR="004C6421" w:rsidRDefault="00CC179E">
            <w:pPr>
              <w:pStyle w:val="P68B1DB1-Normal4"/>
              <w:spacing w:line="276" w:lineRule="auto"/>
              <w:jc w:val="center"/>
              <w:rPr>
                <w:noProof/>
              </w:rPr>
            </w:pPr>
            <w:r>
              <w:rPr>
                <w:noProof/>
              </w:rPr>
              <w:t>KW. 4</w:t>
            </w:r>
          </w:p>
        </w:tc>
        <w:tc>
          <w:tcPr>
            <w:tcW w:w="653" w:type="dxa"/>
            <w:tcBorders>
              <w:top w:val="single" w:sz="4" w:space="0" w:color="auto"/>
              <w:left w:val="nil"/>
              <w:bottom w:val="single" w:sz="4" w:space="0" w:color="auto"/>
              <w:right w:val="single" w:sz="4" w:space="0" w:color="auto"/>
            </w:tcBorders>
            <w:shd w:val="clear" w:color="auto" w:fill="C6EFCE"/>
            <w:noWrap/>
            <w:vAlign w:val="center"/>
          </w:tcPr>
          <w:p w14:paraId="542AA81D" w14:textId="77777777" w:rsidR="004C6421" w:rsidRDefault="009D1962">
            <w:pPr>
              <w:pStyle w:val="P68B1DB1-Normal4"/>
              <w:spacing w:line="276" w:lineRule="auto"/>
              <w:jc w:val="center"/>
              <w:rPr>
                <w:noProof/>
              </w:rPr>
            </w:pPr>
            <w:r>
              <w:rPr>
                <w:noProof/>
              </w:rPr>
              <w:t>2022</w:t>
            </w:r>
          </w:p>
        </w:tc>
        <w:tc>
          <w:tcPr>
            <w:tcW w:w="2461" w:type="dxa"/>
            <w:tcBorders>
              <w:top w:val="single" w:sz="4" w:space="0" w:color="auto"/>
              <w:left w:val="nil"/>
              <w:bottom w:val="single" w:sz="4" w:space="0" w:color="auto"/>
              <w:right w:val="single" w:sz="4" w:space="0" w:color="auto"/>
            </w:tcBorders>
            <w:shd w:val="clear" w:color="auto" w:fill="C6EFCE"/>
            <w:noWrap/>
            <w:vAlign w:val="center"/>
          </w:tcPr>
          <w:p w14:paraId="0380476A" w14:textId="77777777" w:rsidR="004C6421" w:rsidRDefault="009D1962">
            <w:pPr>
              <w:pStyle w:val="P68B1DB1-Normal4"/>
              <w:spacing w:after="120"/>
              <w:rPr>
                <w:noProof/>
              </w:rPr>
            </w:pPr>
            <w:r>
              <w:rPr>
                <w:noProof/>
              </w:rPr>
              <w:t>Udzielanie wszystkich zamówień publicznych na budowę nowych sieci ciepłowniczych lub rozbudowę istniejących sieci ciepłowniczych, co powinno obejmować wymóg zmniejszenia zużycia energii.</w:t>
            </w:r>
          </w:p>
          <w:p w14:paraId="6B40700B" w14:textId="77777777" w:rsidR="004C6421" w:rsidRDefault="009D1962">
            <w:pPr>
              <w:pStyle w:val="P68B1DB1-Normal4"/>
              <w:spacing w:after="120"/>
              <w:rPr>
                <w:noProof/>
              </w:rPr>
            </w:pPr>
            <w:r>
              <w:rPr>
                <w:noProof/>
              </w:rPr>
              <w:t>Udzielanie zamówień na projekty wybrane w ramach konkurencyjnych zaproszeń do składania wniosków zgodnie z wytycznymi technicznymi dotyczącymi zasady „nie czyń poważnych szkód” (2021/C58/01) poprzez wykorzystanie listy wykluczenia i wymóg zgodności z odpowiednimi unijnymi i krajowymi przepisami w zakresie ochrony środowiska.</w:t>
            </w:r>
          </w:p>
        </w:tc>
      </w:tr>
      <w:tr w:rsidR="004C6421" w14:paraId="11F7415B" w14:textId="77777777">
        <w:trPr>
          <w:trHeight w:val="313"/>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47E2D4" w14:textId="77777777" w:rsidR="004C6421" w:rsidRDefault="009D1962">
            <w:pPr>
              <w:pStyle w:val="P68B1DB1-Normal4"/>
              <w:spacing w:line="276" w:lineRule="auto"/>
              <w:jc w:val="center"/>
              <w:rPr>
                <w:noProof/>
              </w:rPr>
            </w:pPr>
            <w:r>
              <w:rPr>
                <w:noProof/>
              </w:rPr>
              <w:t>M2C3-10</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10D5D927" w14:textId="77777777" w:rsidR="004C6421" w:rsidRDefault="009D1962">
            <w:pPr>
              <w:pStyle w:val="P68B1DB1-Normal4"/>
              <w:spacing w:line="276" w:lineRule="auto"/>
              <w:jc w:val="center"/>
              <w:rPr>
                <w:noProof/>
              </w:rPr>
            </w:pPr>
            <w:r>
              <w:rPr>
                <w:noProof/>
              </w:rPr>
              <w:t>Inwestycja 3.1: Promowanie efektywnego systemu ciepłowniczego</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76F863A3" w14:textId="77777777" w:rsidR="004C6421" w:rsidRDefault="009D1962">
            <w:pPr>
              <w:pStyle w:val="P68B1DB1-Normal4"/>
              <w:spacing w:line="276" w:lineRule="auto"/>
              <w:jc w:val="center"/>
              <w:rPr>
                <w:noProof/>
              </w:rPr>
            </w:pPr>
            <w:r>
              <w:rPr>
                <w:noProof/>
              </w:rPr>
              <w:t>Cel</w:t>
            </w:r>
          </w:p>
        </w:tc>
        <w:tc>
          <w:tcPr>
            <w:tcW w:w="1985" w:type="dxa"/>
            <w:tcBorders>
              <w:top w:val="single" w:sz="4" w:space="0" w:color="auto"/>
              <w:left w:val="nil"/>
              <w:bottom w:val="single" w:sz="4" w:space="0" w:color="auto"/>
              <w:right w:val="single" w:sz="4" w:space="0" w:color="auto"/>
            </w:tcBorders>
            <w:shd w:val="clear" w:color="auto" w:fill="C6EFCE"/>
            <w:noWrap/>
            <w:vAlign w:val="center"/>
          </w:tcPr>
          <w:p w14:paraId="32136671" w14:textId="4E0585E2" w:rsidR="004C6421" w:rsidRDefault="009D1962">
            <w:pPr>
              <w:pStyle w:val="P68B1DB1-Normal4"/>
              <w:spacing w:line="276" w:lineRule="auto"/>
              <w:jc w:val="center"/>
              <w:rPr>
                <w:noProof/>
              </w:rPr>
            </w:pPr>
            <w:r>
              <w:rPr>
                <w:noProof/>
              </w:rPr>
              <w:t>Budowa lub rozbudowa sieci ciepłowniczych w celu zmniejszenia zużycia energii</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2D4DCB34" w14:textId="77777777" w:rsidR="004C6421" w:rsidRDefault="009D1962">
            <w:pPr>
              <w:pStyle w:val="P68B1DB1-Normal4"/>
              <w:spacing w:line="276" w:lineRule="auto"/>
              <w:jc w:val="center"/>
              <w:rPr>
                <w:noProof/>
              </w:rPr>
            </w:pPr>
            <w:r>
              <w:rPr>
                <w:noProof/>
              </w:rPr>
              <w:t>NIE DOT.</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1C794EAD" w14:textId="0CA98CD7" w:rsidR="004C6421" w:rsidRDefault="009D1962">
            <w:pPr>
              <w:pStyle w:val="P68B1DB1-Normal4"/>
              <w:spacing w:line="276" w:lineRule="auto"/>
              <w:jc w:val="center"/>
              <w:rPr>
                <w:noProof/>
              </w:rPr>
            </w:pPr>
            <w:r>
              <w:rPr>
                <w:noProof/>
              </w:rPr>
              <w:t>KTOE</w:t>
            </w:r>
          </w:p>
        </w:tc>
        <w:tc>
          <w:tcPr>
            <w:tcW w:w="918" w:type="dxa"/>
            <w:tcBorders>
              <w:top w:val="single" w:sz="4" w:space="0" w:color="auto"/>
              <w:left w:val="nil"/>
              <w:bottom w:val="single" w:sz="4" w:space="0" w:color="auto"/>
              <w:right w:val="single" w:sz="4" w:space="0" w:color="auto"/>
            </w:tcBorders>
            <w:shd w:val="clear" w:color="auto" w:fill="C6EFCE"/>
            <w:noWrap/>
            <w:vAlign w:val="center"/>
          </w:tcPr>
          <w:p w14:paraId="74CC12F1" w14:textId="77777777" w:rsidR="004C6421" w:rsidRDefault="009D1962">
            <w:pPr>
              <w:pStyle w:val="P68B1DB1-Normal4"/>
              <w:spacing w:line="276" w:lineRule="auto"/>
              <w:jc w:val="center"/>
              <w:rPr>
                <w:noProof/>
              </w:rPr>
            </w:pPr>
            <w:r>
              <w:rPr>
                <w:noProof/>
              </w:rPr>
              <w:t>0</w:t>
            </w:r>
          </w:p>
        </w:tc>
        <w:tc>
          <w:tcPr>
            <w:tcW w:w="1022" w:type="dxa"/>
            <w:tcBorders>
              <w:top w:val="single" w:sz="4" w:space="0" w:color="auto"/>
              <w:left w:val="nil"/>
              <w:bottom w:val="single" w:sz="4" w:space="0" w:color="auto"/>
              <w:right w:val="single" w:sz="4" w:space="0" w:color="auto"/>
            </w:tcBorders>
            <w:shd w:val="clear" w:color="auto" w:fill="C6EFCE"/>
            <w:noWrap/>
            <w:vAlign w:val="center"/>
          </w:tcPr>
          <w:p w14:paraId="53FFAE6C" w14:textId="77777777" w:rsidR="004C6421" w:rsidRDefault="009D1962">
            <w:pPr>
              <w:pStyle w:val="P68B1DB1-Normal4"/>
              <w:spacing w:line="276" w:lineRule="auto"/>
              <w:jc w:val="center"/>
              <w:rPr>
                <w:noProof/>
              </w:rPr>
            </w:pPr>
            <w:r>
              <w:rPr>
                <w:noProof/>
              </w:rPr>
              <w:t xml:space="preserve">20 </w:t>
            </w:r>
          </w:p>
        </w:tc>
        <w:tc>
          <w:tcPr>
            <w:tcW w:w="809" w:type="dxa"/>
            <w:tcBorders>
              <w:top w:val="single" w:sz="4" w:space="0" w:color="auto"/>
              <w:left w:val="nil"/>
              <w:bottom w:val="single" w:sz="4" w:space="0" w:color="auto"/>
              <w:right w:val="single" w:sz="4" w:space="0" w:color="auto"/>
            </w:tcBorders>
            <w:shd w:val="clear" w:color="auto" w:fill="C6EFCE"/>
            <w:noWrap/>
            <w:vAlign w:val="center"/>
          </w:tcPr>
          <w:p w14:paraId="12D33D47" w14:textId="69C98432" w:rsidR="004C6421" w:rsidRDefault="00CC179E">
            <w:pPr>
              <w:pStyle w:val="P68B1DB1-Normal4"/>
              <w:spacing w:line="276" w:lineRule="auto"/>
              <w:jc w:val="center"/>
              <w:rPr>
                <w:noProof/>
              </w:rPr>
            </w:pPr>
            <w:r>
              <w:rPr>
                <w:noProof/>
              </w:rPr>
              <w:t>KW. 1</w:t>
            </w:r>
          </w:p>
        </w:tc>
        <w:tc>
          <w:tcPr>
            <w:tcW w:w="653" w:type="dxa"/>
            <w:tcBorders>
              <w:top w:val="single" w:sz="4" w:space="0" w:color="auto"/>
              <w:left w:val="nil"/>
              <w:bottom w:val="single" w:sz="4" w:space="0" w:color="auto"/>
              <w:right w:val="single" w:sz="4" w:space="0" w:color="auto"/>
            </w:tcBorders>
            <w:shd w:val="clear" w:color="auto" w:fill="C6EFCE"/>
            <w:noWrap/>
            <w:vAlign w:val="center"/>
          </w:tcPr>
          <w:p w14:paraId="4CE290AD" w14:textId="77777777" w:rsidR="004C6421" w:rsidRDefault="009D1962">
            <w:pPr>
              <w:pStyle w:val="P68B1DB1-Normal4"/>
              <w:spacing w:line="276" w:lineRule="auto"/>
              <w:jc w:val="center"/>
              <w:rPr>
                <w:noProof/>
              </w:rPr>
            </w:pPr>
            <w:r>
              <w:rPr>
                <w:noProof/>
              </w:rPr>
              <w:t>2026</w:t>
            </w:r>
          </w:p>
        </w:tc>
        <w:tc>
          <w:tcPr>
            <w:tcW w:w="2461" w:type="dxa"/>
            <w:tcBorders>
              <w:top w:val="single" w:sz="4" w:space="0" w:color="auto"/>
              <w:left w:val="nil"/>
              <w:bottom w:val="single" w:sz="4" w:space="0" w:color="auto"/>
              <w:right w:val="single" w:sz="4" w:space="0" w:color="auto"/>
            </w:tcBorders>
            <w:shd w:val="clear" w:color="auto" w:fill="C6EFCE"/>
            <w:noWrap/>
            <w:vAlign w:val="center"/>
          </w:tcPr>
          <w:p w14:paraId="2AD52C6B" w14:textId="348FE83F" w:rsidR="004C6421" w:rsidRDefault="009D1962">
            <w:pPr>
              <w:pStyle w:val="P68B1DB1-Normal4"/>
              <w:spacing w:after="120"/>
              <w:rPr>
                <w:noProof/>
              </w:rPr>
            </w:pPr>
            <w:r>
              <w:rPr>
                <w:noProof/>
              </w:rPr>
              <w:t>Zakończenie budowy nowych sieci ciepłowniczych lub rozbudowy istniejących sieci, umożliwiające zmniejszenie zużycia energii o co najmniej 20 KTOE rocznie.</w:t>
            </w:r>
          </w:p>
          <w:p w14:paraId="4F15CA1B" w14:textId="77777777" w:rsidR="004C6421" w:rsidRDefault="009D1962">
            <w:pPr>
              <w:pStyle w:val="P68B1DB1-Normal4"/>
              <w:spacing w:after="120"/>
              <w:rPr>
                <w:noProof/>
              </w:rPr>
            </w:pPr>
            <w:r>
              <w:rPr>
                <w:noProof/>
              </w:rPr>
              <w:t>Inwestycja musi spełniać warunki określone w przypisie 9 załącznika VI do rozporządzenia 241/2021/UE w sprawie Instrumentu na rzecz Odbudowy i Zwiększania Odporności.</w:t>
            </w:r>
          </w:p>
        </w:tc>
      </w:tr>
    </w:tbl>
    <w:p w14:paraId="559307D7" w14:textId="77777777" w:rsidR="004C6421" w:rsidRDefault="004C6421">
      <w:pPr>
        <w:keepNext/>
        <w:tabs>
          <w:tab w:val="left" w:pos="4252"/>
        </w:tabs>
        <w:spacing w:before="720"/>
        <w:jc w:val="both"/>
        <w:rPr>
          <w:i/>
          <w:noProof/>
        </w:rPr>
        <w:sectPr w:rsidR="004C6421" w:rsidSect="00797973">
          <w:headerReference w:type="even" r:id="rId182"/>
          <w:headerReference w:type="default" r:id="rId183"/>
          <w:footerReference w:type="even" r:id="rId184"/>
          <w:footerReference w:type="default" r:id="rId185"/>
          <w:headerReference w:type="first" r:id="rId186"/>
          <w:footerReference w:type="first" r:id="rId187"/>
          <w:pgSz w:w="16839" w:h="11907" w:orient="landscape"/>
          <w:pgMar w:top="1134" w:right="1134" w:bottom="1134" w:left="1134" w:header="567" w:footer="567" w:gutter="0"/>
          <w:cols w:space="720"/>
          <w:docGrid w:linePitch="360"/>
        </w:sectPr>
      </w:pPr>
    </w:p>
    <w:p w14:paraId="04A09D66" w14:textId="48B7BE23" w:rsidR="004C6421" w:rsidRDefault="009D1962">
      <w:pPr>
        <w:pStyle w:val="Heading2"/>
        <w:numPr>
          <w:ilvl w:val="0"/>
          <w:numId w:val="0"/>
        </w:numPr>
        <w:ind w:left="850" w:hanging="850"/>
        <w:rPr>
          <w:noProof/>
        </w:rPr>
      </w:pPr>
      <w:r>
        <w:rPr>
          <w:noProof/>
        </w:rPr>
        <w:t xml:space="preserve">G. </w:t>
      </w:r>
      <w:r w:rsidR="002175A3">
        <w:rPr>
          <w:noProof/>
        </w:rPr>
        <w:t>ZADANIE</w:t>
      </w:r>
      <w:r>
        <w:rPr>
          <w:noProof/>
        </w:rPr>
        <w:t xml:space="preserve"> 2 KOMPONENT 4 – Planowanie terytorialne i zasoby wodne</w:t>
      </w:r>
    </w:p>
    <w:p w14:paraId="20C300D0" w14:textId="77777777" w:rsidR="004C6421" w:rsidRDefault="009D1962">
      <w:pPr>
        <w:spacing w:before="120" w:after="120"/>
        <w:jc w:val="both"/>
        <w:rPr>
          <w:noProof/>
        </w:rPr>
      </w:pPr>
      <w:r>
        <w:rPr>
          <w:noProof/>
        </w:rPr>
        <w:t>Celem tego komponentu włoskiego planu odbudowy i zwiększania odporności jest wyeliminowanie szeregu długotrwałych niedociągnięć związanych z zarządzaniem zasobami wodnymi i zagrożeniami hydrogeologicznymi we Włoszech oraz przyjęcie szeregu środków mających na celu zachowanie różnorodności biologicznej. Cel ten ma zostać osiągnięty poprzez znaczne i zrównoważone połączenie reform i inwestycji w tych różnych wymiarach.</w:t>
      </w:r>
    </w:p>
    <w:p w14:paraId="7402EC39" w14:textId="77777777" w:rsidR="004C6421" w:rsidRDefault="009D1962">
      <w:pPr>
        <w:spacing w:before="120" w:after="120"/>
        <w:jc w:val="both"/>
        <w:rPr>
          <w:noProof/>
        </w:rPr>
      </w:pPr>
      <w:r>
        <w:rPr>
          <w:noProof/>
        </w:rPr>
        <w:t xml:space="preserve">Jeśli chodzi o reformy, w ramach komponentu proponuje się zestaw środków mających przede wszystkim na celu poprawę efektywności gospodarowania zasobami wodnymi poprzez zmniejszenie rozdrobnienia sektora, ustanowienie odpowiedniej polityki cenowej oraz ustanowienie szeregu zachęt do rozwiązania istniejących problemów związanych z gospodarką ściekową. Reformy w ramach tego komponentu obejmują również zestaw środków mających na celu uproszczenie projektowania i realizacji projektów związanych z infrastrukturą wodną oraz zarządzaniem zagrożeniami hydrologicznymi i ich ograniczaniem.  </w:t>
      </w:r>
    </w:p>
    <w:p w14:paraId="2F2D3D8B" w14:textId="77777777" w:rsidR="004C6421" w:rsidRDefault="009D1962">
      <w:pPr>
        <w:spacing w:before="120" w:after="120"/>
        <w:jc w:val="both"/>
        <w:rPr>
          <w:noProof/>
        </w:rPr>
      </w:pPr>
      <w:r>
        <w:rPr>
          <w:noProof/>
        </w:rPr>
        <w:t>Inwestycje związane z tym komponentem przyczyniają się do łagodzenia ryzyka hydrogeologicznego i lepszego zarządzania nim we Włoszech, zarówno z perspektywy zapobiegania, jak i przystosowania się do niej, a także mają na celu zwiększenie odporności infrastruktury związanej z wodą. Ponadto mają one na celu znaczną poprawę gospodarowania zasobami wodnymi dzięki lepszemu gospodarowaniu ściekami i znacznemu ograniczeniu wycieków wody, w tym w sektorze rolnym. Inwestycje wzmacniają cyfryzację tych sektorów i czynią je bardziej energooszczędnymi i lepiej dostosowanymi do zmiany klimatu. Komponent ten obejmuje również zestaw środków mających na celu ochronę różnorodności biologicznej i obszarów zielonych zgodnie ze strategią UE na rzecz różnorodności biologicznej do 2030 r.</w:t>
      </w:r>
    </w:p>
    <w:p w14:paraId="759EDAA1" w14:textId="77777777" w:rsidR="004C6421" w:rsidRDefault="009D1962">
      <w:pPr>
        <w:spacing w:before="120" w:after="120"/>
        <w:jc w:val="both"/>
        <w:rPr>
          <w:noProof/>
        </w:rPr>
      </w:pPr>
      <w:r>
        <w:rPr>
          <w:noProof/>
        </w:rPr>
        <w:t>Komponent ten odnosi się do części zalecenia krajowego nr 3 z 2020 r., w którym Rada Unii Europejskiej zaleciła Włochom podjęcie działań w celu „ukierunkowania inwestycji na transformację ekologiczną i cyfrową, w szczególności na [...] gospodarkę wodną, a także wzmocnioną infrastrukturę cyfrową w celu zapewnienia świadczenia podstawowych usług”. Uwzględniono w nim również część zalecenia krajowego nr 3 z 2019 r. („Ukierunkowanie polityki gospodarczej związanej z inwestycjami na jakość infrastruktury, z uwzględnieniem różnic regionalnych. [...] oraz poprawa skuteczności administracji publicznej [...] poprzez przyspieszenie cyfryzacji oraz zwiększenie wydajności i jakości lokalnych usług publicznych”).</w:t>
      </w:r>
    </w:p>
    <w:p w14:paraId="6A364A39" w14:textId="77777777" w:rsidR="004C6421" w:rsidRDefault="009D1962">
      <w:pPr>
        <w:spacing w:before="120" w:after="120"/>
        <w:jc w:val="both"/>
        <w:rPr>
          <w:noProof/>
        </w:rPr>
      </w:pPr>
      <w:r>
        <w:rPr>
          <w:noProof/>
        </w:rPr>
        <w:t>Oczekuje się, że żaden środek w ramach tego komponentu nie spowoduje znaczącej szkody w realizacji celów środowiskowych w rozumieniu art. 17 rozporządzenia (UE) 2020/852, biorąc pod uwagę opis środków i działań łagodzących określonych w planie odbudowy i zwiększania odporności zgodnie z wytycznymi technicznymi dotyczącymi zasady „nie czyń poważnych szkód” (2021/C58/01).</w:t>
      </w:r>
    </w:p>
    <w:p w14:paraId="3FCA50BD" w14:textId="77777777" w:rsidR="004C6421" w:rsidRDefault="009D1962">
      <w:pPr>
        <w:pStyle w:val="Heading3"/>
        <w:numPr>
          <w:ilvl w:val="0"/>
          <w:numId w:val="0"/>
        </w:numPr>
        <w:ind w:left="850" w:hanging="850"/>
        <w:rPr>
          <w:b/>
          <w:i w:val="0"/>
          <w:noProof/>
          <w:color w:val="4472C4" w:themeColor="accent1"/>
          <w:u w:val="single"/>
        </w:rPr>
      </w:pPr>
      <w:r>
        <w:rPr>
          <w:b/>
          <w:i w:val="0"/>
          <w:noProof/>
          <w:u w:val="single"/>
        </w:rPr>
        <w:t xml:space="preserve">G.1. </w:t>
      </w:r>
      <w:r>
        <w:rPr>
          <w:noProof/>
        </w:rPr>
        <w:t xml:space="preserve"> </w:t>
      </w:r>
      <w:r>
        <w:rPr>
          <w:b/>
          <w:i w:val="0"/>
          <w:noProof/>
          <w:u w:val="single"/>
        </w:rPr>
        <w:t>Opis reform i inwestycji, które mają być finansowane z bezzwrotnego wsparcia finansowego</w:t>
      </w:r>
    </w:p>
    <w:p w14:paraId="4F8828F1" w14:textId="77777777" w:rsidR="004C6421" w:rsidRDefault="009D1962">
      <w:pPr>
        <w:pStyle w:val="P68B1DB1-Normal2"/>
        <w:spacing w:before="120" w:after="120" w:line="257" w:lineRule="auto"/>
        <w:jc w:val="both"/>
        <w:rPr>
          <w:noProof/>
        </w:rPr>
      </w:pPr>
      <w:r>
        <w:rPr>
          <w:noProof/>
        </w:rPr>
        <w:t xml:space="preserve">Reforma 2.1 – Uproszczenie i przyspieszenie procedur wdrażania interwencji przeciwko niestabilności hydrogeologicznej </w:t>
      </w:r>
    </w:p>
    <w:p w14:paraId="35978DED" w14:textId="77777777" w:rsidR="004C6421" w:rsidRDefault="009D1962">
      <w:pPr>
        <w:spacing w:before="120" w:after="120"/>
        <w:jc w:val="both"/>
        <w:rPr>
          <w:noProof/>
        </w:rPr>
      </w:pPr>
      <w:r>
        <w:rPr>
          <w:noProof/>
        </w:rPr>
        <w:t>Celem tej reformy jest przezwyciężenie istniejących niedociągnięć w zarządzaniu ryzykiem hydrogeologicznym, na które zwrócił uwagę włoski Trybunał Obrachunkowy. Polega ona na uproszczeniu i przyspieszeniu procedur realizacji projektów w tej dziedzinie, w tym na określeniu maksymalnych terminów dla każdego etapu; priorytetowe traktowanie interwencji zgodnie z krajową oceną ryzyka oraz z art. 6 decyzji 1313/2013 UE, ocena zdolności zarządzania ryzykiem oraz zasada „nie czyń poważnych szkód”; opracowanie planu zwiększenia zdolności administracyjnych podmiotów odpowiedzialnych za realizację tych projektów oraz wzmocnienie koordynacji między różnymi zaangażowanymi szczeblami administracji rządowej, w tym poprzez usprawnienie przepływu informacji.</w:t>
      </w:r>
    </w:p>
    <w:p w14:paraId="122C97EA" w14:textId="77777777" w:rsidR="004C6421" w:rsidRDefault="009D1962">
      <w:pPr>
        <w:pStyle w:val="P68B1DB1-Normal2"/>
        <w:spacing w:before="120" w:after="120" w:line="257" w:lineRule="auto"/>
        <w:jc w:val="both"/>
        <w:rPr>
          <w:noProof/>
        </w:rPr>
      </w:pPr>
      <w:r>
        <w:rPr>
          <w:noProof/>
        </w:rPr>
        <w:t xml:space="preserve">Reforma 2 – Reforma ram prawnych na rzecz lepszego gospodarowania wodą i jej zrównoważonego wykorzystania </w:t>
      </w:r>
    </w:p>
    <w:p w14:paraId="53CCA52D" w14:textId="77777777" w:rsidR="004C6421" w:rsidRDefault="009D1962">
      <w:pPr>
        <w:spacing w:before="120" w:after="120"/>
        <w:jc w:val="both"/>
        <w:rPr>
          <w:noProof/>
        </w:rPr>
      </w:pPr>
      <w:r>
        <w:rPr>
          <w:noProof/>
        </w:rPr>
        <w:t xml:space="preserve">Reforma ta ma na celu rozwiązanie długotrwałych problemów sektora wodnego we Włoszech, odzwierciedlonych w wielu toczących się postępowaniach w sprawie uchybienia zobowiązaniom państwa członkowskiego w związku z nieprzestrzeganiem dyrektywy Rady 91/271/EWG, nadmiernym rozdrobnieniem tego sektora oraz brakiem odpowiednich zachęt i polityki cenowej. Oczekuje się, że przewidziane środki znacznie zmniejszą fragmentację sektora poprzez zmniejszenie liczby podmiotów gospodarczych i zachęcanie do osiągania korzyści skali, ustanowienie zachęt do ograniczania wycieków wody i nadmiernego zużycia wody przez sektor rolny oraz ustanowienie odpowiedniej polityki cenowej na rzecz bardziej zrównoważonego zużycia wody. </w:t>
      </w:r>
    </w:p>
    <w:p w14:paraId="6CE99FE3" w14:textId="24785C1F" w:rsidR="004C6421" w:rsidRDefault="009D1962">
      <w:pPr>
        <w:spacing w:before="120" w:after="120"/>
        <w:jc w:val="both"/>
        <w:rPr>
          <w:noProof/>
        </w:rPr>
      </w:pPr>
      <w:r>
        <w:rPr>
          <w:noProof/>
        </w:rPr>
        <w:t>Zostanie podpisany zestaw protokołów ustaleń z regionami Kampanii, Kalabrii, Molise i Sycylii, aby zmniejszyć fragmentację liczby operatorów świadczących usługi wodne. Protokół ustaleń określa cele w zakresie ustanowienia jednostek samorządu terytorialnego, zmniejszenia liczby operatorów i osiągnięcia korzyści skali w celu ustanowienia pojedynczych operatorów dla co najmniej każdego</w:t>
      </w:r>
      <w:r>
        <w:rPr>
          <w:noProof/>
          <w:sz w:val="23"/>
        </w:rPr>
        <w:t xml:space="preserve"> </w:t>
      </w:r>
      <w:r>
        <w:rPr>
          <w:noProof/>
        </w:rPr>
        <w:t xml:space="preserve">40000 mieszkańców w ciągu dwóch lat od podpisania tego protokołu ustaleń.   </w:t>
      </w:r>
    </w:p>
    <w:p w14:paraId="59A7C0EC" w14:textId="77777777" w:rsidR="004C6421" w:rsidRDefault="009D1962">
      <w:pPr>
        <w:pStyle w:val="P68B1DB1-Normal2"/>
        <w:spacing w:before="120" w:after="120" w:line="257" w:lineRule="auto"/>
        <w:jc w:val="both"/>
        <w:rPr>
          <w:noProof/>
        </w:rPr>
      </w:pPr>
      <w:r>
        <w:rPr>
          <w:noProof/>
        </w:rPr>
        <w:t>Reforma 4.2 „Środki zapewniające pełne zdolności zarządzania zintegrowanymi usługami wodnymi”</w:t>
      </w:r>
    </w:p>
    <w:p w14:paraId="13A10883" w14:textId="77777777" w:rsidR="004C6421" w:rsidRDefault="009D1962">
      <w:pPr>
        <w:spacing w:before="120" w:after="120"/>
        <w:jc w:val="both"/>
        <w:rPr>
          <w:noProof/>
        </w:rPr>
      </w:pPr>
      <w:r>
        <w:rPr>
          <w:noProof/>
        </w:rPr>
        <w:t xml:space="preserve">Reforma ta ma na celu rozwiązanie głównych problemów w zarządzaniu zasobami wodnymi i zwiększenie wydajności systemu. </w:t>
      </w:r>
    </w:p>
    <w:p w14:paraId="23D036D9" w14:textId="77777777" w:rsidR="004C6421" w:rsidRDefault="009D1962">
      <w:pPr>
        <w:spacing w:before="120" w:after="120"/>
        <w:jc w:val="both"/>
        <w:rPr>
          <w:noProof/>
        </w:rPr>
      </w:pPr>
      <w:r>
        <w:rPr>
          <w:noProof/>
        </w:rPr>
        <w:t>Oczekuje się, że system zmniejszy istniejącą fragmentację liczby operatorów, co obecnie utrudnia efektywne wykorzystanie zasobów wodnych w niektórych częściach kraju. Oczekuje się również, że reforma stworzy odpowiednie zachęty do lepszego wykorzystania zasobów wodnych w sektorze rolnym, do wprowadzenia systemu kar za nielegalne wydobycie wody oraz wprowadzenia systemu cen lepiej odzwierciedlającego i bardziej zgodnego z zasadą „zanieczyszczający płaci”, unikając jednocześnie rozbudowy istniejących systemów nawadniania. Środki przyjmuje się we współpracy z regionami, w których zarządzanie zasobami wodnymi jest obecnie bardziej problematyczne.</w:t>
      </w:r>
    </w:p>
    <w:p w14:paraId="05D4F196" w14:textId="77777777" w:rsidR="004C6421" w:rsidRDefault="009D1962">
      <w:pPr>
        <w:pStyle w:val="P68B1DB1-Normal2"/>
        <w:spacing w:before="120" w:after="120" w:line="257" w:lineRule="auto"/>
        <w:jc w:val="both"/>
        <w:rPr>
          <w:noProof/>
        </w:rPr>
      </w:pPr>
      <w:r>
        <w:rPr>
          <w:noProof/>
        </w:rPr>
        <w:t>Inwestycja 3.2 – Cyfryzacja parków narodowych i chronionych obszarów morskich</w:t>
      </w:r>
    </w:p>
    <w:p w14:paraId="5544B74C" w14:textId="77777777" w:rsidR="004C6421" w:rsidRDefault="009D1962">
      <w:pPr>
        <w:spacing w:before="120" w:after="120"/>
        <w:jc w:val="both"/>
        <w:rPr>
          <w:noProof/>
        </w:rPr>
      </w:pPr>
      <w:r>
        <w:rPr>
          <w:noProof/>
        </w:rPr>
        <w:t>Środek ten ustanawia znormalizowane i zdigitalizowane procedury modernizacji, wydajności i skutecznego funkcjonowania obszarów chronionych w różnych wymiarach, takich jak ochrona przyrody, uproszczenie procedur administracyjnych i usług dla odwiedzających parki narodowe i chronione obszary morskie. Oczekuje się, że po interwencji monitorowanie zasobów naturalnych ulegnie poprawie, tak aby w razie potrzeby podjąć niezbędne środki zapobiegawcze i naprawcze w celu ochrony różnorodności biologicznej. Oczekuje się również, że doprowadzi to do poprawy usług i świadomości na temat różnorodności biologicznej dla odwiedzających parki narodowe i chronione obszary morskie na rzecz bardziej zrównoważonej turystyki i odpowiedzialnej konsumpcji zasobów naturalnych.</w:t>
      </w:r>
    </w:p>
    <w:p w14:paraId="4838B41A" w14:textId="77777777" w:rsidR="004C6421" w:rsidRDefault="009D1962">
      <w:pPr>
        <w:pStyle w:val="Heading3"/>
        <w:numPr>
          <w:ilvl w:val="0"/>
          <w:numId w:val="0"/>
        </w:numPr>
        <w:ind w:left="850" w:hanging="850"/>
        <w:rPr>
          <w:b/>
          <w:i w:val="0"/>
          <w:noProof/>
          <w:u w:val="single"/>
        </w:rPr>
      </w:pPr>
      <w:r>
        <w:rPr>
          <w:b/>
          <w:i w:val="0"/>
          <w:noProof/>
          <w:u w:val="single"/>
        </w:rPr>
        <w:t xml:space="preserve">G.2. </w:t>
      </w:r>
      <w:r>
        <w:rPr>
          <w:noProof/>
        </w:rPr>
        <w:t xml:space="preserve"> </w:t>
      </w:r>
      <w:r>
        <w:rPr>
          <w:b/>
          <w:i w:val="0"/>
          <w:noProof/>
          <w:u w:val="single"/>
        </w:rPr>
        <w:t>Kamienie milowe, wartości docelowe, wskaźniki i harmonogram monitorowania i realizacji na potrzeby bezzwrotnego wsparcia finansowego</w:t>
      </w:r>
    </w:p>
    <w:p w14:paraId="42622CF3" w14:textId="77777777" w:rsidR="004C6421" w:rsidRDefault="004C6421">
      <w:pPr>
        <w:spacing w:before="120" w:after="120"/>
        <w:ind w:left="709"/>
        <w:jc w:val="both"/>
        <w:rPr>
          <w:noProof/>
        </w:rPr>
        <w:sectPr w:rsidR="004C6421" w:rsidSect="00797973">
          <w:headerReference w:type="even" r:id="rId188"/>
          <w:headerReference w:type="default" r:id="rId189"/>
          <w:footerReference w:type="even" r:id="rId190"/>
          <w:footerReference w:type="default" r:id="rId191"/>
          <w:headerReference w:type="first" r:id="rId192"/>
          <w:footerReference w:type="first" r:id="rId193"/>
          <w:pgSz w:w="11907" w:h="16839"/>
          <w:pgMar w:top="1440" w:right="1440" w:bottom="1440" w:left="1440" w:header="567" w:footer="567" w:gutter="0"/>
          <w:cols w:space="720"/>
          <w:docGrid w:linePitch="360"/>
        </w:sectPr>
      </w:pPr>
    </w:p>
    <w:tbl>
      <w:tblPr>
        <w:tblW w:w="14560" w:type="dxa"/>
        <w:jc w:val="center"/>
        <w:tblLook w:val="04A0" w:firstRow="1" w:lastRow="0" w:firstColumn="1" w:lastColumn="0" w:noHBand="0" w:noVBand="1"/>
      </w:tblPr>
      <w:tblGrid>
        <w:gridCol w:w="1321"/>
        <w:gridCol w:w="1508"/>
        <w:gridCol w:w="1409"/>
        <w:gridCol w:w="1507"/>
        <w:gridCol w:w="1386"/>
        <w:gridCol w:w="1382"/>
        <w:gridCol w:w="1027"/>
        <w:gridCol w:w="707"/>
        <w:gridCol w:w="795"/>
        <w:gridCol w:w="780"/>
        <w:gridCol w:w="2738"/>
      </w:tblGrid>
      <w:tr w:rsidR="004C6421" w14:paraId="2AA1F0A6" w14:textId="77777777">
        <w:trPr>
          <w:trHeight w:val="927"/>
          <w:tblHeader/>
          <w:jc w:val="center"/>
        </w:trPr>
        <w:tc>
          <w:tcPr>
            <w:tcW w:w="134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B634882" w14:textId="77777777" w:rsidR="004C6421" w:rsidRDefault="009D1962">
            <w:pPr>
              <w:pStyle w:val="P68B1DB1-Normal3"/>
              <w:jc w:val="center"/>
              <w:rPr>
                <w:noProof/>
              </w:rPr>
            </w:pPr>
            <w:r>
              <w:rPr>
                <w:noProof/>
              </w:rPr>
              <w:t>Numer porządkowy</w:t>
            </w:r>
          </w:p>
        </w:tc>
        <w:tc>
          <w:tcPr>
            <w:tcW w:w="149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AE18216" w14:textId="77777777" w:rsidR="004C6421" w:rsidRDefault="009D1962">
            <w:pPr>
              <w:pStyle w:val="P68B1DB1-Normal3"/>
              <w:jc w:val="center"/>
              <w:rPr>
                <w:noProof/>
              </w:rPr>
            </w:pPr>
            <w:r>
              <w:rPr>
                <w:noProof/>
              </w:rPr>
              <w:t>Powiązane działanie (reforma lub inwestycja)</w:t>
            </w:r>
          </w:p>
        </w:tc>
        <w:tc>
          <w:tcPr>
            <w:tcW w:w="126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8485E2E" w14:textId="77777777" w:rsidR="004C6421" w:rsidRDefault="009D1962">
            <w:pPr>
              <w:pStyle w:val="P68B1DB1-Normal3"/>
              <w:jc w:val="center"/>
              <w:rPr>
                <w:noProof/>
              </w:rPr>
            </w:pPr>
            <w:r>
              <w:rPr>
                <w:noProof/>
              </w:rPr>
              <w:t>Kamień milowy/wartość docelowa</w:t>
            </w:r>
          </w:p>
        </w:tc>
        <w:tc>
          <w:tcPr>
            <w:tcW w:w="1460" w:type="dxa"/>
            <w:vMerge w:val="restart"/>
            <w:tcBorders>
              <w:top w:val="single" w:sz="4" w:space="0" w:color="auto"/>
              <w:left w:val="nil"/>
              <w:bottom w:val="single" w:sz="4" w:space="0" w:color="auto"/>
              <w:right w:val="single" w:sz="4" w:space="0" w:color="auto"/>
            </w:tcBorders>
            <w:shd w:val="clear" w:color="auto" w:fill="BDD7EE"/>
            <w:vAlign w:val="center"/>
            <w:hideMark/>
          </w:tcPr>
          <w:p w14:paraId="0B5202E6" w14:textId="77777777" w:rsidR="004C6421" w:rsidRDefault="009D1962">
            <w:pPr>
              <w:pStyle w:val="P68B1DB1-Normal3"/>
              <w:jc w:val="center"/>
              <w:rPr>
                <w:noProof/>
              </w:rPr>
            </w:pPr>
            <w:r>
              <w:rPr>
                <w:noProof/>
              </w:rPr>
              <w:t>Nazwa</w:t>
            </w:r>
          </w:p>
        </w:tc>
        <w:tc>
          <w:tcPr>
            <w:tcW w:w="141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445F284" w14:textId="77777777" w:rsidR="004C6421" w:rsidRDefault="009D1962">
            <w:pPr>
              <w:jc w:val="center"/>
              <w:rPr>
                <w:rFonts w:ascii="Arial Narrow" w:hAnsi="Arial Narrow"/>
                <w:b/>
                <w:noProof/>
                <w:sz w:val="20"/>
              </w:rPr>
            </w:pPr>
            <w:r>
              <w:rPr>
                <w:rFonts w:ascii="Arial Narrow" w:hAnsi="Arial Narrow"/>
                <w:b/>
                <w:noProof/>
                <w:sz w:val="20"/>
              </w:rPr>
              <w:t xml:space="preserve">Wskaźniki jakościowe </w:t>
            </w:r>
            <w:r>
              <w:rPr>
                <w:rFonts w:ascii="Arial Narrow" w:hAnsi="Arial Narrow"/>
                <w:noProof/>
              </w:rPr>
              <w:t xml:space="preserve"> </w:t>
            </w:r>
            <w:r>
              <w:rPr>
                <w:noProof/>
              </w:rPr>
              <w:t xml:space="preserve">  </w:t>
            </w:r>
            <w:r>
              <w:rPr>
                <w:noProof/>
              </w:rPr>
              <w:br/>
            </w:r>
            <w:r>
              <w:rPr>
                <w:rFonts w:ascii="Arial Narrow" w:hAnsi="Arial Narrow"/>
                <w:b/>
                <w:noProof/>
                <w:sz w:val="20"/>
              </w:rPr>
              <w:t>(dla kamieni milowych)</w:t>
            </w:r>
          </w:p>
        </w:tc>
        <w:tc>
          <w:tcPr>
            <w:tcW w:w="3176" w:type="dxa"/>
            <w:gridSpan w:val="3"/>
            <w:tcBorders>
              <w:top w:val="single" w:sz="4" w:space="0" w:color="auto"/>
              <w:left w:val="nil"/>
              <w:bottom w:val="single" w:sz="4" w:space="0" w:color="auto"/>
              <w:right w:val="single" w:sz="4" w:space="0" w:color="auto"/>
            </w:tcBorders>
            <w:shd w:val="clear" w:color="auto" w:fill="BDD7EE"/>
            <w:vAlign w:val="center"/>
            <w:hideMark/>
          </w:tcPr>
          <w:p w14:paraId="6A759E4C" w14:textId="77777777" w:rsidR="004C6421" w:rsidRDefault="009D1962">
            <w:pPr>
              <w:jc w:val="center"/>
              <w:rPr>
                <w:rFonts w:ascii="Arial Narrow" w:hAnsi="Arial Narrow"/>
                <w:b/>
                <w:noProof/>
                <w:sz w:val="20"/>
              </w:rPr>
            </w:pPr>
            <w:r>
              <w:rPr>
                <w:rFonts w:ascii="Arial Narrow" w:hAnsi="Arial Narrow"/>
                <w:b/>
                <w:noProof/>
                <w:sz w:val="20"/>
              </w:rPr>
              <w:t xml:space="preserve">Wskaźniki ilościowe </w:t>
            </w:r>
            <w:r>
              <w:rPr>
                <w:rFonts w:ascii="Arial Narrow" w:hAnsi="Arial Narrow"/>
                <w:noProof/>
              </w:rPr>
              <w:t xml:space="preserve"> </w:t>
            </w:r>
            <w:r>
              <w:rPr>
                <w:noProof/>
              </w:rPr>
              <w:t xml:space="preserve">  </w:t>
            </w:r>
            <w:r>
              <w:rPr>
                <w:noProof/>
              </w:rPr>
              <w:br/>
            </w:r>
            <w:r>
              <w:rPr>
                <w:rFonts w:ascii="Arial Narrow" w:hAnsi="Arial Narrow"/>
                <w:b/>
                <w:noProof/>
                <w:sz w:val="20"/>
              </w:rPr>
              <w:t>(dla wartości docelowych)</w:t>
            </w:r>
          </w:p>
        </w:tc>
        <w:tc>
          <w:tcPr>
            <w:tcW w:w="1603" w:type="dxa"/>
            <w:gridSpan w:val="2"/>
            <w:tcBorders>
              <w:top w:val="single" w:sz="4" w:space="0" w:color="auto"/>
              <w:left w:val="nil"/>
              <w:bottom w:val="single" w:sz="4" w:space="0" w:color="auto"/>
              <w:right w:val="single" w:sz="4" w:space="0" w:color="auto"/>
            </w:tcBorders>
            <w:shd w:val="clear" w:color="auto" w:fill="BDD7EE"/>
            <w:vAlign w:val="center"/>
            <w:hideMark/>
          </w:tcPr>
          <w:p w14:paraId="3D46BC7A" w14:textId="77777777" w:rsidR="004C6421" w:rsidRDefault="009D1962">
            <w:pPr>
              <w:pStyle w:val="P68B1DB1-Normal3"/>
              <w:jc w:val="center"/>
              <w:rPr>
                <w:noProof/>
              </w:rPr>
            </w:pPr>
            <w:r>
              <w:rPr>
                <w:noProof/>
              </w:rPr>
              <w:t>Orientacyjny harmonogram zakończenia działania</w:t>
            </w:r>
          </w:p>
        </w:tc>
        <w:tc>
          <w:tcPr>
            <w:tcW w:w="279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DB95941" w14:textId="77777777" w:rsidR="004C6421" w:rsidRDefault="009D1962">
            <w:pPr>
              <w:pStyle w:val="P68B1DB1-Normal3"/>
              <w:jc w:val="center"/>
              <w:rPr>
                <w:noProof/>
              </w:rPr>
            </w:pPr>
            <w:r>
              <w:rPr>
                <w:noProof/>
              </w:rPr>
              <w:t>Opis każdego kamienia milowego i każdej wartości docelowej</w:t>
            </w:r>
          </w:p>
        </w:tc>
      </w:tr>
      <w:tr w:rsidR="004C6421" w14:paraId="729201F7" w14:textId="77777777">
        <w:trPr>
          <w:trHeight w:val="1013"/>
          <w:tblHeader/>
          <w:jc w:val="center"/>
        </w:trPr>
        <w:tc>
          <w:tcPr>
            <w:tcW w:w="1347" w:type="dxa"/>
            <w:vMerge/>
            <w:tcBorders>
              <w:top w:val="single" w:sz="4" w:space="0" w:color="auto"/>
              <w:left w:val="single" w:sz="4" w:space="0" w:color="auto"/>
              <w:bottom w:val="single" w:sz="4" w:space="0" w:color="auto"/>
              <w:right w:val="single" w:sz="4" w:space="0" w:color="auto"/>
            </w:tcBorders>
            <w:vAlign w:val="center"/>
            <w:hideMark/>
          </w:tcPr>
          <w:p w14:paraId="2199E893" w14:textId="77777777" w:rsidR="004C6421" w:rsidRDefault="004C6421">
            <w:pPr>
              <w:jc w:val="center"/>
              <w:rPr>
                <w:rFonts w:ascii="Arial Narrow" w:hAnsi="Arial Narrow"/>
                <w:b/>
                <w:noProof/>
                <w:sz w:val="20"/>
              </w:rPr>
            </w:pPr>
          </w:p>
        </w:tc>
        <w:tc>
          <w:tcPr>
            <w:tcW w:w="1495" w:type="dxa"/>
            <w:vMerge/>
            <w:tcBorders>
              <w:left w:val="single" w:sz="4" w:space="0" w:color="auto"/>
              <w:right w:val="single" w:sz="4" w:space="0" w:color="auto"/>
            </w:tcBorders>
            <w:vAlign w:val="center"/>
            <w:hideMark/>
          </w:tcPr>
          <w:p w14:paraId="287C01D5" w14:textId="77777777" w:rsidR="004C6421" w:rsidRDefault="004C6421">
            <w:pPr>
              <w:jc w:val="center"/>
              <w:rPr>
                <w:rFonts w:ascii="Arial Narrow" w:hAnsi="Arial Narrow"/>
                <w:b/>
                <w:noProof/>
                <w:sz w:val="20"/>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14:paraId="385F0539" w14:textId="77777777" w:rsidR="004C6421" w:rsidRDefault="004C6421">
            <w:pPr>
              <w:jc w:val="center"/>
              <w:rPr>
                <w:rFonts w:ascii="Arial Narrow" w:hAnsi="Arial Narrow"/>
                <w:b/>
                <w:noProof/>
                <w:sz w:val="20"/>
              </w:rPr>
            </w:pPr>
          </w:p>
        </w:tc>
        <w:tc>
          <w:tcPr>
            <w:tcW w:w="1460" w:type="dxa"/>
            <w:vMerge/>
            <w:tcBorders>
              <w:left w:val="single" w:sz="4" w:space="0" w:color="auto"/>
              <w:right w:val="single" w:sz="4" w:space="0" w:color="auto"/>
            </w:tcBorders>
            <w:vAlign w:val="center"/>
            <w:hideMark/>
          </w:tcPr>
          <w:p w14:paraId="30582211" w14:textId="77777777" w:rsidR="004C6421" w:rsidRDefault="004C6421">
            <w:pPr>
              <w:jc w:val="center"/>
              <w:rPr>
                <w:rFonts w:ascii="Arial Narrow" w:hAnsi="Arial Narrow"/>
                <w:b/>
                <w:noProof/>
                <w:sz w:val="20"/>
              </w:rPr>
            </w:pPr>
          </w:p>
        </w:tc>
        <w:tc>
          <w:tcPr>
            <w:tcW w:w="1414" w:type="dxa"/>
            <w:vMerge/>
            <w:tcBorders>
              <w:top w:val="single" w:sz="4" w:space="0" w:color="auto"/>
              <w:left w:val="single" w:sz="4" w:space="0" w:color="auto"/>
              <w:bottom w:val="single" w:sz="4" w:space="0" w:color="auto"/>
            </w:tcBorders>
            <w:vAlign w:val="center"/>
            <w:hideMark/>
          </w:tcPr>
          <w:p w14:paraId="401FAF28" w14:textId="77777777" w:rsidR="004C6421" w:rsidRDefault="004C6421">
            <w:pPr>
              <w:jc w:val="center"/>
              <w:rPr>
                <w:rFonts w:ascii="Arial Narrow" w:hAnsi="Arial Narrow"/>
                <w:b/>
                <w:noProof/>
                <w:sz w:val="20"/>
              </w:rPr>
            </w:pPr>
          </w:p>
        </w:tc>
        <w:tc>
          <w:tcPr>
            <w:tcW w:w="1410" w:type="dxa"/>
            <w:tcBorders>
              <w:top w:val="nil"/>
              <w:left w:val="single" w:sz="4" w:space="0" w:color="auto"/>
              <w:bottom w:val="single" w:sz="4" w:space="0" w:color="auto"/>
              <w:right w:val="single" w:sz="4" w:space="0" w:color="auto"/>
            </w:tcBorders>
            <w:shd w:val="clear" w:color="auto" w:fill="BDD7EE"/>
            <w:vAlign w:val="center"/>
            <w:hideMark/>
          </w:tcPr>
          <w:p w14:paraId="1A8F683A" w14:textId="77777777" w:rsidR="004C6421" w:rsidRDefault="009D1962">
            <w:pPr>
              <w:pStyle w:val="P68B1DB1-Normal3"/>
              <w:jc w:val="center"/>
              <w:rPr>
                <w:noProof/>
              </w:rPr>
            </w:pPr>
            <w:r>
              <w:rPr>
                <w:noProof/>
              </w:rPr>
              <w:t>Jednostka miary</w:t>
            </w:r>
          </w:p>
        </w:tc>
        <w:tc>
          <w:tcPr>
            <w:tcW w:w="1047" w:type="dxa"/>
            <w:tcBorders>
              <w:top w:val="nil"/>
              <w:left w:val="nil"/>
              <w:bottom w:val="single" w:sz="4" w:space="0" w:color="auto"/>
              <w:right w:val="single" w:sz="4" w:space="0" w:color="auto"/>
            </w:tcBorders>
            <w:shd w:val="clear" w:color="auto" w:fill="BDD7EE"/>
            <w:vAlign w:val="center"/>
            <w:hideMark/>
          </w:tcPr>
          <w:p w14:paraId="0A9E329E" w14:textId="77777777" w:rsidR="004C6421" w:rsidRDefault="009D1962">
            <w:pPr>
              <w:pStyle w:val="P68B1DB1-Normal3"/>
              <w:jc w:val="center"/>
              <w:rPr>
                <w:noProof/>
              </w:rPr>
            </w:pPr>
            <w:r>
              <w:rPr>
                <w:noProof/>
              </w:rPr>
              <w:t>Bazowy</w:t>
            </w:r>
          </w:p>
        </w:tc>
        <w:tc>
          <w:tcPr>
            <w:tcW w:w="719" w:type="dxa"/>
            <w:tcBorders>
              <w:top w:val="nil"/>
              <w:left w:val="nil"/>
              <w:bottom w:val="single" w:sz="4" w:space="0" w:color="auto"/>
              <w:right w:val="single" w:sz="4" w:space="0" w:color="auto"/>
            </w:tcBorders>
            <w:shd w:val="clear" w:color="auto" w:fill="BDD7EE"/>
            <w:vAlign w:val="center"/>
            <w:hideMark/>
          </w:tcPr>
          <w:p w14:paraId="72089E0E" w14:textId="77777777" w:rsidR="004C6421" w:rsidRDefault="009D1962">
            <w:pPr>
              <w:pStyle w:val="P68B1DB1-Normal3"/>
              <w:jc w:val="center"/>
              <w:rPr>
                <w:noProof/>
              </w:rPr>
            </w:pPr>
            <w:r>
              <w:rPr>
                <w:noProof/>
              </w:rPr>
              <w:t>Cel</w:t>
            </w:r>
          </w:p>
        </w:tc>
        <w:tc>
          <w:tcPr>
            <w:tcW w:w="809" w:type="dxa"/>
            <w:tcBorders>
              <w:top w:val="nil"/>
              <w:left w:val="nil"/>
              <w:bottom w:val="single" w:sz="4" w:space="0" w:color="auto"/>
              <w:right w:val="single" w:sz="4" w:space="0" w:color="auto"/>
            </w:tcBorders>
            <w:shd w:val="clear" w:color="auto" w:fill="BDD7EE"/>
            <w:vAlign w:val="center"/>
            <w:hideMark/>
          </w:tcPr>
          <w:p w14:paraId="4FA463F0" w14:textId="77777777" w:rsidR="004C6421" w:rsidRDefault="009D1962">
            <w:pPr>
              <w:pStyle w:val="P68B1DB1-Normal3"/>
              <w:jc w:val="center"/>
              <w:rPr>
                <w:noProof/>
              </w:rPr>
            </w:pPr>
            <w:r>
              <w:rPr>
                <w:noProof/>
              </w:rPr>
              <w:t>Kwartał</w:t>
            </w:r>
          </w:p>
        </w:tc>
        <w:tc>
          <w:tcPr>
            <w:tcW w:w="794" w:type="dxa"/>
            <w:tcBorders>
              <w:top w:val="nil"/>
              <w:left w:val="nil"/>
              <w:bottom w:val="single" w:sz="4" w:space="0" w:color="auto"/>
              <w:right w:val="single" w:sz="4" w:space="0" w:color="auto"/>
            </w:tcBorders>
            <w:shd w:val="clear" w:color="auto" w:fill="BDD7EE"/>
            <w:vAlign w:val="center"/>
            <w:hideMark/>
          </w:tcPr>
          <w:p w14:paraId="709ADAE8" w14:textId="77777777" w:rsidR="004C6421" w:rsidRDefault="009D1962">
            <w:pPr>
              <w:pStyle w:val="P68B1DB1-Normal3"/>
              <w:jc w:val="center"/>
              <w:rPr>
                <w:noProof/>
              </w:rPr>
            </w:pPr>
            <w:r>
              <w:rPr>
                <w:noProof/>
              </w:rPr>
              <w:t>Rok</w:t>
            </w:r>
          </w:p>
        </w:tc>
        <w:tc>
          <w:tcPr>
            <w:tcW w:w="2799" w:type="dxa"/>
            <w:vMerge/>
            <w:tcBorders>
              <w:top w:val="single" w:sz="4" w:space="0" w:color="auto"/>
              <w:bottom w:val="single" w:sz="4" w:space="0" w:color="auto"/>
              <w:right w:val="single" w:sz="4" w:space="0" w:color="auto"/>
            </w:tcBorders>
            <w:vAlign w:val="center"/>
            <w:hideMark/>
          </w:tcPr>
          <w:p w14:paraId="7FCCE59F" w14:textId="77777777" w:rsidR="004C6421" w:rsidRDefault="004C6421">
            <w:pPr>
              <w:rPr>
                <w:rFonts w:ascii="Arial Narrow" w:hAnsi="Arial Narrow"/>
                <w:b/>
                <w:noProof/>
                <w:sz w:val="20"/>
              </w:rPr>
            </w:pPr>
          </w:p>
        </w:tc>
      </w:tr>
      <w:tr w:rsidR="004C6421" w14:paraId="32E40EAB" w14:textId="77777777">
        <w:trPr>
          <w:trHeight w:val="170"/>
          <w:jc w:val="center"/>
        </w:trPr>
        <w:tc>
          <w:tcPr>
            <w:tcW w:w="1347"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6624EA6" w14:textId="77777777" w:rsidR="004C6421" w:rsidRDefault="009D1962">
            <w:pPr>
              <w:pStyle w:val="P68B1DB1-Normal4"/>
              <w:spacing w:line="276" w:lineRule="auto"/>
              <w:jc w:val="center"/>
              <w:rPr>
                <w:noProof/>
              </w:rPr>
            </w:pPr>
            <w:r>
              <w:rPr>
                <w:noProof/>
              </w:rPr>
              <w:t>M2C4-1</w:t>
            </w:r>
          </w:p>
        </w:tc>
        <w:tc>
          <w:tcPr>
            <w:tcW w:w="1495" w:type="dxa"/>
            <w:tcBorders>
              <w:top w:val="single" w:sz="4" w:space="0" w:color="auto"/>
              <w:left w:val="nil"/>
              <w:bottom w:val="single" w:sz="4" w:space="0" w:color="auto"/>
              <w:right w:val="single" w:sz="4" w:space="0" w:color="auto"/>
            </w:tcBorders>
            <w:shd w:val="clear" w:color="auto" w:fill="C6EFCE"/>
            <w:noWrap/>
            <w:vAlign w:val="center"/>
            <w:hideMark/>
          </w:tcPr>
          <w:p w14:paraId="64702220" w14:textId="77777777" w:rsidR="004C6421" w:rsidRDefault="009D1962">
            <w:pPr>
              <w:pStyle w:val="P68B1DB1-Normal4"/>
              <w:spacing w:line="276" w:lineRule="auto"/>
              <w:jc w:val="center"/>
              <w:rPr>
                <w:noProof/>
              </w:rPr>
            </w:pPr>
            <w:r>
              <w:rPr>
                <w:noProof/>
              </w:rPr>
              <w:t>Reforma 2.1. Uproszczenie i przyspieszenie procedur wdrażania interwencji przeciwko niestabilności hydrogeologicznej</w:t>
            </w:r>
          </w:p>
        </w:tc>
        <w:tc>
          <w:tcPr>
            <w:tcW w:w="1266" w:type="dxa"/>
            <w:tcBorders>
              <w:top w:val="single" w:sz="4" w:space="0" w:color="auto"/>
              <w:left w:val="nil"/>
              <w:bottom w:val="single" w:sz="4" w:space="0" w:color="auto"/>
              <w:right w:val="single" w:sz="4" w:space="0" w:color="auto"/>
            </w:tcBorders>
            <w:shd w:val="clear" w:color="auto" w:fill="C6EFCE"/>
            <w:noWrap/>
            <w:vAlign w:val="center"/>
            <w:hideMark/>
          </w:tcPr>
          <w:p w14:paraId="3CDA0E13" w14:textId="5A400C4A" w:rsidR="004C6421" w:rsidRDefault="00CC179E">
            <w:pPr>
              <w:pStyle w:val="P68B1DB1-Normal4"/>
              <w:spacing w:line="276" w:lineRule="auto"/>
              <w:jc w:val="center"/>
              <w:rPr>
                <w:noProof/>
              </w:rPr>
            </w:pPr>
            <w:r>
              <w:rPr>
                <w:noProof/>
              </w:rPr>
              <w:t>Milowy</w:t>
            </w:r>
          </w:p>
        </w:tc>
        <w:tc>
          <w:tcPr>
            <w:tcW w:w="1460" w:type="dxa"/>
            <w:tcBorders>
              <w:top w:val="single" w:sz="4" w:space="0" w:color="auto"/>
              <w:left w:val="nil"/>
              <w:bottom w:val="single" w:sz="4" w:space="0" w:color="auto"/>
              <w:right w:val="single" w:sz="4" w:space="0" w:color="auto"/>
            </w:tcBorders>
            <w:shd w:val="clear" w:color="auto" w:fill="C6EFCE"/>
            <w:noWrap/>
            <w:vAlign w:val="center"/>
            <w:hideMark/>
          </w:tcPr>
          <w:p w14:paraId="145AD0B0" w14:textId="77777777" w:rsidR="004C6421" w:rsidRDefault="009D1962">
            <w:pPr>
              <w:pStyle w:val="P68B1DB1-Normal4"/>
              <w:spacing w:line="276" w:lineRule="auto"/>
              <w:jc w:val="center"/>
              <w:rPr>
                <w:noProof/>
              </w:rPr>
            </w:pPr>
            <w:r>
              <w:rPr>
                <w:noProof/>
              </w:rPr>
              <w:t>Wejście w życie uproszczenia ram prawnych w celu lepszego zarządzania zagrożeniami hydrologicznymi</w:t>
            </w:r>
          </w:p>
        </w:tc>
        <w:tc>
          <w:tcPr>
            <w:tcW w:w="1414" w:type="dxa"/>
            <w:tcBorders>
              <w:top w:val="single" w:sz="4" w:space="0" w:color="auto"/>
              <w:left w:val="nil"/>
              <w:bottom w:val="single" w:sz="4" w:space="0" w:color="auto"/>
              <w:right w:val="single" w:sz="4" w:space="0" w:color="auto"/>
            </w:tcBorders>
            <w:shd w:val="clear" w:color="auto" w:fill="C6EFCE"/>
            <w:noWrap/>
            <w:vAlign w:val="center"/>
            <w:hideMark/>
          </w:tcPr>
          <w:p w14:paraId="7B04A4FC" w14:textId="77777777" w:rsidR="004C6421" w:rsidRDefault="009D1962">
            <w:pPr>
              <w:pStyle w:val="P68B1DB1-Normal4"/>
              <w:spacing w:line="276" w:lineRule="auto"/>
              <w:jc w:val="center"/>
              <w:rPr>
                <w:noProof/>
              </w:rPr>
            </w:pPr>
            <w:r>
              <w:rPr>
                <w:noProof/>
              </w:rPr>
              <w:t>Przepis w odpowiednim(-ych) akcie(-ach) prawnym(-ych) wskazujący na wejście w życie</w:t>
            </w:r>
          </w:p>
        </w:tc>
        <w:tc>
          <w:tcPr>
            <w:tcW w:w="1410" w:type="dxa"/>
            <w:tcBorders>
              <w:top w:val="nil"/>
              <w:left w:val="nil"/>
              <w:bottom w:val="single" w:sz="4" w:space="0" w:color="auto"/>
              <w:right w:val="single" w:sz="4" w:space="0" w:color="auto"/>
            </w:tcBorders>
            <w:shd w:val="clear" w:color="auto" w:fill="C6EFCE"/>
            <w:noWrap/>
            <w:vAlign w:val="center"/>
            <w:hideMark/>
          </w:tcPr>
          <w:p w14:paraId="7C3A4876" w14:textId="77777777" w:rsidR="004C6421" w:rsidRDefault="009D1962">
            <w:pPr>
              <w:pStyle w:val="P68B1DB1-Normal4"/>
              <w:spacing w:line="276" w:lineRule="auto"/>
              <w:jc w:val="center"/>
              <w:rPr>
                <w:noProof/>
              </w:rPr>
            </w:pPr>
            <w:r>
              <w:rPr>
                <w:noProof/>
              </w:rPr>
              <w:t>NIE DOT.</w:t>
            </w:r>
          </w:p>
        </w:tc>
        <w:tc>
          <w:tcPr>
            <w:tcW w:w="1047" w:type="dxa"/>
            <w:tcBorders>
              <w:top w:val="nil"/>
              <w:left w:val="nil"/>
              <w:bottom w:val="single" w:sz="4" w:space="0" w:color="auto"/>
              <w:right w:val="single" w:sz="4" w:space="0" w:color="auto"/>
            </w:tcBorders>
            <w:shd w:val="clear" w:color="auto" w:fill="C6EFCE"/>
            <w:noWrap/>
            <w:vAlign w:val="center"/>
            <w:hideMark/>
          </w:tcPr>
          <w:p w14:paraId="62FACCE1" w14:textId="77777777" w:rsidR="004C6421" w:rsidRDefault="009D1962">
            <w:pPr>
              <w:pStyle w:val="P68B1DB1-Normal4"/>
              <w:spacing w:line="276" w:lineRule="auto"/>
              <w:jc w:val="center"/>
              <w:rPr>
                <w:noProof/>
              </w:rPr>
            </w:pPr>
            <w:r>
              <w:rPr>
                <w:noProof/>
              </w:rPr>
              <w:t>NIE DOT.</w:t>
            </w:r>
          </w:p>
        </w:tc>
        <w:tc>
          <w:tcPr>
            <w:tcW w:w="719" w:type="dxa"/>
            <w:tcBorders>
              <w:top w:val="nil"/>
              <w:left w:val="nil"/>
              <w:bottom w:val="single" w:sz="4" w:space="0" w:color="auto"/>
              <w:right w:val="single" w:sz="4" w:space="0" w:color="auto"/>
            </w:tcBorders>
            <w:shd w:val="clear" w:color="auto" w:fill="C6EFCE"/>
            <w:noWrap/>
            <w:vAlign w:val="center"/>
            <w:hideMark/>
          </w:tcPr>
          <w:p w14:paraId="4A92B0E0" w14:textId="77777777" w:rsidR="004C6421" w:rsidRDefault="009D1962">
            <w:pPr>
              <w:pStyle w:val="P68B1DB1-Normal4"/>
              <w:spacing w:line="276" w:lineRule="auto"/>
              <w:jc w:val="center"/>
              <w:rPr>
                <w:noProof/>
              </w:rPr>
            </w:pPr>
            <w:r>
              <w:rPr>
                <w:noProof/>
              </w:rPr>
              <w:t>NIE DOT.</w:t>
            </w:r>
          </w:p>
        </w:tc>
        <w:tc>
          <w:tcPr>
            <w:tcW w:w="809" w:type="dxa"/>
            <w:tcBorders>
              <w:top w:val="nil"/>
              <w:left w:val="nil"/>
              <w:bottom w:val="single" w:sz="4" w:space="0" w:color="auto"/>
              <w:right w:val="single" w:sz="4" w:space="0" w:color="auto"/>
            </w:tcBorders>
            <w:shd w:val="clear" w:color="auto" w:fill="C6EFCE"/>
            <w:noWrap/>
            <w:vAlign w:val="center"/>
            <w:hideMark/>
          </w:tcPr>
          <w:p w14:paraId="789852BE" w14:textId="77777777" w:rsidR="004C6421" w:rsidRDefault="009D1962">
            <w:pPr>
              <w:pStyle w:val="P68B1DB1-Normal4"/>
              <w:spacing w:line="276" w:lineRule="auto"/>
              <w:jc w:val="center"/>
              <w:rPr>
                <w:noProof/>
              </w:rPr>
            </w:pPr>
            <w:r>
              <w:rPr>
                <w:noProof/>
              </w:rPr>
              <w:t>II KW.</w:t>
            </w:r>
          </w:p>
        </w:tc>
        <w:tc>
          <w:tcPr>
            <w:tcW w:w="794" w:type="dxa"/>
            <w:tcBorders>
              <w:top w:val="nil"/>
              <w:left w:val="nil"/>
              <w:bottom w:val="single" w:sz="4" w:space="0" w:color="auto"/>
              <w:right w:val="single" w:sz="4" w:space="0" w:color="auto"/>
            </w:tcBorders>
            <w:shd w:val="clear" w:color="auto" w:fill="C6EFCE"/>
            <w:noWrap/>
            <w:vAlign w:val="center"/>
            <w:hideMark/>
          </w:tcPr>
          <w:p w14:paraId="06AB4D45" w14:textId="77777777" w:rsidR="004C6421" w:rsidRDefault="009D1962">
            <w:pPr>
              <w:pStyle w:val="P68B1DB1-Normal4"/>
              <w:spacing w:line="276" w:lineRule="auto"/>
              <w:jc w:val="center"/>
              <w:rPr>
                <w:noProof/>
              </w:rPr>
            </w:pPr>
            <w:r>
              <w:rPr>
                <w:noProof/>
              </w:rPr>
              <w:t>2022</w:t>
            </w:r>
          </w:p>
        </w:tc>
        <w:tc>
          <w:tcPr>
            <w:tcW w:w="2799" w:type="dxa"/>
            <w:tcBorders>
              <w:top w:val="single" w:sz="4" w:space="0" w:color="auto"/>
              <w:left w:val="nil"/>
              <w:bottom w:val="single" w:sz="4" w:space="0" w:color="auto"/>
              <w:right w:val="single" w:sz="4" w:space="0" w:color="auto"/>
            </w:tcBorders>
            <w:shd w:val="clear" w:color="auto" w:fill="C6EFCE"/>
            <w:noWrap/>
            <w:vAlign w:val="center"/>
          </w:tcPr>
          <w:p w14:paraId="74C0087C" w14:textId="77777777" w:rsidR="004C6421" w:rsidRDefault="009D1962">
            <w:pPr>
              <w:pStyle w:val="P68B1DB1-Normal4"/>
              <w:spacing w:line="276" w:lineRule="auto"/>
              <w:rPr>
                <w:noProof/>
              </w:rPr>
            </w:pPr>
            <w:r>
              <w:rPr>
                <w:noProof/>
              </w:rPr>
              <w:t>Nowe ramy prawne (co najmniej):</w:t>
            </w:r>
          </w:p>
          <w:p w14:paraId="061274A3" w14:textId="77777777" w:rsidR="004C6421" w:rsidRDefault="009D1962">
            <w:pPr>
              <w:pStyle w:val="P68B1DB1-ListParagraph5"/>
              <w:numPr>
                <w:ilvl w:val="0"/>
                <w:numId w:val="74"/>
              </w:numPr>
              <w:tabs>
                <w:tab w:val="left" w:pos="321"/>
              </w:tabs>
              <w:spacing w:after="0" w:line="276" w:lineRule="auto"/>
              <w:ind w:left="0" w:firstLine="37"/>
              <w:jc w:val="left"/>
              <w:rPr>
                <w:noProof/>
              </w:rPr>
            </w:pPr>
            <w:r>
              <w:rPr>
                <w:noProof/>
              </w:rPr>
              <w:t>Priorytetowe traktowanie interwencji zapobiegawczych zgodnie z krajową oceną ryzyka oraz z art. 6 decyzji 1313/2013 UE, ocena zdolności zarządzania ryzykiem oraz zasada „nie czyń poważnych szkód”;</w:t>
            </w:r>
          </w:p>
          <w:p w14:paraId="0D1140CC" w14:textId="77777777" w:rsidR="004C6421" w:rsidRDefault="009D1962">
            <w:pPr>
              <w:pStyle w:val="P68B1DB1-ListParagraph5"/>
              <w:numPr>
                <w:ilvl w:val="0"/>
                <w:numId w:val="74"/>
              </w:numPr>
              <w:tabs>
                <w:tab w:val="left" w:pos="321"/>
              </w:tabs>
              <w:spacing w:after="0" w:line="276" w:lineRule="auto"/>
              <w:ind w:left="0" w:firstLine="37"/>
              <w:jc w:val="left"/>
              <w:rPr>
                <w:noProof/>
              </w:rPr>
            </w:pPr>
            <w:r>
              <w:rPr>
                <w:noProof/>
              </w:rPr>
              <w:t>Przyspieszenie procedur opracowywania projektów i określenie ogólnych zasad w celu uproszczenia procedur realizacji i finansowania projektów oraz projektów dotyczących ryzyka hydrologicznego;</w:t>
            </w:r>
          </w:p>
          <w:p w14:paraId="69EF92B2" w14:textId="77777777" w:rsidR="004C6421" w:rsidRDefault="009D1962">
            <w:pPr>
              <w:pStyle w:val="P68B1DB1-ListParagraph5"/>
              <w:numPr>
                <w:ilvl w:val="0"/>
                <w:numId w:val="74"/>
              </w:numPr>
              <w:tabs>
                <w:tab w:val="left" w:pos="321"/>
              </w:tabs>
              <w:spacing w:after="0" w:line="276" w:lineRule="auto"/>
              <w:ind w:left="0" w:firstLine="37"/>
              <w:jc w:val="left"/>
              <w:rPr>
                <w:noProof/>
              </w:rPr>
            </w:pPr>
            <w:r>
              <w:rPr>
                <w:noProof/>
              </w:rPr>
              <w:t>Harmonizacja i usprawnienie przepływu informacji w celu zmniejszenia nadmiarowości w sprawozdawczości między różnymi systemami informacyjnymi państwa oraz opracowanie systemu wskaźników służących lepszej identyfikacji zagrożeń hydrologicznych, zgodnie z zaleceniami włoskiego Trybunału Obrachunkowego.</w:t>
            </w:r>
          </w:p>
          <w:p w14:paraId="26DBA689" w14:textId="77777777" w:rsidR="004C6421" w:rsidRDefault="009D1962">
            <w:pPr>
              <w:pStyle w:val="P68B1DB1-ListParagraph5"/>
              <w:numPr>
                <w:ilvl w:val="0"/>
                <w:numId w:val="74"/>
              </w:numPr>
              <w:tabs>
                <w:tab w:val="left" w:pos="321"/>
              </w:tabs>
              <w:spacing w:after="0" w:line="276" w:lineRule="auto"/>
              <w:ind w:left="0" w:firstLine="37"/>
              <w:jc w:val="left"/>
              <w:rPr>
                <w:noProof/>
              </w:rPr>
            </w:pPr>
            <w:r>
              <w:rPr>
                <w:noProof/>
              </w:rPr>
              <w:t>Wzmocnienie koordynacji interwencji między różnymi szczeblami rządowymi zgodnie z zaleceniami włoskiego Trybunału Obrachunkowego;</w:t>
            </w:r>
          </w:p>
          <w:p w14:paraId="53909083" w14:textId="77777777" w:rsidR="004C6421" w:rsidRDefault="009D1962">
            <w:pPr>
              <w:pStyle w:val="P68B1DB1-ListParagraph5"/>
              <w:numPr>
                <w:ilvl w:val="0"/>
                <w:numId w:val="74"/>
              </w:numPr>
              <w:tabs>
                <w:tab w:val="left" w:pos="321"/>
              </w:tabs>
              <w:spacing w:after="0" w:line="276" w:lineRule="auto"/>
              <w:ind w:left="0" w:firstLine="37"/>
              <w:jc w:val="left"/>
              <w:rPr>
                <w:noProof/>
              </w:rPr>
            </w:pPr>
            <w:r>
              <w:rPr>
                <w:noProof/>
              </w:rPr>
              <w:t>Stworzenie wspólnych baz danych dotyczących incydentów („dissesto”) zgodnie z zaleceniami włoskiego Trybunału Obrachunkowego;</w:t>
            </w:r>
          </w:p>
          <w:p w14:paraId="6C04DB03" w14:textId="77777777" w:rsidR="004C6421" w:rsidRDefault="009D1962">
            <w:pPr>
              <w:pStyle w:val="P68B1DB1-ListParagraph5"/>
              <w:numPr>
                <w:ilvl w:val="0"/>
                <w:numId w:val="74"/>
              </w:numPr>
              <w:tabs>
                <w:tab w:val="left" w:pos="321"/>
              </w:tabs>
              <w:spacing w:after="0" w:line="276" w:lineRule="auto"/>
              <w:ind w:left="0" w:firstLine="37"/>
              <w:jc w:val="left"/>
              <w:rPr>
                <w:noProof/>
              </w:rPr>
            </w:pPr>
            <w:r>
              <w:rPr>
                <w:noProof/>
              </w:rPr>
              <w:t>Określenie maksymalnych terminów dla każdego etapu.</w:t>
            </w:r>
          </w:p>
          <w:p w14:paraId="1152F1BC" w14:textId="77777777" w:rsidR="004C6421" w:rsidRDefault="009D1962">
            <w:pPr>
              <w:pStyle w:val="P68B1DB1-ListParagraph5"/>
              <w:numPr>
                <w:ilvl w:val="0"/>
                <w:numId w:val="74"/>
              </w:numPr>
              <w:tabs>
                <w:tab w:val="left" w:pos="321"/>
              </w:tabs>
              <w:spacing w:after="0" w:line="276" w:lineRule="auto"/>
              <w:ind w:left="0" w:firstLine="37"/>
              <w:jc w:val="left"/>
              <w:rPr>
                <w:noProof/>
              </w:rPr>
            </w:pPr>
            <w:r>
              <w:rPr>
                <w:noProof/>
              </w:rPr>
              <w:t>Opracowanie planu wzmocnienia zdolności odpowiednich podmiotów.</w:t>
            </w:r>
          </w:p>
          <w:p w14:paraId="361085A6" w14:textId="77777777" w:rsidR="004C6421" w:rsidRDefault="004C6421">
            <w:pPr>
              <w:spacing w:line="276" w:lineRule="auto"/>
              <w:rPr>
                <w:rFonts w:ascii="Arial Narrow" w:hAnsi="Arial Narrow"/>
                <w:noProof/>
                <w:color w:val="006100"/>
                <w:sz w:val="20"/>
              </w:rPr>
            </w:pPr>
          </w:p>
        </w:tc>
      </w:tr>
      <w:tr w:rsidR="004C6421" w14:paraId="20DA14B0" w14:textId="77777777">
        <w:trPr>
          <w:trHeight w:val="309"/>
          <w:jc w:val="center"/>
        </w:trPr>
        <w:tc>
          <w:tcPr>
            <w:tcW w:w="1347" w:type="dxa"/>
            <w:tcBorders>
              <w:top w:val="nil"/>
              <w:left w:val="single" w:sz="4" w:space="0" w:color="auto"/>
              <w:bottom w:val="single" w:sz="4" w:space="0" w:color="auto"/>
              <w:right w:val="single" w:sz="4" w:space="0" w:color="auto"/>
            </w:tcBorders>
            <w:shd w:val="clear" w:color="auto" w:fill="C6EFCE"/>
            <w:noWrap/>
            <w:vAlign w:val="center"/>
            <w:hideMark/>
          </w:tcPr>
          <w:p w14:paraId="72137608" w14:textId="77777777" w:rsidR="004C6421" w:rsidRDefault="009D1962">
            <w:pPr>
              <w:pStyle w:val="P68B1DB1-Normal4"/>
              <w:spacing w:line="276" w:lineRule="auto"/>
              <w:jc w:val="center"/>
              <w:rPr>
                <w:noProof/>
              </w:rPr>
            </w:pPr>
            <w:r>
              <w:rPr>
                <w:noProof/>
              </w:rPr>
              <w:t>M2C4-2</w:t>
            </w:r>
          </w:p>
        </w:tc>
        <w:tc>
          <w:tcPr>
            <w:tcW w:w="1495" w:type="dxa"/>
            <w:tcBorders>
              <w:top w:val="single" w:sz="4" w:space="0" w:color="auto"/>
              <w:left w:val="nil"/>
              <w:bottom w:val="single" w:sz="4" w:space="0" w:color="auto"/>
              <w:right w:val="single" w:sz="4" w:space="0" w:color="auto"/>
            </w:tcBorders>
            <w:shd w:val="clear" w:color="auto" w:fill="C6EFCE"/>
            <w:noWrap/>
            <w:vAlign w:val="center"/>
            <w:hideMark/>
          </w:tcPr>
          <w:p w14:paraId="6FA40EC8" w14:textId="77777777" w:rsidR="004C6421" w:rsidRDefault="009D1962">
            <w:pPr>
              <w:pStyle w:val="P68B1DB1-Normal4"/>
              <w:spacing w:line="276" w:lineRule="auto"/>
              <w:jc w:val="center"/>
              <w:rPr>
                <w:noProof/>
              </w:rPr>
            </w:pPr>
            <w:r>
              <w:rPr>
                <w:noProof/>
              </w:rPr>
              <w:t>Reforma 4.2 „Środki zapewniające pełne zdolności zarządzania zintegrowanymi usługami wodnymi”</w:t>
            </w:r>
          </w:p>
        </w:tc>
        <w:tc>
          <w:tcPr>
            <w:tcW w:w="1266" w:type="dxa"/>
            <w:tcBorders>
              <w:top w:val="nil"/>
              <w:left w:val="nil"/>
              <w:bottom w:val="single" w:sz="4" w:space="0" w:color="auto"/>
              <w:right w:val="single" w:sz="4" w:space="0" w:color="auto"/>
            </w:tcBorders>
            <w:shd w:val="clear" w:color="auto" w:fill="C6EFCE"/>
            <w:noWrap/>
            <w:vAlign w:val="center"/>
            <w:hideMark/>
          </w:tcPr>
          <w:p w14:paraId="03D814DB" w14:textId="662464C6" w:rsidR="004C6421" w:rsidRDefault="00CC179E">
            <w:pPr>
              <w:pStyle w:val="P68B1DB1-Normal4"/>
              <w:spacing w:line="276" w:lineRule="auto"/>
              <w:jc w:val="center"/>
              <w:rPr>
                <w:noProof/>
              </w:rPr>
            </w:pPr>
            <w:r>
              <w:rPr>
                <w:noProof/>
              </w:rPr>
              <w:t>Milowy</w:t>
            </w:r>
          </w:p>
        </w:tc>
        <w:tc>
          <w:tcPr>
            <w:tcW w:w="1460" w:type="dxa"/>
            <w:tcBorders>
              <w:top w:val="single" w:sz="4" w:space="0" w:color="auto"/>
              <w:left w:val="nil"/>
              <w:bottom w:val="single" w:sz="4" w:space="0" w:color="auto"/>
              <w:right w:val="single" w:sz="4" w:space="0" w:color="auto"/>
            </w:tcBorders>
            <w:shd w:val="clear" w:color="auto" w:fill="C6EFCE"/>
            <w:noWrap/>
            <w:vAlign w:val="center"/>
            <w:hideMark/>
          </w:tcPr>
          <w:p w14:paraId="13A4D553" w14:textId="77777777" w:rsidR="004C6421" w:rsidRDefault="009D1962">
            <w:pPr>
              <w:pStyle w:val="P68B1DB1-Normal4"/>
              <w:spacing w:line="276" w:lineRule="auto"/>
              <w:jc w:val="center"/>
              <w:rPr>
                <w:noProof/>
              </w:rPr>
            </w:pPr>
            <w:r>
              <w:rPr>
                <w:noProof/>
              </w:rPr>
              <w:t>Wejście w życie reformy mającej na celu zapewnienie pełnych zdolności zarządzania zintegrowanymi usługami wodnymi</w:t>
            </w:r>
          </w:p>
        </w:tc>
        <w:tc>
          <w:tcPr>
            <w:tcW w:w="1414" w:type="dxa"/>
            <w:tcBorders>
              <w:top w:val="nil"/>
              <w:left w:val="nil"/>
              <w:bottom w:val="single" w:sz="4" w:space="0" w:color="auto"/>
              <w:right w:val="single" w:sz="4" w:space="0" w:color="auto"/>
            </w:tcBorders>
            <w:shd w:val="clear" w:color="auto" w:fill="C6EFCE"/>
            <w:noWrap/>
            <w:vAlign w:val="center"/>
            <w:hideMark/>
          </w:tcPr>
          <w:p w14:paraId="35989ABC" w14:textId="77777777" w:rsidR="004C6421" w:rsidRDefault="009D1962">
            <w:pPr>
              <w:pStyle w:val="P68B1DB1-Normal4"/>
              <w:spacing w:line="276" w:lineRule="auto"/>
              <w:jc w:val="center"/>
              <w:rPr>
                <w:noProof/>
              </w:rPr>
            </w:pPr>
            <w:r>
              <w:rPr>
                <w:noProof/>
              </w:rPr>
              <w:t>Przepis w odpowiednim(-ych) akcie(-ach) prawnym(-ych) wskazujący na wejście w życie</w:t>
            </w:r>
          </w:p>
        </w:tc>
        <w:tc>
          <w:tcPr>
            <w:tcW w:w="1410" w:type="dxa"/>
            <w:tcBorders>
              <w:top w:val="nil"/>
              <w:left w:val="nil"/>
              <w:bottom w:val="single" w:sz="4" w:space="0" w:color="auto"/>
              <w:right w:val="single" w:sz="4" w:space="0" w:color="auto"/>
            </w:tcBorders>
            <w:shd w:val="clear" w:color="auto" w:fill="C6EFCE"/>
            <w:noWrap/>
            <w:vAlign w:val="center"/>
            <w:hideMark/>
          </w:tcPr>
          <w:p w14:paraId="3A74E002" w14:textId="77777777" w:rsidR="004C6421" w:rsidRDefault="009D1962">
            <w:pPr>
              <w:pStyle w:val="P68B1DB1-Normal4"/>
              <w:spacing w:line="276" w:lineRule="auto"/>
              <w:jc w:val="center"/>
              <w:rPr>
                <w:noProof/>
              </w:rPr>
            </w:pPr>
            <w:r>
              <w:rPr>
                <w:noProof/>
              </w:rPr>
              <w:t>NIE DOT.</w:t>
            </w:r>
          </w:p>
        </w:tc>
        <w:tc>
          <w:tcPr>
            <w:tcW w:w="1047" w:type="dxa"/>
            <w:tcBorders>
              <w:top w:val="nil"/>
              <w:left w:val="nil"/>
              <w:bottom w:val="single" w:sz="4" w:space="0" w:color="auto"/>
              <w:right w:val="single" w:sz="4" w:space="0" w:color="auto"/>
            </w:tcBorders>
            <w:shd w:val="clear" w:color="auto" w:fill="C6EFCE"/>
            <w:noWrap/>
            <w:vAlign w:val="center"/>
            <w:hideMark/>
          </w:tcPr>
          <w:p w14:paraId="30C29208" w14:textId="77777777" w:rsidR="004C6421" w:rsidRDefault="009D1962">
            <w:pPr>
              <w:pStyle w:val="P68B1DB1-Normal4"/>
              <w:spacing w:line="276" w:lineRule="auto"/>
              <w:jc w:val="center"/>
              <w:rPr>
                <w:noProof/>
              </w:rPr>
            </w:pPr>
            <w:r>
              <w:rPr>
                <w:noProof/>
              </w:rPr>
              <w:t>NIE DOT.</w:t>
            </w:r>
          </w:p>
        </w:tc>
        <w:tc>
          <w:tcPr>
            <w:tcW w:w="719" w:type="dxa"/>
            <w:tcBorders>
              <w:top w:val="nil"/>
              <w:left w:val="nil"/>
              <w:bottom w:val="single" w:sz="4" w:space="0" w:color="auto"/>
              <w:right w:val="single" w:sz="4" w:space="0" w:color="auto"/>
            </w:tcBorders>
            <w:shd w:val="clear" w:color="auto" w:fill="C6EFCE"/>
            <w:noWrap/>
            <w:vAlign w:val="center"/>
            <w:hideMark/>
          </w:tcPr>
          <w:p w14:paraId="33690690" w14:textId="77777777" w:rsidR="004C6421" w:rsidRDefault="009D1962">
            <w:pPr>
              <w:pStyle w:val="P68B1DB1-Normal4"/>
              <w:spacing w:line="276" w:lineRule="auto"/>
              <w:jc w:val="center"/>
              <w:rPr>
                <w:noProof/>
              </w:rPr>
            </w:pPr>
            <w:r>
              <w:rPr>
                <w:noProof/>
              </w:rPr>
              <w:t>NIE DOT.</w:t>
            </w:r>
          </w:p>
        </w:tc>
        <w:tc>
          <w:tcPr>
            <w:tcW w:w="809" w:type="dxa"/>
            <w:tcBorders>
              <w:top w:val="nil"/>
              <w:left w:val="nil"/>
              <w:bottom w:val="single" w:sz="4" w:space="0" w:color="auto"/>
              <w:right w:val="single" w:sz="4" w:space="0" w:color="auto"/>
            </w:tcBorders>
            <w:shd w:val="clear" w:color="auto" w:fill="C6EFCE"/>
            <w:noWrap/>
            <w:vAlign w:val="center"/>
            <w:hideMark/>
          </w:tcPr>
          <w:p w14:paraId="5F2D8AFE" w14:textId="77777777" w:rsidR="004C6421" w:rsidRDefault="009D1962">
            <w:pPr>
              <w:pStyle w:val="P68B1DB1-Normal4"/>
              <w:spacing w:line="276" w:lineRule="auto"/>
              <w:jc w:val="center"/>
              <w:rPr>
                <w:noProof/>
              </w:rPr>
            </w:pPr>
            <w:r>
              <w:rPr>
                <w:noProof/>
              </w:rPr>
              <w:t>III KW.</w:t>
            </w:r>
          </w:p>
        </w:tc>
        <w:tc>
          <w:tcPr>
            <w:tcW w:w="794" w:type="dxa"/>
            <w:tcBorders>
              <w:top w:val="nil"/>
              <w:left w:val="nil"/>
              <w:bottom w:val="single" w:sz="4" w:space="0" w:color="auto"/>
              <w:right w:val="single" w:sz="4" w:space="0" w:color="auto"/>
            </w:tcBorders>
            <w:shd w:val="clear" w:color="auto" w:fill="C6EFCE"/>
            <w:noWrap/>
            <w:vAlign w:val="center"/>
            <w:hideMark/>
          </w:tcPr>
          <w:p w14:paraId="713A1374" w14:textId="77777777" w:rsidR="004C6421" w:rsidRDefault="009D1962">
            <w:pPr>
              <w:pStyle w:val="P68B1DB1-Normal4"/>
              <w:spacing w:line="276" w:lineRule="auto"/>
              <w:jc w:val="center"/>
              <w:rPr>
                <w:noProof/>
              </w:rPr>
            </w:pPr>
            <w:r>
              <w:rPr>
                <w:noProof/>
              </w:rPr>
              <w:t>2022</w:t>
            </w:r>
          </w:p>
        </w:tc>
        <w:tc>
          <w:tcPr>
            <w:tcW w:w="2799" w:type="dxa"/>
            <w:tcBorders>
              <w:top w:val="nil"/>
              <w:left w:val="nil"/>
              <w:bottom w:val="single" w:sz="4" w:space="0" w:color="auto"/>
              <w:right w:val="single" w:sz="4" w:space="0" w:color="auto"/>
            </w:tcBorders>
            <w:shd w:val="clear" w:color="auto" w:fill="C6EFCE"/>
            <w:noWrap/>
            <w:vAlign w:val="center"/>
            <w:hideMark/>
          </w:tcPr>
          <w:p w14:paraId="5C093988" w14:textId="77777777" w:rsidR="004C6421" w:rsidRDefault="009D1962">
            <w:pPr>
              <w:pStyle w:val="P68B1DB1-Normal4"/>
              <w:spacing w:line="276" w:lineRule="auto"/>
              <w:rPr>
                <w:noProof/>
              </w:rPr>
            </w:pPr>
            <w:r>
              <w:rPr>
                <w:noProof/>
              </w:rPr>
              <w:t>Ustawy ogólnej/rozporządzenia w sprawie usług wodnych w zakresie ich zrównoważonego użytkowania i zachęcają do inwestycji w infrastrukturę wodną, które co najmniej:</w:t>
            </w:r>
          </w:p>
          <w:p w14:paraId="68F101ED" w14:textId="77777777" w:rsidR="004C6421" w:rsidRDefault="009D1962">
            <w:pPr>
              <w:pStyle w:val="P68B1DB1-ListParagraph5"/>
              <w:numPr>
                <w:ilvl w:val="0"/>
                <w:numId w:val="74"/>
              </w:numPr>
              <w:tabs>
                <w:tab w:val="left" w:pos="321"/>
              </w:tabs>
              <w:spacing w:after="0" w:line="276" w:lineRule="auto"/>
              <w:ind w:left="0" w:firstLine="37"/>
              <w:jc w:val="left"/>
              <w:rPr>
                <w:noProof/>
              </w:rPr>
            </w:pPr>
            <w:r>
              <w:rPr>
                <w:noProof/>
              </w:rPr>
              <w:t>Ograniczenie fragmentacji podmiotów za pomocą przepisów i mechanizmów agregacji, aby zachęcić obecnie autonomiczne podmioty zarządzające do włączenia się do jedynego w swoim rodzaju operatora dla całej Ambito Territoriale Ottimale;</w:t>
            </w:r>
          </w:p>
          <w:p w14:paraId="00E3D40B" w14:textId="77777777" w:rsidR="004C6421" w:rsidRDefault="009D1962">
            <w:pPr>
              <w:pStyle w:val="P68B1DB1-ListParagraph5"/>
              <w:numPr>
                <w:ilvl w:val="0"/>
                <w:numId w:val="74"/>
              </w:numPr>
              <w:tabs>
                <w:tab w:val="left" w:pos="321"/>
              </w:tabs>
              <w:spacing w:after="0" w:line="276" w:lineRule="auto"/>
              <w:ind w:left="0" w:firstLine="37"/>
              <w:jc w:val="left"/>
              <w:rPr>
                <w:noProof/>
              </w:rPr>
            </w:pPr>
            <w:r>
              <w:rPr>
                <w:noProof/>
              </w:rPr>
              <w:t>Zapewnienie zachęt do zrównoważonego wykorzystania wody w rolnictwie, w szczególności w celu wspierania korzystania ze wspólnego systemu monitorowania wykorzystania wody (SIGRIAN) do celów nawadniania zbiorowego i samozaopatrzonego;</w:t>
            </w:r>
          </w:p>
          <w:p w14:paraId="3F4A4F89" w14:textId="77777777" w:rsidR="004C6421" w:rsidRDefault="009D1962">
            <w:pPr>
              <w:pStyle w:val="P68B1DB1-ListParagraph5"/>
              <w:numPr>
                <w:ilvl w:val="0"/>
                <w:numId w:val="74"/>
              </w:numPr>
              <w:tabs>
                <w:tab w:val="left" w:pos="321"/>
              </w:tabs>
              <w:spacing w:after="0" w:line="276" w:lineRule="auto"/>
              <w:ind w:left="0" w:firstLine="37"/>
              <w:jc w:val="left"/>
              <w:rPr>
                <w:noProof/>
              </w:rPr>
            </w:pPr>
            <w:r>
              <w:rPr>
                <w:noProof/>
              </w:rPr>
              <w:t>Ustanowienie systemu cen regulowanych, który odpowiednio uwzględnia wykorzystanie zasobów i zanieczyszczenie środowiska zgodnie z zasadą „zanieczyszczający płaci”.</w:t>
            </w:r>
          </w:p>
        </w:tc>
      </w:tr>
      <w:tr w:rsidR="004C6421" w14:paraId="67B7402A" w14:textId="77777777">
        <w:trPr>
          <w:trHeight w:val="309"/>
          <w:jc w:val="center"/>
        </w:trPr>
        <w:tc>
          <w:tcPr>
            <w:tcW w:w="1347" w:type="dxa"/>
            <w:tcBorders>
              <w:top w:val="nil"/>
              <w:left w:val="single" w:sz="4" w:space="0" w:color="auto"/>
              <w:bottom w:val="single" w:sz="4" w:space="0" w:color="auto"/>
              <w:right w:val="single" w:sz="4" w:space="0" w:color="auto"/>
            </w:tcBorders>
            <w:shd w:val="clear" w:color="auto" w:fill="C6EFCE"/>
            <w:noWrap/>
            <w:vAlign w:val="center"/>
            <w:hideMark/>
          </w:tcPr>
          <w:p w14:paraId="695861AD" w14:textId="77777777" w:rsidR="004C6421" w:rsidRDefault="009D1962">
            <w:pPr>
              <w:pStyle w:val="P68B1DB1-Normal4"/>
              <w:spacing w:line="276" w:lineRule="auto"/>
              <w:jc w:val="center"/>
              <w:rPr>
                <w:noProof/>
              </w:rPr>
            </w:pPr>
            <w:r>
              <w:rPr>
                <w:noProof/>
              </w:rPr>
              <w:t>M2C4-3</w:t>
            </w:r>
          </w:p>
        </w:tc>
        <w:tc>
          <w:tcPr>
            <w:tcW w:w="1495" w:type="dxa"/>
            <w:tcBorders>
              <w:top w:val="single" w:sz="4" w:space="0" w:color="auto"/>
              <w:left w:val="nil"/>
              <w:bottom w:val="single" w:sz="4" w:space="0" w:color="auto"/>
              <w:right w:val="single" w:sz="4" w:space="0" w:color="auto"/>
            </w:tcBorders>
            <w:shd w:val="clear" w:color="auto" w:fill="C6EFCE"/>
            <w:noWrap/>
            <w:vAlign w:val="center"/>
            <w:hideMark/>
          </w:tcPr>
          <w:p w14:paraId="7EA81D75" w14:textId="77777777" w:rsidR="004C6421" w:rsidRDefault="009D1962">
            <w:pPr>
              <w:pStyle w:val="P68B1DB1-Normal4"/>
              <w:spacing w:line="276" w:lineRule="auto"/>
              <w:jc w:val="center"/>
              <w:rPr>
                <w:noProof/>
              </w:rPr>
            </w:pPr>
            <w:r>
              <w:rPr>
                <w:noProof/>
              </w:rPr>
              <w:t>Reforma 4.2 „Środki zapewniające pełne zdolności zarządzania zintegrowanymi usługami wodnymi”</w:t>
            </w:r>
          </w:p>
        </w:tc>
        <w:tc>
          <w:tcPr>
            <w:tcW w:w="1266" w:type="dxa"/>
            <w:tcBorders>
              <w:top w:val="nil"/>
              <w:left w:val="nil"/>
              <w:bottom w:val="single" w:sz="4" w:space="0" w:color="auto"/>
              <w:right w:val="single" w:sz="4" w:space="0" w:color="auto"/>
            </w:tcBorders>
            <w:shd w:val="clear" w:color="auto" w:fill="C6EFCE"/>
            <w:noWrap/>
            <w:vAlign w:val="center"/>
            <w:hideMark/>
          </w:tcPr>
          <w:p w14:paraId="127F1C20" w14:textId="1D3ADD5E" w:rsidR="004C6421" w:rsidRDefault="00CC179E">
            <w:pPr>
              <w:pStyle w:val="P68B1DB1-Normal4"/>
              <w:spacing w:line="276" w:lineRule="auto"/>
              <w:jc w:val="center"/>
              <w:rPr>
                <w:noProof/>
              </w:rPr>
            </w:pPr>
            <w:r>
              <w:rPr>
                <w:noProof/>
              </w:rPr>
              <w:t>Milowy</w:t>
            </w:r>
          </w:p>
        </w:tc>
        <w:tc>
          <w:tcPr>
            <w:tcW w:w="1460" w:type="dxa"/>
            <w:tcBorders>
              <w:top w:val="single" w:sz="4" w:space="0" w:color="auto"/>
              <w:left w:val="nil"/>
              <w:bottom w:val="single" w:sz="4" w:space="0" w:color="auto"/>
              <w:right w:val="single" w:sz="4" w:space="0" w:color="auto"/>
            </w:tcBorders>
            <w:shd w:val="clear" w:color="auto" w:fill="C6EFCE"/>
            <w:noWrap/>
            <w:vAlign w:val="center"/>
            <w:hideMark/>
          </w:tcPr>
          <w:p w14:paraId="3166AC9A" w14:textId="77777777" w:rsidR="004C6421" w:rsidRDefault="009D1962">
            <w:pPr>
              <w:pStyle w:val="P68B1DB1-Normal4"/>
              <w:spacing w:line="276" w:lineRule="auto"/>
              <w:jc w:val="center"/>
              <w:rPr>
                <w:noProof/>
              </w:rPr>
            </w:pPr>
            <w:r>
              <w:rPr>
                <w:noProof/>
              </w:rPr>
              <w:t>Reforma ram prawnych na rzecz lepszego gospodarowania wodą i jej zrównoważonego wykorzystania</w:t>
            </w:r>
          </w:p>
        </w:tc>
        <w:tc>
          <w:tcPr>
            <w:tcW w:w="1414" w:type="dxa"/>
            <w:tcBorders>
              <w:top w:val="nil"/>
              <w:left w:val="nil"/>
              <w:bottom w:val="single" w:sz="4" w:space="0" w:color="auto"/>
              <w:right w:val="single" w:sz="4" w:space="0" w:color="auto"/>
            </w:tcBorders>
            <w:shd w:val="clear" w:color="auto" w:fill="C6EFCE"/>
            <w:noWrap/>
            <w:vAlign w:val="center"/>
            <w:hideMark/>
          </w:tcPr>
          <w:p w14:paraId="4AF85388" w14:textId="77777777" w:rsidR="004C6421" w:rsidRDefault="009D1962">
            <w:pPr>
              <w:pStyle w:val="P68B1DB1-Normal4"/>
              <w:spacing w:line="276" w:lineRule="auto"/>
              <w:jc w:val="center"/>
              <w:rPr>
                <w:noProof/>
              </w:rPr>
            </w:pPr>
            <w:r>
              <w:rPr>
                <w:noProof/>
              </w:rPr>
              <w:t>Wejście w życie protokołów ustaleń NIE DOT.</w:t>
            </w:r>
          </w:p>
        </w:tc>
        <w:tc>
          <w:tcPr>
            <w:tcW w:w="1410" w:type="dxa"/>
            <w:tcBorders>
              <w:top w:val="nil"/>
              <w:left w:val="nil"/>
              <w:bottom w:val="single" w:sz="4" w:space="0" w:color="auto"/>
              <w:right w:val="single" w:sz="4" w:space="0" w:color="auto"/>
            </w:tcBorders>
            <w:shd w:val="clear" w:color="auto" w:fill="C6EFCE"/>
            <w:noWrap/>
            <w:vAlign w:val="center"/>
            <w:hideMark/>
          </w:tcPr>
          <w:p w14:paraId="33A95C1A" w14:textId="77777777" w:rsidR="004C6421" w:rsidRDefault="009D1962">
            <w:pPr>
              <w:pStyle w:val="P68B1DB1-Normal4"/>
              <w:spacing w:line="276" w:lineRule="auto"/>
              <w:jc w:val="center"/>
              <w:rPr>
                <w:noProof/>
              </w:rPr>
            </w:pPr>
            <w:r>
              <w:rPr>
                <w:noProof/>
              </w:rPr>
              <w:t>NIE DOT.</w:t>
            </w:r>
          </w:p>
        </w:tc>
        <w:tc>
          <w:tcPr>
            <w:tcW w:w="1047" w:type="dxa"/>
            <w:tcBorders>
              <w:top w:val="nil"/>
              <w:left w:val="nil"/>
              <w:bottom w:val="single" w:sz="4" w:space="0" w:color="auto"/>
              <w:right w:val="single" w:sz="4" w:space="0" w:color="auto"/>
            </w:tcBorders>
            <w:shd w:val="clear" w:color="auto" w:fill="C6EFCE"/>
            <w:noWrap/>
            <w:vAlign w:val="center"/>
            <w:hideMark/>
          </w:tcPr>
          <w:p w14:paraId="033F272B" w14:textId="77777777" w:rsidR="004C6421" w:rsidRDefault="009D1962">
            <w:pPr>
              <w:pStyle w:val="P68B1DB1-Normal4"/>
              <w:spacing w:line="276" w:lineRule="auto"/>
              <w:jc w:val="center"/>
              <w:rPr>
                <w:noProof/>
              </w:rPr>
            </w:pPr>
            <w:r>
              <w:rPr>
                <w:noProof/>
              </w:rPr>
              <w:t>NIE DOT.</w:t>
            </w:r>
          </w:p>
        </w:tc>
        <w:tc>
          <w:tcPr>
            <w:tcW w:w="719" w:type="dxa"/>
            <w:tcBorders>
              <w:top w:val="nil"/>
              <w:left w:val="nil"/>
              <w:bottom w:val="single" w:sz="4" w:space="0" w:color="auto"/>
              <w:right w:val="single" w:sz="4" w:space="0" w:color="auto"/>
            </w:tcBorders>
            <w:shd w:val="clear" w:color="auto" w:fill="C6EFCE"/>
            <w:noWrap/>
            <w:vAlign w:val="center"/>
            <w:hideMark/>
          </w:tcPr>
          <w:p w14:paraId="28CE484E" w14:textId="77777777" w:rsidR="004C6421" w:rsidRDefault="009D1962">
            <w:pPr>
              <w:pStyle w:val="P68B1DB1-Normal4"/>
              <w:spacing w:line="276" w:lineRule="auto"/>
              <w:jc w:val="center"/>
              <w:rPr>
                <w:noProof/>
              </w:rPr>
            </w:pPr>
            <w:r>
              <w:rPr>
                <w:noProof/>
              </w:rPr>
              <w:t>NIE DOT.</w:t>
            </w:r>
          </w:p>
        </w:tc>
        <w:tc>
          <w:tcPr>
            <w:tcW w:w="809" w:type="dxa"/>
            <w:tcBorders>
              <w:top w:val="nil"/>
              <w:left w:val="nil"/>
              <w:bottom w:val="single" w:sz="4" w:space="0" w:color="auto"/>
              <w:right w:val="single" w:sz="4" w:space="0" w:color="auto"/>
            </w:tcBorders>
            <w:shd w:val="clear" w:color="auto" w:fill="C6EFCE"/>
            <w:noWrap/>
            <w:vAlign w:val="center"/>
            <w:hideMark/>
          </w:tcPr>
          <w:p w14:paraId="0CB8AE36" w14:textId="764B2607" w:rsidR="004C6421" w:rsidRDefault="00CC179E">
            <w:pPr>
              <w:pStyle w:val="P68B1DB1-Normal4"/>
              <w:spacing w:line="276" w:lineRule="auto"/>
              <w:jc w:val="center"/>
              <w:rPr>
                <w:noProof/>
              </w:rPr>
            </w:pPr>
            <w:r>
              <w:rPr>
                <w:noProof/>
              </w:rPr>
              <w:t>KW. 4</w:t>
            </w:r>
          </w:p>
        </w:tc>
        <w:tc>
          <w:tcPr>
            <w:tcW w:w="794" w:type="dxa"/>
            <w:tcBorders>
              <w:top w:val="nil"/>
              <w:left w:val="nil"/>
              <w:bottom w:val="single" w:sz="4" w:space="0" w:color="auto"/>
              <w:right w:val="single" w:sz="4" w:space="0" w:color="auto"/>
            </w:tcBorders>
            <w:shd w:val="clear" w:color="auto" w:fill="C6EFCE"/>
            <w:noWrap/>
            <w:vAlign w:val="center"/>
            <w:hideMark/>
          </w:tcPr>
          <w:p w14:paraId="23FFF7E1" w14:textId="77777777" w:rsidR="004C6421" w:rsidRDefault="009D1962">
            <w:pPr>
              <w:pStyle w:val="P68B1DB1-Normal4"/>
              <w:spacing w:line="276" w:lineRule="auto"/>
              <w:jc w:val="center"/>
              <w:rPr>
                <w:noProof/>
              </w:rPr>
            </w:pPr>
            <w:r>
              <w:rPr>
                <w:noProof/>
              </w:rPr>
              <w:t>2021</w:t>
            </w:r>
          </w:p>
        </w:tc>
        <w:tc>
          <w:tcPr>
            <w:tcW w:w="2799" w:type="dxa"/>
            <w:tcBorders>
              <w:top w:val="nil"/>
              <w:left w:val="nil"/>
              <w:bottom w:val="single" w:sz="4" w:space="0" w:color="auto"/>
              <w:right w:val="single" w:sz="4" w:space="0" w:color="auto"/>
            </w:tcBorders>
            <w:shd w:val="clear" w:color="auto" w:fill="C6EFCE"/>
            <w:noWrap/>
            <w:vAlign w:val="center"/>
            <w:hideMark/>
          </w:tcPr>
          <w:p w14:paraId="2DD5374D" w14:textId="77777777" w:rsidR="004C6421" w:rsidRDefault="009D1962">
            <w:pPr>
              <w:pStyle w:val="P68B1DB1-Normal8"/>
              <w:spacing w:line="276" w:lineRule="auto"/>
              <w:rPr>
                <w:rFonts w:ascii="Arial Narrow" w:hAnsi="Arial Narrow"/>
                <w:noProof/>
              </w:rPr>
            </w:pPr>
            <w:r>
              <w:rPr>
                <w:rFonts w:ascii="Arial Narrow" w:hAnsi="Arial Narrow"/>
                <w:noProof/>
              </w:rPr>
              <w:t>Podpisanie protokołów podstacji przez Ministerstwo Transformacji Ekologicznej z regionami Kampanii, Kalabrii, Molise i Sycylii w celu zmniejszenia rozdrobnienia liczby podmiotów świadczących usługi wodne. Protokół ustaleń powinien określać cele w zakresie wyznaczania jednostek samorządu terytorialnego, zmniejszenia liczby operatorów i osiągnięcia korzyści skali w celu ustanowienia pojedynczych operatorów dla co najmniej</w:t>
            </w:r>
            <w:r>
              <w:rPr>
                <w:noProof/>
              </w:rPr>
              <w:t xml:space="preserve"> </w:t>
            </w:r>
            <w:r>
              <w:rPr>
                <w:rFonts w:ascii="Arial Narrow" w:hAnsi="Arial Narrow"/>
                <w:noProof/>
              </w:rPr>
              <w:t>40000 mieszkańców</w:t>
            </w:r>
            <w:r>
              <w:rPr>
                <w:noProof/>
              </w:rPr>
              <w:t>.</w:t>
            </w:r>
          </w:p>
        </w:tc>
      </w:tr>
      <w:tr w:rsidR="004C6421" w14:paraId="3B9EEA7A" w14:textId="77777777">
        <w:trPr>
          <w:trHeight w:val="309"/>
          <w:jc w:val="center"/>
        </w:trPr>
        <w:tc>
          <w:tcPr>
            <w:tcW w:w="1347" w:type="dxa"/>
            <w:tcBorders>
              <w:top w:val="nil"/>
              <w:left w:val="single" w:sz="4" w:space="0" w:color="auto"/>
              <w:bottom w:val="single" w:sz="4" w:space="0" w:color="auto"/>
              <w:right w:val="single" w:sz="4" w:space="0" w:color="auto"/>
            </w:tcBorders>
            <w:shd w:val="clear" w:color="auto" w:fill="C6EFCE"/>
            <w:noWrap/>
            <w:vAlign w:val="center"/>
            <w:hideMark/>
          </w:tcPr>
          <w:p w14:paraId="7C257820" w14:textId="77777777" w:rsidR="004C6421" w:rsidRDefault="009D1962">
            <w:pPr>
              <w:pStyle w:val="P68B1DB1-Normal4"/>
              <w:spacing w:line="276" w:lineRule="auto"/>
              <w:jc w:val="center"/>
              <w:rPr>
                <w:noProof/>
              </w:rPr>
            </w:pPr>
            <w:r>
              <w:rPr>
                <w:noProof/>
              </w:rPr>
              <w:t>M2C4-4</w:t>
            </w:r>
          </w:p>
        </w:tc>
        <w:tc>
          <w:tcPr>
            <w:tcW w:w="1495" w:type="dxa"/>
            <w:tcBorders>
              <w:top w:val="single" w:sz="4" w:space="0" w:color="auto"/>
              <w:left w:val="nil"/>
              <w:bottom w:val="single" w:sz="4" w:space="0" w:color="auto"/>
              <w:right w:val="single" w:sz="4" w:space="0" w:color="auto"/>
            </w:tcBorders>
            <w:shd w:val="clear" w:color="auto" w:fill="C6EFCE"/>
            <w:noWrap/>
            <w:vAlign w:val="center"/>
            <w:hideMark/>
          </w:tcPr>
          <w:p w14:paraId="447E60E8" w14:textId="77777777" w:rsidR="004C6421" w:rsidRDefault="009D1962">
            <w:pPr>
              <w:pStyle w:val="P68B1DB1-Normal4"/>
              <w:spacing w:line="276" w:lineRule="auto"/>
              <w:jc w:val="center"/>
              <w:rPr>
                <w:noProof/>
              </w:rPr>
            </w:pPr>
            <w:r>
              <w:rPr>
                <w:noProof/>
              </w:rPr>
              <w:t>Reforma 4.2 „Środki zapewniające pełne zdolności zarządzania zintegrowanymi usługami wodnymi”</w:t>
            </w:r>
          </w:p>
        </w:tc>
        <w:tc>
          <w:tcPr>
            <w:tcW w:w="1266" w:type="dxa"/>
            <w:tcBorders>
              <w:top w:val="nil"/>
              <w:left w:val="nil"/>
              <w:bottom w:val="single" w:sz="4" w:space="0" w:color="auto"/>
              <w:right w:val="single" w:sz="4" w:space="0" w:color="auto"/>
            </w:tcBorders>
            <w:shd w:val="clear" w:color="auto" w:fill="C6EFCE"/>
            <w:noWrap/>
            <w:vAlign w:val="center"/>
            <w:hideMark/>
          </w:tcPr>
          <w:p w14:paraId="3F5872BB" w14:textId="3BFED44D" w:rsidR="004C6421" w:rsidRDefault="00CC179E">
            <w:pPr>
              <w:pStyle w:val="P68B1DB1-Normal4"/>
              <w:spacing w:line="276" w:lineRule="auto"/>
              <w:jc w:val="center"/>
              <w:rPr>
                <w:noProof/>
              </w:rPr>
            </w:pPr>
            <w:r>
              <w:rPr>
                <w:noProof/>
              </w:rPr>
              <w:t>Milowy</w:t>
            </w:r>
          </w:p>
        </w:tc>
        <w:tc>
          <w:tcPr>
            <w:tcW w:w="1460" w:type="dxa"/>
            <w:tcBorders>
              <w:top w:val="single" w:sz="4" w:space="0" w:color="auto"/>
              <w:left w:val="nil"/>
              <w:bottom w:val="single" w:sz="4" w:space="0" w:color="auto"/>
              <w:right w:val="single" w:sz="4" w:space="0" w:color="auto"/>
            </w:tcBorders>
            <w:shd w:val="clear" w:color="auto" w:fill="C6EFCE"/>
            <w:noWrap/>
            <w:vAlign w:val="center"/>
            <w:hideMark/>
          </w:tcPr>
          <w:p w14:paraId="3F365097" w14:textId="77777777" w:rsidR="004C6421" w:rsidRDefault="009D1962">
            <w:pPr>
              <w:pStyle w:val="P68B1DB1-Normal4"/>
              <w:spacing w:line="276" w:lineRule="auto"/>
              <w:jc w:val="center"/>
              <w:rPr>
                <w:noProof/>
              </w:rPr>
            </w:pPr>
            <w:r>
              <w:rPr>
                <w:noProof/>
              </w:rPr>
              <w:t>Wejście w życie nowych ram prawnych dotyczących celów nawadniania</w:t>
            </w:r>
          </w:p>
        </w:tc>
        <w:tc>
          <w:tcPr>
            <w:tcW w:w="1414" w:type="dxa"/>
            <w:tcBorders>
              <w:top w:val="nil"/>
              <w:left w:val="nil"/>
              <w:bottom w:val="single" w:sz="4" w:space="0" w:color="auto"/>
              <w:right w:val="single" w:sz="4" w:space="0" w:color="auto"/>
            </w:tcBorders>
            <w:shd w:val="clear" w:color="auto" w:fill="C6EFCE"/>
            <w:noWrap/>
            <w:vAlign w:val="center"/>
            <w:hideMark/>
          </w:tcPr>
          <w:p w14:paraId="21BE96D6" w14:textId="77777777" w:rsidR="004C6421" w:rsidRDefault="009D1962">
            <w:pPr>
              <w:pStyle w:val="P68B1DB1-Normal4"/>
              <w:spacing w:line="276" w:lineRule="auto"/>
              <w:jc w:val="center"/>
              <w:rPr>
                <w:noProof/>
              </w:rPr>
            </w:pPr>
            <w:r>
              <w:rPr>
                <w:noProof/>
              </w:rPr>
              <w:t>Przepis w odpowiednim akcie prawnym wskazujący na wejście w życie NIE DOT.</w:t>
            </w:r>
          </w:p>
        </w:tc>
        <w:tc>
          <w:tcPr>
            <w:tcW w:w="1410" w:type="dxa"/>
            <w:tcBorders>
              <w:top w:val="nil"/>
              <w:left w:val="nil"/>
              <w:bottom w:val="single" w:sz="4" w:space="0" w:color="auto"/>
              <w:right w:val="single" w:sz="4" w:space="0" w:color="auto"/>
            </w:tcBorders>
            <w:shd w:val="clear" w:color="auto" w:fill="C6EFCE"/>
            <w:noWrap/>
            <w:vAlign w:val="center"/>
            <w:hideMark/>
          </w:tcPr>
          <w:p w14:paraId="27AD4B63" w14:textId="77777777" w:rsidR="004C6421" w:rsidRDefault="009D1962">
            <w:pPr>
              <w:pStyle w:val="P68B1DB1-Normal4"/>
              <w:spacing w:line="276" w:lineRule="auto"/>
              <w:jc w:val="center"/>
              <w:rPr>
                <w:noProof/>
              </w:rPr>
            </w:pPr>
            <w:r>
              <w:rPr>
                <w:noProof/>
              </w:rPr>
              <w:t>NIE DOT.</w:t>
            </w:r>
          </w:p>
        </w:tc>
        <w:tc>
          <w:tcPr>
            <w:tcW w:w="1047" w:type="dxa"/>
            <w:tcBorders>
              <w:top w:val="nil"/>
              <w:left w:val="nil"/>
              <w:bottom w:val="single" w:sz="4" w:space="0" w:color="auto"/>
              <w:right w:val="single" w:sz="4" w:space="0" w:color="auto"/>
            </w:tcBorders>
            <w:shd w:val="clear" w:color="auto" w:fill="C6EFCE"/>
            <w:noWrap/>
            <w:vAlign w:val="center"/>
            <w:hideMark/>
          </w:tcPr>
          <w:p w14:paraId="3E31DEEB" w14:textId="77777777" w:rsidR="004C6421" w:rsidRDefault="009D1962">
            <w:pPr>
              <w:pStyle w:val="P68B1DB1-Normal4"/>
              <w:spacing w:line="276" w:lineRule="auto"/>
              <w:jc w:val="center"/>
              <w:rPr>
                <w:noProof/>
              </w:rPr>
            </w:pPr>
            <w:r>
              <w:rPr>
                <w:noProof/>
              </w:rPr>
              <w:t>NIE DOT.</w:t>
            </w:r>
          </w:p>
        </w:tc>
        <w:tc>
          <w:tcPr>
            <w:tcW w:w="719" w:type="dxa"/>
            <w:tcBorders>
              <w:top w:val="nil"/>
              <w:left w:val="nil"/>
              <w:bottom w:val="single" w:sz="4" w:space="0" w:color="auto"/>
              <w:right w:val="single" w:sz="4" w:space="0" w:color="auto"/>
            </w:tcBorders>
            <w:shd w:val="clear" w:color="auto" w:fill="C6EFCE"/>
            <w:noWrap/>
            <w:vAlign w:val="center"/>
            <w:hideMark/>
          </w:tcPr>
          <w:p w14:paraId="1A41C1ED" w14:textId="77777777" w:rsidR="004C6421" w:rsidRDefault="009D1962">
            <w:pPr>
              <w:pStyle w:val="P68B1DB1-Normal4"/>
              <w:spacing w:line="276" w:lineRule="auto"/>
              <w:jc w:val="center"/>
              <w:rPr>
                <w:noProof/>
              </w:rPr>
            </w:pPr>
            <w:r>
              <w:rPr>
                <w:noProof/>
              </w:rPr>
              <w:t>NIE DOT.</w:t>
            </w:r>
          </w:p>
        </w:tc>
        <w:tc>
          <w:tcPr>
            <w:tcW w:w="809" w:type="dxa"/>
            <w:tcBorders>
              <w:top w:val="nil"/>
              <w:left w:val="nil"/>
              <w:bottom w:val="single" w:sz="4" w:space="0" w:color="auto"/>
              <w:right w:val="single" w:sz="4" w:space="0" w:color="auto"/>
            </w:tcBorders>
            <w:shd w:val="clear" w:color="auto" w:fill="C6EFCE"/>
            <w:noWrap/>
            <w:vAlign w:val="center"/>
            <w:hideMark/>
          </w:tcPr>
          <w:p w14:paraId="67B971CB" w14:textId="77777777" w:rsidR="004C6421" w:rsidRDefault="009D1962">
            <w:pPr>
              <w:pStyle w:val="P68B1DB1-Normal4"/>
              <w:spacing w:line="276" w:lineRule="auto"/>
              <w:jc w:val="center"/>
              <w:rPr>
                <w:noProof/>
              </w:rPr>
            </w:pPr>
            <w:r>
              <w:rPr>
                <w:noProof/>
              </w:rPr>
              <w:t>II KW.</w:t>
            </w:r>
          </w:p>
        </w:tc>
        <w:tc>
          <w:tcPr>
            <w:tcW w:w="794" w:type="dxa"/>
            <w:tcBorders>
              <w:top w:val="nil"/>
              <w:left w:val="nil"/>
              <w:bottom w:val="single" w:sz="4" w:space="0" w:color="auto"/>
              <w:right w:val="single" w:sz="4" w:space="0" w:color="auto"/>
            </w:tcBorders>
            <w:shd w:val="clear" w:color="auto" w:fill="C6EFCE"/>
            <w:noWrap/>
            <w:vAlign w:val="center"/>
            <w:hideMark/>
          </w:tcPr>
          <w:p w14:paraId="504F6AA3" w14:textId="77777777" w:rsidR="004C6421" w:rsidRDefault="009D1962">
            <w:pPr>
              <w:pStyle w:val="P68B1DB1-Normal4"/>
              <w:spacing w:line="276" w:lineRule="auto"/>
              <w:jc w:val="center"/>
              <w:rPr>
                <w:noProof/>
              </w:rPr>
            </w:pPr>
            <w:r>
              <w:rPr>
                <w:noProof/>
              </w:rPr>
              <w:t>2022</w:t>
            </w:r>
          </w:p>
        </w:tc>
        <w:tc>
          <w:tcPr>
            <w:tcW w:w="2799" w:type="dxa"/>
            <w:tcBorders>
              <w:top w:val="nil"/>
              <w:left w:val="nil"/>
              <w:bottom w:val="single" w:sz="4" w:space="0" w:color="auto"/>
              <w:right w:val="single" w:sz="4" w:space="0" w:color="auto"/>
            </w:tcBorders>
            <w:shd w:val="clear" w:color="auto" w:fill="C6EFCE"/>
            <w:noWrap/>
            <w:vAlign w:val="center"/>
            <w:hideMark/>
          </w:tcPr>
          <w:p w14:paraId="11BACCA7" w14:textId="77777777" w:rsidR="004C6421" w:rsidRDefault="009D1962">
            <w:pPr>
              <w:pStyle w:val="P68B1DB1-Normal4"/>
              <w:spacing w:line="276" w:lineRule="auto"/>
              <w:rPr>
                <w:noProof/>
              </w:rPr>
            </w:pPr>
            <w:r>
              <w:rPr>
                <w:noProof/>
              </w:rPr>
              <w:t>Zmienione ramy prawne są co najmniej:</w:t>
            </w:r>
          </w:p>
          <w:p w14:paraId="4649E98D" w14:textId="77777777" w:rsidR="004C6421" w:rsidRDefault="004C6421">
            <w:pPr>
              <w:spacing w:line="276" w:lineRule="auto"/>
              <w:rPr>
                <w:rFonts w:ascii="Arial Narrow" w:hAnsi="Arial Narrow"/>
                <w:noProof/>
                <w:color w:val="006100"/>
                <w:sz w:val="20"/>
              </w:rPr>
            </w:pPr>
          </w:p>
          <w:p w14:paraId="1C91999F" w14:textId="77777777" w:rsidR="004C6421" w:rsidRDefault="009D1962">
            <w:pPr>
              <w:pStyle w:val="P68B1DB1-Normal4"/>
              <w:spacing w:line="276" w:lineRule="auto"/>
              <w:rPr>
                <w:noProof/>
              </w:rPr>
            </w:pPr>
            <w:r>
              <w:rPr>
                <w:noProof/>
              </w:rPr>
              <w:t>—Ustanawiać system kar za nielegalne wydobywanie wody</w:t>
            </w:r>
          </w:p>
          <w:p w14:paraId="18BF229C" w14:textId="77777777" w:rsidR="004C6421" w:rsidRDefault="009D1962">
            <w:pPr>
              <w:pStyle w:val="P68B1DB1-Normal4"/>
              <w:spacing w:line="276" w:lineRule="auto"/>
              <w:rPr>
                <w:noProof/>
              </w:rPr>
            </w:pPr>
            <w:r>
              <w:rPr>
                <w:noProof/>
              </w:rPr>
              <w:t>Wymagać przeprowadzenia oceny skutków, o której mowa w art. 4 ust. 7 ramowej dyrektywy wodnej, aby ocenić (ewentualnie łączny) wpływ na wszystkie potencjalnie dotknięte części wód.</w:t>
            </w:r>
          </w:p>
          <w:p w14:paraId="779F76D6" w14:textId="77777777" w:rsidR="004C6421" w:rsidRDefault="009D1962">
            <w:pPr>
              <w:pStyle w:val="P68B1DB1-Normal4"/>
              <w:spacing w:line="276" w:lineRule="auto"/>
              <w:rPr>
                <w:noProof/>
              </w:rPr>
            </w:pPr>
            <w:r>
              <w:rPr>
                <w:noProof/>
              </w:rPr>
              <w:t>—Zapewnienie, aby uniknąć rozbudowy istniejącego systemu nawadniania (w tym poprzez zwiększone wykorzystanie wody, tj. nie tylko ekspansję fizyczną), nawet za pomocą bardziej wydajnych metod, w przypadku gdy dane jednolite części wód (wody powierzchniowe lub podziemne) są lub prognozowane (w kontekście nasilającej się zmiany klimatu) będą w stanie poniżej dobrego lub potencjalnie dobrego stanu.</w:t>
            </w:r>
          </w:p>
        </w:tc>
      </w:tr>
      <w:tr w:rsidR="004C6421" w14:paraId="56C986B2" w14:textId="77777777">
        <w:trPr>
          <w:trHeight w:val="309"/>
          <w:jc w:val="center"/>
        </w:trPr>
        <w:tc>
          <w:tcPr>
            <w:tcW w:w="1347" w:type="dxa"/>
            <w:tcBorders>
              <w:top w:val="nil"/>
              <w:left w:val="single" w:sz="4" w:space="0" w:color="auto"/>
              <w:bottom w:val="single" w:sz="4" w:space="0" w:color="auto"/>
              <w:right w:val="single" w:sz="4" w:space="0" w:color="auto"/>
            </w:tcBorders>
            <w:shd w:val="clear" w:color="auto" w:fill="C6EFCE"/>
            <w:noWrap/>
            <w:vAlign w:val="center"/>
            <w:hideMark/>
          </w:tcPr>
          <w:p w14:paraId="5A96122D" w14:textId="77777777" w:rsidR="004C6421" w:rsidRDefault="009D1962">
            <w:pPr>
              <w:pStyle w:val="P68B1DB1-Normal4"/>
              <w:spacing w:line="276" w:lineRule="auto"/>
              <w:jc w:val="center"/>
              <w:rPr>
                <w:noProof/>
              </w:rPr>
            </w:pPr>
            <w:r>
              <w:rPr>
                <w:noProof/>
              </w:rPr>
              <w:t>M2C4-5</w:t>
            </w:r>
          </w:p>
        </w:tc>
        <w:tc>
          <w:tcPr>
            <w:tcW w:w="1495" w:type="dxa"/>
            <w:tcBorders>
              <w:top w:val="single" w:sz="4" w:space="0" w:color="auto"/>
              <w:left w:val="nil"/>
              <w:bottom w:val="single" w:sz="4" w:space="0" w:color="auto"/>
              <w:right w:val="single" w:sz="4" w:space="0" w:color="auto"/>
            </w:tcBorders>
            <w:shd w:val="clear" w:color="auto" w:fill="C6EFCE"/>
            <w:noWrap/>
            <w:vAlign w:val="center"/>
            <w:hideMark/>
          </w:tcPr>
          <w:p w14:paraId="4A44299B" w14:textId="77777777" w:rsidR="004C6421" w:rsidRDefault="009D1962">
            <w:pPr>
              <w:pStyle w:val="P68B1DB1-Normal4"/>
              <w:spacing w:line="276" w:lineRule="auto"/>
              <w:jc w:val="center"/>
              <w:rPr>
                <w:noProof/>
              </w:rPr>
            </w:pPr>
            <w:r>
              <w:rPr>
                <w:noProof/>
              </w:rPr>
              <w:t>Inwestycje 3.2: Cyfryzacja parków narodowych</w:t>
            </w:r>
          </w:p>
        </w:tc>
        <w:tc>
          <w:tcPr>
            <w:tcW w:w="1266" w:type="dxa"/>
            <w:tcBorders>
              <w:top w:val="nil"/>
              <w:left w:val="nil"/>
              <w:bottom w:val="single" w:sz="4" w:space="0" w:color="auto"/>
              <w:right w:val="single" w:sz="4" w:space="0" w:color="auto"/>
            </w:tcBorders>
            <w:shd w:val="clear" w:color="auto" w:fill="C6EFCE"/>
            <w:noWrap/>
            <w:vAlign w:val="center"/>
            <w:hideMark/>
          </w:tcPr>
          <w:p w14:paraId="33FCF04F" w14:textId="3A236E42" w:rsidR="004C6421" w:rsidRDefault="00CC179E">
            <w:pPr>
              <w:pStyle w:val="P68B1DB1-Normal4"/>
              <w:spacing w:line="276" w:lineRule="auto"/>
              <w:jc w:val="center"/>
              <w:rPr>
                <w:noProof/>
              </w:rPr>
            </w:pPr>
            <w:r>
              <w:rPr>
                <w:noProof/>
              </w:rPr>
              <w:t>Milowy</w:t>
            </w:r>
          </w:p>
        </w:tc>
        <w:tc>
          <w:tcPr>
            <w:tcW w:w="1460" w:type="dxa"/>
            <w:tcBorders>
              <w:top w:val="single" w:sz="4" w:space="0" w:color="auto"/>
              <w:left w:val="nil"/>
              <w:bottom w:val="single" w:sz="4" w:space="0" w:color="auto"/>
              <w:right w:val="single" w:sz="4" w:space="0" w:color="auto"/>
            </w:tcBorders>
            <w:shd w:val="clear" w:color="auto" w:fill="C6EFCE"/>
            <w:noWrap/>
            <w:vAlign w:val="center"/>
            <w:hideMark/>
          </w:tcPr>
          <w:p w14:paraId="099BC7BE" w14:textId="77777777" w:rsidR="004C6421" w:rsidRDefault="009D1962">
            <w:pPr>
              <w:pStyle w:val="P68B1DB1-Normal4"/>
              <w:spacing w:line="276" w:lineRule="auto"/>
              <w:jc w:val="center"/>
              <w:rPr>
                <w:noProof/>
              </w:rPr>
            </w:pPr>
            <w:r>
              <w:rPr>
                <w:noProof/>
              </w:rPr>
              <w:t>Wejście w życie uproszczenia administracyjnego i rozwoju usług cyfrowych dla odwiedzających parki narodowe i chronione obszary morskie</w:t>
            </w:r>
          </w:p>
        </w:tc>
        <w:tc>
          <w:tcPr>
            <w:tcW w:w="1414" w:type="dxa"/>
            <w:tcBorders>
              <w:top w:val="nil"/>
              <w:left w:val="nil"/>
              <w:bottom w:val="single" w:sz="4" w:space="0" w:color="auto"/>
              <w:right w:val="single" w:sz="4" w:space="0" w:color="auto"/>
            </w:tcBorders>
            <w:shd w:val="clear" w:color="auto" w:fill="C6EFCE"/>
            <w:noWrap/>
            <w:vAlign w:val="center"/>
            <w:hideMark/>
          </w:tcPr>
          <w:p w14:paraId="384A6A9D" w14:textId="77777777" w:rsidR="004C6421" w:rsidRDefault="009D1962">
            <w:pPr>
              <w:pStyle w:val="P68B1DB1-Normal4"/>
              <w:spacing w:line="276" w:lineRule="auto"/>
              <w:jc w:val="center"/>
              <w:rPr>
                <w:noProof/>
              </w:rPr>
            </w:pPr>
            <w:r>
              <w:rPr>
                <w:noProof/>
              </w:rPr>
              <w:t>Przepis dekretu ministerialnego w sprawie wejścia w życie NIE DOT.</w:t>
            </w:r>
          </w:p>
        </w:tc>
        <w:tc>
          <w:tcPr>
            <w:tcW w:w="1410" w:type="dxa"/>
            <w:tcBorders>
              <w:top w:val="nil"/>
              <w:left w:val="nil"/>
              <w:bottom w:val="single" w:sz="4" w:space="0" w:color="auto"/>
              <w:right w:val="single" w:sz="4" w:space="0" w:color="auto"/>
            </w:tcBorders>
            <w:shd w:val="clear" w:color="auto" w:fill="C6EFCE"/>
            <w:noWrap/>
            <w:vAlign w:val="center"/>
            <w:hideMark/>
          </w:tcPr>
          <w:p w14:paraId="19E8D16B" w14:textId="77777777" w:rsidR="004C6421" w:rsidRDefault="009D1962">
            <w:pPr>
              <w:pStyle w:val="P68B1DB1-Normal4"/>
              <w:spacing w:line="276" w:lineRule="auto"/>
              <w:jc w:val="center"/>
              <w:rPr>
                <w:noProof/>
              </w:rPr>
            </w:pPr>
            <w:r>
              <w:rPr>
                <w:noProof/>
              </w:rPr>
              <w:t>NIE DOT.</w:t>
            </w:r>
          </w:p>
        </w:tc>
        <w:tc>
          <w:tcPr>
            <w:tcW w:w="1047" w:type="dxa"/>
            <w:tcBorders>
              <w:top w:val="nil"/>
              <w:left w:val="nil"/>
              <w:bottom w:val="single" w:sz="4" w:space="0" w:color="auto"/>
              <w:right w:val="single" w:sz="4" w:space="0" w:color="auto"/>
            </w:tcBorders>
            <w:shd w:val="clear" w:color="auto" w:fill="C6EFCE"/>
            <w:noWrap/>
            <w:vAlign w:val="center"/>
            <w:hideMark/>
          </w:tcPr>
          <w:p w14:paraId="13B6BB2F" w14:textId="77777777" w:rsidR="004C6421" w:rsidRDefault="009D1962">
            <w:pPr>
              <w:pStyle w:val="P68B1DB1-Normal4"/>
              <w:spacing w:line="276" w:lineRule="auto"/>
              <w:jc w:val="center"/>
              <w:rPr>
                <w:noProof/>
              </w:rPr>
            </w:pPr>
            <w:r>
              <w:rPr>
                <w:noProof/>
              </w:rPr>
              <w:t>NIE DOT.</w:t>
            </w:r>
          </w:p>
        </w:tc>
        <w:tc>
          <w:tcPr>
            <w:tcW w:w="719" w:type="dxa"/>
            <w:tcBorders>
              <w:top w:val="nil"/>
              <w:left w:val="nil"/>
              <w:bottom w:val="single" w:sz="4" w:space="0" w:color="auto"/>
              <w:right w:val="single" w:sz="4" w:space="0" w:color="auto"/>
            </w:tcBorders>
            <w:shd w:val="clear" w:color="auto" w:fill="C6EFCE"/>
            <w:noWrap/>
            <w:vAlign w:val="center"/>
            <w:hideMark/>
          </w:tcPr>
          <w:p w14:paraId="6437AE39" w14:textId="77777777" w:rsidR="004C6421" w:rsidRDefault="009D1962">
            <w:pPr>
              <w:pStyle w:val="P68B1DB1-Normal4"/>
              <w:spacing w:line="276" w:lineRule="auto"/>
              <w:jc w:val="center"/>
              <w:rPr>
                <w:noProof/>
              </w:rPr>
            </w:pPr>
            <w:r>
              <w:rPr>
                <w:noProof/>
              </w:rPr>
              <w:t>NIE DOT.</w:t>
            </w:r>
          </w:p>
        </w:tc>
        <w:tc>
          <w:tcPr>
            <w:tcW w:w="809" w:type="dxa"/>
            <w:tcBorders>
              <w:top w:val="nil"/>
              <w:left w:val="nil"/>
              <w:bottom w:val="single" w:sz="4" w:space="0" w:color="auto"/>
              <w:right w:val="single" w:sz="4" w:space="0" w:color="auto"/>
            </w:tcBorders>
            <w:shd w:val="clear" w:color="auto" w:fill="C6EFCE"/>
            <w:noWrap/>
            <w:vAlign w:val="center"/>
            <w:hideMark/>
          </w:tcPr>
          <w:p w14:paraId="4723AABB" w14:textId="7C499D1C" w:rsidR="004C6421" w:rsidRDefault="00CC179E">
            <w:pPr>
              <w:pStyle w:val="P68B1DB1-Normal4"/>
              <w:spacing w:line="276" w:lineRule="auto"/>
              <w:jc w:val="center"/>
              <w:rPr>
                <w:noProof/>
              </w:rPr>
            </w:pPr>
            <w:r>
              <w:rPr>
                <w:noProof/>
              </w:rPr>
              <w:t>KW. 1</w:t>
            </w:r>
          </w:p>
        </w:tc>
        <w:tc>
          <w:tcPr>
            <w:tcW w:w="794" w:type="dxa"/>
            <w:tcBorders>
              <w:top w:val="nil"/>
              <w:left w:val="nil"/>
              <w:bottom w:val="single" w:sz="4" w:space="0" w:color="auto"/>
              <w:right w:val="single" w:sz="4" w:space="0" w:color="auto"/>
            </w:tcBorders>
            <w:shd w:val="clear" w:color="auto" w:fill="C6EFCE"/>
            <w:noWrap/>
            <w:vAlign w:val="center"/>
            <w:hideMark/>
          </w:tcPr>
          <w:p w14:paraId="3E59A299" w14:textId="77777777" w:rsidR="004C6421" w:rsidRDefault="009D1962">
            <w:pPr>
              <w:pStyle w:val="P68B1DB1-Normal4"/>
              <w:spacing w:line="276" w:lineRule="auto"/>
              <w:jc w:val="center"/>
              <w:rPr>
                <w:noProof/>
              </w:rPr>
            </w:pPr>
            <w:r>
              <w:rPr>
                <w:noProof/>
              </w:rPr>
              <w:t>2022</w:t>
            </w:r>
          </w:p>
        </w:tc>
        <w:tc>
          <w:tcPr>
            <w:tcW w:w="2799" w:type="dxa"/>
            <w:tcBorders>
              <w:top w:val="nil"/>
              <w:left w:val="nil"/>
              <w:bottom w:val="single" w:sz="4" w:space="0" w:color="auto"/>
              <w:right w:val="single" w:sz="4" w:space="0" w:color="auto"/>
            </w:tcBorders>
            <w:shd w:val="clear" w:color="auto" w:fill="C6EFCE"/>
            <w:noWrap/>
            <w:vAlign w:val="center"/>
            <w:hideMark/>
          </w:tcPr>
          <w:p w14:paraId="0FBF992F" w14:textId="77777777" w:rsidR="004C6421" w:rsidRDefault="009D1962">
            <w:pPr>
              <w:pStyle w:val="P68B1DB1-Normal4"/>
              <w:spacing w:line="276" w:lineRule="auto"/>
              <w:rPr>
                <w:noProof/>
              </w:rPr>
            </w:pPr>
            <w:r>
              <w:rPr>
                <w:noProof/>
              </w:rPr>
              <w:t>Dekret ministerialny nakazuje rozwój usług cyfrowych dla odwiedzających parki narodowe i chronione obszary morskie.</w:t>
            </w:r>
          </w:p>
          <w:p w14:paraId="44644C22" w14:textId="77777777" w:rsidR="004C6421" w:rsidRDefault="004C6421">
            <w:pPr>
              <w:spacing w:line="276" w:lineRule="auto"/>
              <w:rPr>
                <w:rFonts w:ascii="Arial Narrow" w:hAnsi="Arial Narrow"/>
                <w:noProof/>
                <w:color w:val="006100"/>
                <w:sz w:val="20"/>
              </w:rPr>
            </w:pPr>
          </w:p>
        </w:tc>
      </w:tr>
    </w:tbl>
    <w:p w14:paraId="0C414C69" w14:textId="77777777" w:rsidR="004C6421" w:rsidRDefault="004C6421">
      <w:pPr>
        <w:spacing w:before="120" w:after="120"/>
        <w:ind w:left="709"/>
        <w:jc w:val="both"/>
        <w:rPr>
          <w:noProof/>
        </w:rPr>
      </w:pPr>
    </w:p>
    <w:p w14:paraId="401D0148" w14:textId="77777777" w:rsidR="004C6421" w:rsidRDefault="004C6421">
      <w:pPr>
        <w:spacing w:before="120" w:after="120"/>
        <w:ind w:left="709"/>
        <w:jc w:val="both"/>
        <w:rPr>
          <w:noProof/>
        </w:rPr>
        <w:sectPr w:rsidR="004C6421" w:rsidSect="00797973">
          <w:headerReference w:type="even" r:id="rId194"/>
          <w:headerReference w:type="default" r:id="rId195"/>
          <w:footerReference w:type="even" r:id="rId196"/>
          <w:footerReference w:type="default" r:id="rId197"/>
          <w:headerReference w:type="first" r:id="rId198"/>
          <w:footerReference w:type="first" r:id="rId199"/>
          <w:pgSz w:w="16838" w:h="11906" w:orient="landscape" w:code="9"/>
          <w:pgMar w:top="1134" w:right="1134" w:bottom="1134" w:left="1134" w:header="567" w:footer="567" w:gutter="0"/>
          <w:cols w:space="720"/>
          <w:docGrid w:linePitch="360"/>
        </w:sectPr>
      </w:pPr>
    </w:p>
    <w:p w14:paraId="33C6F648" w14:textId="77777777" w:rsidR="004C6421" w:rsidRDefault="009D1962">
      <w:pPr>
        <w:pStyle w:val="Heading3"/>
        <w:numPr>
          <w:ilvl w:val="0"/>
          <w:numId w:val="0"/>
        </w:numPr>
        <w:ind w:left="850" w:hanging="850"/>
        <w:rPr>
          <w:b/>
          <w:i w:val="0"/>
          <w:noProof/>
          <w:color w:val="4472C4" w:themeColor="accent1"/>
          <w:u w:val="single"/>
        </w:rPr>
      </w:pPr>
      <w:r>
        <w:rPr>
          <w:b/>
          <w:i w:val="0"/>
          <w:noProof/>
          <w:u w:val="single"/>
        </w:rPr>
        <w:t xml:space="preserve">G.3. </w:t>
      </w:r>
      <w:r>
        <w:rPr>
          <w:noProof/>
        </w:rPr>
        <w:t xml:space="preserve"> </w:t>
      </w:r>
      <w:r>
        <w:rPr>
          <w:b/>
          <w:i w:val="0"/>
          <w:noProof/>
          <w:u w:val="single"/>
        </w:rPr>
        <w:t xml:space="preserve">Opis reform i inwestycji związanych z pożyczką </w:t>
      </w:r>
    </w:p>
    <w:p w14:paraId="72E2FACD" w14:textId="77777777" w:rsidR="004C6421" w:rsidRDefault="009D1962">
      <w:pPr>
        <w:pStyle w:val="P68B1DB1-Normal2"/>
        <w:spacing w:before="120" w:after="120" w:line="257" w:lineRule="auto"/>
        <w:jc w:val="both"/>
        <w:rPr>
          <w:noProof/>
        </w:rPr>
      </w:pPr>
      <w:r>
        <w:rPr>
          <w:noProof/>
        </w:rPr>
        <w:t xml:space="preserve">Reforma 3.1 Przyjęcie krajowych programów kontroli zanieczyszczenia powietrza </w:t>
      </w:r>
    </w:p>
    <w:p w14:paraId="08BC71BA" w14:textId="77777777" w:rsidR="004C6421" w:rsidRDefault="009D1962">
      <w:pPr>
        <w:spacing w:before="120" w:after="120"/>
        <w:jc w:val="both"/>
        <w:rPr>
          <w:noProof/>
        </w:rPr>
      </w:pPr>
      <w:r>
        <w:rPr>
          <w:noProof/>
        </w:rPr>
        <w:t>Reforma ma na celu dostosowanie ustawodawstwa krajowego i regionalnego oraz wprowadzenie powiązanych środków redukcji emisji zanieczyszczeń powietrza (zgodnie z celami określonymi w dyrektywie 2016/2284 w sprawie krajowych poziomów emisji i zmiany gazów klimatycznych).</w:t>
      </w:r>
    </w:p>
    <w:p w14:paraId="4063ABBC" w14:textId="77777777" w:rsidR="004C6421" w:rsidRDefault="009D1962">
      <w:pPr>
        <w:pStyle w:val="P68B1DB1-Normal2"/>
        <w:spacing w:before="120" w:after="120" w:line="257" w:lineRule="auto"/>
        <w:jc w:val="both"/>
        <w:rPr>
          <w:noProof/>
        </w:rPr>
      </w:pPr>
      <w:r>
        <w:rPr>
          <w:noProof/>
        </w:rPr>
        <w:t>Inwestycje 1.1: Wdrożenie zaawansowanego i zintegrowanego systemu monitorowania i prognozowania</w:t>
      </w:r>
    </w:p>
    <w:p w14:paraId="4AC029DB" w14:textId="77777777" w:rsidR="004C6421" w:rsidRDefault="009D1962">
      <w:pPr>
        <w:spacing w:before="120" w:after="120"/>
        <w:jc w:val="both"/>
        <w:rPr>
          <w:noProof/>
        </w:rPr>
      </w:pPr>
      <w:r>
        <w:rPr>
          <w:noProof/>
        </w:rPr>
        <w:t>W ramach inwestycji opracowuje się system monitorowania w celu identyfikacji i przewidywania zagrożeń wynikających ze zmiany klimatu i nieodpowiedniego planowania przestrzennego z wykorzystaniem zaawansowanych technologii. Technologie te umożliwiają zdalne sterowanie dużymi pasmami terytorialnymi, tworząc podstawę do opracowania planów zapobiegania zagrożeniom, w tym wzmocnienia istniejącej infrastruktury oraz identyfikacji nielegalnego unieszkodliwiania odpadów. Głównymi instrumentami, które należy opracować, aby osiągnąć te cele, są gromadzenie danych przestrzennych z wykorzystaniem satelitarnych systemów obserwacji, dronów, czujników zdalnych oraz integracji systemów informacyjnych; sieci telekomunikacyjne o najbardziej zaawansowanych wymogach bezpieczeństwa; utworzenie centralnych i regionalnych posterunków kontroli w celu uzyskania dostępu do informacji zebranych na miejscu; oraz systemy i usługi bezpieczeństwa cybernetycznego służące ochronie przed cyberatakami. Interwencje odbywają się głównie w ośmiu regionach Południa.</w:t>
      </w:r>
    </w:p>
    <w:p w14:paraId="4912993D" w14:textId="77777777" w:rsidR="004C6421" w:rsidRDefault="009D1962">
      <w:pPr>
        <w:pStyle w:val="P68B1DB1-Normal2"/>
        <w:spacing w:before="120" w:after="120" w:line="257" w:lineRule="auto"/>
        <w:jc w:val="both"/>
        <w:rPr>
          <w:noProof/>
        </w:rPr>
      </w:pPr>
      <w:r>
        <w:rPr>
          <w:noProof/>
        </w:rPr>
        <w:t>Inwestycja 2.1: Środki na rzecz zmniejszenia ryzyka powodziowego i hydrogeologicznego</w:t>
      </w:r>
    </w:p>
    <w:p w14:paraId="698D9B77" w14:textId="77777777" w:rsidR="004C6421" w:rsidRDefault="009D1962">
      <w:pPr>
        <w:spacing w:after="120"/>
        <w:jc w:val="both"/>
        <w:rPr>
          <w:noProof/>
        </w:rPr>
      </w:pPr>
      <w:r>
        <w:rPr>
          <w:noProof/>
        </w:rPr>
        <w:t>Obszar Włoch charakteryzuje się znacznym stopniem niestabilności hydrogeologicznej, którą pogłębiły skutki zmiany klimatu. Ryzyko to ma szkodliwy wpływ nie tylko na jakość życia, ale również na działalność gospodarczą obszarów najbardziej narażonych na to ryzyko. Środek ten dzieli się na dwa kierunki działania:</w:t>
      </w:r>
    </w:p>
    <w:p w14:paraId="78920A0E" w14:textId="77777777" w:rsidR="004C6421" w:rsidRDefault="009D1962">
      <w:pPr>
        <w:spacing w:after="120"/>
        <w:jc w:val="both"/>
        <w:rPr>
          <w:noProof/>
        </w:rPr>
      </w:pPr>
      <w:r>
        <w:rPr>
          <w:noProof/>
        </w:rPr>
        <w:t xml:space="preserve">Środek ten dzieli się na dwa kierunki działania, z udziałem odpowiednio </w:t>
      </w:r>
      <w:r>
        <w:rPr>
          <w:i/>
          <w:noProof/>
        </w:rPr>
        <w:t>Protezione Civile</w:t>
      </w:r>
      <w:r>
        <w:rPr>
          <w:noProof/>
        </w:rPr>
        <w:t xml:space="preserve"> i</w:t>
      </w:r>
      <w:r>
        <w:rPr>
          <w:i/>
          <w:noProof/>
        </w:rPr>
        <w:t xml:space="preserve"> </w:t>
      </w:r>
      <w:r>
        <w:rPr>
          <w:noProof/>
        </w:rPr>
        <w:t>„komisarz ds. sytuacji nadzwyczajnych ds. odbudowy na terytoriach Emilia Romagna, Toskania i Marche” dotkniętych powodziami w maju 2023</w:t>
      </w:r>
      <w:r>
        <w:rPr>
          <w:i/>
          <w:noProof/>
        </w:rPr>
        <w:t xml:space="preserve"> r. (Commissario per la ricostruzione nel territorio della regione Emilia Romagna, Toscana e Marche)</w:t>
      </w:r>
      <w:r>
        <w:rPr>
          <w:noProof/>
        </w:rPr>
        <w:t xml:space="preserve"> jako odpowiedzialna administracja. </w:t>
      </w:r>
    </w:p>
    <w:p w14:paraId="1598B586" w14:textId="77777777" w:rsidR="004C6421" w:rsidRDefault="009D1962">
      <w:pPr>
        <w:spacing w:after="120"/>
        <w:jc w:val="both"/>
        <w:rPr>
          <w:noProof/>
        </w:rPr>
      </w:pPr>
      <w:r>
        <w:rPr>
          <w:noProof/>
        </w:rPr>
        <w:t>W odniesieniu do pierwszej linii działania należy podjąć szeroki i kompleksowy zestaw interwencji w celu przywrócenia zniszczonych struktur i infrastruktury publicznej (interwencje typu E) oraz ograniczenia ryzyka rezydualnego ściśle związanego z wydarzeniem i mających przede wszystkim na celu ochronę bezpieczeństwa publicznego i prywatnego (interwencje typu D).</w:t>
      </w:r>
    </w:p>
    <w:p w14:paraId="1E7881AA" w14:textId="77777777" w:rsidR="004C6421" w:rsidRDefault="009D1962">
      <w:pPr>
        <w:spacing w:after="120"/>
        <w:jc w:val="both"/>
        <w:rPr>
          <w:noProof/>
        </w:rPr>
      </w:pPr>
      <w:r>
        <w:rPr>
          <w:noProof/>
        </w:rPr>
        <w:t xml:space="preserve">Drugi kierunek działań obejmuje interwencje określone przez komisarza ds. stanu nadzwyczajnego, w szczególności prowincje Ascoli Piceno, Bolonia, Ferrara, Fermo, Firenze, Forli-Cesena, Modena, Pesaro-Urbino, Ravenna, Reggio-Emilia, Rimini. </w:t>
      </w:r>
    </w:p>
    <w:p w14:paraId="10132224" w14:textId="77777777" w:rsidR="004C6421" w:rsidRDefault="009D1962">
      <w:pPr>
        <w:spacing w:after="120"/>
        <w:jc w:val="both"/>
        <w:rPr>
          <w:noProof/>
        </w:rPr>
      </w:pPr>
      <w:r>
        <w:rPr>
          <w:noProof/>
        </w:rPr>
        <w:t>Interwencje dotyczą:</w:t>
      </w:r>
    </w:p>
    <w:p w14:paraId="49116837" w14:textId="77777777" w:rsidR="004C6421" w:rsidRDefault="009D1962">
      <w:pPr>
        <w:pStyle w:val="ListParagraph"/>
        <w:numPr>
          <w:ilvl w:val="0"/>
          <w:numId w:val="101"/>
        </w:numPr>
        <w:spacing w:before="0"/>
        <w:rPr>
          <w:noProof/>
        </w:rPr>
      </w:pPr>
      <w:r>
        <w:rPr>
          <w:noProof/>
        </w:rPr>
        <w:t>Interwencje mające na celu przywrócenie dróg wodnych i zwiększenie ochrony przed powodziami i osuwaniem się ziemi. Interwencje obejmują w miarę możliwości rozwiązania oparte na zasobach przyrody i mogą przewidywać ponowne wykorzystanie materiałów transportowanych przez powódź. Interwencje powinny również promować, w miarę możliwości, przyjęcie zrównoważonych praktyk gospodarowania glebami i gruntami w celu wspierania długoterminowej odporności gleb, powstrzymania degradacji gleby i łagodzenia skutków zmiany klimatu;</w:t>
      </w:r>
    </w:p>
    <w:p w14:paraId="3BD7D51B" w14:textId="77777777" w:rsidR="004C6421" w:rsidRDefault="009D1962">
      <w:pPr>
        <w:pStyle w:val="ListParagraph"/>
        <w:numPr>
          <w:ilvl w:val="0"/>
          <w:numId w:val="101"/>
        </w:numPr>
        <w:spacing w:before="0"/>
        <w:rPr>
          <w:noProof/>
        </w:rPr>
      </w:pPr>
      <w:r>
        <w:rPr>
          <w:noProof/>
        </w:rPr>
        <w:t>Interwencje związane z odbudową sieci transportowej. Interwencje mogą obejmować infrastrukturę uzupełniającą (w tym mosty), która poniosła szkody i wymaga naprawy;</w:t>
      </w:r>
    </w:p>
    <w:p w14:paraId="62173F74" w14:textId="77777777" w:rsidR="004C6421" w:rsidRDefault="009D1962">
      <w:pPr>
        <w:pStyle w:val="ListParagraph"/>
        <w:numPr>
          <w:ilvl w:val="0"/>
          <w:numId w:val="101"/>
        </w:numPr>
        <w:spacing w:before="0"/>
        <w:rPr>
          <w:noProof/>
        </w:rPr>
      </w:pPr>
      <w:r>
        <w:rPr>
          <w:noProof/>
        </w:rPr>
        <w:t>Interwencje mające na celu odbudowę budynków publicznych, w tym domów publicznych i ośrodków zdrowia.</w:t>
      </w:r>
    </w:p>
    <w:p w14:paraId="30EA2C65" w14:textId="77777777" w:rsidR="004C6421" w:rsidRDefault="009D1962">
      <w:pPr>
        <w:spacing w:after="120"/>
        <w:jc w:val="both"/>
        <w:rPr>
          <w:noProof/>
        </w:rPr>
      </w:pPr>
      <w:r>
        <w:rPr>
          <w:noProof/>
        </w:rPr>
        <w:t>Oczekuje się, że środek ten nie spowoduje poważnych szkód dla celów środowiskowych w rozumieniu art. 17 rozporządzenia (UE) 2020/852, biorąc pod uwagę opis środka i działania łagodzące określone w planie odbudowy i zwiększania odporności zgodnie z wytycznymi technicznymi dotyczącymi zasady „nie czyń poważnych szkód” (2021/C58/01). Inwestycja nie przewiduje instalacji lub wymiany kotłów gazowych ani zakupu pojazdów.</w:t>
      </w:r>
    </w:p>
    <w:p w14:paraId="22B5DDB5" w14:textId="77777777" w:rsidR="004C6421" w:rsidRDefault="009D1962">
      <w:pPr>
        <w:pStyle w:val="P68B1DB1-Normal2"/>
        <w:spacing w:before="120" w:after="120" w:line="257" w:lineRule="auto"/>
        <w:jc w:val="both"/>
        <w:rPr>
          <w:noProof/>
        </w:rPr>
      </w:pPr>
      <w:r>
        <w:rPr>
          <w:noProof/>
        </w:rPr>
        <w:t xml:space="preserve">Inwestycja 3.1: Ochrona i poprawa stanu lasów miejskich i podmiejskich </w:t>
      </w:r>
    </w:p>
    <w:p w14:paraId="36073961" w14:textId="77777777" w:rsidR="004C6421" w:rsidRDefault="009D1962">
      <w:pPr>
        <w:spacing w:before="120" w:after="120"/>
        <w:jc w:val="both"/>
        <w:rPr>
          <w:noProof/>
        </w:rPr>
      </w:pPr>
      <w:r>
        <w:rPr>
          <w:noProof/>
        </w:rPr>
        <w:t>Środek ten ma na celu ochronę terenów zielonych i zwiększenie ich liczby w celu zachowania i zwiększenia różnorodności biologicznej oraz poprawy jakości życia mieszkańców tych obszarów. Działania skupiają się na 14 miastach metropolitalnych Włoch, które są najbardziej narażone na problemy środowiskowe, takie jak zanieczyszczenie powietrza, utrata różnorodności biologicznej lub skutki zmiany klimatu. Leśny materiał rozmnożeniowy (nasiona lub rośliny) sadzi się na tych obszarach na co najmniej 4500000 drzew i krzewów (w 4 500 ha), a co najmniej 3,5 mln drzew przesadza się w ich ostatecznym miejscu przeznaczenia.</w:t>
      </w:r>
    </w:p>
    <w:p w14:paraId="4E3102CC" w14:textId="77777777" w:rsidR="004C6421" w:rsidRDefault="009D1962">
      <w:pPr>
        <w:spacing w:before="120" w:after="120"/>
        <w:jc w:val="both"/>
        <w:rPr>
          <w:noProof/>
        </w:rPr>
      </w:pPr>
      <w:r>
        <w:rPr>
          <w:noProof/>
        </w:rPr>
        <w:t xml:space="preserve">Interwencje te są następstwem przyjęcia planu zalesiania obszarów miejskich, którego celem jest zachowanie i zwiększenie różnorodności biologicznej zgodnie z europejską strategią ochrony różnorodności biologicznej, zmniejszenie zanieczyszczenia powietrza na obszarach metropolitalnych, zmniejszenie liczby postępowań w sprawie uchybienia zobowiązaniom państwa członkowskiego w zakresie jakości powietrza. </w:t>
      </w:r>
    </w:p>
    <w:p w14:paraId="49452DAA" w14:textId="77777777" w:rsidR="004C6421" w:rsidRDefault="009D1962">
      <w:pPr>
        <w:pStyle w:val="P68B1DB1-Normal2"/>
        <w:spacing w:before="120" w:after="120" w:line="257" w:lineRule="auto"/>
        <w:jc w:val="both"/>
        <w:rPr>
          <w:noProof/>
        </w:rPr>
      </w:pPr>
      <w:r>
        <w:rPr>
          <w:noProof/>
        </w:rPr>
        <w:t>Inwestycja 3.3 – Renaturyzacja obszaru Po</w:t>
      </w:r>
    </w:p>
    <w:p w14:paraId="7DF5BFA0" w14:textId="77777777" w:rsidR="004C6421" w:rsidRDefault="009D1962">
      <w:pPr>
        <w:spacing w:before="120" w:after="120"/>
        <w:jc w:val="both"/>
        <w:rPr>
          <w:noProof/>
        </w:rPr>
      </w:pPr>
      <w:r>
        <w:rPr>
          <w:noProof/>
        </w:rPr>
        <w:t>Obszar Po charakteryzuje się nadmiernym zanieczyszczeniem wody, zużyciem gleby i wykopami w dnie rzeki od 1970 r. Wszystkie te problemy negatywnie wpłynęły na niektóre siedliska przyrodnicze i zwiększyły ryzyko hydrogeologiczne.</w:t>
      </w:r>
    </w:p>
    <w:p w14:paraId="57C55A67" w14:textId="77777777" w:rsidR="004C6421" w:rsidRDefault="009D1962">
      <w:pPr>
        <w:spacing w:before="120" w:after="120"/>
        <w:jc w:val="both"/>
        <w:rPr>
          <w:noProof/>
        </w:rPr>
      </w:pPr>
      <w:r>
        <w:rPr>
          <w:noProof/>
        </w:rPr>
        <w:t xml:space="preserve">Środek ten ma na celu reaktywację procesów naturalnych i zachęcanie do odbudowy różnorodności biologicznej. Zapewniłoby to odbudowę rzeki oraz bardziej efektywne zrównoważone i efektywne wykorzystanie zasobów wodnych.  </w:t>
      </w:r>
    </w:p>
    <w:p w14:paraId="492A163B" w14:textId="77777777" w:rsidR="004C6421" w:rsidRDefault="009D1962">
      <w:pPr>
        <w:pStyle w:val="P68B1DB1-Normal2"/>
        <w:spacing w:before="120" w:after="120" w:line="257" w:lineRule="auto"/>
        <w:jc w:val="both"/>
        <w:rPr>
          <w:noProof/>
        </w:rPr>
      </w:pPr>
      <w:r>
        <w:rPr>
          <w:noProof/>
        </w:rPr>
        <w:t>Inwestycja 3.4: Rekultywacja terenów sierocych</w:t>
      </w:r>
    </w:p>
    <w:p w14:paraId="6EA3B617" w14:textId="77777777" w:rsidR="004C6421" w:rsidRDefault="009D1962">
      <w:pPr>
        <w:spacing w:before="120" w:after="120"/>
        <w:jc w:val="both"/>
        <w:rPr>
          <w:noProof/>
        </w:rPr>
      </w:pPr>
      <w:r>
        <w:rPr>
          <w:noProof/>
        </w:rPr>
        <w:t xml:space="preserve">Zanieczyszczenia przemysłowe spowodowały powstanie wielu tzw. „terenów sierocych”, które stanowią istotne zagrożenie dla zdrowia, co ma poważne konsekwencje dla jakości życia ludności, której to dotyczy. </w:t>
      </w:r>
    </w:p>
    <w:p w14:paraId="198D7656" w14:textId="77777777" w:rsidR="004C6421" w:rsidRDefault="009D1962">
      <w:pPr>
        <w:spacing w:before="120" w:after="120"/>
        <w:jc w:val="both"/>
        <w:rPr>
          <w:noProof/>
        </w:rPr>
      </w:pPr>
      <w:r>
        <w:rPr>
          <w:noProof/>
        </w:rPr>
        <w:t>Celem tej interwencji jest przywrócenie tych terenów do zmniejszenia wpływu na środowisko i promowanie gospodarki o obiegu zamkniętym. W ramach projektu wykorzystuje się najlepsze dostępne innowacyjne technologie badawcze w celu określenia rzeczywistych potrzeb w zakresie remediacji i umożliwienia rozwoju tych obszarów, w tym budownictwa mieszkaniowego.</w:t>
      </w:r>
    </w:p>
    <w:p w14:paraId="63017CF5" w14:textId="77777777" w:rsidR="004C6421" w:rsidRDefault="009D1962">
      <w:pPr>
        <w:spacing w:before="120" w:after="120"/>
        <w:jc w:val="both"/>
        <w:rPr>
          <w:noProof/>
        </w:rPr>
      </w:pPr>
      <w:r>
        <w:rPr>
          <w:noProof/>
        </w:rPr>
        <w:t>Środek ten polega najpierw na przyjęciu planu działania na rzecz rewitalizacji terenów sierocych w celu ograniczenia zajmowania gruntów i zwiększenia rewitalizacji obszarów miejskich. W planie określa się tereny sieroce we wszystkich 21 regionach i prowincjach autonomicznych oraz określa się konkretne działania, które należy podjąć.</w:t>
      </w:r>
    </w:p>
    <w:p w14:paraId="4B23BA4A" w14:textId="77777777" w:rsidR="004C6421" w:rsidRDefault="009D1962">
      <w:pPr>
        <w:pStyle w:val="P68B1DB1-Normal2"/>
        <w:spacing w:before="120" w:after="120" w:line="257" w:lineRule="auto"/>
        <w:jc w:val="both"/>
        <w:rPr>
          <w:noProof/>
        </w:rPr>
      </w:pPr>
      <w:r>
        <w:rPr>
          <w:noProof/>
        </w:rPr>
        <w:t>Inwestycja 3.5: Odbudowa i ochrona dna morskiego i siedlisk morskich</w:t>
      </w:r>
    </w:p>
    <w:p w14:paraId="34AE8951" w14:textId="77777777" w:rsidR="004C6421" w:rsidRDefault="009D1962">
      <w:pPr>
        <w:spacing w:before="120" w:after="120"/>
        <w:jc w:val="both"/>
        <w:rPr>
          <w:noProof/>
        </w:rPr>
      </w:pPr>
      <w:r>
        <w:rPr>
          <w:noProof/>
        </w:rPr>
        <w:t xml:space="preserve">Środek ten obejmuje szeroko zakrojone działania na rzecz odbudowy i ochrony dna morskiego i siedlisk morskich, mające na celu odwrócenie trwającej degradacji tych ekosystemów. </w:t>
      </w:r>
    </w:p>
    <w:p w14:paraId="26D6B980" w14:textId="77777777" w:rsidR="004C6421" w:rsidRDefault="009D1962">
      <w:pPr>
        <w:spacing w:before="120" w:after="120"/>
        <w:jc w:val="both"/>
        <w:rPr>
          <w:noProof/>
        </w:rPr>
      </w:pPr>
      <w:r>
        <w:rPr>
          <w:noProof/>
        </w:rPr>
        <w:t xml:space="preserve">Konkretne działania, które mają zostać wdrożone, obejmują opracowanie odpowiedniego mapowania siedlisk dna morskiego oraz monitorowanie środowiska. Aby zapewnić odpowiednie planowanie i wdrażanie wielkoskalowych środków odbudowy i ochrony, należy wzmocnić krajowy system badań i obserwacji ekosystemów morskich i przybrzeżnych. Ponadto należy wzmocnić platformy obserwacji środowiska morskiego w celu zwiększenia zdolności techniczno-naukowych do monitorowania środowiska morskiego, a w szczególności do oceny skuteczności środków ochrony i zarządzania w ramach scenariusza zmiany klimatu. Takie inwestycje umożliwią następnie systematyczne i kompleksowe mapowanie wrażliwych siedlisk we włoskich wodach morskich w celu wdrożenia odbudowy środowiska i wyznaczenia obszarów chronionych, zgodnie z unijną strategią ochrony różnorodności biologicznej z 2013 r. i dyrektywą ramową w sprawie strategii morskiej. </w:t>
      </w:r>
    </w:p>
    <w:p w14:paraId="16972B82" w14:textId="77777777" w:rsidR="004C6421" w:rsidRDefault="009D1962">
      <w:pPr>
        <w:spacing w:before="120" w:after="120"/>
        <w:jc w:val="both"/>
        <w:rPr>
          <w:noProof/>
        </w:rPr>
      </w:pPr>
      <w:r>
        <w:rPr>
          <w:noProof/>
        </w:rPr>
        <w:t>Oczekuje się, że środek ten nie spowoduje znaczących szkód dla celów środowiskowych w rozumieniu art. 17 rozporządzenia (UE) 2020/852, biorąc pod uwagę opis środka i działania łagodzące określone w planie odbudowy i zwiększania odporności zgodnie z wytycznymi technicznymi DNSH (2021/C58/01). Poprzez prowadzenie badań nad ekosystemami morskimi środek może obejmować zakup sprzętu naukowego lub statków. W szczególności nowo budowane statki będą wykorzystywać najbardziej zaawansowane dostępne technologie, zapewniając w jak największym stopniu zapobieganie zanieczyszczeniom i ich kontrolę.</w:t>
      </w:r>
    </w:p>
    <w:p w14:paraId="406CE30F" w14:textId="77777777" w:rsidR="004C6421" w:rsidRDefault="009D1962">
      <w:pPr>
        <w:pStyle w:val="P68B1DB1-Normal2"/>
        <w:spacing w:before="120" w:after="120" w:line="257" w:lineRule="auto"/>
        <w:jc w:val="both"/>
        <w:rPr>
          <w:rFonts w:eastAsia="Calibri"/>
          <w:noProof/>
        </w:rPr>
      </w:pPr>
      <w:r>
        <w:rPr>
          <w:noProof/>
        </w:rPr>
        <w:t>Reforma 4.1 Uproszczenie prawodawstwa i wzmocnienie zarządzania w celu realizacji inwestycji w infrastrukturę wodociągową</w:t>
      </w:r>
    </w:p>
    <w:p w14:paraId="2C4F7F35" w14:textId="77777777" w:rsidR="004C6421" w:rsidRDefault="009D1962">
      <w:pPr>
        <w:pStyle w:val="P68B1DB1-Paragrafoelenco122"/>
        <w:spacing w:after="120" w:line="240" w:lineRule="auto"/>
        <w:ind w:left="0"/>
        <w:jc w:val="both"/>
        <w:rPr>
          <w:noProof/>
        </w:rPr>
      </w:pPr>
      <w:r>
        <w:rPr>
          <w:noProof/>
        </w:rPr>
        <w:t xml:space="preserve">Obecne ramy regulacyjne i istniejące rozdrobnienie zarządzania mają negatywny wpływ na zdolność planowania i realizacji inwestycji w infrastrukturę wodociągową. </w:t>
      </w:r>
    </w:p>
    <w:p w14:paraId="00CFD60C" w14:textId="77777777" w:rsidR="004C6421" w:rsidRDefault="009D1962">
      <w:pPr>
        <w:suppressAutoHyphens/>
        <w:jc w:val="both"/>
        <w:rPr>
          <w:noProof/>
        </w:rPr>
      </w:pPr>
      <w:r>
        <w:rPr>
          <w:noProof/>
        </w:rPr>
        <w:t>Celem tej reformy jest uproszczenie i zwiększenie skuteczności ram prawnych oraz, w razie potrzeby, zapewnienie pomocy organom wdrażającym, które nie mają wystarczających zdolności do podejmowania i ukończenia tych inwestycji w pierwotnie ustalonych terminach.</w:t>
      </w:r>
    </w:p>
    <w:p w14:paraId="405329E8" w14:textId="77777777" w:rsidR="004C6421" w:rsidRDefault="004C6421">
      <w:pPr>
        <w:pStyle w:val="Paragrafoelenco1"/>
        <w:spacing w:after="120" w:line="240" w:lineRule="auto"/>
        <w:ind w:left="0"/>
        <w:jc w:val="both"/>
        <w:rPr>
          <w:noProof/>
          <w:color w:val="auto"/>
          <w:sz w:val="24"/>
        </w:rPr>
      </w:pPr>
    </w:p>
    <w:p w14:paraId="517B6ED1" w14:textId="77777777" w:rsidR="004C6421" w:rsidRDefault="009D1962">
      <w:pPr>
        <w:pStyle w:val="P68B1DB1-Paragrafoelenco122"/>
        <w:spacing w:after="120" w:line="240" w:lineRule="auto"/>
        <w:ind w:left="0"/>
        <w:jc w:val="both"/>
        <w:rPr>
          <w:noProof/>
        </w:rPr>
      </w:pPr>
      <w:r>
        <w:rPr>
          <w:noProof/>
        </w:rPr>
        <w:t>Główne środki planowane dla osiągnięcia tych celów to przede wszystkim: ustanowienie centralnego instrumentu finansowania inwestycji w sektorze wodnym, który ujednolica zasoby, które obecnie są raczej rozproszone; uproszczenie procedur sprawozdawczości i monitorowania finansowanych inwestycji, (iii) dalsze angażowanie organu regulacyjnego w planowanie inwestycji, które mają zostać podjęte, oraz w ewentualne zmiany planu.</w:t>
      </w:r>
    </w:p>
    <w:p w14:paraId="07571C73" w14:textId="77777777" w:rsidR="004C6421" w:rsidRDefault="009D1962">
      <w:pPr>
        <w:pStyle w:val="P68B1DB1-Paragrafoelenco122"/>
        <w:spacing w:after="120" w:line="240" w:lineRule="auto"/>
        <w:ind w:left="0"/>
        <w:jc w:val="both"/>
        <w:rPr>
          <w:rFonts w:eastAsia="SimSun"/>
          <w:i/>
          <w:noProof/>
          <w:u w:val="single"/>
        </w:rPr>
      </w:pPr>
      <w:r>
        <w:rPr>
          <w:noProof/>
        </w:rPr>
        <w:t xml:space="preserve">Ministerstwo Infrastruktury i Transportu przedstawia propozycję reformy sektora zaopatrzenia w wodę. </w:t>
      </w:r>
    </w:p>
    <w:p w14:paraId="33EB170F" w14:textId="77777777" w:rsidR="004C6421" w:rsidRDefault="009D1962">
      <w:pPr>
        <w:pStyle w:val="P68B1DB1-Normal2"/>
        <w:spacing w:before="120" w:after="120" w:line="257" w:lineRule="auto"/>
        <w:jc w:val="both"/>
        <w:rPr>
          <w:noProof/>
        </w:rPr>
      </w:pPr>
      <w:r>
        <w:rPr>
          <w:noProof/>
        </w:rPr>
        <w:t>Inwestycja 4.1 Infrastruktura wodociągowa podstawowa na rzecz bezpieczeństwa dostaw wody</w:t>
      </w:r>
    </w:p>
    <w:p w14:paraId="5CE06587" w14:textId="77777777" w:rsidR="004C6421" w:rsidRDefault="009D1962">
      <w:pPr>
        <w:spacing w:before="120" w:after="120"/>
        <w:jc w:val="both"/>
        <w:rPr>
          <w:noProof/>
        </w:rPr>
      </w:pPr>
      <w:r>
        <w:rPr>
          <w:noProof/>
        </w:rPr>
        <w:t>Celem tego środka jest zapewnienie bezpieczeństwa dostaw wody dla ważnych obszarów miejskich i dużych obszarów nawadnianych, zwiększenie bezpieczeństwa i odporności sieci oraz poprawa zdolności przesyłowych wody. Środki te obejmują całe terytorium kraju, ze szczególnym uwzględnieniem większych instalacji na południu kraju.</w:t>
      </w:r>
    </w:p>
    <w:p w14:paraId="27A3C609" w14:textId="77777777" w:rsidR="004C6421" w:rsidRDefault="009D1962">
      <w:pPr>
        <w:spacing w:before="120" w:after="120"/>
        <w:jc w:val="both"/>
        <w:rPr>
          <w:noProof/>
        </w:rPr>
      </w:pPr>
      <w:r>
        <w:rPr>
          <w:noProof/>
        </w:rPr>
        <w:t>Oczekuje się, że środek ten nie spowoduje poważnych szkód dla celów środowiskowych w rozumieniu art. 17 rozporządzenia (UE) 2020/852, biorąc pod uwagę opis środka i działania łagodzące określone w planie odbudowy i zwiększania odporności zgodnie z wytycznymi technicznymi dotyczącymi zasady „nie czyń poważnych szkód” (2021/C58/01). W szczególności w odniesieniu do każdej subinwestycji zapewnia się pełną zgodność z wymogami prawa UE, w tym ramowej dyrektywy wodnej, przed rozpoczęciem robót budowlanych, w ich trakcie i po ich rozpoczęciu. Ponadto poddziałania podlegają, w stosownych przypadkach, ocenie oddziaływania na środowisko (OOŚ) zgodnie z dyrektywą 2011/92/UE, a także odpowiednim ocenom w kontekście dyrektywy 2000/60/WE i dyrektywy 92/43/EWG, w tym wdrożeniu wymaganych środków łagodzących. Środek ten nie obejmuje budowy nowych zapór, a jedynie poprawę istniejących tam; wpływ planowanych interwencji na istniejące roboty uwzględnia scenariusze, w których dana rzeka pozostaje w swoim stanie naturalnym w stanie zmodyfikowanym w momencie budowy obiektu. Wszystkie planowane podinterwencje, w tym dotyczące istniejących tam, muszą być zgodne z procedurą wydawania zezwoleń środowiskowych wymaganą przez prawo krajowe i unijne.</w:t>
      </w:r>
    </w:p>
    <w:p w14:paraId="50F10084" w14:textId="77777777" w:rsidR="004C6421" w:rsidRDefault="009D1962">
      <w:pPr>
        <w:pStyle w:val="P68B1DB1-Normal2"/>
        <w:spacing w:before="120" w:after="120" w:line="257" w:lineRule="auto"/>
        <w:jc w:val="both"/>
        <w:rPr>
          <w:noProof/>
        </w:rPr>
      </w:pPr>
      <w:r>
        <w:rPr>
          <w:noProof/>
        </w:rPr>
        <w:t>Inwestycje 4.2. Ograniczenie strat w sieciach wodociągowych, w tym cyfryzacja i monitorowanie sieci</w:t>
      </w:r>
    </w:p>
    <w:p w14:paraId="48AD991A" w14:textId="77777777" w:rsidR="004C6421" w:rsidRDefault="009D1962">
      <w:pPr>
        <w:spacing w:before="120" w:after="120"/>
        <w:jc w:val="both"/>
        <w:rPr>
          <w:noProof/>
        </w:rPr>
      </w:pPr>
      <w:r>
        <w:rPr>
          <w:noProof/>
        </w:rPr>
        <w:t>Fragmentaryczne i nieefektywne gospodarowanie zasobami wodnymi doprowadziło do znacznych wycieków wody, przy czym średnie straty przekraczają 40 % i ponad 50 % na południu kraju. Celem tego projektu jest znaczne ograniczenie strat wody pitnej poprzez modernizację i modernizację sieci dystrybucji wody za pomocą zaawansowanych systemów kontroli umożliwiających monitorowanie głównych węzłów i najbardziej wrażliwych punktów sieci.</w:t>
      </w:r>
    </w:p>
    <w:p w14:paraId="46D7496B" w14:textId="77777777" w:rsidR="004C6421" w:rsidRDefault="009D1962">
      <w:pPr>
        <w:pStyle w:val="P68B1DB1-Normal2"/>
        <w:spacing w:before="120" w:after="120" w:line="257" w:lineRule="auto"/>
        <w:jc w:val="both"/>
        <w:rPr>
          <w:noProof/>
        </w:rPr>
      </w:pPr>
      <w:r>
        <w:rPr>
          <w:noProof/>
        </w:rPr>
        <w:t xml:space="preserve">Inwestycje 4.3. Inwestycje w odporność agrosystemu nawadniania w celu lepszego gospodarowania zasobami wodnymi </w:t>
      </w:r>
    </w:p>
    <w:p w14:paraId="4C2878F1" w14:textId="77777777" w:rsidR="004C6421" w:rsidRDefault="009D1962">
      <w:pPr>
        <w:spacing w:before="120" w:after="120" w:line="257" w:lineRule="auto"/>
        <w:jc w:val="both"/>
        <w:rPr>
          <w:noProof/>
        </w:rPr>
      </w:pPr>
      <w:r>
        <w:rPr>
          <w:noProof/>
        </w:rPr>
        <w:t>Celem tego środka jest zwiększenie efektywności systemów nawadniania poprzez rozwój innowacyjnej i cyfrowej infrastruktury na rzecz bardziej zrównoważonego sektora rolnego, a także lepszego dostosowania do zmiany klimatu. Inwestycja polega głównie na przekształceniu systemów nawadniania w systemy o wyższej wydajności; dostosowanie sieci dystrybucyjnych w celu zmniejszenia strat; instalacja technologii efektywnego wykorzystania zasobów wodnych, takich jak liczniki i zdalne sterowanie. W ramach wspieranej inwestycji należy wprowadzić pomiar wody umożliwiający pomiar wody.</w:t>
      </w:r>
    </w:p>
    <w:p w14:paraId="47B4A50B" w14:textId="77777777" w:rsidR="004C6421" w:rsidRDefault="009D1962">
      <w:pPr>
        <w:spacing w:before="120" w:after="120" w:line="257" w:lineRule="auto"/>
        <w:jc w:val="both"/>
        <w:rPr>
          <w:noProof/>
        </w:rPr>
      </w:pPr>
      <w:r>
        <w:rPr>
          <w:noProof/>
        </w:rPr>
        <w:t>Oczekuje się, że środek ten nie spowoduje poważnych szkód dla celów środowiskowych w rozumieniu art. 17 rozporządzenia (UE) 2020/852, biorąc pod uwagę opis środka i działania łagodzące określone w planie odbudowy i zwiększania odporności zgodnie z wytycznymi technicznymi dotyczącymi zasady „nie czyń poważnych szkód” (2021/C58/01). W szczególności w odniesieniu do każdej subinwestycji zapewnia się pełną zgodność z wymogami prawa UE, w tym ramowej dyrektywy wodnej, przed rozpoczęciem robót budowlanych, w ich trakcie i po ich rozpoczęciu. Ponadto projekty, w stosownych przypadkach zgodnie z prawem krajowym, podlegają ocenie oddziaływania na środowisko (OOŚ) zgodnie z dyrektywą 2011/92/UE, a także odpowiednim ocenom w kontekście dyrektywy 2000/60/WE i dyrektywy 92/43/EWG, w tym wdrożeniu wymaganych środków łagodzących.</w:t>
      </w:r>
    </w:p>
    <w:p w14:paraId="782C7B9F" w14:textId="77777777" w:rsidR="004C6421" w:rsidRDefault="004C6421">
      <w:pPr>
        <w:spacing w:before="120" w:after="120" w:line="257" w:lineRule="auto"/>
        <w:jc w:val="both"/>
        <w:rPr>
          <w:b/>
          <w:noProof/>
        </w:rPr>
      </w:pPr>
    </w:p>
    <w:p w14:paraId="5D8F80CA" w14:textId="77777777" w:rsidR="004C6421" w:rsidRDefault="009D1962">
      <w:pPr>
        <w:pStyle w:val="P68B1DB1-Normal2"/>
        <w:spacing w:before="120" w:after="120" w:line="257" w:lineRule="auto"/>
        <w:jc w:val="both"/>
        <w:rPr>
          <w:noProof/>
        </w:rPr>
      </w:pPr>
      <w:r>
        <w:rPr>
          <w:noProof/>
        </w:rPr>
        <w:t>Inwestycje 4.4. Kanalizacja i oczyszczanie</w:t>
      </w:r>
    </w:p>
    <w:p w14:paraId="654CB34D" w14:textId="77777777" w:rsidR="004C6421" w:rsidRDefault="009D1962">
      <w:pPr>
        <w:spacing w:before="120" w:after="120"/>
        <w:jc w:val="both"/>
        <w:rPr>
          <w:noProof/>
        </w:rPr>
      </w:pPr>
      <w:r>
        <w:rPr>
          <w:noProof/>
        </w:rPr>
        <w:t xml:space="preserve">Systemy wodociągowe wykazują poważne niedociągnięcia w odniesieniu do systemów kanalizacyjnych i oczyszczania, co znajduje odzwierciedlenie w dużej liczbie postępowań w sprawie uchybienia zobowiązaniom państwa członkowskiego w związku z nieprzestrzeganiem prawa Unii przez wiele aglomeracji w kraju. </w:t>
      </w:r>
    </w:p>
    <w:p w14:paraId="4A877CB8" w14:textId="77777777" w:rsidR="004C6421" w:rsidRDefault="009D1962">
      <w:pPr>
        <w:tabs>
          <w:tab w:val="left" w:pos="720"/>
        </w:tabs>
        <w:spacing w:before="120" w:after="120"/>
        <w:jc w:val="both"/>
        <w:rPr>
          <w:noProof/>
        </w:rPr>
      </w:pPr>
      <w:r>
        <w:rPr>
          <w:noProof/>
        </w:rPr>
        <w:t>Celem tego środka jest podjęcie inwestycji zwiększających skuteczność oczyszczania ścieków odprowadzanych do wód morskich i śródlądowych oraz, w miarę możliwości, przekształcenie zakładów oczyszczania w „zielone fabryki” w celu ponownego wykorzystania oczyszczonych ścieków do celów nawadniania i do celów przemysłowych. Oczekuje się, że inwestycje te przyczynią się do zmniejszenia liczby aglomeracji o słabych systemach kanalizacyjnych i oczyszczających.</w:t>
      </w:r>
    </w:p>
    <w:p w14:paraId="4AC88053" w14:textId="77777777" w:rsidR="004C6421" w:rsidRDefault="004C6421">
      <w:pPr>
        <w:tabs>
          <w:tab w:val="left" w:pos="720"/>
        </w:tabs>
        <w:spacing w:before="120" w:after="120"/>
        <w:jc w:val="both"/>
        <w:rPr>
          <w:noProof/>
        </w:rPr>
      </w:pPr>
    </w:p>
    <w:p w14:paraId="08EFD60F" w14:textId="77777777" w:rsidR="004C6421" w:rsidRDefault="009D1962">
      <w:pPr>
        <w:pStyle w:val="Heading3"/>
        <w:numPr>
          <w:ilvl w:val="0"/>
          <w:numId w:val="0"/>
        </w:numPr>
        <w:ind w:left="850" w:hanging="850"/>
        <w:rPr>
          <w:rStyle w:val="SubtleEmphasis"/>
          <w:b/>
          <w:i/>
          <w:noProof/>
          <w:u w:val="single"/>
        </w:rPr>
      </w:pPr>
      <w:r>
        <w:rPr>
          <w:rStyle w:val="SubtleEmphasis"/>
          <w:b/>
          <w:noProof/>
          <w:u w:val="single"/>
        </w:rPr>
        <w:t xml:space="preserve">G.4. </w:t>
      </w:r>
      <w:r>
        <w:rPr>
          <w:noProof/>
        </w:rPr>
        <w:t xml:space="preserve"> </w:t>
      </w:r>
      <w:r>
        <w:rPr>
          <w:rStyle w:val="SubtleEmphasis"/>
          <w:b/>
          <w:noProof/>
          <w:u w:val="single"/>
        </w:rPr>
        <w:t xml:space="preserve">Cele pośrednie, wartości docelowe, wskaźniki i harmonogram monitorowania i realizacji pożyczki </w:t>
      </w:r>
    </w:p>
    <w:p w14:paraId="73F3B21F" w14:textId="77777777" w:rsidR="004C6421" w:rsidRDefault="004C6421">
      <w:pPr>
        <w:spacing w:before="120" w:after="120"/>
        <w:ind w:left="709"/>
        <w:contextualSpacing/>
        <w:jc w:val="both"/>
        <w:rPr>
          <w:noProof/>
        </w:rPr>
        <w:sectPr w:rsidR="004C6421" w:rsidSect="00797973">
          <w:headerReference w:type="even" r:id="rId200"/>
          <w:headerReference w:type="default" r:id="rId201"/>
          <w:footerReference w:type="even" r:id="rId202"/>
          <w:footerReference w:type="default" r:id="rId203"/>
          <w:headerReference w:type="first" r:id="rId204"/>
          <w:footerReference w:type="first" r:id="rId205"/>
          <w:pgSz w:w="11907" w:h="16839"/>
          <w:pgMar w:top="1134" w:right="1134" w:bottom="1134" w:left="1134" w:header="567" w:footer="567" w:gutter="0"/>
          <w:cols w:space="720"/>
          <w:docGrid w:linePitch="360"/>
        </w:sect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2019"/>
        <w:gridCol w:w="1723"/>
        <w:gridCol w:w="1953"/>
        <w:gridCol w:w="1733"/>
        <w:gridCol w:w="1311"/>
        <w:gridCol w:w="1545"/>
        <w:gridCol w:w="1430"/>
        <w:gridCol w:w="2440"/>
        <w:gridCol w:w="764"/>
        <w:gridCol w:w="4931"/>
      </w:tblGrid>
      <w:tr w:rsidR="004C6421" w14:paraId="61F391D9" w14:textId="77777777">
        <w:trPr>
          <w:trHeight w:val="591"/>
          <w:tblHeader/>
          <w:jc w:val="center"/>
        </w:trPr>
        <w:tc>
          <w:tcPr>
            <w:tcW w:w="1130" w:type="dxa"/>
            <w:vMerge w:val="restart"/>
            <w:shd w:val="clear" w:color="auto" w:fill="BDD6EE" w:themeFill="accent5" w:themeFillTint="66"/>
            <w:noWrap/>
            <w:vAlign w:val="center"/>
          </w:tcPr>
          <w:p w14:paraId="670543B3" w14:textId="77777777" w:rsidR="004C6421" w:rsidRDefault="009D1962">
            <w:pPr>
              <w:pStyle w:val="P68B1DB1-Normal3"/>
              <w:jc w:val="center"/>
              <w:rPr>
                <w:noProof/>
              </w:rPr>
            </w:pPr>
            <w:r>
              <w:rPr>
                <w:noProof/>
              </w:rPr>
              <w:t>Numer porządkowy</w:t>
            </w:r>
          </w:p>
        </w:tc>
        <w:tc>
          <w:tcPr>
            <w:tcW w:w="1560" w:type="dxa"/>
            <w:vMerge w:val="restart"/>
            <w:shd w:val="clear" w:color="auto" w:fill="BDD6EE" w:themeFill="accent5" w:themeFillTint="66"/>
            <w:noWrap/>
            <w:vAlign w:val="center"/>
          </w:tcPr>
          <w:p w14:paraId="50030E5B" w14:textId="77777777" w:rsidR="004C6421" w:rsidRDefault="009D1962">
            <w:pPr>
              <w:pStyle w:val="P68B1DB1-Normal3"/>
              <w:jc w:val="center"/>
              <w:rPr>
                <w:noProof/>
              </w:rPr>
            </w:pPr>
            <w:r>
              <w:rPr>
                <w:noProof/>
              </w:rPr>
              <w:t>Powiązane działanie (reforma lub inwestycja)</w:t>
            </w:r>
          </w:p>
        </w:tc>
        <w:tc>
          <w:tcPr>
            <w:tcW w:w="1134" w:type="dxa"/>
            <w:vMerge w:val="restart"/>
            <w:shd w:val="clear" w:color="auto" w:fill="BDD6EE" w:themeFill="accent5" w:themeFillTint="66"/>
            <w:noWrap/>
            <w:vAlign w:val="center"/>
          </w:tcPr>
          <w:p w14:paraId="204A9B38" w14:textId="77777777" w:rsidR="004C6421" w:rsidRDefault="009D1962">
            <w:pPr>
              <w:pStyle w:val="P68B1DB1-Normal3"/>
              <w:jc w:val="center"/>
              <w:rPr>
                <w:noProof/>
              </w:rPr>
            </w:pPr>
            <w:r>
              <w:rPr>
                <w:noProof/>
              </w:rPr>
              <w:t>Kamień milowy/wartość docelowa</w:t>
            </w:r>
          </w:p>
        </w:tc>
        <w:tc>
          <w:tcPr>
            <w:tcW w:w="1559" w:type="dxa"/>
            <w:vMerge w:val="restart"/>
            <w:shd w:val="clear" w:color="auto" w:fill="BDD6EE" w:themeFill="accent5" w:themeFillTint="66"/>
            <w:noWrap/>
            <w:vAlign w:val="center"/>
          </w:tcPr>
          <w:p w14:paraId="693164DF" w14:textId="77777777" w:rsidR="004C6421" w:rsidRDefault="009D1962">
            <w:pPr>
              <w:pStyle w:val="P68B1DB1-Normal3"/>
              <w:jc w:val="center"/>
              <w:rPr>
                <w:noProof/>
              </w:rPr>
            </w:pPr>
            <w:r>
              <w:rPr>
                <w:noProof/>
              </w:rPr>
              <w:t>Nazwa</w:t>
            </w:r>
          </w:p>
        </w:tc>
        <w:tc>
          <w:tcPr>
            <w:tcW w:w="1383" w:type="dxa"/>
            <w:vMerge w:val="restart"/>
            <w:shd w:val="clear" w:color="auto" w:fill="BDD6EE" w:themeFill="accent5" w:themeFillTint="66"/>
            <w:noWrap/>
            <w:vAlign w:val="center"/>
          </w:tcPr>
          <w:p w14:paraId="26F79B53" w14:textId="77777777" w:rsidR="004C6421" w:rsidRDefault="009D1962">
            <w:pPr>
              <w:jc w:val="center"/>
              <w:rPr>
                <w:rFonts w:ascii="Arial Narrow" w:hAnsi="Arial Narrow"/>
                <w:b/>
                <w:noProof/>
                <w:sz w:val="20"/>
              </w:rPr>
            </w:pPr>
            <w:r>
              <w:rPr>
                <w:rFonts w:ascii="Arial Narrow" w:hAnsi="Arial Narrow"/>
                <w:b/>
                <w:noProof/>
                <w:sz w:val="20"/>
              </w:rPr>
              <w:t>Wskaźniki jakościowe</w:t>
            </w:r>
            <w:r>
              <w:rPr>
                <w:noProof/>
              </w:rPr>
              <w:t xml:space="preserve"> </w:t>
            </w:r>
            <w:r>
              <w:rPr>
                <w:noProof/>
              </w:rPr>
              <w:br/>
            </w:r>
            <w:r>
              <w:rPr>
                <w:rFonts w:ascii="Arial Narrow" w:hAnsi="Arial Narrow"/>
                <w:b/>
                <w:noProof/>
                <w:sz w:val="20"/>
              </w:rPr>
              <w:t>(dla kamieni milowych)</w:t>
            </w:r>
          </w:p>
        </w:tc>
        <w:tc>
          <w:tcPr>
            <w:tcW w:w="3578" w:type="dxa"/>
            <w:gridSpan w:val="3"/>
            <w:shd w:val="clear" w:color="auto" w:fill="BDD6EE" w:themeFill="accent5" w:themeFillTint="66"/>
            <w:noWrap/>
            <w:vAlign w:val="center"/>
          </w:tcPr>
          <w:p w14:paraId="040E909A" w14:textId="77777777" w:rsidR="004C6421" w:rsidRDefault="009D1962">
            <w:pPr>
              <w:jc w:val="center"/>
              <w:rPr>
                <w:rFonts w:ascii="Arial Narrow" w:hAnsi="Arial Narrow"/>
                <w:b/>
                <w:noProof/>
                <w:sz w:val="20"/>
              </w:rPr>
            </w:pPr>
            <w:r>
              <w:rPr>
                <w:rFonts w:ascii="Arial Narrow" w:hAnsi="Arial Narrow"/>
                <w:b/>
                <w:noProof/>
                <w:sz w:val="20"/>
              </w:rPr>
              <w:t>Wskaźniki ilościowe</w:t>
            </w:r>
            <w:r>
              <w:rPr>
                <w:noProof/>
              </w:rPr>
              <w:t xml:space="preserve"> </w:t>
            </w:r>
            <w:r>
              <w:rPr>
                <w:noProof/>
              </w:rPr>
              <w:br/>
            </w:r>
            <w:r>
              <w:rPr>
                <w:rFonts w:ascii="Arial Narrow" w:hAnsi="Arial Narrow"/>
                <w:b/>
                <w:noProof/>
                <w:sz w:val="20"/>
              </w:rPr>
              <w:t>(dla wartości docelowych)</w:t>
            </w:r>
          </w:p>
        </w:tc>
        <w:tc>
          <w:tcPr>
            <w:tcW w:w="2675" w:type="dxa"/>
            <w:gridSpan w:val="2"/>
            <w:shd w:val="clear" w:color="auto" w:fill="BDD6EE" w:themeFill="accent5" w:themeFillTint="66"/>
            <w:noWrap/>
            <w:vAlign w:val="center"/>
          </w:tcPr>
          <w:p w14:paraId="3DCE286E" w14:textId="77777777" w:rsidR="004C6421" w:rsidRDefault="009D1962">
            <w:pPr>
              <w:pStyle w:val="P68B1DB1-Normal3"/>
              <w:jc w:val="center"/>
              <w:rPr>
                <w:noProof/>
              </w:rPr>
            </w:pPr>
            <w:r>
              <w:rPr>
                <w:noProof/>
              </w:rPr>
              <w:t>Orientacyjny harmonogram zakończenia działania</w:t>
            </w:r>
          </w:p>
        </w:tc>
        <w:tc>
          <w:tcPr>
            <w:tcW w:w="4116" w:type="dxa"/>
            <w:vMerge w:val="restart"/>
            <w:shd w:val="clear" w:color="auto" w:fill="BDD6EE" w:themeFill="accent5" w:themeFillTint="66"/>
            <w:noWrap/>
            <w:vAlign w:val="center"/>
          </w:tcPr>
          <w:p w14:paraId="28F1DE8D" w14:textId="77777777" w:rsidR="004C6421" w:rsidRDefault="009D1962">
            <w:pPr>
              <w:pStyle w:val="P68B1DB1-Normal3"/>
              <w:jc w:val="center"/>
              <w:rPr>
                <w:noProof/>
              </w:rPr>
            </w:pPr>
            <w:r>
              <w:rPr>
                <w:noProof/>
              </w:rPr>
              <w:t>Opis każdego kamienia milowego i każdej wartości docelowej</w:t>
            </w:r>
          </w:p>
        </w:tc>
      </w:tr>
      <w:tr w:rsidR="004C6421" w14:paraId="361046B2" w14:textId="77777777">
        <w:trPr>
          <w:trHeight w:val="591"/>
          <w:tblHeader/>
          <w:jc w:val="center"/>
        </w:trPr>
        <w:tc>
          <w:tcPr>
            <w:tcW w:w="1130" w:type="dxa"/>
            <w:vMerge/>
            <w:shd w:val="clear" w:color="auto" w:fill="BDD6EE" w:themeFill="accent5" w:themeFillTint="66"/>
            <w:noWrap/>
            <w:vAlign w:val="center"/>
          </w:tcPr>
          <w:p w14:paraId="582F2EBD" w14:textId="77777777" w:rsidR="004C6421" w:rsidRDefault="004C6421">
            <w:pPr>
              <w:jc w:val="center"/>
              <w:rPr>
                <w:rFonts w:ascii="Arial Narrow" w:hAnsi="Arial Narrow"/>
                <w:b/>
                <w:noProof/>
                <w:sz w:val="20"/>
              </w:rPr>
            </w:pPr>
          </w:p>
        </w:tc>
        <w:tc>
          <w:tcPr>
            <w:tcW w:w="1560" w:type="dxa"/>
            <w:vMerge/>
            <w:noWrap/>
            <w:vAlign w:val="center"/>
          </w:tcPr>
          <w:p w14:paraId="2520DAA2" w14:textId="77777777" w:rsidR="004C6421" w:rsidRDefault="004C6421">
            <w:pPr>
              <w:jc w:val="center"/>
              <w:rPr>
                <w:rFonts w:ascii="Arial Narrow" w:hAnsi="Arial Narrow"/>
                <w:b/>
                <w:noProof/>
                <w:sz w:val="20"/>
              </w:rPr>
            </w:pPr>
          </w:p>
        </w:tc>
        <w:tc>
          <w:tcPr>
            <w:tcW w:w="1134" w:type="dxa"/>
            <w:vMerge/>
            <w:noWrap/>
            <w:vAlign w:val="center"/>
          </w:tcPr>
          <w:p w14:paraId="787047BF" w14:textId="77777777" w:rsidR="004C6421" w:rsidRDefault="004C6421">
            <w:pPr>
              <w:jc w:val="center"/>
              <w:rPr>
                <w:rFonts w:ascii="Arial Narrow" w:hAnsi="Arial Narrow"/>
                <w:b/>
                <w:noProof/>
                <w:sz w:val="20"/>
              </w:rPr>
            </w:pPr>
          </w:p>
        </w:tc>
        <w:tc>
          <w:tcPr>
            <w:tcW w:w="1559" w:type="dxa"/>
            <w:vMerge/>
            <w:noWrap/>
            <w:vAlign w:val="center"/>
          </w:tcPr>
          <w:p w14:paraId="067D74DC" w14:textId="77777777" w:rsidR="004C6421" w:rsidRDefault="004C6421">
            <w:pPr>
              <w:jc w:val="center"/>
              <w:rPr>
                <w:rFonts w:ascii="Arial Narrow" w:hAnsi="Arial Narrow"/>
                <w:b/>
                <w:noProof/>
                <w:sz w:val="20"/>
              </w:rPr>
            </w:pPr>
          </w:p>
        </w:tc>
        <w:tc>
          <w:tcPr>
            <w:tcW w:w="1383" w:type="dxa"/>
            <w:vMerge/>
            <w:noWrap/>
            <w:vAlign w:val="center"/>
          </w:tcPr>
          <w:p w14:paraId="15F8C2D0" w14:textId="77777777" w:rsidR="004C6421" w:rsidRDefault="004C6421">
            <w:pPr>
              <w:jc w:val="center"/>
              <w:rPr>
                <w:rFonts w:ascii="Arial Narrow" w:hAnsi="Arial Narrow"/>
                <w:b/>
                <w:noProof/>
                <w:sz w:val="20"/>
              </w:rPr>
            </w:pPr>
          </w:p>
        </w:tc>
        <w:tc>
          <w:tcPr>
            <w:tcW w:w="1094" w:type="dxa"/>
            <w:shd w:val="clear" w:color="auto" w:fill="BDD6EE" w:themeFill="accent5" w:themeFillTint="66"/>
            <w:noWrap/>
            <w:vAlign w:val="center"/>
          </w:tcPr>
          <w:p w14:paraId="03566375" w14:textId="77777777" w:rsidR="004C6421" w:rsidRDefault="009D1962">
            <w:pPr>
              <w:pStyle w:val="P68B1DB1-Normal3"/>
              <w:jc w:val="center"/>
              <w:rPr>
                <w:noProof/>
              </w:rPr>
            </w:pPr>
            <w:r>
              <w:rPr>
                <w:noProof/>
              </w:rPr>
              <w:t>Jednostka miary</w:t>
            </w:r>
          </w:p>
        </w:tc>
        <w:tc>
          <w:tcPr>
            <w:tcW w:w="1290" w:type="dxa"/>
            <w:shd w:val="clear" w:color="auto" w:fill="BDD6EE" w:themeFill="accent5" w:themeFillTint="66"/>
            <w:vAlign w:val="center"/>
          </w:tcPr>
          <w:p w14:paraId="24323455" w14:textId="77777777" w:rsidR="004C6421" w:rsidRDefault="009D1962">
            <w:pPr>
              <w:pStyle w:val="P68B1DB1-Normal3"/>
              <w:jc w:val="center"/>
              <w:rPr>
                <w:noProof/>
              </w:rPr>
            </w:pPr>
            <w:r>
              <w:rPr>
                <w:noProof/>
              </w:rPr>
              <w:t>Bazowy</w:t>
            </w:r>
          </w:p>
        </w:tc>
        <w:tc>
          <w:tcPr>
            <w:tcW w:w="1194" w:type="dxa"/>
            <w:shd w:val="clear" w:color="auto" w:fill="BDD6EE" w:themeFill="accent5" w:themeFillTint="66"/>
            <w:vAlign w:val="center"/>
          </w:tcPr>
          <w:p w14:paraId="350E5687" w14:textId="77777777" w:rsidR="004C6421" w:rsidRDefault="009D1962">
            <w:pPr>
              <w:pStyle w:val="P68B1DB1-Normal3"/>
              <w:jc w:val="center"/>
              <w:rPr>
                <w:noProof/>
              </w:rPr>
            </w:pPr>
            <w:r>
              <w:rPr>
                <w:noProof/>
              </w:rPr>
              <w:t>Cel</w:t>
            </w:r>
          </w:p>
        </w:tc>
        <w:tc>
          <w:tcPr>
            <w:tcW w:w="2037" w:type="dxa"/>
            <w:shd w:val="clear" w:color="auto" w:fill="BDD6EE" w:themeFill="accent5" w:themeFillTint="66"/>
            <w:noWrap/>
            <w:vAlign w:val="center"/>
          </w:tcPr>
          <w:p w14:paraId="021A54FC" w14:textId="77777777" w:rsidR="004C6421" w:rsidRDefault="009D1962">
            <w:pPr>
              <w:pStyle w:val="P68B1DB1-Normal3"/>
              <w:jc w:val="center"/>
              <w:rPr>
                <w:noProof/>
              </w:rPr>
            </w:pPr>
            <w:r>
              <w:rPr>
                <w:noProof/>
              </w:rPr>
              <w:t>Kwartał</w:t>
            </w:r>
          </w:p>
        </w:tc>
        <w:tc>
          <w:tcPr>
            <w:tcW w:w="638" w:type="dxa"/>
            <w:shd w:val="clear" w:color="auto" w:fill="BDD6EE" w:themeFill="accent5" w:themeFillTint="66"/>
            <w:vAlign w:val="center"/>
          </w:tcPr>
          <w:p w14:paraId="473AF627" w14:textId="77777777" w:rsidR="004C6421" w:rsidRDefault="009D1962">
            <w:pPr>
              <w:pStyle w:val="P68B1DB1-Normal3"/>
              <w:jc w:val="center"/>
              <w:rPr>
                <w:noProof/>
              </w:rPr>
            </w:pPr>
            <w:r>
              <w:rPr>
                <w:noProof/>
              </w:rPr>
              <w:t>Rok</w:t>
            </w:r>
          </w:p>
        </w:tc>
        <w:tc>
          <w:tcPr>
            <w:tcW w:w="4116" w:type="dxa"/>
            <w:vMerge/>
            <w:noWrap/>
            <w:vAlign w:val="center"/>
          </w:tcPr>
          <w:p w14:paraId="3C020F43" w14:textId="77777777" w:rsidR="004C6421" w:rsidRDefault="004C6421">
            <w:pPr>
              <w:rPr>
                <w:rFonts w:ascii="Arial Narrow" w:hAnsi="Arial Narrow"/>
                <w:noProof/>
                <w:sz w:val="20"/>
              </w:rPr>
            </w:pPr>
          </w:p>
        </w:tc>
      </w:tr>
      <w:tr w:rsidR="004C6421" w14:paraId="1A23762F" w14:textId="77777777">
        <w:trPr>
          <w:trHeight w:val="313"/>
          <w:jc w:val="center"/>
        </w:trPr>
        <w:tc>
          <w:tcPr>
            <w:tcW w:w="1130" w:type="dxa"/>
            <w:shd w:val="clear" w:color="auto" w:fill="C6EFCE"/>
            <w:noWrap/>
            <w:vAlign w:val="center"/>
          </w:tcPr>
          <w:p w14:paraId="2974EDD6" w14:textId="77777777" w:rsidR="004C6421" w:rsidRDefault="009D1962">
            <w:pPr>
              <w:pStyle w:val="P68B1DB1-Normal4"/>
              <w:spacing w:line="276" w:lineRule="auto"/>
              <w:jc w:val="center"/>
              <w:rPr>
                <w:noProof/>
              </w:rPr>
            </w:pPr>
            <w:r>
              <w:rPr>
                <w:noProof/>
              </w:rPr>
              <w:t>M2C4-6</w:t>
            </w:r>
          </w:p>
        </w:tc>
        <w:tc>
          <w:tcPr>
            <w:tcW w:w="1560" w:type="dxa"/>
            <w:shd w:val="clear" w:color="auto" w:fill="C6EFCE"/>
            <w:noWrap/>
            <w:vAlign w:val="center"/>
          </w:tcPr>
          <w:p w14:paraId="55EFF2E4" w14:textId="2C783737" w:rsidR="004C6421" w:rsidRDefault="009D1962">
            <w:pPr>
              <w:pStyle w:val="P68B1DB1-Normal4"/>
              <w:spacing w:line="276" w:lineRule="auto"/>
              <w:jc w:val="center"/>
              <w:rPr>
                <w:noProof/>
              </w:rPr>
            </w:pPr>
            <w:r>
              <w:rPr>
                <w:noProof/>
              </w:rPr>
              <w:t>Inwestycje 3.2: Cyfryzacja parków narodowych</w:t>
            </w:r>
          </w:p>
        </w:tc>
        <w:tc>
          <w:tcPr>
            <w:tcW w:w="1134" w:type="dxa"/>
            <w:shd w:val="clear" w:color="auto" w:fill="C6EFCE"/>
            <w:noWrap/>
            <w:vAlign w:val="center"/>
          </w:tcPr>
          <w:p w14:paraId="7145E812" w14:textId="77777777" w:rsidR="004C6421" w:rsidRDefault="009D1962">
            <w:pPr>
              <w:pStyle w:val="P68B1DB1-Normal4"/>
              <w:spacing w:line="276" w:lineRule="auto"/>
              <w:jc w:val="center"/>
              <w:rPr>
                <w:noProof/>
              </w:rPr>
            </w:pPr>
            <w:r>
              <w:rPr>
                <w:noProof/>
              </w:rPr>
              <w:t>Cel</w:t>
            </w:r>
          </w:p>
        </w:tc>
        <w:tc>
          <w:tcPr>
            <w:tcW w:w="1559" w:type="dxa"/>
            <w:shd w:val="clear" w:color="auto" w:fill="C6EFCE"/>
            <w:noWrap/>
            <w:vAlign w:val="center"/>
          </w:tcPr>
          <w:p w14:paraId="21E4F32D" w14:textId="5A907882" w:rsidR="004C6421" w:rsidRDefault="009D1962">
            <w:pPr>
              <w:pStyle w:val="P68B1DB1-Normal4"/>
              <w:spacing w:line="276" w:lineRule="auto"/>
              <w:jc w:val="center"/>
              <w:rPr>
                <w:noProof/>
              </w:rPr>
            </w:pPr>
            <w:r>
              <w:rPr>
                <w:noProof/>
              </w:rPr>
              <w:t>Rozwój usług cyfrowych dla odwiedzających parki narodowe i morskie obszary chronione</w:t>
            </w:r>
          </w:p>
        </w:tc>
        <w:tc>
          <w:tcPr>
            <w:tcW w:w="1383" w:type="dxa"/>
            <w:shd w:val="clear" w:color="auto" w:fill="C6EFCE"/>
            <w:noWrap/>
            <w:vAlign w:val="center"/>
          </w:tcPr>
          <w:p w14:paraId="6751C9E8" w14:textId="77777777" w:rsidR="004C6421" w:rsidRDefault="009D1962">
            <w:pPr>
              <w:pStyle w:val="P68B1DB1-Normal4"/>
              <w:spacing w:line="276" w:lineRule="auto"/>
              <w:jc w:val="center"/>
              <w:rPr>
                <w:noProof/>
              </w:rPr>
            </w:pPr>
            <w:r>
              <w:rPr>
                <w:noProof/>
              </w:rPr>
              <w:t>NIE DOT.</w:t>
            </w:r>
          </w:p>
        </w:tc>
        <w:tc>
          <w:tcPr>
            <w:tcW w:w="1094" w:type="dxa"/>
            <w:shd w:val="clear" w:color="auto" w:fill="C6EFCE"/>
            <w:noWrap/>
            <w:vAlign w:val="center"/>
          </w:tcPr>
          <w:p w14:paraId="47BBAAD6" w14:textId="77777777" w:rsidR="004C6421" w:rsidRDefault="009D1962">
            <w:pPr>
              <w:pStyle w:val="P68B1DB1-Normal4"/>
              <w:spacing w:line="276" w:lineRule="auto"/>
              <w:jc w:val="center"/>
              <w:rPr>
                <w:noProof/>
              </w:rPr>
            </w:pPr>
            <w:r>
              <w:rPr>
                <w:noProof/>
              </w:rPr>
              <w:t>Procent</w:t>
            </w:r>
          </w:p>
        </w:tc>
        <w:tc>
          <w:tcPr>
            <w:tcW w:w="1290" w:type="dxa"/>
            <w:shd w:val="clear" w:color="auto" w:fill="C6EFCE"/>
            <w:noWrap/>
            <w:vAlign w:val="center"/>
          </w:tcPr>
          <w:p w14:paraId="0595C09E" w14:textId="77777777" w:rsidR="004C6421" w:rsidRDefault="009D1962">
            <w:pPr>
              <w:pStyle w:val="P68B1DB1-Normal4"/>
              <w:spacing w:line="276" w:lineRule="auto"/>
              <w:jc w:val="center"/>
              <w:rPr>
                <w:noProof/>
              </w:rPr>
            </w:pPr>
            <w:r>
              <w:rPr>
                <w:noProof/>
              </w:rPr>
              <w:t>0</w:t>
            </w:r>
          </w:p>
        </w:tc>
        <w:tc>
          <w:tcPr>
            <w:tcW w:w="1194" w:type="dxa"/>
            <w:shd w:val="clear" w:color="auto" w:fill="C6EFCE"/>
            <w:noWrap/>
            <w:vAlign w:val="center"/>
          </w:tcPr>
          <w:p w14:paraId="5D0B1DF3" w14:textId="77777777" w:rsidR="004C6421" w:rsidRDefault="009D1962">
            <w:pPr>
              <w:pStyle w:val="P68B1DB1-Normal4"/>
              <w:spacing w:line="276" w:lineRule="auto"/>
              <w:jc w:val="center"/>
              <w:rPr>
                <w:noProof/>
              </w:rPr>
            </w:pPr>
            <w:r>
              <w:rPr>
                <w:noProof/>
              </w:rPr>
              <w:t>70</w:t>
            </w:r>
          </w:p>
        </w:tc>
        <w:tc>
          <w:tcPr>
            <w:tcW w:w="2037" w:type="dxa"/>
            <w:shd w:val="clear" w:color="auto" w:fill="C6EFCE"/>
            <w:noWrap/>
            <w:vAlign w:val="center"/>
          </w:tcPr>
          <w:p w14:paraId="0E88E818" w14:textId="77777777" w:rsidR="004C6421" w:rsidRDefault="009D1962">
            <w:pPr>
              <w:pStyle w:val="P68B1DB1-Normal4"/>
              <w:spacing w:line="276" w:lineRule="auto"/>
              <w:jc w:val="center"/>
              <w:rPr>
                <w:noProof/>
              </w:rPr>
            </w:pPr>
            <w:r>
              <w:rPr>
                <w:noProof/>
              </w:rPr>
              <w:t>II KW.</w:t>
            </w:r>
          </w:p>
        </w:tc>
        <w:tc>
          <w:tcPr>
            <w:tcW w:w="638" w:type="dxa"/>
            <w:shd w:val="clear" w:color="auto" w:fill="C6EFCE"/>
            <w:noWrap/>
            <w:vAlign w:val="center"/>
          </w:tcPr>
          <w:p w14:paraId="353C9B04" w14:textId="77777777" w:rsidR="004C6421" w:rsidRDefault="009D1962">
            <w:pPr>
              <w:pStyle w:val="P68B1DB1-Normal4"/>
              <w:spacing w:line="276" w:lineRule="auto"/>
              <w:jc w:val="center"/>
              <w:rPr>
                <w:noProof/>
              </w:rPr>
            </w:pPr>
            <w:r>
              <w:rPr>
                <w:noProof/>
              </w:rPr>
              <w:t>2024</w:t>
            </w:r>
          </w:p>
        </w:tc>
        <w:tc>
          <w:tcPr>
            <w:tcW w:w="4116" w:type="dxa"/>
            <w:shd w:val="clear" w:color="auto" w:fill="C6EFCE"/>
            <w:noWrap/>
            <w:vAlign w:val="center"/>
          </w:tcPr>
          <w:p w14:paraId="7113A811" w14:textId="77777777" w:rsidR="004C6421" w:rsidRDefault="009D1962">
            <w:pPr>
              <w:pStyle w:val="P68B1DB1-Normal4"/>
              <w:spacing w:line="276" w:lineRule="auto"/>
              <w:rPr>
                <w:noProof/>
              </w:rPr>
            </w:pPr>
            <w:r>
              <w:rPr>
                <w:noProof/>
              </w:rPr>
              <w:t>Co najmniej 70 % parków narodowych i morskich obszarów chronionych opracowało usługi cyfrowe dla odwiedzających parki narodowe i morskie obszary chronione (co najmniej dwa spośród: połączenie z portalem Naturitalia.IT; wniosek o zastosowanie procedur administracyjnych lub aplikacja na rzecz mobilności zgodnej z zasadami zrównoważonego rozwoju).</w:t>
            </w:r>
          </w:p>
        </w:tc>
      </w:tr>
      <w:tr w:rsidR="004C6421" w14:paraId="77FFC6B6" w14:textId="77777777">
        <w:trPr>
          <w:trHeight w:val="313"/>
          <w:jc w:val="center"/>
        </w:trPr>
        <w:tc>
          <w:tcPr>
            <w:tcW w:w="1130" w:type="dxa"/>
            <w:shd w:val="clear" w:color="auto" w:fill="C6EFCE"/>
            <w:noWrap/>
            <w:vAlign w:val="center"/>
            <w:hideMark/>
          </w:tcPr>
          <w:p w14:paraId="5D79B307" w14:textId="77777777" w:rsidR="004C6421" w:rsidRDefault="009D1962">
            <w:pPr>
              <w:pStyle w:val="P68B1DB1-Normal4"/>
              <w:spacing w:line="276" w:lineRule="auto"/>
              <w:jc w:val="center"/>
              <w:rPr>
                <w:rFonts w:eastAsia="Arial Narrow" w:cs="Arial Narrow"/>
                <w:noProof/>
              </w:rPr>
            </w:pPr>
            <w:r>
              <w:rPr>
                <w:noProof/>
              </w:rPr>
              <w:t>M2C4-6bis</w:t>
            </w:r>
          </w:p>
        </w:tc>
        <w:tc>
          <w:tcPr>
            <w:tcW w:w="1560" w:type="dxa"/>
            <w:shd w:val="clear" w:color="auto" w:fill="C6EFCE"/>
            <w:noWrap/>
            <w:vAlign w:val="center"/>
          </w:tcPr>
          <w:p w14:paraId="20D5F819" w14:textId="77777777" w:rsidR="004C6421" w:rsidRDefault="009D1962">
            <w:pPr>
              <w:pStyle w:val="P68B1DB1-Normal4"/>
              <w:spacing w:line="276" w:lineRule="auto"/>
              <w:jc w:val="center"/>
              <w:rPr>
                <w:rFonts w:eastAsia="Arial Narrow" w:cs="Arial Narrow"/>
                <w:noProof/>
              </w:rPr>
            </w:pPr>
            <w:r>
              <w:rPr>
                <w:noProof/>
              </w:rPr>
              <w:t>Inwestycje 3.2: Cyfryzacja parków narodowych</w:t>
            </w:r>
          </w:p>
        </w:tc>
        <w:tc>
          <w:tcPr>
            <w:tcW w:w="1134" w:type="dxa"/>
            <w:shd w:val="clear" w:color="auto" w:fill="C6EFCE"/>
            <w:noWrap/>
            <w:vAlign w:val="center"/>
            <w:hideMark/>
          </w:tcPr>
          <w:p w14:paraId="4B9BA7C8" w14:textId="77777777" w:rsidR="004C6421" w:rsidRDefault="009D1962">
            <w:pPr>
              <w:pStyle w:val="P68B1DB1-Normal4"/>
              <w:spacing w:line="276" w:lineRule="auto"/>
              <w:jc w:val="center"/>
              <w:rPr>
                <w:noProof/>
              </w:rPr>
            </w:pPr>
            <w:r>
              <w:rPr>
                <w:noProof/>
              </w:rPr>
              <w:t>Cel</w:t>
            </w:r>
          </w:p>
        </w:tc>
        <w:tc>
          <w:tcPr>
            <w:tcW w:w="1559" w:type="dxa"/>
            <w:shd w:val="clear" w:color="auto" w:fill="C6EFCE"/>
            <w:noWrap/>
            <w:vAlign w:val="center"/>
          </w:tcPr>
          <w:p w14:paraId="2D806F2F" w14:textId="77777777" w:rsidR="004C6421" w:rsidRDefault="009D1962">
            <w:pPr>
              <w:pStyle w:val="P68B1DB1-Normal4"/>
              <w:spacing w:line="276" w:lineRule="auto"/>
              <w:jc w:val="center"/>
              <w:rPr>
                <w:noProof/>
              </w:rPr>
            </w:pPr>
            <w:r>
              <w:rPr>
                <w:noProof/>
              </w:rPr>
              <w:t xml:space="preserve">Zakończenie interwencji </w:t>
            </w:r>
          </w:p>
        </w:tc>
        <w:tc>
          <w:tcPr>
            <w:tcW w:w="1383" w:type="dxa"/>
            <w:shd w:val="clear" w:color="auto" w:fill="C6EFCE"/>
            <w:noWrap/>
            <w:vAlign w:val="center"/>
            <w:hideMark/>
          </w:tcPr>
          <w:p w14:paraId="33363B83" w14:textId="77777777" w:rsidR="004C6421" w:rsidRDefault="009D1962">
            <w:pPr>
              <w:pStyle w:val="P68B1DB1-Normal4"/>
              <w:spacing w:line="276" w:lineRule="auto"/>
              <w:jc w:val="center"/>
              <w:rPr>
                <w:rFonts w:eastAsia="Arial Narrow" w:cs="Arial Narrow"/>
                <w:noProof/>
              </w:rPr>
            </w:pPr>
            <w:r>
              <w:rPr>
                <w:noProof/>
              </w:rPr>
              <w:t>NIE DOTYCZY</w:t>
            </w:r>
          </w:p>
        </w:tc>
        <w:tc>
          <w:tcPr>
            <w:tcW w:w="1094" w:type="dxa"/>
            <w:shd w:val="clear" w:color="auto" w:fill="C6EFCE"/>
            <w:noWrap/>
            <w:vAlign w:val="center"/>
            <w:hideMark/>
          </w:tcPr>
          <w:p w14:paraId="4295D779" w14:textId="77777777" w:rsidR="004C6421" w:rsidRDefault="009D1962">
            <w:pPr>
              <w:pStyle w:val="P68B1DB1-Normal4"/>
              <w:spacing w:line="276" w:lineRule="auto"/>
              <w:jc w:val="center"/>
              <w:rPr>
                <w:noProof/>
              </w:rPr>
            </w:pPr>
            <w:r>
              <w:rPr>
                <w:noProof/>
              </w:rPr>
              <w:t>Numer</w:t>
            </w:r>
          </w:p>
        </w:tc>
        <w:tc>
          <w:tcPr>
            <w:tcW w:w="1290" w:type="dxa"/>
            <w:shd w:val="clear" w:color="auto" w:fill="C6EFCE"/>
            <w:noWrap/>
            <w:vAlign w:val="center"/>
          </w:tcPr>
          <w:p w14:paraId="0978105B" w14:textId="77777777" w:rsidR="004C6421" w:rsidRDefault="009D1962">
            <w:pPr>
              <w:pStyle w:val="P68B1DB1-Normal4"/>
              <w:spacing w:line="276" w:lineRule="auto"/>
              <w:jc w:val="center"/>
              <w:rPr>
                <w:noProof/>
              </w:rPr>
            </w:pPr>
            <w:r>
              <w:rPr>
                <w:noProof/>
              </w:rPr>
              <w:t>0</w:t>
            </w:r>
          </w:p>
        </w:tc>
        <w:tc>
          <w:tcPr>
            <w:tcW w:w="1194" w:type="dxa"/>
            <w:shd w:val="clear" w:color="auto" w:fill="C6EFCE"/>
            <w:noWrap/>
            <w:vAlign w:val="center"/>
          </w:tcPr>
          <w:p w14:paraId="5E182CE7" w14:textId="77777777" w:rsidR="004C6421" w:rsidRDefault="009D1962">
            <w:pPr>
              <w:pStyle w:val="P68B1DB1-Normal4"/>
              <w:spacing w:line="276" w:lineRule="auto"/>
              <w:jc w:val="center"/>
              <w:rPr>
                <w:noProof/>
              </w:rPr>
            </w:pPr>
            <w:r>
              <w:rPr>
                <w:noProof/>
              </w:rPr>
              <w:t>4</w:t>
            </w:r>
          </w:p>
        </w:tc>
        <w:tc>
          <w:tcPr>
            <w:tcW w:w="2037" w:type="dxa"/>
            <w:shd w:val="clear" w:color="auto" w:fill="C6EFCE"/>
            <w:noWrap/>
            <w:vAlign w:val="center"/>
            <w:hideMark/>
          </w:tcPr>
          <w:p w14:paraId="607F7C72" w14:textId="77777777" w:rsidR="004C6421" w:rsidRDefault="009D1962">
            <w:pPr>
              <w:pStyle w:val="P68B1DB1-Normal4"/>
              <w:spacing w:line="276" w:lineRule="auto"/>
              <w:jc w:val="center"/>
              <w:rPr>
                <w:noProof/>
              </w:rPr>
            </w:pPr>
            <w:r>
              <w:rPr>
                <w:noProof/>
              </w:rPr>
              <w:t>II KW.</w:t>
            </w:r>
          </w:p>
        </w:tc>
        <w:tc>
          <w:tcPr>
            <w:tcW w:w="638" w:type="dxa"/>
            <w:shd w:val="clear" w:color="auto" w:fill="C6EFCE"/>
            <w:noWrap/>
            <w:vAlign w:val="center"/>
            <w:hideMark/>
          </w:tcPr>
          <w:p w14:paraId="15D61C26" w14:textId="77777777" w:rsidR="004C6421" w:rsidRDefault="009D1962">
            <w:pPr>
              <w:pStyle w:val="P68B1DB1-Normal4"/>
              <w:spacing w:line="276" w:lineRule="auto"/>
              <w:jc w:val="center"/>
              <w:rPr>
                <w:noProof/>
              </w:rPr>
            </w:pPr>
            <w:r>
              <w:rPr>
                <w:noProof/>
              </w:rPr>
              <w:t>2026</w:t>
            </w:r>
          </w:p>
        </w:tc>
        <w:tc>
          <w:tcPr>
            <w:tcW w:w="4116" w:type="dxa"/>
            <w:shd w:val="clear" w:color="auto" w:fill="C6EFCE"/>
            <w:noWrap/>
            <w:vAlign w:val="center"/>
            <w:hideMark/>
          </w:tcPr>
          <w:p w14:paraId="5202A583" w14:textId="77777777" w:rsidR="004C6421" w:rsidRDefault="009D1962">
            <w:pPr>
              <w:pStyle w:val="P68B1DB1-Normal4"/>
              <w:spacing w:line="276" w:lineRule="auto"/>
              <w:rPr>
                <w:rFonts w:eastAsia="Arial Narrow" w:cs="Arial Narrow"/>
                <w:noProof/>
              </w:rPr>
            </w:pPr>
            <w:r>
              <w:rPr>
                <w:noProof/>
              </w:rPr>
              <w:t>Zakończenie czterech następujących interwencji.</w:t>
            </w:r>
          </w:p>
          <w:p w14:paraId="4A9465E9" w14:textId="77777777" w:rsidR="004C6421" w:rsidRDefault="009D1962">
            <w:pPr>
              <w:pStyle w:val="P68B1DB1-Normal4"/>
              <w:spacing w:line="276" w:lineRule="auto"/>
              <w:rPr>
                <w:rFonts w:eastAsia="Arial Narrow" w:cs="Arial Narrow"/>
                <w:noProof/>
              </w:rPr>
            </w:pPr>
            <w:r>
              <w:rPr>
                <w:noProof/>
              </w:rPr>
              <w:t xml:space="preserve"> </w:t>
            </w:r>
          </w:p>
          <w:p w14:paraId="3A1674E3" w14:textId="77777777" w:rsidR="004C6421" w:rsidRDefault="009D1962">
            <w:pPr>
              <w:pStyle w:val="P68B1DB1-Normal4"/>
              <w:spacing w:line="276" w:lineRule="auto"/>
              <w:rPr>
                <w:rFonts w:eastAsia="Arial Narrow" w:cs="Arial Narrow"/>
                <w:noProof/>
              </w:rPr>
            </w:pPr>
            <w:r>
              <w:rPr>
                <w:noProof/>
              </w:rPr>
              <w:t xml:space="preserve">Dwie interwencje związane z uproszczeniem procedur administracyjnych: </w:t>
            </w:r>
          </w:p>
          <w:p w14:paraId="0A8EE8C2" w14:textId="77777777" w:rsidR="004C6421" w:rsidRDefault="009D1962">
            <w:pPr>
              <w:pStyle w:val="P68B1DB1-Normal4"/>
              <w:spacing w:line="276" w:lineRule="auto"/>
              <w:rPr>
                <w:rFonts w:eastAsia="Arial Narrow" w:cs="Arial Narrow"/>
                <w:noProof/>
              </w:rPr>
            </w:pPr>
            <w:r>
              <w:rPr>
                <w:noProof/>
              </w:rPr>
              <w:t xml:space="preserve"> </w:t>
            </w:r>
          </w:p>
          <w:p w14:paraId="2784081C" w14:textId="736BFD66" w:rsidR="004C6421" w:rsidRDefault="009D1962">
            <w:pPr>
              <w:pStyle w:val="P68B1DB1-ListParagraph5"/>
              <w:numPr>
                <w:ilvl w:val="0"/>
                <w:numId w:val="144"/>
              </w:numPr>
              <w:spacing w:before="0" w:after="0" w:line="276" w:lineRule="auto"/>
              <w:rPr>
                <w:rFonts w:eastAsia="Arial Narrow" w:cs="Arial Narrow"/>
                <w:noProof/>
              </w:rPr>
            </w:pPr>
            <w:r>
              <w:rPr>
                <w:noProof/>
              </w:rPr>
              <w:t xml:space="preserve">Utworzenie platformy informatycznej w celu uproszczenia procedur administracyjnych związanych z parkami narodowymi i morskimi obszarami chronionymi; oraz </w:t>
            </w:r>
          </w:p>
          <w:p w14:paraId="0F37E567" w14:textId="77777777" w:rsidR="004C6421" w:rsidRDefault="009D1962">
            <w:pPr>
              <w:pStyle w:val="P68B1DB1-ListParagraph5"/>
              <w:numPr>
                <w:ilvl w:val="0"/>
                <w:numId w:val="144"/>
              </w:numPr>
              <w:spacing w:before="0" w:after="0" w:line="276" w:lineRule="auto"/>
              <w:rPr>
                <w:rFonts w:eastAsia="Arial Narrow" w:cs="Arial Narrow"/>
                <w:noProof/>
              </w:rPr>
            </w:pPr>
            <w:r>
              <w:rPr>
                <w:noProof/>
              </w:rPr>
              <w:t xml:space="preserve">Stworzenie zaplecza administracyjnego do </w:t>
            </w:r>
            <w:r>
              <w:rPr>
                <w:i/>
                <w:noProof/>
              </w:rPr>
              <w:t>aplikacji</w:t>
            </w:r>
            <w:r>
              <w:rPr>
                <w:noProof/>
              </w:rPr>
              <w:t xml:space="preserve"> Naturitalia dla pracowników wszystkich parków narodowych i morskich obszarów chronionych. System zaplecza administracyjnego umożliwia dostęp do danych i statystyk dotyczących odwiedzających oraz odpowiada na wnioski odwiedzających.</w:t>
            </w:r>
          </w:p>
          <w:p w14:paraId="6E6861FA" w14:textId="77777777" w:rsidR="004C6421" w:rsidRDefault="004C6421">
            <w:pPr>
              <w:pStyle w:val="ListParagraph"/>
              <w:spacing w:before="0" w:after="0" w:line="276" w:lineRule="auto"/>
              <w:rPr>
                <w:rFonts w:ascii="Arial Narrow" w:eastAsia="Arial Narrow" w:hAnsi="Arial Narrow" w:cs="Arial Narrow"/>
                <w:noProof/>
                <w:color w:val="006100"/>
                <w:sz w:val="20"/>
              </w:rPr>
            </w:pPr>
          </w:p>
          <w:p w14:paraId="3583B18D" w14:textId="77777777" w:rsidR="004C6421" w:rsidRDefault="009D1962">
            <w:pPr>
              <w:pStyle w:val="P68B1DB1-Normal4"/>
              <w:spacing w:line="276" w:lineRule="auto"/>
              <w:rPr>
                <w:rFonts w:eastAsia="Arial Narrow" w:cs="Arial Narrow"/>
                <w:noProof/>
              </w:rPr>
            </w:pPr>
            <w:r>
              <w:rPr>
                <w:noProof/>
              </w:rPr>
              <w:t xml:space="preserve">Dwie interwencje związane z ochroną przyrody i monitorowaniem zasobów naturalnych: </w:t>
            </w:r>
          </w:p>
          <w:p w14:paraId="183F4046" w14:textId="77777777" w:rsidR="004C6421" w:rsidRDefault="009D1962">
            <w:pPr>
              <w:pStyle w:val="P68B1DB1-Normal4"/>
              <w:spacing w:line="276" w:lineRule="auto"/>
              <w:jc w:val="both"/>
              <w:rPr>
                <w:rFonts w:eastAsia="Arial Narrow" w:cs="Arial Narrow"/>
                <w:noProof/>
              </w:rPr>
            </w:pPr>
            <w:r>
              <w:rPr>
                <w:noProof/>
              </w:rPr>
              <w:t xml:space="preserve"> </w:t>
            </w:r>
          </w:p>
          <w:p w14:paraId="4D916CEF" w14:textId="77777777" w:rsidR="004C6421" w:rsidRDefault="009D1962">
            <w:pPr>
              <w:pStyle w:val="P68B1DB1-ListParagraph5"/>
              <w:numPr>
                <w:ilvl w:val="0"/>
                <w:numId w:val="144"/>
              </w:numPr>
              <w:spacing w:before="0" w:after="0" w:line="276" w:lineRule="auto"/>
              <w:rPr>
                <w:rFonts w:eastAsia="Arial Narrow" w:cs="Arial Narrow"/>
                <w:noProof/>
              </w:rPr>
            </w:pPr>
            <w:r>
              <w:rPr>
                <w:noProof/>
              </w:rPr>
              <w:t>Zakup i dostawa do parków przyrodniczych i morskich obszarów chronionych co najmniej 12.000 urządzeń niezbędnych do realizacji działań w zakresie ochrony przyrody i monitorowania; oraz</w:t>
            </w:r>
          </w:p>
          <w:p w14:paraId="5F0CECCE" w14:textId="2F6A1705" w:rsidR="004C6421" w:rsidRDefault="009D1962">
            <w:pPr>
              <w:pStyle w:val="P68B1DB1-ListParagraph5"/>
              <w:numPr>
                <w:ilvl w:val="0"/>
                <w:numId w:val="144"/>
              </w:numPr>
              <w:spacing w:before="0" w:after="0" w:line="276" w:lineRule="auto"/>
              <w:rPr>
                <w:rFonts w:eastAsia="Arial Narrow" w:cs="Arial Narrow"/>
                <w:noProof/>
              </w:rPr>
            </w:pPr>
            <w:r>
              <w:rPr>
                <w:noProof/>
              </w:rPr>
              <w:t xml:space="preserve">Rozmieszczenie w parkach przyrodniczych i chronionych obszarach morskich co najmniej 7 różnych rodzajów usług technicznych i szkoleń na potrzeby działań w zakresie monitorowania naukowego i monitorowania w terenie, w co najmniej 3 z następujących 5 kategorii: monitorowanie obszarów morskich, monitorowanie siedlisk lądowych, monitorowanie dzikiej fauny lądowej, monitorowanie ekosystemów wodnych, monitorowanie różnorodności biologicznej w oparciu o DNA </w:t>
            </w:r>
          </w:p>
          <w:p w14:paraId="247001BF" w14:textId="77777777" w:rsidR="004C6421" w:rsidRDefault="004C6421">
            <w:pPr>
              <w:spacing w:line="276" w:lineRule="auto"/>
              <w:rPr>
                <w:rFonts w:ascii="Arial Narrow" w:hAnsi="Arial Narrow"/>
                <w:noProof/>
                <w:color w:val="006100"/>
                <w:sz w:val="20"/>
              </w:rPr>
            </w:pPr>
          </w:p>
        </w:tc>
      </w:tr>
      <w:tr w:rsidR="004C6421" w14:paraId="0FA030D2" w14:textId="77777777">
        <w:trPr>
          <w:trHeight w:val="313"/>
          <w:jc w:val="center"/>
        </w:trPr>
        <w:tc>
          <w:tcPr>
            <w:tcW w:w="1130" w:type="dxa"/>
            <w:shd w:val="clear" w:color="auto" w:fill="C6EFCE"/>
            <w:noWrap/>
            <w:vAlign w:val="center"/>
            <w:hideMark/>
          </w:tcPr>
          <w:p w14:paraId="2A773B84" w14:textId="77777777" w:rsidR="004C6421" w:rsidRDefault="009D1962">
            <w:pPr>
              <w:pStyle w:val="P68B1DB1-Normal4"/>
              <w:spacing w:line="276" w:lineRule="auto"/>
              <w:jc w:val="center"/>
              <w:rPr>
                <w:noProof/>
              </w:rPr>
            </w:pPr>
            <w:r>
              <w:rPr>
                <w:noProof/>
              </w:rPr>
              <w:t>M2C4-7</w:t>
            </w:r>
          </w:p>
        </w:tc>
        <w:tc>
          <w:tcPr>
            <w:tcW w:w="1560" w:type="dxa"/>
            <w:shd w:val="clear" w:color="auto" w:fill="C6EFCE"/>
            <w:noWrap/>
            <w:vAlign w:val="center"/>
          </w:tcPr>
          <w:p w14:paraId="3B32F31F" w14:textId="77777777" w:rsidR="004C6421" w:rsidRDefault="009D1962">
            <w:pPr>
              <w:pStyle w:val="P68B1DB1-Normal4"/>
              <w:spacing w:line="276" w:lineRule="auto"/>
              <w:jc w:val="center"/>
              <w:rPr>
                <w:noProof/>
              </w:rPr>
            </w:pPr>
            <w:r>
              <w:rPr>
                <w:noProof/>
              </w:rPr>
              <w:t>Reforma 3.1: Przyjęcie krajowych programów kontroli zanieczyszczenia powietrza</w:t>
            </w:r>
          </w:p>
        </w:tc>
        <w:tc>
          <w:tcPr>
            <w:tcW w:w="1134" w:type="dxa"/>
            <w:shd w:val="clear" w:color="auto" w:fill="C6EFCE"/>
            <w:noWrap/>
            <w:vAlign w:val="center"/>
            <w:hideMark/>
          </w:tcPr>
          <w:p w14:paraId="2CA5C0A2" w14:textId="28F6091F" w:rsidR="004C6421" w:rsidRDefault="00CC179E">
            <w:pPr>
              <w:pStyle w:val="P68B1DB1-Normal4"/>
              <w:spacing w:line="276" w:lineRule="auto"/>
              <w:jc w:val="center"/>
              <w:rPr>
                <w:noProof/>
              </w:rPr>
            </w:pPr>
            <w:r>
              <w:rPr>
                <w:noProof/>
              </w:rPr>
              <w:t>Milowy</w:t>
            </w:r>
          </w:p>
        </w:tc>
        <w:tc>
          <w:tcPr>
            <w:tcW w:w="1559" w:type="dxa"/>
            <w:shd w:val="clear" w:color="auto" w:fill="C6EFCE"/>
            <w:noWrap/>
            <w:vAlign w:val="center"/>
          </w:tcPr>
          <w:p w14:paraId="6DDBCE8E" w14:textId="77777777" w:rsidR="004C6421" w:rsidRDefault="009D1962">
            <w:pPr>
              <w:pStyle w:val="P68B1DB1-Normal4"/>
              <w:spacing w:line="276" w:lineRule="auto"/>
              <w:jc w:val="center"/>
              <w:rPr>
                <w:noProof/>
              </w:rPr>
            </w:pPr>
            <w:r>
              <w:rPr>
                <w:noProof/>
              </w:rPr>
              <w:t>Wejście w życie krajowego programu ograniczania zanieczyszczenia powietrza</w:t>
            </w:r>
          </w:p>
        </w:tc>
        <w:tc>
          <w:tcPr>
            <w:tcW w:w="1383" w:type="dxa"/>
            <w:shd w:val="clear" w:color="auto" w:fill="C6EFCE"/>
            <w:noWrap/>
            <w:vAlign w:val="center"/>
            <w:hideMark/>
          </w:tcPr>
          <w:p w14:paraId="24901745" w14:textId="77777777" w:rsidR="004C6421" w:rsidRDefault="009D1962">
            <w:pPr>
              <w:pStyle w:val="P68B1DB1-Normal4"/>
              <w:spacing w:line="276" w:lineRule="auto"/>
              <w:jc w:val="center"/>
              <w:rPr>
                <w:noProof/>
              </w:rPr>
            </w:pPr>
            <w:r>
              <w:rPr>
                <w:noProof/>
              </w:rPr>
              <w:t>Przepis w DPCM wskazujący na wejście w życie NIE DOT.</w:t>
            </w:r>
          </w:p>
        </w:tc>
        <w:tc>
          <w:tcPr>
            <w:tcW w:w="1094" w:type="dxa"/>
            <w:shd w:val="clear" w:color="auto" w:fill="C6EFCE"/>
            <w:noWrap/>
            <w:vAlign w:val="center"/>
            <w:hideMark/>
          </w:tcPr>
          <w:p w14:paraId="46D98B4E" w14:textId="77777777" w:rsidR="004C6421" w:rsidRDefault="009D1962">
            <w:pPr>
              <w:pStyle w:val="P68B1DB1-Normal4"/>
              <w:spacing w:line="276" w:lineRule="auto"/>
              <w:jc w:val="center"/>
              <w:rPr>
                <w:noProof/>
              </w:rPr>
            </w:pPr>
            <w:r>
              <w:rPr>
                <w:noProof/>
              </w:rPr>
              <w:t>NIE DOT.</w:t>
            </w:r>
          </w:p>
        </w:tc>
        <w:tc>
          <w:tcPr>
            <w:tcW w:w="1290" w:type="dxa"/>
            <w:shd w:val="clear" w:color="auto" w:fill="C6EFCE"/>
            <w:noWrap/>
            <w:vAlign w:val="center"/>
          </w:tcPr>
          <w:p w14:paraId="22C215FD" w14:textId="77777777" w:rsidR="004C6421" w:rsidRDefault="009D1962">
            <w:pPr>
              <w:pStyle w:val="P68B1DB1-Normal4"/>
              <w:spacing w:line="276" w:lineRule="auto"/>
              <w:jc w:val="center"/>
              <w:rPr>
                <w:noProof/>
              </w:rPr>
            </w:pPr>
            <w:r>
              <w:rPr>
                <w:noProof/>
              </w:rPr>
              <w:t>NIE DOTYCZY</w:t>
            </w:r>
          </w:p>
        </w:tc>
        <w:tc>
          <w:tcPr>
            <w:tcW w:w="1194" w:type="dxa"/>
            <w:shd w:val="clear" w:color="auto" w:fill="C6EFCE"/>
            <w:noWrap/>
            <w:vAlign w:val="center"/>
          </w:tcPr>
          <w:p w14:paraId="0AD25EE9" w14:textId="77777777" w:rsidR="004C6421" w:rsidRDefault="009D1962">
            <w:pPr>
              <w:pStyle w:val="P68B1DB1-Normal4"/>
              <w:spacing w:line="276" w:lineRule="auto"/>
              <w:jc w:val="center"/>
              <w:rPr>
                <w:noProof/>
              </w:rPr>
            </w:pPr>
            <w:r>
              <w:rPr>
                <w:noProof/>
              </w:rPr>
              <w:t>NIE DOT.</w:t>
            </w:r>
          </w:p>
        </w:tc>
        <w:tc>
          <w:tcPr>
            <w:tcW w:w="2037" w:type="dxa"/>
            <w:shd w:val="clear" w:color="auto" w:fill="C6EFCE"/>
            <w:noWrap/>
            <w:vAlign w:val="center"/>
            <w:hideMark/>
          </w:tcPr>
          <w:p w14:paraId="438FB582" w14:textId="01C8B019" w:rsidR="004C6421" w:rsidRDefault="00CC179E">
            <w:pPr>
              <w:pStyle w:val="P68B1DB1-Normal4"/>
              <w:spacing w:line="276" w:lineRule="auto"/>
              <w:jc w:val="center"/>
              <w:rPr>
                <w:noProof/>
              </w:rPr>
            </w:pPr>
            <w:r>
              <w:rPr>
                <w:noProof/>
              </w:rPr>
              <w:t>KW. 4</w:t>
            </w:r>
          </w:p>
        </w:tc>
        <w:tc>
          <w:tcPr>
            <w:tcW w:w="638" w:type="dxa"/>
            <w:shd w:val="clear" w:color="auto" w:fill="C6EFCE"/>
            <w:noWrap/>
            <w:vAlign w:val="center"/>
            <w:hideMark/>
          </w:tcPr>
          <w:p w14:paraId="7B332426" w14:textId="77777777" w:rsidR="004C6421" w:rsidRDefault="009D1962">
            <w:pPr>
              <w:pStyle w:val="P68B1DB1-Normal4"/>
              <w:spacing w:line="276" w:lineRule="auto"/>
              <w:jc w:val="center"/>
              <w:rPr>
                <w:noProof/>
              </w:rPr>
            </w:pPr>
            <w:r>
              <w:rPr>
                <w:noProof/>
              </w:rPr>
              <w:t>2021</w:t>
            </w:r>
          </w:p>
        </w:tc>
        <w:tc>
          <w:tcPr>
            <w:tcW w:w="4116" w:type="dxa"/>
            <w:shd w:val="clear" w:color="auto" w:fill="C6EFCE"/>
            <w:noWrap/>
            <w:vAlign w:val="center"/>
            <w:hideMark/>
          </w:tcPr>
          <w:p w14:paraId="73FEC388" w14:textId="77777777" w:rsidR="004C6421" w:rsidRDefault="009D1962">
            <w:pPr>
              <w:pStyle w:val="P68B1DB1-Normal4"/>
              <w:spacing w:line="276" w:lineRule="auto"/>
              <w:rPr>
                <w:noProof/>
              </w:rPr>
            </w:pPr>
            <w:r>
              <w:rPr>
                <w:noProof/>
              </w:rPr>
              <w:t>Dekret Przewodniczącego Rady Ministrów (DPCM) określa krajowy program ograniczania zanieczyszczenia powietrza, który wprowadza odpowiednie środki redukcji zanieczyszczenia powietrza zgodnie z dyrektywą UE 2016/2284 i dekretem ustawodawczym z dnia 30 maja 2018 r. nr 81 transponującym tę dyrektywę.</w:t>
            </w:r>
          </w:p>
        </w:tc>
      </w:tr>
      <w:tr w:rsidR="004C6421" w14:paraId="119B392D" w14:textId="77777777">
        <w:trPr>
          <w:trHeight w:val="313"/>
          <w:jc w:val="center"/>
        </w:trPr>
        <w:tc>
          <w:tcPr>
            <w:tcW w:w="1130" w:type="dxa"/>
            <w:shd w:val="clear" w:color="auto" w:fill="C6EFCE"/>
            <w:noWrap/>
            <w:vAlign w:val="center"/>
            <w:hideMark/>
          </w:tcPr>
          <w:p w14:paraId="0F7D97DF" w14:textId="77777777" w:rsidR="004C6421" w:rsidRDefault="009D1962">
            <w:pPr>
              <w:pStyle w:val="P68B1DB1-Normal4"/>
              <w:spacing w:line="276" w:lineRule="auto"/>
              <w:jc w:val="center"/>
              <w:rPr>
                <w:noProof/>
              </w:rPr>
            </w:pPr>
            <w:r>
              <w:rPr>
                <w:noProof/>
              </w:rPr>
              <w:t>M2C4-8</w:t>
            </w:r>
          </w:p>
        </w:tc>
        <w:tc>
          <w:tcPr>
            <w:tcW w:w="1560" w:type="dxa"/>
            <w:shd w:val="clear" w:color="auto" w:fill="C6EFCE"/>
            <w:noWrap/>
            <w:vAlign w:val="center"/>
          </w:tcPr>
          <w:p w14:paraId="60380699" w14:textId="77777777" w:rsidR="004C6421" w:rsidRDefault="009D1962">
            <w:pPr>
              <w:pStyle w:val="P68B1DB1-Normal4"/>
              <w:spacing w:line="276" w:lineRule="auto"/>
              <w:jc w:val="center"/>
              <w:rPr>
                <w:noProof/>
              </w:rPr>
            </w:pPr>
            <w:r>
              <w:rPr>
                <w:noProof/>
              </w:rPr>
              <w:t>Inwestycje 1.1. Wdrożenie zaawansowanego i zintegrowanego systemu monitorowania i prognozowania</w:t>
            </w:r>
          </w:p>
        </w:tc>
        <w:tc>
          <w:tcPr>
            <w:tcW w:w="1134" w:type="dxa"/>
            <w:shd w:val="clear" w:color="auto" w:fill="C6EFCE"/>
            <w:noWrap/>
            <w:vAlign w:val="center"/>
            <w:hideMark/>
          </w:tcPr>
          <w:p w14:paraId="60620B73" w14:textId="0B186DA7" w:rsidR="004C6421" w:rsidRDefault="00CC179E">
            <w:pPr>
              <w:pStyle w:val="P68B1DB1-Normal4"/>
              <w:spacing w:line="276" w:lineRule="auto"/>
              <w:jc w:val="center"/>
              <w:rPr>
                <w:noProof/>
              </w:rPr>
            </w:pPr>
            <w:r>
              <w:rPr>
                <w:noProof/>
              </w:rPr>
              <w:t>Milowy</w:t>
            </w:r>
          </w:p>
        </w:tc>
        <w:tc>
          <w:tcPr>
            <w:tcW w:w="1559" w:type="dxa"/>
            <w:shd w:val="clear" w:color="auto" w:fill="C6EFCE"/>
            <w:noWrap/>
            <w:vAlign w:val="center"/>
          </w:tcPr>
          <w:p w14:paraId="2C5E1BE3" w14:textId="77777777" w:rsidR="004C6421" w:rsidRDefault="009D1962">
            <w:pPr>
              <w:pStyle w:val="P68B1DB1-Normal4"/>
              <w:spacing w:line="276" w:lineRule="auto"/>
              <w:jc w:val="center"/>
              <w:rPr>
                <w:noProof/>
              </w:rPr>
            </w:pPr>
            <w:r>
              <w:rPr>
                <w:noProof/>
              </w:rPr>
              <w:t>Plan operacyjny dotyczący zaawansowanego i zintegrowanego systemu monitorowania i prognozowania w celu identyfikacji zagrożeń hydrologicznych</w:t>
            </w:r>
          </w:p>
        </w:tc>
        <w:tc>
          <w:tcPr>
            <w:tcW w:w="1383" w:type="dxa"/>
            <w:shd w:val="clear" w:color="auto" w:fill="C6EFCE"/>
            <w:noWrap/>
            <w:vAlign w:val="center"/>
            <w:hideMark/>
          </w:tcPr>
          <w:p w14:paraId="31609687" w14:textId="77777777" w:rsidR="004C6421" w:rsidRDefault="009D1962">
            <w:pPr>
              <w:pStyle w:val="P68B1DB1-Normal4"/>
              <w:spacing w:line="276" w:lineRule="auto"/>
              <w:jc w:val="center"/>
              <w:rPr>
                <w:noProof/>
              </w:rPr>
            </w:pPr>
            <w:r>
              <w:rPr>
                <w:noProof/>
              </w:rPr>
              <w:t>Przepis dekretu ministerialnego wskazujący na wejście w życie NIE DOT.</w:t>
            </w:r>
          </w:p>
        </w:tc>
        <w:tc>
          <w:tcPr>
            <w:tcW w:w="1094" w:type="dxa"/>
            <w:shd w:val="clear" w:color="auto" w:fill="C6EFCE"/>
            <w:noWrap/>
            <w:vAlign w:val="center"/>
            <w:hideMark/>
          </w:tcPr>
          <w:p w14:paraId="617B8252" w14:textId="77777777" w:rsidR="004C6421" w:rsidRDefault="009D1962">
            <w:pPr>
              <w:pStyle w:val="P68B1DB1-Normal4"/>
              <w:spacing w:line="276" w:lineRule="auto"/>
              <w:jc w:val="center"/>
              <w:rPr>
                <w:noProof/>
              </w:rPr>
            </w:pPr>
            <w:r>
              <w:rPr>
                <w:noProof/>
              </w:rPr>
              <w:t>NIE DOT.</w:t>
            </w:r>
          </w:p>
        </w:tc>
        <w:tc>
          <w:tcPr>
            <w:tcW w:w="1290" w:type="dxa"/>
            <w:shd w:val="clear" w:color="auto" w:fill="C6EFCE"/>
            <w:noWrap/>
            <w:vAlign w:val="center"/>
          </w:tcPr>
          <w:p w14:paraId="5A43765A" w14:textId="77777777" w:rsidR="004C6421" w:rsidRDefault="009D1962">
            <w:pPr>
              <w:pStyle w:val="P68B1DB1-Normal4"/>
              <w:spacing w:line="276" w:lineRule="auto"/>
              <w:jc w:val="center"/>
              <w:rPr>
                <w:noProof/>
              </w:rPr>
            </w:pPr>
            <w:r>
              <w:rPr>
                <w:noProof/>
              </w:rPr>
              <w:t>NIE DOT.</w:t>
            </w:r>
          </w:p>
        </w:tc>
        <w:tc>
          <w:tcPr>
            <w:tcW w:w="1194" w:type="dxa"/>
            <w:shd w:val="clear" w:color="auto" w:fill="C6EFCE"/>
            <w:noWrap/>
            <w:vAlign w:val="center"/>
          </w:tcPr>
          <w:p w14:paraId="6920507B" w14:textId="77777777" w:rsidR="004C6421" w:rsidRDefault="009D1962">
            <w:pPr>
              <w:pStyle w:val="P68B1DB1-Normal4"/>
              <w:spacing w:line="276" w:lineRule="auto"/>
              <w:jc w:val="center"/>
              <w:rPr>
                <w:noProof/>
              </w:rPr>
            </w:pPr>
            <w:r>
              <w:rPr>
                <w:noProof/>
              </w:rPr>
              <w:t>NIE DOT.</w:t>
            </w:r>
          </w:p>
        </w:tc>
        <w:tc>
          <w:tcPr>
            <w:tcW w:w="2037" w:type="dxa"/>
            <w:shd w:val="clear" w:color="auto" w:fill="C6EFCE"/>
            <w:noWrap/>
            <w:vAlign w:val="center"/>
            <w:hideMark/>
          </w:tcPr>
          <w:p w14:paraId="17BC6D35" w14:textId="77777777" w:rsidR="004C6421" w:rsidRDefault="009D1962">
            <w:pPr>
              <w:pStyle w:val="P68B1DB1-Normal4"/>
              <w:spacing w:line="276" w:lineRule="auto"/>
              <w:jc w:val="center"/>
              <w:rPr>
                <w:noProof/>
              </w:rPr>
            </w:pPr>
            <w:r>
              <w:rPr>
                <w:noProof/>
              </w:rPr>
              <w:t>III KW.</w:t>
            </w:r>
          </w:p>
        </w:tc>
        <w:tc>
          <w:tcPr>
            <w:tcW w:w="638" w:type="dxa"/>
            <w:shd w:val="clear" w:color="auto" w:fill="C6EFCE"/>
            <w:noWrap/>
            <w:vAlign w:val="center"/>
            <w:hideMark/>
          </w:tcPr>
          <w:p w14:paraId="32B63AA9" w14:textId="77777777" w:rsidR="004C6421" w:rsidRDefault="009D1962">
            <w:pPr>
              <w:pStyle w:val="P68B1DB1-Normal4"/>
              <w:spacing w:line="276" w:lineRule="auto"/>
              <w:jc w:val="center"/>
              <w:rPr>
                <w:noProof/>
              </w:rPr>
            </w:pPr>
            <w:r>
              <w:rPr>
                <w:noProof/>
              </w:rPr>
              <w:t>2021</w:t>
            </w:r>
          </w:p>
        </w:tc>
        <w:tc>
          <w:tcPr>
            <w:tcW w:w="4116" w:type="dxa"/>
            <w:shd w:val="clear" w:color="auto" w:fill="C6EFCE"/>
            <w:noWrap/>
            <w:vAlign w:val="center"/>
            <w:hideMark/>
          </w:tcPr>
          <w:p w14:paraId="13F525E9" w14:textId="77777777" w:rsidR="004C6421" w:rsidRDefault="009D1962">
            <w:pPr>
              <w:pStyle w:val="P68B1DB1-Normal4"/>
              <w:spacing w:line="276" w:lineRule="auto"/>
              <w:rPr>
                <w:noProof/>
              </w:rPr>
            </w:pPr>
            <w:r>
              <w:rPr>
                <w:noProof/>
              </w:rPr>
              <w:t>Dekret ministerialny zatwierdza plan operacyjny dotyczący wdrożenia zaawansowanego i zintegrowanego systemu monitorowania i prognozowania w celu identyfikacji zagrożeń hydrologicznych. Co najmniej:</w:t>
            </w:r>
          </w:p>
          <w:p w14:paraId="3EBC1E2E" w14:textId="77777777" w:rsidR="004C6421" w:rsidRDefault="009D1962">
            <w:pPr>
              <w:pStyle w:val="P68B1DB1-ListParagraph5"/>
              <w:numPr>
                <w:ilvl w:val="0"/>
                <w:numId w:val="74"/>
              </w:numPr>
              <w:spacing w:line="276" w:lineRule="auto"/>
              <w:ind w:left="424"/>
              <w:rPr>
                <w:noProof/>
              </w:rPr>
            </w:pPr>
            <w:r>
              <w:rPr>
                <w:noProof/>
              </w:rPr>
              <w:t>Przewidywać aplikacje teledetekcji i czujniki pola danych;</w:t>
            </w:r>
          </w:p>
          <w:p w14:paraId="51DEAFF0" w14:textId="77777777" w:rsidR="004C6421" w:rsidRDefault="009D1962">
            <w:pPr>
              <w:pStyle w:val="P68B1DB1-ListParagraph5"/>
              <w:numPr>
                <w:ilvl w:val="0"/>
                <w:numId w:val="74"/>
              </w:numPr>
              <w:spacing w:line="276" w:lineRule="auto"/>
              <w:ind w:left="424"/>
              <w:rPr>
                <w:noProof/>
              </w:rPr>
            </w:pPr>
            <w:r>
              <w:rPr>
                <w:noProof/>
              </w:rPr>
              <w:t>Opracowanie systemu komunikacji, który umożliwia koordynację i interoperacyjność między różnymi operatorami w salach kontrolnych.</w:t>
            </w:r>
          </w:p>
          <w:p w14:paraId="6710733C" w14:textId="77777777" w:rsidR="004C6421" w:rsidRDefault="009D1962">
            <w:pPr>
              <w:pStyle w:val="P68B1DB1-ListParagraph5"/>
              <w:numPr>
                <w:ilvl w:val="0"/>
                <w:numId w:val="74"/>
              </w:numPr>
              <w:spacing w:line="276" w:lineRule="auto"/>
              <w:ind w:left="424"/>
              <w:rPr>
                <w:noProof/>
              </w:rPr>
            </w:pPr>
            <w:r>
              <w:rPr>
                <w:noProof/>
              </w:rPr>
              <w:t>Utworzenie centralnych i regionalnych sal kontrolnych</w:t>
            </w:r>
          </w:p>
          <w:p w14:paraId="7D21B7F5" w14:textId="77777777" w:rsidR="004C6421" w:rsidRDefault="009D1962">
            <w:pPr>
              <w:pStyle w:val="P68B1DB1-ListParagraph5"/>
              <w:numPr>
                <w:ilvl w:val="0"/>
                <w:numId w:val="74"/>
              </w:numPr>
              <w:spacing w:line="276" w:lineRule="auto"/>
              <w:ind w:left="424"/>
              <w:rPr>
                <w:noProof/>
              </w:rPr>
            </w:pPr>
            <w:r>
              <w:rPr>
                <w:noProof/>
              </w:rPr>
              <w:t>Rozwój systemów i usług w zakresie bezpieczeństwa cybernetycznego</w:t>
            </w:r>
          </w:p>
        </w:tc>
      </w:tr>
      <w:tr w:rsidR="004C6421" w14:paraId="291D7342" w14:textId="77777777">
        <w:trPr>
          <w:trHeight w:val="313"/>
          <w:jc w:val="center"/>
        </w:trPr>
        <w:tc>
          <w:tcPr>
            <w:tcW w:w="1130" w:type="dxa"/>
            <w:shd w:val="clear" w:color="auto" w:fill="C6EFCE"/>
            <w:noWrap/>
            <w:vAlign w:val="center"/>
            <w:hideMark/>
          </w:tcPr>
          <w:p w14:paraId="0AED40E7" w14:textId="77777777" w:rsidR="004C6421" w:rsidRDefault="009D1962">
            <w:pPr>
              <w:pStyle w:val="P68B1DB1-Normal4"/>
              <w:spacing w:line="276" w:lineRule="auto"/>
              <w:jc w:val="center"/>
              <w:rPr>
                <w:noProof/>
              </w:rPr>
            </w:pPr>
            <w:r>
              <w:rPr>
                <w:noProof/>
              </w:rPr>
              <w:t>M2C4-9</w:t>
            </w:r>
          </w:p>
        </w:tc>
        <w:tc>
          <w:tcPr>
            <w:tcW w:w="1560" w:type="dxa"/>
            <w:shd w:val="clear" w:color="auto" w:fill="C6EFCE"/>
            <w:noWrap/>
            <w:vAlign w:val="center"/>
          </w:tcPr>
          <w:p w14:paraId="4ADF9152" w14:textId="77777777" w:rsidR="004C6421" w:rsidRDefault="009D1962">
            <w:pPr>
              <w:pStyle w:val="P68B1DB1-Normal4"/>
              <w:spacing w:line="276" w:lineRule="auto"/>
              <w:jc w:val="center"/>
              <w:rPr>
                <w:noProof/>
              </w:rPr>
            </w:pPr>
            <w:r>
              <w:rPr>
                <w:noProof/>
              </w:rPr>
              <w:t>Inwestycje 1.1. Wdrożenie zaawansowanego i zintegrowanego systemu monitorowania i prognozowania</w:t>
            </w:r>
          </w:p>
        </w:tc>
        <w:tc>
          <w:tcPr>
            <w:tcW w:w="1134" w:type="dxa"/>
            <w:shd w:val="clear" w:color="auto" w:fill="C6EFCE"/>
            <w:noWrap/>
            <w:vAlign w:val="center"/>
            <w:hideMark/>
          </w:tcPr>
          <w:p w14:paraId="7DD6C17D" w14:textId="77777777" w:rsidR="004C6421" w:rsidRDefault="009D1962">
            <w:pPr>
              <w:pStyle w:val="P68B1DB1-Normal4"/>
              <w:spacing w:line="276" w:lineRule="auto"/>
              <w:jc w:val="center"/>
              <w:rPr>
                <w:noProof/>
              </w:rPr>
            </w:pPr>
            <w:r>
              <w:rPr>
                <w:noProof/>
              </w:rPr>
              <w:t>Cel</w:t>
            </w:r>
          </w:p>
        </w:tc>
        <w:tc>
          <w:tcPr>
            <w:tcW w:w="1559" w:type="dxa"/>
            <w:shd w:val="clear" w:color="auto" w:fill="C6EFCE"/>
            <w:noWrap/>
            <w:vAlign w:val="center"/>
          </w:tcPr>
          <w:p w14:paraId="32C9DC49" w14:textId="77777777" w:rsidR="004C6421" w:rsidRDefault="009D1962">
            <w:pPr>
              <w:pStyle w:val="P68B1DB1-Normal4"/>
              <w:spacing w:line="276" w:lineRule="auto"/>
              <w:jc w:val="center"/>
              <w:rPr>
                <w:noProof/>
              </w:rPr>
            </w:pPr>
            <w:r>
              <w:rPr>
                <w:noProof/>
              </w:rPr>
              <w:t>Wdrożenie zaawansowanego i zintegrowanego systemu monitorowania i prognozowania w celu identyfikacji zagrożeń hydrologicznych</w:t>
            </w:r>
          </w:p>
        </w:tc>
        <w:tc>
          <w:tcPr>
            <w:tcW w:w="1383" w:type="dxa"/>
            <w:shd w:val="clear" w:color="auto" w:fill="C6EFCE"/>
            <w:noWrap/>
            <w:vAlign w:val="center"/>
            <w:hideMark/>
          </w:tcPr>
          <w:p w14:paraId="0514AA60" w14:textId="77777777" w:rsidR="004C6421" w:rsidRDefault="009D1962">
            <w:pPr>
              <w:pStyle w:val="P68B1DB1-Normal4"/>
              <w:spacing w:line="276" w:lineRule="auto"/>
              <w:jc w:val="center"/>
              <w:rPr>
                <w:noProof/>
              </w:rPr>
            </w:pPr>
            <w:r>
              <w:rPr>
                <w:noProof/>
              </w:rPr>
              <w:t>NIE DOT.</w:t>
            </w:r>
          </w:p>
        </w:tc>
        <w:tc>
          <w:tcPr>
            <w:tcW w:w="1094" w:type="dxa"/>
            <w:shd w:val="clear" w:color="auto" w:fill="C6EFCE"/>
            <w:noWrap/>
            <w:vAlign w:val="center"/>
            <w:hideMark/>
          </w:tcPr>
          <w:p w14:paraId="04D8CDCA" w14:textId="77777777" w:rsidR="004C6421" w:rsidRDefault="009D1962">
            <w:pPr>
              <w:pStyle w:val="P68B1DB1-Normal4"/>
              <w:spacing w:line="276" w:lineRule="auto"/>
              <w:jc w:val="center"/>
              <w:rPr>
                <w:noProof/>
              </w:rPr>
            </w:pPr>
            <w:r>
              <w:rPr>
                <w:noProof/>
              </w:rPr>
              <w:t>Procent</w:t>
            </w:r>
          </w:p>
        </w:tc>
        <w:tc>
          <w:tcPr>
            <w:tcW w:w="1290" w:type="dxa"/>
            <w:shd w:val="clear" w:color="auto" w:fill="C6EFCE"/>
            <w:noWrap/>
            <w:vAlign w:val="center"/>
          </w:tcPr>
          <w:p w14:paraId="0C5B789B" w14:textId="77777777" w:rsidR="004C6421" w:rsidRDefault="009D1962">
            <w:pPr>
              <w:pStyle w:val="P68B1DB1-Normal4"/>
              <w:spacing w:line="276" w:lineRule="auto"/>
              <w:jc w:val="center"/>
              <w:rPr>
                <w:noProof/>
              </w:rPr>
            </w:pPr>
            <w:r>
              <w:rPr>
                <w:noProof/>
              </w:rPr>
              <w:t>0</w:t>
            </w:r>
          </w:p>
        </w:tc>
        <w:tc>
          <w:tcPr>
            <w:tcW w:w="1194" w:type="dxa"/>
            <w:shd w:val="clear" w:color="auto" w:fill="C6EFCE"/>
            <w:noWrap/>
            <w:vAlign w:val="center"/>
          </w:tcPr>
          <w:p w14:paraId="2C2E8AF5" w14:textId="77777777" w:rsidR="004C6421" w:rsidRDefault="009D1962">
            <w:pPr>
              <w:pStyle w:val="P68B1DB1-Normal4"/>
              <w:spacing w:line="276" w:lineRule="auto"/>
              <w:jc w:val="center"/>
              <w:rPr>
                <w:noProof/>
              </w:rPr>
            </w:pPr>
            <w:r>
              <w:rPr>
                <w:noProof/>
              </w:rPr>
              <w:t>90</w:t>
            </w:r>
          </w:p>
        </w:tc>
        <w:tc>
          <w:tcPr>
            <w:tcW w:w="2037" w:type="dxa"/>
            <w:shd w:val="clear" w:color="auto" w:fill="C6EFCE"/>
            <w:noWrap/>
            <w:vAlign w:val="center"/>
            <w:hideMark/>
          </w:tcPr>
          <w:p w14:paraId="109598C5" w14:textId="77777777" w:rsidR="004C6421" w:rsidRDefault="009D1962">
            <w:pPr>
              <w:pStyle w:val="P68B1DB1-Normal4"/>
              <w:spacing w:line="276" w:lineRule="auto"/>
              <w:jc w:val="center"/>
              <w:rPr>
                <w:noProof/>
              </w:rPr>
            </w:pPr>
            <w:r>
              <w:rPr>
                <w:noProof/>
              </w:rPr>
              <w:t>II KW.</w:t>
            </w:r>
          </w:p>
        </w:tc>
        <w:tc>
          <w:tcPr>
            <w:tcW w:w="638" w:type="dxa"/>
            <w:shd w:val="clear" w:color="auto" w:fill="C6EFCE"/>
            <w:noWrap/>
            <w:vAlign w:val="center"/>
            <w:hideMark/>
          </w:tcPr>
          <w:p w14:paraId="56128725" w14:textId="77777777" w:rsidR="004C6421" w:rsidRDefault="009D1962">
            <w:pPr>
              <w:pStyle w:val="P68B1DB1-Normal4"/>
              <w:spacing w:line="276" w:lineRule="auto"/>
              <w:jc w:val="center"/>
              <w:rPr>
                <w:noProof/>
              </w:rPr>
            </w:pPr>
            <w:r>
              <w:rPr>
                <w:noProof/>
              </w:rPr>
              <w:t>2025</w:t>
            </w:r>
          </w:p>
        </w:tc>
        <w:tc>
          <w:tcPr>
            <w:tcW w:w="4116" w:type="dxa"/>
            <w:shd w:val="clear" w:color="auto" w:fill="C6EFCE"/>
            <w:noWrap/>
            <w:vAlign w:val="center"/>
            <w:hideMark/>
          </w:tcPr>
          <w:p w14:paraId="1FD77E85" w14:textId="77777777" w:rsidR="004C6421" w:rsidRDefault="009D1962">
            <w:pPr>
              <w:pStyle w:val="P68B1DB1-Normal4"/>
              <w:spacing w:line="276" w:lineRule="auto"/>
              <w:rPr>
                <w:noProof/>
              </w:rPr>
            </w:pPr>
            <w:r>
              <w:rPr>
                <w:noProof/>
              </w:rPr>
              <w:t>90 % powierzchni regionów południowych jest objęte zaawansowanym i zintegrowanym systemem monitorowania i prognozowania w celu identyfikacji zagrożeń hydrologicznych.</w:t>
            </w:r>
          </w:p>
        </w:tc>
      </w:tr>
      <w:tr w:rsidR="004C6421" w14:paraId="2322DC08" w14:textId="77777777">
        <w:trPr>
          <w:trHeight w:val="313"/>
          <w:jc w:val="center"/>
        </w:trPr>
        <w:tc>
          <w:tcPr>
            <w:tcW w:w="1130" w:type="dxa"/>
            <w:shd w:val="clear" w:color="auto" w:fill="C6EFCE"/>
            <w:noWrap/>
            <w:vAlign w:val="center"/>
          </w:tcPr>
          <w:p w14:paraId="69DB74A1" w14:textId="77777777" w:rsidR="004C6421" w:rsidRDefault="009D1962">
            <w:pPr>
              <w:pStyle w:val="P68B1DB1-Normal4"/>
              <w:spacing w:line="276" w:lineRule="auto"/>
              <w:jc w:val="center"/>
              <w:rPr>
                <w:noProof/>
              </w:rPr>
            </w:pPr>
            <w:r>
              <w:rPr>
                <w:noProof/>
              </w:rPr>
              <w:t>M2C4-11</w:t>
            </w:r>
          </w:p>
        </w:tc>
        <w:tc>
          <w:tcPr>
            <w:tcW w:w="1560" w:type="dxa"/>
            <w:shd w:val="clear" w:color="auto" w:fill="C6EFCE"/>
            <w:noWrap/>
            <w:vAlign w:val="center"/>
          </w:tcPr>
          <w:p w14:paraId="23163389" w14:textId="77777777" w:rsidR="004C6421" w:rsidRDefault="009D1962">
            <w:pPr>
              <w:pStyle w:val="P68B1DB1-Normal4"/>
              <w:spacing w:line="276" w:lineRule="auto"/>
              <w:jc w:val="center"/>
              <w:rPr>
                <w:noProof/>
              </w:rPr>
            </w:pPr>
            <w:r>
              <w:rPr>
                <w:noProof/>
              </w:rPr>
              <w:t>Inwestycja 2.1.a. Środki na rzecz ograniczenia ryzyka powodziowego i hydrogeologicznego – Interwencje w Emilia-Romania, Toskanie i Marche</w:t>
            </w:r>
          </w:p>
        </w:tc>
        <w:tc>
          <w:tcPr>
            <w:tcW w:w="1134" w:type="dxa"/>
            <w:shd w:val="clear" w:color="auto" w:fill="C6EFCE"/>
            <w:noWrap/>
            <w:vAlign w:val="center"/>
          </w:tcPr>
          <w:p w14:paraId="25C3C997" w14:textId="4333467C" w:rsidR="004C6421" w:rsidRDefault="00CC179E">
            <w:pPr>
              <w:pStyle w:val="P68B1DB1-Normal4"/>
              <w:spacing w:line="276" w:lineRule="auto"/>
              <w:jc w:val="center"/>
              <w:rPr>
                <w:noProof/>
              </w:rPr>
            </w:pPr>
            <w:r>
              <w:rPr>
                <w:noProof/>
              </w:rPr>
              <w:t>Milowy</w:t>
            </w:r>
          </w:p>
        </w:tc>
        <w:tc>
          <w:tcPr>
            <w:tcW w:w="1559" w:type="dxa"/>
            <w:shd w:val="clear" w:color="auto" w:fill="C6EFCE"/>
            <w:noWrap/>
            <w:vAlign w:val="center"/>
          </w:tcPr>
          <w:p w14:paraId="63196FE2" w14:textId="77777777" w:rsidR="004C6421" w:rsidRDefault="009D1962">
            <w:pPr>
              <w:pStyle w:val="P68B1DB1-Normal4"/>
              <w:spacing w:line="276" w:lineRule="auto"/>
              <w:jc w:val="center"/>
              <w:rPr>
                <w:noProof/>
              </w:rPr>
            </w:pPr>
            <w:r>
              <w:rPr>
                <w:noProof/>
              </w:rPr>
              <w:t>Identyfikacja interwencji w drodze rozporządzenia (rozporządzeń) komisarza ds. stanu nadzwyczajnego</w:t>
            </w:r>
          </w:p>
        </w:tc>
        <w:tc>
          <w:tcPr>
            <w:tcW w:w="1383" w:type="dxa"/>
            <w:shd w:val="clear" w:color="auto" w:fill="C6EFCE"/>
            <w:noWrap/>
            <w:vAlign w:val="center"/>
          </w:tcPr>
          <w:p w14:paraId="61E61C9F" w14:textId="77777777" w:rsidR="004C6421" w:rsidRDefault="009D1962">
            <w:pPr>
              <w:pStyle w:val="P68B1DB1-Normal4"/>
              <w:spacing w:line="276" w:lineRule="auto"/>
              <w:jc w:val="center"/>
              <w:rPr>
                <w:noProof/>
              </w:rPr>
            </w:pPr>
            <w:r>
              <w:rPr>
                <w:noProof/>
              </w:rPr>
              <w:t>Zarządzenie (rozporządzenia) komisarza ds. stanu nadzwyczajnego</w:t>
            </w:r>
          </w:p>
        </w:tc>
        <w:tc>
          <w:tcPr>
            <w:tcW w:w="1094" w:type="dxa"/>
            <w:shd w:val="clear" w:color="auto" w:fill="C6EFCE"/>
            <w:noWrap/>
            <w:vAlign w:val="center"/>
          </w:tcPr>
          <w:p w14:paraId="53E4F2B3" w14:textId="77777777" w:rsidR="004C6421" w:rsidRDefault="004C6421">
            <w:pPr>
              <w:spacing w:line="276" w:lineRule="auto"/>
              <w:jc w:val="center"/>
              <w:rPr>
                <w:rFonts w:ascii="Arial Narrow" w:hAnsi="Arial Narrow"/>
                <w:noProof/>
                <w:color w:val="006100"/>
                <w:sz w:val="20"/>
              </w:rPr>
            </w:pPr>
          </w:p>
        </w:tc>
        <w:tc>
          <w:tcPr>
            <w:tcW w:w="1290" w:type="dxa"/>
            <w:shd w:val="clear" w:color="auto" w:fill="C6EFCE"/>
            <w:noWrap/>
            <w:vAlign w:val="center"/>
          </w:tcPr>
          <w:p w14:paraId="113FAF4C" w14:textId="77777777" w:rsidR="004C6421" w:rsidRDefault="004C6421">
            <w:pPr>
              <w:spacing w:line="276" w:lineRule="auto"/>
              <w:jc w:val="center"/>
              <w:rPr>
                <w:rFonts w:ascii="Arial Narrow" w:hAnsi="Arial Narrow"/>
                <w:noProof/>
                <w:color w:val="006100"/>
                <w:sz w:val="20"/>
              </w:rPr>
            </w:pPr>
          </w:p>
        </w:tc>
        <w:tc>
          <w:tcPr>
            <w:tcW w:w="1194" w:type="dxa"/>
            <w:shd w:val="clear" w:color="auto" w:fill="C6EFCE"/>
            <w:noWrap/>
            <w:vAlign w:val="center"/>
          </w:tcPr>
          <w:p w14:paraId="5334AA29" w14:textId="77777777" w:rsidR="004C6421" w:rsidRDefault="004C6421">
            <w:pPr>
              <w:spacing w:line="276" w:lineRule="auto"/>
              <w:jc w:val="center"/>
              <w:rPr>
                <w:rFonts w:ascii="Arial Narrow" w:hAnsi="Arial Narrow"/>
                <w:noProof/>
                <w:color w:val="006100"/>
                <w:sz w:val="20"/>
              </w:rPr>
            </w:pPr>
          </w:p>
        </w:tc>
        <w:tc>
          <w:tcPr>
            <w:tcW w:w="2037" w:type="dxa"/>
            <w:shd w:val="clear" w:color="auto" w:fill="C6EFCE"/>
            <w:noWrap/>
            <w:vAlign w:val="center"/>
          </w:tcPr>
          <w:p w14:paraId="2670BF89" w14:textId="77777777" w:rsidR="004C6421" w:rsidRDefault="009D1962">
            <w:pPr>
              <w:pStyle w:val="P68B1DB1-Normal4"/>
              <w:spacing w:line="276" w:lineRule="auto"/>
              <w:jc w:val="center"/>
              <w:rPr>
                <w:noProof/>
              </w:rPr>
            </w:pPr>
            <w:r>
              <w:rPr>
                <w:noProof/>
              </w:rPr>
              <w:t>III KW.</w:t>
            </w:r>
          </w:p>
        </w:tc>
        <w:tc>
          <w:tcPr>
            <w:tcW w:w="638" w:type="dxa"/>
            <w:shd w:val="clear" w:color="auto" w:fill="C6EFCE"/>
            <w:noWrap/>
            <w:vAlign w:val="center"/>
          </w:tcPr>
          <w:p w14:paraId="4E70C00A" w14:textId="77777777" w:rsidR="004C6421" w:rsidRDefault="009D1962">
            <w:pPr>
              <w:pStyle w:val="P68B1DB1-Normal4"/>
              <w:spacing w:line="276" w:lineRule="auto"/>
              <w:jc w:val="center"/>
              <w:rPr>
                <w:noProof/>
              </w:rPr>
            </w:pPr>
            <w:r>
              <w:rPr>
                <w:noProof/>
              </w:rPr>
              <w:t>2024</w:t>
            </w:r>
          </w:p>
        </w:tc>
        <w:tc>
          <w:tcPr>
            <w:tcW w:w="4116" w:type="dxa"/>
            <w:shd w:val="clear" w:color="auto" w:fill="C6EFCE"/>
            <w:noWrap/>
            <w:vAlign w:val="center"/>
          </w:tcPr>
          <w:p w14:paraId="56840E3B" w14:textId="0F95782E" w:rsidR="004C6421" w:rsidRDefault="009D1962">
            <w:pPr>
              <w:pStyle w:val="P68B1DB1-Normal4"/>
              <w:rPr>
                <w:noProof/>
              </w:rPr>
            </w:pPr>
            <w:r>
              <w:rPr>
                <w:noProof/>
              </w:rPr>
              <w:t>W jednym lub większej liczbie rozporządzeń komisarza ds. stanu nadzwyczajnego określa się dokładny wykaz interwencji mających na celu przywrócenie dróg wodnych i zwiększenie ochrony przed powodziami i osuwaniem się ziemi, interwencje mające na celu odbudowę budynków publicznych, w tym domów publicznych i ośrodków zdrowia, oraz całkowitą liczbę km sieci transportowej do rekultywacji. Wartość całkowitej liczby interwencji wynosi co najmniej 1,2 mld EUR.</w:t>
            </w:r>
          </w:p>
        </w:tc>
      </w:tr>
      <w:tr w:rsidR="004C6421" w14:paraId="55B40EB7" w14:textId="77777777">
        <w:trPr>
          <w:trHeight w:val="313"/>
          <w:jc w:val="center"/>
        </w:trPr>
        <w:tc>
          <w:tcPr>
            <w:tcW w:w="1130" w:type="dxa"/>
            <w:shd w:val="clear" w:color="auto" w:fill="C6EFCE"/>
            <w:noWrap/>
            <w:vAlign w:val="center"/>
          </w:tcPr>
          <w:p w14:paraId="0B5FD648" w14:textId="77777777" w:rsidR="004C6421" w:rsidRDefault="009D1962">
            <w:pPr>
              <w:pStyle w:val="P68B1DB1-Normal4"/>
              <w:spacing w:line="276" w:lineRule="auto"/>
              <w:jc w:val="center"/>
              <w:rPr>
                <w:noProof/>
              </w:rPr>
            </w:pPr>
            <w:r>
              <w:rPr>
                <w:noProof/>
              </w:rPr>
              <w:t>M2C4-11bis</w:t>
            </w:r>
          </w:p>
        </w:tc>
        <w:tc>
          <w:tcPr>
            <w:tcW w:w="1560" w:type="dxa"/>
            <w:shd w:val="clear" w:color="auto" w:fill="C6EFCE"/>
            <w:noWrap/>
            <w:vAlign w:val="center"/>
          </w:tcPr>
          <w:p w14:paraId="76AC448C" w14:textId="77777777" w:rsidR="004C6421" w:rsidRDefault="009D1962">
            <w:pPr>
              <w:pStyle w:val="P68B1DB1-Normal4"/>
              <w:spacing w:line="276" w:lineRule="auto"/>
              <w:jc w:val="center"/>
              <w:rPr>
                <w:noProof/>
              </w:rPr>
            </w:pPr>
            <w:r>
              <w:rPr>
                <w:noProof/>
              </w:rPr>
              <w:t>Inwestycja 2.1.a. Środki na rzecz ograniczenia ryzyka powodziowego i hydrogeologicznego – Interwencje w Emilia-Romania, Toskanie i Marche</w:t>
            </w:r>
          </w:p>
        </w:tc>
        <w:tc>
          <w:tcPr>
            <w:tcW w:w="1134" w:type="dxa"/>
            <w:shd w:val="clear" w:color="auto" w:fill="C6EFCE"/>
            <w:noWrap/>
            <w:vAlign w:val="center"/>
          </w:tcPr>
          <w:p w14:paraId="49CE9822" w14:textId="2123D0F7" w:rsidR="004C6421" w:rsidRDefault="00CC179E">
            <w:pPr>
              <w:pStyle w:val="P68B1DB1-Normal4"/>
              <w:spacing w:line="276" w:lineRule="auto"/>
              <w:jc w:val="center"/>
              <w:rPr>
                <w:noProof/>
              </w:rPr>
            </w:pPr>
            <w:r>
              <w:rPr>
                <w:noProof/>
              </w:rPr>
              <w:t>Milowy</w:t>
            </w:r>
          </w:p>
        </w:tc>
        <w:tc>
          <w:tcPr>
            <w:tcW w:w="1559" w:type="dxa"/>
            <w:shd w:val="clear" w:color="auto" w:fill="C6EFCE"/>
            <w:noWrap/>
            <w:vAlign w:val="center"/>
          </w:tcPr>
          <w:p w14:paraId="15AF3223" w14:textId="77777777" w:rsidR="004C6421" w:rsidRDefault="009D1962">
            <w:pPr>
              <w:pStyle w:val="P68B1DB1-Normal4"/>
              <w:jc w:val="center"/>
              <w:rPr>
                <w:noProof/>
              </w:rPr>
            </w:pPr>
            <w:r>
              <w:rPr>
                <w:noProof/>
              </w:rPr>
              <w:t>Udzielanie wszystkich zamówień publicznych na interwencje w regionie Emilia-Romania, Toskania i Marche</w:t>
            </w:r>
          </w:p>
        </w:tc>
        <w:tc>
          <w:tcPr>
            <w:tcW w:w="1383" w:type="dxa"/>
            <w:shd w:val="clear" w:color="auto" w:fill="C6EFCE"/>
            <w:noWrap/>
            <w:vAlign w:val="center"/>
          </w:tcPr>
          <w:p w14:paraId="7D231DC3" w14:textId="77777777" w:rsidR="004C6421" w:rsidRDefault="009D1962">
            <w:pPr>
              <w:pStyle w:val="P68B1DB1-Normal4"/>
              <w:jc w:val="center"/>
              <w:rPr>
                <w:noProof/>
              </w:rPr>
            </w:pPr>
            <w:r>
              <w:rPr>
                <w:noProof/>
              </w:rPr>
              <w:t>Powiadomienie o udzieleniu wszystkich zamówień publicznych</w:t>
            </w:r>
          </w:p>
        </w:tc>
        <w:tc>
          <w:tcPr>
            <w:tcW w:w="1094" w:type="dxa"/>
            <w:shd w:val="clear" w:color="auto" w:fill="C6EFCE"/>
            <w:noWrap/>
            <w:vAlign w:val="center"/>
          </w:tcPr>
          <w:p w14:paraId="4739B2C2" w14:textId="77777777" w:rsidR="004C6421" w:rsidRDefault="009D1962">
            <w:pPr>
              <w:pStyle w:val="P68B1DB1-Normal4"/>
              <w:jc w:val="center"/>
              <w:rPr>
                <w:noProof/>
              </w:rPr>
            </w:pPr>
            <w:r>
              <w:rPr>
                <w:noProof/>
              </w:rPr>
              <w:t>NIE DOT.</w:t>
            </w:r>
          </w:p>
        </w:tc>
        <w:tc>
          <w:tcPr>
            <w:tcW w:w="1290" w:type="dxa"/>
            <w:shd w:val="clear" w:color="auto" w:fill="C6EFCE"/>
            <w:noWrap/>
            <w:vAlign w:val="center"/>
          </w:tcPr>
          <w:p w14:paraId="0B8B8C21" w14:textId="77777777" w:rsidR="004C6421" w:rsidRDefault="009D1962">
            <w:pPr>
              <w:pStyle w:val="P68B1DB1-Normal4"/>
              <w:jc w:val="center"/>
              <w:rPr>
                <w:noProof/>
              </w:rPr>
            </w:pPr>
            <w:r>
              <w:rPr>
                <w:noProof/>
              </w:rPr>
              <w:t>NIE DOT.</w:t>
            </w:r>
          </w:p>
        </w:tc>
        <w:tc>
          <w:tcPr>
            <w:tcW w:w="1194" w:type="dxa"/>
            <w:shd w:val="clear" w:color="auto" w:fill="C6EFCE"/>
            <w:noWrap/>
            <w:vAlign w:val="center"/>
          </w:tcPr>
          <w:p w14:paraId="038B84B1" w14:textId="77777777" w:rsidR="004C6421" w:rsidRDefault="009D1962">
            <w:pPr>
              <w:pStyle w:val="P68B1DB1-Normal4"/>
              <w:jc w:val="center"/>
              <w:rPr>
                <w:noProof/>
              </w:rPr>
            </w:pPr>
            <w:r>
              <w:rPr>
                <w:noProof/>
              </w:rPr>
              <w:t>NIE DOT.</w:t>
            </w:r>
          </w:p>
        </w:tc>
        <w:tc>
          <w:tcPr>
            <w:tcW w:w="2037" w:type="dxa"/>
            <w:shd w:val="clear" w:color="auto" w:fill="C6EFCE"/>
            <w:noWrap/>
            <w:vAlign w:val="center"/>
          </w:tcPr>
          <w:p w14:paraId="1A6E1E58" w14:textId="77777777" w:rsidR="004C6421" w:rsidRDefault="009D1962">
            <w:pPr>
              <w:pStyle w:val="P68B1DB1-Normal4"/>
              <w:jc w:val="center"/>
              <w:rPr>
                <w:noProof/>
              </w:rPr>
            </w:pPr>
            <w:r>
              <w:rPr>
                <w:noProof/>
              </w:rPr>
              <w:t>II KW.</w:t>
            </w:r>
          </w:p>
        </w:tc>
        <w:tc>
          <w:tcPr>
            <w:tcW w:w="638" w:type="dxa"/>
            <w:shd w:val="clear" w:color="auto" w:fill="C6EFCE"/>
            <w:noWrap/>
            <w:vAlign w:val="center"/>
          </w:tcPr>
          <w:p w14:paraId="0D8ED79C" w14:textId="77777777" w:rsidR="004C6421" w:rsidRDefault="009D1962">
            <w:pPr>
              <w:pStyle w:val="P68B1DB1-Normal4"/>
              <w:jc w:val="center"/>
              <w:rPr>
                <w:noProof/>
              </w:rPr>
            </w:pPr>
            <w:r>
              <w:rPr>
                <w:noProof/>
              </w:rPr>
              <w:t>2025</w:t>
            </w:r>
          </w:p>
        </w:tc>
        <w:tc>
          <w:tcPr>
            <w:tcW w:w="4116" w:type="dxa"/>
            <w:shd w:val="clear" w:color="auto" w:fill="C6EFCE"/>
            <w:noWrap/>
            <w:vAlign w:val="center"/>
          </w:tcPr>
          <w:p w14:paraId="3BF233A5" w14:textId="77777777" w:rsidR="004C6421" w:rsidRDefault="009D1962">
            <w:pPr>
              <w:pStyle w:val="P68B1DB1-Normal4"/>
              <w:rPr>
                <w:noProof/>
              </w:rPr>
            </w:pPr>
            <w:r>
              <w:rPr>
                <w:noProof/>
              </w:rPr>
              <w:t>Powiadomienie o udzieleniu wszystkich zamówień publicznych na interwencje w zakresie zarządzania ryzykiem i ograniczania ryzyka hydrogeologicznego. Łączna wartość zaproszeń do składania wniosków, z których wynikają te nagrody, wynosi co najmniej 1,2 mld EUR.</w:t>
            </w:r>
          </w:p>
        </w:tc>
      </w:tr>
      <w:tr w:rsidR="004C6421" w14:paraId="2FBEEFBF" w14:textId="77777777">
        <w:trPr>
          <w:trHeight w:val="313"/>
          <w:jc w:val="center"/>
        </w:trPr>
        <w:tc>
          <w:tcPr>
            <w:tcW w:w="1130" w:type="dxa"/>
            <w:shd w:val="clear" w:color="auto" w:fill="C6EFCE"/>
            <w:noWrap/>
            <w:vAlign w:val="center"/>
          </w:tcPr>
          <w:p w14:paraId="77A57125" w14:textId="77777777" w:rsidR="004C6421" w:rsidRDefault="009D1962">
            <w:pPr>
              <w:pStyle w:val="P68B1DB1-Normal4"/>
              <w:spacing w:after="120"/>
              <w:jc w:val="center"/>
              <w:rPr>
                <w:noProof/>
              </w:rPr>
            </w:pPr>
            <w:r>
              <w:rPr>
                <w:noProof/>
              </w:rPr>
              <w:t>M2C4-11ter</w:t>
            </w:r>
          </w:p>
        </w:tc>
        <w:tc>
          <w:tcPr>
            <w:tcW w:w="1560" w:type="dxa"/>
            <w:shd w:val="clear" w:color="auto" w:fill="C6EFCE"/>
            <w:noWrap/>
            <w:vAlign w:val="center"/>
          </w:tcPr>
          <w:p w14:paraId="20F2A383" w14:textId="77777777" w:rsidR="004C6421" w:rsidRDefault="009D1962">
            <w:pPr>
              <w:pStyle w:val="P68B1DB1-Normal4"/>
              <w:spacing w:after="120"/>
              <w:jc w:val="center"/>
              <w:rPr>
                <w:noProof/>
              </w:rPr>
            </w:pPr>
            <w:bookmarkStart w:id="10" w:name="_Hlk160472904"/>
            <w:r>
              <w:rPr>
                <w:noProof/>
              </w:rPr>
              <w:t>Inwestycja 2.1.a. Środki na rzecz ograniczenia ryzyka powodziowego i hydrogeologicznego – Interwencje w Emilia-Romania, Toskanie i Marche</w:t>
            </w:r>
            <w:bookmarkEnd w:id="10"/>
          </w:p>
        </w:tc>
        <w:tc>
          <w:tcPr>
            <w:tcW w:w="1134" w:type="dxa"/>
            <w:shd w:val="clear" w:color="auto" w:fill="C6EFCE"/>
            <w:noWrap/>
            <w:vAlign w:val="center"/>
          </w:tcPr>
          <w:p w14:paraId="177790DD" w14:textId="76145AAF" w:rsidR="004C6421" w:rsidRDefault="00CC179E">
            <w:pPr>
              <w:pStyle w:val="P68B1DB1-Normal4"/>
              <w:spacing w:after="120"/>
              <w:jc w:val="center"/>
              <w:rPr>
                <w:noProof/>
              </w:rPr>
            </w:pPr>
            <w:r>
              <w:rPr>
                <w:noProof/>
              </w:rPr>
              <w:t>Milowy</w:t>
            </w:r>
          </w:p>
        </w:tc>
        <w:tc>
          <w:tcPr>
            <w:tcW w:w="1559" w:type="dxa"/>
            <w:shd w:val="clear" w:color="auto" w:fill="C6EFCE"/>
            <w:noWrap/>
            <w:vAlign w:val="center"/>
          </w:tcPr>
          <w:p w14:paraId="60FD3192" w14:textId="77777777" w:rsidR="004C6421" w:rsidRDefault="009D1962">
            <w:pPr>
              <w:pStyle w:val="P68B1DB1-Normal4"/>
              <w:spacing w:after="120"/>
              <w:jc w:val="center"/>
              <w:rPr>
                <w:noProof/>
              </w:rPr>
            </w:pPr>
            <w:r>
              <w:rPr>
                <w:noProof/>
              </w:rPr>
              <w:t>Zakończenie projektów</w:t>
            </w:r>
          </w:p>
        </w:tc>
        <w:tc>
          <w:tcPr>
            <w:tcW w:w="1383" w:type="dxa"/>
            <w:shd w:val="clear" w:color="auto" w:fill="C6EFCE"/>
            <w:noWrap/>
            <w:vAlign w:val="center"/>
          </w:tcPr>
          <w:p w14:paraId="6C638C39" w14:textId="77777777" w:rsidR="004C6421" w:rsidRDefault="009D1962">
            <w:pPr>
              <w:pStyle w:val="P68B1DB1-Normal4"/>
              <w:spacing w:after="120"/>
              <w:jc w:val="center"/>
              <w:rPr>
                <w:noProof/>
              </w:rPr>
            </w:pPr>
            <w:r>
              <w:rPr>
                <w:noProof/>
              </w:rPr>
              <w:t>Certyfikacja ukończenia projektów</w:t>
            </w:r>
          </w:p>
        </w:tc>
        <w:tc>
          <w:tcPr>
            <w:tcW w:w="1094" w:type="dxa"/>
            <w:shd w:val="clear" w:color="auto" w:fill="C6EFCE"/>
            <w:noWrap/>
            <w:vAlign w:val="center"/>
          </w:tcPr>
          <w:p w14:paraId="42074CE9" w14:textId="77777777" w:rsidR="004C6421" w:rsidRDefault="004C6421">
            <w:pPr>
              <w:spacing w:after="120"/>
              <w:jc w:val="center"/>
              <w:rPr>
                <w:rFonts w:ascii="Arial Narrow" w:hAnsi="Arial Narrow"/>
                <w:noProof/>
                <w:color w:val="006100"/>
                <w:sz w:val="20"/>
              </w:rPr>
            </w:pPr>
          </w:p>
        </w:tc>
        <w:tc>
          <w:tcPr>
            <w:tcW w:w="1290" w:type="dxa"/>
            <w:shd w:val="clear" w:color="auto" w:fill="C6EFCE"/>
            <w:noWrap/>
            <w:vAlign w:val="center"/>
          </w:tcPr>
          <w:p w14:paraId="2D1E5732" w14:textId="77777777" w:rsidR="004C6421" w:rsidRDefault="004C6421">
            <w:pPr>
              <w:spacing w:after="120"/>
              <w:jc w:val="center"/>
              <w:rPr>
                <w:rFonts w:ascii="Arial Narrow" w:hAnsi="Arial Narrow"/>
                <w:noProof/>
                <w:color w:val="006100"/>
                <w:sz w:val="20"/>
              </w:rPr>
            </w:pPr>
          </w:p>
        </w:tc>
        <w:tc>
          <w:tcPr>
            <w:tcW w:w="1194" w:type="dxa"/>
            <w:shd w:val="clear" w:color="auto" w:fill="C6EFCE"/>
            <w:noWrap/>
            <w:vAlign w:val="center"/>
          </w:tcPr>
          <w:p w14:paraId="0003D6C2" w14:textId="77777777" w:rsidR="004C6421" w:rsidRDefault="004C6421">
            <w:pPr>
              <w:spacing w:after="120"/>
              <w:jc w:val="center"/>
              <w:rPr>
                <w:rFonts w:ascii="Arial Narrow" w:hAnsi="Arial Narrow"/>
                <w:noProof/>
                <w:color w:val="006100"/>
                <w:sz w:val="20"/>
              </w:rPr>
            </w:pPr>
          </w:p>
        </w:tc>
        <w:tc>
          <w:tcPr>
            <w:tcW w:w="2037" w:type="dxa"/>
            <w:shd w:val="clear" w:color="auto" w:fill="C6EFCE"/>
            <w:noWrap/>
            <w:vAlign w:val="center"/>
          </w:tcPr>
          <w:p w14:paraId="2E528FCB" w14:textId="77777777" w:rsidR="004C6421" w:rsidRDefault="009D1962">
            <w:pPr>
              <w:pStyle w:val="P68B1DB1-Normal4"/>
              <w:spacing w:after="120"/>
              <w:jc w:val="center"/>
              <w:rPr>
                <w:noProof/>
              </w:rPr>
            </w:pPr>
            <w:r>
              <w:rPr>
                <w:noProof/>
              </w:rPr>
              <w:t>II KW.</w:t>
            </w:r>
          </w:p>
        </w:tc>
        <w:tc>
          <w:tcPr>
            <w:tcW w:w="638" w:type="dxa"/>
            <w:shd w:val="clear" w:color="auto" w:fill="C6EFCE"/>
            <w:noWrap/>
            <w:vAlign w:val="center"/>
          </w:tcPr>
          <w:p w14:paraId="306324E2" w14:textId="77777777" w:rsidR="004C6421" w:rsidRDefault="009D1962">
            <w:pPr>
              <w:pStyle w:val="P68B1DB1-Normal4"/>
              <w:spacing w:after="120"/>
              <w:jc w:val="center"/>
              <w:rPr>
                <w:noProof/>
              </w:rPr>
            </w:pPr>
            <w:r>
              <w:rPr>
                <w:noProof/>
              </w:rPr>
              <w:t>2026</w:t>
            </w:r>
          </w:p>
        </w:tc>
        <w:tc>
          <w:tcPr>
            <w:tcW w:w="4116" w:type="dxa"/>
            <w:shd w:val="clear" w:color="auto" w:fill="C6EFCE"/>
            <w:noWrap/>
            <w:vAlign w:val="center"/>
          </w:tcPr>
          <w:p w14:paraId="668AB400" w14:textId="77777777" w:rsidR="004C6421" w:rsidRDefault="009D1962">
            <w:pPr>
              <w:pStyle w:val="P68B1DB1-Normal4"/>
              <w:spacing w:after="120"/>
              <w:rPr>
                <w:noProof/>
              </w:rPr>
            </w:pPr>
            <w:r>
              <w:rPr>
                <w:noProof/>
              </w:rPr>
              <w:t>Zakończenie:</w:t>
            </w:r>
          </w:p>
          <w:p w14:paraId="7228478A" w14:textId="3B361B47" w:rsidR="004C6421" w:rsidRDefault="009D1962">
            <w:pPr>
              <w:pStyle w:val="P68B1DB1-ListParagraph5"/>
              <w:numPr>
                <w:ilvl w:val="0"/>
                <w:numId w:val="102"/>
              </w:numPr>
              <w:spacing w:before="0"/>
              <w:jc w:val="left"/>
              <w:rPr>
                <w:noProof/>
              </w:rPr>
            </w:pPr>
            <w:r>
              <w:rPr>
                <w:noProof/>
              </w:rPr>
              <w:t>co najmniej 90 % interwencji mających na celu przywrócenie dróg wodnych oraz zwiększenie ochrony przed powodziami i osuwaniem się ziemi, jak określono w rozporządzeniach komisarza ds. sytuacji nadzwyczajnych,</w:t>
            </w:r>
          </w:p>
          <w:p w14:paraId="0E4D7212" w14:textId="77777777" w:rsidR="004C6421" w:rsidRDefault="009D1962">
            <w:pPr>
              <w:pStyle w:val="P68B1DB1-ListParagraph5"/>
              <w:numPr>
                <w:ilvl w:val="0"/>
                <w:numId w:val="102"/>
              </w:numPr>
              <w:spacing w:before="0"/>
              <w:jc w:val="left"/>
              <w:rPr>
                <w:noProof/>
              </w:rPr>
            </w:pPr>
            <w:r>
              <w:rPr>
                <w:noProof/>
              </w:rPr>
              <w:t>Interwencje związane z odbudową sieci transportowej na kilka kilometrów określonych w rozporządzeniach komisarza ds. sytuacji nadzwyczajnych,</w:t>
            </w:r>
          </w:p>
          <w:p w14:paraId="4C1DD69C" w14:textId="77777777" w:rsidR="004C6421" w:rsidRDefault="009D1962">
            <w:pPr>
              <w:pStyle w:val="P68B1DB1-ListParagraph5"/>
              <w:numPr>
                <w:ilvl w:val="0"/>
                <w:numId w:val="102"/>
              </w:numPr>
              <w:spacing w:before="0"/>
              <w:jc w:val="left"/>
              <w:rPr>
                <w:noProof/>
              </w:rPr>
            </w:pPr>
            <w:r>
              <w:rPr>
                <w:noProof/>
              </w:rPr>
              <w:t>Co najmniej 90 % interwencji mających na celu odbudowę budynków publicznych, w tym domów publicznych i ośrodków zdrowia, określonych w rozporządzeniach komisarza ds. sytuacji nadzwyczajnych.</w:t>
            </w:r>
          </w:p>
        </w:tc>
      </w:tr>
      <w:tr w:rsidR="004C6421" w14:paraId="33E0C612" w14:textId="77777777">
        <w:trPr>
          <w:trHeight w:val="313"/>
          <w:jc w:val="center"/>
        </w:trPr>
        <w:tc>
          <w:tcPr>
            <w:tcW w:w="1130" w:type="dxa"/>
            <w:shd w:val="clear" w:color="auto" w:fill="C6EFCE"/>
            <w:noWrap/>
            <w:vAlign w:val="center"/>
          </w:tcPr>
          <w:p w14:paraId="4B003A64" w14:textId="77777777" w:rsidR="004C6421" w:rsidRDefault="009D1962">
            <w:pPr>
              <w:pStyle w:val="P68B1DB1-Normal4"/>
              <w:spacing w:after="120"/>
              <w:jc w:val="center"/>
              <w:rPr>
                <w:noProof/>
              </w:rPr>
            </w:pPr>
            <w:r>
              <w:rPr>
                <w:noProof/>
              </w:rPr>
              <w:t>M2C4-12</w:t>
            </w:r>
          </w:p>
        </w:tc>
        <w:tc>
          <w:tcPr>
            <w:tcW w:w="1560" w:type="dxa"/>
            <w:shd w:val="clear" w:color="auto" w:fill="C6EFCE"/>
            <w:noWrap/>
            <w:vAlign w:val="center"/>
          </w:tcPr>
          <w:p w14:paraId="62CCFD85" w14:textId="77777777" w:rsidR="004C6421" w:rsidRDefault="009D1962">
            <w:pPr>
              <w:pStyle w:val="P68B1DB1-Normal4"/>
              <w:spacing w:after="120"/>
              <w:jc w:val="center"/>
              <w:rPr>
                <w:noProof/>
              </w:rPr>
            </w:pPr>
            <w:r>
              <w:rPr>
                <w:noProof/>
              </w:rPr>
              <w:t>Inwestycja 2.1.b. Środki na rzecz ograniczenia ryzyka powodziowego i hydrogeologicznego</w:t>
            </w:r>
          </w:p>
        </w:tc>
        <w:tc>
          <w:tcPr>
            <w:tcW w:w="1134" w:type="dxa"/>
            <w:shd w:val="clear" w:color="auto" w:fill="C6EFCE"/>
            <w:noWrap/>
            <w:vAlign w:val="center"/>
          </w:tcPr>
          <w:p w14:paraId="6D26C66F" w14:textId="05E7EC4E" w:rsidR="004C6421" w:rsidRDefault="00CC179E">
            <w:pPr>
              <w:pStyle w:val="P68B1DB1-Normal4"/>
              <w:spacing w:after="120"/>
              <w:jc w:val="center"/>
              <w:rPr>
                <w:noProof/>
              </w:rPr>
            </w:pPr>
            <w:r>
              <w:rPr>
                <w:noProof/>
              </w:rPr>
              <w:t>Milowy</w:t>
            </w:r>
          </w:p>
        </w:tc>
        <w:tc>
          <w:tcPr>
            <w:tcW w:w="1559" w:type="dxa"/>
            <w:shd w:val="clear" w:color="auto" w:fill="C6EFCE"/>
            <w:noWrap/>
            <w:vAlign w:val="center"/>
          </w:tcPr>
          <w:p w14:paraId="0397787B" w14:textId="77777777" w:rsidR="004C6421" w:rsidRDefault="009D1962">
            <w:pPr>
              <w:pStyle w:val="P68B1DB1-Normal4"/>
              <w:spacing w:after="120"/>
              <w:jc w:val="center"/>
              <w:rPr>
                <w:noProof/>
              </w:rPr>
            </w:pPr>
            <w:r>
              <w:rPr>
                <w:noProof/>
              </w:rPr>
              <w:t>Wejście w życie zmienionych ram prawnych dotyczących interwencji przeciwko zagrożeniom powodziowym i hydrogeologicznym</w:t>
            </w:r>
          </w:p>
        </w:tc>
        <w:tc>
          <w:tcPr>
            <w:tcW w:w="1383" w:type="dxa"/>
            <w:shd w:val="clear" w:color="auto" w:fill="C6EFCE"/>
            <w:noWrap/>
            <w:vAlign w:val="center"/>
          </w:tcPr>
          <w:p w14:paraId="64F5A660" w14:textId="77777777" w:rsidR="004C6421" w:rsidRDefault="009D1962">
            <w:pPr>
              <w:pStyle w:val="P68B1DB1-Normal4"/>
              <w:spacing w:after="120"/>
              <w:jc w:val="center"/>
              <w:rPr>
                <w:noProof/>
              </w:rPr>
            </w:pPr>
            <w:r>
              <w:rPr>
                <w:noProof/>
              </w:rPr>
              <w:t>Przepisy rozporządzeń wskazujące na wejście w życie NIE DOT.</w:t>
            </w:r>
          </w:p>
        </w:tc>
        <w:tc>
          <w:tcPr>
            <w:tcW w:w="1094" w:type="dxa"/>
            <w:shd w:val="clear" w:color="auto" w:fill="C6EFCE"/>
            <w:noWrap/>
            <w:vAlign w:val="center"/>
          </w:tcPr>
          <w:p w14:paraId="3EFCAAB5" w14:textId="77777777" w:rsidR="004C6421" w:rsidRDefault="009D1962">
            <w:pPr>
              <w:pStyle w:val="P68B1DB1-Normal4"/>
              <w:spacing w:after="120"/>
              <w:jc w:val="center"/>
              <w:rPr>
                <w:noProof/>
              </w:rPr>
            </w:pPr>
            <w:r>
              <w:rPr>
                <w:noProof/>
              </w:rPr>
              <w:t>NIE DOT.</w:t>
            </w:r>
          </w:p>
        </w:tc>
        <w:tc>
          <w:tcPr>
            <w:tcW w:w="1290" w:type="dxa"/>
            <w:shd w:val="clear" w:color="auto" w:fill="C6EFCE"/>
            <w:noWrap/>
            <w:vAlign w:val="center"/>
          </w:tcPr>
          <w:p w14:paraId="7E2DC8ED" w14:textId="77777777" w:rsidR="004C6421" w:rsidRDefault="009D1962">
            <w:pPr>
              <w:pStyle w:val="P68B1DB1-Normal4"/>
              <w:spacing w:after="120"/>
              <w:jc w:val="center"/>
              <w:rPr>
                <w:noProof/>
              </w:rPr>
            </w:pPr>
            <w:r>
              <w:rPr>
                <w:noProof/>
              </w:rPr>
              <w:t>NIE DOT.</w:t>
            </w:r>
          </w:p>
        </w:tc>
        <w:tc>
          <w:tcPr>
            <w:tcW w:w="1194" w:type="dxa"/>
            <w:shd w:val="clear" w:color="auto" w:fill="C6EFCE"/>
            <w:noWrap/>
            <w:vAlign w:val="center"/>
          </w:tcPr>
          <w:p w14:paraId="3D8230DF" w14:textId="77777777" w:rsidR="004C6421" w:rsidRDefault="009D1962">
            <w:pPr>
              <w:pStyle w:val="P68B1DB1-Normal4"/>
              <w:spacing w:after="120"/>
              <w:jc w:val="center"/>
              <w:rPr>
                <w:noProof/>
              </w:rPr>
            </w:pPr>
            <w:r>
              <w:rPr>
                <w:noProof/>
              </w:rPr>
              <w:t>NIE DOT.</w:t>
            </w:r>
          </w:p>
        </w:tc>
        <w:tc>
          <w:tcPr>
            <w:tcW w:w="2037" w:type="dxa"/>
            <w:shd w:val="clear" w:color="auto" w:fill="C6EFCE"/>
            <w:noWrap/>
            <w:vAlign w:val="center"/>
          </w:tcPr>
          <w:p w14:paraId="4699AFC1" w14:textId="2D612236" w:rsidR="004C6421" w:rsidRDefault="00CC179E">
            <w:pPr>
              <w:pStyle w:val="P68B1DB1-Normal4"/>
              <w:spacing w:after="120"/>
              <w:jc w:val="center"/>
              <w:rPr>
                <w:noProof/>
              </w:rPr>
            </w:pPr>
            <w:r>
              <w:rPr>
                <w:noProof/>
              </w:rPr>
              <w:t>KW. 4</w:t>
            </w:r>
          </w:p>
        </w:tc>
        <w:tc>
          <w:tcPr>
            <w:tcW w:w="638" w:type="dxa"/>
            <w:shd w:val="clear" w:color="auto" w:fill="C6EFCE"/>
            <w:noWrap/>
            <w:vAlign w:val="center"/>
          </w:tcPr>
          <w:p w14:paraId="10F869AA" w14:textId="77777777" w:rsidR="004C6421" w:rsidRDefault="009D1962">
            <w:pPr>
              <w:pStyle w:val="P68B1DB1-Normal4"/>
              <w:spacing w:after="120"/>
              <w:jc w:val="center"/>
              <w:rPr>
                <w:noProof/>
              </w:rPr>
            </w:pPr>
            <w:r>
              <w:rPr>
                <w:noProof/>
              </w:rPr>
              <w:t>2021</w:t>
            </w:r>
          </w:p>
        </w:tc>
        <w:tc>
          <w:tcPr>
            <w:tcW w:w="4116" w:type="dxa"/>
            <w:shd w:val="clear" w:color="auto" w:fill="C6EFCE"/>
            <w:noWrap/>
            <w:vAlign w:val="center"/>
          </w:tcPr>
          <w:p w14:paraId="24FA5D7A" w14:textId="77777777" w:rsidR="004C6421" w:rsidRDefault="009D1962">
            <w:pPr>
              <w:pStyle w:val="P68B1DB1-Normal4"/>
              <w:spacing w:after="120"/>
              <w:jc w:val="both"/>
              <w:rPr>
                <w:noProof/>
              </w:rPr>
            </w:pPr>
            <w:r>
              <w:rPr>
                <w:noProof/>
              </w:rPr>
              <w:t>Dekrety zatwierdzające pierwszy plan interwencji i inwestycji na danym obszarze (delegatura komisarza/region/prowincja autonomiczna) w zakresie ograniczania ryzyka powodziowego i hydrogeologicznego mają na celu przywrócenie początkowych warunków i zapewnienie odporności terytoriów na klęski żywiołowe.</w:t>
            </w:r>
          </w:p>
        </w:tc>
      </w:tr>
      <w:tr w:rsidR="004C6421" w14:paraId="0C051239" w14:textId="77777777">
        <w:trPr>
          <w:trHeight w:val="313"/>
          <w:jc w:val="center"/>
        </w:trPr>
        <w:tc>
          <w:tcPr>
            <w:tcW w:w="1130" w:type="dxa"/>
            <w:shd w:val="clear" w:color="auto" w:fill="C6EFCE"/>
            <w:noWrap/>
            <w:vAlign w:val="center"/>
          </w:tcPr>
          <w:p w14:paraId="511B7595" w14:textId="77777777" w:rsidR="004C6421" w:rsidRDefault="009D1962">
            <w:pPr>
              <w:pStyle w:val="P68B1DB1-Normal4"/>
              <w:spacing w:after="120"/>
              <w:jc w:val="center"/>
              <w:rPr>
                <w:noProof/>
              </w:rPr>
            </w:pPr>
            <w:r>
              <w:rPr>
                <w:noProof/>
              </w:rPr>
              <w:t>M2C4-13</w:t>
            </w:r>
          </w:p>
        </w:tc>
        <w:tc>
          <w:tcPr>
            <w:tcW w:w="1560" w:type="dxa"/>
            <w:shd w:val="clear" w:color="auto" w:fill="C6EFCE"/>
            <w:noWrap/>
            <w:vAlign w:val="center"/>
          </w:tcPr>
          <w:p w14:paraId="257AB530" w14:textId="77777777" w:rsidR="004C6421" w:rsidRDefault="009D1962">
            <w:pPr>
              <w:pStyle w:val="P68B1DB1-Normal4"/>
              <w:spacing w:after="120"/>
              <w:jc w:val="center"/>
              <w:rPr>
                <w:noProof/>
              </w:rPr>
            </w:pPr>
            <w:r>
              <w:rPr>
                <w:noProof/>
              </w:rPr>
              <w:t>Inwestycje 2.1b – Środki na rzecz zmniejszenia ryzyka powodziowego i hydrogeologicznego</w:t>
            </w:r>
          </w:p>
        </w:tc>
        <w:tc>
          <w:tcPr>
            <w:tcW w:w="1134" w:type="dxa"/>
            <w:shd w:val="clear" w:color="auto" w:fill="C6EFCE"/>
            <w:noWrap/>
            <w:vAlign w:val="center"/>
          </w:tcPr>
          <w:p w14:paraId="6F85C707" w14:textId="77777777" w:rsidR="004C6421" w:rsidRDefault="009D1962">
            <w:pPr>
              <w:pStyle w:val="P68B1DB1-Normal4"/>
              <w:spacing w:after="120"/>
              <w:jc w:val="center"/>
              <w:rPr>
                <w:noProof/>
              </w:rPr>
            </w:pPr>
            <w:r>
              <w:rPr>
                <w:noProof/>
              </w:rPr>
              <w:t>Cel</w:t>
            </w:r>
          </w:p>
        </w:tc>
        <w:tc>
          <w:tcPr>
            <w:tcW w:w="1559" w:type="dxa"/>
            <w:shd w:val="clear" w:color="auto" w:fill="C6EFCE"/>
            <w:noWrap/>
            <w:vAlign w:val="center"/>
          </w:tcPr>
          <w:p w14:paraId="7A315A84" w14:textId="77777777" w:rsidR="004C6421" w:rsidRDefault="009D1962">
            <w:pPr>
              <w:pStyle w:val="P68B1DB1-Normal4"/>
              <w:spacing w:after="120"/>
              <w:jc w:val="center"/>
              <w:rPr>
                <w:noProof/>
              </w:rPr>
            </w:pPr>
            <w:r>
              <w:rPr>
                <w:noProof/>
              </w:rPr>
              <w:t>Zakończenie interwencji typu D i E</w:t>
            </w:r>
          </w:p>
        </w:tc>
        <w:tc>
          <w:tcPr>
            <w:tcW w:w="1383" w:type="dxa"/>
            <w:shd w:val="clear" w:color="auto" w:fill="C6EFCE"/>
            <w:noWrap/>
            <w:vAlign w:val="center"/>
          </w:tcPr>
          <w:p w14:paraId="526A6746" w14:textId="77777777" w:rsidR="004C6421" w:rsidRDefault="009D1962">
            <w:pPr>
              <w:pStyle w:val="P68B1DB1-Normal4"/>
              <w:spacing w:after="120"/>
              <w:jc w:val="center"/>
              <w:rPr>
                <w:noProof/>
              </w:rPr>
            </w:pPr>
            <w:r>
              <w:rPr>
                <w:noProof/>
              </w:rPr>
              <w:t>NIE DOT.</w:t>
            </w:r>
          </w:p>
        </w:tc>
        <w:tc>
          <w:tcPr>
            <w:tcW w:w="1094" w:type="dxa"/>
            <w:shd w:val="clear" w:color="auto" w:fill="C6EFCE"/>
            <w:noWrap/>
            <w:vAlign w:val="center"/>
          </w:tcPr>
          <w:p w14:paraId="5708C2DE" w14:textId="77777777" w:rsidR="004C6421" w:rsidRDefault="009D1962">
            <w:pPr>
              <w:pStyle w:val="P68B1DB1-Normal4"/>
              <w:spacing w:after="120"/>
              <w:jc w:val="center"/>
              <w:rPr>
                <w:noProof/>
              </w:rPr>
            </w:pPr>
            <w:r>
              <w:rPr>
                <w:noProof/>
              </w:rPr>
              <w:t>Procent</w:t>
            </w:r>
          </w:p>
        </w:tc>
        <w:tc>
          <w:tcPr>
            <w:tcW w:w="1290" w:type="dxa"/>
            <w:shd w:val="clear" w:color="auto" w:fill="C6EFCE"/>
            <w:noWrap/>
            <w:vAlign w:val="center"/>
          </w:tcPr>
          <w:p w14:paraId="0628A1B5" w14:textId="77777777" w:rsidR="004C6421" w:rsidRDefault="009D1962">
            <w:pPr>
              <w:pStyle w:val="P68B1DB1-Normal4"/>
              <w:spacing w:after="120"/>
              <w:jc w:val="center"/>
              <w:rPr>
                <w:noProof/>
              </w:rPr>
            </w:pPr>
            <w:r>
              <w:rPr>
                <w:noProof/>
              </w:rPr>
              <w:t>0</w:t>
            </w:r>
          </w:p>
        </w:tc>
        <w:tc>
          <w:tcPr>
            <w:tcW w:w="1194" w:type="dxa"/>
            <w:shd w:val="clear" w:color="auto" w:fill="C6EFCE"/>
            <w:noWrap/>
            <w:vAlign w:val="center"/>
          </w:tcPr>
          <w:p w14:paraId="5FD0552C" w14:textId="77777777" w:rsidR="004C6421" w:rsidRDefault="009D1962">
            <w:pPr>
              <w:pStyle w:val="P68B1DB1-Normal4"/>
              <w:spacing w:after="120"/>
              <w:jc w:val="center"/>
              <w:rPr>
                <w:noProof/>
              </w:rPr>
            </w:pPr>
            <w:r>
              <w:rPr>
                <w:noProof/>
              </w:rPr>
              <w:t>90</w:t>
            </w:r>
          </w:p>
        </w:tc>
        <w:tc>
          <w:tcPr>
            <w:tcW w:w="2037" w:type="dxa"/>
            <w:shd w:val="clear" w:color="auto" w:fill="C6EFCE"/>
            <w:noWrap/>
            <w:vAlign w:val="center"/>
          </w:tcPr>
          <w:p w14:paraId="56607092" w14:textId="77777777" w:rsidR="004C6421" w:rsidRDefault="009D1962">
            <w:pPr>
              <w:pStyle w:val="P68B1DB1-Normal4"/>
              <w:spacing w:after="120"/>
              <w:jc w:val="center"/>
              <w:rPr>
                <w:noProof/>
              </w:rPr>
            </w:pPr>
            <w:r>
              <w:rPr>
                <w:noProof/>
              </w:rPr>
              <w:t>II KW.</w:t>
            </w:r>
          </w:p>
        </w:tc>
        <w:tc>
          <w:tcPr>
            <w:tcW w:w="638" w:type="dxa"/>
            <w:shd w:val="clear" w:color="auto" w:fill="C6EFCE"/>
            <w:noWrap/>
            <w:vAlign w:val="center"/>
          </w:tcPr>
          <w:p w14:paraId="4CCB66FB" w14:textId="77777777" w:rsidR="004C6421" w:rsidRDefault="009D1962">
            <w:pPr>
              <w:pStyle w:val="P68B1DB1-Normal4"/>
              <w:spacing w:after="120"/>
              <w:jc w:val="center"/>
              <w:rPr>
                <w:noProof/>
              </w:rPr>
            </w:pPr>
            <w:r>
              <w:rPr>
                <w:noProof/>
              </w:rPr>
              <w:t>2026</w:t>
            </w:r>
          </w:p>
        </w:tc>
        <w:tc>
          <w:tcPr>
            <w:tcW w:w="4116" w:type="dxa"/>
            <w:shd w:val="clear" w:color="auto" w:fill="C6EFCE"/>
            <w:noWrap/>
            <w:vAlign w:val="center"/>
          </w:tcPr>
          <w:p w14:paraId="323A9223" w14:textId="77777777" w:rsidR="004C6421" w:rsidRDefault="009D1962">
            <w:pPr>
              <w:pStyle w:val="P68B1DB1-Normal4"/>
              <w:spacing w:after="120"/>
              <w:rPr>
                <w:noProof/>
              </w:rPr>
            </w:pPr>
            <w:r>
              <w:rPr>
                <w:noProof/>
              </w:rPr>
              <w:t>Zakończenie 90 % interwencji typu E i D mających na celu przywrócenie uszkodzonych struktur publicznych określonych w aktach zatwierdzających Krajowej Służby Ochrony Ludności.</w:t>
            </w:r>
          </w:p>
        </w:tc>
      </w:tr>
      <w:tr w:rsidR="004C6421" w14:paraId="3A3D084C" w14:textId="77777777">
        <w:trPr>
          <w:trHeight w:val="313"/>
          <w:jc w:val="center"/>
        </w:trPr>
        <w:tc>
          <w:tcPr>
            <w:tcW w:w="1130" w:type="dxa"/>
            <w:shd w:val="clear" w:color="auto" w:fill="C6EFCE"/>
            <w:noWrap/>
            <w:vAlign w:val="center"/>
            <w:hideMark/>
          </w:tcPr>
          <w:p w14:paraId="3998CF74" w14:textId="77777777" w:rsidR="004C6421" w:rsidRDefault="009D1962">
            <w:pPr>
              <w:pStyle w:val="P68B1DB1-Normal4"/>
              <w:spacing w:line="276" w:lineRule="auto"/>
              <w:jc w:val="center"/>
              <w:rPr>
                <w:noProof/>
              </w:rPr>
            </w:pPr>
            <w:r>
              <w:rPr>
                <w:noProof/>
              </w:rPr>
              <w:t>M2C4-18</w:t>
            </w:r>
          </w:p>
        </w:tc>
        <w:tc>
          <w:tcPr>
            <w:tcW w:w="1560" w:type="dxa"/>
            <w:shd w:val="clear" w:color="auto" w:fill="C6EFCE"/>
            <w:noWrap/>
            <w:vAlign w:val="center"/>
            <w:hideMark/>
          </w:tcPr>
          <w:p w14:paraId="365B5834" w14:textId="77777777" w:rsidR="004C6421" w:rsidRDefault="009D1962">
            <w:pPr>
              <w:pStyle w:val="P68B1DB1-Normal4"/>
              <w:spacing w:line="276" w:lineRule="auto"/>
              <w:jc w:val="center"/>
              <w:rPr>
                <w:noProof/>
              </w:rPr>
            </w:pPr>
            <w:r>
              <w:rPr>
                <w:noProof/>
              </w:rPr>
              <w:t>Inwestycje. 3.1: Ochrona i poprawa stanu lasów miejskich i podmiejskich</w:t>
            </w:r>
          </w:p>
        </w:tc>
        <w:tc>
          <w:tcPr>
            <w:tcW w:w="1134" w:type="dxa"/>
            <w:shd w:val="clear" w:color="auto" w:fill="C6EFCE"/>
            <w:noWrap/>
            <w:vAlign w:val="center"/>
            <w:hideMark/>
          </w:tcPr>
          <w:p w14:paraId="69538C2B" w14:textId="026A3C1A" w:rsidR="004C6421" w:rsidRDefault="00CC179E">
            <w:pPr>
              <w:pStyle w:val="P68B1DB1-Normal4"/>
              <w:spacing w:line="276" w:lineRule="auto"/>
              <w:jc w:val="center"/>
              <w:rPr>
                <w:noProof/>
              </w:rPr>
            </w:pPr>
            <w:r>
              <w:rPr>
                <w:noProof/>
              </w:rPr>
              <w:t>Milowy</w:t>
            </w:r>
          </w:p>
        </w:tc>
        <w:tc>
          <w:tcPr>
            <w:tcW w:w="1559" w:type="dxa"/>
            <w:shd w:val="clear" w:color="auto" w:fill="C6EFCE"/>
            <w:noWrap/>
            <w:vAlign w:val="center"/>
            <w:hideMark/>
          </w:tcPr>
          <w:p w14:paraId="45354030" w14:textId="77777777" w:rsidR="004C6421" w:rsidRDefault="009D1962">
            <w:pPr>
              <w:pStyle w:val="P68B1DB1-Normal4"/>
              <w:spacing w:line="276" w:lineRule="auto"/>
              <w:jc w:val="center"/>
              <w:rPr>
                <w:noProof/>
              </w:rPr>
            </w:pPr>
            <w:r>
              <w:rPr>
                <w:noProof/>
              </w:rPr>
              <w:t>Wejście w życie zmienionych zmian prawnych dotyczących ochrony i waloryzacji zielonych obszarów miejskich i podmiejskich</w:t>
            </w:r>
          </w:p>
        </w:tc>
        <w:tc>
          <w:tcPr>
            <w:tcW w:w="1383" w:type="dxa"/>
            <w:shd w:val="clear" w:color="auto" w:fill="C6EFCE"/>
            <w:noWrap/>
            <w:vAlign w:val="center"/>
            <w:hideMark/>
          </w:tcPr>
          <w:p w14:paraId="26EC40DD" w14:textId="77777777" w:rsidR="004C6421" w:rsidRDefault="009D1962">
            <w:pPr>
              <w:pStyle w:val="P68B1DB1-Normal4"/>
              <w:spacing w:line="276" w:lineRule="auto"/>
              <w:jc w:val="center"/>
              <w:rPr>
                <w:noProof/>
              </w:rPr>
            </w:pPr>
            <w:r>
              <w:rPr>
                <w:noProof/>
              </w:rPr>
              <w:t>Przepis w odpowiednich aktach prawnych wskazujący na przyjęcie planu zalesiania obszarów miejskich NIE DOT.</w:t>
            </w:r>
          </w:p>
        </w:tc>
        <w:tc>
          <w:tcPr>
            <w:tcW w:w="1094" w:type="dxa"/>
            <w:shd w:val="clear" w:color="auto" w:fill="C6EFCE"/>
            <w:noWrap/>
            <w:vAlign w:val="center"/>
            <w:hideMark/>
          </w:tcPr>
          <w:p w14:paraId="50812671" w14:textId="77777777" w:rsidR="004C6421" w:rsidRDefault="009D1962">
            <w:pPr>
              <w:pStyle w:val="P68B1DB1-Normal4"/>
              <w:spacing w:line="276" w:lineRule="auto"/>
              <w:jc w:val="center"/>
              <w:rPr>
                <w:noProof/>
              </w:rPr>
            </w:pPr>
            <w:r>
              <w:rPr>
                <w:noProof/>
              </w:rPr>
              <w:t>NIE DOT.</w:t>
            </w:r>
          </w:p>
        </w:tc>
        <w:tc>
          <w:tcPr>
            <w:tcW w:w="1290" w:type="dxa"/>
            <w:shd w:val="clear" w:color="auto" w:fill="C6EFCE"/>
            <w:noWrap/>
            <w:vAlign w:val="center"/>
            <w:hideMark/>
          </w:tcPr>
          <w:p w14:paraId="05AC93D2" w14:textId="77777777" w:rsidR="004C6421" w:rsidRDefault="009D1962">
            <w:pPr>
              <w:pStyle w:val="P68B1DB1-Normal4"/>
              <w:spacing w:line="276" w:lineRule="auto"/>
              <w:jc w:val="center"/>
              <w:rPr>
                <w:noProof/>
              </w:rPr>
            </w:pPr>
            <w:r>
              <w:rPr>
                <w:noProof/>
              </w:rPr>
              <w:t>NIE DOT.</w:t>
            </w:r>
          </w:p>
        </w:tc>
        <w:tc>
          <w:tcPr>
            <w:tcW w:w="1194" w:type="dxa"/>
            <w:shd w:val="clear" w:color="auto" w:fill="C6EFCE"/>
            <w:noWrap/>
            <w:vAlign w:val="center"/>
            <w:hideMark/>
          </w:tcPr>
          <w:p w14:paraId="48AF9FCD" w14:textId="77777777" w:rsidR="004C6421" w:rsidRDefault="009D1962">
            <w:pPr>
              <w:pStyle w:val="P68B1DB1-Normal4"/>
              <w:spacing w:line="276" w:lineRule="auto"/>
              <w:jc w:val="center"/>
              <w:rPr>
                <w:noProof/>
              </w:rPr>
            </w:pPr>
            <w:r>
              <w:rPr>
                <w:noProof/>
              </w:rPr>
              <w:t>NIE DOT.</w:t>
            </w:r>
          </w:p>
        </w:tc>
        <w:tc>
          <w:tcPr>
            <w:tcW w:w="2037" w:type="dxa"/>
            <w:shd w:val="clear" w:color="auto" w:fill="C6EFCE"/>
            <w:noWrap/>
            <w:vAlign w:val="center"/>
            <w:hideMark/>
          </w:tcPr>
          <w:p w14:paraId="14926460" w14:textId="409053B0" w:rsidR="004C6421" w:rsidRDefault="00CC179E">
            <w:pPr>
              <w:pStyle w:val="P68B1DB1-Normal4"/>
              <w:spacing w:line="276" w:lineRule="auto"/>
              <w:jc w:val="center"/>
              <w:rPr>
                <w:noProof/>
              </w:rPr>
            </w:pPr>
            <w:r>
              <w:rPr>
                <w:noProof/>
              </w:rPr>
              <w:t>KW. 4</w:t>
            </w:r>
          </w:p>
        </w:tc>
        <w:tc>
          <w:tcPr>
            <w:tcW w:w="638" w:type="dxa"/>
            <w:shd w:val="clear" w:color="auto" w:fill="C6EFCE"/>
            <w:noWrap/>
            <w:vAlign w:val="center"/>
            <w:hideMark/>
          </w:tcPr>
          <w:p w14:paraId="4F2175BD" w14:textId="77777777" w:rsidR="004C6421" w:rsidRDefault="009D1962">
            <w:pPr>
              <w:pStyle w:val="P68B1DB1-Normal4"/>
              <w:spacing w:line="276" w:lineRule="auto"/>
              <w:jc w:val="center"/>
              <w:rPr>
                <w:noProof/>
              </w:rPr>
            </w:pPr>
            <w:r>
              <w:rPr>
                <w:noProof/>
              </w:rPr>
              <w:t>2021</w:t>
            </w:r>
          </w:p>
        </w:tc>
        <w:tc>
          <w:tcPr>
            <w:tcW w:w="4116" w:type="dxa"/>
            <w:shd w:val="clear" w:color="auto" w:fill="C6EFCE"/>
            <w:noWrap/>
            <w:vAlign w:val="center"/>
            <w:hideMark/>
          </w:tcPr>
          <w:p w14:paraId="51AEBCB5" w14:textId="77777777" w:rsidR="004C6421" w:rsidRDefault="009D1962">
            <w:pPr>
              <w:pStyle w:val="P68B1DB1-Normal4"/>
              <w:rPr>
                <w:noProof/>
              </w:rPr>
            </w:pPr>
            <w:r>
              <w:rPr>
                <w:noProof/>
              </w:rPr>
              <w:t>Plan zalesiania obszarów miejskich musi być zgodny z celami ustawy z dnia 12 grudnia 2019 r., 141 („prawo o klimacie”) i po fazie planowania, która ma zostać przeprowadzona przez miasta metropolitalne. Plan powinien określać co najmniej następujące cele:</w:t>
            </w:r>
          </w:p>
          <w:p w14:paraId="378A5EEB" w14:textId="77777777" w:rsidR="004C6421" w:rsidRDefault="009D1962">
            <w:pPr>
              <w:pStyle w:val="P68B1DB1-ListParagraph5"/>
              <w:numPr>
                <w:ilvl w:val="0"/>
                <w:numId w:val="74"/>
              </w:numPr>
              <w:spacing w:before="0" w:after="0"/>
              <w:ind w:left="446"/>
              <w:contextualSpacing w:val="0"/>
              <w:jc w:val="left"/>
              <w:rPr>
                <w:noProof/>
              </w:rPr>
            </w:pPr>
            <w:r>
              <w:rPr>
                <w:noProof/>
              </w:rPr>
              <w:t>Zachowanie i zwiększenie rozproszonej różnorodności biologicznej zgodnie z europejską strategią ochrony różnorodności biologicznej,</w:t>
            </w:r>
          </w:p>
          <w:p w14:paraId="52683E2D" w14:textId="77777777" w:rsidR="004C6421" w:rsidRDefault="009D1962">
            <w:pPr>
              <w:pStyle w:val="P68B1DB1-ListParagraph5"/>
              <w:numPr>
                <w:ilvl w:val="0"/>
                <w:numId w:val="74"/>
              </w:numPr>
              <w:spacing w:before="0" w:after="0"/>
              <w:ind w:left="446"/>
              <w:contextualSpacing w:val="0"/>
              <w:jc w:val="left"/>
              <w:rPr>
                <w:noProof/>
              </w:rPr>
            </w:pPr>
            <w:r>
              <w:rPr>
                <w:noProof/>
              </w:rPr>
              <w:t>Przyczynianie się do zmniejszenia zanieczyszczenia powietrza na obszarach metropolitalnych,</w:t>
            </w:r>
          </w:p>
          <w:p w14:paraId="04263844" w14:textId="77777777" w:rsidR="004C6421" w:rsidRDefault="009D1962">
            <w:pPr>
              <w:pStyle w:val="P68B1DB1-ListParagraph5"/>
              <w:numPr>
                <w:ilvl w:val="0"/>
                <w:numId w:val="74"/>
              </w:numPr>
              <w:spacing w:before="0" w:after="0"/>
              <w:ind w:left="446"/>
              <w:contextualSpacing w:val="0"/>
              <w:jc w:val="left"/>
              <w:rPr>
                <w:noProof/>
              </w:rPr>
            </w:pPr>
            <w:r>
              <w:rPr>
                <w:noProof/>
              </w:rPr>
              <w:t>Ograniczenie postępowań w sprawie uchybienia zobowiązaniom państwa członkowskiego w zakresie jakości powietrza;</w:t>
            </w:r>
          </w:p>
          <w:p w14:paraId="49493C1B" w14:textId="77777777" w:rsidR="004C6421" w:rsidRDefault="009D1962">
            <w:pPr>
              <w:pStyle w:val="P68B1DB1-ListParagraph5"/>
              <w:numPr>
                <w:ilvl w:val="0"/>
                <w:numId w:val="74"/>
              </w:numPr>
              <w:spacing w:before="0" w:after="0"/>
              <w:ind w:left="446"/>
              <w:contextualSpacing w:val="0"/>
              <w:jc w:val="left"/>
              <w:rPr>
                <w:noProof/>
              </w:rPr>
            </w:pPr>
            <w:r>
              <w:rPr>
                <w:noProof/>
              </w:rPr>
              <w:t>Odbudowa krajobrazu stworzonego przez człowieka i poprawa stanu obszarów chronionych znajdujących się w bezpośrednim sąsiedztwie obszarów metropolitalnych;</w:t>
            </w:r>
          </w:p>
          <w:p w14:paraId="1993A284" w14:textId="77777777" w:rsidR="004C6421" w:rsidRDefault="004C6421">
            <w:pPr>
              <w:rPr>
                <w:rFonts w:ascii="Arial Narrow" w:hAnsi="Arial Narrow"/>
                <w:noProof/>
                <w:color w:val="006100"/>
                <w:sz w:val="20"/>
              </w:rPr>
            </w:pPr>
          </w:p>
          <w:p w14:paraId="4FCE591A" w14:textId="77777777" w:rsidR="004C6421" w:rsidRDefault="009D1962">
            <w:pPr>
              <w:pStyle w:val="P68B1DB1-Normal4"/>
              <w:rPr>
                <w:noProof/>
              </w:rPr>
            </w:pPr>
            <w:r>
              <w:rPr>
                <w:noProof/>
              </w:rPr>
              <w:t>Ograniczenie zużycia gleby i przywrócenie użytecznych gleb.</w:t>
            </w:r>
          </w:p>
        </w:tc>
      </w:tr>
      <w:tr w:rsidR="004C6421" w14:paraId="7CA18C3C" w14:textId="77777777">
        <w:trPr>
          <w:trHeight w:val="313"/>
          <w:jc w:val="center"/>
        </w:trPr>
        <w:tc>
          <w:tcPr>
            <w:tcW w:w="1130" w:type="dxa"/>
            <w:shd w:val="clear" w:color="auto" w:fill="C6EFCE"/>
            <w:noWrap/>
            <w:vAlign w:val="center"/>
            <w:hideMark/>
          </w:tcPr>
          <w:p w14:paraId="52741AE2" w14:textId="77777777" w:rsidR="004C6421" w:rsidRDefault="009D1962">
            <w:pPr>
              <w:pStyle w:val="P68B1DB1-Normal4"/>
              <w:spacing w:line="276" w:lineRule="auto"/>
              <w:jc w:val="center"/>
              <w:rPr>
                <w:noProof/>
              </w:rPr>
            </w:pPr>
            <w:r>
              <w:rPr>
                <w:noProof/>
              </w:rPr>
              <w:t>M2C4-19</w:t>
            </w:r>
          </w:p>
        </w:tc>
        <w:tc>
          <w:tcPr>
            <w:tcW w:w="1560" w:type="dxa"/>
            <w:shd w:val="clear" w:color="auto" w:fill="C6EFCE"/>
            <w:noWrap/>
            <w:vAlign w:val="center"/>
            <w:hideMark/>
          </w:tcPr>
          <w:p w14:paraId="4B3830AF" w14:textId="77777777" w:rsidR="004C6421" w:rsidRDefault="009D1962">
            <w:pPr>
              <w:pStyle w:val="P68B1DB1-Normal4"/>
              <w:spacing w:line="276" w:lineRule="auto"/>
              <w:jc w:val="center"/>
              <w:rPr>
                <w:noProof/>
              </w:rPr>
            </w:pPr>
            <w:r>
              <w:rPr>
                <w:noProof/>
              </w:rPr>
              <w:t>Inwestycje. 3.1: Ochrona i poprawa stanu lasów miejskich i podmiejskich</w:t>
            </w:r>
          </w:p>
        </w:tc>
        <w:tc>
          <w:tcPr>
            <w:tcW w:w="1134" w:type="dxa"/>
            <w:shd w:val="clear" w:color="auto" w:fill="C6EFCE"/>
            <w:noWrap/>
            <w:vAlign w:val="center"/>
            <w:hideMark/>
          </w:tcPr>
          <w:p w14:paraId="45B08895" w14:textId="77777777" w:rsidR="004C6421" w:rsidRDefault="009D1962">
            <w:pPr>
              <w:pStyle w:val="P68B1DB1-Normal4"/>
              <w:spacing w:line="276" w:lineRule="auto"/>
              <w:jc w:val="center"/>
              <w:rPr>
                <w:noProof/>
              </w:rPr>
            </w:pPr>
            <w:r>
              <w:rPr>
                <w:noProof/>
              </w:rPr>
              <w:t>Cel</w:t>
            </w:r>
          </w:p>
        </w:tc>
        <w:tc>
          <w:tcPr>
            <w:tcW w:w="1559" w:type="dxa"/>
            <w:shd w:val="clear" w:color="auto" w:fill="C6EFCE"/>
            <w:noWrap/>
            <w:vAlign w:val="center"/>
            <w:hideMark/>
          </w:tcPr>
          <w:p w14:paraId="2074A242" w14:textId="77777777" w:rsidR="004C6421" w:rsidRDefault="009D1962">
            <w:pPr>
              <w:pStyle w:val="P68B1DB1-Normal4"/>
              <w:spacing w:line="276" w:lineRule="auto"/>
              <w:jc w:val="center"/>
              <w:rPr>
                <w:noProof/>
              </w:rPr>
            </w:pPr>
            <w:r>
              <w:rPr>
                <w:noProof/>
              </w:rPr>
              <w:t>Drzewa roślinne w celu ochrony i waloryzacji zielonych obszarów miejskich i podmiejskich T1</w:t>
            </w:r>
          </w:p>
        </w:tc>
        <w:tc>
          <w:tcPr>
            <w:tcW w:w="1383" w:type="dxa"/>
            <w:shd w:val="clear" w:color="auto" w:fill="C6EFCE"/>
            <w:noWrap/>
            <w:vAlign w:val="center"/>
            <w:hideMark/>
          </w:tcPr>
          <w:p w14:paraId="3581878F" w14:textId="77777777" w:rsidR="004C6421" w:rsidRDefault="009D1962">
            <w:pPr>
              <w:pStyle w:val="P68B1DB1-Normal4"/>
              <w:spacing w:line="276" w:lineRule="auto"/>
              <w:jc w:val="center"/>
              <w:rPr>
                <w:noProof/>
              </w:rPr>
            </w:pPr>
            <w:r>
              <w:rPr>
                <w:noProof/>
              </w:rPr>
              <w:t>NIE DOT.</w:t>
            </w:r>
          </w:p>
        </w:tc>
        <w:tc>
          <w:tcPr>
            <w:tcW w:w="1094" w:type="dxa"/>
            <w:shd w:val="clear" w:color="auto" w:fill="C6EFCE"/>
            <w:noWrap/>
            <w:vAlign w:val="center"/>
            <w:hideMark/>
          </w:tcPr>
          <w:p w14:paraId="453A3AA9" w14:textId="77777777" w:rsidR="004C6421" w:rsidRDefault="009D1962">
            <w:pPr>
              <w:pStyle w:val="P68B1DB1-Normal4"/>
              <w:spacing w:line="276" w:lineRule="auto"/>
              <w:jc w:val="center"/>
              <w:rPr>
                <w:noProof/>
              </w:rPr>
            </w:pPr>
            <w:r>
              <w:rPr>
                <w:noProof/>
              </w:rPr>
              <w:t>Numer</w:t>
            </w:r>
          </w:p>
        </w:tc>
        <w:tc>
          <w:tcPr>
            <w:tcW w:w="1290" w:type="dxa"/>
            <w:shd w:val="clear" w:color="auto" w:fill="C6EFCE"/>
            <w:noWrap/>
            <w:vAlign w:val="center"/>
            <w:hideMark/>
          </w:tcPr>
          <w:p w14:paraId="65E94AB2" w14:textId="77777777" w:rsidR="004C6421" w:rsidRDefault="009D1962">
            <w:pPr>
              <w:pStyle w:val="P68B1DB1-Normal4"/>
              <w:spacing w:line="276" w:lineRule="auto"/>
              <w:jc w:val="center"/>
              <w:rPr>
                <w:noProof/>
              </w:rPr>
            </w:pPr>
            <w:r>
              <w:rPr>
                <w:noProof/>
              </w:rPr>
              <w:t>0</w:t>
            </w:r>
          </w:p>
        </w:tc>
        <w:tc>
          <w:tcPr>
            <w:tcW w:w="1194" w:type="dxa"/>
            <w:shd w:val="clear" w:color="auto" w:fill="C6EFCE"/>
            <w:noWrap/>
            <w:vAlign w:val="center"/>
            <w:hideMark/>
          </w:tcPr>
          <w:p w14:paraId="41E37EAF" w14:textId="77777777" w:rsidR="004C6421" w:rsidRDefault="009D1962">
            <w:pPr>
              <w:pStyle w:val="P68B1DB1-Normal4"/>
              <w:spacing w:line="276" w:lineRule="auto"/>
              <w:jc w:val="center"/>
              <w:rPr>
                <w:noProof/>
              </w:rPr>
            </w:pPr>
            <w:r>
              <w:rPr>
                <w:noProof/>
              </w:rPr>
              <w:t>1 650 000</w:t>
            </w:r>
          </w:p>
        </w:tc>
        <w:tc>
          <w:tcPr>
            <w:tcW w:w="2037" w:type="dxa"/>
            <w:shd w:val="clear" w:color="auto" w:fill="C6EFCE"/>
            <w:noWrap/>
            <w:vAlign w:val="center"/>
            <w:hideMark/>
          </w:tcPr>
          <w:p w14:paraId="4F7FC841" w14:textId="7BE76126" w:rsidR="004C6421" w:rsidRDefault="00CC179E">
            <w:pPr>
              <w:pStyle w:val="P68B1DB1-Normal4"/>
              <w:spacing w:line="276" w:lineRule="auto"/>
              <w:jc w:val="center"/>
              <w:rPr>
                <w:noProof/>
              </w:rPr>
            </w:pPr>
            <w:r>
              <w:rPr>
                <w:noProof/>
              </w:rPr>
              <w:t>KW. 4</w:t>
            </w:r>
          </w:p>
        </w:tc>
        <w:tc>
          <w:tcPr>
            <w:tcW w:w="638" w:type="dxa"/>
            <w:shd w:val="clear" w:color="auto" w:fill="C6EFCE"/>
            <w:noWrap/>
            <w:vAlign w:val="center"/>
            <w:hideMark/>
          </w:tcPr>
          <w:p w14:paraId="743246CB" w14:textId="77777777" w:rsidR="004C6421" w:rsidRDefault="009D1962">
            <w:pPr>
              <w:pStyle w:val="P68B1DB1-Normal4"/>
              <w:spacing w:line="276" w:lineRule="auto"/>
              <w:jc w:val="center"/>
              <w:rPr>
                <w:noProof/>
              </w:rPr>
            </w:pPr>
            <w:r>
              <w:rPr>
                <w:noProof/>
              </w:rPr>
              <w:t>2022</w:t>
            </w:r>
          </w:p>
        </w:tc>
        <w:tc>
          <w:tcPr>
            <w:tcW w:w="4116" w:type="dxa"/>
            <w:shd w:val="clear" w:color="auto" w:fill="C6EFCE"/>
            <w:noWrap/>
            <w:vAlign w:val="center"/>
            <w:hideMark/>
          </w:tcPr>
          <w:p w14:paraId="47D2CA23" w14:textId="77777777" w:rsidR="004C6421" w:rsidRDefault="009D1962">
            <w:pPr>
              <w:pStyle w:val="P68B1DB1-Normal4"/>
              <w:spacing w:line="276" w:lineRule="auto"/>
              <w:rPr>
                <w:noProof/>
              </w:rPr>
            </w:pPr>
            <w:r>
              <w:rPr>
                <w:noProof/>
              </w:rPr>
              <w:t>Zasadzić co najmniej 1650000 drzew w celu ponownego zalesiania obszarów miejskich i podmiejskich zgodnie z art. 4 ustawy z dnia 12 grudnia 2019 r., 141 (tzw. prawo o klimacie).</w:t>
            </w:r>
          </w:p>
        </w:tc>
      </w:tr>
      <w:tr w:rsidR="004C6421" w14:paraId="7F24D11C" w14:textId="77777777">
        <w:trPr>
          <w:trHeight w:val="313"/>
          <w:jc w:val="center"/>
        </w:trPr>
        <w:tc>
          <w:tcPr>
            <w:tcW w:w="1130" w:type="dxa"/>
            <w:shd w:val="clear" w:color="auto" w:fill="C6EFCE"/>
            <w:noWrap/>
            <w:vAlign w:val="center"/>
            <w:hideMark/>
          </w:tcPr>
          <w:p w14:paraId="5C8DCCBC" w14:textId="77777777" w:rsidR="004C6421" w:rsidRDefault="009D1962">
            <w:pPr>
              <w:pStyle w:val="P68B1DB1-Normal4"/>
              <w:spacing w:line="276" w:lineRule="auto"/>
              <w:jc w:val="center"/>
              <w:rPr>
                <w:noProof/>
              </w:rPr>
            </w:pPr>
            <w:r>
              <w:rPr>
                <w:noProof/>
              </w:rPr>
              <w:t>M2C4-20</w:t>
            </w:r>
          </w:p>
        </w:tc>
        <w:tc>
          <w:tcPr>
            <w:tcW w:w="1560" w:type="dxa"/>
            <w:shd w:val="clear" w:color="auto" w:fill="C6EFCE"/>
            <w:noWrap/>
            <w:vAlign w:val="center"/>
            <w:hideMark/>
          </w:tcPr>
          <w:p w14:paraId="46F43AB6" w14:textId="77777777" w:rsidR="004C6421" w:rsidRDefault="009D1962">
            <w:pPr>
              <w:pStyle w:val="P68B1DB1-Normal4"/>
              <w:spacing w:line="276" w:lineRule="auto"/>
              <w:jc w:val="center"/>
              <w:rPr>
                <w:noProof/>
              </w:rPr>
            </w:pPr>
            <w:r>
              <w:rPr>
                <w:noProof/>
              </w:rPr>
              <w:t>Inwestycje. 3.1: Ochrona i poprawa stanu lasów miejskich i podmiejskich</w:t>
            </w:r>
          </w:p>
        </w:tc>
        <w:tc>
          <w:tcPr>
            <w:tcW w:w="1134" w:type="dxa"/>
            <w:shd w:val="clear" w:color="auto" w:fill="C6EFCE"/>
            <w:noWrap/>
            <w:vAlign w:val="center"/>
            <w:hideMark/>
          </w:tcPr>
          <w:p w14:paraId="227D3FF8" w14:textId="77777777" w:rsidR="004C6421" w:rsidRDefault="009D1962">
            <w:pPr>
              <w:pStyle w:val="P68B1DB1-Normal4"/>
              <w:spacing w:line="276" w:lineRule="auto"/>
              <w:jc w:val="center"/>
              <w:rPr>
                <w:noProof/>
              </w:rPr>
            </w:pPr>
            <w:r>
              <w:rPr>
                <w:noProof/>
              </w:rPr>
              <w:t>Cel</w:t>
            </w:r>
          </w:p>
        </w:tc>
        <w:tc>
          <w:tcPr>
            <w:tcW w:w="1559" w:type="dxa"/>
            <w:shd w:val="clear" w:color="auto" w:fill="C6EFCE"/>
            <w:noWrap/>
            <w:vAlign w:val="center"/>
            <w:hideMark/>
          </w:tcPr>
          <w:p w14:paraId="3A0BDD7E" w14:textId="77777777" w:rsidR="004C6421" w:rsidRDefault="009D1962">
            <w:pPr>
              <w:pStyle w:val="P68B1DB1-Normal4"/>
              <w:spacing w:line="276" w:lineRule="auto"/>
              <w:jc w:val="center"/>
              <w:rPr>
                <w:noProof/>
              </w:rPr>
            </w:pPr>
            <w:r>
              <w:rPr>
                <w:noProof/>
              </w:rPr>
              <w:t>Drzewa roślinne w celu ochrony i waloryzacji zielonych obszarów miejskich i podmiejskich T2</w:t>
            </w:r>
          </w:p>
        </w:tc>
        <w:tc>
          <w:tcPr>
            <w:tcW w:w="1383" w:type="dxa"/>
            <w:shd w:val="clear" w:color="auto" w:fill="C6EFCE"/>
            <w:noWrap/>
            <w:vAlign w:val="center"/>
            <w:hideMark/>
          </w:tcPr>
          <w:p w14:paraId="743D00CA" w14:textId="77777777" w:rsidR="004C6421" w:rsidRDefault="009D1962">
            <w:pPr>
              <w:pStyle w:val="P68B1DB1-Normal4"/>
              <w:spacing w:line="276" w:lineRule="auto"/>
              <w:jc w:val="center"/>
              <w:rPr>
                <w:noProof/>
              </w:rPr>
            </w:pPr>
            <w:r>
              <w:rPr>
                <w:noProof/>
              </w:rPr>
              <w:t>NIE DOT.</w:t>
            </w:r>
          </w:p>
        </w:tc>
        <w:tc>
          <w:tcPr>
            <w:tcW w:w="1094" w:type="dxa"/>
            <w:shd w:val="clear" w:color="auto" w:fill="C6EFCE"/>
            <w:noWrap/>
            <w:vAlign w:val="center"/>
            <w:hideMark/>
          </w:tcPr>
          <w:p w14:paraId="6354334D" w14:textId="77777777" w:rsidR="004C6421" w:rsidRDefault="009D1962">
            <w:pPr>
              <w:pStyle w:val="P68B1DB1-Normal4"/>
              <w:spacing w:line="276" w:lineRule="auto"/>
              <w:jc w:val="center"/>
              <w:rPr>
                <w:noProof/>
              </w:rPr>
            </w:pPr>
            <w:r>
              <w:rPr>
                <w:noProof/>
              </w:rPr>
              <w:t>Numer</w:t>
            </w:r>
          </w:p>
        </w:tc>
        <w:tc>
          <w:tcPr>
            <w:tcW w:w="1290" w:type="dxa"/>
            <w:shd w:val="clear" w:color="auto" w:fill="C6EFCE"/>
            <w:noWrap/>
            <w:vAlign w:val="center"/>
            <w:hideMark/>
          </w:tcPr>
          <w:p w14:paraId="3040FCCC" w14:textId="77777777" w:rsidR="004C6421" w:rsidRDefault="009D1962">
            <w:pPr>
              <w:pStyle w:val="P68B1DB1-Normal4"/>
              <w:spacing w:line="276" w:lineRule="auto"/>
              <w:jc w:val="center"/>
              <w:rPr>
                <w:noProof/>
              </w:rPr>
            </w:pPr>
            <w:r>
              <w:rPr>
                <w:noProof/>
              </w:rPr>
              <w:t>1 650 000</w:t>
            </w:r>
          </w:p>
        </w:tc>
        <w:tc>
          <w:tcPr>
            <w:tcW w:w="1194" w:type="dxa"/>
            <w:shd w:val="clear" w:color="auto" w:fill="C6EFCE"/>
            <w:noWrap/>
            <w:vAlign w:val="center"/>
            <w:hideMark/>
          </w:tcPr>
          <w:p w14:paraId="482EE032" w14:textId="77777777" w:rsidR="004C6421" w:rsidRDefault="009D1962">
            <w:pPr>
              <w:pStyle w:val="P68B1DB1-Normal4"/>
              <w:spacing w:line="276" w:lineRule="auto"/>
              <w:jc w:val="center"/>
              <w:rPr>
                <w:noProof/>
              </w:rPr>
            </w:pPr>
            <w:r>
              <w:rPr>
                <w:noProof/>
              </w:rPr>
              <w:t>4 500 000</w:t>
            </w:r>
          </w:p>
        </w:tc>
        <w:tc>
          <w:tcPr>
            <w:tcW w:w="2037" w:type="dxa"/>
            <w:shd w:val="clear" w:color="auto" w:fill="C6EFCE"/>
            <w:noWrap/>
            <w:vAlign w:val="center"/>
            <w:hideMark/>
          </w:tcPr>
          <w:p w14:paraId="495BBFF2" w14:textId="7686FA51" w:rsidR="004C6421" w:rsidRDefault="00CC179E">
            <w:pPr>
              <w:pStyle w:val="P68B1DB1-Normal4"/>
              <w:spacing w:line="276" w:lineRule="auto"/>
              <w:jc w:val="center"/>
              <w:rPr>
                <w:noProof/>
              </w:rPr>
            </w:pPr>
            <w:r>
              <w:rPr>
                <w:noProof/>
              </w:rPr>
              <w:t>KW. 4</w:t>
            </w:r>
          </w:p>
        </w:tc>
        <w:tc>
          <w:tcPr>
            <w:tcW w:w="638" w:type="dxa"/>
            <w:shd w:val="clear" w:color="auto" w:fill="C6EFCE"/>
            <w:noWrap/>
            <w:vAlign w:val="center"/>
            <w:hideMark/>
          </w:tcPr>
          <w:p w14:paraId="5FDF8253" w14:textId="77777777" w:rsidR="004C6421" w:rsidRDefault="009D1962">
            <w:pPr>
              <w:pStyle w:val="P68B1DB1-Normal4"/>
              <w:spacing w:line="276" w:lineRule="auto"/>
              <w:jc w:val="center"/>
              <w:rPr>
                <w:noProof/>
              </w:rPr>
            </w:pPr>
            <w:r>
              <w:rPr>
                <w:noProof/>
              </w:rPr>
              <w:t>2024</w:t>
            </w:r>
          </w:p>
        </w:tc>
        <w:tc>
          <w:tcPr>
            <w:tcW w:w="4116" w:type="dxa"/>
            <w:shd w:val="clear" w:color="auto" w:fill="C6EFCE"/>
            <w:noWrap/>
            <w:vAlign w:val="center"/>
            <w:hideMark/>
          </w:tcPr>
          <w:p w14:paraId="1C979B12" w14:textId="77777777" w:rsidR="004C6421" w:rsidRDefault="009D1962">
            <w:pPr>
              <w:pStyle w:val="P68B1DB1-Normal4"/>
              <w:spacing w:line="276" w:lineRule="auto"/>
              <w:rPr>
                <w:noProof/>
              </w:rPr>
            </w:pPr>
            <w:r>
              <w:rPr>
                <w:noProof/>
              </w:rPr>
              <w:t>Sadzenie leśnego materiału rozmnożeniowego (nasion lub roślin) w odniesieniu do co najmniej 4500000 drzew i krzewów w celu ponownego zalesiania obszarów miejskich i podmiejskich zgodnie z art. 4 ustawy z dnia 12 grudnia 2019 r. 141 (tzw. prawo o klimacie).</w:t>
            </w:r>
          </w:p>
        </w:tc>
      </w:tr>
      <w:tr w:rsidR="004C6421" w14:paraId="06502D77" w14:textId="77777777">
        <w:trPr>
          <w:trHeight w:val="313"/>
          <w:jc w:val="center"/>
        </w:trPr>
        <w:tc>
          <w:tcPr>
            <w:tcW w:w="113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2771BA1" w14:textId="77777777" w:rsidR="004C6421" w:rsidRDefault="009D1962">
            <w:pPr>
              <w:pStyle w:val="P68B1DB1-Normal4"/>
              <w:spacing w:line="276" w:lineRule="auto"/>
              <w:jc w:val="center"/>
              <w:rPr>
                <w:noProof/>
              </w:rPr>
            </w:pPr>
            <w:r>
              <w:rPr>
                <w:noProof/>
              </w:rPr>
              <w:t>M2C4-20bis</w:t>
            </w:r>
          </w:p>
        </w:tc>
        <w:tc>
          <w:tcPr>
            <w:tcW w:w="156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6BBE16" w14:textId="77777777" w:rsidR="004C6421" w:rsidRDefault="009D1962">
            <w:pPr>
              <w:pStyle w:val="P68B1DB1-Normal4"/>
              <w:spacing w:line="276" w:lineRule="auto"/>
              <w:jc w:val="center"/>
              <w:rPr>
                <w:noProof/>
              </w:rPr>
            </w:pPr>
            <w:r>
              <w:rPr>
                <w:noProof/>
              </w:rPr>
              <w:t>Inwestycje. 3.1: Ochrona i poprawa stanu lasów miejskich i podmiejskich</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6684096" w14:textId="77777777" w:rsidR="004C6421" w:rsidRDefault="009D1962">
            <w:pPr>
              <w:pStyle w:val="P68B1DB1-Normal4"/>
              <w:spacing w:line="276" w:lineRule="auto"/>
              <w:jc w:val="center"/>
              <w:rPr>
                <w:noProof/>
              </w:rPr>
            </w:pPr>
            <w:r>
              <w:rPr>
                <w:noProof/>
              </w:rPr>
              <w:t>Cel</w:t>
            </w:r>
          </w:p>
        </w:tc>
        <w:tc>
          <w:tcPr>
            <w:tcW w:w="155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82983A" w14:textId="77777777" w:rsidR="004C6421" w:rsidRDefault="009D1962">
            <w:pPr>
              <w:pStyle w:val="P68B1DB1-Normal4"/>
              <w:spacing w:line="276" w:lineRule="auto"/>
              <w:jc w:val="center"/>
              <w:rPr>
                <w:noProof/>
              </w:rPr>
            </w:pPr>
            <w:r>
              <w:rPr>
                <w:noProof/>
              </w:rPr>
              <w:t>Drzewa roślinne w celu ochrony i waloryzacji zielonych obszarów miejskich i podmiejskich T3</w:t>
            </w:r>
          </w:p>
        </w:tc>
        <w:tc>
          <w:tcPr>
            <w:tcW w:w="138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16CBD4" w14:textId="77777777" w:rsidR="004C6421" w:rsidRDefault="009D1962">
            <w:pPr>
              <w:pStyle w:val="P68B1DB1-Normal4"/>
              <w:spacing w:line="276" w:lineRule="auto"/>
              <w:jc w:val="center"/>
              <w:rPr>
                <w:noProof/>
              </w:rPr>
            </w:pPr>
            <w:r>
              <w:rPr>
                <w:noProof/>
              </w:rPr>
              <w:t>NIE DOT.</w:t>
            </w:r>
          </w:p>
        </w:tc>
        <w:tc>
          <w:tcPr>
            <w:tcW w:w="109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9646EC" w14:textId="77777777" w:rsidR="004C6421" w:rsidRDefault="009D1962">
            <w:pPr>
              <w:pStyle w:val="P68B1DB1-Normal4"/>
              <w:spacing w:line="276" w:lineRule="auto"/>
              <w:jc w:val="center"/>
              <w:rPr>
                <w:noProof/>
              </w:rPr>
            </w:pPr>
            <w:r>
              <w:rPr>
                <w:noProof/>
              </w:rPr>
              <w:t>Numer</w:t>
            </w:r>
          </w:p>
        </w:tc>
        <w:tc>
          <w:tcPr>
            <w:tcW w:w="129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2BD3CD" w14:textId="77777777" w:rsidR="004C6421" w:rsidRDefault="009D1962">
            <w:pPr>
              <w:pStyle w:val="P68B1DB1-Normal4"/>
              <w:spacing w:line="276" w:lineRule="auto"/>
              <w:jc w:val="center"/>
              <w:rPr>
                <w:noProof/>
              </w:rPr>
            </w:pPr>
            <w:r>
              <w:rPr>
                <w:noProof/>
              </w:rPr>
              <w:t>0</w:t>
            </w:r>
          </w:p>
        </w:tc>
        <w:tc>
          <w:tcPr>
            <w:tcW w:w="119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2695A47" w14:textId="77777777" w:rsidR="004C6421" w:rsidRDefault="009D1962">
            <w:pPr>
              <w:pStyle w:val="P68B1DB1-Normal4"/>
              <w:spacing w:line="276" w:lineRule="auto"/>
              <w:jc w:val="center"/>
              <w:rPr>
                <w:noProof/>
              </w:rPr>
            </w:pPr>
            <w:r>
              <w:rPr>
                <w:noProof/>
              </w:rPr>
              <w:t>3 500 000</w:t>
            </w:r>
          </w:p>
        </w:tc>
        <w:tc>
          <w:tcPr>
            <w:tcW w:w="203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EB94AE8" w14:textId="77777777" w:rsidR="004C6421" w:rsidRDefault="009D1962">
            <w:pPr>
              <w:pStyle w:val="P68B1DB1-Normal4"/>
              <w:spacing w:line="276" w:lineRule="auto"/>
              <w:jc w:val="center"/>
              <w:rPr>
                <w:noProof/>
              </w:rPr>
            </w:pPr>
            <w:r>
              <w:rPr>
                <w:noProof/>
              </w:rPr>
              <w:t>II KW.</w:t>
            </w:r>
          </w:p>
        </w:tc>
        <w:tc>
          <w:tcPr>
            <w:tcW w:w="638" w:type="dxa"/>
            <w:tcBorders>
              <w:top w:val="single" w:sz="4" w:space="0" w:color="auto"/>
              <w:left w:val="single" w:sz="4" w:space="0" w:color="auto"/>
              <w:bottom w:val="single" w:sz="4" w:space="0" w:color="auto"/>
              <w:right w:val="single" w:sz="4" w:space="0" w:color="auto"/>
            </w:tcBorders>
            <w:shd w:val="clear" w:color="auto" w:fill="C6EFCE"/>
            <w:vAlign w:val="center"/>
          </w:tcPr>
          <w:p w14:paraId="357B7C86" w14:textId="77777777" w:rsidR="004C6421" w:rsidRDefault="009D1962">
            <w:pPr>
              <w:pStyle w:val="P68B1DB1-Normal4"/>
              <w:spacing w:line="276" w:lineRule="auto"/>
              <w:jc w:val="center"/>
              <w:rPr>
                <w:noProof/>
              </w:rPr>
            </w:pPr>
            <w:r>
              <w:rPr>
                <w:noProof/>
              </w:rPr>
              <w:t>2026</w:t>
            </w:r>
          </w:p>
        </w:tc>
        <w:tc>
          <w:tcPr>
            <w:tcW w:w="411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D64FD24" w14:textId="77777777" w:rsidR="004C6421" w:rsidRDefault="009D1962">
            <w:pPr>
              <w:pStyle w:val="P68B1DB1-Normal4"/>
              <w:spacing w:line="276" w:lineRule="auto"/>
              <w:rPr>
                <w:noProof/>
              </w:rPr>
            </w:pPr>
            <w:r>
              <w:rPr>
                <w:noProof/>
              </w:rPr>
              <w:t>Przesadzanie leśnego materiału rozmnożeniowego (nasion lub roślin) w odniesieniu do co najmniej 3500000 drzew i krzewów w celu ponownego zalesiania obszarów miejskich i podmiejskich zgodnie z art. 4 ustawy z dnia 12 grudnia 2019 r., 141 (tzw. prawo o klimacie).</w:t>
            </w:r>
          </w:p>
        </w:tc>
      </w:tr>
      <w:tr w:rsidR="004C6421" w14:paraId="299E68B6" w14:textId="77777777">
        <w:trPr>
          <w:trHeight w:val="313"/>
          <w:jc w:val="center"/>
        </w:trPr>
        <w:tc>
          <w:tcPr>
            <w:tcW w:w="1130" w:type="dxa"/>
            <w:shd w:val="clear" w:color="auto" w:fill="C6EFCE"/>
            <w:noWrap/>
            <w:vAlign w:val="center"/>
            <w:hideMark/>
          </w:tcPr>
          <w:p w14:paraId="4CECEA79" w14:textId="77777777" w:rsidR="004C6421" w:rsidRDefault="009D1962">
            <w:pPr>
              <w:pStyle w:val="P68B1DB1-Normal4"/>
              <w:spacing w:line="276" w:lineRule="auto"/>
              <w:jc w:val="center"/>
              <w:rPr>
                <w:noProof/>
              </w:rPr>
            </w:pPr>
            <w:r>
              <w:rPr>
                <w:noProof/>
              </w:rPr>
              <w:t>M2C4-21</w:t>
            </w:r>
          </w:p>
        </w:tc>
        <w:tc>
          <w:tcPr>
            <w:tcW w:w="1560" w:type="dxa"/>
            <w:shd w:val="clear" w:color="auto" w:fill="C6EFCE"/>
            <w:noWrap/>
            <w:vAlign w:val="center"/>
            <w:hideMark/>
          </w:tcPr>
          <w:p w14:paraId="37EBFF4C" w14:textId="77777777" w:rsidR="004C6421" w:rsidRDefault="009D1962">
            <w:pPr>
              <w:pStyle w:val="P68B1DB1-Normal4"/>
              <w:spacing w:line="276" w:lineRule="auto"/>
              <w:jc w:val="center"/>
              <w:rPr>
                <w:noProof/>
              </w:rPr>
            </w:pPr>
            <w:r>
              <w:rPr>
                <w:noProof/>
              </w:rPr>
              <w:t>Inwestycja 3.3 Renaturyzacja obszaru Po</w:t>
            </w:r>
          </w:p>
        </w:tc>
        <w:tc>
          <w:tcPr>
            <w:tcW w:w="1134" w:type="dxa"/>
            <w:shd w:val="clear" w:color="auto" w:fill="C6EFCE"/>
            <w:noWrap/>
            <w:vAlign w:val="center"/>
            <w:hideMark/>
          </w:tcPr>
          <w:p w14:paraId="73ADCA31" w14:textId="333DFE05" w:rsidR="004C6421" w:rsidRDefault="00CC179E">
            <w:pPr>
              <w:pStyle w:val="P68B1DB1-Normal4"/>
              <w:spacing w:line="276" w:lineRule="auto"/>
              <w:jc w:val="center"/>
              <w:rPr>
                <w:noProof/>
              </w:rPr>
            </w:pPr>
            <w:r>
              <w:rPr>
                <w:noProof/>
              </w:rPr>
              <w:t>Milowy</w:t>
            </w:r>
          </w:p>
        </w:tc>
        <w:tc>
          <w:tcPr>
            <w:tcW w:w="1559" w:type="dxa"/>
            <w:shd w:val="clear" w:color="auto" w:fill="C6EFCE"/>
            <w:noWrap/>
            <w:vAlign w:val="center"/>
            <w:hideMark/>
          </w:tcPr>
          <w:p w14:paraId="6D32B3DB" w14:textId="77777777" w:rsidR="004C6421" w:rsidRDefault="009D1962">
            <w:pPr>
              <w:pStyle w:val="P68B1DB1-Normal4"/>
              <w:spacing w:line="276" w:lineRule="auto"/>
              <w:jc w:val="center"/>
              <w:rPr>
                <w:noProof/>
              </w:rPr>
            </w:pPr>
            <w:r>
              <w:rPr>
                <w:noProof/>
              </w:rPr>
              <w:t>Przegląd ram prawnych interwencji na rzecz renaturyfikacji obszaru Po</w:t>
            </w:r>
          </w:p>
        </w:tc>
        <w:tc>
          <w:tcPr>
            <w:tcW w:w="1383" w:type="dxa"/>
            <w:shd w:val="clear" w:color="auto" w:fill="C6EFCE"/>
            <w:noWrap/>
            <w:vAlign w:val="center"/>
            <w:hideMark/>
          </w:tcPr>
          <w:p w14:paraId="4D2AD4B7" w14:textId="77777777" w:rsidR="004C6421" w:rsidRDefault="009D1962">
            <w:pPr>
              <w:pStyle w:val="P68B1DB1-Normal4"/>
              <w:spacing w:line="276" w:lineRule="auto"/>
              <w:jc w:val="center"/>
              <w:rPr>
                <w:noProof/>
              </w:rPr>
            </w:pPr>
            <w:r>
              <w:rPr>
                <w:noProof/>
              </w:rPr>
              <w:t>Przepis w odpowiednim akcie prawnym wskazujący na wejście w życie NIE DOT.</w:t>
            </w:r>
          </w:p>
        </w:tc>
        <w:tc>
          <w:tcPr>
            <w:tcW w:w="1094" w:type="dxa"/>
            <w:shd w:val="clear" w:color="auto" w:fill="C6EFCE"/>
            <w:noWrap/>
            <w:vAlign w:val="center"/>
            <w:hideMark/>
          </w:tcPr>
          <w:p w14:paraId="7F2F4991" w14:textId="77777777" w:rsidR="004C6421" w:rsidRDefault="009D1962">
            <w:pPr>
              <w:pStyle w:val="P68B1DB1-Normal4"/>
              <w:spacing w:line="276" w:lineRule="auto"/>
              <w:jc w:val="center"/>
              <w:rPr>
                <w:noProof/>
              </w:rPr>
            </w:pPr>
            <w:r>
              <w:rPr>
                <w:noProof/>
              </w:rPr>
              <w:t>NIE DOT.</w:t>
            </w:r>
          </w:p>
        </w:tc>
        <w:tc>
          <w:tcPr>
            <w:tcW w:w="1290" w:type="dxa"/>
            <w:shd w:val="clear" w:color="auto" w:fill="C6EFCE"/>
            <w:noWrap/>
            <w:vAlign w:val="center"/>
            <w:hideMark/>
          </w:tcPr>
          <w:p w14:paraId="54263EC1" w14:textId="77777777" w:rsidR="004C6421" w:rsidRDefault="009D1962">
            <w:pPr>
              <w:pStyle w:val="P68B1DB1-Normal4"/>
              <w:spacing w:line="276" w:lineRule="auto"/>
              <w:jc w:val="center"/>
              <w:rPr>
                <w:noProof/>
              </w:rPr>
            </w:pPr>
            <w:r>
              <w:rPr>
                <w:noProof/>
              </w:rPr>
              <w:t>NIE DOT.</w:t>
            </w:r>
          </w:p>
        </w:tc>
        <w:tc>
          <w:tcPr>
            <w:tcW w:w="1194" w:type="dxa"/>
            <w:shd w:val="clear" w:color="auto" w:fill="C6EFCE"/>
            <w:noWrap/>
            <w:vAlign w:val="center"/>
            <w:hideMark/>
          </w:tcPr>
          <w:p w14:paraId="5A424E59" w14:textId="77777777" w:rsidR="004C6421" w:rsidRDefault="009D1962">
            <w:pPr>
              <w:pStyle w:val="P68B1DB1-Normal4"/>
              <w:spacing w:line="276" w:lineRule="auto"/>
              <w:jc w:val="center"/>
              <w:rPr>
                <w:noProof/>
              </w:rPr>
            </w:pPr>
            <w:r>
              <w:rPr>
                <w:noProof/>
              </w:rPr>
              <w:t>NIE DOT.</w:t>
            </w:r>
          </w:p>
        </w:tc>
        <w:tc>
          <w:tcPr>
            <w:tcW w:w="2037" w:type="dxa"/>
            <w:shd w:val="clear" w:color="auto" w:fill="C6EFCE"/>
            <w:noWrap/>
            <w:vAlign w:val="center"/>
            <w:hideMark/>
          </w:tcPr>
          <w:p w14:paraId="3CC49D2D" w14:textId="77777777" w:rsidR="004C6421" w:rsidRDefault="009D1962">
            <w:pPr>
              <w:pStyle w:val="P68B1DB1-Normal4"/>
              <w:spacing w:line="276" w:lineRule="auto"/>
              <w:jc w:val="center"/>
              <w:rPr>
                <w:noProof/>
              </w:rPr>
            </w:pPr>
            <w:r>
              <w:rPr>
                <w:noProof/>
              </w:rPr>
              <w:t>II KW.</w:t>
            </w:r>
          </w:p>
        </w:tc>
        <w:tc>
          <w:tcPr>
            <w:tcW w:w="638" w:type="dxa"/>
            <w:shd w:val="clear" w:color="auto" w:fill="C6EFCE"/>
            <w:noWrap/>
            <w:vAlign w:val="center"/>
            <w:hideMark/>
          </w:tcPr>
          <w:p w14:paraId="5DCE8FF4" w14:textId="77777777" w:rsidR="004C6421" w:rsidRDefault="009D1962">
            <w:pPr>
              <w:pStyle w:val="P68B1DB1-Normal4"/>
              <w:spacing w:line="276" w:lineRule="auto"/>
              <w:jc w:val="center"/>
              <w:rPr>
                <w:noProof/>
              </w:rPr>
            </w:pPr>
            <w:r>
              <w:rPr>
                <w:noProof/>
              </w:rPr>
              <w:t>2023</w:t>
            </w:r>
          </w:p>
        </w:tc>
        <w:tc>
          <w:tcPr>
            <w:tcW w:w="4116" w:type="dxa"/>
            <w:shd w:val="clear" w:color="auto" w:fill="C6EFCE"/>
            <w:noWrap/>
            <w:vAlign w:val="center"/>
            <w:hideMark/>
          </w:tcPr>
          <w:p w14:paraId="58755DDA" w14:textId="77777777" w:rsidR="004C6421" w:rsidRDefault="009D1962">
            <w:pPr>
              <w:pStyle w:val="P68B1DB1-Normal4"/>
              <w:spacing w:line="276" w:lineRule="auto"/>
              <w:rPr>
                <w:noProof/>
              </w:rPr>
            </w:pPr>
            <w:r>
              <w:rPr>
                <w:noProof/>
              </w:rPr>
              <w:t>Wejście w życie odpowiednich przepisów mających na celu odbudowę korytarza ekologicznego reprezentowanego przez dno rzeki, w tym naturalne ponowne zalesianie i interwencje na rzecz odtworzenia i reaktywacji bocznych odgałęzień i tętnic.</w:t>
            </w:r>
          </w:p>
        </w:tc>
      </w:tr>
      <w:tr w:rsidR="004C6421" w14:paraId="3BD506E3" w14:textId="77777777">
        <w:trPr>
          <w:trHeight w:val="313"/>
          <w:jc w:val="center"/>
        </w:trPr>
        <w:tc>
          <w:tcPr>
            <w:tcW w:w="1130" w:type="dxa"/>
            <w:shd w:val="clear" w:color="auto" w:fill="C6EFCE"/>
            <w:noWrap/>
            <w:vAlign w:val="center"/>
            <w:hideMark/>
          </w:tcPr>
          <w:p w14:paraId="3D23D2E7" w14:textId="77777777" w:rsidR="004C6421" w:rsidRDefault="009D1962">
            <w:pPr>
              <w:pStyle w:val="P68B1DB1-Normal4"/>
              <w:spacing w:line="276" w:lineRule="auto"/>
              <w:jc w:val="center"/>
              <w:rPr>
                <w:noProof/>
              </w:rPr>
            </w:pPr>
            <w:r>
              <w:rPr>
                <w:noProof/>
              </w:rPr>
              <w:t>M2C4-22</w:t>
            </w:r>
          </w:p>
        </w:tc>
        <w:tc>
          <w:tcPr>
            <w:tcW w:w="1560" w:type="dxa"/>
            <w:shd w:val="clear" w:color="auto" w:fill="C6EFCE"/>
            <w:noWrap/>
            <w:vAlign w:val="center"/>
            <w:hideMark/>
          </w:tcPr>
          <w:p w14:paraId="225EB805" w14:textId="77777777" w:rsidR="004C6421" w:rsidRDefault="009D1962">
            <w:pPr>
              <w:pStyle w:val="P68B1DB1-Normal4"/>
              <w:spacing w:line="276" w:lineRule="auto"/>
              <w:jc w:val="center"/>
              <w:rPr>
                <w:noProof/>
              </w:rPr>
            </w:pPr>
            <w:r>
              <w:rPr>
                <w:noProof/>
              </w:rPr>
              <w:t>Inwestycja 3.3 Renaturyzacja obszaru Po</w:t>
            </w:r>
          </w:p>
        </w:tc>
        <w:tc>
          <w:tcPr>
            <w:tcW w:w="1134" w:type="dxa"/>
            <w:shd w:val="clear" w:color="auto" w:fill="C6EFCE"/>
            <w:noWrap/>
            <w:vAlign w:val="center"/>
            <w:hideMark/>
          </w:tcPr>
          <w:p w14:paraId="26C651F6" w14:textId="77777777" w:rsidR="004C6421" w:rsidRDefault="009D1962">
            <w:pPr>
              <w:pStyle w:val="P68B1DB1-Normal4"/>
              <w:spacing w:line="276" w:lineRule="auto"/>
              <w:jc w:val="center"/>
              <w:rPr>
                <w:noProof/>
              </w:rPr>
            </w:pPr>
            <w:r>
              <w:rPr>
                <w:noProof/>
              </w:rPr>
              <w:t>Cel</w:t>
            </w:r>
          </w:p>
        </w:tc>
        <w:tc>
          <w:tcPr>
            <w:tcW w:w="1559" w:type="dxa"/>
            <w:shd w:val="clear" w:color="auto" w:fill="C6EFCE"/>
            <w:noWrap/>
            <w:vAlign w:val="center"/>
            <w:hideMark/>
          </w:tcPr>
          <w:p w14:paraId="21432269" w14:textId="77777777" w:rsidR="004C6421" w:rsidRDefault="009D1962">
            <w:pPr>
              <w:pStyle w:val="P68B1DB1-Normal4"/>
              <w:spacing w:line="276" w:lineRule="auto"/>
              <w:jc w:val="center"/>
              <w:rPr>
                <w:noProof/>
              </w:rPr>
            </w:pPr>
            <w:r>
              <w:rPr>
                <w:noProof/>
              </w:rPr>
              <w:t>Ograniczenie sztucznej inteligencji koryta rzeki w celu renaturyfikacji obszaru Po T1</w:t>
            </w:r>
          </w:p>
        </w:tc>
        <w:tc>
          <w:tcPr>
            <w:tcW w:w="1383" w:type="dxa"/>
            <w:shd w:val="clear" w:color="auto" w:fill="C6EFCE"/>
            <w:noWrap/>
            <w:vAlign w:val="center"/>
            <w:hideMark/>
          </w:tcPr>
          <w:p w14:paraId="278BDA08" w14:textId="77777777" w:rsidR="004C6421" w:rsidRDefault="009D1962">
            <w:pPr>
              <w:pStyle w:val="P68B1DB1-Normal4"/>
              <w:spacing w:line="276" w:lineRule="auto"/>
              <w:jc w:val="center"/>
              <w:rPr>
                <w:noProof/>
              </w:rPr>
            </w:pPr>
            <w:r>
              <w:rPr>
                <w:noProof/>
              </w:rPr>
              <w:t>NIE DOT.</w:t>
            </w:r>
          </w:p>
        </w:tc>
        <w:tc>
          <w:tcPr>
            <w:tcW w:w="1094" w:type="dxa"/>
            <w:shd w:val="clear" w:color="auto" w:fill="C6EFCE"/>
            <w:noWrap/>
            <w:vAlign w:val="center"/>
            <w:hideMark/>
          </w:tcPr>
          <w:p w14:paraId="3B382E1D" w14:textId="77777777" w:rsidR="004C6421" w:rsidRDefault="009D1962">
            <w:pPr>
              <w:pStyle w:val="P68B1DB1-Normal4"/>
              <w:spacing w:line="276" w:lineRule="auto"/>
              <w:jc w:val="center"/>
              <w:rPr>
                <w:noProof/>
              </w:rPr>
            </w:pPr>
            <w:r>
              <w:rPr>
                <w:noProof/>
              </w:rPr>
              <w:t>Numer</w:t>
            </w:r>
          </w:p>
        </w:tc>
        <w:tc>
          <w:tcPr>
            <w:tcW w:w="1290" w:type="dxa"/>
            <w:shd w:val="clear" w:color="auto" w:fill="C6EFCE"/>
            <w:noWrap/>
            <w:vAlign w:val="center"/>
            <w:hideMark/>
          </w:tcPr>
          <w:p w14:paraId="754DD3C4" w14:textId="77777777" w:rsidR="004C6421" w:rsidRDefault="009D1962">
            <w:pPr>
              <w:pStyle w:val="P68B1DB1-Normal4"/>
              <w:spacing w:line="276" w:lineRule="auto"/>
              <w:jc w:val="center"/>
              <w:rPr>
                <w:noProof/>
              </w:rPr>
            </w:pPr>
            <w:r>
              <w:rPr>
                <w:noProof/>
              </w:rPr>
              <w:t>0</w:t>
            </w:r>
          </w:p>
        </w:tc>
        <w:tc>
          <w:tcPr>
            <w:tcW w:w="1194" w:type="dxa"/>
            <w:shd w:val="clear" w:color="auto" w:fill="C6EFCE"/>
            <w:noWrap/>
            <w:vAlign w:val="center"/>
            <w:hideMark/>
          </w:tcPr>
          <w:p w14:paraId="45C2001D" w14:textId="77777777" w:rsidR="004C6421" w:rsidRDefault="009D1962">
            <w:pPr>
              <w:pStyle w:val="P68B1DB1-Normal4"/>
              <w:spacing w:line="276" w:lineRule="auto"/>
              <w:jc w:val="center"/>
              <w:rPr>
                <w:noProof/>
              </w:rPr>
            </w:pPr>
            <w:r>
              <w:rPr>
                <w:noProof/>
              </w:rPr>
              <w:t>13</w:t>
            </w:r>
          </w:p>
        </w:tc>
        <w:tc>
          <w:tcPr>
            <w:tcW w:w="2037" w:type="dxa"/>
            <w:shd w:val="clear" w:color="auto" w:fill="C6EFCE"/>
            <w:noWrap/>
            <w:vAlign w:val="center"/>
            <w:hideMark/>
          </w:tcPr>
          <w:p w14:paraId="3E8B2064" w14:textId="6C46E4C0" w:rsidR="004C6421" w:rsidRDefault="00CC179E">
            <w:pPr>
              <w:pStyle w:val="P68B1DB1-Normal4"/>
              <w:spacing w:line="276" w:lineRule="auto"/>
              <w:jc w:val="center"/>
              <w:rPr>
                <w:noProof/>
              </w:rPr>
            </w:pPr>
            <w:r>
              <w:rPr>
                <w:noProof/>
              </w:rPr>
              <w:t>KW. 4</w:t>
            </w:r>
          </w:p>
        </w:tc>
        <w:tc>
          <w:tcPr>
            <w:tcW w:w="638" w:type="dxa"/>
            <w:shd w:val="clear" w:color="auto" w:fill="C6EFCE"/>
            <w:noWrap/>
            <w:vAlign w:val="center"/>
            <w:hideMark/>
          </w:tcPr>
          <w:p w14:paraId="7A667D95" w14:textId="77777777" w:rsidR="004C6421" w:rsidRDefault="009D1962">
            <w:pPr>
              <w:pStyle w:val="P68B1DB1-Normal4"/>
              <w:spacing w:line="276" w:lineRule="auto"/>
              <w:jc w:val="center"/>
              <w:rPr>
                <w:noProof/>
              </w:rPr>
            </w:pPr>
            <w:r>
              <w:rPr>
                <w:noProof/>
              </w:rPr>
              <w:t>2024</w:t>
            </w:r>
          </w:p>
        </w:tc>
        <w:tc>
          <w:tcPr>
            <w:tcW w:w="4116" w:type="dxa"/>
            <w:shd w:val="clear" w:color="auto" w:fill="C6EFCE"/>
            <w:noWrap/>
            <w:vAlign w:val="center"/>
            <w:hideMark/>
          </w:tcPr>
          <w:p w14:paraId="48ECB47D" w14:textId="77777777" w:rsidR="004C6421" w:rsidRDefault="009D1962">
            <w:pPr>
              <w:pStyle w:val="P68B1DB1-Normal4"/>
              <w:spacing w:line="276" w:lineRule="auto"/>
              <w:rPr>
                <w:noProof/>
              </w:rPr>
            </w:pPr>
            <w:r>
              <w:rPr>
                <w:noProof/>
              </w:rPr>
              <w:t>Zmniejszenie sztucznej inteligencji koryta rzeki o co najmniej 13 km, przywróconej do osi Po.</w:t>
            </w:r>
          </w:p>
        </w:tc>
      </w:tr>
      <w:tr w:rsidR="004C6421" w14:paraId="1E67791D" w14:textId="77777777">
        <w:trPr>
          <w:trHeight w:val="313"/>
          <w:jc w:val="center"/>
        </w:trPr>
        <w:tc>
          <w:tcPr>
            <w:tcW w:w="1130" w:type="dxa"/>
            <w:shd w:val="clear" w:color="auto" w:fill="C6EFCE"/>
            <w:noWrap/>
            <w:vAlign w:val="center"/>
            <w:hideMark/>
          </w:tcPr>
          <w:p w14:paraId="76760662" w14:textId="77777777" w:rsidR="004C6421" w:rsidRDefault="009D1962">
            <w:pPr>
              <w:pStyle w:val="P68B1DB1-Normal4"/>
              <w:spacing w:line="276" w:lineRule="auto"/>
              <w:jc w:val="center"/>
              <w:rPr>
                <w:noProof/>
              </w:rPr>
            </w:pPr>
            <w:r>
              <w:rPr>
                <w:noProof/>
              </w:rPr>
              <w:t>M2C4-23</w:t>
            </w:r>
          </w:p>
        </w:tc>
        <w:tc>
          <w:tcPr>
            <w:tcW w:w="1560" w:type="dxa"/>
            <w:shd w:val="clear" w:color="auto" w:fill="C6EFCE"/>
            <w:noWrap/>
            <w:vAlign w:val="center"/>
            <w:hideMark/>
          </w:tcPr>
          <w:p w14:paraId="28DFC83A" w14:textId="77777777" w:rsidR="004C6421" w:rsidRDefault="009D1962">
            <w:pPr>
              <w:pStyle w:val="P68B1DB1-Normal4"/>
              <w:spacing w:line="276" w:lineRule="auto"/>
              <w:jc w:val="center"/>
              <w:rPr>
                <w:noProof/>
              </w:rPr>
            </w:pPr>
            <w:r>
              <w:rPr>
                <w:noProof/>
              </w:rPr>
              <w:t>Inwestycja 3.3 Renaturyzacja obszaru Po</w:t>
            </w:r>
          </w:p>
        </w:tc>
        <w:tc>
          <w:tcPr>
            <w:tcW w:w="1134" w:type="dxa"/>
            <w:shd w:val="clear" w:color="auto" w:fill="C6EFCE"/>
            <w:noWrap/>
            <w:vAlign w:val="center"/>
            <w:hideMark/>
          </w:tcPr>
          <w:p w14:paraId="2C111ED5" w14:textId="77777777" w:rsidR="004C6421" w:rsidRDefault="009D1962">
            <w:pPr>
              <w:pStyle w:val="P68B1DB1-Normal4"/>
              <w:spacing w:line="276" w:lineRule="auto"/>
              <w:jc w:val="center"/>
              <w:rPr>
                <w:noProof/>
              </w:rPr>
            </w:pPr>
            <w:r>
              <w:rPr>
                <w:noProof/>
              </w:rPr>
              <w:t>Cel</w:t>
            </w:r>
          </w:p>
        </w:tc>
        <w:tc>
          <w:tcPr>
            <w:tcW w:w="1559" w:type="dxa"/>
            <w:shd w:val="clear" w:color="auto" w:fill="C6EFCE"/>
            <w:noWrap/>
            <w:vAlign w:val="center"/>
            <w:hideMark/>
          </w:tcPr>
          <w:p w14:paraId="27D888FA" w14:textId="77777777" w:rsidR="004C6421" w:rsidRDefault="009D1962">
            <w:pPr>
              <w:pStyle w:val="P68B1DB1-Normal4"/>
              <w:spacing w:line="276" w:lineRule="auto"/>
              <w:jc w:val="center"/>
              <w:rPr>
                <w:noProof/>
              </w:rPr>
            </w:pPr>
            <w:r>
              <w:rPr>
                <w:noProof/>
              </w:rPr>
              <w:t>Ograniczenie sztucznej inteligencji koryta rzeki w celu renaturyfikacji obszaru Po T2</w:t>
            </w:r>
          </w:p>
        </w:tc>
        <w:tc>
          <w:tcPr>
            <w:tcW w:w="1383" w:type="dxa"/>
            <w:shd w:val="clear" w:color="auto" w:fill="C6EFCE"/>
            <w:noWrap/>
            <w:vAlign w:val="center"/>
            <w:hideMark/>
          </w:tcPr>
          <w:p w14:paraId="390BB01E" w14:textId="77777777" w:rsidR="004C6421" w:rsidRDefault="009D1962">
            <w:pPr>
              <w:pStyle w:val="P68B1DB1-Normal4"/>
              <w:spacing w:line="276" w:lineRule="auto"/>
              <w:jc w:val="center"/>
              <w:rPr>
                <w:noProof/>
              </w:rPr>
            </w:pPr>
            <w:r>
              <w:rPr>
                <w:noProof/>
              </w:rPr>
              <w:t>NIE DOT.</w:t>
            </w:r>
          </w:p>
        </w:tc>
        <w:tc>
          <w:tcPr>
            <w:tcW w:w="1094" w:type="dxa"/>
            <w:shd w:val="clear" w:color="auto" w:fill="C6EFCE"/>
            <w:noWrap/>
            <w:vAlign w:val="center"/>
            <w:hideMark/>
          </w:tcPr>
          <w:p w14:paraId="10704BD0" w14:textId="77777777" w:rsidR="004C6421" w:rsidRDefault="009D1962">
            <w:pPr>
              <w:pStyle w:val="P68B1DB1-Normal4"/>
              <w:spacing w:line="276" w:lineRule="auto"/>
              <w:jc w:val="center"/>
              <w:rPr>
                <w:noProof/>
              </w:rPr>
            </w:pPr>
            <w:r>
              <w:rPr>
                <w:noProof/>
              </w:rPr>
              <w:t>Numer</w:t>
            </w:r>
          </w:p>
        </w:tc>
        <w:tc>
          <w:tcPr>
            <w:tcW w:w="1290" w:type="dxa"/>
            <w:shd w:val="clear" w:color="auto" w:fill="C6EFCE"/>
            <w:noWrap/>
            <w:vAlign w:val="center"/>
            <w:hideMark/>
          </w:tcPr>
          <w:p w14:paraId="3F192708" w14:textId="77777777" w:rsidR="004C6421" w:rsidRDefault="009D1962">
            <w:pPr>
              <w:pStyle w:val="P68B1DB1-Normal4"/>
              <w:spacing w:line="276" w:lineRule="auto"/>
              <w:jc w:val="center"/>
              <w:rPr>
                <w:noProof/>
              </w:rPr>
            </w:pPr>
            <w:r>
              <w:rPr>
                <w:noProof/>
              </w:rPr>
              <w:t>13</w:t>
            </w:r>
          </w:p>
        </w:tc>
        <w:tc>
          <w:tcPr>
            <w:tcW w:w="1194" w:type="dxa"/>
            <w:shd w:val="clear" w:color="auto" w:fill="C6EFCE"/>
            <w:noWrap/>
            <w:vAlign w:val="center"/>
            <w:hideMark/>
          </w:tcPr>
          <w:p w14:paraId="42FB27C9" w14:textId="77777777" w:rsidR="004C6421" w:rsidRDefault="009D1962">
            <w:pPr>
              <w:pStyle w:val="P68B1DB1-Normal4"/>
              <w:spacing w:line="276" w:lineRule="auto"/>
              <w:jc w:val="center"/>
              <w:rPr>
                <w:noProof/>
              </w:rPr>
            </w:pPr>
            <w:r>
              <w:rPr>
                <w:noProof/>
              </w:rPr>
              <w:t>37</w:t>
            </w:r>
          </w:p>
        </w:tc>
        <w:tc>
          <w:tcPr>
            <w:tcW w:w="2037" w:type="dxa"/>
            <w:shd w:val="clear" w:color="auto" w:fill="C6EFCE"/>
            <w:noWrap/>
            <w:vAlign w:val="center"/>
            <w:hideMark/>
          </w:tcPr>
          <w:p w14:paraId="3832279B" w14:textId="76C278E8" w:rsidR="004C6421" w:rsidRDefault="00CC179E">
            <w:pPr>
              <w:pStyle w:val="P68B1DB1-Normal4"/>
              <w:spacing w:line="276" w:lineRule="auto"/>
              <w:jc w:val="center"/>
              <w:rPr>
                <w:noProof/>
              </w:rPr>
            </w:pPr>
            <w:r>
              <w:rPr>
                <w:noProof/>
              </w:rPr>
              <w:t>KW. 1</w:t>
            </w:r>
          </w:p>
        </w:tc>
        <w:tc>
          <w:tcPr>
            <w:tcW w:w="638" w:type="dxa"/>
            <w:shd w:val="clear" w:color="auto" w:fill="C6EFCE"/>
            <w:noWrap/>
            <w:vAlign w:val="center"/>
            <w:hideMark/>
          </w:tcPr>
          <w:p w14:paraId="77263A20" w14:textId="77777777" w:rsidR="004C6421" w:rsidRDefault="009D1962">
            <w:pPr>
              <w:pStyle w:val="P68B1DB1-Normal4"/>
              <w:spacing w:line="276" w:lineRule="auto"/>
              <w:jc w:val="center"/>
              <w:rPr>
                <w:noProof/>
              </w:rPr>
            </w:pPr>
            <w:r>
              <w:rPr>
                <w:noProof/>
              </w:rPr>
              <w:t>2026</w:t>
            </w:r>
          </w:p>
        </w:tc>
        <w:tc>
          <w:tcPr>
            <w:tcW w:w="4116" w:type="dxa"/>
            <w:shd w:val="clear" w:color="auto" w:fill="C6EFCE"/>
            <w:noWrap/>
            <w:vAlign w:val="center"/>
            <w:hideMark/>
          </w:tcPr>
          <w:p w14:paraId="1090CF25" w14:textId="77777777" w:rsidR="004C6421" w:rsidRDefault="009D1962">
            <w:pPr>
              <w:pStyle w:val="P68B1DB1-Normal4"/>
              <w:spacing w:line="276" w:lineRule="auto"/>
              <w:rPr>
                <w:noProof/>
              </w:rPr>
            </w:pPr>
            <w:r>
              <w:rPr>
                <w:noProof/>
              </w:rPr>
              <w:t>Zmniejszenie sztucznej inteligencji koryta rzeki o co najmniej 37 km, przywróconej do osi Po.</w:t>
            </w:r>
          </w:p>
        </w:tc>
      </w:tr>
      <w:tr w:rsidR="004C6421" w14:paraId="0C7554E2" w14:textId="77777777">
        <w:trPr>
          <w:trHeight w:val="313"/>
          <w:jc w:val="center"/>
        </w:trPr>
        <w:tc>
          <w:tcPr>
            <w:tcW w:w="1130" w:type="dxa"/>
            <w:shd w:val="clear" w:color="auto" w:fill="C6EFCE"/>
            <w:noWrap/>
            <w:vAlign w:val="center"/>
            <w:hideMark/>
          </w:tcPr>
          <w:p w14:paraId="029E09A2" w14:textId="77777777" w:rsidR="004C6421" w:rsidRDefault="009D1962">
            <w:pPr>
              <w:pStyle w:val="P68B1DB1-Normal4"/>
              <w:spacing w:line="276" w:lineRule="auto"/>
              <w:jc w:val="center"/>
              <w:rPr>
                <w:noProof/>
              </w:rPr>
            </w:pPr>
            <w:r>
              <w:rPr>
                <w:noProof/>
              </w:rPr>
              <w:t>M2C4-24</w:t>
            </w:r>
          </w:p>
        </w:tc>
        <w:tc>
          <w:tcPr>
            <w:tcW w:w="1560" w:type="dxa"/>
            <w:shd w:val="clear" w:color="auto" w:fill="C6EFCE"/>
            <w:noWrap/>
            <w:vAlign w:val="center"/>
            <w:hideMark/>
          </w:tcPr>
          <w:p w14:paraId="03E432E5" w14:textId="77777777" w:rsidR="004C6421" w:rsidRDefault="009D1962">
            <w:pPr>
              <w:pStyle w:val="P68B1DB1-Normal4"/>
              <w:spacing w:line="276" w:lineRule="auto"/>
              <w:jc w:val="center"/>
              <w:rPr>
                <w:noProof/>
              </w:rPr>
            </w:pPr>
            <w:r>
              <w:rPr>
                <w:noProof/>
              </w:rPr>
              <w:t>Inwestycja 3.4. Rekultywacja „gruntów osieroconych”</w:t>
            </w:r>
          </w:p>
        </w:tc>
        <w:tc>
          <w:tcPr>
            <w:tcW w:w="1134" w:type="dxa"/>
            <w:shd w:val="clear" w:color="auto" w:fill="C6EFCE"/>
            <w:noWrap/>
            <w:vAlign w:val="center"/>
            <w:hideMark/>
          </w:tcPr>
          <w:p w14:paraId="648120A8" w14:textId="1DA5507F" w:rsidR="004C6421" w:rsidRDefault="00CC179E">
            <w:pPr>
              <w:pStyle w:val="P68B1DB1-Normal4"/>
              <w:spacing w:line="276" w:lineRule="auto"/>
              <w:jc w:val="center"/>
              <w:rPr>
                <w:noProof/>
              </w:rPr>
            </w:pPr>
            <w:r>
              <w:rPr>
                <w:noProof/>
              </w:rPr>
              <w:t>Milowy</w:t>
            </w:r>
          </w:p>
        </w:tc>
        <w:tc>
          <w:tcPr>
            <w:tcW w:w="1559" w:type="dxa"/>
            <w:shd w:val="clear" w:color="auto" w:fill="C6EFCE"/>
            <w:noWrap/>
            <w:vAlign w:val="center"/>
            <w:hideMark/>
          </w:tcPr>
          <w:p w14:paraId="48CEB6F8" w14:textId="77777777" w:rsidR="004C6421" w:rsidRDefault="009D1962">
            <w:pPr>
              <w:pStyle w:val="P68B1DB1-Normal4"/>
              <w:spacing w:line="276" w:lineRule="auto"/>
              <w:jc w:val="center"/>
              <w:rPr>
                <w:noProof/>
              </w:rPr>
            </w:pPr>
            <w:r>
              <w:rPr>
                <w:noProof/>
              </w:rPr>
              <w:t>Ramy prawne dotyczące rekultywacji terenów sierocych</w:t>
            </w:r>
          </w:p>
        </w:tc>
        <w:tc>
          <w:tcPr>
            <w:tcW w:w="1383" w:type="dxa"/>
            <w:shd w:val="clear" w:color="auto" w:fill="C6EFCE"/>
            <w:noWrap/>
            <w:vAlign w:val="center"/>
            <w:hideMark/>
          </w:tcPr>
          <w:p w14:paraId="3D4E32DE" w14:textId="77777777" w:rsidR="004C6421" w:rsidRDefault="009D1962">
            <w:pPr>
              <w:pStyle w:val="P68B1DB1-Normal4"/>
              <w:spacing w:line="276" w:lineRule="auto"/>
              <w:jc w:val="center"/>
              <w:rPr>
                <w:noProof/>
              </w:rPr>
            </w:pPr>
            <w:r>
              <w:rPr>
                <w:noProof/>
              </w:rPr>
              <w:t>Przepis w odpowiednim akcie prawnym wskazujący na przyjęcie planu działania NIE DOT.</w:t>
            </w:r>
          </w:p>
        </w:tc>
        <w:tc>
          <w:tcPr>
            <w:tcW w:w="1094" w:type="dxa"/>
            <w:shd w:val="clear" w:color="auto" w:fill="C6EFCE"/>
            <w:noWrap/>
            <w:vAlign w:val="center"/>
            <w:hideMark/>
          </w:tcPr>
          <w:p w14:paraId="7C024244" w14:textId="77777777" w:rsidR="004C6421" w:rsidRDefault="009D1962">
            <w:pPr>
              <w:pStyle w:val="P68B1DB1-Normal4"/>
              <w:spacing w:line="276" w:lineRule="auto"/>
              <w:jc w:val="center"/>
              <w:rPr>
                <w:noProof/>
              </w:rPr>
            </w:pPr>
            <w:r>
              <w:rPr>
                <w:noProof/>
              </w:rPr>
              <w:t>NIE DOT.</w:t>
            </w:r>
          </w:p>
        </w:tc>
        <w:tc>
          <w:tcPr>
            <w:tcW w:w="1290" w:type="dxa"/>
            <w:shd w:val="clear" w:color="auto" w:fill="C6EFCE"/>
            <w:noWrap/>
            <w:vAlign w:val="center"/>
            <w:hideMark/>
          </w:tcPr>
          <w:p w14:paraId="7DB51FD0" w14:textId="77777777" w:rsidR="004C6421" w:rsidRDefault="009D1962">
            <w:pPr>
              <w:pStyle w:val="P68B1DB1-Normal4"/>
              <w:spacing w:line="276" w:lineRule="auto"/>
              <w:jc w:val="center"/>
              <w:rPr>
                <w:noProof/>
              </w:rPr>
            </w:pPr>
            <w:r>
              <w:rPr>
                <w:noProof/>
              </w:rPr>
              <w:t>NIE DOT.</w:t>
            </w:r>
          </w:p>
        </w:tc>
        <w:tc>
          <w:tcPr>
            <w:tcW w:w="1194" w:type="dxa"/>
            <w:shd w:val="clear" w:color="auto" w:fill="C6EFCE"/>
            <w:noWrap/>
            <w:vAlign w:val="center"/>
            <w:hideMark/>
          </w:tcPr>
          <w:p w14:paraId="28926B2C" w14:textId="77777777" w:rsidR="004C6421" w:rsidRDefault="009D1962">
            <w:pPr>
              <w:pStyle w:val="P68B1DB1-Normal4"/>
              <w:spacing w:line="276" w:lineRule="auto"/>
              <w:jc w:val="center"/>
              <w:rPr>
                <w:noProof/>
              </w:rPr>
            </w:pPr>
            <w:r>
              <w:rPr>
                <w:noProof/>
              </w:rPr>
              <w:t>NIE DOT.</w:t>
            </w:r>
          </w:p>
        </w:tc>
        <w:tc>
          <w:tcPr>
            <w:tcW w:w="2037" w:type="dxa"/>
            <w:shd w:val="clear" w:color="auto" w:fill="C6EFCE"/>
            <w:noWrap/>
            <w:vAlign w:val="center"/>
            <w:hideMark/>
          </w:tcPr>
          <w:p w14:paraId="14262D29" w14:textId="6A0DE77C" w:rsidR="004C6421" w:rsidRDefault="00CC179E">
            <w:pPr>
              <w:pStyle w:val="P68B1DB1-Normal4"/>
              <w:spacing w:line="276" w:lineRule="auto"/>
              <w:jc w:val="center"/>
              <w:rPr>
                <w:noProof/>
              </w:rPr>
            </w:pPr>
            <w:r>
              <w:rPr>
                <w:noProof/>
              </w:rPr>
              <w:t>KW. 4</w:t>
            </w:r>
          </w:p>
        </w:tc>
        <w:tc>
          <w:tcPr>
            <w:tcW w:w="638" w:type="dxa"/>
            <w:shd w:val="clear" w:color="auto" w:fill="C6EFCE"/>
            <w:noWrap/>
            <w:vAlign w:val="center"/>
            <w:hideMark/>
          </w:tcPr>
          <w:p w14:paraId="179F3DE3" w14:textId="77777777" w:rsidR="004C6421" w:rsidRDefault="009D1962">
            <w:pPr>
              <w:pStyle w:val="P68B1DB1-Normal4"/>
              <w:spacing w:line="276" w:lineRule="auto"/>
              <w:jc w:val="center"/>
              <w:rPr>
                <w:noProof/>
              </w:rPr>
            </w:pPr>
            <w:r>
              <w:rPr>
                <w:noProof/>
              </w:rPr>
              <w:t>2022</w:t>
            </w:r>
          </w:p>
        </w:tc>
        <w:tc>
          <w:tcPr>
            <w:tcW w:w="4116" w:type="dxa"/>
            <w:shd w:val="clear" w:color="auto" w:fill="C6EFCE"/>
            <w:noWrap/>
            <w:vAlign w:val="center"/>
            <w:hideMark/>
          </w:tcPr>
          <w:p w14:paraId="5315E596" w14:textId="77777777" w:rsidR="004C6421" w:rsidRDefault="009D1962">
            <w:pPr>
              <w:pStyle w:val="P68B1DB1-Normal4"/>
              <w:spacing w:line="276" w:lineRule="auto"/>
              <w:rPr>
                <w:noProof/>
              </w:rPr>
            </w:pPr>
            <w:r>
              <w:rPr>
                <w:noProof/>
              </w:rPr>
              <w:t>Plan działania na rzecz rewitalizacji terenów sierocych ma na celu ograniczenie zajmowania gruntów i poprawę rewitalizacji obszarów miejskich. Obejmuje ona co najmniej:</w:t>
            </w:r>
          </w:p>
          <w:p w14:paraId="0A158735" w14:textId="77777777" w:rsidR="004C6421" w:rsidRDefault="009D1962">
            <w:pPr>
              <w:pStyle w:val="P68B1DB1-ListParagraph5"/>
              <w:numPr>
                <w:ilvl w:val="0"/>
                <w:numId w:val="74"/>
              </w:numPr>
              <w:spacing w:before="0" w:after="0" w:line="276" w:lineRule="auto"/>
              <w:ind w:left="305"/>
              <w:jc w:val="left"/>
              <w:rPr>
                <w:noProof/>
              </w:rPr>
            </w:pPr>
            <w:r>
              <w:rPr>
                <w:noProof/>
              </w:rPr>
              <w:t>Identyfikacja terenów osieroconych we wszystkich 21 regionach lub prowincjach autonomicznych</w:t>
            </w:r>
          </w:p>
          <w:p w14:paraId="76F0BC51" w14:textId="77777777" w:rsidR="004C6421" w:rsidRDefault="009D1962">
            <w:pPr>
              <w:pStyle w:val="P68B1DB1-ListParagraph5"/>
              <w:numPr>
                <w:ilvl w:val="0"/>
                <w:numId w:val="74"/>
              </w:numPr>
              <w:spacing w:before="0" w:after="0" w:line="276" w:lineRule="auto"/>
              <w:ind w:left="305"/>
              <w:jc w:val="left"/>
              <w:rPr>
                <w:noProof/>
              </w:rPr>
            </w:pPr>
            <w:r>
              <w:rPr>
                <w:noProof/>
              </w:rPr>
              <w:t>Konkretne interwencje, które należy podjąć na każdym obszarze osieroconym w celu ograniczenia przejmowania gruntów i poprawy rewitalizacji obszarów miejskich</w:t>
            </w:r>
          </w:p>
        </w:tc>
      </w:tr>
      <w:tr w:rsidR="004C6421" w14:paraId="0E5DC55E" w14:textId="77777777">
        <w:trPr>
          <w:trHeight w:val="313"/>
          <w:jc w:val="center"/>
        </w:trPr>
        <w:tc>
          <w:tcPr>
            <w:tcW w:w="1130" w:type="dxa"/>
            <w:shd w:val="clear" w:color="auto" w:fill="C6EFCE"/>
            <w:noWrap/>
            <w:vAlign w:val="center"/>
            <w:hideMark/>
          </w:tcPr>
          <w:p w14:paraId="0C46137C" w14:textId="77777777" w:rsidR="004C6421" w:rsidRDefault="009D1962">
            <w:pPr>
              <w:pStyle w:val="P68B1DB1-Normal4"/>
              <w:spacing w:line="276" w:lineRule="auto"/>
              <w:jc w:val="center"/>
              <w:rPr>
                <w:noProof/>
              </w:rPr>
            </w:pPr>
            <w:r>
              <w:rPr>
                <w:noProof/>
              </w:rPr>
              <w:t>M2C4-25</w:t>
            </w:r>
          </w:p>
        </w:tc>
        <w:tc>
          <w:tcPr>
            <w:tcW w:w="1560" w:type="dxa"/>
            <w:shd w:val="clear" w:color="auto" w:fill="C6EFCE"/>
            <w:noWrap/>
            <w:vAlign w:val="center"/>
            <w:hideMark/>
          </w:tcPr>
          <w:p w14:paraId="7766240E" w14:textId="77777777" w:rsidR="004C6421" w:rsidRDefault="009D1962">
            <w:pPr>
              <w:pStyle w:val="P68B1DB1-Normal4"/>
              <w:spacing w:line="276" w:lineRule="auto"/>
              <w:jc w:val="center"/>
              <w:rPr>
                <w:noProof/>
              </w:rPr>
            </w:pPr>
            <w:r>
              <w:rPr>
                <w:noProof/>
              </w:rPr>
              <w:t>Inwestycja 3.4. Rekultywacja „gruntów osieroconych”</w:t>
            </w:r>
          </w:p>
        </w:tc>
        <w:tc>
          <w:tcPr>
            <w:tcW w:w="1134" w:type="dxa"/>
            <w:shd w:val="clear" w:color="auto" w:fill="C6EFCE"/>
            <w:noWrap/>
            <w:vAlign w:val="center"/>
            <w:hideMark/>
          </w:tcPr>
          <w:p w14:paraId="24822D24" w14:textId="77777777" w:rsidR="004C6421" w:rsidRDefault="009D1962">
            <w:pPr>
              <w:pStyle w:val="P68B1DB1-Normal4"/>
              <w:spacing w:line="276" w:lineRule="auto"/>
              <w:jc w:val="center"/>
              <w:rPr>
                <w:noProof/>
              </w:rPr>
            </w:pPr>
            <w:r>
              <w:rPr>
                <w:noProof/>
              </w:rPr>
              <w:t>Cel</w:t>
            </w:r>
          </w:p>
        </w:tc>
        <w:tc>
          <w:tcPr>
            <w:tcW w:w="1559" w:type="dxa"/>
            <w:shd w:val="clear" w:color="auto" w:fill="C6EFCE"/>
            <w:noWrap/>
            <w:vAlign w:val="center"/>
            <w:hideMark/>
          </w:tcPr>
          <w:p w14:paraId="310A81E4" w14:textId="77777777" w:rsidR="004C6421" w:rsidRDefault="009D1962">
            <w:pPr>
              <w:pStyle w:val="P68B1DB1-Normal4"/>
              <w:spacing w:line="276" w:lineRule="auto"/>
              <w:jc w:val="center"/>
              <w:rPr>
                <w:noProof/>
              </w:rPr>
            </w:pPr>
            <w:r>
              <w:rPr>
                <w:noProof/>
              </w:rPr>
              <w:t>Rewitalizacja terenów sierocych</w:t>
            </w:r>
          </w:p>
        </w:tc>
        <w:tc>
          <w:tcPr>
            <w:tcW w:w="1383" w:type="dxa"/>
            <w:shd w:val="clear" w:color="auto" w:fill="C6EFCE"/>
            <w:noWrap/>
            <w:vAlign w:val="center"/>
            <w:hideMark/>
          </w:tcPr>
          <w:p w14:paraId="7B25CA10" w14:textId="77777777" w:rsidR="004C6421" w:rsidRDefault="009D1962">
            <w:pPr>
              <w:pStyle w:val="P68B1DB1-Normal4"/>
              <w:spacing w:line="276" w:lineRule="auto"/>
              <w:jc w:val="center"/>
              <w:rPr>
                <w:noProof/>
              </w:rPr>
            </w:pPr>
            <w:r>
              <w:rPr>
                <w:noProof/>
              </w:rPr>
              <w:t>NIE DOT.</w:t>
            </w:r>
          </w:p>
        </w:tc>
        <w:tc>
          <w:tcPr>
            <w:tcW w:w="1094" w:type="dxa"/>
            <w:shd w:val="clear" w:color="auto" w:fill="C6EFCE"/>
            <w:noWrap/>
            <w:vAlign w:val="center"/>
            <w:hideMark/>
          </w:tcPr>
          <w:p w14:paraId="73C5B787" w14:textId="77777777" w:rsidR="004C6421" w:rsidRDefault="009D1962">
            <w:pPr>
              <w:pStyle w:val="P68B1DB1-Normal4"/>
              <w:spacing w:line="276" w:lineRule="auto"/>
              <w:jc w:val="center"/>
              <w:rPr>
                <w:noProof/>
              </w:rPr>
            </w:pPr>
            <w:r>
              <w:rPr>
                <w:noProof/>
              </w:rPr>
              <w:t>Procent</w:t>
            </w:r>
          </w:p>
        </w:tc>
        <w:tc>
          <w:tcPr>
            <w:tcW w:w="1290" w:type="dxa"/>
            <w:shd w:val="clear" w:color="auto" w:fill="C6EFCE"/>
            <w:noWrap/>
            <w:vAlign w:val="center"/>
            <w:hideMark/>
          </w:tcPr>
          <w:p w14:paraId="031EAFA8" w14:textId="77777777" w:rsidR="004C6421" w:rsidRDefault="009D1962">
            <w:pPr>
              <w:pStyle w:val="P68B1DB1-Normal4"/>
              <w:spacing w:line="276" w:lineRule="auto"/>
              <w:jc w:val="center"/>
              <w:rPr>
                <w:noProof/>
              </w:rPr>
            </w:pPr>
            <w:r>
              <w:rPr>
                <w:noProof/>
              </w:rPr>
              <w:t>0</w:t>
            </w:r>
          </w:p>
        </w:tc>
        <w:tc>
          <w:tcPr>
            <w:tcW w:w="1194" w:type="dxa"/>
            <w:shd w:val="clear" w:color="auto" w:fill="C6EFCE"/>
            <w:noWrap/>
            <w:vAlign w:val="center"/>
            <w:hideMark/>
          </w:tcPr>
          <w:p w14:paraId="4B456C04" w14:textId="77777777" w:rsidR="004C6421" w:rsidRDefault="009D1962">
            <w:pPr>
              <w:pStyle w:val="P68B1DB1-Normal4"/>
              <w:spacing w:line="276" w:lineRule="auto"/>
              <w:jc w:val="center"/>
              <w:rPr>
                <w:noProof/>
              </w:rPr>
            </w:pPr>
            <w:r>
              <w:rPr>
                <w:noProof/>
              </w:rPr>
              <w:t>70</w:t>
            </w:r>
          </w:p>
        </w:tc>
        <w:tc>
          <w:tcPr>
            <w:tcW w:w="2037" w:type="dxa"/>
            <w:shd w:val="clear" w:color="auto" w:fill="C6EFCE"/>
            <w:noWrap/>
            <w:vAlign w:val="center"/>
            <w:hideMark/>
          </w:tcPr>
          <w:p w14:paraId="414DA0D5" w14:textId="32766799" w:rsidR="004C6421" w:rsidRDefault="00CC179E">
            <w:pPr>
              <w:pStyle w:val="P68B1DB1-Normal4"/>
              <w:spacing w:line="276" w:lineRule="auto"/>
              <w:jc w:val="center"/>
              <w:rPr>
                <w:noProof/>
              </w:rPr>
            </w:pPr>
            <w:r>
              <w:rPr>
                <w:noProof/>
              </w:rPr>
              <w:t>KW. 1</w:t>
            </w:r>
          </w:p>
        </w:tc>
        <w:tc>
          <w:tcPr>
            <w:tcW w:w="638" w:type="dxa"/>
            <w:shd w:val="clear" w:color="auto" w:fill="C6EFCE"/>
            <w:noWrap/>
            <w:vAlign w:val="center"/>
            <w:hideMark/>
          </w:tcPr>
          <w:p w14:paraId="5A1FF1E1" w14:textId="77777777" w:rsidR="004C6421" w:rsidRDefault="009D1962">
            <w:pPr>
              <w:pStyle w:val="P68B1DB1-Normal4"/>
              <w:spacing w:line="276" w:lineRule="auto"/>
              <w:jc w:val="center"/>
              <w:rPr>
                <w:noProof/>
              </w:rPr>
            </w:pPr>
            <w:r>
              <w:rPr>
                <w:noProof/>
              </w:rPr>
              <w:t>2026</w:t>
            </w:r>
          </w:p>
        </w:tc>
        <w:tc>
          <w:tcPr>
            <w:tcW w:w="4116" w:type="dxa"/>
            <w:shd w:val="clear" w:color="auto" w:fill="C6EFCE"/>
            <w:noWrap/>
            <w:vAlign w:val="center"/>
            <w:hideMark/>
          </w:tcPr>
          <w:p w14:paraId="168F312A" w14:textId="77777777" w:rsidR="004C6421" w:rsidRDefault="009D1962">
            <w:pPr>
              <w:pStyle w:val="P68B1DB1-Normal4"/>
              <w:spacing w:line="276" w:lineRule="auto"/>
              <w:rPr>
                <w:noProof/>
              </w:rPr>
            </w:pPr>
            <w:r>
              <w:rPr>
                <w:noProof/>
              </w:rPr>
              <w:t>Rewitalizacja co najmniej 70 % powierzchni „gruntów osieroconych” w celu ograniczenia zajmowania gruntów i zwiększenia rewitalizacji obszarów miejskich.</w:t>
            </w:r>
          </w:p>
        </w:tc>
      </w:tr>
      <w:tr w:rsidR="004C6421" w14:paraId="68B2D3DF" w14:textId="77777777">
        <w:trPr>
          <w:trHeight w:val="313"/>
          <w:jc w:val="center"/>
        </w:trPr>
        <w:tc>
          <w:tcPr>
            <w:tcW w:w="1130" w:type="dxa"/>
            <w:shd w:val="clear" w:color="auto" w:fill="C6EFCE"/>
            <w:noWrap/>
            <w:vAlign w:val="center"/>
            <w:hideMark/>
          </w:tcPr>
          <w:p w14:paraId="3E6967F6" w14:textId="77777777" w:rsidR="004C6421" w:rsidRDefault="009D1962">
            <w:pPr>
              <w:pStyle w:val="P68B1DB1-Normal4"/>
              <w:spacing w:line="276" w:lineRule="auto"/>
              <w:jc w:val="center"/>
              <w:rPr>
                <w:noProof/>
              </w:rPr>
            </w:pPr>
            <w:r>
              <w:rPr>
                <w:noProof/>
              </w:rPr>
              <w:t>M2C4-26</w:t>
            </w:r>
          </w:p>
        </w:tc>
        <w:tc>
          <w:tcPr>
            <w:tcW w:w="1560" w:type="dxa"/>
            <w:shd w:val="clear" w:color="auto" w:fill="C6EFCE"/>
            <w:noWrap/>
            <w:vAlign w:val="center"/>
            <w:hideMark/>
          </w:tcPr>
          <w:p w14:paraId="6CC626C6" w14:textId="77777777" w:rsidR="004C6421" w:rsidRDefault="009D1962">
            <w:pPr>
              <w:pStyle w:val="P68B1DB1-Normal4"/>
              <w:spacing w:line="276" w:lineRule="auto"/>
              <w:jc w:val="center"/>
              <w:rPr>
                <w:noProof/>
              </w:rPr>
            </w:pPr>
            <w:r>
              <w:rPr>
                <w:noProof/>
              </w:rPr>
              <w:t>Inwestycje 3.5. Odbudowa i ochrona dna morskiego i siedlisk morskich</w:t>
            </w:r>
          </w:p>
        </w:tc>
        <w:tc>
          <w:tcPr>
            <w:tcW w:w="1134" w:type="dxa"/>
            <w:shd w:val="clear" w:color="auto" w:fill="C6EFCE"/>
            <w:noWrap/>
            <w:vAlign w:val="center"/>
            <w:hideMark/>
          </w:tcPr>
          <w:p w14:paraId="08CA750A" w14:textId="77777777" w:rsidR="004C6421" w:rsidRDefault="009D1962">
            <w:pPr>
              <w:pStyle w:val="P68B1DB1-Normal4"/>
              <w:spacing w:line="276" w:lineRule="auto"/>
              <w:jc w:val="center"/>
              <w:rPr>
                <w:noProof/>
              </w:rPr>
            </w:pPr>
            <w:r>
              <w:rPr>
                <w:noProof/>
              </w:rPr>
              <w:t>Cel</w:t>
            </w:r>
          </w:p>
        </w:tc>
        <w:tc>
          <w:tcPr>
            <w:tcW w:w="1559" w:type="dxa"/>
            <w:shd w:val="clear" w:color="auto" w:fill="C6EFCE"/>
            <w:noWrap/>
            <w:vAlign w:val="center"/>
            <w:hideMark/>
          </w:tcPr>
          <w:p w14:paraId="59F8C4E4" w14:textId="77777777" w:rsidR="004C6421" w:rsidRDefault="009D1962">
            <w:pPr>
              <w:pStyle w:val="P68B1DB1-Normal4"/>
              <w:spacing w:line="276" w:lineRule="auto"/>
              <w:jc w:val="center"/>
              <w:rPr>
                <w:noProof/>
              </w:rPr>
            </w:pPr>
            <w:r>
              <w:rPr>
                <w:noProof/>
              </w:rPr>
              <w:t>Odbudowa i ochrona dna morskiego i siedlisk morskich</w:t>
            </w:r>
          </w:p>
        </w:tc>
        <w:tc>
          <w:tcPr>
            <w:tcW w:w="1383" w:type="dxa"/>
            <w:shd w:val="clear" w:color="auto" w:fill="C6EFCE"/>
            <w:noWrap/>
            <w:vAlign w:val="center"/>
            <w:hideMark/>
          </w:tcPr>
          <w:p w14:paraId="37A64AE0" w14:textId="77777777" w:rsidR="004C6421" w:rsidRDefault="009D1962">
            <w:pPr>
              <w:pStyle w:val="P68B1DB1-Normal4"/>
              <w:spacing w:line="276" w:lineRule="auto"/>
              <w:jc w:val="center"/>
              <w:rPr>
                <w:noProof/>
              </w:rPr>
            </w:pPr>
            <w:r>
              <w:rPr>
                <w:noProof/>
              </w:rPr>
              <w:t>NIE DOT.</w:t>
            </w:r>
          </w:p>
        </w:tc>
        <w:tc>
          <w:tcPr>
            <w:tcW w:w="1094" w:type="dxa"/>
            <w:shd w:val="clear" w:color="auto" w:fill="C6EFCE"/>
            <w:noWrap/>
            <w:vAlign w:val="center"/>
            <w:hideMark/>
          </w:tcPr>
          <w:p w14:paraId="01934A5F" w14:textId="77777777" w:rsidR="004C6421" w:rsidRDefault="009D1962">
            <w:pPr>
              <w:pStyle w:val="P68B1DB1-Normal4"/>
              <w:spacing w:line="276" w:lineRule="auto"/>
              <w:jc w:val="center"/>
              <w:rPr>
                <w:noProof/>
              </w:rPr>
            </w:pPr>
            <w:r>
              <w:rPr>
                <w:noProof/>
              </w:rPr>
              <w:t>Numer</w:t>
            </w:r>
          </w:p>
        </w:tc>
        <w:tc>
          <w:tcPr>
            <w:tcW w:w="1290" w:type="dxa"/>
            <w:shd w:val="clear" w:color="auto" w:fill="C6EFCE"/>
            <w:noWrap/>
            <w:vAlign w:val="center"/>
            <w:hideMark/>
          </w:tcPr>
          <w:p w14:paraId="0A98CD92" w14:textId="77777777" w:rsidR="004C6421" w:rsidRDefault="009D1962">
            <w:pPr>
              <w:pStyle w:val="P68B1DB1-Normal4"/>
              <w:spacing w:line="276" w:lineRule="auto"/>
              <w:jc w:val="center"/>
              <w:rPr>
                <w:noProof/>
              </w:rPr>
            </w:pPr>
            <w:r>
              <w:rPr>
                <w:noProof/>
              </w:rPr>
              <w:t>0</w:t>
            </w:r>
          </w:p>
        </w:tc>
        <w:tc>
          <w:tcPr>
            <w:tcW w:w="1194" w:type="dxa"/>
            <w:shd w:val="clear" w:color="auto" w:fill="C6EFCE"/>
            <w:noWrap/>
            <w:vAlign w:val="center"/>
            <w:hideMark/>
          </w:tcPr>
          <w:p w14:paraId="23131037" w14:textId="77777777" w:rsidR="004C6421" w:rsidRDefault="009D1962">
            <w:pPr>
              <w:pStyle w:val="P68B1DB1-Normal4"/>
              <w:spacing w:line="276" w:lineRule="auto"/>
              <w:jc w:val="center"/>
              <w:rPr>
                <w:noProof/>
              </w:rPr>
            </w:pPr>
            <w:r>
              <w:rPr>
                <w:noProof/>
              </w:rPr>
              <w:t>22</w:t>
            </w:r>
          </w:p>
        </w:tc>
        <w:tc>
          <w:tcPr>
            <w:tcW w:w="2037" w:type="dxa"/>
            <w:shd w:val="clear" w:color="auto" w:fill="C6EFCE"/>
            <w:noWrap/>
            <w:vAlign w:val="center"/>
            <w:hideMark/>
          </w:tcPr>
          <w:p w14:paraId="2D61D979" w14:textId="77777777" w:rsidR="004C6421" w:rsidRDefault="009D1962">
            <w:pPr>
              <w:pStyle w:val="P68B1DB1-Normal4"/>
              <w:spacing w:line="276" w:lineRule="auto"/>
              <w:jc w:val="center"/>
              <w:rPr>
                <w:noProof/>
              </w:rPr>
            </w:pPr>
            <w:r>
              <w:rPr>
                <w:noProof/>
              </w:rPr>
              <w:t>II KW.</w:t>
            </w:r>
          </w:p>
        </w:tc>
        <w:tc>
          <w:tcPr>
            <w:tcW w:w="638" w:type="dxa"/>
            <w:shd w:val="clear" w:color="auto" w:fill="C6EFCE"/>
            <w:noWrap/>
            <w:vAlign w:val="center"/>
            <w:hideMark/>
          </w:tcPr>
          <w:p w14:paraId="1DE0BDBB" w14:textId="77777777" w:rsidR="004C6421" w:rsidRDefault="009D1962">
            <w:pPr>
              <w:pStyle w:val="P68B1DB1-Normal4"/>
              <w:spacing w:line="276" w:lineRule="auto"/>
              <w:jc w:val="center"/>
              <w:rPr>
                <w:noProof/>
              </w:rPr>
            </w:pPr>
            <w:r>
              <w:rPr>
                <w:noProof/>
              </w:rPr>
              <w:t>2025</w:t>
            </w:r>
          </w:p>
        </w:tc>
        <w:tc>
          <w:tcPr>
            <w:tcW w:w="4116" w:type="dxa"/>
            <w:shd w:val="clear" w:color="auto" w:fill="C6EFCE"/>
            <w:noWrap/>
            <w:vAlign w:val="center"/>
            <w:hideMark/>
          </w:tcPr>
          <w:p w14:paraId="51DB64B2" w14:textId="77777777" w:rsidR="004C6421" w:rsidRDefault="009D1962">
            <w:pPr>
              <w:pStyle w:val="P68B1DB1-Normal4"/>
              <w:spacing w:line="276" w:lineRule="auto"/>
              <w:rPr>
                <w:noProof/>
              </w:rPr>
            </w:pPr>
            <w:r>
              <w:rPr>
                <w:noProof/>
              </w:rPr>
              <w:t>Zakończenie co najmniej 22 interwencji na dużą skalę na rzecz odbudowy i ochrony dna morskiego i siedlisk morskich oraz systemów obserwacji wybrzeża.</w:t>
            </w:r>
          </w:p>
        </w:tc>
      </w:tr>
      <w:tr w:rsidR="004C6421" w14:paraId="59F422AD" w14:textId="77777777">
        <w:trPr>
          <w:trHeight w:val="313"/>
          <w:jc w:val="center"/>
        </w:trPr>
        <w:tc>
          <w:tcPr>
            <w:tcW w:w="1130" w:type="dxa"/>
            <w:shd w:val="clear" w:color="auto" w:fill="C6EFCE"/>
            <w:noWrap/>
            <w:vAlign w:val="center"/>
            <w:hideMark/>
          </w:tcPr>
          <w:p w14:paraId="2F76F405" w14:textId="77777777" w:rsidR="004C6421" w:rsidRDefault="009D1962">
            <w:pPr>
              <w:pStyle w:val="P68B1DB1-Normal4"/>
              <w:spacing w:line="276" w:lineRule="auto"/>
              <w:jc w:val="center"/>
              <w:rPr>
                <w:noProof/>
              </w:rPr>
            </w:pPr>
            <w:r>
              <w:rPr>
                <w:noProof/>
              </w:rPr>
              <w:t>M2C4-27</w:t>
            </w:r>
          </w:p>
        </w:tc>
        <w:tc>
          <w:tcPr>
            <w:tcW w:w="1560" w:type="dxa"/>
            <w:shd w:val="clear" w:color="auto" w:fill="C6EFCE"/>
            <w:noWrap/>
            <w:vAlign w:val="center"/>
            <w:hideMark/>
          </w:tcPr>
          <w:p w14:paraId="017C2DC6" w14:textId="77777777" w:rsidR="004C6421" w:rsidRDefault="009D1962">
            <w:pPr>
              <w:pStyle w:val="P68B1DB1-Normal4"/>
              <w:spacing w:line="276" w:lineRule="auto"/>
              <w:jc w:val="center"/>
              <w:rPr>
                <w:noProof/>
              </w:rPr>
            </w:pPr>
            <w:r>
              <w:rPr>
                <w:noProof/>
              </w:rPr>
              <w:t>Reforma 4.1. Uproszczenie prawodawstwa i wzmocnienie zarządzania w celu realizacji inwestycji w infrastrukturę wodociągową</w:t>
            </w:r>
          </w:p>
        </w:tc>
        <w:tc>
          <w:tcPr>
            <w:tcW w:w="1134" w:type="dxa"/>
            <w:shd w:val="clear" w:color="auto" w:fill="C6EFCE"/>
            <w:noWrap/>
            <w:vAlign w:val="center"/>
            <w:hideMark/>
          </w:tcPr>
          <w:p w14:paraId="13F4C320" w14:textId="03713379" w:rsidR="004C6421" w:rsidRDefault="00CC179E">
            <w:pPr>
              <w:pStyle w:val="P68B1DB1-Normal4"/>
              <w:spacing w:line="276" w:lineRule="auto"/>
              <w:jc w:val="center"/>
              <w:rPr>
                <w:noProof/>
              </w:rPr>
            </w:pPr>
            <w:r>
              <w:rPr>
                <w:noProof/>
              </w:rPr>
              <w:t>Milowy</w:t>
            </w:r>
          </w:p>
        </w:tc>
        <w:tc>
          <w:tcPr>
            <w:tcW w:w="1559" w:type="dxa"/>
            <w:shd w:val="clear" w:color="auto" w:fill="C6EFCE"/>
            <w:noWrap/>
            <w:vAlign w:val="center"/>
            <w:hideMark/>
          </w:tcPr>
          <w:p w14:paraId="2FEE4CF6" w14:textId="77777777" w:rsidR="004C6421" w:rsidRDefault="009D1962">
            <w:pPr>
              <w:pStyle w:val="P68B1DB1-Normal4"/>
              <w:spacing w:line="276" w:lineRule="auto"/>
              <w:jc w:val="center"/>
              <w:rPr>
                <w:noProof/>
              </w:rPr>
            </w:pPr>
            <w:r>
              <w:rPr>
                <w:noProof/>
              </w:rPr>
              <w:t>Wejście w życie uproszczenia prawodawstwa dotyczącego interwencji w zakresie infrastruktury wody pierwotnej w celu zapewnienia bezpieczeństwa dostaw wody</w:t>
            </w:r>
          </w:p>
        </w:tc>
        <w:tc>
          <w:tcPr>
            <w:tcW w:w="1383" w:type="dxa"/>
            <w:shd w:val="clear" w:color="auto" w:fill="C6EFCE"/>
            <w:noWrap/>
            <w:vAlign w:val="center"/>
            <w:hideMark/>
          </w:tcPr>
          <w:p w14:paraId="640B5065" w14:textId="77777777" w:rsidR="004C6421" w:rsidRDefault="009D1962">
            <w:pPr>
              <w:pStyle w:val="P68B1DB1-Normal4"/>
              <w:spacing w:line="276" w:lineRule="auto"/>
              <w:jc w:val="center"/>
              <w:rPr>
                <w:noProof/>
              </w:rPr>
            </w:pPr>
            <w:r>
              <w:rPr>
                <w:noProof/>
              </w:rPr>
              <w:t>Przepisy w odpowiednich aktach prawnych wskazujące na wejście w życie NIE DOT.</w:t>
            </w:r>
          </w:p>
        </w:tc>
        <w:tc>
          <w:tcPr>
            <w:tcW w:w="1094" w:type="dxa"/>
            <w:shd w:val="clear" w:color="auto" w:fill="C6EFCE"/>
            <w:noWrap/>
            <w:vAlign w:val="center"/>
            <w:hideMark/>
          </w:tcPr>
          <w:p w14:paraId="21181EC7" w14:textId="77777777" w:rsidR="004C6421" w:rsidRDefault="009D1962">
            <w:pPr>
              <w:pStyle w:val="P68B1DB1-Normal4"/>
              <w:spacing w:line="276" w:lineRule="auto"/>
              <w:jc w:val="center"/>
              <w:rPr>
                <w:noProof/>
              </w:rPr>
            </w:pPr>
            <w:r>
              <w:rPr>
                <w:noProof/>
              </w:rPr>
              <w:t>NIE DOT.</w:t>
            </w:r>
          </w:p>
        </w:tc>
        <w:tc>
          <w:tcPr>
            <w:tcW w:w="1290" w:type="dxa"/>
            <w:shd w:val="clear" w:color="auto" w:fill="C6EFCE"/>
            <w:noWrap/>
            <w:vAlign w:val="center"/>
            <w:hideMark/>
          </w:tcPr>
          <w:p w14:paraId="35617FA0" w14:textId="77777777" w:rsidR="004C6421" w:rsidRDefault="009D1962">
            <w:pPr>
              <w:pStyle w:val="P68B1DB1-Normal4"/>
              <w:spacing w:line="276" w:lineRule="auto"/>
              <w:jc w:val="center"/>
              <w:rPr>
                <w:noProof/>
              </w:rPr>
            </w:pPr>
            <w:r>
              <w:rPr>
                <w:noProof/>
              </w:rPr>
              <w:t>NIE DOT.</w:t>
            </w:r>
          </w:p>
        </w:tc>
        <w:tc>
          <w:tcPr>
            <w:tcW w:w="1194" w:type="dxa"/>
            <w:shd w:val="clear" w:color="auto" w:fill="C6EFCE"/>
            <w:noWrap/>
            <w:vAlign w:val="center"/>
            <w:hideMark/>
          </w:tcPr>
          <w:p w14:paraId="7869F3F7" w14:textId="77777777" w:rsidR="004C6421" w:rsidRDefault="009D1962">
            <w:pPr>
              <w:pStyle w:val="P68B1DB1-Normal4"/>
              <w:spacing w:line="276" w:lineRule="auto"/>
              <w:jc w:val="center"/>
              <w:rPr>
                <w:noProof/>
              </w:rPr>
            </w:pPr>
            <w:r>
              <w:rPr>
                <w:noProof/>
              </w:rPr>
              <w:t>NIE DOT.</w:t>
            </w:r>
          </w:p>
        </w:tc>
        <w:tc>
          <w:tcPr>
            <w:tcW w:w="2037" w:type="dxa"/>
            <w:shd w:val="clear" w:color="auto" w:fill="C6EFCE"/>
            <w:noWrap/>
            <w:vAlign w:val="center"/>
            <w:hideMark/>
          </w:tcPr>
          <w:p w14:paraId="13C13894" w14:textId="28D06919" w:rsidR="004C6421" w:rsidRDefault="00CC179E">
            <w:pPr>
              <w:pStyle w:val="P68B1DB1-Normal4"/>
              <w:spacing w:line="276" w:lineRule="auto"/>
              <w:jc w:val="center"/>
              <w:rPr>
                <w:noProof/>
              </w:rPr>
            </w:pPr>
            <w:r>
              <w:rPr>
                <w:noProof/>
              </w:rPr>
              <w:t>KW. 1</w:t>
            </w:r>
          </w:p>
        </w:tc>
        <w:tc>
          <w:tcPr>
            <w:tcW w:w="638" w:type="dxa"/>
            <w:shd w:val="clear" w:color="auto" w:fill="C6EFCE"/>
            <w:noWrap/>
            <w:vAlign w:val="center"/>
            <w:hideMark/>
          </w:tcPr>
          <w:p w14:paraId="76A44454" w14:textId="77777777" w:rsidR="004C6421" w:rsidRDefault="009D1962">
            <w:pPr>
              <w:pStyle w:val="P68B1DB1-Normal4"/>
              <w:spacing w:line="276" w:lineRule="auto"/>
              <w:jc w:val="center"/>
              <w:rPr>
                <w:noProof/>
              </w:rPr>
            </w:pPr>
            <w:r>
              <w:rPr>
                <w:noProof/>
              </w:rPr>
              <w:t>2022</w:t>
            </w:r>
          </w:p>
        </w:tc>
        <w:tc>
          <w:tcPr>
            <w:tcW w:w="4116" w:type="dxa"/>
            <w:shd w:val="clear" w:color="auto" w:fill="C6EFCE"/>
            <w:noWrap/>
            <w:vAlign w:val="center"/>
            <w:hideMark/>
          </w:tcPr>
          <w:p w14:paraId="16DE3E0F" w14:textId="77777777" w:rsidR="004C6421" w:rsidRDefault="009D1962">
            <w:pPr>
              <w:pStyle w:val="P68B1DB1-Normal4"/>
              <w:spacing w:line="276" w:lineRule="auto"/>
              <w:rPr>
                <w:noProof/>
              </w:rPr>
            </w:pPr>
            <w:r>
              <w:rPr>
                <w:noProof/>
              </w:rPr>
              <w:t>Zmienione prawodawstwo wzmocni zarządzanie i uprości realizację inwestycji w infrastrukturę wodociągową. Nowe ramy prawne powinny stanowić minimum,</w:t>
            </w:r>
          </w:p>
          <w:p w14:paraId="66FF7C85" w14:textId="77777777" w:rsidR="004C6421" w:rsidRDefault="004C6421">
            <w:pPr>
              <w:spacing w:line="276" w:lineRule="auto"/>
              <w:rPr>
                <w:rFonts w:ascii="Arial Narrow" w:hAnsi="Arial Narrow"/>
                <w:noProof/>
                <w:color w:val="006100"/>
                <w:sz w:val="20"/>
              </w:rPr>
            </w:pPr>
          </w:p>
          <w:p w14:paraId="7258E78F" w14:textId="77777777" w:rsidR="004C6421" w:rsidRDefault="009D1962">
            <w:pPr>
              <w:pStyle w:val="P68B1DB1-ListParagraph5"/>
              <w:spacing w:before="0" w:after="0" w:line="276" w:lineRule="auto"/>
              <w:ind w:left="0"/>
              <w:jc w:val="left"/>
              <w:rPr>
                <w:noProof/>
              </w:rPr>
            </w:pPr>
            <w:r>
              <w:rPr>
                <w:noProof/>
              </w:rPr>
              <w:t>— Uczynienie krajowego planu interwencji w sektorze wodnym głównym instrumentem finansowania inwestycji w sektorze wodnym.</w:t>
            </w:r>
          </w:p>
          <w:p w14:paraId="57B852B5" w14:textId="77777777" w:rsidR="004C6421" w:rsidRDefault="009D1962">
            <w:pPr>
              <w:pStyle w:val="P68B1DB1-ListParagraph5"/>
              <w:spacing w:before="0" w:after="0" w:line="276" w:lineRule="auto"/>
              <w:ind w:left="0"/>
              <w:jc w:val="left"/>
              <w:rPr>
                <w:noProof/>
              </w:rPr>
            </w:pPr>
            <w:r>
              <w:rPr>
                <w:noProof/>
              </w:rPr>
              <w:t>— Zasięgać opinii i aktywnie angażować organ regulacyjny („Autorità di Regolazione per Energia Reti e Ambiente”) we wszelkie zmiany lub aktualizacje planu.</w:t>
            </w:r>
          </w:p>
          <w:p w14:paraId="5549CA09" w14:textId="77777777" w:rsidR="004C6421" w:rsidRDefault="004C6421">
            <w:pPr>
              <w:spacing w:line="276" w:lineRule="auto"/>
              <w:ind w:left="-29" w:firstLine="29"/>
              <w:rPr>
                <w:rFonts w:ascii="Arial Narrow" w:hAnsi="Arial Narrow"/>
                <w:noProof/>
                <w:color w:val="006100"/>
                <w:sz w:val="20"/>
              </w:rPr>
            </w:pPr>
          </w:p>
          <w:p w14:paraId="0AD8A4C6" w14:textId="77777777" w:rsidR="004C6421" w:rsidRDefault="009D1962">
            <w:pPr>
              <w:pStyle w:val="P68B1DB1-ListParagraph5"/>
              <w:spacing w:before="0" w:after="0" w:line="276" w:lineRule="auto"/>
              <w:ind w:left="0"/>
              <w:jc w:val="left"/>
              <w:rPr>
                <w:noProof/>
              </w:rPr>
            </w:pPr>
            <w:r>
              <w:rPr>
                <w:noProof/>
              </w:rPr>
              <w:t>— Zapewnienie wsparcia i środków towarzyszących organom wykonawczym, które nie są w stanie przeprowadzić inwestycji związanych z zamówieniami pierwotnymi w przewidzianych ramach czasowych.</w:t>
            </w:r>
          </w:p>
          <w:p w14:paraId="3435E9D1" w14:textId="77777777" w:rsidR="004C6421" w:rsidRDefault="004C6421">
            <w:pPr>
              <w:pStyle w:val="ListParagraph"/>
              <w:spacing w:before="0" w:after="0" w:line="276" w:lineRule="auto"/>
              <w:ind w:left="-29" w:firstLine="29"/>
              <w:jc w:val="left"/>
              <w:rPr>
                <w:rFonts w:ascii="Arial Narrow" w:hAnsi="Arial Narrow"/>
                <w:noProof/>
                <w:color w:val="006100"/>
                <w:sz w:val="20"/>
              </w:rPr>
            </w:pPr>
          </w:p>
          <w:p w14:paraId="1357BF03" w14:textId="77777777" w:rsidR="004C6421" w:rsidRDefault="009D1962">
            <w:pPr>
              <w:pStyle w:val="P68B1DB1-ListParagraph5"/>
              <w:spacing w:before="0" w:after="0" w:line="276" w:lineRule="auto"/>
              <w:ind w:left="0"/>
              <w:jc w:val="left"/>
              <w:rPr>
                <w:noProof/>
              </w:rPr>
            </w:pPr>
            <w:r>
              <w:rPr>
                <w:noProof/>
              </w:rPr>
              <w:t>Uproszczenie procedur sprawozdawczości i monitorowania inwestycji finansowanych w sektorze wodnym.</w:t>
            </w:r>
          </w:p>
          <w:p w14:paraId="28477F87" w14:textId="77777777" w:rsidR="004C6421" w:rsidRDefault="004C6421">
            <w:pPr>
              <w:spacing w:line="276" w:lineRule="auto"/>
              <w:rPr>
                <w:rFonts w:ascii="Arial Narrow" w:hAnsi="Arial Narrow"/>
                <w:noProof/>
                <w:color w:val="006100"/>
                <w:sz w:val="20"/>
              </w:rPr>
            </w:pPr>
          </w:p>
        </w:tc>
      </w:tr>
      <w:tr w:rsidR="004C6421" w14:paraId="24B62668" w14:textId="77777777">
        <w:trPr>
          <w:trHeight w:val="313"/>
          <w:jc w:val="center"/>
        </w:trPr>
        <w:tc>
          <w:tcPr>
            <w:tcW w:w="1130" w:type="dxa"/>
            <w:shd w:val="clear" w:color="auto" w:fill="C6EFCE"/>
            <w:noWrap/>
            <w:vAlign w:val="center"/>
            <w:hideMark/>
          </w:tcPr>
          <w:p w14:paraId="05E32F60" w14:textId="77777777" w:rsidR="004C6421" w:rsidRDefault="009D1962">
            <w:pPr>
              <w:pStyle w:val="P68B1DB1-Normal4"/>
              <w:spacing w:line="276" w:lineRule="auto"/>
              <w:jc w:val="center"/>
              <w:rPr>
                <w:noProof/>
              </w:rPr>
            </w:pPr>
            <w:r>
              <w:rPr>
                <w:noProof/>
              </w:rPr>
              <w:t>M2C4-28</w:t>
            </w:r>
          </w:p>
        </w:tc>
        <w:tc>
          <w:tcPr>
            <w:tcW w:w="1560" w:type="dxa"/>
            <w:shd w:val="clear" w:color="auto" w:fill="C6EFCE"/>
            <w:noWrap/>
            <w:vAlign w:val="center"/>
            <w:hideMark/>
          </w:tcPr>
          <w:p w14:paraId="779D3842" w14:textId="77777777" w:rsidR="004C6421" w:rsidRDefault="009D1962">
            <w:pPr>
              <w:pStyle w:val="P68B1DB1-Normal4"/>
              <w:spacing w:line="276" w:lineRule="auto"/>
              <w:jc w:val="center"/>
              <w:rPr>
                <w:noProof/>
              </w:rPr>
            </w:pPr>
            <w:r>
              <w:rPr>
                <w:noProof/>
              </w:rPr>
              <w:t>Inwestycja 4.1. Inwestycje w infrastrukturę wodociągową podstawową w celu zapewnienia bezpieczeństwa dostaw wody</w:t>
            </w:r>
          </w:p>
        </w:tc>
        <w:tc>
          <w:tcPr>
            <w:tcW w:w="1134" w:type="dxa"/>
            <w:shd w:val="clear" w:color="auto" w:fill="C6EFCE"/>
            <w:noWrap/>
            <w:vAlign w:val="center"/>
            <w:hideMark/>
          </w:tcPr>
          <w:p w14:paraId="658439A1" w14:textId="5E5CAA23" w:rsidR="004C6421" w:rsidRDefault="00CC179E">
            <w:pPr>
              <w:pStyle w:val="P68B1DB1-Normal4"/>
              <w:spacing w:line="276" w:lineRule="auto"/>
              <w:jc w:val="center"/>
              <w:rPr>
                <w:noProof/>
              </w:rPr>
            </w:pPr>
            <w:r>
              <w:rPr>
                <w:noProof/>
              </w:rPr>
              <w:t>Milowy</w:t>
            </w:r>
          </w:p>
        </w:tc>
        <w:tc>
          <w:tcPr>
            <w:tcW w:w="1559" w:type="dxa"/>
            <w:shd w:val="clear" w:color="auto" w:fill="C6EFCE"/>
            <w:noWrap/>
            <w:vAlign w:val="center"/>
            <w:hideMark/>
          </w:tcPr>
          <w:p w14:paraId="1CA3C6DB" w14:textId="77777777" w:rsidR="004C6421" w:rsidRDefault="009D1962">
            <w:pPr>
              <w:pStyle w:val="P68B1DB1-Normal4"/>
              <w:spacing w:line="276" w:lineRule="auto"/>
              <w:jc w:val="center"/>
              <w:rPr>
                <w:noProof/>
              </w:rPr>
            </w:pPr>
            <w:r>
              <w:rPr>
                <w:noProof/>
              </w:rPr>
              <w:t>Przyznanie środków finansowych na wszystkie projekty dotyczące inwestycji w infrastrukturę wodociągową i bezpieczeństwa zaopatrzenia w wodę</w:t>
            </w:r>
          </w:p>
        </w:tc>
        <w:tc>
          <w:tcPr>
            <w:tcW w:w="1383" w:type="dxa"/>
            <w:shd w:val="clear" w:color="auto" w:fill="C6EFCE"/>
            <w:noWrap/>
            <w:vAlign w:val="center"/>
            <w:hideMark/>
          </w:tcPr>
          <w:p w14:paraId="52109294" w14:textId="77777777" w:rsidR="004C6421" w:rsidRDefault="009D1962">
            <w:pPr>
              <w:pStyle w:val="P68B1DB1-Normal4"/>
              <w:spacing w:line="276" w:lineRule="auto"/>
              <w:jc w:val="center"/>
              <w:rPr>
                <w:noProof/>
              </w:rPr>
            </w:pPr>
            <w:r>
              <w:rPr>
                <w:noProof/>
              </w:rPr>
              <w:t>Publikacja dekretu(-ów)</w:t>
            </w:r>
          </w:p>
        </w:tc>
        <w:tc>
          <w:tcPr>
            <w:tcW w:w="1094" w:type="dxa"/>
            <w:shd w:val="clear" w:color="auto" w:fill="C6EFCE"/>
            <w:noWrap/>
            <w:vAlign w:val="center"/>
            <w:hideMark/>
          </w:tcPr>
          <w:p w14:paraId="60D41B7E" w14:textId="77777777" w:rsidR="004C6421" w:rsidRDefault="009D1962">
            <w:pPr>
              <w:pStyle w:val="P68B1DB1-Normal4"/>
              <w:spacing w:line="276" w:lineRule="auto"/>
              <w:jc w:val="center"/>
              <w:rPr>
                <w:noProof/>
              </w:rPr>
            </w:pPr>
            <w:r>
              <w:rPr>
                <w:noProof/>
              </w:rPr>
              <w:t>NIE DOT.</w:t>
            </w:r>
          </w:p>
        </w:tc>
        <w:tc>
          <w:tcPr>
            <w:tcW w:w="1290" w:type="dxa"/>
            <w:shd w:val="clear" w:color="auto" w:fill="C6EFCE"/>
            <w:noWrap/>
            <w:vAlign w:val="center"/>
            <w:hideMark/>
          </w:tcPr>
          <w:p w14:paraId="442FA7E9" w14:textId="77777777" w:rsidR="004C6421" w:rsidRDefault="009D1962">
            <w:pPr>
              <w:pStyle w:val="P68B1DB1-Normal4"/>
              <w:spacing w:line="276" w:lineRule="auto"/>
              <w:jc w:val="center"/>
              <w:rPr>
                <w:noProof/>
              </w:rPr>
            </w:pPr>
            <w:r>
              <w:rPr>
                <w:noProof/>
              </w:rPr>
              <w:t>NIE DOT.</w:t>
            </w:r>
          </w:p>
        </w:tc>
        <w:tc>
          <w:tcPr>
            <w:tcW w:w="1194" w:type="dxa"/>
            <w:shd w:val="clear" w:color="auto" w:fill="C6EFCE"/>
            <w:noWrap/>
            <w:vAlign w:val="center"/>
            <w:hideMark/>
          </w:tcPr>
          <w:p w14:paraId="73496823" w14:textId="77777777" w:rsidR="004C6421" w:rsidRDefault="009D1962">
            <w:pPr>
              <w:pStyle w:val="P68B1DB1-Normal4"/>
              <w:spacing w:line="276" w:lineRule="auto"/>
              <w:jc w:val="center"/>
              <w:rPr>
                <w:rFonts w:eastAsia="Arial Narrow" w:cs="Arial Narrow"/>
                <w:noProof/>
              </w:rPr>
            </w:pPr>
            <w:r>
              <w:rPr>
                <w:noProof/>
              </w:rPr>
              <w:t>NIE DOT.</w:t>
            </w:r>
          </w:p>
        </w:tc>
        <w:tc>
          <w:tcPr>
            <w:tcW w:w="2037" w:type="dxa"/>
            <w:shd w:val="clear" w:color="auto" w:fill="C6EFCE"/>
            <w:noWrap/>
            <w:vAlign w:val="center"/>
            <w:hideMark/>
          </w:tcPr>
          <w:p w14:paraId="622D0664" w14:textId="77777777" w:rsidR="004C6421" w:rsidRDefault="009D1962">
            <w:pPr>
              <w:pStyle w:val="P68B1DB1-Normal4"/>
              <w:spacing w:line="276" w:lineRule="auto"/>
              <w:jc w:val="center"/>
              <w:rPr>
                <w:noProof/>
              </w:rPr>
            </w:pPr>
            <w:r>
              <w:rPr>
                <w:noProof/>
              </w:rPr>
              <w:t>III KW.</w:t>
            </w:r>
          </w:p>
        </w:tc>
        <w:tc>
          <w:tcPr>
            <w:tcW w:w="638" w:type="dxa"/>
            <w:shd w:val="clear" w:color="auto" w:fill="C6EFCE"/>
            <w:noWrap/>
            <w:vAlign w:val="center"/>
            <w:hideMark/>
          </w:tcPr>
          <w:p w14:paraId="745B17F2" w14:textId="77777777" w:rsidR="004C6421" w:rsidRDefault="009D1962">
            <w:pPr>
              <w:pStyle w:val="P68B1DB1-Normal4"/>
              <w:spacing w:line="276" w:lineRule="auto"/>
              <w:jc w:val="center"/>
              <w:rPr>
                <w:noProof/>
              </w:rPr>
            </w:pPr>
            <w:r>
              <w:rPr>
                <w:noProof/>
              </w:rPr>
              <w:t>2023</w:t>
            </w:r>
          </w:p>
        </w:tc>
        <w:tc>
          <w:tcPr>
            <w:tcW w:w="4116" w:type="dxa"/>
            <w:shd w:val="clear" w:color="auto" w:fill="C6EFCE"/>
            <w:noWrap/>
            <w:vAlign w:val="center"/>
            <w:hideMark/>
          </w:tcPr>
          <w:p w14:paraId="65B29526" w14:textId="77777777" w:rsidR="004C6421" w:rsidRDefault="009D1962">
            <w:pPr>
              <w:pStyle w:val="P68B1DB1-Normal4"/>
              <w:suppressAutoHyphens/>
              <w:spacing w:line="276" w:lineRule="auto"/>
              <w:rPr>
                <w:noProof/>
              </w:rPr>
            </w:pPr>
            <w:r>
              <w:rPr>
                <w:noProof/>
              </w:rPr>
              <w:t xml:space="preserve"> Publikacja dekretu(-ów) dopuszczającego(-ych) wraz z przyznaniem (przydzieleniem) środków finansowych na projekty dotyczące inwestycji w podstawową infrastrukturę wodną i bezpieczeństwa zaopatrzenia w wodę.</w:t>
            </w:r>
          </w:p>
          <w:p w14:paraId="0F10C4EC" w14:textId="77777777" w:rsidR="004C6421" w:rsidRDefault="009D1962">
            <w:pPr>
              <w:pStyle w:val="P68B1DB1-Normal4"/>
              <w:suppressAutoHyphens/>
              <w:spacing w:line="276" w:lineRule="auto"/>
              <w:rPr>
                <w:noProof/>
              </w:rPr>
            </w:pPr>
            <w:r>
              <w:rPr>
                <w:noProof/>
              </w:rPr>
              <w:t>Zakres umów jest następujący:</w:t>
            </w:r>
          </w:p>
          <w:p w14:paraId="115F5DB7" w14:textId="77777777" w:rsidR="004C6421" w:rsidRDefault="004C6421">
            <w:pPr>
              <w:suppressAutoHyphens/>
              <w:spacing w:line="276" w:lineRule="auto"/>
              <w:rPr>
                <w:rFonts w:ascii="Arial Narrow" w:hAnsi="Arial Narrow"/>
                <w:noProof/>
                <w:color w:val="006100"/>
                <w:sz w:val="20"/>
              </w:rPr>
            </w:pPr>
          </w:p>
          <w:p w14:paraId="129AF001" w14:textId="77777777" w:rsidR="004C6421" w:rsidRDefault="009D1962">
            <w:pPr>
              <w:pStyle w:val="P68B1DB1-ListParagraph5"/>
              <w:numPr>
                <w:ilvl w:val="0"/>
                <w:numId w:val="74"/>
              </w:numPr>
              <w:suppressAutoHyphens/>
              <w:spacing w:before="0" w:after="0" w:line="276" w:lineRule="auto"/>
              <w:ind w:left="305"/>
              <w:jc w:val="left"/>
              <w:rPr>
                <w:noProof/>
              </w:rPr>
            </w:pPr>
            <w:r>
              <w:rPr>
                <w:noProof/>
              </w:rPr>
              <w:t>Bezpieczeństwo dostaw wody na ważnych obszarach miejskich;</w:t>
            </w:r>
          </w:p>
          <w:p w14:paraId="5CF60485" w14:textId="77777777" w:rsidR="004C6421" w:rsidRDefault="009D1962">
            <w:pPr>
              <w:pStyle w:val="P68B1DB1-ListParagraph5"/>
              <w:numPr>
                <w:ilvl w:val="0"/>
                <w:numId w:val="74"/>
              </w:numPr>
              <w:suppressAutoHyphens/>
              <w:spacing w:before="0" w:after="0" w:line="276" w:lineRule="auto"/>
              <w:ind w:left="305"/>
              <w:jc w:val="left"/>
              <w:rPr>
                <w:noProof/>
              </w:rPr>
            </w:pPr>
            <w:r>
              <w:rPr>
                <w:noProof/>
              </w:rPr>
              <w:t>Prace strukturalne mające na celu zwiększenie bezpieczeństwa i odporności sieci, w tym przystosowanie się do zmiany klimatu (z wyłączeniem tam);</w:t>
            </w:r>
          </w:p>
          <w:p w14:paraId="651837F5" w14:textId="77777777" w:rsidR="004C6421" w:rsidRDefault="009D1962">
            <w:pPr>
              <w:pStyle w:val="P68B1DB1-ListParagraph5"/>
              <w:numPr>
                <w:ilvl w:val="0"/>
                <w:numId w:val="74"/>
              </w:numPr>
              <w:spacing w:before="0" w:after="0" w:line="276" w:lineRule="auto"/>
              <w:ind w:left="305"/>
              <w:jc w:val="left"/>
              <w:rPr>
                <w:noProof/>
              </w:rPr>
            </w:pPr>
            <w:r>
              <w:rPr>
                <w:noProof/>
              </w:rPr>
              <w:t>Zwiększenie zdolności transportowych wody.</w:t>
            </w:r>
          </w:p>
          <w:p w14:paraId="6D27A371" w14:textId="77777777" w:rsidR="004C6421" w:rsidRDefault="009D1962">
            <w:pPr>
              <w:pStyle w:val="P68B1DB1-Normal4"/>
              <w:spacing w:line="276" w:lineRule="auto"/>
              <w:ind w:left="-55"/>
              <w:rPr>
                <w:noProof/>
              </w:rPr>
            </w:pPr>
            <w:r>
              <w:rPr>
                <w:noProof/>
              </w:rPr>
              <w:t>Kryteria wyboru zapewniają, aby inwestycja w pełni przyczyniała się do realizacji celów związanych ze zmianą klimatu przy zastosowaniu współczynnika klimatycznego wynoszącego 40 %, zgodnie z załącznikiem VI do rozporządzenia (UE) 2021/241 w sprawie Instrumentu na rzecz Odbudowy i Zwiększania Odporności.</w:t>
            </w:r>
          </w:p>
        </w:tc>
      </w:tr>
      <w:tr w:rsidR="004C6421" w14:paraId="465DDCBD" w14:textId="77777777">
        <w:trPr>
          <w:trHeight w:val="313"/>
          <w:jc w:val="center"/>
        </w:trPr>
        <w:tc>
          <w:tcPr>
            <w:tcW w:w="1130" w:type="dxa"/>
            <w:shd w:val="clear" w:color="auto" w:fill="C6EFCE"/>
            <w:noWrap/>
            <w:vAlign w:val="center"/>
            <w:hideMark/>
          </w:tcPr>
          <w:p w14:paraId="7AEC1D19" w14:textId="77777777" w:rsidR="004C6421" w:rsidRDefault="009D1962">
            <w:pPr>
              <w:pStyle w:val="P68B1DB1-Normal4"/>
              <w:spacing w:line="276" w:lineRule="auto"/>
              <w:jc w:val="center"/>
              <w:rPr>
                <w:noProof/>
              </w:rPr>
            </w:pPr>
            <w:r>
              <w:rPr>
                <w:noProof/>
              </w:rPr>
              <w:t>M2C4-29</w:t>
            </w:r>
          </w:p>
        </w:tc>
        <w:tc>
          <w:tcPr>
            <w:tcW w:w="1560" w:type="dxa"/>
            <w:shd w:val="clear" w:color="auto" w:fill="C6EFCE"/>
            <w:noWrap/>
            <w:vAlign w:val="center"/>
            <w:hideMark/>
          </w:tcPr>
          <w:p w14:paraId="4F25468F" w14:textId="77777777" w:rsidR="004C6421" w:rsidRDefault="009D1962">
            <w:pPr>
              <w:pStyle w:val="P68B1DB1-Normal4"/>
              <w:spacing w:line="276" w:lineRule="auto"/>
              <w:jc w:val="center"/>
              <w:rPr>
                <w:noProof/>
              </w:rPr>
            </w:pPr>
            <w:r>
              <w:rPr>
                <w:noProof/>
              </w:rPr>
              <w:t>Inwestycja 4.1. Inwestycje w infrastrukturę wodociągową podstawową w celu zapewnienia bezpieczeństwa dostaw wody</w:t>
            </w:r>
          </w:p>
        </w:tc>
        <w:tc>
          <w:tcPr>
            <w:tcW w:w="1134" w:type="dxa"/>
            <w:shd w:val="clear" w:color="auto" w:fill="C6EFCE"/>
            <w:noWrap/>
            <w:vAlign w:val="center"/>
            <w:hideMark/>
          </w:tcPr>
          <w:p w14:paraId="6410CD2A" w14:textId="77777777" w:rsidR="004C6421" w:rsidRDefault="009D1962">
            <w:pPr>
              <w:pStyle w:val="P68B1DB1-Normal4"/>
              <w:spacing w:line="276" w:lineRule="auto"/>
              <w:jc w:val="center"/>
              <w:rPr>
                <w:noProof/>
              </w:rPr>
            </w:pPr>
            <w:r>
              <w:rPr>
                <w:noProof/>
              </w:rPr>
              <w:t>Cel</w:t>
            </w:r>
          </w:p>
        </w:tc>
        <w:tc>
          <w:tcPr>
            <w:tcW w:w="1559" w:type="dxa"/>
            <w:shd w:val="clear" w:color="auto" w:fill="C6EFCE"/>
            <w:noWrap/>
            <w:vAlign w:val="center"/>
            <w:hideMark/>
          </w:tcPr>
          <w:p w14:paraId="739BAFB4" w14:textId="77777777" w:rsidR="004C6421" w:rsidRDefault="009D1962">
            <w:pPr>
              <w:pStyle w:val="P68B1DB1-Normal4"/>
              <w:spacing w:line="276" w:lineRule="auto"/>
              <w:jc w:val="center"/>
              <w:rPr>
                <w:noProof/>
              </w:rPr>
            </w:pPr>
            <w:r>
              <w:rPr>
                <w:noProof/>
              </w:rPr>
              <w:t>Inwestycje w infrastrukturę wodociągową podstawową w celu zapewnienia bezpieczeństwa dostaw wody</w:t>
            </w:r>
          </w:p>
        </w:tc>
        <w:tc>
          <w:tcPr>
            <w:tcW w:w="1383" w:type="dxa"/>
            <w:shd w:val="clear" w:color="auto" w:fill="C6EFCE"/>
            <w:noWrap/>
            <w:vAlign w:val="center"/>
            <w:hideMark/>
          </w:tcPr>
          <w:p w14:paraId="36B0785D" w14:textId="77777777" w:rsidR="004C6421" w:rsidRDefault="009D1962">
            <w:pPr>
              <w:pStyle w:val="P68B1DB1-Normal4"/>
              <w:spacing w:line="276" w:lineRule="auto"/>
              <w:jc w:val="center"/>
              <w:rPr>
                <w:noProof/>
              </w:rPr>
            </w:pPr>
            <w:r>
              <w:rPr>
                <w:noProof/>
              </w:rPr>
              <w:t>NIE DOT.</w:t>
            </w:r>
          </w:p>
        </w:tc>
        <w:tc>
          <w:tcPr>
            <w:tcW w:w="1094" w:type="dxa"/>
            <w:shd w:val="clear" w:color="auto" w:fill="C6EFCE"/>
            <w:noWrap/>
            <w:vAlign w:val="center"/>
            <w:hideMark/>
          </w:tcPr>
          <w:p w14:paraId="2B0657E3" w14:textId="77777777" w:rsidR="004C6421" w:rsidRDefault="009D1962">
            <w:pPr>
              <w:pStyle w:val="P68B1DB1-Normal4"/>
              <w:spacing w:line="276" w:lineRule="auto"/>
              <w:jc w:val="center"/>
              <w:rPr>
                <w:noProof/>
              </w:rPr>
            </w:pPr>
            <w:r>
              <w:rPr>
                <w:noProof/>
              </w:rPr>
              <w:t>Numer</w:t>
            </w:r>
          </w:p>
        </w:tc>
        <w:tc>
          <w:tcPr>
            <w:tcW w:w="1290" w:type="dxa"/>
            <w:shd w:val="clear" w:color="auto" w:fill="C6EFCE"/>
            <w:noWrap/>
            <w:vAlign w:val="center"/>
            <w:hideMark/>
          </w:tcPr>
          <w:p w14:paraId="2D66599C" w14:textId="77777777" w:rsidR="004C6421" w:rsidRDefault="009D1962">
            <w:pPr>
              <w:pStyle w:val="P68B1DB1-Normal4"/>
              <w:spacing w:line="276" w:lineRule="auto"/>
              <w:jc w:val="center"/>
              <w:rPr>
                <w:noProof/>
              </w:rPr>
            </w:pPr>
            <w:r>
              <w:rPr>
                <w:noProof/>
              </w:rPr>
              <w:t>0</w:t>
            </w:r>
          </w:p>
        </w:tc>
        <w:tc>
          <w:tcPr>
            <w:tcW w:w="1194" w:type="dxa"/>
            <w:shd w:val="clear" w:color="auto" w:fill="C6EFCE"/>
            <w:noWrap/>
            <w:vAlign w:val="center"/>
            <w:hideMark/>
          </w:tcPr>
          <w:p w14:paraId="4A888DB6" w14:textId="77777777" w:rsidR="004C6421" w:rsidRDefault="009D1962">
            <w:pPr>
              <w:pStyle w:val="P68B1DB1-Normal4"/>
              <w:spacing w:line="276" w:lineRule="auto"/>
              <w:jc w:val="center"/>
              <w:rPr>
                <w:noProof/>
              </w:rPr>
            </w:pPr>
            <w:r>
              <w:rPr>
                <w:noProof/>
              </w:rPr>
              <w:t>50</w:t>
            </w:r>
          </w:p>
        </w:tc>
        <w:tc>
          <w:tcPr>
            <w:tcW w:w="2037" w:type="dxa"/>
            <w:shd w:val="clear" w:color="auto" w:fill="C6EFCE"/>
            <w:noWrap/>
            <w:vAlign w:val="center"/>
            <w:hideMark/>
          </w:tcPr>
          <w:p w14:paraId="73B1695D" w14:textId="23F7FA8D" w:rsidR="004C6421" w:rsidRDefault="00CC179E">
            <w:pPr>
              <w:pStyle w:val="P68B1DB1-Normal4"/>
              <w:spacing w:line="276" w:lineRule="auto"/>
              <w:jc w:val="center"/>
              <w:rPr>
                <w:noProof/>
              </w:rPr>
            </w:pPr>
            <w:r>
              <w:rPr>
                <w:noProof/>
              </w:rPr>
              <w:t>KW. 1</w:t>
            </w:r>
          </w:p>
        </w:tc>
        <w:tc>
          <w:tcPr>
            <w:tcW w:w="638" w:type="dxa"/>
            <w:shd w:val="clear" w:color="auto" w:fill="C6EFCE"/>
            <w:noWrap/>
            <w:vAlign w:val="center"/>
            <w:hideMark/>
          </w:tcPr>
          <w:p w14:paraId="7824045A" w14:textId="77777777" w:rsidR="004C6421" w:rsidRDefault="009D1962">
            <w:pPr>
              <w:pStyle w:val="P68B1DB1-Normal4"/>
              <w:spacing w:line="276" w:lineRule="auto"/>
              <w:jc w:val="center"/>
              <w:rPr>
                <w:noProof/>
              </w:rPr>
            </w:pPr>
            <w:r>
              <w:rPr>
                <w:noProof/>
              </w:rPr>
              <w:t>2026</w:t>
            </w:r>
          </w:p>
        </w:tc>
        <w:tc>
          <w:tcPr>
            <w:tcW w:w="4116" w:type="dxa"/>
            <w:shd w:val="clear" w:color="auto" w:fill="C6EFCE"/>
            <w:noWrap/>
            <w:vAlign w:val="center"/>
            <w:hideMark/>
          </w:tcPr>
          <w:p w14:paraId="18C7DC5F" w14:textId="77777777" w:rsidR="004C6421" w:rsidRDefault="009D1962">
            <w:pPr>
              <w:pStyle w:val="P68B1DB1-Normal4"/>
              <w:spacing w:line="276" w:lineRule="auto"/>
              <w:rPr>
                <w:noProof/>
              </w:rPr>
            </w:pPr>
            <w:r>
              <w:rPr>
                <w:noProof/>
              </w:rPr>
              <w:t>Zwiększenie bezpieczeństwa zaopatrzenia w wodę i odporności infrastruktury wodnej w co najmniej 50 systemach wodnych (zarówno złożonych, jak i podstawowych), z czego co najmniej 35 złożonych systemów wodnych</w:t>
            </w:r>
          </w:p>
        </w:tc>
      </w:tr>
      <w:tr w:rsidR="004C6421" w14:paraId="54FEA8AB" w14:textId="77777777">
        <w:trPr>
          <w:trHeight w:val="313"/>
          <w:jc w:val="center"/>
        </w:trPr>
        <w:tc>
          <w:tcPr>
            <w:tcW w:w="1130" w:type="dxa"/>
            <w:shd w:val="clear" w:color="auto" w:fill="C6EFCE"/>
            <w:noWrap/>
            <w:vAlign w:val="center"/>
            <w:hideMark/>
          </w:tcPr>
          <w:p w14:paraId="19EA094B" w14:textId="77777777" w:rsidR="004C6421" w:rsidRDefault="009D1962">
            <w:pPr>
              <w:pStyle w:val="P68B1DB1-Normal4"/>
              <w:spacing w:line="276" w:lineRule="auto"/>
              <w:jc w:val="center"/>
              <w:rPr>
                <w:noProof/>
              </w:rPr>
            </w:pPr>
            <w:r>
              <w:rPr>
                <w:noProof/>
              </w:rPr>
              <w:t>M2C4-30</w:t>
            </w:r>
          </w:p>
        </w:tc>
        <w:tc>
          <w:tcPr>
            <w:tcW w:w="1560" w:type="dxa"/>
            <w:shd w:val="clear" w:color="auto" w:fill="C6EFCE"/>
            <w:noWrap/>
            <w:vAlign w:val="center"/>
            <w:hideMark/>
          </w:tcPr>
          <w:p w14:paraId="4273326D" w14:textId="77777777" w:rsidR="004C6421" w:rsidRDefault="009D1962">
            <w:pPr>
              <w:pStyle w:val="P68B1DB1-Normal4"/>
              <w:spacing w:line="276" w:lineRule="auto"/>
              <w:jc w:val="center"/>
              <w:rPr>
                <w:noProof/>
              </w:rPr>
            </w:pPr>
            <w:r>
              <w:rPr>
                <w:noProof/>
              </w:rPr>
              <w:t>Inwestycje 4.2. Ograniczenie strat w sieciach wodociągowych, w tym cyfryzacja i monitorowanie sieci</w:t>
            </w:r>
          </w:p>
        </w:tc>
        <w:tc>
          <w:tcPr>
            <w:tcW w:w="1134" w:type="dxa"/>
            <w:shd w:val="clear" w:color="auto" w:fill="C6EFCE"/>
            <w:noWrap/>
            <w:vAlign w:val="center"/>
            <w:hideMark/>
          </w:tcPr>
          <w:p w14:paraId="58625191" w14:textId="7B53B408" w:rsidR="004C6421" w:rsidRDefault="00CC179E">
            <w:pPr>
              <w:pStyle w:val="P68B1DB1-Normal4"/>
              <w:spacing w:line="276" w:lineRule="auto"/>
              <w:jc w:val="center"/>
              <w:rPr>
                <w:noProof/>
              </w:rPr>
            </w:pPr>
            <w:r>
              <w:rPr>
                <w:noProof/>
              </w:rPr>
              <w:t>Milowy</w:t>
            </w:r>
          </w:p>
        </w:tc>
        <w:tc>
          <w:tcPr>
            <w:tcW w:w="1559" w:type="dxa"/>
            <w:shd w:val="clear" w:color="auto" w:fill="C6EFCE"/>
            <w:noWrap/>
            <w:vAlign w:val="center"/>
            <w:hideMark/>
          </w:tcPr>
          <w:p w14:paraId="4EE01CF0" w14:textId="77777777" w:rsidR="004C6421" w:rsidRDefault="009D1962">
            <w:pPr>
              <w:pStyle w:val="P68B1DB1-Normal4"/>
              <w:spacing w:line="276" w:lineRule="auto"/>
              <w:jc w:val="center"/>
              <w:rPr>
                <w:noProof/>
              </w:rPr>
            </w:pPr>
            <w:r>
              <w:rPr>
                <w:noProof/>
              </w:rPr>
              <w:t>Przyznawanie środków finansowych na wszystkie projekty dotyczące interwencji w sieci dystrybucji wody, w tym cyfryzacji i monitorowania sieci</w:t>
            </w:r>
          </w:p>
        </w:tc>
        <w:tc>
          <w:tcPr>
            <w:tcW w:w="1383" w:type="dxa"/>
            <w:shd w:val="clear" w:color="auto" w:fill="C6EFCE"/>
            <w:noWrap/>
            <w:vAlign w:val="center"/>
            <w:hideMark/>
          </w:tcPr>
          <w:p w14:paraId="06C3074C" w14:textId="77777777" w:rsidR="004C6421" w:rsidRDefault="009D1962">
            <w:pPr>
              <w:pStyle w:val="P68B1DB1-Normal4"/>
              <w:spacing w:line="276" w:lineRule="auto"/>
              <w:jc w:val="center"/>
              <w:rPr>
                <w:rFonts w:eastAsia="Arial Narrow" w:cs="Arial Narrow"/>
                <w:noProof/>
              </w:rPr>
            </w:pPr>
            <w:r>
              <w:rPr>
                <w:noProof/>
              </w:rPr>
              <w:t>Publikacja dekretu(-ów)</w:t>
            </w:r>
          </w:p>
        </w:tc>
        <w:tc>
          <w:tcPr>
            <w:tcW w:w="1094" w:type="dxa"/>
            <w:shd w:val="clear" w:color="auto" w:fill="C6EFCE"/>
            <w:noWrap/>
            <w:vAlign w:val="center"/>
            <w:hideMark/>
          </w:tcPr>
          <w:p w14:paraId="02FB9580" w14:textId="77777777" w:rsidR="004C6421" w:rsidRDefault="009D1962">
            <w:pPr>
              <w:pStyle w:val="P68B1DB1-Normal4"/>
              <w:spacing w:line="276" w:lineRule="auto"/>
              <w:jc w:val="center"/>
              <w:rPr>
                <w:noProof/>
              </w:rPr>
            </w:pPr>
            <w:r>
              <w:rPr>
                <w:noProof/>
              </w:rPr>
              <w:t>NIE DOT.</w:t>
            </w:r>
          </w:p>
        </w:tc>
        <w:tc>
          <w:tcPr>
            <w:tcW w:w="1290" w:type="dxa"/>
            <w:shd w:val="clear" w:color="auto" w:fill="C6EFCE"/>
            <w:noWrap/>
            <w:vAlign w:val="center"/>
            <w:hideMark/>
          </w:tcPr>
          <w:p w14:paraId="08A30D65" w14:textId="77777777" w:rsidR="004C6421" w:rsidRDefault="009D1962">
            <w:pPr>
              <w:pStyle w:val="P68B1DB1-Normal4"/>
              <w:spacing w:line="276" w:lineRule="auto"/>
              <w:jc w:val="center"/>
              <w:rPr>
                <w:noProof/>
              </w:rPr>
            </w:pPr>
            <w:r>
              <w:rPr>
                <w:noProof/>
              </w:rPr>
              <w:t>NIE DOT.</w:t>
            </w:r>
          </w:p>
        </w:tc>
        <w:tc>
          <w:tcPr>
            <w:tcW w:w="1194" w:type="dxa"/>
            <w:shd w:val="clear" w:color="auto" w:fill="C6EFCE"/>
            <w:noWrap/>
            <w:vAlign w:val="center"/>
            <w:hideMark/>
          </w:tcPr>
          <w:p w14:paraId="72459084" w14:textId="77777777" w:rsidR="004C6421" w:rsidRDefault="009D1962">
            <w:pPr>
              <w:pStyle w:val="P68B1DB1-Normal4"/>
              <w:spacing w:line="276" w:lineRule="auto"/>
              <w:jc w:val="center"/>
              <w:rPr>
                <w:noProof/>
              </w:rPr>
            </w:pPr>
            <w:r>
              <w:rPr>
                <w:noProof/>
              </w:rPr>
              <w:t>NIE DOT.</w:t>
            </w:r>
          </w:p>
        </w:tc>
        <w:tc>
          <w:tcPr>
            <w:tcW w:w="2037" w:type="dxa"/>
            <w:shd w:val="clear" w:color="auto" w:fill="C6EFCE"/>
            <w:noWrap/>
            <w:vAlign w:val="center"/>
            <w:hideMark/>
          </w:tcPr>
          <w:p w14:paraId="71C60AF5" w14:textId="77777777" w:rsidR="004C6421" w:rsidRDefault="009D1962">
            <w:pPr>
              <w:pStyle w:val="P68B1DB1-Normal4"/>
              <w:spacing w:line="276" w:lineRule="auto"/>
              <w:jc w:val="center"/>
              <w:rPr>
                <w:noProof/>
              </w:rPr>
            </w:pPr>
            <w:r>
              <w:rPr>
                <w:noProof/>
              </w:rPr>
              <w:t>III KW.</w:t>
            </w:r>
          </w:p>
        </w:tc>
        <w:tc>
          <w:tcPr>
            <w:tcW w:w="638" w:type="dxa"/>
            <w:shd w:val="clear" w:color="auto" w:fill="C6EFCE"/>
            <w:noWrap/>
            <w:vAlign w:val="center"/>
            <w:hideMark/>
          </w:tcPr>
          <w:p w14:paraId="559F4307" w14:textId="77777777" w:rsidR="004C6421" w:rsidRDefault="009D1962">
            <w:pPr>
              <w:pStyle w:val="P68B1DB1-Normal4"/>
              <w:spacing w:line="276" w:lineRule="auto"/>
              <w:jc w:val="center"/>
              <w:rPr>
                <w:noProof/>
              </w:rPr>
            </w:pPr>
            <w:r>
              <w:rPr>
                <w:noProof/>
              </w:rPr>
              <w:t>2023</w:t>
            </w:r>
          </w:p>
        </w:tc>
        <w:tc>
          <w:tcPr>
            <w:tcW w:w="4116" w:type="dxa"/>
            <w:shd w:val="clear" w:color="auto" w:fill="C6EFCE"/>
            <w:noWrap/>
            <w:vAlign w:val="center"/>
            <w:hideMark/>
          </w:tcPr>
          <w:p w14:paraId="59DB3E48" w14:textId="77777777" w:rsidR="004C6421" w:rsidRDefault="009D1962">
            <w:pPr>
              <w:pStyle w:val="P68B1DB1-Normal4"/>
              <w:spacing w:line="276" w:lineRule="auto"/>
              <w:rPr>
                <w:noProof/>
              </w:rPr>
            </w:pPr>
            <w:r>
              <w:rPr>
                <w:noProof/>
              </w:rPr>
              <w:t>Publikacja dekretu(-ów) dopuszczającego(-ych) wraz z przyznaniem (przydzieleniem) środków finansowych na projekty dotyczące interwencji na rzecz modernizacji i efektywności sieci dystrybucji wody.</w:t>
            </w:r>
          </w:p>
          <w:p w14:paraId="4AF128B9" w14:textId="77777777" w:rsidR="004C6421" w:rsidRDefault="004C6421">
            <w:pPr>
              <w:spacing w:line="276" w:lineRule="auto"/>
              <w:rPr>
                <w:rFonts w:ascii="Arial Narrow" w:hAnsi="Arial Narrow"/>
                <w:noProof/>
                <w:color w:val="006100"/>
                <w:sz w:val="20"/>
              </w:rPr>
            </w:pPr>
          </w:p>
          <w:p w14:paraId="20B40F82" w14:textId="77777777" w:rsidR="004C6421" w:rsidRDefault="009D1962">
            <w:pPr>
              <w:pStyle w:val="P68B1DB1-Normal4"/>
              <w:spacing w:line="276" w:lineRule="auto"/>
              <w:rPr>
                <w:noProof/>
              </w:rPr>
            </w:pPr>
            <w:r>
              <w:rPr>
                <w:noProof/>
              </w:rPr>
              <w:t>Zakres umów obejmuje:</w:t>
            </w:r>
          </w:p>
          <w:p w14:paraId="36C3C0F3" w14:textId="77777777" w:rsidR="004C6421" w:rsidRDefault="009D1962">
            <w:pPr>
              <w:pStyle w:val="P68B1DB1-ListParagraph5"/>
              <w:numPr>
                <w:ilvl w:val="0"/>
                <w:numId w:val="74"/>
              </w:numPr>
              <w:spacing w:before="0" w:after="0" w:line="276" w:lineRule="auto"/>
              <w:ind w:left="305"/>
              <w:jc w:val="left"/>
              <w:textAlignment w:val="baseline"/>
              <w:rPr>
                <w:noProof/>
              </w:rPr>
            </w:pPr>
            <w:r>
              <w:rPr>
                <w:noProof/>
              </w:rPr>
              <w:t>Interwencje mające na celu ograniczenie strat w sieciach wody pitnej;</w:t>
            </w:r>
          </w:p>
          <w:p w14:paraId="0ECDF223" w14:textId="77777777" w:rsidR="004C6421" w:rsidRDefault="009D1962">
            <w:pPr>
              <w:pStyle w:val="P68B1DB1-ListParagraph5"/>
              <w:numPr>
                <w:ilvl w:val="0"/>
                <w:numId w:val="74"/>
              </w:numPr>
              <w:spacing w:before="0" w:after="0" w:line="276" w:lineRule="auto"/>
              <w:ind w:left="305"/>
              <w:jc w:val="left"/>
              <w:textAlignment w:val="baseline"/>
              <w:rPr>
                <w:noProof/>
              </w:rPr>
            </w:pPr>
            <w:r>
              <w:rPr>
                <w:noProof/>
              </w:rPr>
              <w:t>Zwiększenie odporności systemów wodnych na zmianę klimatu;</w:t>
            </w:r>
          </w:p>
          <w:p w14:paraId="0DCEE39D" w14:textId="77777777" w:rsidR="004C6421" w:rsidRDefault="009D1962">
            <w:pPr>
              <w:pStyle w:val="P68B1DB1-ListParagraph5"/>
              <w:numPr>
                <w:ilvl w:val="0"/>
                <w:numId w:val="74"/>
              </w:numPr>
              <w:spacing w:before="0" w:after="0" w:line="276" w:lineRule="auto"/>
              <w:ind w:left="305"/>
              <w:jc w:val="left"/>
              <w:textAlignment w:val="baseline"/>
              <w:rPr>
                <w:noProof/>
              </w:rPr>
            </w:pPr>
            <w:r>
              <w:rPr>
                <w:noProof/>
              </w:rPr>
              <w:t>Wzmocnienie cyfryzacji sieci w celu optymalnego zarządzania zasobami wodnymi, ograniczenia ilości odpadów i ograniczenia nieefektywności</w:t>
            </w:r>
          </w:p>
        </w:tc>
      </w:tr>
      <w:tr w:rsidR="004C6421" w14:paraId="53E43C7B" w14:textId="77777777">
        <w:trPr>
          <w:trHeight w:val="313"/>
          <w:jc w:val="center"/>
        </w:trPr>
        <w:tc>
          <w:tcPr>
            <w:tcW w:w="1130" w:type="dxa"/>
            <w:shd w:val="clear" w:color="auto" w:fill="C6EFCE"/>
            <w:noWrap/>
            <w:vAlign w:val="center"/>
            <w:hideMark/>
          </w:tcPr>
          <w:p w14:paraId="48998F86" w14:textId="77777777" w:rsidR="004C6421" w:rsidRDefault="009D1962">
            <w:pPr>
              <w:pStyle w:val="P68B1DB1-Normal4"/>
              <w:spacing w:line="276" w:lineRule="auto"/>
              <w:jc w:val="center"/>
              <w:rPr>
                <w:noProof/>
              </w:rPr>
            </w:pPr>
            <w:r>
              <w:rPr>
                <w:noProof/>
              </w:rPr>
              <w:t>M2C4-31</w:t>
            </w:r>
          </w:p>
        </w:tc>
        <w:tc>
          <w:tcPr>
            <w:tcW w:w="1560" w:type="dxa"/>
            <w:shd w:val="clear" w:color="auto" w:fill="C6EFCE"/>
            <w:noWrap/>
            <w:vAlign w:val="center"/>
            <w:hideMark/>
          </w:tcPr>
          <w:p w14:paraId="4623D4A2" w14:textId="77777777" w:rsidR="004C6421" w:rsidRDefault="009D1962">
            <w:pPr>
              <w:pStyle w:val="P68B1DB1-Normal4"/>
              <w:spacing w:line="276" w:lineRule="auto"/>
              <w:jc w:val="center"/>
              <w:rPr>
                <w:noProof/>
              </w:rPr>
            </w:pPr>
            <w:r>
              <w:rPr>
                <w:noProof/>
              </w:rPr>
              <w:t>Inwestycje 4.2. Ograniczenie strat w sieciach wodociągowych, w tym cyfryzacja i monitorowanie sieci</w:t>
            </w:r>
          </w:p>
        </w:tc>
        <w:tc>
          <w:tcPr>
            <w:tcW w:w="1134" w:type="dxa"/>
            <w:shd w:val="clear" w:color="auto" w:fill="C6EFCE"/>
            <w:noWrap/>
            <w:vAlign w:val="center"/>
            <w:hideMark/>
          </w:tcPr>
          <w:p w14:paraId="67A1133B" w14:textId="77777777" w:rsidR="004C6421" w:rsidRDefault="009D1962">
            <w:pPr>
              <w:pStyle w:val="P68B1DB1-Normal4"/>
              <w:spacing w:line="276" w:lineRule="auto"/>
              <w:jc w:val="center"/>
              <w:rPr>
                <w:noProof/>
              </w:rPr>
            </w:pPr>
            <w:r>
              <w:rPr>
                <w:noProof/>
              </w:rPr>
              <w:t>Cel</w:t>
            </w:r>
          </w:p>
        </w:tc>
        <w:tc>
          <w:tcPr>
            <w:tcW w:w="1559" w:type="dxa"/>
            <w:shd w:val="clear" w:color="auto" w:fill="C6EFCE"/>
            <w:noWrap/>
            <w:vAlign w:val="center"/>
            <w:hideMark/>
          </w:tcPr>
          <w:p w14:paraId="296BAA1B" w14:textId="77777777" w:rsidR="004C6421" w:rsidRDefault="009D1962">
            <w:pPr>
              <w:pStyle w:val="P68B1DB1-Normal4"/>
              <w:spacing w:line="276" w:lineRule="auto"/>
              <w:jc w:val="center"/>
              <w:rPr>
                <w:noProof/>
              </w:rPr>
            </w:pPr>
            <w:r>
              <w:rPr>
                <w:noProof/>
              </w:rPr>
              <w:t>Interwencje w sieci dystrybucji wody, w tym cyfryzacja i monitorowanie sieci T1</w:t>
            </w:r>
          </w:p>
        </w:tc>
        <w:tc>
          <w:tcPr>
            <w:tcW w:w="1383" w:type="dxa"/>
            <w:shd w:val="clear" w:color="auto" w:fill="C6EFCE"/>
            <w:noWrap/>
            <w:vAlign w:val="center"/>
            <w:hideMark/>
          </w:tcPr>
          <w:p w14:paraId="2269A853" w14:textId="77777777" w:rsidR="004C6421" w:rsidRDefault="009D1962">
            <w:pPr>
              <w:pStyle w:val="P68B1DB1-Normal4"/>
              <w:spacing w:line="276" w:lineRule="auto"/>
              <w:jc w:val="center"/>
              <w:rPr>
                <w:noProof/>
              </w:rPr>
            </w:pPr>
            <w:r>
              <w:rPr>
                <w:noProof/>
              </w:rPr>
              <w:t>NIE DOT.</w:t>
            </w:r>
          </w:p>
        </w:tc>
        <w:tc>
          <w:tcPr>
            <w:tcW w:w="1094" w:type="dxa"/>
            <w:shd w:val="clear" w:color="auto" w:fill="C6EFCE"/>
            <w:noWrap/>
            <w:vAlign w:val="center"/>
            <w:hideMark/>
          </w:tcPr>
          <w:p w14:paraId="4A6B3BD0" w14:textId="77777777" w:rsidR="004C6421" w:rsidRDefault="009D1962">
            <w:pPr>
              <w:pStyle w:val="P68B1DB1-Normal4"/>
              <w:spacing w:line="276" w:lineRule="auto"/>
              <w:jc w:val="center"/>
              <w:rPr>
                <w:noProof/>
              </w:rPr>
            </w:pPr>
            <w:r>
              <w:rPr>
                <w:noProof/>
              </w:rPr>
              <w:t>Numer</w:t>
            </w:r>
          </w:p>
        </w:tc>
        <w:tc>
          <w:tcPr>
            <w:tcW w:w="1290" w:type="dxa"/>
            <w:shd w:val="clear" w:color="auto" w:fill="C6EFCE"/>
            <w:noWrap/>
            <w:vAlign w:val="center"/>
            <w:hideMark/>
          </w:tcPr>
          <w:p w14:paraId="0EE2753B" w14:textId="77777777" w:rsidR="004C6421" w:rsidRDefault="009D1962">
            <w:pPr>
              <w:pStyle w:val="P68B1DB1-Normal4"/>
              <w:spacing w:line="276" w:lineRule="auto"/>
              <w:jc w:val="center"/>
              <w:rPr>
                <w:noProof/>
              </w:rPr>
            </w:pPr>
            <w:r>
              <w:rPr>
                <w:noProof/>
              </w:rPr>
              <w:t>0</w:t>
            </w:r>
          </w:p>
        </w:tc>
        <w:tc>
          <w:tcPr>
            <w:tcW w:w="1194" w:type="dxa"/>
            <w:shd w:val="clear" w:color="auto" w:fill="C6EFCE"/>
            <w:noWrap/>
            <w:vAlign w:val="center"/>
            <w:hideMark/>
          </w:tcPr>
          <w:p w14:paraId="20B803AB" w14:textId="77777777" w:rsidR="004C6421" w:rsidRDefault="009D1962">
            <w:pPr>
              <w:pStyle w:val="P68B1DB1-Normal4"/>
              <w:spacing w:line="276" w:lineRule="auto"/>
              <w:jc w:val="center"/>
              <w:rPr>
                <w:noProof/>
              </w:rPr>
            </w:pPr>
            <w:r>
              <w:rPr>
                <w:noProof/>
              </w:rPr>
              <w:t>14 000</w:t>
            </w:r>
          </w:p>
        </w:tc>
        <w:tc>
          <w:tcPr>
            <w:tcW w:w="2037" w:type="dxa"/>
            <w:shd w:val="clear" w:color="auto" w:fill="C6EFCE"/>
            <w:noWrap/>
            <w:vAlign w:val="center"/>
            <w:hideMark/>
          </w:tcPr>
          <w:p w14:paraId="4E71898B" w14:textId="552E9BAE" w:rsidR="004C6421" w:rsidRDefault="00CC179E">
            <w:pPr>
              <w:pStyle w:val="P68B1DB1-Normal4"/>
              <w:spacing w:line="276" w:lineRule="auto"/>
              <w:jc w:val="center"/>
              <w:rPr>
                <w:noProof/>
              </w:rPr>
            </w:pPr>
            <w:r>
              <w:rPr>
                <w:noProof/>
              </w:rPr>
              <w:t>KW. 4</w:t>
            </w:r>
          </w:p>
        </w:tc>
        <w:tc>
          <w:tcPr>
            <w:tcW w:w="638" w:type="dxa"/>
            <w:shd w:val="clear" w:color="auto" w:fill="C6EFCE"/>
            <w:noWrap/>
            <w:vAlign w:val="center"/>
            <w:hideMark/>
          </w:tcPr>
          <w:p w14:paraId="74B66BD7" w14:textId="77777777" w:rsidR="004C6421" w:rsidRDefault="009D1962">
            <w:pPr>
              <w:pStyle w:val="P68B1DB1-Normal4"/>
              <w:spacing w:line="276" w:lineRule="auto"/>
              <w:jc w:val="center"/>
              <w:rPr>
                <w:noProof/>
              </w:rPr>
            </w:pPr>
            <w:r>
              <w:rPr>
                <w:noProof/>
              </w:rPr>
              <w:t>2024</w:t>
            </w:r>
          </w:p>
        </w:tc>
        <w:tc>
          <w:tcPr>
            <w:tcW w:w="4116" w:type="dxa"/>
            <w:shd w:val="clear" w:color="auto" w:fill="C6EFCE"/>
            <w:noWrap/>
            <w:vAlign w:val="center"/>
            <w:hideMark/>
          </w:tcPr>
          <w:p w14:paraId="155408D9" w14:textId="77777777" w:rsidR="004C6421" w:rsidRDefault="009D1962">
            <w:pPr>
              <w:pStyle w:val="P68B1DB1-Normal4"/>
              <w:spacing w:line="276" w:lineRule="auto"/>
              <w:rPr>
                <w:noProof/>
              </w:rPr>
            </w:pPr>
            <w:r>
              <w:rPr>
                <w:noProof/>
              </w:rPr>
              <w:t>Dzielnica co najmniej 14 000 km sieci wodociągowej</w:t>
            </w:r>
          </w:p>
        </w:tc>
      </w:tr>
      <w:tr w:rsidR="004C6421" w14:paraId="44D55194" w14:textId="77777777">
        <w:trPr>
          <w:trHeight w:val="313"/>
          <w:jc w:val="center"/>
        </w:trPr>
        <w:tc>
          <w:tcPr>
            <w:tcW w:w="1130" w:type="dxa"/>
            <w:shd w:val="clear" w:color="auto" w:fill="C6EFCE"/>
            <w:noWrap/>
            <w:vAlign w:val="center"/>
            <w:hideMark/>
          </w:tcPr>
          <w:p w14:paraId="75F117BE" w14:textId="77777777" w:rsidR="004C6421" w:rsidRDefault="009D1962">
            <w:pPr>
              <w:pStyle w:val="P68B1DB1-Normal4"/>
              <w:spacing w:line="276" w:lineRule="auto"/>
              <w:jc w:val="center"/>
              <w:rPr>
                <w:noProof/>
              </w:rPr>
            </w:pPr>
            <w:r>
              <w:rPr>
                <w:noProof/>
              </w:rPr>
              <w:t>M2C4-32</w:t>
            </w:r>
          </w:p>
        </w:tc>
        <w:tc>
          <w:tcPr>
            <w:tcW w:w="1560" w:type="dxa"/>
            <w:shd w:val="clear" w:color="auto" w:fill="C6EFCE"/>
            <w:noWrap/>
            <w:vAlign w:val="center"/>
            <w:hideMark/>
          </w:tcPr>
          <w:p w14:paraId="3D28C4CB" w14:textId="77777777" w:rsidR="004C6421" w:rsidRDefault="009D1962">
            <w:pPr>
              <w:pStyle w:val="P68B1DB1-Normal4"/>
              <w:spacing w:line="276" w:lineRule="auto"/>
              <w:jc w:val="center"/>
              <w:rPr>
                <w:noProof/>
              </w:rPr>
            </w:pPr>
            <w:r>
              <w:rPr>
                <w:noProof/>
              </w:rPr>
              <w:t>Inwestycje 4.2. Ograniczenie strat w sieciach wodociągowych, w tym cyfryzacja i monitorowanie sieci</w:t>
            </w:r>
          </w:p>
        </w:tc>
        <w:tc>
          <w:tcPr>
            <w:tcW w:w="1134" w:type="dxa"/>
            <w:shd w:val="clear" w:color="auto" w:fill="C6EFCE"/>
            <w:noWrap/>
            <w:vAlign w:val="center"/>
            <w:hideMark/>
          </w:tcPr>
          <w:p w14:paraId="60126175" w14:textId="77777777" w:rsidR="004C6421" w:rsidRDefault="009D1962">
            <w:pPr>
              <w:pStyle w:val="P68B1DB1-Normal4"/>
              <w:spacing w:line="276" w:lineRule="auto"/>
              <w:jc w:val="center"/>
              <w:rPr>
                <w:noProof/>
              </w:rPr>
            </w:pPr>
            <w:r>
              <w:rPr>
                <w:noProof/>
              </w:rPr>
              <w:t>Cel</w:t>
            </w:r>
          </w:p>
        </w:tc>
        <w:tc>
          <w:tcPr>
            <w:tcW w:w="1559" w:type="dxa"/>
            <w:shd w:val="clear" w:color="auto" w:fill="C6EFCE"/>
            <w:noWrap/>
            <w:vAlign w:val="center"/>
            <w:hideMark/>
          </w:tcPr>
          <w:p w14:paraId="3C31AACF" w14:textId="77777777" w:rsidR="004C6421" w:rsidRDefault="009D1962">
            <w:pPr>
              <w:pStyle w:val="P68B1DB1-Normal4"/>
              <w:spacing w:line="276" w:lineRule="auto"/>
              <w:jc w:val="center"/>
              <w:rPr>
                <w:noProof/>
              </w:rPr>
            </w:pPr>
            <w:r>
              <w:rPr>
                <w:noProof/>
              </w:rPr>
              <w:t>Interwencje w sieci dystrybucji wody, w tym cyfryzacja i monitorowanie sieci T2</w:t>
            </w:r>
          </w:p>
        </w:tc>
        <w:tc>
          <w:tcPr>
            <w:tcW w:w="1383" w:type="dxa"/>
            <w:shd w:val="clear" w:color="auto" w:fill="C6EFCE"/>
            <w:noWrap/>
            <w:vAlign w:val="center"/>
            <w:hideMark/>
          </w:tcPr>
          <w:p w14:paraId="587290DA" w14:textId="77777777" w:rsidR="004C6421" w:rsidRDefault="009D1962">
            <w:pPr>
              <w:pStyle w:val="P68B1DB1-Normal4"/>
              <w:spacing w:line="276" w:lineRule="auto"/>
              <w:jc w:val="center"/>
              <w:rPr>
                <w:noProof/>
              </w:rPr>
            </w:pPr>
            <w:r>
              <w:rPr>
                <w:noProof/>
              </w:rPr>
              <w:t>NIE DOT.</w:t>
            </w:r>
          </w:p>
        </w:tc>
        <w:tc>
          <w:tcPr>
            <w:tcW w:w="1094" w:type="dxa"/>
            <w:shd w:val="clear" w:color="auto" w:fill="C6EFCE"/>
            <w:noWrap/>
            <w:vAlign w:val="center"/>
            <w:hideMark/>
          </w:tcPr>
          <w:p w14:paraId="3E2BEA3D" w14:textId="77777777" w:rsidR="004C6421" w:rsidRDefault="009D1962">
            <w:pPr>
              <w:pStyle w:val="P68B1DB1-Normal4"/>
              <w:spacing w:line="276" w:lineRule="auto"/>
              <w:jc w:val="center"/>
              <w:rPr>
                <w:noProof/>
              </w:rPr>
            </w:pPr>
            <w:r>
              <w:rPr>
                <w:noProof/>
              </w:rPr>
              <w:t>Numer</w:t>
            </w:r>
          </w:p>
        </w:tc>
        <w:tc>
          <w:tcPr>
            <w:tcW w:w="1290" w:type="dxa"/>
            <w:shd w:val="clear" w:color="auto" w:fill="C6EFCE"/>
            <w:noWrap/>
            <w:vAlign w:val="center"/>
            <w:hideMark/>
          </w:tcPr>
          <w:p w14:paraId="35C60758" w14:textId="77777777" w:rsidR="004C6421" w:rsidRDefault="009D1962">
            <w:pPr>
              <w:pStyle w:val="P68B1DB1-Normal4"/>
              <w:spacing w:line="276" w:lineRule="auto"/>
              <w:jc w:val="center"/>
              <w:rPr>
                <w:noProof/>
              </w:rPr>
            </w:pPr>
            <w:r>
              <w:rPr>
                <w:noProof/>
              </w:rPr>
              <w:t>14 000</w:t>
            </w:r>
          </w:p>
        </w:tc>
        <w:tc>
          <w:tcPr>
            <w:tcW w:w="1194" w:type="dxa"/>
            <w:shd w:val="clear" w:color="auto" w:fill="C6EFCE"/>
            <w:noWrap/>
            <w:vAlign w:val="center"/>
            <w:hideMark/>
          </w:tcPr>
          <w:p w14:paraId="09148500" w14:textId="77777777" w:rsidR="004C6421" w:rsidRDefault="009D1962">
            <w:pPr>
              <w:pStyle w:val="P68B1DB1-Normal4"/>
              <w:spacing w:line="276" w:lineRule="auto"/>
              <w:jc w:val="center"/>
              <w:rPr>
                <w:noProof/>
              </w:rPr>
            </w:pPr>
            <w:r>
              <w:rPr>
                <w:noProof/>
              </w:rPr>
              <w:t>45 000</w:t>
            </w:r>
          </w:p>
        </w:tc>
        <w:tc>
          <w:tcPr>
            <w:tcW w:w="2037" w:type="dxa"/>
            <w:shd w:val="clear" w:color="auto" w:fill="C6EFCE"/>
            <w:noWrap/>
            <w:vAlign w:val="center"/>
            <w:hideMark/>
          </w:tcPr>
          <w:p w14:paraId="733F1628" w14:textId="781736F4" w:rsidR="004C6421" w:rsidRDefault="00CC179E">
            <w:pPr>
              <w:pStyle w:val="P68B1DB1-Normal4"/>
              <w:spacing w:line="276" w:lineRule="auto"/>
              <w:jc w:val="center"/>
              <w:rPr>
                <w:noProof/>
              </w:rPr>
            </w:pPr>
            <w:r>
              <w:rPr>
                <w:noProof/>
              </w:rPr>
              <w:t>KW. 1</w:t>
            </w:r>
          </w:p>
        </w:tc>
        <w:tc>
          <w:tcPr>
            <w:tcW w:w="638" w:type="dxa"/>
            <w:shd w:val="clear" w:color="auto" w:fill="C6EFCE"/>
            <w:noWrap/>
            <w:vAlign w:val="center"/>
            <w:hideMark/>
          </w:tcPr>
          <w:p w14:paraId="5641EF78" w14:textId="77777777" w:rsidR="004C6421" w:rsidRDefault="009D1962">
            <w:pPr>
              <w:pStyle w:val="P68B1DB1-Normal4"/>
              <w:spacing w:line="276" w:lineRule="auto"/>
              <w:jc w:val="center"/>
              <w:rPr>
                <w:noProof/>
              </w:rPr>
            </w:pPr>
            <w:r>
              <w:rPr>
                <w:noProof/>
              </w:rPr>
              <w:t>2026</w:t>
            </w:r>
          </w:p>
        </w:tc>
        <w:tc>
          <w:tcPr>
            <w:tcW w:w="4116" w:type="dxa"/>
            <w:shd w:val="clear" w:color="auto" w:fill="C6EFCE"/>
            <w:noWrap/>
            <w:vAlign w:val="center"/>
            <w:hideMark/>
          </w:tcPr>
          <w:p w14:paraId="3A8CC103" w14:textId="77777777" w:rsidR="004C6421" w:rsidRDefault="009D1962">
            <w:pPr>
              <w:pStyle w:val="P68B1DB1-Normal4"/>
              <w:spacing w:line="276" w:lineRule="auto"/>
              <w:rPr>
                <w:noProof/>
              </w:rPr>
            </w:pPr>
            <w:r>
              <w:rPr>
                <w:noProof/>
              </w:rPr>
              <w:t>Dzielnica co najmniej 45 000 km sieci wodociągowej</w:t>
            </w:r>
          </w:p>
        </w:tc>
      </w:tr>
      <w:tr w:rsidR="004C6421" w14:paraId="2BF9232A" w14:textId="77777777">
        <w:trPr>
          <w:trHeight w:val="313"/>
          <w:jc w:val="center"/>
        </w:trPr>
        <w:tc>
          <w:tcPr>
            <w:tcW w:w="1130" w:type="dxa"/>
            <w:shd w:val="clear" w:color="auto" w:fill="C6EFCE"/>
            <w:noWrap/>
            <w:vAlign w:val="center"/>
            <w:hideMark/>
          </w:tcPr>
          <w:p w14:paraId="46A76B2A" w14:textId="77777777" w:rsidR="004C6421" w:rsidRDefault="009D1962">
            <w:pPr>
              <w:pStyle w:val="P68B1DB1-Normal4"/>
              <w:spacing w:line="276" w:lineRule="auto"/>
              <w:jc w:val="center"/>
              <w:rPr>
                <w:noProof/>
              </w:rPr>
            </w:pPr>
            <w:r>
              <w:rPr>
                <w:noProof/>
              </w:rPr>
              <w:t>M2C4-33</w:t>
            </w:r>
          </w:p>
        </w:tc>
        <w:tc>
          <w:tcPr>
            <w:tcW w:w="1560" w:type="dxa"/>
            <w:shd w:val="clear" w:color="auto" w:fill="C6EFCE"/>
            <w:noWrap/>
            <w:vAlign w:val="center"/>
            <w:hideMark/>
          </w:tcPr>
          <w:p w14:paraId="1FC70047" w14:textId="77777777" w:rsidR="004C6421" w:rsidRDefault="009D1962">
            <w:pPr>
              <w:pStyle w:val="P68B1DB1-Normal4"/>
              <w:spacing w:line="276" w:lineRule="auto"/>
              <w:jc w:val="center"/>
              <w:rPr>
                <w:noProof/>
              </w:rPr>
            </w:pPr>
            <w:r>
              <w:rPr>
                <w:noProof/>
              </w:rPr>
              <w:t>Inwestycje 4.3 Inwestycje w odporność agrosystemu nawadniania w celu lepszego gospodarowania zasobami wodnymi</w:t>
            </w:r>
          </w:p>
        </w:tc>
        <w:tc>
          <w:tcPr>
            <w:tcW w:w="1134" w:type="dxa"/>
            <w:shd w:val="clear" w:color="auto" w:fill="C6EFCE"/>
            <w:noWrap/>
            <w:vAlign w:val="center"/>
            <w:hideMark/>
          </w:tcPr>
          <w:p w14:paraId="30626B5A" w14:textId="2DA41931" w:rsidR="004C6421" w:rsidRDefault="00CC179E">
            <w:pPr>
              <w:pStyle w:val="P68B1DB1-Normal4"/>
              <w:spacing w:line="276" w:lineRule="auto"/>
              <w:jc w:val="center"/>
              <w:rPr>
                <w:noProof/>
              </w:rPr>
            </w:pPr>
            <w:r>
              <w:rPr>
                <w:noProof/>
              </w:rPr>
              <w:t>Milowy</w:t>
            </w:r>
          </w:p>
        </w:tc>
        <w:tc>
          <w:tcPr>
            <w:tcW w:w="1559" w:type="dxa"/>
            <w:shd w:val="clear" w:color="auto" w:fill="C6EFCE"/>
            <w:noWrap/>
            <w:vAlign w:val="center"/>
            <w:hideMark/>
          </w:tcPr>
          <w:p w14:paraId="4ABD2114" w14:textId="77777777" w:rsidR="004C6421" w:rsidRDefault="009D1962">
            <w:pPr>
              <w:pStyle w:val="P68B1DB1-Normal4"/>
              <w:spacing w:line="276" w:lineRule="auto"/>
              <w:jc w:val="center"/>
              <w:rPr>
                <w:noProof/>
              </w:rPr>
            </w:pPr>
            <w:r>
              <w:rPr>
                <w:noProof/>
              </w:rPr>
              <w:t>Przyznanie finansowania wszystkim projektom na rzecz odporności agrosystemu nawadniania na rzecz lepszego zarządzania zasobami wodnymi</w:t>
            </w:r>
          </w:p>
        </w:tc>
        <w:tc>
          <w:tcPr>
            <w:tcW w:w="1383" w:type="dxa"/>
            <w:shd w:val="clear" w:color="auto" w:fill="C6EFCE"/>
            <w:noWrap/>
            <w:vAlign w:val="center"/>
            <w:hideMark/>
          </w:tcPr>
          <w:p w14:paraId="54AADDBF" w14:textId="77777777" w:rsidR="004C6421" w:rsidRDefault="009D1962">
            <w:pPr>
              <w:pStyle w:val="P68B1DB1-Normal4"/>
              <w:spacing w:line="276" w:lineRule="auto"/>
              <w:jc w:val="center"/>
              <w:rPr>
                <w:noProof/>
              </w:rPr>
            </w:pPr>
            <w:r>
              <w:rPr>
                <w:noProof/>
              </w:rPr>
              <w:t>Publikacja dekretu (dekretów).</w:t>
            </w:r>
          </w:p>
        </w:tc>
        <w:tc>
          <w:tcPr>
            <w:tcW w:w="1094" w:type="dxa"/>
            <w:shd w:val="clear" w:color="auto" w:fill="C6EFCE"/>
            <w:noWrap/>
            <w:vAlign w:val="center"/>
            <w:hideMark/>
          </w:tcPr>
          <w:p w14:paraId="3A09CE4A" w14:textId="77777777" w:rsidR="004C6421" w:rsidRDefault="009D1962">
            <w:pPr>
              <w:pStyle w:val="P68B1DB1-Normal4"/>
              <w:spacing w:line="276" w:lineRule="auto"/>
              <w:jc w:val="center"/>
              <w:rPr>
                <w:noProof/>
              </w:rPr>
            </w:pPr>
            <w:r>
              <w:rPr>
                <w:noProof/>
              </w:rPr>
              <w:t>NIE DOT.</w:t>
            </w:r>
          </w:p>
        </w:tc>
        <w:tc>
          <w:tcPr>
            <w:tcW w:w="1290" w:type="dxa"/>
            <w:shd w:val="clear" w:color="auto" w:fill="C6EFCE"/>
            <w:noWrap/>
            <w:vAlign w:val="center"/>
            <w:hideMark/>
          </w:tcPr>
          <w:p w14:paraId="253BC7EC" w14:textId="77777777" w:rsidR="004C6421" w:rsidRDefault="009D1962">
            <w:pPr>
              <w:pStyle w:val="P68B1DB1-Normal4"/>
              <w:spacing w:line="276" w:lineRule="auto"/>
              <w:jc w:val="center"/>
              <w:rPr>
                <w:noProof/>
              </w:rPr>
            </w:pPr>
            <w:r>
              <w:rPr>
                <w:noProof/>
              </w:rPr>
              <w:t>NIE DOT.</w:t>
            </w:r>
          </w:p>
        </w:tc>
        <w:tc>
          <w:tcPr>
            <w:tcW w:w="1194" w:type="dxa"/>
            <w:shd w:val="clear" w:color="auto" w:fill="C6EFCE"/>
            <w:noWrap/>
            <w:vAlign w:val="center"/>
            <w:hideMark/>
          </w:tcPr>
          <w:p w14:paraId="017176D0" w14:textId="77777777" w:rsidR="004C6421" w:rsidRDefault="009D1962">
            <w:pPr>
              <w:pStyle w:val="P68B1DB1-Normal4"/>
              <w:spacing w:line="276" w:lineRule="auto"/>
              <w:jc w:val="center"/>
              <w:rPr>
                <w:noProof/>
              </w:rPr>
            </w:pPr>
            <w:r>
              <w:rPr>
                <w:noProof/>
              </w:rPr>
              <w:t>NIE DOT.</w:t>
            </w:r>
          </w:p>
        </w:tc>
        <w:tc>
          <w:tcPr>
            <w:tcW w:w="2037" w:type="dxa"/>
            <w:shd w:val="clear" w:color="auto" w:fill="C6EFCE"/>
            <w:noWrap/>
            <w:vAlign w:val="center"/>
            <w:hideMark/>
          </w:tcPr>
          <w:p w14:paraId="78E7C760" w14:textId="0B672BAB" w:rsidR="004C6421" w:rsidRDefault="00CC179E">
            <w:pPr>
              <w:pStyle w:val="P68B1DB1-Normal4"/>
              <w:spacing w:line="276" w:lineRule="auto"/>
              <w:jc w:val="center"/>
              <w:rPr>
                <w:noProof/>
              </w:rPr>
            </w:pPr>
            <w:r>
              <w:rPr>
                <w:noProof/>
              </w:rPr>
              <w:t>KW. 4</w:t>
            </w:r>
          </w:p>
        </w:tc>
        <w:tc>
          <w:tcPr>
            <w:tcW w:w="638" w:type="dxa"/>
            <w:shd w:val="clear" w:color="auto" w:fill="C6EFCE"/>
            <w:noWrap/>
            <w:vAlign w:val="center"/>
            <w:hideMark/>
          </w:tcPr>
          <w:p w14:paraId="6ED8A875" w14:textId="77777777" w:rsidR="004C6421" w:rsidRDefault="009D1962">
            <w:pPr>
              <w:pStyle w:val="P68B1DB1-Normal4"/>
              <w:spacing w:line="276" w:lineRule="auto"/>
              <w:jc w:val="center"/>
              <w:rPr>
                <w:noProof/>
              </w:rPr>
            </w:pPr>
            <w:r>
              <w:rPr>
                <w:noProof/>
              </w:rPr>
              <w:t>2023</w:t>
            </w:r>
          </w:p>
        </w:tc>
        <w:tc>
          <w:tcPr>
            <w:tcW w:w="4116" w:type="dxa"/>
            <w:shd w:val="clear" w:color="auto" w:fill="C6EFCE"/>
            <w:noWrap/>
            <w:vAlign w:val="center"/>
            <w:hideMark/>
          </w:tcPr>
          <w:p w14:paraId="08C37C2E" w14:textId="77777777" w:rsidR="004C6421" w:rsidRDefault="009D1962">
            <w:pPr>
              <w:pStyle w:val="P68B1DB1-Normal4"/>
              <w:autoSpaceDE w:val="0"/>
              <w:autoSpaceDN w:val="0"/>
              <w:spacing w:line="276" w:lineRule="auto"/>
              <w:rPr>
                <w:noProof/>
              </w:rPr>
            </w:pPr>
            <w:r>
              <w:rPr>
                <w:noProof/>
              </w:rPr>
              <w:t>Publikacja dekretu(-ów) dopuszczającego(-ych) wraz z przyznaniem (przydzieleniem) finansowania na projekty dotyczące interwencji dotyczących sieci i systemów nawadniania oraz związanego z nimi systemu cyfryzacji i monitorowania.</w:t>
            </w:r>
          </w:p>
          <w:p w14:paraId="4E7FA4EF" w14:textId="77777777" w:rsidR="004C6421" w:rsidRDefault="009D1962">
            <w:pPr>
              <w:pStyle w:val="P68B1DB1-Normal4"/>
              <w:autoSpaceDE w:val="0"/>
              <w:autoSpaceDN w:val="0"/>
              <w:spacing w:line="276" w:lineRule="auto"/>
              <w:rPr>
                <w:noProof/>
              </w:rPr>
            </w:pPr>
            <w:r>
              <w:rPr>
                <w:noProof/>
              </w:rPr>
              <w:t>Zakres umów obejmuje:</w:t>
            </w:r>
          </w:p>
          <w:p w14:paraId="11E755D2" w14:textId="77777777" w:rsidR="004C6421" w:rsidRDefault="009D1962">
            <w:pPr>
              <w:pStyle w:val="P68B1DB1-ListParagraph23"/>
              <w:numPr>
                <w:ilvl w:val="0"/>
                <w:numId w:val="100"/>
              </w:numPr>
              <w:autoSpaceDE w:val="0"/>
              <w:autoSpaceDN w:val="0"/>
              <w:spacing w:before="0" w:after="0" w:line="276" w:lineRule="auto"/>
              <w:rPr>
                <w:noProof/>
                <w:color w:val="006100"/>
              </w:rPr>
            </w:pPr>
            <w:r>
              <w:rPr>
                <w:noProof/>
                <w:color w:val="006100"/>
              </w:rPr>
              <w:t>Zachęcały do pomiaru i monitorowania zastosowań w sieciach zbiorowych (poprzez instalację liczników i systemów zdalnego sterowania),</w:t>
            </w:r>
            <w:r>
              <w:rPr>
                <w:noProof/>
              </w:rPr>
              <w:t xml:space="preserve"> w </w:t>
            </w:r>
            <w:r>
              <w:rPr>
                <w:noProof/>
                <w:color w:val="006100"/>
              </w:rPr>
              <w:t>tym do przejścia od samozaopatrzenia do użytku zbiorowego, co jest warunkiem wstępnym zakończenia wprowadzania polityki ustalania cen wody opartej na ilości wody w celu efektywnego wykorzystania zasobów wodnych w rolnictwie, a w konsekwencji stymulowania ograniczenia nielegalnego poboru wody na obszarach wiejskich.</w:t>
            </w:r>
          </w:p>
          <w:p w14:paraId="72D40977" w14:textId="77777777" w:rsidR="004C6421" w:rsidRDefault="009D1962">
            <w:pPr>
              <w:pStyle w:val="P68B1DB1-Normal4"/>
              <w:autoSpaceDE w:val="0"/>
              <w:autoSpaceDN w:val="0"/>
              <w:spacing w:line="276" w:lineRule="auto"/>
              <w:rPr>
                <w:noProof/>
              </w:rPr>
            </w:pPr>
            <w:r>
              <w:rPr>
                <w:noProof/>
              </w:rPr>
              <w:t xml:space="preserve"> </w:t>
            </w:r>
          </w:p>
          <w:p w14:paraId="4B7C1291" w14:textId="77777777" w:rsidR="004C6421" w:rsidRDefault="009D1962">
            <w:pPr>
              <w:pStyle w:val="P68B1DB1-ListParagraph5"/>
              <w:numPr>
                <w:ilvl w:val="0"/>
                <w:numId w:val="100"/>
              </w:numPr>
              <w:autoSpaceDE w:val="0"/>
              <w:autoSpaceDN w:val="0"/>
              <w:spacing w:before="0" w:after="0" w:line="276" w:lineRule="auto"/>
              <w:rPr>
                <w:noProof/>
              </w:rPr>
            </w:pPr>
            <w:r>
              <w:rPr>
                <w:noProof/>
              </w:rPr>
              <w:t xml:space="preserve">Inwestycje w nawadnianie powinny mieć na celu zwiększenie efektywności obecnego nawadniania, nawet jeżeli stan danej jednolitej części wód jest dobry. </w:t>
            </w:r>
          </w:p>
          <w:p w14:paraId="71E113B9" w14:textId="77777777" w:rsidR="004C6421" w:rsidRDefault="004C6421">
            <w:pPr>
              <w:pStyle w:val="ListParagraph"/>
              <w:rPr>
                <w:rFonts w:ascii="Arial Narrow" w:hAnsi="Arial Narrow"/>
                <w:noProof/>
                <w:color w:val="006100"/>
                <w:sz w:val="20"/>
              </w:rPr>
            </w:pPr>
          </w:p>
          <w:p w14:paraId="62BE923F" w14:textId="77777777" w:rsidR="004C6421" w:rsidRDefault="009D1962">
            <w:pPr>
              <w:pStyle w:val="P68B1DB1-Normal4"/>
              <w:autoSpaceDE w:val="0"/>
              <w:autoSpaceDN w:val="0"/>
              <w:spacing w:line="276" w:lineRule="auto"/>
              <w:rPr>
                <w:noProof/>
              </w:rPr>
            </w:pPr>
            <w:r>
              <w:rPr>
                <w:noProof/>
              </w:rPr>
              <w:t>Oczekuje się, że środek ten nie spowoduje poważnych szkód dla celów środowiskowych w rozumieniu art. 17 rozporządzenia (UE) 2020/852, biorąc pod uwagę opis środka i działania łagodzące określone w planie odbudowy i zwiększania odporności zgodnie z wytycznymi technicznymi dotyczącymi zasady „nie czyń poważnych szkód”.</w:t>
            </w:r>
          </w:p>
          <w:p w14:paraId="43FD6669" w14:textId="77777777" w:rsidR="004C6421" w:rsidRDefault="009D1962">
            <w:pPr>
              <w:pStyle w:val="P68B1DB1-Normal4"/>
              <w:autoSpaceDE w:val="0"/>
              <w:autoSpaceDN w:val="0"/>
              <w:spacing w:line="276" w:lineRule="auto"/>
              <w:rPr>
                <w:noProof/>
              </w:rPr>
            </w:pPr>
            <w:r>
              <w:rPr>
                <w:noProof/>
              </w:rPr>
              <w:t xml:space="preserve">(2021/C58/01). W szczególności w odniesieniu do każdej subinwestycji zapewnia się pełną zgodność z wymogami prawa UE, w tym ramowej dyrektywy wodnej, przed rozpoczęciem robót budowlanych, w ich trakcie i po ich rozpoczęciu. </w:t>
            </w:r>
          </w:p>
          <w:p w14:paraId="6B4E96B8" w14:textId="77777777" w:rsidR="004C6421" w:rsidRDefault="009D1962">
            <w:pPr>
              <w:pStyle w:val="P68B1DB1-Normal4"/>
              <w:autoSpaceDE w:val="0"/>
              <w:autoSpaceDN w:val="0"/>
              <w:spacing w:line="276" w:lineRule="auto"/>
              <w:rPr>
                <w:noProof/>
              </w:rPr>
            </w:pPr>
            <w:r>
              <w:rPr>
                <w:noProof/>
              </w:rPr>
              <w:t xml:space="preserve"> </w:t>
            </w:r>
          </w:p>
          <w:p w14:paraId="40F9031C" w14:textId="77777777" w:rsidR="004C6421" w:rsidRDefault="009D1962">
            <w:pPr>
              <w:pStyle w:val="P68B1DB1-Normal4"/>
              <w:autoSpaceDE w:val="0"/>
              <w:autoSpaceDN w:val="0"/>
              <w:spacing w:line="276" w:lineRule="auto"/>
              <w:rPr>
                <w:noProof/>
              </w:rPr>
            </w:pPr>
            <w:r>
              <w:rPr>
                <w:noProof/>
              </w:rPr>
              <w:t>Ponadto interwencje, w stosownych przypadkach zgodnie z prawem krajowym, podlegają ocenie oddziaływania na środowisko (OOŚ) zgodnie z dyrektywą 2011/92/UE, a także odpowiednim ocenom w kontekście dyrektywy 2000/60/WE i dyrektywy 92/43/EWG, w tym wdrożeniu wymaganych środków łagodzących.</w:t>
            </w:r>
          </w:p>
        </w:tc>
      </w:tr>
      <w:tr w:rsidR="004C6421" w14:paraId="1E76EB79" w14:textId="77777777">
        <w:trPr>
          <w:trHeight w:val="313"/>
          <w:jc w:val="center"/>
        </w:trPr>
        <w:tc>
          <w:tcPr>
            <w:tcW w:w="1130" w:type="dxa"/>
            <w:shd w:val="clear" w:color="auto" w:fill="C6EFCE"/>
            <w:noWrap/>
            <w:vAlign w:val="center"/>
            <w:hideMark/>
          </w:tcPr>
          <w:p w14:paraId="0FC6BB82" w14:textId="77777777" w:rsidR="004C6421" w:rsidRDefault="009D1962">
            <w:pPr>
              <w:pStyle w:val="P68B1DB1-Normal4"/>
              <w:spacing w:line="276" w:lineRule="auto"/>
              <w:jc w:val="center"/>
              <w:rPr>
                <w:noProof/>
              </w:rPr>
            </w:pPr>
            <w:r>
              <w:rPr>
                <w:noProof/>
              </w:rPr>
              <w:t>M2C4-34</w:t>
            </w:r>
          </w:p>
        </w:tc>
        <w:tc>
          <w:tcPr>
            <w:tcW w:w="1560" w:type="dxa"/>
            <w:shd w:val="clear" w:color="auto" w:fill="C6EFCE"/>
            <w:noWrap/>
            <w:vAlign w:val="center"/>
            <w:hideMark/>
          </w:tcPr>
          <w:p w14:paraId="56141502" w14:textId="77777777" w:rsidR="004C6421" w:rsidRDefault="009D1962">
            <w:pPr>
              <w:pStyle w:val="P68B1DB1-Normal4"/>
              <w:spacing w:line="276" w:lineRule="auto"/>
              <w:jc w:val="center"/>
              <w:rPr>
                <w:noProof/>
              </w:rPr>
            </w:pPr>
            <w:r>
              <w:rPr>
                <w:noProof/>
              </w:rPr>
              <w:t>Inwestycje 4.3 Inwestycje w odporność agrosystemu nawadniania w celu lepszego gospodarowania zasobami wodnymi</w:t>
            </w:r>
          </w:p>
        </w:tc>
        <w:tc>
          <w:tcPr>
            <w:tcW w:w="1134" w:type="dxa"/>
            <w:shd w:val="clear" w:color="auto" w:fill="C6EFCE"/>
            <w:noWrap/>
            <w:vAlign w:val="center"/>
            <w:hideMark/>
          </w:tcPr>
          <w:p w14:paraId="5B76E310" w14:textId="77777777" w:rsidR="004C6421" w:rsidRDefault="009D1962">
            <w:pPr>
              <w:pStyle w:val="P68B1DB1-Normal4"/>
              <w:spacing w:line="276" w:lineRule="auto"/>
              <w:jc w:val="center"/>
              <w:rPr>
                <w:noProof/>
              </w:rPr>
            </w:pPr>
            <w:r>
              <w:rPr>
                <w:noProof/>
              </w:rPr>
              <w:t>Cel</w:t>
            </w:r>
          </w:p>
        </w:tc>
        <w:tc>
          <w:tcPr>
            <w:tcW w:w="1559" w:type="dxa"/>
            <w:shd w:val="clear" w:color="auto" w:fill="C6EFCE"/>
            <w:noWrap/>
            <w:vAlign w:val="center"/>
            <w:hideMark/>
          </w:tcPr>
          <w:p w14:paraId="7AF1C7E2" w14:textId="77777777" w:rsidR="004C6421" w:rsidRDefault="009D1962">
            <w:pPr>
              <w:pStyle w:val="P68B1DB1-Normal4"/>
              <w:spacing w:line="276" w:lineRule="auto"/>
              <w:jc w:val="center"/>
              <w:rPr>
                <w:noProof/>
              </w:rPr>
            </w:pPr>
            <w:r>
              <w:rPr>
                <w:noProof/>
              </w:rPr>
              <w:t>Interwencje na rzecz odporności agrosystemu nawadniania w celu lepszego gospodarowania zasobami wodnymi T1</w:t>
            </w:r>
          </w:p>
        </w:tc>
        <w:tc>
          <w:tcPr>
            <w:tcW w:w="1383" w:type="dxa"/>
            <w:shd w:val="clear" w:color="auto" w:fill="C6EFCE"/>
            <w:noWrap/>
            <w:vAlign w:val="center"/>
            <w:hideMark/>
          </w:tcPr>
          <w:p w14:paraId="288E1899" w14:textId="77777777" w:rsidR="004C6421" w:rsidRDefault="009D1962">
            <w:pPr>
              <w:pStyle w:val="P68B1DB1-Normal4"/>
              <w:spacing w:line="276" w:lineRule="auto"/>
              <w:jc w:val="center"/>
              <w:rPr>
                <w:noProof/>
              </w:rPr>
            </w:pPr>
            <w:r>
              <w:rPr>
                <w:noProof/>
              </w:rPr>
              <w:t>NIE DOT.</w:t>
            </w:r>
          </w:p>
        </w:tc>
        <w:tc>
          <w:tcPr>
            <w:tcW w:w="1094" w:type="dxa"/>
            <w:shd w:val="clear" w:color="auto" w:fill="C6EFCE"/>
            <w:noWrap/>
            <w:vAlign w:val="center"/>
            <w:hideMark/>
          </w:tcPr>
          <w:p w14:paraId="6E5263D8" w14:textId="77777777" w:rsidR="004C6421" w:rsidRDefault="009D1962">
            <w:pPr>
              <w:pStyle w:val="P68B1DB1-Normal4"/>
              <w:spacing w:line="276" w:lineRule="auto"/>
              <w:jc w:val="center"/>
              <w:rPr>
                <w:noProof/>
              </w:rPr>
            </w:pPr>
            <w:r>
              <w:rPr>
                <w:noProof/>
              </w:rPr>
              <w:t>Procent</w:t>
            </w:r>
          </w:p>
        </w:tc>
        <w:tc>
          <w:tcPr>
            <w:tcW w:w="1290" w:type="dxa"/>
            <w:shd w:val="clear" w:color="auto" w:fill="C6EFCE"/>
            <w:noWrap/>
            <w:vAlign w:val="center"/>
            <w:hideMark/>
          </w:tcPr>
          <w:p w14:paraId="69CD537F" w14:textId="77777777" w:rsidR="004C6421" w:rsidRDefault="009D1962">
            <w:pPr>
              <w:pStyle w:val="P68B1DB1-Normal4"/>
              <w:spacing w:line="276" w:lineRule="auto"/>
              <w:jc w:val="center"/>
              <w:rPr>
                <w:noProof/>
              </w:rPr>
            </w:pPr>
            <w:r>
              <w:rPr>
                <w:noProof/>
              </w:rPr>
              <w:t>24</w:t>
            </w:r>
          </w:p>
        </w:tc>
        <w:tc>
          <w:tcPr>
            <w:tcW w:w="1194" w:type="dxa"/>
            <w:shd w:val="clear" w:color="auto" w:fill="C6EFCE"/>
            <w:noWrap/>
            <w:vAlign w:val="center"/>
            <w:hideMark/>
          </w:tcPr>
          <w:p w14:paraId="05091D0F" w14:textId="77777777" w:rsidR="004C6421" w:rsidRDefault="009D1962">
            <w:pPr>
              <w:pStyle w:val="P68B1DB1-Normal4"/>
              <w:spacing w:line="276" w:lineRule="auto"/>
              <w:jc w:val="center"/>
              <w:rPr>
                <w:noProof/>
              </w:rPr>
            </w:pPr>
            <w:r>
              <w:rPr>
                <w:noProof/>
              </w:rPr>
              <w:t>26</w:t>
            </w:r>
          </w:p>
        </w:tc>
        <w:tc>
          <w:tcPr>
            <w:tcW w:w="2037" w:type="dxa"/>
            <w:shd w:val="clear" w:color="auto" w:fill="C6EFCE"/>
            <w:noWrap/>
            <w:vAlign w:val="center"/>
            <w:hideMark/>
          </w:tcPr>
          <w:p w14:paraId="49AC8DD5" w14:textId="100301CF" w:rsidR="004C6421" w:rsidRDefault="00CC179E">
            <w:pPr>
              <w:pStyle w:val="P68B1DB1-Normal4"/>
              <w:spacing w:line="276" w:lineRule="auto"/>
              <w:jc w:val="center"/>
              <w:rPr>
                <w:noProof/>
              </w:rPr>
            </w:pPr>
            <w:r>
              <w:rPr>
                <w:noProof/>
              </w:rPr>
              <w:t>KW. 4</w:t>
            </w:r>
          </w:p>
        </w:tc>
        <w:tc>
          <w:tcPr>
            <w:tcW w:w="638" w:type="dxa"/>
            <w:shd w:val="clear" w:color="auto" w:fill="C6EFCE"/>
            <w:noWrap/>
            <w:vAlign w:val="center"/>
            <w:hideMark/>
          </w:tcPr>
          <w:p w14:paraId="7BCA05DB" w14:textId="77777777" w:rsidR="004C6421" w:rsidRDefault="009D1962">
            <w:pPr>
              <w:pStyle w:val="P68B1DB1-Normal4"/>
              <w:spacing w:line="276" w:lineRule="auto"/>
              <w:jc w:val="center"/>
              <w:rPr>
                <w:noProof/>
              </w:rPr>
            </w:pPr>
            <w:r>
              <w:rPr>
                <w:noProof/>
              </w:rPr>
              <w:t>2024</w:t>
            </w:r>
          </w:p>
        </w:tc>
        <w:tc>
          <w:tcPr>
            <w:tcW w:w="4116" w:type="dxa"/>
            <w:shd w:val="clear" w:color="auto" w:fill="C6EFCE"/>
            <w:noWrap/>
            <w:vAlign w:val="center"/>
            <w:hideMark/>
          </w:tcPr>
          <w:p w14:paraId="104FAED4" w14:textId="77777777" w:rsidR="004C6421" w:rsidRDefault="009D1962">
            <w:pPr>
              <w:pStyle w:val="P68B1DB1-Normal4"/>
              <w:spacing w:line="276" w:lineRule="auto"/>
              <w:rPr>
                <w:noProof/>
              </w:rPr>
            </w:pPr>
            <w:r>
              <w:rPr>
                <w:noProof/>
              </w:rPr>
              <w:t>Zwiększenie do co najmniej 26 % odsetka źródeł poboru wyposażonych w liczniki.</w:t>
            </w:r>
          </w:p>
          <w:p w14:paraId="5BF2AFB0" w14:textId="77777777" w:rsidR="004C6421" w:rsidRDefault="009D1962">
            <w:pPr>
              <w:pStyle w:val="P68B1DB1-Normal4"/>
              <w:spacing w:line="276" w:lineRule="auto"/>
              <w:rPr>
                <w:noProof/>
              </w:rPr>
            </w:pPr>
            <w:r>
              <w:rPr>
                <w:noProof/>
              </w:rPr>
              <w:t>Ogólne interwencje w zakresie efektywności sieci obejmują również instalację:</w:t>
            </w:r>
          </w:p>
          <w:p w14:paraId="084AE761" w14:textId="77777777" w:rsidR="004C6421" w:rsidRDefault="009D1962">
            <w:pPr>
              <w:pStyle w:val="P68B1DB1-ListParagraph5"/>
              <w:numPr>
                <w:ilvl w:val="0"/>
                <w:numId w:val="99"/>
              </w:numPr>
              <w:spacing w:before="0" w:after="0" w:line="276" w:lineRule="auto"/>
              <w:rPr>
                <w:noProof/>
              </w:rPr>
            </w:pPr>
            <w:r>
              <w:rPr>
                <w:noProof/>
              </w:rPr>
              <w:t>150 metrów trzeciego poziomu;</w:t>
            </w:r>
          </w:p>
          <w:p w14:paraId="3C9B320E" w14:textId="77777777" w:rsidR="004C6421" w:rsidRDefault="009D1962">
            <w:pPr>
              <w:pStyle w:val="P68B1DB1-ListParagraph5"/>
              <w:numPr>
                <w:ilvl w:val="0"/>
                <w:numId w:val="99"/>
              </w:numPr>
              <w:spacing w:before="0" w:after="0" w:line="276" w:lineRule="auto"/>
              <w:rPr>
                <w:noProof/>
              </w:rPr>
            </w:pPr>
            <w:r>
              <w:rPr>
                <w:noProof/>
              </w:rPr>
              <w:t>7500 metrów czwartego poziomu;</w:t>
            </w:r>
          </w:p>
          <w:p w14:paraId="28DC174F" w14:textId="77777777" w:rsidR="004C6421" w:rsidRDefault="009D1962">
            <w:pPr>
              <w:pStyle w:val="P68B1DB1-ListParagraph5"/>
              <w:numPr>
                <w:ilvl w:val="0"/>
                <w:numId w:val="99"/>
              </w:numPr>
              <w:spacing w:before="0" w:after="0" w:line="276" w:lineRule="auto"/>
              <w:rPr>
                <w:noProof/>
              </w:rPr>
            </w:pPr>
            <w:r>
              <w:rPr>
                <w:noProof/>
              </w:rPr>
              <w:t>Cyfryzacja i poprawa sieci.</w:t>
            </w:r>
          </w:p>
        </w:tc>
      </w:tr>
      <w:tr w:rsidR="004C6421" w14:paraId="37F1DDB4" w14:textId="77777777">
        <w:trPr>
          <w:trHeight w:val="313"/>
          <w:jc w:val="center"/>
        </w:trPr>
        <w:tc>
          <w:tcPr>
            <w:tcW w:w="1130" w:type="dxa"/>
            <w:shd w:val="clear" w:color="auto" w:fill="C6EFCE"/>
            <w:noWrap/>
            <w:vAlign w:val="center"/>
            <w:hideMark/>
          </w:tcPr>
          <w:p w14:paraId="53343628" w14:textId="77777777" w:rsidR="004C6421" w:rsidRDefault="009D1962">
            <w:pPr>
              <w:pStyle w:val="P68B1DB1-Normal4"/>
              <w:spacing w:line="276" w:lineRule="auto"/>
              <w:jc w:val="center"/>
              <w:rPr>
                <w:noProof/>
              </w:rPr>
            </w:pPr>
            <w:r>
              <w:rPr>
                <w:noProof/>
              </w:rPr>
              <w:t>M2C4-34bis</w:t>
            </w:r>
          </w:p>
        </w:tc>
        <w:tc>
          <w:tcPr>
            <w:tcW w:w="1560" w:type="dxa"/>
            <w:shd w:val="clear" w:color="auto" w:fill="C6EFCE"/>
            <w:noWrap/>
            <w:vAlign w:val="center"/>
            <w:hideMark/>
          </w:tcPr>
          <w:p w14:paraId="150E7506" w14:textId="77777777" w:rsidR="004C6421" w:rsidRDefault="009D1962">
            <w:pPr>
              <w:pStyle w:val="P68B1DB1-Normal4"/>
              <w:spacing w:line="276" w:lineRule="auto"/>
              <w:jc w:val="center"/>
              <w:rPr>
                <w:noProof/>
              </w:rPr>
            </w:pPr>
            <w:r>
              <w:rPr>
                <w:noProof/>
              </w:rPr>
              <w:t>Inwestycje 4.3 Inwestycje w odporność agrosystemu nawadniania w celu lepszego gospodarowania zasobami wodnymi</w:t>
            </w:r>
          </w:p>
        </w:tc>
        <w:tc>
          <w:tcPr>
            <w:tcW w:w="1134" w:type="dxa"/>
            <w:shd w:val="clear" w:color="auto" w:fill="C6EFCE"/>
            <w:noWrap/>
            <w:vAlign w:val="center"/>
            <w:hideMark/>
          </w:tcPr>
          <w:p w14:paraId="66AC2E82" w14:textId="77777777" w:rsidR="004C6421" w:rsidRDefault="009D1962">
            <w:pPr>
              <w:pStyle w:val="P68B1DB1-Normal4"/>
              <w:spacing w:line="276" w:lineRule="auto"/>
              <w:jc w:val="center"/>
              <w:rPr>
                <w:noProof/>
              </w:rPr>
            </w:pPr>
            <w:r>
              <w:rPr>
                <w:noProof/>
              </w:rPr>
              <w:t>Cel</w:t>
            </w:r>
          </w:p>
        </w:tc>
        <w:tc>
          <w:tcPr>
            <w:tcW w:w="1559" w:type="dxa"/>
            <w:shd w:val="clear" w:color="auto" w:fill="C6EFCE"/>
            <w:noWrap/>
            <w:vAlign w:val="center"/>
            <w:hideMark/>
          </w:tcPr>
          <w:p w14:paraId="76812E6E" w14:textId="77777777" w:rsidR="004C6421" w:rsidRDefault="009D1962">
            <w:pPr>
              <w:pStyle w:val="P68B1DB1-Normal4"/>
              <w:spacing w:line="276" w:lineRule="auto"/>
              <w:jc w:val="center"/>
              <w:rPr>
                <w:noProof/>
              </w:rPr>
            </w:pPr>
            <w:r>
              <w:rPr>
                <w:noProof/>
              </w:rPr>
              <w:t>Interwencje na rzecz odporności agrosystemu nawadniania w celu lepszego gospodarowania zasobami wodnymi T1</w:t>
            </w:r>
          </w:p>
        </w:tc>
        <w:tc>
          <w:tcPr>
            <w:tcW w:w="1383" w:type="dxa"/>
            <w:shd w:val="clear" w:color="auto" w:fill="C6EFCE"/>
            <w:noWrap/>
            <w:vAlign w:val="center"/>
            <w:hideMark/>
          </w:tcPr>
          <w:p w14:paraId="54DF1FCE" w14:textId="77777777" w:rsidR="004C6421" w:rsidRDefault="009D1962">
            <w:pPr>
              <w:pStyle w:val="P68B1DB1-Normal4"/>
              <w:spacing w:line="276" w:lineRule="auto"/>
              <w:jc w:val="center"/>
              <w:rPr>
                <w:noProof/>
              </w:rPr>
            </w:pPr>
            <w:r>
              <w:rPr>
                <w:noProof/>
              </w:rPr>
              <w:t>NIE DOT.</w:t>
            </w:r>
          </w:p>
        </w:tc>
        <w:tc>
          <w:tcPr>
            <w:tcW w:w="1094" w:type="dxa"/>
            <w:shd w:val="clear" w:color="auto" w:fill="C6EFCE"/>
            <w:noWrap/>
            <w:vAlign w:val="center"/>
            <w:hideMark/>
          </w:tcPr>
          <w:p w14:paraId="0ED406C5" w14:textId="77777777" w:rsidR="004C6421" w:rsidRDefault="009D1962">
            <w:pPr>
              <w:pStyle w:val="P68B1DB1-Normal4"/>
              <w:spacing w:line="276" w:lineRule="auto"/>
              <w:jc w:val="center"/>
              <w:rPr>
                <w:noProof/>
              </w:rPr>
            </w:pPr>
            <w:r>
              <w:rPr>
                <w:noProof/>
              </w:rPr>
              <w:t>Procent</w:t>
            </w:r>
          </w:p>
        </w:tc>
        <w:tc>
          <w:tcPr>
            <w:tcW w:w="1290" w:type="dxa"/>
            <w:shd w:val="clear" w:color="auto" w:fill="C6EFCE"/>
            <w:noWrap/>
            <w:vAlign w:val="center"/>
            <w:hideMark/>
          </w:tcPr>
          <w:p w14:paraId="77145A60" w14:textId="77777777" w:rsidR="004C6421" w:rsidRDefault="009D1962">
            <w:pPr>
              <w:pStyle w:val="P68B1DB1-Normal4"/>
              <w:spacing w:line="276" w:lineRule="auto"/>
              <w:jc w:val="center"/>
              <w:rPr>
                <w:noProof/>
              </w:rPr>
            </w:pPr>
            <w:r>
              <w:rPr>
                <w:noProof/>
              </w:rPr>
              <w:t>26</w:t>
            </w:r>
          </w:p>
        </w:tc>
        <w:tc>
          <w:tcPr>
            <w:tcW w:w="1194" w:type="dxa"/>
            <w:shd w:val="clear" w:color="auto" w:fill="C6EFCE"/>
            <w:noWrap/>
            <w:vAlign w:val="center"/>
            <w:hideMark/>
          </w:tcPr>
          <w:p w14:paraId="62DC1886" w14:textId="77777777" w:rsidR="004C6421" w:rsidRDefault="009D1962">
            <w:pPr>
              <w:pStyle w:val="P68B1DB1-Normal4"/>
              <w:spacing w:line="276" w:lineRule="auto"/>
              <w:jc w:val="center"/>
              <w:rPr>
                <w:noProof/>
              </w:rPr>
            </w:pPr>
            <w:r>
              <w:rPr>
                <w:noProof/>
              </w:rPr>
              <w:t>29</w:t>
            </w:r>
          </w:p>
        </w:tc>
        <w:tc>
          <w:tcPr>
            <w:tcW w:w="2037" w:type="dxa"/>
            <w:shd w:val="clear" w:color="auto" w:fill="C6EFCE"/>
            <w:noWrap/>
            <w:vAlign w:val="center"/>
            <w:hideMark/>
          </w:tcPr>
          <w:p w14:paraId="30A5AC11" w14:textId="77777777" w:rsidR="004C6421" w:rsidRDefault="009D1962">
            <w:pPr>
              <w:pStyle w:val="P68B1DB1-Normal4"/>
              <w:spacing w:line="276" w:lineRule="auto"/>
              <w:jc w:val="center"/>
              <w:rPr>
                <w:noProof/>
              </w:rPr>
            </w:pPr>
            <w:r>
              <w:rPr>
                <w:noProof/>
              </w:rPr>
              <w:t>II KW.</w:t>
            </w:r>
          </w:p>
        </w:tc>
        <w:tc>
          <w:tcPr>
            <w:tcW w:w="638" w:type="dxa"/>
            <w:shd w:val="clear" w:color="auto" w:fill="C6EFCE"/>
            <w:noWrap/>
            <w:vAlign w:val="center"/>
            <w:hideMark/>
          </w:tcPr>
          <w:p w14:paraId="5EC6C46B" w14:textId="77777777" w:rsidR="004C6421" w:rsidRDefault="009D1962">
            <w:pPr>
              <w:pStyle w:val="P68B1DB1-Normal4"/>
              <w:spacing w:line="276" w:lineRule="auto"/>
              <w:jc w:val="center"/>
              <w:rPr>
                <w:noProof/>
              </w:rPr>
            </w:pPr>
            <w:r>
              <w:rPr>
                <w:noProof/>
              </w:rPr>
              <w:t>2026</w:t>
            </w:r>
          </w:p>
        </w:tc>
        <w:tc>
          <w:tcPr>
            <w:tcW w:w="4116" w:type="dxa"/>
            <w:shd w:val="clear" w:color="auto" w:fill="C6EFCE"/>
            <w:noWrap/>
            <w:vAlign w:val="center"/>
            <w:hideMark/>
          </w:tcPr>
          <w:p w14:paraId="0A6A1836" w14:textId="77777777" w:rsidR="004C6421" w:rsidRDefault="009D1962">
            <w:pPr>
              <w:pStyle w:val="P68B1DB1-Normal4"/>
              <w:spacing w:line="276" w:lineRule="auto"/>
              <w:rPr>
                <w:noProof/>
              </w:rPr>
            </w:pPr>
            <w:r>
              <w:rPr>
                <w:noProof/>
              </w:rPr>
              <w:t>Zwiększyć do co najmniej 29 % odsetek źródeł poboru wyposażonych w liczniki.</w:t>
            </w:r>
          </w:p>
          <w:p w14:paraId="232F9334" w14:textId="77777777" w:rsidR="004C6421" w:rsidRDefault="009D1962">
            <w:pPr>
              <w:pStyle w:val="P68B1DB1-Normal4"/>
              <w:spacing w:line="276" w:lineRule="auto"/>
              <w:rPr>
                <w:noProof/>
              </w:rPr>
            </w:pPr>
            <w:r>
              <w:rPr>
                <w:noProof/>
              </w:rPr>
              <w:t>Ogólne interwencje w zakresie efektywności sieci obejmują również instalację:</w:t>
            </w:r>
          </w:p>
          <w:p w14:paraId="732F0595" w14:textId="77777777" w:rsidR="004C6421" w:rsidRDefault="009D1962">
            <w:pPr>
              <w:pStyle w:val="P68B1DB1-ListParagraph5"/>
              <w:numPr>
                <w:ilvl w:val="0"/>
                <w:numId w:val="98"/>
              </w:numPr>
              <w:spacing w:before="0" w:after="0" w:line="276" w:lineRule="auto"/>
              <w:rPr>
                <w:noProof/>
              </w:rPr>
            </w:pPr>
            <w:r>
              <w:rPr>
                <w:noProof/>
              </w:rPr>
              <w:t>500 metrów trzeciego poziomu;</w:t>
            </w:r>
          </w:p>
          <w:p w14:paraId="6DF62135" w14:textId="77777777" w:rsidR="004C6421" w:rsidRDefault="009D1962">
            <w:pPr>
              <w:pStyle w:val="P68B1DB1-ListParagraph5"/>
              <w:numPr>
                <w:ilvl w:val="0"/>
                <w:numId w:val="98"/>
              </w:numPr>
              <w:spacing w:before="0" w:after="0" w:line="276" w:lineRule="auto"/>
              <w:rPr>
                <w:noProof/>
              </w:rPr>
            </w:pPr>
            <w:r>
              <w:rPr>
                <w:noProof/>
              </w:rPr>
              <w:t>20000 metrów czwartego poziomu;</w:t>
            </w:r>
          </w:p>
          <w:p w14:paraId="1664E6AB" w14:textId="77777777" w:rsidR="004C6421" w:rsidRDefault="009D1962">
            <w:pPr>
              <w:pStyle w:val="P68B1DB1-ListParagraph5"/>
              <w:numPr>
                <w:ilvl w:val="0"/>
                <w:numId w:val="98"/>
              </w:numPr>
              <w:spacing w:before="0" w:after="0" w:line="276" w:lineRule="auto"/>
              <w:rPr>
                <w:noProof/>
              </w:rPr>
            </w:pPr>
            <w:r>
              <w:rPr>
                <w:noProof/>
              </w:rPr>
              <w:t>Cyfryzacja i poprawa sieci.</w:t>
            </w:r>
          </w:p>
        </w:tc>
      </w:tr>
      <w:tr w:rsidR="004C6421" w14:paraId="1EAC4CF6" w14:textId="77777777">
        <w:trPr>
          <w:trHeight w:val="313"/>
          <w:jc w:val="center"/>
        </w:trPr>
        <w:tc>
          <w:tcPr>
            <w:tcW w:w="1130" w:type="dxa"/>
            <w:shd w:val="clear" w:color="auto" w:fill="C6EFCE"/>
            <w:noWrap/>
            <w:vAlign w:val="center"/>
          </w:tcPr>
          <w:p w14:paraId="54D302FA" w14:textId="77777777" w:rsidR="004C6421" w:rsidRDefault="009D1962">
            <w:pPr>
              <w:pStyle w:val="P68B1DB1-Normal4"/>
              <w:spacing w:line="276" w:lineRule="auto"/>
              <w:jc w:val="center"/>
              <w:rPr>
                <w:noProof/>
              </w:rPr>
            </w:pPr>
            <w:r>
              <w:rPr>
                <w:noProof/>
              </w:rPr>
              <w:t>M2C4-35</w:t>
            </w:r>
          </w:p>
        </w:tc>
        <w:tc>
          <w:tcPr>
            <w:tcW w:w="1560" w:type="dxa"/>
            <w:shd w:val="clear" w:color="auto" w:fill="C6EFCE"/>
            <w:noWrap/>
            <w:vAlign w:val="center"/>
          </w:tcPr>
          <w:p w14:paraId="3E2620B0" w14:textId="77777777" w:rsidR="004C6421" w:rsidRDefault="009D1962">
            <w:pPr>
              <w:pStyle w:val="P68B1DB1-Normal4"/>
              <w:spacing w:line="276" w:lineRule="auto"/>
              <w:jc w:val="center"/>
              <w:rPr>
                <w:noProof/>
              </w:rPr>
            </w:pPr>
            <w:r>
              <w:rPr>
                <w:noProof/>
              </w:rPr>
              <w:t>Inwestycje 4.3 Inwestycje w odporność agrosystemu nawadniania w celu lepszego gospodarowania zasobami wodnymi</w:t>
            </w:r>
          </w:p>
        </w:tc>
        <w:tc>
          <w:tcPr>
            <w:tcW w:w="1134" w:type="dxa"/>
            <w:shd w:val="clear" w:color="auto" w:fill="C6EFCE"/>
            <w:noWrap/>
            <w:vAlign w:val="center"/>
          </w:tcPr>
          <w:p w14:paraId="57C0E10B" w14:textId="77777777" w:rsidR="004C6421" w:rsidRDefault="009D1962">
            <w:pPr>
              <w:pStyle w:val="P68B1DB1-Normal4"/>
              <w:spacing w:line="276" w:lineRule="auto"/>
              <w:jc w:val="center"/>
              <w:rPr>
                <w:noProof/>
              </w:rPr>
            </w:pPr>
            <w:r>
              <w:rPr>
                <w:noProof/>
              </w:rPr>
              <w:t>Cel</w:t>
            </w:r>
          </w:p>
        </w:tc>
        <w:tc>
          <w:tcPr>
            <w:tcW w:w="1559" w:type="dxa"/>
            <w:shd w:val="clear" w:color="auto" w:fill="C6EFCE"/>
            <w:noWrap/>
            <w:vAlign w:val="center"/>
          </w:tcPr>
          <w:p w14:paraId="1D864C6C" w14:textId="77777777" w:rsidR="004C6421" w:rsidRDefault="009D1962">
            <w:pPr>
              <w:pStyle w:val="P68B1DB1-Normal4"/>
              <w:spacing w:line="276" w:lineRule="auto"/>
              <w:jc w:val="center"/>
              <w:rPr>
                <w:noProof/>
              </w:rPr>
            </w:pPr>
            <w:r>
              <w:rPr>
                <w:noProof/>
              </w:rPr>
              <w:t>Interwencje na rzecz odporności agrosystemu nawadniania w celu lepszego gospodarowania zasobami wodnymi T1</w:t>
            </w:r>
          </w:p>
        </w:tc>
        <w:tc>
          <w:tcPr>
            <w:tcW w:w="1383" w:type="dxa"/>
            <w:shd w:val="clear" w:color="auto" w:fill="C6EFCE"/>
            <w:noWrap/>
            <w:vAlign w:val="center"/>
          </w:tcPr>
          <w:p w14:paraId="442E9484" w14:textId="77777777" w:rsidR="004C6421" w:rsidRDefault="009D1962">
            <w:pPr>
              <w:pStyle w:val="P68B1DB1-Normal4"/>
              <w:spacing w:line="276" w:lineRule="auto"/>
              <w:jc w:val="center"/>
              <w:rPr>
                <w:noProof/>
              </w:rPr>
            </w:pPr>
            <w:r>
              <w:rPr>
                <w:noProof/>
              </w:rPr>
              <w:t>NIE DOT.</w:t>
            </w:r>
          </w:p>
        </w:tc>
        <w:tc>
          <w:tcPr>
            <w:tcW w:w="1094" w:type="dxa"/>
            <w:shd w:val="clear" w:color="auto" w:fill="C6EFCE"/>
            <w:noWrap/>
            <w:vAlign w:val="center"/>
          </w:tcPr>
          <w:p w14:paraId="4A045828" w14:textId="77777777" w:rsidR="004C6421" w:rsidRDefault="009D1962">
            <w:pPr>
              <w:pStyle w:val="P68B1DB1-Normal4"/>
              <w:spacing w:line="276" w:lineRule="auto"/>
              <w:jc w:val="center"/>
              <w:rPr>
                <w:noProof/>
              </w:rPr>
            </w:pPr>
            <w:r>
              <w:rPr>
                <w:noProof/>
              </w:rPr>
              <w:t>Procent</w:t>
            </w:r>
          </w:p>
        </w:tc>
        <w:tc>
          <w:tcPr>
            <w:tcW w:w="1290" w:type="dxa"/>
            <w:shd w:val="clear" w:color="auto" w:fill="C6EFCE"/>
            <w:noWrap/>
            <w:vAlign w:val="center"/>
          </w:tcPr>
          <w:p w14:paraId="23B6C5F5" w14:textId="77777777" w:rsidR="004C6421" w:rsidRDefault="009D1962">
            <w:pPr>
              <w:pStyle w:val="P68B1DB1-Normal4"/>
              <w:spacing w:line="276" w:lineRule="auto"/>
              <w:jc w:val="center"/>
              <w:rPr>
                <w:noProof/>
              </w:rPr>
            </w:pPr>
            <w:r>
              <w:rPr>
                <w:noProof/>
              </w:rPr>
              <w:t>8</w:t>
            </w:r>
          </w:p>
        </w:tc>
        <w:tc>
          <w:tcPr>
            <w:tcW w:w="1194" w:type="dxa"/>
            <w:shd w:val="clear" w:color="auto" w:fill="C6EFCE"/>
            <w:noWrap/>
            <w:vAlign w:val="center"/>
          </w:tcPr>
          <w:p w14:paraId="35D51029" w14:textId="77777777" w:rsidR="004C6421" w:rsidRDefault="009D1962">
            <w:pPr>
              <w:pStyle w:val="P68B1DB1-Normal4"/>
              <w:spacing w:line="276" w:lineRule="auto"/>
              <w:jc w:val="center"/>
              <w:rPr>
                <w:noProof/>
              </w:rPr>
            </w:pPr>
            <w:r>
              <w:rPr>
                <w:noProof/>
              </w:rPr>
              <w:t>12</w:t>
            </w:r>
          </w:p>
        </w:tc>
        <w:tc>
          <w:tcPr>
            <w:tcW w:w="2037" w:type="dxa"/>
            <w:shd w:val="clear" w:color="auto" w:fill="C6EFCE"/>
            <w:noWrap/>
            <w:vAlign w:val="center"/>
          </w:tcPr>
          <w:p w14:paraId="49D9CBA9" w14:textId="5E692F00" w:rsidR="004C6421" w:rsidRDefault="00CC179E">
            <w:pPr>
              <w:pStyle w:val="P68B1DB1-Normal4"/>
              <w:spacing w:line="276" w:lineRule="auto"/>
              <w:jc w:val="center"/>
              <w:rPr>
                <w:noProof/>
              </w:rPr>
            </w:pPr>
            <w:r>
              <w:rPr>
                <w:noProof/>
              </w:rPr>
              <w:t>KW. 4</w:t>
            </w:r>
          </w:p>
        </w:tc>
        <w:tc>
          <w:tcPr>
            <w:tcW w:w="638" w:type="dxa"/>
            <w:shd w:val="clear" w:color="auto" w:fill="C6EFCE"/>
            <w:noWrap/>
            <w:vAlign w:val="center"/>
          </w:tcPr>
          <w:p w14:paraId="4366F945" w14:textId="77777777" w:rsidR="004C6421" w:rsidRDefault="009D1962">
            <w:pPr>
              <w:pStyle w:val="P68B1DB1-Normal4"/>
              <w:spacing w:line="276" w:lineRule="auto"/>
              <w:jc w:val="center"/>
              <w:rPr>
                <w:noProof/>
              </w:rPr>
            </w:pPr>
            <w:r>
              <w:rPr>
                <w:noProof/>
              </w:rPr>
              <w:t>2024</w:t>
            </w:r>
          </w:p>
        </w:tc>
        <w:tc>
          <w:tcPr>
            <w:tcW w:w="4116" w:type="dxa"/>
            <w:shd w:val="clear" w:color="auto" w:fill="C6EFCE"/>
            <w:noWrap/>
            <w:vAlign w:val="center"/>
          </w:tcPr>
          <w:p w14:paraId="6075B4F7" w14:textId="77777777" w:rsidR="004C6421" w:rsidRDefault="009D1962">
            <w:pPr>
              <w:pStyle w:val="P68B1DB1-Normal4"/>
              <w:spacing w:line="276" w:lineRule="auto"/>
              <w:rPr>
                <w:noProof/>
              </w:rPr>
            </w:pPr>
            <w:r>
              <w:rPr>
                <w:noProof/>
              </w:rPr>
              <w:t>Co najmniej 12 % odsetka nawadnianego obszaru korzysta z efektywnego wykorzystania zasobów nawadnianych.</w:t>
            </w:r>
          </w:p>
        </w:tc>
      </w:tr>
      <w:tr w:rsidR="004C6421" w14:paraId="1816DE31" w14:textId="77777777">
        <w:trPr>
          <w:trHeight w:val="313"/>
          <w:jc w:val="center"/>
        </w:trPr>
        <w:tc>
          <w:tcPr>
            <w:tcW w:w="1130" w:type="dxa"/>
            <w:shd w:val="clear" w:color="auto" w:fill="C6EFCE"/>
            <w:noWrap/>
            <w:vAlign w:val="center"/>
          </w:tcPr>
          <w:p w14:paraId="53113C0D" w14:textId="77777777" w:rsidR="004C6421" w:rsidRDefault="009D1962">
            <w:pPr>
              <w:pStyle w:val="P68B1DB1-Normal4"/>
              <w:spacing w:line="276" w:lineRule="auto"/>
              <w:jc w:val="center"/>
              <w:rPr>
                <w:noProof/>
              </w:rPr>
            </w:pPr>
            <w:r>
              <w:rPr>
                <w:noProof/>
              </w:rPr>
              <w:t>M2C4-35bis</w:t>
            </w:r>
          </w:p>
        </w:tc>
        <w:tc>
          <w:tcPr>
            <w:tcW w:w="1560" w:type="dxa"/>
            <w:shd w:val="clear" w:color="auto" w:fill="C6EFCE"/>
            <w:noWrap/>
            <w:vAlign w:val="center"/>
          </w:tcPr>
          <w:p w14:paraId="5739B1E3" w14:textId="77777777" w:rsidR="004C6421" w:rsidRDefault="009D1962">
            <w:pPr>
              <w:pStyle w:val="P68B1DB1-Normal4"/>
              <w:spacing w:line="276" w:lineRule="auto"/>
              <w:jc w:val="center"/>
              <w:rPr>
                <w:noProof/>
              </w:rPr>
            </w:pPr>
            <w:r>
              <w:rPr>
                <w:noProof/>
              </w:rPr>
              <w:t>Inwestycje 4.3 Inwestycje w odporność agrosystemu nawadniania w celu lepszego gospodarowania zasobami wodnymi</w:t>
            </w:r>
          </w:p>
        </w:tc>
        <w:tc>
          <w:tcPr>
            <w:tcW w:w="1134" w:type="dxa"/>
            <w:shd w:val="clear" w:color="auto" w:fill="C6EFCE"/>
            <w:noWrap/>
            <w:vAlign w:val="center"/>
          </w:tcPr>
          <w:p w14:paraId="5B6A3245" w14:textId="77777777" w:rsidR="004C6421" w:rsidRDefault="009D1962">
            <w:pPr>
              <w:pStyle w:val="P68B1DB1-Normal4"/>
              <w:spacing w:line="276" w:lineRule="auto"/>
              <w:jc w:val="center"/>
              <w:rPr>
                <w:noProof/>
              </w:rPr>
            </w:pPr>
            <w:r>
              <w:rPr>
                <w:noProof/>
              </w:rPr>
              <w:t>Cel</w:t>
            </w:r>
          </w:p>
        </w:tc>
        <w:tc>
          <w:tcPr>
            <w:tcW w:w="1559" w:type="dxa"/>
            <w:shd w:val="clear" w:color="auto" w:fill="C6EFCE"/>
            <w:noWrap/>
            <w:vAlign w:val="center"/>
          </w:tcPr>
          <w:p w14:paraId="141774FC" w14:textId="77777777" w:rsidR="004C6421" w:rsidRDefault="009D1962">
            <w:pPr>
              <w:pStyle w:val="P68B1DB1-Normal4"/>
              <w:spacing w:line="276" w:lineRule="auto"/>
              <w:jc w:val="center"/>
              <w:rPr>
                <w:noProof/>
              </w:rPr>
            </w:pPr>
            <w:r>
              <w:rPr>
                <w:noProof/>
              </w:rPr>
              <w:t>Interwencje na rzecz odporności agrosystemu nawadniania w celu lepszego gospodarowania zasobami wodnymi T2</w:t>
            </w:r>
          </w:p>
        </w:tc>
        <w:tc>
          <w:tcPr>
            <w:tcW w:w="1383" w:type="dxa"/>
            <w:shd w:val="clear" w:color="auto" w:fill="C6EFCE"/>
            <w:noWrap/>
            <w:vAlign w:val="center"/>
          </w:tcPr>
          <w:p w14:paraId="62EF9AF2" w14:textId="77777777" w:rsidR="004C6421" w:rsidRDefault="009D1962">
            <w:pPr>
              <w:pStyle w:val="P68B1DB1-Normal4"/>
              <w:spacing w:line="276" w:lineRule="auto"/>
              <w:jc w:val="center"/>
              <w:rPr>
                <w:noProof/>
              </w:rPr>
            </w:pPr>
            <w:r>
              <w:rPr>
                <w:noProof/>
              </w:rPr>
              <w:t>NIE DOT.</w:t>
            </w:r>
          </w:p>
        </w:tc>
        <w:tc>
          <w:tcPr>
            <w:tcW w:w="1094" w:type="dxa"/>
            <w:shd w:val="clear" w:color="auto" w:fill="C6EFCE"/>
            <w:noWrap/>
            <w:vAlign w:val="center"/>
          </w:tcPr>
          <w:p w14:paraId="1D1826FC" w14:textId="77777777" w:rsidR="004C6421" w:rsidRDefault="009D1962">
            <w:pPr>
              <w:pStyle w:val="P68B1DB1-Normal4"/>
              <w:spacing w:line="276" w:lineRule="auto"/>
              <w:jc w:val="center"/>
              <w:rPr>
                <w:noProof/>
              </w:rPr>
            </w:pPr>
            <w:r>
              <w:rPr>
                <w:noProof/>
              </w:rPr>
              <w:t>Procent</w:t>
            </w:r>
          </w:p>
        </w:tc>
        <w:tc>
          <w:tcPr>
            <w:tcW w:w="1290" w:type="dxa"/>
            <w:shd w:val="clear" w:color="auto" w:fill="C6EFCE"/>
            <w:noWrap/>
            <w:vAlign w:val="center"/>
          </w:tcPr>
          <w:p w14:paraId="429C48B2" w14:textId="77777777" w:rsidR="004C6421" w:rsidRDefault="009D1962">
            <w:pPr>
              <w:pStyle w:val="P68B1DB1-Normal4"/>
              <w:spacing w:line="276" w:lineRule="auto"/>
              <w:jc w:val="center"/>
              <w:rPr>
                <w:noProof/>
              </w:rPr>
            </w:pPr>
            <w:r>
              <w:rPr>
                <w:noProof/>
              </w:rPr>
              <w:t>12</w:t>
            </w:r>
          </w:p>
        </w:tc>
        <w:tc>
          <w:tcPr>
            <w:tcW w:w="1194" w:type="dxa"/>
            <w:shd w:val="clear" w:color="auto" w:fill="C6EFCE"/>
            <w:noWrap/>
            <w:vAlign w:val="center"/>
          </w:tcPr>
          <w:p w14:paraId="009DA285" w14:textId="77777777" w:rsidR="004C6421" w:rsidRDefault="009D1962">
            <w:pPr>
              <w:pStyle w:val="P68B1DB1-Normal4"/>
              <w:spacing w:line="276" w:lineRule="auto"/>
              <w:jc w:val="center"/>
              <w:rPr>
                <w:noProof/>
              </w:rPr>
            </w:pPr>
            <w:r>
              <w:rPr>
                <w:noProof/>
              </w:rPr>
              <w:t>24</w:t>
            </w:r>
          </w:p>
        </w:tc>
        <w:tc>
          <w:tcPr>
            <w:tcW w:w="2037" w:type="dxa"/>
            <w:shd w:val="clear" w:color="auto" w:fill="C6EFCE"/>
            <w:noWrap/>
            <w:vAlign w:val="center"/>
          </w:tcPr>
          <w:p w14:paraId="3A70713A" w14:textId="043CF3D0" w:rsidR="004C6421" w:rsidRDefault="00CC179E">
            <w:pPr>
              <w:pStyle w:val="P68B1DB1-Normal4"/>
              <w:spacing w:line="276" w:lineRule="auto"/>
              <w:jc w:val="center"/>
              <w:rPr>
                <w:noProof/>
              </w:rPr>
            </w:pPr>
            <w:r>
              <w:rPr>
                <w:noProof/>
              </w:rPr>
              <w:t>KW. 1</w:t>
            </w:r>
          </w:p>
        </w:tc>
        <w:tc>
          <w:tcPr>
            <w:tcW w:w="638" w:type="dxa"/>
            <w:shd w:val="clear" w:color="auto" w:fill="C6EFCE"/>
            <w:noWrap/>
            <w:vAlign w:val="center"/>
          </w:tcPr>
          <w:p w14:paraId="06B49EA8" w14:textId="77777777" w:rsidR="004C6421" w:rsidRDefault="009D1962">
            <w:pPr>
              <w:pStyle w:val="P68B1DB1-Normal4"/>
              <w:spacing w:line="276" w:lineRule="auto"/>
              <w:jc w:val="center"/>
              <w:rPr>
                <w:noProof/>
              </w:rPr>
            </w:pPr>
            <w:r>
              <w:rPr>
                <w:noProof/>
              </w:rPr>
              <w:t>2026</w:t>
            </w:r>
          </w:p>
        </w:tc>
        <w:tc>
          <w:tcPr>
            <w:tcW w:w="4116" w:type="dxa"/>
            <w:shd w:val="clear" w:color="auto" w:fill="C6EFCE"/>
            <w:noWrap/>
            <w:vAlign w:val="center"/>
          </w:tcPr>
          <w:p w14:paraId="5A375724" w14:textId="77777777" w:rsidR="004C6421" w:rsidRDefault="009D1962">
            <w:pPr>
              <w:pStyle w:val="P68B1DB1-Normal4"/>
              <w:spacing w:line="276" w:lineRule="auto"/>
              <w:rPr>
                <w:noProof/>
              </w:rPr>
            </w:pPr>
            <w:r>
              <w:rPr>
                <w:noProof/>
              </w:rPr>
              <w:t>Co najmniej 24 % odsetka nawadnianego obszaru korzystającego z efektywnego wykorzystania zasobów nawadniania</w:t>
            </w:r>
          </w:p>
        </w:tc>
      </w:tr>
      <w:tr w:rsidR="004C6421" w14:paraId="1D1A0805" w14:textId="77777777">
        <w:trPr>
          <w:trHeight w:val="313"/>
          <w:jc w:val="center"/>
        </w:trPr>
        <w:tc>
          <w:tcPr>
            <w:tcW w:w="1130" w:type="dxa"/>
            <w:shd w:val="clear" w:color="auto" w:fill="C6EFCE"/>
            <w:noWrap/>
            <w:vAlign w:val="center"/>
            <w:hideMark/>
          </w:tcPr>
          <w:p w14:paraId="4056B6AC" w14:textId="77777777" w:rsidR="004C6421" w:rsidRDefault="009D1962">
            <w:pPr>
              <w:pStyle w:val="P68B1DB1-Normal4"/>
              <w:spacing w:line="276" w:lineRule="auto"/>
              <w:jc w:val="center"/>
              <w:rPr>
                <w:noProof/>
              </w:rPr>
            </w:pPr>
            <w:r>
              <w:rPr>
                <w:noProof/>
              </w:rPr>
              <w:t>M2C4-36</w:t>
            </w:r>
          </w:p>
        </w:tc>
        <w:tc>
          <w:tcPr>
            <w:tcW w:w="1560" w:type="dxa"/>
            <w:shd w:val="clear" w:color="auto" w:fill="C6EFCE"/>
            <w:noWrap/>
            <w:vAlign w:val="center"/>
            <w:hideMark/>
          </w:tcPr>
          <w:p w14:paraId="59AAB927" w14:textId="77777777" w:rsidR="004C6421" w:rsidRDefault="009D1962">
            <w:pPr>
              <w:pStyle w:val="P68B1DB1-Normal4"/>
              <w:spacing w:line="276" w:lineRule="auto"/>
              <w:jc w:val="center"/>
              <w:rPr>
                <w:noProof/>
              </w:rPr>
            </w:pPr>
            <w:r>
              <w:rPr>
                <w:noProof/>
              </w:rPr>
              <w:t>Inwestycja 4.4 Inwestycje w kanalizację i oczyszczanie</w:t>
            </w:r>
          </w:p>
        </w:tc>
        <w:tc>
          <w:tcPr>
            <w:tcW w:w="1134" w:type="dxa"/>
            <w:shd w:val="clear" w:color="auto" w:fill="C6EFCE"/>
            <w:noWrap/>
            <w:vAlign w:val="center"/>
            <w:hideMark/>
          </w:tcPr>
          <w:p w14:paraId="058DF0C0" w14:textId="316219C0" w:rsidR="004C6421" w:rsidRDefault="00CC179E">
            <w:pPr>
              <w:pStyle w:val="P68B1DB1-Normal4"/>
              <w:spacing w:line="276" w:lineRule="auto"/>
              <w:jc w:val="center"/>
              <w:rPr>
                <w:noProof/>
              </w:rPr>
            </w:pPr>
            <w:r>
              <w:rPr>
                <w:noProof/>
              </w:rPr>
              <w:t>Milowy</w:t>
            </w:r>
          </w:p>
        </w:tc>
        <w:tc>
          <w:tcPr>
            <w:tcW w:w="1559" w:type="dxa"/>
            <w:shd w:val="clear" w:color="auto" w:fill="C6EFCE"/>
            <w:noWrap/>
            <w:vAlign w:val="center"/>
            <w:hideMark/>
          </w:tcPr>
          <w:p w14:paraId="3159B896" w14:textId="77777777" w:rsidR="004C6421" w:rsidRDefault="009D1962">
            <w:pPr>
              <w:pStyle w:val="P68B1DB1-Normal4"/>
              <w:spacing w:line="276" w:lineRule="auto"/>
              <w:jc w:val="center"/>
              <w:rPr>
                <w:noProof/>
              </w:rPr>
            </w:pPr>
            <w:r>
              <w:rPr>
                <w:noProof/>
              </w:rPr>
              <w:t>Przyznawanie środków finansowych na projekty dotyczące kanalizacji i oczyszczania</w:t>
            </w:r>
          </w:p>
        </w:tc>
        <w:tc>
          <w:tcPr>
            <w:tcW w:w="1383" w:type="dxa"/>
            <w:shd w:val="clear" w:color="auto" w:fill="C6EFCE"/>
            <w:noWrap/>
            <w:vAlign w:val="center"/>
            <w:hideMark/>
          </w:tcPr>
          <w:p w14:paraId="5A0B2D3B" w14:textId="77777777" w:rsidR="004C6421" w:rsidRDefault="009D1962">
            <w:pPr>
              <w:pStyle w:val="P68B1DB1-Normal4"/>
              <w:spacing w:line="276" w:lineRule="auto"/>
              <w:jc w:val="center"/>
              <w:rPr>
                <w:rFonts w:eastAsia="Arial Narrow" w:cs="Arial Narrow"/>
                <w:noProof/>
              </w:rPr>
            </w:pPr>
            <w:r>
              <w:rPr>
                <w:noProof/>
              </w:rPr>
              <w:t>Publikacja dekretu</w:t>
            </w:r>
          </w:p>
        </w:tc>
        <w:tc>
          <w:tcPr>
            <w:tcW w:w="1094" w:type="dxa"/>
            <w:shd w:val="clear" w:color="auto" w:fill="C6EFCE"/>
            <w:noWrap/>
            <w:vAlign w:val="center"/>
            <w:hideMark/>
          </w:tcPr>
          <w:p w14:paraId="79D308FF" w14:textId="77777777" w:rsidR="004C6421" w:rsidRDefault="009D1962">
            <w:pPr>
              <w:pStyle w:val="P68B1DB1-Normal4"/>
              <w:spacing w:line="276" w:lineRule="auto"/>
              <w:jc w:val="center"/>
              <w:rPr>
                <w:noProof/>
              </w:rPr>
            </w:pPr>
            <w:r>
              <w:rPr>
                <w:noProof/>
              </w:rPr>
              <w:t>NIE DOT.</w:t>
            </w:r>
          </w:p>
        </w:tc>
        <w:tc>
          <w:tcPr>
            <w:tcW w:w="1290" w:type="dxa"/>
            <w:shd w:val="clear" w:color="auto" w:fill="C6EFCE"/>
            <w:noWrap/>
            <w:vAlign w:val="center"/>
            <w:hideMark/>
          </w:tcPr>
          <w:p w14:paraId="300D134D" w14:textId="77777777" w:rsidR="004C6421" w:rsidRDefault="009D1962">
            <w:pPr>
              <w:pStyle w:val="P68B1DB1-Normal4"/>
              <w:spacing w:line="276" w:lineRule="auto"/>
              <w:jc w:val="center"/>
              <w:rPr>
                <w:noProof/>
              </w:rPr>
            </w:pPr>
            <w:r>
              <w:rPr>
                <w:noProof/>
              </w:rPr>
              <w:t xml:space="preserve">NIE DOT. </w:t>
            </w:r>
          </w:p>
        </w:tc>
        <w:tc>
          <w:tcPr>
            <w:tcW w:w="1194" w:type="dxa"/>
            <w:shd w:val="clear" w:color="auto" w:fill="C6EFCE"/>
            <w:noWrap/>
            <w:vAlign w:val="center"/>
            <w:hideMark/>
          </w:tcPr>
          <w:p w14:paraId="00AA43C6" w14:textId="77777777" w:rsidR="004C6421" w:rsidRDefault="009D1962">
            <w:pPr>
              <w:pStyle w:val="P68B1DB1-Normal4"/>
              <w:spacing w:line="276" w:lineRule="auto"/>
              <w:jc w:val="center"/>
              <w:rPr>
                <w:noProof/>
              </w:rPr>
            </w:pPr>
            <w:r>
              <w:rPr>
                <w:noProof/>
              </w:rPr>
              <w:t>NIE DOT.</w:t>
            </w:r>
          </w:p>
        </w:tc>
        <w:tc>
          <w:tcPr>
            <w:tcW w:w="2037" w:type="dxa"/>
            <w:shd w:val="clear" w:color="auto" w:fill="C6EFCE"/>
            <w:noWrap/>
            <w:vAlign w:val="center"/>
            <w:hideMark/>
          </w:tcPr>
          <w:p w14:paraId="1EF6AB65" w14:textId="1B82B484" w:rsidR="004C6421" w:rsidRDefault="00CC179E">
            <w:pPr>
              <w:pStyle w:val="P68B1DB1-Normal4"/>
              <w:spacing w:line="276" w:lineRule="auto"/>
              <w:jc w:val="center"/>
              <w:rPr>
                <w:noProof/>
              </w:rPr>
            </w:pPr>
            <w:r>
              <w:rPr>
                <w:noProof/>
              </w:rPr>
              <w:t>KW. 4</w:t>
            </w:r>
          </w:p>
        </w:tc>
        <w:tc>
          <w:tcPr>
            <w:tcW w:w="638" w:type="dxa"/>
            <w:shd w:val="clear" w:color="auto" w:fill="C6EFCE"/>
            <w:noWrap/>
            <w:vAlign w:val="center"/>
            <w:hideMark/>
          </w:tcPr>
          <w:p w14:paraId="7819F876" w14:textId="77777777" w:rsidR="004C6421" w:rsidRDefault="009D1962">
            <w:pPr>
              <w:pStyle w:val="P68B1DB1-Normal4"/>
              <w:spacing w:line="276" w:lineRule="auto"/>
              <w:jc w:val="center"/>
              <w:rPr>
                <w:noProof/>
              </w:rPr>
            </w:pPr>
            <w:r>
              <w:rPr>
                <w:noProof/>
              </w:rPr>
              <w:t>2023</w:t>
            </w:r>
          </w:p>
        </w:tc>
        <w:tc>
          <w:tcPr>
            <w:tcW w:w="4116" w:type="dxa"/>
            <w:shd w:val="clear" w:color="auto" w:fill="C6EFCE"/>
            <w:noWrap/>
            <w:vAlign w:val="center"/>
            <w:hideMark/>
          </w:tcPr>
          <w:p w14:paraId="175DCA1B" w14:textId="77777777" w:rsidR="004C6421" w:rsidRDefault="009D1962">
            <w:pPr>
              <w:pStyle w:val="P68B1DB1-Normal4"/>
              <w:spacing w:line="276" w:lineRule="auto"/>
              <w:rPr>
                <w:noProof/>
              </w:rPr>
            </w:pPr>
            <w:r>
              <w:rPr>
                <w:noProof/>
              </w:rPr>
              <w:t xml:space="preserve">Publikacja dekretu o przyjęciu projektów wraz z przyznaniem (przydzieleniem) środków finansowych na projekty.  </w:t>
            </w:r>
          </w:p>
          <w:p w14:paraId="041F3A04" w14:textId="77777777" w:rsidR="004C6421" w:rsidRDefault="004C6421">
            <w:pPr>
              <w:spacing w:line="276" w:lineRule="auto"/>
              <w:rPr>
                <w:rFonts w:ascii="Arial Narrow" w:hAnsi="Arial Narrow"/>
                <w:noProof/>
                <w:color w:val="006100"/>
                <w:sz w:val="20"/>
              </w:rPr>
            </w:pPr>
          </w:p>
          <w:p w14:paraId="3D015484" w14:textId="77777777" w:rsidR="004C6421" w:rsidRDefault="009D1962">
            <w:pPr>
              <w:pStyle w:val="P68B1DB1-Normal4"/>
              <w:spacing w:line="276" w:lineRule="auto"/>
              <w:rPr>
                <w:noProof/>
              </w:rPr>
            </w:pPr>
            <w:r>
              <w:rPr>
                <w:noProof/>
              </w:rPr>
              <w:t>Interwencje:</w:t>
            </w:r>
          </w:p>
          <w:p w14:paraId="7714141B" w14:textId="77777777" w:rsidR="004C6421" w:rsidRDefault="004C6421">
            <w:pPr>
              <w:spacing w:line="276" w:lineRule="auto"/>
              <w:rPr>
                <w:rFonts w:ascii="Arial Narrow" w:hAnsi="Arial Narrow"/>
                <w:noProof/>
                <w:color w:val="006100"/>
                <w:sz w:val="20"/>
              </w:rPr>
            </w:pPr>
          </w:p>
          <w:p w14:paraId="58544CF0" w14:textId="77777777" w:rsidR="004C6421" w:rsidRDefault="009D1962">
            <w:pPr>
              <w:pStyle w:val="P68B1DB1-ListParagraph5"/>
              <w:numPr>
                <w:ilvl w:val="0"/>
                <w:numId w:val="74"/>
              </w:numPr>
              <w:spacing w:before="0" w:after="0" w:line="276" w:lineRule="auto"/>
              <w:ind w:left="468"/>
              <w:jc w:val="left"/>
              <w:rPr>
                <w:noProof/>
              </w:rPr>
            </w:pPr>
            <w:r>
              <w:rPr>
                <w:noProof/>
              </w:rPr>
              <w:t>Zwiększenie skuteczności oczyszczania ścieków odprowadzanych do wód morskich i śródlądowych, również za pomocą innowacji technologicznych;</w:t>
            </w:r>
          </w:p>
          <w:p w14:paraId="35187A37" w14:textId="77777777" w:rsidR="004C6421" w:rsidRDefault="004C6421">
            <w:pPr>
              <w:spacing w:line="276" w:lineRule="auto"/>
              <w:ind w:left="468"/>
              <w:rPr>
                <w:rFonts w:ascii="Arial Narrow" w:hAnsi="Arial Narrow"/>
                <w:noProof/>
                <w:color w:val="006100"/>
                <w:sz w:val="20"/>
              </w:rPr>
            </w:pPr>
          </w:p>
          <w:p w14:paraId="07156075" w14:textId="77777777" w:rsidR="004C6421" w:rsidRDefault="009D1962">
            <w:pPr>
              <w:pStyle w:val="P68B1DB1-ListParagraph5"/>
              <w:numPr>
                <w:ilvl w:val="0"/>
                <w:numId w:val="74"/>
              </w:numPr>
              <w:spacing w:before="0" w:after="0" w:line="276" w:lineRule="auto"/>
              <w:ind w:left="468"/>
              <w:jc w:val="left"/>
              <w:rPr>
                <w:noProof/>
              </w:rPr>
            </w:pPr>
            <w:r>
              <w:rPr>
                <w:noProof/>
              </w:rPr>
              <w:t>W miarę możliwości przekształcić niektóre oczyszczalnie w „zielone fabryki”, które ponownie wykorzystują oczyszczone ścieki do nawadniania i do celów przemysłowych.</w:t>
            </w:r>
          </w:p>
          <w:p w14:paraId="5A221F20" w14:textId="77777777" w:rsidR="004C6421" w:rsidRDefault="004C6421">
            <w:pPr>
              <w:rPr>
                <w:rFonts w:ascii="Arial Narrow" w:hAnsi="Arial Narrow"/>
                <w:noProof/>
                <w:color w:val="006100"/>
                <w:sz w:val="20"/>
              </w:rPr>
            </w:pPr>
          </w:p>
          <w:p w14:paraId="6A10F86C" w14:textId="77777777" w:rsidR="004C6421" w:rsidRDefault="009D1962">
            <w:pPr>
              <w:pStyle w:val="P68B1DB1-Normal4"/>
              <w:rPr>
                <w:noProof/>
              </w:rPr>
            </w:pPr>
            <w:r>
              <w:rPr>
                <w:noProof/>
              </w:rPr>
              <w:t>Środek ten nie może powodować poważnych szkód dla celów środowiskowych w rozumieniu art. 17 rozporządzenia (UE) 2020/852, biorąc pod uwagę opis środka i działania łagodzące określone w planie odbudowy i zwiększania odporności zgodnie z wytycznymi technicznymi dotyczącymi zasady „nie czyń poważnych szkód” (2021/C58/01). W szczególności spalanie osadów nie jest kwalifikowalne.</w:t>
            </w:r>
          </w:p>
          <w:p w14:paraId="2817335C" w14:textId="77777777" w:rsidR="004C6421" w:rsidRDefault="004C6421">
            <w:pPr>
              <w:spacing w:line="276" w:lineRule="auto"/>
              <w:rPr>
                <w:rFonts w:ascii="Arial Narrow" w:hAnsi="Arial Narrow"/>
                <w:noProof/>
                <w:color w:val="006100"/>
                <w:sz w:val="20"/>
              </w:rPr>
            </w:pPr>
          </w:p>
        </w:tc>
      </w:tr>
      <w:tr w:rsidR="004C6421" w14:paraId="425E652F" w14:textId="77777777">
        <w:trPr>
          <w:trHeight w:val="313"/>
          <w:jc w:val="center"/>
        </w:trPr>
        <w:tc>
          <w:tcPr>
            <w:tcW w:w="1130" w:type="dxa"/>
            <w:shd w:val="clear" w:color="auto" w:fill="C6EFCE"/>
            <w:noWrap/>
            <w:vAlign w:val="center"/>
            <w:hideMark/>
          </w:tcPr>
          <w:p w14:paraId="0AB2791E" w14:textId="77777777" w:rsidR="004C6421" w:rsidRDefault="009D1962">
            <w:pPr>
              <w:pStyle w:val="P68B1DB1-Normal4"/>
              <w:spacing w:line="276" w:lineRule="auto"/>
              <w:jc w:val="center"/>
              <w:rPr>
                <w:noProof/>
              </w:rPr>
            </w:pPr>
            <w:r>
              <w:rPr>
                <w:noProof/>
              </w:rPr>
              <w:t>M2C4-37</w:t>
            </w:r>
          </w:p>
        </w:tc>
        <w:tc>
          <w:tcPr>
            <w:tcW w:w="1560" w:type="dxa"/>
            <w:shd w:val="clear" w:color="auto" w:fill="C6EFCE"/>
            <w:noWrap/>
            <w:vAlign w:val="center"/>
            <w:hideMark/>
          </w:tcPr>
          <w:p w14:paraId="7BDD2A71" w14:textId="77777777" w:rsidR="004C6421" w:rsidRDefault="009D1962">
            <w:pPr>
              <w:pStyle w:val="P68B1DB1-Normal4"/>
              <w:spacing w:line="276" w:lineRule="auto"/>
              <w:jc w:val="center"/>
              <w:rPr>
                <w:noProof/>
              </w:rPr>
            </w:pPr>
            <w:r>
              <w:rPr>
                <w:noProof/>
              </w:rPr>
              <w:t>Inwestycja 4.4 Inwestycje w kanalizację i oczyszczanie</w:t>
            </w:r>
          </w:p>
        </w:tc>
        <w:tc>
          <w:tcPr>
            <w:tcW w:w="1134" w:type="dxa"/>
            <w:shd w:val="clear" w:color="auto" w:fill="C6EFCE"/>
            <w:noWrap/>
            <w:vAlign w:val="center"/>
            <w:hideMark/>
          </w:tcPr>
          <w:p w14:paraId="6EB23A3E" w14:textId="77777777" w:rsidR="004C6421" w:rsidRDefault="009D1962">
            <w:pPr>
              <w:pStyle w:val="P68B1DB1-Normal4"/>
              <w:spacing w:line="276" w:lineRule="auto"/>
              <w:jc w:val="center"/>
              <w:rPr>
                <w:noProof/>
              </w:rPr>
            </w:pPr>
            <w:r>
              <w:rPr>
                <w:noProof/>
              </w:rPr>
              <w:t>Cel</w:t>
            </w:r>
          </w:p>
        </w:tc>
        <w:tc>
          <w:tcPr>
            <w:tcW w:w="1559" w:type="dxa"/>
            <w:shd w:val="clear" w:color="auto" w:fill="C6EFCE"/>
            <w:noWrap/>
            <w:vAlign w:val="center"/>
            <w:hideMark/>
          </w:tcPr>
          <w:p w14:paraId="46714CD7" w14:textId="77777777" w:rsidR="004C6421" w:rsidRDefault="009D1962">
            <w:pPr>
              <w:pStyle w:val="P68B1DB1-Normal4"/>
              <w:spacing w:line="276" w:lineRule="auto"/>
              <w:jc w:val="center"/>
              <w:rPr>
                <w:noProof/>
              </w:rPr>
            </w:pPr>
            <w:r>
              <w:rPr>
                <w:noProof/>
              </w:rPr>
              <w:t>Interwencje w zakresie kanalizacji i oczyszczania T1</w:t>
            </w:r>
          </w:p>
        </w:tc>
        <w:tc>
          <w:tcPr>
            <w:tcW w:w="1383" w:type="dxa"/>
            <w:shd w:val="clear" w:color="auto" w:fill="C6EFCE"/>
            <w:noWrap/>
            <w:vAlign w:val="center"/>
            <w:hideMark/>
          </w:tcPr>
          <w:p w14:paraId="039DB8BD" w14:textId="77777777" w:rsidR="004C6421" w:rsidRDefault="009D1962">
            <w:pPr>
              <w:pStyle w:val="P68B1DB1-Normal4"/>
              <w:spacing w:line="276" w:lineRule="auto"/>
              <w:jc w:val="center"/>
              <w:rPr>
                <w:noProof/>
              </w:rPr>
            </w:pPr>
            <w:r>
              <w:rPr>
                <w:noProof/>
              </w:rPr>
              <w:t>NIE DOT.</w:t>
            </w:r>
          </w:p>
        </w:tc>
        <w:tc>
          <w:tcPr>
            <w:tcW w:w="1094" w:type="dxa"/>
            <w:shd w:val="clear" w:color="auto" w:fill="C6EFCE"/>
            <w:noWrap/>
            <w:vAlign w:val="center"/>
            <w:hideMark/>
          </w:tcPr>
          <w:p w14:paraId="54C4DBF6" w14:textId="77777777" w:rsidR="004C6421" w:rsidRDefault="009D1962">
            <w:pPr>
              <w:pStyle w:val="P68B1DB1-Normal4"/>
              <w:spacing w:line="276" w:lineRule="auto"/>
              <w:jc w:val="center"/>
              <w:rPr>
                <w:noProof/>
              </w:rPr>
            </w:pPr>
            <w:r>
              <w:rPr>
                <w:noProof/>
              </w:rPr>
              <w:t>Numer</w:t>
            </w:r>
          </w:p>
        </w:tc>
        <w:tc>
          <w:tcPr>
            <w:tcW w:w="1290" w:type="dxa"/>
            <w:shd w:val="clear" w:color="auto" w:fill="C6EFCE"/>
            <w:noWrap/>
            <w:vAlign w:val="center"/>
            <w:hideMark/>
          </w:tcPr>
          <w:p w14:paraId="1F375A24" w14:textId="77777777" w:rsidR="004C6421" w:rsidRDefault="009D1962">
            <w:pPr>
              <w:pStyle w:val="P68B1DB1-Normal4"/>
              <w:spacing w:line="276" w:lineRule="auto"/>
              <w:jc w:val="center"/>
              <w:rPr>
                <w:noProof/>
              </w:rPr>
            </w:pPr>
            <w:r>
              <w:rPr>
                <w:noProof/>
              </w:rPr>
              <w:t>0</w:t>
            </w:r>
          </w:p>
        </w:tc>
        <w:tc>
          <w:tcPr>
            <w:tcW w:w="1194" w:type="dxa"/>
            <w:shd w:val="clear" w:color="auto" w:fill="C6EFCE"/>
            <w:noWrap/>
            <w:vAlign w:val="center"/>
            <w:hideMark/>
          </w:tcPr>
          <w:p w14:paraId="2989CE87" w14:textId="77777777" w:rsidR="004C6421" w:rsidRDefault="009D1962">
            <w:pPr>
              <w:pStyle w:val="P68B1DB1-Normal4"/>
              <w:spacing w:line="276" w:lineRule="auto"/>
              <w:jc w:val="center"/>
              <w:rPr>
                <w:noProof/>
              </w:rPr>
            </w:pPr>
            <w:r>
              <w:rPr>
                <w:noProof/>
              </w:rPr>
              <w:t>500 000</w:t>
            </w:r>
          </w:p>
        </w:tc>
        <w:tc>
          <w:tcPr>
            <w:tcW w:w="2037" w:type="dxa"/>
            <w:shd w:val="clear" w:color="auto" w:fill="C6EFCE"/>
            <w:noWrap/>
            <w:vAlign w:val="center"/>
            <w:hideMark/>
          </w:tcPr>
          <w:p w14:paraId="26C4D468" w14:textId="77777777" w:rsidR="004C6421" w:rsidRDefault="009D1962">
            <w:pPr>
              <w:pStyle w:val="P68B1DB1-Normal4"/>
              <w:spacing w:line="276" w:lineRule="auto"/>
              <w:jc w:val="center"/>
              <w:rPr>
                <w:noProof/>
              </w:rPr>
            </w:pPr>
            <w:r>
              <w:rPr>
                <w:noProof/>
              </w:rPr>
              <w:t>II KW.</w:t>
            </w:r>
          </w:p>
        </w:tc>
        <w:tc>
          <w:tcPr>
            <w:tcW w:w="638" w:type="dxa"/>
            <w:shd w:val="clear" w:color="auto" w:fill="C6EFCE"/>
            <w:noWrap/>
            <w:vAlign w:val="center"/>
            <w:hideMark/>
          </w:tcPr>
          <w:p w14:paraId="68155892" w14:textId="77777777" w:rsidR="004C6421" w:rsidRDefault="009D1962">
            <w:pPr>
              <w:pStyle w:val="P68B1DB1-Normal4"/>
              <w:spacing w:line="276" w:lineRule="auto"/>
              <w:jc w:val="center"/>
              <w:rPr>
                <w:noProof/>
              </w:rPr>
            </w:pPr>
            <w:r>
              <w:rPr>
                <w:noProof/>
              </w:rPr>
              <w:t>2025</w:t>
            </w:r>
          </w:p>
        </w:tc>
        <w:tc>
          <w:tcPr>
            <w:tcW w:w="4116" w:type="dxa"/>
            <w:shd w:val="clear" w:color="auto" w:fill="C6EFCE"/>
            <w:noWrap/>
            <w:vAlign w:val="center"/>
            <w:hideMark/>
          </w:tcPr>
          <w:p w14:paraId="15F3BB20" w14:textId="77777777" w:rsidR="004C6421" w:rsidRDefault="009D1962">
            <w:pPr>
              <w:pStyle w:val="P68B1DB1-Normal4"/>
              <w:spacing w:line="276" w:lineRule="auto"/>
              <w:rPr>
                <w:noProof/>
              </w:rPr>
            </w:pPr>
            <w:r>
              <w:rPr>
                <w:noProof/>
              </w:rPr>
              <w:t>Zmniejszenie liczby równoważnych mieszkańców aglomeracji niespełniających wymogów dyrektywy Rady 91/271/EWG w związku z nieodpowiednim zbieraniem i oczyszczaniem ścieków komunalnych o co najmniej 500000</w:t>
            </w:r>
          </w:p>
        </w:tc>
      </w:tr>
      <w:tr w:rsidR="004C6421" w14:paraId="2CF7333A" w14:textId="77777777">
        <w:trPr>
          <w:trHeight w:val="1236"/>
          <w:jc w:val="center"/>
        </w:trPr>
        <w:tc>
          <w:tcPr>
            <w:tcW w:w="1130" w:type="dxa"/>
            <w:shd w:val="clear" w:color="auto" w:fill="C6EFCE"/>
            <w:noWrap/>
            <w:vAlign w:val="center"/>
            <w:hideMark/>
          </w:tcPr>
          <w:p w14:paraId="3A5C9C82" w14:textId="77777777" w:rsidR="004C6421" w:rsidRDefault="009D1962">
            <w:pPr>
              <w:pStyle w:val="P68B1DB1-Normal4"/>
              <w:spacing w:line="276" w:lineRule="auto"/>
              <w:jc w:val="center"/>
              <w:rPr>
                <w:noProof/>
              </w:rPr>
            </w:pPr>
            <w:r>
              <w:rPr>
                <w:noProof/>
              </w:rPr>
              <w:t>M2C4-38</w:t>
            </w:r>
          </w:p>
        </w:tc>
        <w:tc>
          <w:tcPr>
            <w:tcW w:w="1560" w:type="dxa"/>
            <w:shd w:val="clear" w:color="auto" w:fill="C6EFCE"/>
            <w:noWrap/>
            <w:vAlign w:val="center"/>
            <w:hideMark/>
          </w:tcPr>
          <w:p w14:paraId="0DECF84D" w14:textId="77777777" w:rsidR="004C6421" w:rsidRDefault="009D1962">
            <w:pPr>
              <w:pStyle w:val="P68B1DB1-Normal4"/>
              <w:spacing w:line="276" w:lineRule="auto"/>
              <w:jc w:val="center"/>
              <w:rPr>
                <w:noProof/>
              </w:rPr>
            </w:pPr>
            <w:r>
              <w:rPr>
                <w:noProof/>
              </w:rPr>
              <w:t>Inwestycja 4.4 Inwestycje w kanalizację i oczyszczanie</w:t>
            </w:r>
          </w:p>
        </w:tc>
        <w:tc>
          <w:tcPr>
            <w:tcW w:w="1134" w:type="dxa"/>
            <w:shd w:val="clear" w:color="auto" w:fill="C6EFCE"/>
            <w:noWrap/>
            <w:vAlign w:val="center"/>
            <w:hideMark/>
          </w:tcPr>
          <w:p w14:paraId="56FE69FA" w14:textId="77777777" w:rsidR="004C6421" w:rsidRDefault="009D1962">
            <w:pPr>
              <w:pStyle w:val="P68B1DB1-Normal4"/>
              <w:spacing w:line="276" w:lineRule="auto"/>
              <w:jc w:val="center"/>
              <w:rPr>
                <w:noProof/>
              </w:rPr>
            </w:pPr>
            <w:r>
              <w:rPr>
                <w:noProof/>
              </w:rPr>
              <w:t>Cel</w:t>
            </w:r>
          </w:p>
        </w:tc>
        <w:tc>
          <w:tcPr>
            <w:tcW w:w="1559" w:type="dxa"/>
            <w:shd w:val="clear" w:color="auto" w:fill="C6EFCE"/>
            <w:noWrap/>
            <w:vAlign w:val="center"/>
            <w:hideMark/>
          </w:tcPr>
          <w:p w14:paraId="79348B03" w14:textId="77777777" w:rsidR="004C6421" w:rsidRDefault="009D1962">
            <w:pPr>
              <w:pStyle w:val="P68B1DB1-Normal4"/>
              <w:spacing w:line="276" w:lineRule="auto"/>
              <w:jc w:val="center"/>
              <w:rPr>
                <w:noProof/>
              </w:rPr>
            </w:pPr>
            <w:r>
              <w:rPr>
                <w:noProof/>
              </w:rPr>
              <w:t>Interwencje w zakresie kanalizacji i oczyszczania T2</w:t>
            </w:r>
          </w:p>
        </w:tc>
        <w:tc>
          <w:tcPr>
            <w:tcW w:w="1383" w:type="dxa"/>
            <w:shd w:val="clear" w:color="auto" w:fill="C6EFCE"/>
            <w:noWrap/>
            <w:vAlign w:val="center"/>
            <w:hideMark/>
          </w:tcPr>
          <w:p w14:paraId="6FC5E135" w14:textId="77777777" w:rsidR="004C6421" w:rsidRDefault="009D1962">
            <w:pPr>
              <w:pStyle w:val="P68B1DB1-Normal4"/>
              <w:spacing w:line="276" w:lineRule="auto"/>
              <w:jc w:val="center"/>
              <w:rPr>
                <w:noProof/>
              </w:rPr>
            </w:pPr>
            <w:r>
              <w:rPr>
                <w:noProof/>
              </w:rPr>
              <w:t>NIE DOT.</w:t>
            </w:r>
          </w:p>
        </w:tc>
        <w:tc>
          <w:tcPr>
            <w:tcW w:w="1094" w:type="dxa"/>
            <w:shd w:val="clear" w:color="auto" w:fill="C6EFCE"/>
            <w:noWrap/>
            <w:vAlign w:val="center"/>
            <w:hideMark/>
          </w:tcPr>
          <w:p w14:paraId="155D967B" w14:textId="77777777" w:rsidR="004C6421" w:rsidRDefault="009D1962">
            <w:pPr>
              <w:pStyle w:val="P68B1DB1-Normal4"/>
              <w:spacing w:line="276" w:lineRule="auto"/>
              <w:jc w:val="center"/>
              <w:rPr>
                <w:noProof/>
              </w:rPr>
            </w:pPr>
            <w:r>
              <w:rPr>
                <w:noProof/>
              </w:rPr>
              <w:t>Numer</w:t>
            </w:r>
          </w:p>
        </w:tc>
        <w:tc>
          <w:tcPr>
            <w:tcW w:w="1290" w:type="dxa"/>
            <w:shd w:val="clear" w:color="auto" w:fill="C6EFCE"/>
            <w:noWrap/>
            <w:vAlign w:val="center"/>
            <w:hideMark/>
          </w:tcPr>
          <w:p w14:paraId="4262B9A3" w14:textId="77777777" w:rsidR="004C6421" w:rsidRDefault="009D1962">
            <w:pPr>
              <w:pStyle w:val="P68B1DB1-Normal4"/>
              <w:spacing w:line="276" w:lineRule="auto"/>
              <w:jc w:val="center"/>
              <w:rPr>
                <w:noProof/>
              </w:rPr>
            </w:pPr>
            <w:r>
              <w:rPr>
                <w:noProof/>
              </w:rPr>
              <w:t>500 000</w:t>
            </w:r>
          </w:p>
        </w:tc>
        <w:tc>
          <w:tcPr>
            <w:tcW w:w="1194" w:type="dxa"/>
            <w:shd w:val="clear" w:color="auto" w:fill="C6EFCE"/>
            <w:noWrap/>
            <w:vAlign w:val="center"/>
            <w:hideMark/>
          </w:tcPr>
          <w:p w14:paraId="60786A98" w14:textId="77777777" w:rsidR="004C6421" w:rsidRDefault="009D1962">
            <w:pPr>
              <w:pStyle w:val="P68B1DB1-Normal4"/>
              <w:spacing w:line="276" w:lineRule="auto"/>
              <w:jc w:val="center"/>
              <w:rPr>
                <w:noProof/>
              </w:rPr>
            </w:pPr>
            <w:r>
              <w:rPr>
                <w:noProof/>
              </w:rPr>
              <w:t>2 250 000</w:t>
            </w:r>
          </w:p>
        </w:tc>
        <w:tc>
          <w:tcPr>
            <w:tcW w:w="2037" w:type="dxa"/>
            <w:shd w:val="clear" w:color="auto" w:fill="C6EFCE"/>
            <w:noWrap/>
            <w:vAlign w:val="center"/>
            <w:hideMark/>
          </w:tcPr>
          <w:p w14:paraId="069E34E5" w14:textId="0053F6A9" w:rsidR="004C6421" w:rsidRDefault="00CC179E">
            <w:pPr>
              <w:pStyle w:val="P68B1DB1-Normal4"/>
              <w:spacing w:line="276" w:lineRule="auto"/>
              <w:jc w:val="center"/>
              <w:rPr>
                <w:noProof/>
              </w:rPr>
            </w:pPr>
            <w:r>
              <w:rPr>
                <w:noProof/>
              </w:rPr>
              <w:t>KW. 1</w:t>
            </w:r>
          </w:p>
        </w:tc>
        <w:tc>
          <w:tcPr>
            <w:tcW w:w="638" w:type="dxa"/>
            <w:shd w:val="clear" w:color="auto" w:fill="C6EFCE"/>
            <w:noWrap/>
            <w:vAlign w:val="center"/>
            <w:hideMark/>
          </w:tcPr>
          <w:p w14:paraId="7E5FE957" w14:textId="77777777" w:rsidR="004C6421" w:rsidRDefault="009D1962">
            <w:pPr>
              <w:pStyle w:val="P68B1DB1-Normal4"/>
              <w:spacing w:line="276" w:lineRule="auto"/>
              <w:jc w:val="center"/>
              <w:rPr>
                <w:noProof/>
              </w:rPr>
            </w:pPr>
            <w:r>
              <w:rPr>
                <w:noProof/>
              </w:rPr>
              <w:t>2026</w:t>
            </w:r>
          </w:p>
        </w:tc>
        <w:tc>
          <w:tcPr>
            <w:tcW w:w="4116" w:type="dxa"/>
            <w:shd w:val="clear" w:color="auto" w:fill="C6EFCE"/>
            <w:noWrap/>
            <w:vAlign w:val="center"/>
            <w:hideMark/>
          </w:tcPr>
          <w:p w14:paraId="408798A1" w14:textId="77777777" w:rsidR="004C6421" w:rsidRDefault="009D1962">
            <w:pPr>
              <w:pStyle w:val="P68B1DB1-Normal4"/>
              <w:spacing w:line="276" w:lineRule="auto"/>
              <w:rPr>
                <w:noProof/>
              </w:rPr>
            </w:pPr>
            <w:r>
              <w:rPr>
                <w:noProof/>
              </w:rPr>
              <w:t>Zmniejszenie liczby równoważnych mieszkańców aglomeracji niespełniających wymogów dyrektywy Rady 91/271/EWG w związku z nieodpowiednim zbieraniem i oczyszczaniem ścieków komunalnych o co najmniej 2250000</w:t>
            </w:r>
          </w:p>
        </w:tc>
      </w:tr>
    </w:tbl>
    <w:p w14:paraId="227510A3" w14:textId="77777777" w:rsidR="004C6421" w:rsidRDefault="004C6421">
      <w:pPr>
        <w:tabs>
          <w:tab w:val="left" w:pos="4252"/>
        </w:tabs>
        <w:rPr>
          <w:i/>
          <w:noProof/>
        </w:rPr>
        <w:sectPr w:rsidR="004C6421" w:rsidSect="00F647F9">
          <w:headerReference w:type="even" r:id="rId206"/>
          <w:headerReference w:type="default" r:id="rId207"/>
          <w:footerReference w:type="even" r:id="rId208"/>
          <w:footerReference w:type="default" r:id="rId209"/>
          <w:headerReference w:type="first" r:id="rId210"/>
          <w:footerReference w:type="first" r:id="rId211"/>
          <w:pgSz w:w="23811" w:h="16838" w:orient="landscape" w:code="8"/>
          <w:pgMar w:top="720" w:right="720" w:bottom="720" w:left="720" w:header="567" w:footer="567" w:gutter="0"/>
          <w:cols w:space="720"/>
          <w:docGrid w:linePitch="360"/>
        </w:sectPr>
      </w:pPr>
    </w:p>
    <w:p w14:paraId="000C0B85" w14:textId="77777777" w:rsidR="004C6421" w:rsidRDefault="009D1962">
      <w:pPr>
        <w:pStyle w:val="Heading2"/>
        <w:numPr>
          <w:ilvl w:val="0"/>
          <w:numId w:val="0"/>
        </w:numPr>
        <w:rPr>
          <w:noProof/>
        </w:rPr>
      </w:pPr>
      <w:r>
        <w:rPr>
          <w:noProof/>
        </w:rPr>
        <w:t>H. ZADANIE 3 – KOMPONENT 1: Zrównoważona infrastruktura transportowa</w:t>
      </w:r>
    </w:p>
    <w:p w14:paraId="692299AC" w14:textId="77777777" w:rsidR="004C6421" w:rsidRDefault="004C6421">
      <w:pPr>
        <w:spacing w:before="120" w:after="120"/>
        <w:jc w:val="both"/>
        <w:rPr>
          <w:noProof/>
        </w:rPr>
      </w:pPr>
    </w:p>
    <w:p w14:paraId="6F6E49B4" w14:textId="77777777" w:rsidR="004C6421" w:rsidRDefault="009D1962">
      <w:pPr>
        <w:pStyle w:val="Heading3"/>
        <w:numPr>
          <w:ilvl w:val="0"/>
          <w:numId w:val="0"/>
        </w:numPr>
        <w:ind w:left="850" w:hanging="850"/>
        <w:rPr>
          <w:b/>
          <w:i w:val="0"/>
          <w:noProof/>
          <w:color w:val="4472C4" w:themeColor="accent1"/>
          <w:u w:val="single"/>
        </w:rPr>
      </w:pPr>
      <w:r>
        <w:rPr>
          <w:b/>
          <w:i w:val="0"/>
          <w:noProof/>
          <w:u w:val="single"/>
        </w:rPr>
        <w:t xml:space="preserve">H.1. </w:t>
      </w:r>
      <w:r>
        <w:rPr>
          <w:noProof/>
        </w:rPr>
        <w:t xml:space="preserve"> </w:t>
      </w:r>
      <w:r>
        <w:rPr>
          <w:b/>
          <w:i w:val="0"/>
          <w:noProof/>
          <w:u w:val="single"/>
        </w:rPr>
        <w:t>Opis reform i inwestycji, które mają być finansowane z bezzwrotnego wsparcia finansowego</w:t>
      </w:r>
    </w:p>
    <w:p w14:paraId="750E6D48" w14:textId="77777777" w:rsidR="004C6421" w:rsidRDefault="009D1962">
      <w:pPr>
        <w:pStyle w:val="P68B1DB1-Normal12"/>
        <w:spacing w:before="120" w:after="120"/>
        <w:jc w:val="both"/>
        <w:rPr>
          <w:noProof/>
        </w:rPr>
      </w:pPr>
      <w:r>
        <w:rPr>
          <w:noProof/>
        </w:rPr>
        <w:t>NIE DOT.</w:t>
      </w:r>
    </w:p>
    <w:p w14:paraId="45835CC4" w14:textId="77777777" w:rsidR="004C6421" w:rsidRDefault="009D1962">
      <w:pPr>
        <w:pStyle w:val="Heading3"/>
        <w:numPr>
          <w:ilvl w:val="0"/>
          <w:numId w:val="0"/>
        </w:numPr>
        <w:ind w:left="850" w:hanging="850"/>
        <w:rPr>
          <w:b/>
          <w:i w:val="0"/>
          <w:noProof/>
          <w:u w:val="single"/>
        </w:rPr>
      </w:pPr>
      <w:r>
        <w:rPr>
          <w:b/>
          <w:i w:val="0"/>
          <w:noProof/>
          <w:u w:val="single"/>
        </w:rPr>
        <w:t xml:space="preserve">H.2. </w:t>
      </w:r>
      <w:r>
        <w:rPr>
          <w:noProof/>
        </w:rPr>
        <w:t xml:space="preserve"> </w:t>
      </w:r>
      <w:r>
        <w:rPr>
          <w:b/>
          <w:i w:val="0"/>
          <w:noProof/>
          <w:u w:val="single"/>
        </w:rPr>
        <w:t>Kamienie milowe, wartości docelowe, wskaźniki i harmonogram monitorowania i realizacji na potrzeby bezzwrotnego wsparcia finansowego</w:t>
      </w:r>
    </w:p>
    <w:p w14:paraId="5B8A9D8C" w14:textId="77777777" w:rsidR="004C6421" w:rsidRDefault="009D1962">
      <w:pPr>
        <w:pStyle w:val="P68B1DB1-Normal10"/>
        <w:spacing w:before="120" w:after="120"/>
        <w:jc w:val="both"/>
        <w:rPr>
          <w:noProof/>
        </w:rPr>
      </w:pPr>
      <w:r>
        <w:rPr>
          <w:noProof/>
        </w:rPr>
        <w:t>NIE DOT.</w:t>
      </w:r>
    </w:p>
    <w:p w14:paraId="6FCAF599" w14:textId="77777777" w:rsidR="004C6421" w:rsidRDefault="004C6421">
      <w:pPr>
        <w:spacing w:before="120" w:after="120"/>
        <w:ind w:left="709"/>
        <w:jc w:val="both"/>
        <w:rPr>
          <w:noProof/>
        </w:rPr>
        <w:sectPr w:rsidR="004C6421" w:rsidSect="00797973">
          <w:headerReference w:type="even" r:id="rId212"/>
          <w:headerReference w:type="default" r:id="rId213"/>
          <w:footerReference w:type="even" r:id="rId214"/>
          <w:footerReference w:type="default" r:id="rId215"/>
          <w:headerReference w:type="first" r:id="rId216"/>
          <w:footerReference w:type="first" r:id="rId217"/>
          <w:pgSz w:w="11907" w:h="16839"/>
          <w:pgMar w:top="1440" w:right="1440" w:bottom="1440" w:left="1440" w:header="567" w:footer="567" w:gutter="0"/>
          <w:cols w:space="720"/>
          <w:docGrid w:linePitch="360"/>
        </w:sectPr>
      </w:pPr>
    </w:p>
    <w:p w14:paraId="583CE471" w14:textId="77777777" w:rsidR="004C6421" w:rsidRDefault="009D1962">
      <w:pPr>
        <w:pStyle w:val="Heading3"/>
        <w:numPr>
          <w:ilvl w:val="0"/>
          <w:numId w:val="0"/>
        </w:numPr>
        <w:ind w:left="850" w:hanging="850"/>
        <w:rPr>
          <w:b/>
          <w:i w:val="0"/>
          <w:noProof/>
          <w:color w:val="4472C4" w:themeColor="accent1"/>
          <w:u w:val="single"/>
        </w:rPr>
      </w:pPr>
      <w:r>
        <w:rPr>
          <w:b/>
          <w:i w:val="0"/>
          <w:noProof/>
          <w:u w:val="single"/>
        </w:rPr>
        <w:t xml:space="preserve">H.3. </w:t>
      </w:r>
      <w:r>
        <w:rPr>
          <w:noProof/>
        </w:rPr>
        <w:t xml:space="preserve"> </w:t>
      </w:r>
      <w:r>
        <w:rPr>
          <w:b/>
          <w:i w:val="0"/>
          <w:noProof/>
          <w:u w:val="single"/>
        </w:rPr>
        <w:t xml:space="preserve">Opis reform i inwestycji związanych z pożyczką </w:t>
      </w:r>
    </w:p>
    <w:p w14:paraId="3314B89D" w14:textId="77777777" w:rsidR="004C6421" w:rsidRDefault="009D1962">
      <w:pPr>
        <w:spacing w:before="120" w:after="120"/>
        <w:jc w:val="both"/>
        <w:rPr>
          <w:noProof/>
        </w:rPr>
      </w:pPr>
      <w:r>
        <w:rPr>
          <w:noProof/>
        </w:rPr>
        <w:t>Inwestycje w ten komponent wspierają rozwój infrastruktury kolejowej (szybkich prędkości, transportu towarowego, kolei regionalnych, europejskiego systemu zarządzania ruchem kolejowym). Towarzyszą im reformy mające na celu przyspieszenie inwestycji w infrastrukturę kolejową i poprawę jakości infrastruktury drogowej. Komponent reformy otoczenia biznesu zawiera środek tworzący dodatkowe zachęty dla regionów do ogłaszania przetargów na regionalne zamówienia publiczne na usługi kolejowe. Komponent ten zawiera środki mające na celu rozwój wykorzystania wodoru w kolejach.</w:t>
      </w:r>
    </w:p>
    <w:p w14:paraId="3CFB38A6" w14:textId="77777777" w:rsidR="004C6421" w:rsidRDefault="009D1962">
      <w:pPr>
        <w:spacing w:before="120" w:after="120"/>
        <w:jc w:val="both"/>
        <w:rPr>
          <w:noProof/>
        </w:rPr>
      </w:pPr>
      <w:r>
        <w:rPr>
          <w:noProof/>
        </w:rPr>
        <w:t>Komponent ten wspiera realizację zalecenia krajowego nr 3 z 2019 r., w którym wzywa się Włochy do „koncentrowania polityki gospodarczej związanej z inwestycjami na [...] jakości infrastruktury, z uwzględnieniem różnic regionalnych”, oraz zalecenia krajowego 3 z 2020 r. dotyczącego „Dojrzałych projektów inwestycji publicznych w zakresie zaopatrzenia” oraz do ukierunkowania inwestycji na transformację ekologiczną i cyfrową, w szczególności na czystą i efektywną produkcję i wykorzystanie energii, badania naukowe i innowacje, zrównoważony transport publiczny, gospodarkę odpadami i gospodarkę wodną, a także wzmocnioną infrastrukturę cyfrową w celu zapewnienia świadczenia podstawowych usług.</w:t>
      </w:r>
    </w:p>
    <w:p w14:paraId="0CB91B70" w14:textId="77777777" w:rsidR="004C6421" w:rsidRDefault="009D1962">
      <w:pPr>
        <w:spacing w:before="120" w:after="120"/>
        <w:jc w:val="both"/>
        <w:rPr>
          <w:noProof/>
        </w:rPr>
      </w:pPr>
      <w:r>
        <w:rPr>
          <w:noProof/>
        </w:rPr>
        <w:t xml:space="preserve">Oczekuje się, że żaden środek w ramach tego komponentu nie spowoduje znaczącej szkody w realizacji celów środowiskowych w rozumieniu art. 17 rozporządzenia (UE) 2020/852, biorąc pod uwagę opis środków i działań łagodzących określonych w planie odbudowy i zwiększania odporności zgodnie z wytycznymi technicznymi dotyczącymi zasady „nie czyń poważnych szkód” (2021/C58/01).  </w:t>
      </w:r>
    </w:p>
    <w:p w14:paraId="345E5714" w14:textId="77777777" w:rsidR="004C6421" w:rsidRDefault="009D1962">
      <w:pPr>
        <w:pStyle w:val="P68B1DB1-Normal2"/>
        <w:spacing w:before="120" w:after="120"/>
        <w:jc w:val="both"/>
        <w:rPr>
          <w:noProof/>
        </w:rPr>
      </w:pPr>
      <w:r>
        <w:rPr>
          <w:noProof/>
        </w:rPr>
        <w:t xml:space="preserve">Reforma 1.1 – Przyspieszenie procesu zatwierdzania umowy między Ministerstwem Infrastruktury i Transportu (MIT) a zarządcą infrastruktury kolejowej </w:t>
      </w:r>
      <w:r>
        <w:rPr>
          <w:i/>
          <w:noProof/>
        </w:rPr>
        <w:t>Rete Ferroviaria Italiana</w:t>
      </w:r>
    </w:p>
    <w:p w14:paraId="223F675E" w14:textId="77777777" w:rsidR="004C6421" w:rsidRDefault="009D1962">
      <w:pPr>
        <w:spacing w:before="120" w:after="120"/>
        <w:jc w:val="both"/>
        <w:rPr>
          <w:noProof/>
        </w:rPr>
      </w:pPr>
      <w:r>
        <w:rPr>
          <w:noProof/>
        </w:rPr>
        <w:t xml:space="preserve">Reforma ta polega na zniesieniu wymogu wyrażania przez komisje parlamentarne opinii na temat wykazu inwestycji w </w:t>
      </w:r>
      <w:r>
        <w:rPr>
          <w:i/>
          <w:noProof/>
        </w:rPr>
        <w:t>Contratti di Programma (CdP)</w:t>
      </w:r>
      <w:r>
        <w:rPr>
          <w:noProof/>
        </w:rPr>
        <w:t xml:space="preserve"> zarządcy infrastruktury kolejowej </w:t>
      </w:r>
      <w:r>
        <w:rPr>
          <w:i/>
          <w:noProof/>
        </w:rPr>
        <w:t>Rete Ferroviaria Italiana</w:t>
      </w:r>
      <w:r>
        <w:rPr>
          <w:noProof/>
        </w:rPr>
        <w:t>. Komisje parlamentarne wydają opinię na temat strategicznego programu inwestycji.</w:t>
      </w:r>
    </w:p>
    <w:p w14:paraId="756D5777" w14:textId="77777777" w:rsidR="004C6421" w:rsidRDefault="009D1962">
      <w:pPr>
        <w:pStyle w:val="P68B1DB1-Normal2"/>
        <w:spacing w:before="120" w:after="120"/>
        <w:jc w:val="both"/>
        <w:rPr>
          <w:noProof/>
        </w:rPr>
      </w:pPr>
      <w:r>
        <w:rPr>
          <w:noProof/>
        </w:rPr>
        <w:t>Reforma 1.2 – Przyspieszenie procesu zatwierdzania projektów</w:t>
      </w:r>
    </w:p>
    <w:p w14:paraId="7EC153A8" w14:textId="77777777" w:rsidR="004C6421" w:rsidRDefault="009D1962">
      <w:pPr>
        <w:spacing w:before="120" w:after="120"/>
        <w:jc w:val="both"/>
        <w:rPr>
          <w:noProof/>
        </w:rPr>
      </w:pPr>
      <w:r>
        <w:rPr>
          <w:noProof/>
        </w:rPr>
        <w:t>Reforma ta polega na przyjęciu przepisów umożliwiających przewidywanie wskazania miejsca prac w momencie realizacji „projektu ekonomicznej wykonalności technicznej” (PFTE), zamiast czekać na ostateczną fazę projektowania projektu. Dodatkowe zezwolenia, których nie można uzyskać na PFTE, zostałyby uzyskane w kolejnych fazach projektowania projektu bez zwołania „Conferenza dei Servizi” jako wyjątku od ustawy nr 241/1990. Zmiany te skracają czas zatwierdzania projektów z 11 do 6 miesięcy.</w:t>
      </w:r>
    </w:p>
    <w:p w14:paraId="59B355BB" w14:textId="77777777" w:rsidR="004C6421" w:rsidRDefault="009D1962">
      <w:pPr>
        <w:pStyle w:val="P68B1DB1-Normal2"/>
        <w:spacing w:before="120" w:after="120"/>
        <w:jc w:val="both"/>
        <w:rPr>
          <w:noProof/>
        </w:rPr>
      </w:pPr>
      <w:r>
        <w:rPr>
          <w:noProof/>
        </w:rPr>
        <w:t>Inwestycje 1.1 – Połączenia kolejowe dużych prędkości z Południem dla pasażerów i towarów</w:t>
      </w:r>
    </w:p>
    <w:p w14:paraId="4FECD0F5" w14:textId="77777777" w:rsidR="004C6421" w:rsidRDefault="009D1962">
      <w:pPr>
        <w:spacing w:before="120" w:after="120"/>
        <w:jc w:val="both"/>
        <w:rPr>
          <w:noProof/>
        </w:rPr>
      </w:pPr>
      <w:r>
        <w:rPr>
          <w:noProof/>
        </w:rPr>
        <w:t xml:space="preserve">Inwestycja ta polega na budowie 119 km infrastruktury kolejowej dużych prędkości dla pasażerów i towarów na liniach Napoli-Bari, Salerno-Reggio Calabria i Palermo-Katania. </w:t>
      </w:r>
    </w:p>
    <w:p w14:paraId="4B1921AB" w14:textId="77777777" w:rsidR="004C6421" w:rsidRDefault="009D1962">
      <w:pPr>
        <w:spacing w:before="120" w:after="120"/>
        <w:jc w:val="both"/>
        <w:rPr>
          <w:noProof/>
        </w:rPr>
      </w:pPr>
      <w:r>
        <w:rPr>
          <w:noProof/>
        </w:rPr>
        <w:t>Ocena i zatwierdzenie każdego odnośnego projektu lub inwestycji muszą być zgodne ze wszystkimi zasadami i procedurami określonymi w art. 6 ust. 3 i 4 dyrektywy UE 92/43/EWG oraz z krajowymi wytycznymi dotyczącymi oceny skutków opublikowanymi w oficjalnej gaziecie Republiki Włoskiej nr 303 z dnia 28 grudnia 2019 r.</w:t>
      </w:r>
    </w:p>
    <w:p w14:paraId="1E2D6EB8" w14:textId="77777777" w:rsidR="004C6421" w:rsidRDefault="009D1962">
      <w:pPr>
        <w:spacing w:before="120" w:after="120"/>
        <w:jc w:val="both"/>
        <w:rPr>
          <w:noProof/>
        </w:rPr>
      </w:pPr>
      <w:r>
        <w:rPr>
          <w:noProof/>
        </w:rPr>
        <w:t>Oczekuje się, że środek ten nie spowoduje znaczących szkód dla celów środowiskowych w rozumieniu art. 17 rozporządzenia (UE) 2020/852, biorąc pod uwagę opis środka i działania łagodzące określone w planie odbudowy i zwiększania odporności zgodnie z wytycznymi technicznymi DNSH (2021/C58/01).</w:t>
      </w:r>
    </w:p>
    <w:p w14:paraId="4FFD5B44" w14:textId="77777777" w:rsidR="004C6421" w:rsidRDefault="009D1962">
      <w:pPr>
        <w:pStyle w:val="P68B1DB1-Normal2"/>
        <w:spacing w:before="120" w:after="120"/>
        <w:jc w:val="both"/>
        <w:rPr>
          <w:noProof/>
        </w:rPr>
      </w:pPr>
      <w:r>
        <w:rPr>
          <w:noProof/>
        </w:rPr>
        <w:t>Inwestycje 1.2 – Linie dużych prędkości na północy łączące z resztą Europy</w:t>
      </w:r>
    </w:p>
    <w:p w14:paraId="45A3120D" w14:textId="77777777" w:rsidR="004C6421" w:rsidRDefault="009D1962">
      <w:pPr>
        <w:spacing w:before="120" w:after="120"/>
        <w:jc w:val="both"/>
        <w:rPr>
          <w:noProof/>
        </w:rPr>
      </w:pPr>
      <w:r>
        <w:rPr>
          <w:noProof/>
        </w:rPr>
        <w:t>Inwestycja ta polega na budowie 165 km infrastruktury kolejowej kolei dużych prędkości na liniach Brescia-Werona-Vicenza-Padova, Liguria-Alpi. Ocena i zatwierdzenie każdego odnośnego projektu/inwestycji jest zgodne ze wszystkimi zasadami i procedurami określonymi w art. 6 ust. 3 i 4 dyrektywy UE 92/43/EWG oraz z krajowymi wytycznymi dotyczącymi oceny skutków opublikowanymi w oficjalnej Gazzette Republiki Włoskiej nr 303 z dnia 28 grudnia 2019 r.</w:t>
      </w:r>
    </w:p>
    <w:p w14:paraId="1BF8481A" w14:textId="77777777" w:rsidR="004C6421" w:rsidRDefault="009D1962">
      <w:pPr>
        <w:spacing w:before="120" w:after="120"/>
        <w:jc w:val="both"/>
        <w:rPr>
          <w:noProof/>
        </w:rPr>
      </w:pPr>
      <w:r>
        <w:rPr>
          <w:noProof/>
        </w:rPr>
        <w:t>Oczekuje się, że środek ten nie spowoduje poważnych szkód dla celów środowiskowych w rozumieniu art. 17 rozporządzenia (UE) 2020/852, biorąc pod uwagę opis środka i działania łagodzące określone w planie odbudowy i zwiększania odporności zgodnie z wytycznymi technicznymi dotyczącymi zasady „nie czyń poważnych szkód” (2021/C58/01) oraz kamieniami Kamień milowyi i wartościami docelowymi, które mają zostać osiągnięte przez Włochy.</w:t>
      </w:r>
    </w:p>
    <w:p w14:paraId="1EF2DCF2" w14:textId="77777777" w:rsidR="004C6421" w:rsidRDefault="009D1962">
      <w:pPr>
        <w:spacing w:before="120" w:after="120"/>
        <w:jc w:val="both"/>
        <w:rPr>
          <w:noProof/>
        </w:rPr>
      </w:pPr>
      <w:r>
        <w:rPr>
          <w:noProof/>
        </w:rPr>
        <w:t>W przypadku segmentu Rho-Parabiago będzie uzależniona od pozytywnej oceny oddziaływania na środowisko, która w pełni i merytorycznie spełniła kryteria prawne, w pełni uwzględniając wszelkie wyniki i warunki wynikające z oceny oddziaływania na środowisko, jeżeli jest to konieczne do osiągnięcia zgodności z wytycznymi technicznymi dotyczącymi zasady „nie czyń poważnych szkód” (2021/C58/01). OOŚ jest publikowana i uzupełniana zgodnie z dyrektywą 2011/92/UE, a także odpowiednie oceny w kontekście dyrektywy 2000/60/WE i dyrektywy 92/43/EWG, w tym wdrożenie wymaganych środków łagodzących. Wszelkie środki określone w ramach OOŚ jako niezbędne do zapewnienia zgodności z wytycznymi technicznymi dotyczącymi zasady „nie czyń poważnych szkód” (2021/C58/01) są włączane do projektu i przestrzegane na etapach budowy, eksploatacji i likwidacji infrastruktury.</w:t>
      </w:r>
    </w:p>
    <w:p w14:paraId="6612FF09" w14:textId="77777777" w:rsidR="004C6421" w:rsidRDefault="009D1962">
      <w:pPr>
        <w:pStyle w:val="P68B1DB1-Normal2"/>
        <w:spacing w:before="120" w:after="120"/>
        <w:jc w:val="both"/>
        <w:rPr>
          <w:noProof/>
        </w:rPr>
      </w:pPr>
      <w:r>
        <w:rPr>
          <w:noProof/>
        </w:rPr>
        <w:t>Inwestycje 1.3 – Połączenia zasadnicze</w:t>
      </w:r>
    </w:p>
    <w:p w14:paraId="01CEF548" w14:textId="77777777" w:rsidR="004C6421" w:rsidRDefault="009D1962">
      <w:pPr>
        <w:spacing w:before="120" w:after="120"/>
        <w:jc w:val="both"/>
        <w:rPr>
          <w:noProof/>
        </w:rPr>
      </w:pPr>
      <w:r>
        <w:rPr>
          <w:noProof/>
        </w:rPr>
        <w:t>Inwestycja ta polega na budowie 27 km kolei dużych prędkości, zarówno pasażerskich, jak i towarowych, na liniach Orte-Falconara e Taranto – Metaponto-Potenza-Battipaglia. Ocena i zatwierdzenie każdego odnośnego projektu/inwestycji jest zgodne ze wszystkimi zasadami i procedurami określonymi w art. 6 ust. 3 i 4 dyrektywy UE 92/43/EWG oraz z krajowymi wytycznymi dotyczącymi oceny skutków opublikowanymi w oficjalnej Gazzette Republiki Włoskiej nr 303 z dnia 28 grudnia 2019 r.</w:t>
      </w:r>
    </w:p>
    <w:p w14:paraId="7BA48C0A" w14:textId="77777777" w:rsidR="004C6421" w:rsidRDefault="009D1962">
      <w:pPr>
        <w:pStyle w:val="P68B1DB1-Normal2"/>
        <w:spacing w:before="120" w:after="120"/>
        <w:jc w:val="both"/>
        <w:rPr>
          <w:noProof/>
        </w:rPr>
      </w:pPr>
      <w:r>
        <w:rPr>
          <w:noProof/>
        </w:rPr>
        <w:t>Inwestycje 1.4 – Europejski system zarządzania transportem kolejowym (ERTMS)</w:t>
      </w:r>
    </w:p>
    <w:p w14:paraId="729D6760" w14:textId="77777777" w:rsidR="004C6421" w:rsidRDefault="009D1962">
      <w:pPr>
        <w:spacing w:before="120" w:after="120"/>
        <w:jc w:val="both"/>
        <w:rPr>
          <w:noProof/>
        </w:rPr>
      </w:pPr>
      <w:r>
        <w:rPr>
          <w:noProof/>
        </w:rPr>
        <w:t xml:space="preserve">Inwestycja ta polega na wyposażeniu 2 785 km linii kolejowych w europejski system zarządzania transportem kolejowym (ERTMS) zgodnie z europejskim planem wdrożenia ERTMS.  </w:t>
      </w:r>
    </w:p>
    <w:p w14:paraId="1B93B581" w14:textId="77777777" w:rsidR="004C6421" w:rsidRDefault="009D1962">
      <w:pPr>
        <w:pStyle w:val="P68B1DB1-Normal2"/>
        <w:spacing w:before="120" w:after="120"/>
        <w:jc w:val="both"/>
        <w:rPr>
          <w:noProof/>
        </w:rPr>
      </w:pPr>
      <w:r>
        <w:rPr>
          <w:noProof/>
        </w:rPr>
        <w:t>Inwestycje 1.5 – Wzmocnienie węzłów metropolitalnych i kluczowych powiązań krajowych</w:t>
      </w:r>
    </w:p>
    <w:p w14:paraId="0CA6D16F" w14:textId="77777777" w:rsidR="004C6421" w:rsidRDefault="009D1962">
      <w:pPr>
        <w:spacing w:before="120" w:after="120"/>
        <w:jc w:val="both"/>
        <w:rPr>
          <w:noProof/>
        </w:rPr>
      </w:pPr>
      <w:r>
        <w:rPr>
          <w:noProof/>
        </w:rPr>
        <w:t>Inwestycja ta polega na modernizacji co najmniej 1 280 km odcinków linii kolejowych zbudowanych w 12 węzłach metropolitalnych i kluczowych połączeniach krajowych (Liguria-Alpy, Bolonia-Wenecja-Triest/Udine, Bolonia-Milano, Bolonia-Werona-Brennero, połączenie środkowo-północne Tyrrenia, połączenie Adriatycko-jońskie, węzły miejskie i linie regionalne; Terminale towarowe). Ocena i zatwierdzenie każdego odnośnego projektu lub inwestycji muszą być zgodne ze wszystkimi zasadami i procedurami określonymi w art. 6 ust. 3 i 4 dyrektywy UE 92/43/EWG oraz z krajowymi wytycznymi dotyczącymi oceny skutków opublikowanymi w oficjalnej Gazzette Republiki Włoskiej nr 303 z dnia 28 grudnia 2019 r.</w:t>
      </w:r>
    </w:p>
    <w:p w14:paraId="76BD524F" w14:textId="77777777" w:rsidR="004C6421" w:rsidRDefault="009D1962">
      <w:pPr>
        <w:pStyle w:val="P68B1DB1-Normal2"/>
        <w:spacing w:before="120" w:after="120"/>
        <w:jc w:val="both"/>
        <w:rPr>
          <w:noProof/>
        </w:rPr>
      </w:pPr>
      <w:r>
        <w:rPr>
          <w:noProof/>
        </w:rPr>
        <w:t>Inwestycje 1.6 – Wzmocnienie linii regionalnych – modernizacja kolei regionalnych (zarządzanie RFI)</w:t>
      </w:r>
    </w:p>
    <w:p w14:paraId="580B895F" w14:textId="77777777" w:rsidR="004C6421" w:rsidRDefault="009D1962">
      <w:pPr>
        <w:spacing w:before="120" w:after="120"/>
        <w:jc w:val="both"/>
        <w:rPr>
          <w:noProof/>
        </w:rPr>
      </w:pPr>
      <w:r>
        <w:rPr>
          <w:noProof/>
        </w:rPr>
        <w:t xml:space="preserve">Inwestycja ta polega na modernizacji 646 km linii regionalnych, których własność została przeniesiona na </w:t>
      </w:r>
      <w:r>
        <w:rPr>
          <w:i/>
          <w:noProof/>
        </w:rPr>
        <w:t>Rete Ferroviaria Italiana (RFI)</w:t>
      </w:r>
      <w:r>
        <w:rPr>
          <w:noProof/>
        </w:rPr>
        <w:t xml:space="preserve"> lub zostanie stopniowo przeniesiona na Rete Ferroviaria Italiana (RFI). Ocena i zatwierdzenie każdego odnośnego projektu lub inwestycji muszą być zgodne ze wszystkimi zasadami i procedurami określonymi w art. 6 ust. 3 i 4 dyrektywy UE 92/43/EWG oraz z krajowymi wytycznymi dotyczącymi oceny skutków opublikowanymi w oficjalnej Gazzette Republiki Włoskiej nr 303 z dnia 28 grudnia 2019 r.</w:t>
      </w:r>
    </w:p>
    <w:p w14:paraId="4DA1F846" w14:textId="77777777" w:rsidR="004C6421" w:rsidRDefault="009D1962">
      <w:pPr>
        <w:spacing w:before="120" w:after="120"/>
        <w:jc w:val="both"/>
        <w:rPr>
          <w:noProof/>
        </w:rPr>
      </w:pPr>
      <w:r>
        <w:rPr>
          <w:noProof/>
        </w:rPr>
        <w:t>Interwencje planowane są w następujących liniach:</w:t>
      </w:r>
    </w:p>
    <w:p w14:paraId="59BE6B72" w14:textId="77777777" w:rsidR="004C6421" w:rsidRDefault="009D1962">
      <w:pPr>
        <w:numPr>
          <w:ilvl w:val="0"/>
          <w:numId w:val="53"/>
        </w:numPr>
        <w:spacing w:before="120" w:after="120" w:line="259" w:lineRule="auto"/>
        <w:ind w:left="360"/>
        <w:contextualSpacing/>
        <w:jc w:val="both"/>
        <w:rPr>
          <w:noProof/>
        </w:rPr>
      </w:pPr>
      <w:r>
        <w:rPr>
          <w:noProof/>
        </w:rPr>
        <w:t>Piemont: modernizacja i modernizacja Torino Cerese-Canavesana: poprawa regularności przepływów ruchu;</w:t>
      </w:r>
    </w:p>
    <w:p w14:paraId="792CE255" w14:textId="77777777" w:rsidR="004C6421" w:rsidRDefault="009D1962">
      <w:pPr>
        <w:numPr>
          <w:ilvl w:val="0"/>
          <w:numId w:val="53"/>
        </w:numPr>
        <w:spacing w:before="120" w:after="120" w:line="259" w:lineRule="auto"/>
        <w:ind w:left="360"/>
        <w:contextualSpacing/>
        <w:jc w:val="both"/>
        <w:rPr>
          <w:noProof/>
        </w:rPr>
      </w:pPr>
      <w:r>
        <w:rPr>
          <w:noProof/>
        </w:rPr>
        <w:t>Friuli-Wenecja Julijska: Kolej FuC: prace infrastrukturalne i technologiczne na linii Udine-Cividale: poprawa regularności przepływów ruchu;</w:t>
      </w:r>
    </w:p>
    <w:p w14:paraId="49F3C2A0" w14:textId="77777777" w:rsidR="004C6421" w:rsidRDefault="009D1962">
      <w:pPr>
        <w:numPr>
          <w:ilvl w:val="0"/>
          <w:numId w:val="53"/>
        </w:numPr>
        <w:spacing w:before="120" w:after="120" w:line="259" w:lineRule="auto"/>
        <w:ind w:left="360"/>
        <w:contextualSpacing/>
        <w:jc w:val="both"/>
        <w:rPr>
          <w:noProof/>
        </w:rPr>
      </w:pPr>
      <w:r>
        <w:rPr>
          <w:noProof/>
        </w:rPr>
        <w:t>Umbria: Umbrian Central Rail (FCU): interwencje infrastrukturalne i technologiczne;</w:t>
      </w:r>
    </w:p>
    <w:p w14:paraId="277E55C2" w14:textId="77777777" w:rsidR="004C6421" w:rsidRDefault="009D1962">
      <w:pPr>
        <w:numPr>
          <w:ilvl w:val="0"/>
          <w:numId w:val="53"/>
        </w:numPr>
        <w:spacing w:before="120" w:after="120" w:line="259" w:lineRule="auto"/>
        <w:ind w:left="360"/>
        <w:contextualSpacing/>
        <w:jc w:val="both"/>
        <w:rPr>
          <w:noProof/>
        </w:rPr>
      </w:pPr>
      <w:r>
        <w:rPr>
          <w:noProof/>
        </w:rPr>
        <w:t>Kampania (EAV): Wzmocnienie i modernizacja linii Cancello-Benevento: poprawa norm bezpieczeństwa w odniesieniu do działalności kolejowej;</w:t>
      </w:r>
    </w:p>
    <w:p w14:paraId="34ACC0F4" w14:textId="77777777" w:rsidR="004C6421" w:rsidRDefault="009D1962">
      <w:pPr>
        <w:numPr>
          <w:ilvl w:val="0"/>
          <w:numId w:val="53"/>
        </w:numPr>
        <w:spacing w:before="120" w:after="120" w:line="259" w:lineRule="auto"/>
        <w:ind w:left="360"/>
        <w:contextualSpacing/>
        <w:jc w:val="both"/>
        <w:rPr>
          <w:noProof/>
        </w:rPr>
      </w:pPr>
      <w:r>
        <w:rPr>
          <w:noProof/>
        </w:rPr>
        <w:t>Apulia: Linia Bari-Bitritto: modernizacja infrastruktury: zgodność z normami technicznymi/regulacyjnymi krajowej infrastruktury kolejowej; Ferrovie del Sud Est (FSE): modernizacja infrastruktury linii Bari-Taranto: interwencja umożliwia dostosowanie do norm eksploatacyjnych RFI oraz do technicznych specyfikacji interoperacyjności; FSE: Zakończenie budowy urządzeń SCMT/ERTMS w sieci: poprawa efektywności ruchu, optymalizacja przepustowości, poprawa norm bezpieczeństwa; FSE: Budowa węzłów intermodalnych i modernizacja 20 stacji: interwencja ma na celu poprawę dostępności dworców i stworzenie stref wymiany autobusów kolejowych, samochodów osobowych i rowerów kolejowych;</w:t>
      </w:r>
    </w:p>
    <w:p w14:paraId="6273236F" w14:textId="77777777" w:rsidR="004C6421" w:rsidRDefault="009D1962">
      <w:pPr>
        <w:numPr>
          <w:ilvl w:val="0"/>
          <w:numId w:val="53"/>
        </w:numPr>
        <w:spacing w:before="120" w:after="120" w:line="259" w:lineRule="auto"/>
        <w:ind w:left="360"/>
        <w:contextualSpacing/>
        <w:jc w:val="both"/>
        <w:rPr>
          <w:noProof/>
        </w:rPr>
      </w:pPr>
      <w:r>
        <w:rPr>
          <w:noProof/>
        </w:rPr>
        <w:t>Kalabria: Linia Rosarno-S. Ferdinando: modernizacja urządzeń linii Rosarno i San Ferdinando do połączenia z Gioia Tauro.</w:t>
      </w:r>
    </w:p>
    <w:p w14:paraId="76234E82" w14:textId="77777777" w:rsidR="004C6421" w:rsidRDefault="009D1962">
      <w:pPr>
        <w:pStyle w:val="P68B1DB1-Normal2"/>
        <w:spacing w:before="120" w:after="120"/>
        <w:jc w:val="both"/>
        <w:rPr>
          <w:noProof/>
        </w:rPr>
      </w:pPr>
      <w:r>
        <w:rPr>
          <w:noProof/>
        </w:rPr>
        <w:t>Inwestycje 1.7 – Modernizacja, elektryfikacja i odporność kolei na południe</w:t>
      </w:r>
    </w:p>
    <w:p w14:paraId="4387D4BA" w14:textId="77777777" w:rsidR="004C6421" w:rsidRDefault="009D1962">
      <w:pPr>
        <w:spacing w:before="120" w:after="120"/>
        <w:jc w:val="both"/>
        <w:rPr>
          <w:noProof/>
        </w:rPr>
      </w:pPr>
      <w:r>
        <w:rPr>
          <w:noProof/>
        </w:rPr>
        <w:t>Inwestycja ta polega na modernizacji, elektryfikacji i odporności 1 162 km linii kolejowych na południu.  Projekty należące do tego środka mogą otrzymać wsparcie z innych programów europejskich. Takiego wsparcia nie uwzględnia się przy realizacji tej inwestycji. Ponadto projekty należące do tego środka mogą otrzymać wsparcie ze środków krajowych.</w:t>
      </w:r>
    </w:p>
    <w:p w14:paraId="4CF8B504" w14:textId="77777777" w:rsidR="004C6421" w:rsidRDefault="009D1962">
      <w:pPr>
        <w:pStyle w:val="P68B1DB1-Normal2"/>
        <w:spacing w:before="120" w:after="120"/>
        <w:jc w:val="both"/>
        <w:rPr>
          <w:noProof/>
        </w:rPr>
      </w:pPr>
      <w:r>
        <w:rPr>
          <w:noProof/>
        </w:rPr>
        <w:t>Inwestycja 1.8 – Modernizacja dworców kolejowych (</w:t>
      </w:r>
      <w:r>
        <w:rPr>
          <w:i/>
          <w:noProof/>
        </w:rPr>
        <w:t>Rete Ferroviaria Italiana (RFI))</w:t>
      </w:r>
      <w:r>
        <w:rPr>
          <w:noProof/>
        </w:rPr>
        <w:t>; na południu)</w:t>
      </w:r>
    </w:p>
    <w:p w14:paraId="7C45454C" w14:textId="77777777" w:rsidR="004C6421" w:rsidRDefault="009D1962">
      <w:pPr>
        <w:spacing w:before="120" w:after="120"/>
        <w:jc w:val="both"/>
        <w:rPr>
          <w:noProof/>
        </w:rPr>
      </w:pPr>
      <w:r>
        <w:rPr>
          <w:noProof/>
        </w:rPr>
        <w:t>Inwestycja ta polega na modernizacji 38 stacji kolejowych i udostępnieniu ich zgodnie z rozporządzeniem Komisji nr 1300/2014 oraz unijnymi przepisami dotyczącymi bezpieczeństwa kolei. Ocena i zatwierdzenie każdego odnośnego projektu lub inwestycji muszą być zgodne ze wszystkimi zasadami i procedurami określonymi w art. 6 ust. 3 i 4 dyrektywy UE 92/43/EWG oraz z krajowymi wytycznymi dotyczącymi oceny skutków opublikowanymi w oficjalnej Gazzette Republiki Włoskiej nr 303 z dnia 28 grudnia 2019 r.</w:t>
      </w:r>
    </w:p>
    <w:p w14:paraId="08807591" w14:textId="77777777" w:rsidR="004C6421" w:rsidRDefault="009D1962">
      <w:pPr>
        <w:pStyle w:val="P68B1DB1-Normal2"/>
        <w:spacing w:before="120" w:after="120"/>
        <w:jc w:val="both"/>
        <w:rPr>
          <w:noProof/>
        </w:rPr>
      </w:pPr>
      <w:r>
        <w:rPr>
          <w:noProof/>
        </w:rPr>
        <w:t xml:space="preserve">Inwestycje 1.9 – Połączenia międzyregionalne </w:t>
      </w:r>
    </w:p>
    <w:p w14:paraId="432AE004" w14:textId="77777777" w:rsidR="004C6421" w:rsidRDefault="009D1962">
      <w:pPr>
        <w:spacing w:before="120" w:after="120"/>
        <w:jc w:val="both"/>
        <w:rPr>
          <w:noProof/>
        </w:rPr>
      </w:pPr>
      <w:r>
        <w:rPr>
          <w:noProof/>
        </w:rPr>
        <w:t>Inwestycja ta polega na przyspieszeniu interwencji o 221 km od następujących linii:</w:t>
      </w:r>
    </w:p>
    <w:p w14:paraId="5EE0D6F6" w14:textId="77777777" w:rsidR="004C6421" w:rsidRDefault="009D1962">
      <w:pPr>
        <w:pStyle w:val="ListParagraph"/>
        <w:numPr>
          <w:ilvl w:val="0"/>
          <w:numId w:val="96"/>
        </w:numPr>
        <w:rPr>
          <w:noProof/>
        </w:rPr>
      </w:pPr>
      <w:r>
        <w:rPr>
          <w:noProof/>
        </w:rPr>
        <w:t>Mediolan – Genua</w:t>
      </w:r>
    </w:p>
    <w:p w14:paraId="72A38F94" w14:textId="77777777" w:rsidR="004C6421" w:rsidRDefault="009D1962">
      <w:pPr>
        <w:pStyle w:val="ListParagraph"/>
        <w:numPr>
          <w:ilvl w:val="0"/>
          <w:numId w:val="96"/>
        </w:numPr>
        <w:rPr>
          <w:noProof/>
        </w:rPr>
      </w:pPr>
      <w:r>
        <w:rPr>
          <w:noProof/>
        </w:rPr>
        <w:t>Palermo – Katania (linea storica)</w:t>
      </w:r>
    </w:p>
    <w:p w14:paraId="07C81668" w14:textId="77777777" w:rsidR="004C6421" w:rsidRDefault="009D1962">
      <w:pPr>
        <w:pStyle w:val="ListParagraph"/>
        <w:numPr>
          <w:ilvl w:val="0"/>
          <w:numId w:val="96"/>
        </w:numPr>
        <w:rPr>
          <w:noProof/>
        </w:rPr>
      </w:pPr>
      <w:r>
        <w:rPr>
          <w:noProof/>
        </w:rPr>
        <w:t>Battipaglia-Potenza</w:t>
      </w:r>
    </w:p>
    <w:p w14:paraId="22104E27" w14:textId="77777777" w:rsidR="004C6421" w:rsidRDefault="009D1962">
      <w:pPr>
        <w:pStyle w:val="ListParagraph"/>
        <w:numPr>
          <w:ilvl w:val="0"/>
          <w:numId w:val="96"/>
        </w:numPr>
        <w:rPr>
          <w:noProof/>
        </w:rPr>
      </w:pPr>
      <w:r>
        <w:rPr>
          <w:noProof/>
        </w:rPr>
        <w:t>Orte – Falconara.</w:t>
      </w:r>
    </w:p>
    <w:p w14:paraId="6692F4C0" w14:textId="77777777" w:rsidR="004C6421" w:rsidRDefault="009D1962">
      <w:pPr>
        <w:rPr>
          <w:noProof/>
        </w:rPr>
      </w:pPr>
      <w:r>
        <w:rPr>
          <w:noProof/>
        </w:rPr>
        <w:t>Inwestycja ma na celu poprawę wydajności obecnej infrastruktury dzięki interwencjom, które mogłyby obejmować:</w:t>
      </w:r>
    </w:p>
    <w:p w14:paraId="2EC447A3" w14:textId="77777777" w:rsidR="004C6421" w:rsidRDefault="009D1962">
      <w:pPr>
        <w:pStyle w:val="ListParagraph"/>
        <w:numPr>
          <w:ilvl w:val="0"/>
          <w:numId w:val="97"/>
        </w:numPr>
        <w:rPr>
          <w:noProof/>
        </w:rPr>
      </w:pPr>
      <w:r>
        <w:rPr>
          <w:noProof/>
        </w:rPr>
        <w:t xml:space="preserve">zmiany w planach postojowych stacji (PRG – Piano Regolatore Generale); </w:t>
      </w:r>
    </w:p>
    <w:p w14:paraId="3AFD028B" w14:textId="77777777" w:rsidR="004C6421" w:rsidRDefault="009D1962">
      <w:pPr>
        <w:pStyle w:val="ListParagraph"/>
        <w:numPr>
          <w:ilvl w:val="0"/>
          <w:numId w:val="97"/>
        </w:numPr>
        <w:rPr>
          <w:noProof/>
        </w:rPr>
      </w:pPr>
      <w:r>
        <w:rPr>
          <w:noProof/>
        </w:rPr>
        <w:t>ERTMS;</w:t>
      </w:r>
    </w:p>
    <w:p w14:paraId="17576F88" w14:textId="77777777" w:rsidR="004C6421" w:rsidRDefault="009D1962">
      <w:pPr>
        <w:pStyle w:val="ListParagraph"/>
        <w:numPr>
          <w:ilvl w:val="0"/>
          <w:numId w:val="97"/>
        </w:numPr>
        <w:rPr>
          <w:noProof/>
        </w:rPr>
      </w:pPr>
      <w:r>
        <w:rPr>
          <w:noProof/>
        </w:rPr>
        <w:t>konfiguracja lub modyfikacja systemu sterowania ruchem, takiego jak ACC (Apparato Centrale Computerizzato) i ACCM (Apparato Centrale a Calcolatore Multistazione)</w:t>
      </w:r>
    </w:p>
    <w:p w14:paraId="105E7081" w14:textId="77777777" w:rsidR="004C6421" w:rsidRDefault="009D1962">
      <w:pPr>
        <w:pStyle w:val="ListParagraph"/>
        <w:numPr>
          <w:ilvl w:val="0"/>
          <w:numId w:val="97"/>
        </w:numPr>
        <w:rPr>
          <w:noProof/>
        </w:rPr>
      </w:pPr>
      <w:r>
        <w:rPr>
          <w:noProof/>
        </w:rPr>
        <w:t>inne usprawnienia infrastruktury fizycznej, które mogą obejmować łóżka kolejowe, wyposażenie i inne interwencje związane z infrastrukturą.</w:t>
      </w:r>
    </w:p>
    <w:p w14:paraId="120EABE7" w14:textId="77777777" w:rsidR="004C6421" w:rsidRDefault="009D1962">
      <w:pPr>
        <w:pStyle w:val="P68B1DB1-Normal2"/>
        <w:spacing w:before="120" w:after="120"/>
        <w:jc w:val="both"/>
        <w:rPr>
          <w:noProof/>
        </w:rPr>
      </w:pPr>
      <w:r>
        <w:rPr>
          <w:noProof/>
        </w:rPr>
        <w:t>Reforma 2.1 – Przyjęcie „Wytycznych dotyczących klasyfikacji ryzyka i zarządzania nim, oceny bezpieczeństwa i monitorowania istniejących mostów”</w:t>
      </w:r>
    </w:p>
    <w:p w14:paraId="57E588BF" w14:textId="77777777" w:rsidR="004C6421" w:rsidRDefault="009D1962">
      <w:pPr>
        <w:spacing w:before="120" w:after="120"/>
        <w:jc w:val="both"/>
        <w:rPr>
          <w:noProof/>
        </w:rPr>
      </w:pPr>
      <w:r>
        <w:rPr>
          <w:noProof/>
        </w:rPr>
        <w:t>Reforma ta polega na przyjęciu wytycznych dotyczących klasyfikacji ryzyka i zarządzania nim, oceny bezpieczeństwa i monitorowania istniejących mostów. Przyjęcie „wytycznych”, które umożliwią stosowanie wspólnych norm i metodologii w całej sieci dróg krajowych.</w:t>
      </w:r>
    </w:p>
    <w:p w14:paraId="1BBBDA56" w14:textId="77777777" w:rsidR="004C6421" w:rsidRDefault="009D1962">
      <w:pPr>
        <w:pStyle w:val="P68B1DB1-Normal2"/>
        <w:spacing w:before="120" w:after="120"/>
        <w:jc w:val="both"/>
        <w:rPr>
          <w:noProof/>
        </w:rPr>
      </w:pPr>
      <w:r>
        <w:rPr>
          <w:noProof/>
        </w:rPr>
        <w:t>Reforma 2.2 – Przeniesienie własności mostów i wiaduktów z dróg niższego rzędu na drogi wyższego rzędu</w:t>
      </w:r>
    </w:p>
    <w:p w14:paraId="10B3CBA5" w14:textId="77777777" w:rsidR="004C6421" w:rsidRDefault="009D1962">
      <w:pPr>
        <w:spacing w:before="120" w:after="120" w:line="300" w:lineRule="atLeast"/>
        <w:jc w:val="both"/>
        <w:rPr>
          <w:noProof/>
        </w:rPr>
      </w:pPr>
      <w:r>
        <w:rPr>
          <w:noProof/>
        </w:rPr>
        <w:t>Reforma ta polega na przeniesieniu własności mostów, wiaduktów i przejść z dróg niższego typu na drogi wyższego typu (autostrady i główne drogi podmiejskie), co umożliwia zwiększenie ogólnego bezpieczeństwa sieci drogowej, ponieważ mosty, wiadukty i przepusty będą utrzymywane przez ANAS lub koncesjonariusze autostrad, którzy mają lepsze możliwości planowania i utrzymania niż poszczególne gminy lub prowincje.</w:t>
      </w:r>
    </w:p>
    <w:p w14:paraId="5C982778" w14:textId="77777777" w:rsidR="004C6421" w:rsidRDefault="009D1962">
      <w:pPr>
        <w:pStyle w:val="Heading3"/>
        <w:numPr>
          <w:ilvl w:val="0"/>
          <w:numId w:val="0"/>
        </w:numPr>
        <w:ind w:left="850" w:hanging="850"/>
        <w:rPr>
          <w:b/>
          <w:i w:val="0"/>
          <w:noProof/>
          <w:u w:val="single"/>
        </w:rPr>
      </w:pPr>
      <w:r>
        <w:rPr>
          <w:b/>
          <w:i w:val="0"/>
          <w:noProof/>
          <w:u w:val="single"/>
        </w:rPr>
        <w:t xml:space="preserve">H.4. </w:t>
      </w:r>
      <w:r>
        <w:rPr>
          <w:noProof/>
        </w:rPr>
        <w:t xml:space="preserve"> </w:t>
      </w:r>
      <w:r>
        <w:rPr>
          <w:b/>
          <w:i w:val="0"/>
          <w:noProof/>
          <w:u w:val="single"/>
        </w:rPr>
        <w:t xml:space="preserve">Cele pośrednie, wartości docelowe, wskaźniki i harmonogram monitorowania i realizacji pożyczki </w:t>
      </w:r>
    </w:p>
    <w:p w14:paraId="542F1F14" w14:textId="77777777" w:rsidR="004C6421" w:rsidRDefault="004C6421">
      <w:pPr>
        <w:spacing w:before="120" w:after="120"/>
        <w:ind w:left="709"/>
        <w:contextualSpacing/>
        <w:jc w:val="both"/>
        <w:rPr>
          <w:noProof/>
        </w:rPr>
      </w:pPr>
    </w:p>
    <w:p w14:paraId="2EC81F1A" w14:textId="77777777" w:rsidR="004C6421" w:rsidRDefault="004C6421">
      <w:pPr>
        <w:spacing w:before="120" w:after="120"/>
        <w:ind w:left="709"/>
        <w:contextualSpacing/>
        <w:jc w:val="both"/>
        <w:rPr>
          <w:noProof/>
        </w:rPr>
        <w:sectPr w:rsidR="004C6421" w:rsidSect="00797973">
          <w:headerReference w:type="even" r:id="rId218"/>
          <w:headerReference w:type="default" r:id="rId219"/>
          <w:footerReference w:type="even" r:id="rId220"/>
          <w:footerReference w:type="default" r:id="rId221"/>
          <w:headerReference w:type="first" r:id="rId222"/>
          <w:footerReference w:type="first" r:id="rId223"/>
          <w:pgSz w:w="11907" w:h="16839"/>
          <w:pgMar w:top="1134" w:right="1134" w:bottom="1134" w:left="1134" w:header="567" w:footer="567" w:gutter="0"/>
          <w:cols w:space="720"/>
          <w:docGrid w:linePitch="360"/>
        </w:sectPr>
      </w:pPr>
    </w:p>
    <w:tbl>
      <w:tblPr>
        <w:tblW w:w="524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562"/>
        <w:gridCol w:w="1274"/>
        <w:gridCol w:w="1418"/>
        <w:gridCol w:w="1555"/>
        <w:gridCol w:w="993"/>
        <w:gridCol w:w="1134"/>
        <w:gridCol w:w="853"/>
        <w:gridCol w:w="850"/>
        <w:gridCol w:w="850"/>
        <w:gridCol w:w="3661"/>
      </w:tblGrid>
      <w:tr w:rsidR="004C6421" w14:paraId="43DDA948" w14:textId="77777777">
        <w:trPr>
          <w:trHeight w:val="939"/>
          <w:tblHeader/>
          <w:jc w:val="right"/>
        </w:trPr>
        <w:tc>
          <w:tcPr>
            <w:tcW w:w="369" w:type="pct"/>
            <w:vMerge w:val="restart"/>
            <w:shd w:val="clear" w:color="auto" w:fill="BDD7EE"/>
            <w:vAlign w:val="center"/>
            <w:hideMark/>
          </w:tcPr>
          <w:p w14:paraId="4E5E044F" w14:textId="77777777" w:rsidR="004C6421" w:rsidRDefault="009D1962">
            <w:pPr>
              <w:pStyle w:val="P68B1DB1-Normal3"/>
              <w:jc w:val="center"/>
              <w:rPr>
                <w:noProof/>
              </w:rPr>
            </w:pPr>
            <w:r>
              <w:rPr>
                <w:noProof/>
              </w:rPr>
              <w:t>Numer porządkowy</w:t>
            </w:r>
          </w:p>
        </w:tc>
        <w:tc>
          <w:tcPr>
            <w:tcW w:w="511" w:type="pct"/>
            <w:vMerge w:val="restart"/>
            <w:shd w:val="clear" w:color="auto" w:fill="BDD7EE"/>
            <w:vAlign w:val="center"/>
            <w:hideMark/>
          </w:tcPr>
          <w:p w14:paraId="07D818B4" w14:textId="77777777" w:rsidR="004C6421" w:rsidRDefault="009D1962">
            <w:pPr>
              <w:pStyle w:val="P68B1DB1-Normal3"/>
              <w:jc w:val="center"/>
              <w:rPr>
                <w:noProof/>
              </w:rPr>
            </w:pPr>
            <w:r>
              <w:rPr>
                <w:noProof/>
              </w:rPr>
              <w:t>Powiązane działanie (reforma lub inwestycja)</w:t>
            </w:r>
          </w:p>
        </w:tc>
        <w:tc>
          <w:tcPr>
            <w:tcW w:w="417" w:type="pct"/>
            <w:vMerge w:val="restart"/>
            <w:shd w:val="clear" w:color="auto" w:fill="BDD7EE"/>
            <w:vAlign w:val="center"/>
            <w:hideMark/>
          </w:tcPr>
          <w:p w14:paraId="0838683E" w14:textId="77777777" w:rsidR="004C6421" w:rsidRDefault="009D1962">
            <w:pPr>
              <w:pStyle w:val="P68B1DB1-Normal3"/>
              <w:jc w:val="center"/>
              <w:rPr>
                <w:noProof/>
              </w:rPr>
            </w:pPr>
            <w:r>
              <w:rPr>
                <w:noProof/>
              </w:rPr>
              <w:t>Kamień milowy/wartość docelowa</w:t>
            </w:r>
          </w:p>
        </w:tc>
        <w:tc>
          <w:tcPr>
            <w:tcW w:w="464" w:type="pct"/>
            <w:vMerge w:val="restart"/>
            <w:shd w:val="clear" w:color="auto" w:fill="BDD7EE"/>
            <w:vAlign w:val="center"/>
            <w:hideMark/>
          </w:tcPr>
          <w:p w14:paraId="7703C47F" w14:textId="77777777" w:rsidR="004C6421" w:rsidRDefault="009D1962">
            <w:pPr>
              <w:pStyle w:val="P68B1DB1-Normal3"/>
              <w:jc w:val="center"/>
              <w:rPr>
                <w:noProof/>
              </w:rPr>
            </w:pPr>
            <w:r>
              <w:rPr>
                <w:noProof/>
              </w:rPr>
              <w:t>Nazwa</w:t>
            </w:r>
          </w:p>
        </w:tc>
        <w:tc>
          <w:tcPr>
            <w:tcW w:w="509" w:type="pct"/>
            <w:vMerge w:val="restart"/>
            <w:shd w:val="clear" w:color="auto" w:fill="BDD7EE"/>
            <w:vAlign w:val="center"/>
            <w:hideMark/>
          </w:tcPr>
          <w:p w14:paraId="66964242" w14:textId="77777777" w:rsidR="004C6421" w:rsidRDefault="009D1962">
            <w:pPr>
              <w:jc w:val="center"/>
              <w:rPr>
                <w:rFonts w:ascii="Arial Narrow" w:hAnsi="Arial Narrow"/>
                <w:b/>
                <w:noProof/>
                <w:sz w:val="20"/>
              </w:rPr>
            </w:pPr>
            <w:r>
              <w:rPr>
                <w:rFonts w:ascii="Arial Narrow" w:hAnsi="Arial Narrow"/>
                <w:b/>
                <w:noProof/>
                <w:sz w:val="20"/>
              </w:rPr>
              <w:t xml:space="preserve">Wskaźniki jakościowe </w:t>
            </w:r>
            <w:r>
              <w:rPr>
                <w:rFonts w:ascii="Arial Narrow" w:hAnsi="Arial Narrow"/>
                <w:noProof/>
              </w:rPr>
              <w:t xml:space="preserve"> </w:t>
            </w:r>
            <w:r>
              <w:rPr>
                <w:noProof/>
              </w:rPr>
              <w:t xml:space="preserve">  </w:t>
            </w:r>
            <w:r>
              <w:rPr>
                <w:noProof/>
              </w:rPr>
              <w:br/>
            </w:r>
            <w:r>
              <w:rPr>
                <w:rFonts w:ascii="Arial Narrow" w:hAnsi="Arial Narrow"/>
                <w:b/>
                <w:noProof/>
                <w:sz w:val="20"/>
              </w:rPr>
              <w:t>(dla kamieni milowych)</w:t>
            </w:r>
          </w:p>
        </w:tc>
        <w:tc>
          <w:tcPr>
            <w:tcW w:w="975" w:type="pct"/>
            <w:gridSpan w:val="3"/>
            <w:shd w:val="clear" w:color="auto" w:fill="BDD7EE"/>
            <w:vAlign w:val="center"/>
            <w:hideMark/>
          </w:tcPr>
          <w:p w14:paraId="2D78BD36" w14:textId="77777777" w:rsidR="004C6421" w:rsidRDefault="009D1962">
            <w:pPr>
              <w:jc w:val="center"/>
              <w:rPr>
                <w:rFonts w:ascii="Arial Narrow" w:hAnsi="Arial Narrow"/>
                <w:b/>
                <w:noProof/>
                <w:sz w:val="20"/>
              </w:rPr>
            </w:pPr>
            <w:r>
              <w:rPr>
                <w:rFonts w:ascii="Arial Narrow" w:hAnsi="Arial Narrow"/>
                <w:b/>
                <w:noProof/>
                <w:sz w:val="20"/>
              </w:rPr>
              <w:t xml:space="preserve">Wskaźniki ilościowe </w:t>
            </w:r>
            <w:r>
              <w:rPr>
                <w:rFonts w:ascii="Arial Narrow" w:hAnsi="Arial Narrow"/>
                <w:noProof/>
              </w:rPr>
              <w:t xml:space="preserve"> </w:t>
            </w:r>
            <w:r>
              <w:rPr>
                <w:noProof/>
              </w:rPr>
              <w:t xml:space="preserve">  </w:t>
            </w:r>
            <w:r>
              <w:rPr>
                <w:noProof/>
              </w:rPr>
              <w:br/>
            </w:r>
            <w:r>
              <w:rPr>
                <w:rFonts w:ascii="Arial Narrow" w:hAnsi="Arial Narrow"/>
                <w:b/>
                <w:noProof/>
                <w:sz w:val="20"/>
              </w:rPr>
              <w:t>(dla wartości docelowych)</w:t>
            </w:r>
          </w:p>
        </w:tc>
        <w:tc>
          <w:tcPr>
            <w:tcW w:w="556" w:type="pct"/>
            <w:gridSpan w:val="2"/>
            <w:shd w:val="clear" w:color="auto" w:fill="BDD7EE"/>
            <w:vAlign w:val="center"/>
            <w:hideMark/>
          </w:tcPr>
          <w:p w14:paraId="0BFF954A" w14:textId="77777777" w:rsidR="004C6421" w:rsidRDefault="009D1962">
            <w:pPr>
              <w:pStyle w:val="P68B1DB1-Normal3"/>
              <w:jc w:val="center"/>
              <w:rPr>
                <w:noProof/>
              </w:rPr>
            </w:pPr>
            <w:r>
              <w:rPr>
                <w:noProof/>
              </w:rPr>
              <w:t>Orientacyjny harmonogram zakończenia działania</w:t>
            </w:r>
          </w:p>
        </w:tc>
        <w:tc>
          <w:tcPr>
            <w:tcW w:w="1198" w:type="pct"/>
            <w:vMerge w:val="restart"/>
            <w:shd w:val="clear" w:color="auto" w:fill="BDD7EE"/>
            <w:vAlign w:val="center"/>
            <w:hideMark/>
          </w:tcPr>
          <w:p w14:paraId="670EF519" w14:textId="77777777" w:rsidR="004C6421" w:rsidRDefault="009D1962">
            <w:pPr>
              <w:pStyle w:val="P68B1DB1-Normal3"/>
              <w:jc w:val="center"/>
              <w:rPr>
                <w:noProof/>
              </w:rPr>
            </w:pPr>
            <w:r>
              <w:rPr>
                <w:noProof/>
              </w:rPr>
              <w:t>Opis każdego kamienia milowego i każdej wartości docelowej</w:t>
            </w:r>
          </w:p>
        </w:tc>
      </w:tr>
      <w:tr w:rsidR="004C6421" w14:paraId="390F15B8" w14:textId="77777777">
        <w:trPr>
          <w:trHeight w:val="598"/>
          <w:tblHeader/>
          <w:jc w:val="right"/>
        </w:trPr>
        <w:tc>
          <w:tcPr>
            <w:tcW w:w="369" w:type="pct"/>
            <w:vMerge/>
            <w:vAlign w:val="center"/>
            <w:hideMark/>
          </w:tcPr>
          <w:p w14:paraId="29B409E5" w14:textId="77777777" w:rsidR="004C6421" w:rsidRDefault="004C6421">
            <w:pPr>
              <w:jc w:val="center"/>
              <w:rPr>
                <w:rFonts w:ascii="Arial Narrow" w:hAnsi="Arial Narrow"/>
                <w:b/>
                <w:noProof/>
                <w:sz w:val="20"/>
              </w:rPr>
            </w:pPr>
          </w:p>
        </w:tc>
        <w:tc>
          <w:tcPr>
            <w:tcW w:w="511" w:type="pct"/>
            <w:vMerge/>
            <w:vAlign w:val="center"/>
            <w:hideMark/>
          </w:tcPr>
          <w:p w14:paraId="7AEC6EC1" w14:textId="77777777" w:rsidR="004C6421" w:rsidRDefault="004C6421">
            <w:pPr>
              <w:jc w:val="center"/>
              <w:rPr>
                <w:rFonts w:ascii="Arial Narrow" w:hAnsi="Arial Narrow"/>
                <w:b/>
                <w:noProof/>
                <w:sz w:val="20"/>
              </w:rPr>
            </w:pPr>
          </w:p>
        </w:tc>
        <w:tc>
          <w:tcPr>
            <w:tcW w:w="417" w:type="pct"/>
            <w:vMerge/>
            <w:vAlign w:val="center"/>
            <w:hideMark/>
          </w:tcPr>
          <w:p w14:paraId="5B61D6C6" w14:textId="77777777" w:rsidR="004C6421" w:rsidRDefault="004C6421">
            <w:pPr>
              <w:jc w:val="center"/>
              <w:rPr>
                <w:rFonts w:ascii="Arial Narrow" w:hAnsi="Arial Narrow"/>
                <w:b/>
                <w:noProof/>
                <w:sz w:val="20"/>
              </w:rPr>
            </w:pPr>
          </w:p>
        </w:tc>
        <w:tc>
          <w:tcPr>
            <w:tcW w:w="464" w:type="pct"/>
            <w:vMerge/>
            <w:vAlign w:val="center"/>
            <w:hideMark/>
          </w:tcPr>
          <w:p w14:paraId="53796316" w14:textId="77777777" w:rsidR="004C6421" w:rsidRDefault="004C6421">
            <w:pPr>
              <w:jc w:val="center"/>
              <w:rPr>
                <w:rFonts w:ascii="Arial Narrow" w:hAnsi="Arial Narrow"/>
                <w:b/>
                <w:noProof/>
                <w:sz w:val="20"/>
              </w:rPr>
            </w:pPr>
          </w:p>
        </w:tc>
        <w:tc>
          <w:tcPr>
            <w:tcW w:w="509" w:type="pct"/>
            <w:vMerge/>
            <w:vAlign w:val="center"/>
            <w:hideMark/>
          </w:tcPr>
          <w:p w14:paraId="72DB382D" w14:textId="77777777" w:rsidR="004C6421" w:rsidRDefault="004C6421">
            <w:pPr>
              <w:jc w:val="center"/>
              <w:rPr>
                <w:rFonts w:ascii="Arial Narrow" w:hAnsi="Arial Narrow"/>
                <w:b/>
                <w:noProof/>
                <w:sz w:val="20"/>
              </w:rPr>
            </w:pPr>
          </w:p>
        </w:tc>
        <w:tc>
          <w:tcPr>
            <w:tcW w:w="325" w:type="pct"/>
            <w:shd w:val="clear" w:color="auto" w:fill="BDD7EE"/>
            <w:vAlign w:val="center"/>
            <w:hideMark/>
          </w:tcPr>
          <w:p w14:paraId="5F0719D8" w14:textId="77777777" w:rsidR="004C6421" w:rsidRDefault="009D1962">
            <w:pPr>
              <w:pStyle w:val="P68B1DB1-Normal3"/>
              <w:jc w:val="center"/>
              <w:rPr>
                <w:noProof/>
              </w:rPr>
            </w:pPr>
            <w:r>
              <w:rPr>
                <w:noProof/>
              </w:rPr>
              <w:t>Jednostka miary</w:t>
            </w:r>
          </w:p>
        </w:tc>
        <w:tc>
          <w:tcPr>
            <w:tcW w:w="371" w:type="pct"/>
            <w:shd w:val="clear" w:color="auto" w:fill="BDD7EE"/>
            <w:vAlign w:val="center"/>
            <w:hideMark/>
          </w:tcPr>
          <w:p w14:paraId="2E776B48" w14:textId="77777777" w:rsidR="004C6421" w:rsidRDefault="009D1962">
            <w:pPr>
              <w:pStyle w:val="P68B1DB1-Normal3"/>
              <w:jc w:val="center"/>
              <w:rPr>
                <w:noProof/>
              </w:rPr>
            </w:pPr>
            <w:r>
              <w:rPr>
                <w:noProof/>
              </w:rPr>
              <w:t>Bazowy</w:t>
            </w:r>
          </w:p>
        </w:tc>
        <w:tc>
          <w:tcPr>
            <w:tcW w:w="279" w:type="pct"/>
            <w:shd w:val="clear" w:color="auto" w:fill="BDD7EE"/>
            <w:vAlign w:val="center"/>
            <w:hideMark/>
          </w:tcPr>
          <w:p w14:paraId="365B6DA4" w14:textId="77777777" w:rsidR="004C6421" w:rsidRDefault="009D1962">
            <w:pPr>
              <w:pStyle w:val="P68B1DB1-Normal3"/>
              <w:jc w:val="center"/>
              <w:rPr>
                <w:noProof/>
              </w:rPr>
            </w:pPr>
            <w:r>
              <w:rPr>
                <w:noProof/>
              </w:rPr>
              <w:t>Cel</w:t>
            </w:r>
          </w:p>
        </w:tc>
        <w:tc>
          <w:tcPr>
            <w:tcW w:w="278" w:type="pct"/>
            <w:shd w:val="clear" w:color="auto" w:fill="BDD7EE"/>
            <w:vAlign w:val="center"/>
            <w:hideMark/>
          </w:tcPr>
          <w:p w14:paraId="6C8A072A" w14:textId="77777777" w:rsidR="004C6421" w:rsidRDefault="009D1962">
            <w:pPr>
              <w:pStyle w:val="P68B1DB1-Normal3"/>
              <w:jc w:val="center"/>
              <w:rPr>
                <w:noProof/>
              </w:rPr>
            </w:pPr>
            <w:r>
              <w:rPr>
                <w:noProof/>
              </w:rPr>
              <w:t>Kwartał</w:t>
            </w:r>
          </w:p>
        </w:tc>
        <w:tc>
          <w:tcPr>
            <w:tcW w:w="278" w:type="pct"/>
            <w:shd w:val="clear" w:color="auto" w:fill="BDD7EE"/>
            <w:vAlign w:val="center"/>
            <w:hideMark/>
          </w:tcPr>
          <w:p w14:paraId="0641C741" w14:textId="77777777" w:rsidR="004C6421" w:rsidRDefault="009D1962">
            <w:pPr>
              <w:pStyle w:val="P68B1DB1-Normal3"/>
              <w:jc w:val="center"/>
              <w:rPr>
                <w:noProof/>
              </w:rPr>
            </w:pPr>
            <w:r>
              <w:rPr>
                <w:noProof/>
              </w:rPr>
              <w:t>Rok</w:t>
            </w:r>
          </w:p>
        </w:tc>
        <w:tc>
          <w:tcPr>
            <w:tcW w:w="1198" w:type="pct"/>
            <w:vMerge/>
            <w:vAlign w:val="center"/>
            <w:hideMark/>
          </w:tcPr>
          <w:p w14:paraId="2485B8CB" w14:textId="77777777" w:rsidR="004C6421" w:rsidRDefault="004C6421">
            <w:pPr>
              <w:jc w:val="center"/>
              <w:rPr>
                <w:rFonts w:ascii="Arial Narrow" w:hAnsi="Arial Narrow"/>
                <w:b/>
                <w:noProof/>
                <w:sz w:val="20"/>
              </w:rPr>
            </w:pPr>
          </w:p>
        </w:tc>
      </w:tr>
      <w:tr w:rsidR="004C6421" w14:paraId="467CD1B1" w14:textId="77777777">
        <w:trPr>
          <w:trHeight w:val="2818"/>
          <w:jc w:val="right"/>
        </w:trPr>
        <w:tc>
          <w:tcPr>
            <w:tcW w:w="369" w:type="pct"/>
            <w:shd w:val="clear" w:color="auto" w:fill="C6EFCE"/>
            <w:noWrap/>
            <w:vAlign w:val="center"/>
            <w:hideMark/>
          </w:tcPr>
          <w:p w14:paraId="12C102BF" w14:textId="77777777" w:rsidR="004C6421" w:rsidRDefault="009D1962">
            <w:pPr>
              <w:pStyle w:val="P68B1DB1-Normal4"/>
              <w:jc w:val="center"/>
              <w:rPr>
                <w:noProof/>
              </w:rPr>
            </w:pPr>
            <w:r>
              <w:rPr>
                <w:noProof/>
              </w:rPr>
              <w:t>M3C1-1</w:t>
            </w:r>
          </w:p>
        </w:tc>
        <w:tc>
          <w:tcPr>
            <w:tcW w:w="511" w:type="pct"/>
            <w:shd w:val="clear" w:color="auto" w:fill="C6EFCE"/>
            <w:noWrap/>
            <w:vAlign w:val="center"/>
          </w:tcPr>
          <w:p w14:paraId="11931721" w14:textId="77777777" w:rsidR="004C6421" w:rsidRDefault="009D1962">
            <w:pPr>
              <w:pStyle w:val="P68B1DB1-Normal4"/>
              <w:jc w:val="center"/>
              <w:rPr>
                <w:noProof/>
              </w:rPr>
            </w:pPr>
            <w:r>
              <w:rPr>
                <w:noProof/>
              </w:rPr>
              <w:t>Reforma 1.1 – Przyspieszenie procesu zatwierdzania umowy między MIT a RFI</w:t>
            </w:r>
          </w:p>
        </w:tc>
        <w:tc>
          <w:tcPr>
            <w:tcW w:w="417" w:type="pct"/>
            <w:shd w:val="clear" w:color="auto" w:fill="C6EFCE"/>
            <w:noWrap/>
            <w:vAlign w:val="center"/>
            <w:hideMark/>
          </w:tcPr>
          <w:p w14:paraId="52EB1A3D" w14:textId="75616083" w:rsidR="004C6421" w:rsidRDefault="00CC179E">
            <w:pPr>
              <w:pStyle w:val="P68B1DB1-Normal4"/>
              <w:jc w:val="center"/>
              <w:rPr>
                <w:noProof/>
              </w:rPr>
            </w:pPr>
            <w:r>
              <w:rPr>
                <w:noProof/>
              </w:rPr>
              <w:t>Milowy</w:t>
            </w:r>
          </w:p>
        </w:tc>
        <w:tc>
          <w:tcPr>
            <w:tcW w:w="464" w:type="pct"/>
            <w:shd w:val="clear" w:color="auto" w:fill="C6EFCE"/>
            <w:noWrap/>
            <w:vAlign w:val="center"/>
          </w:tcPr>
          <w:p w14:paraId="205A7A6B" w14:textId="77777777" w:rsidR="004C6421" w:rsidRDefault="009D1962">
            <w:pPr>
              <w:pStyle w:val="P68B1DB1-Normal4"/>
              <w:jc w:val="center"/>
              <w:rPr>
                <w:noProof/>
              </w:rPr>
            </w:pPr>
            <w:r>
              <w:rPr>
                <w:noProof/>
              </w:rPr>
              <w:t>Wejście w życie zmiany legislacyjnej dotyczącej procesu zatwierdzania Contratti di Programma (CdP)</w:t>
            </w:r>
          </w:p>
        </w:tc>
        <w:tc>
          <w:tcPr>
            <w:tcW w:w="509" w:type="pct"/>
            <w:shd w:val="clear" w:color="auto" w:fill="C6EFCE"/>
            <w:noWrap/>
            <w:vAlign w:val="center"/>
            <w:hideMark/>
          </w:tcPr>
          <w:p w14:paraId="4A170FB2" w14:textId="77777777" w:rsidR="004C6421" w:rsidRDefault="009D1962">
            <w:pPr>
              <w:pStyle w:val="P68B1DB1-Normal4"/>
              <w:jc w:val="center"/>
              <w:rPr>
                <w:noProof/>
              </w:rPr>
            </w:pPr>
            <w:r>
              <w:rPr>
                <w:noProof/>
              </w:rPr>
              <w:t>Przepis ustawy wskazujący na wejście w życie zmiany legislacyjnej dotyczącej procesu zatwierdzania Contratti di Programma NIE DOT.</w:t>
            </w:r>
          </w:p>
        </w:tc>
        <w:tc>
          <w:tcPr>
            <w:tcW w:w="325" w:type="pct"/>
            <w:shd w:val="clear" w:color="auto" w:fill="C6EFCE"/>
            <w:noWrap/>
            <w:vAlign w:val="center"/>
            <w:hideMark/>
          </w:tcPr>
          <w:p w14:paraId="71C1FBAC" w14:textId="77777777" w:rsidR="004C6421" w:rsidRDefault="009D1962">
            <w:pPr>
              <w:pStyle w:val="P68B1DB1-Normal4"/>
              <w:jc w:val="center"/>
              <w:rPr>
                <w:noProof/>
              </w:rPr>
            </w:pPr>
            <w:r>
              <w:rPr>
                <w:noProof/>
              </w:rPr>
              <w:t>NIE DOT.</w:t>
            </w:r>
          </w:p>
        </w:tc>
        <w:tc>
          <w:tcPr>
            <w:tcW w:w="371" w:type="pct"/>
            <w:shd w:val="clear" w:color="auto" w:fill="C6EFCE"/>
            <w:noWrap/>
            <w:vAlign w:val="center"/>
          </w:tcPr>
          <w:p w14:paraId="39E0F7C9" w14:textId="77777777" w:rsidR="004C6421" w:rsidRDefault="009D1962">
            <w:pPr>
              <w:pStyle w:val="P68B1DB1-Normal4"/>
              <w:jc w:val="center"/>
              <w:rPr>
                <w:noProof/>
              </w:rPr>
            </w:pPr>
            <w:r>
              <w:rPr>
                <w:noProof/>
              </w:rPr>
              <w:t>NIE DOT.</w:t>
            </w:r>
          </w:p>
        </w:tc>
        <w:tc>
          <w:tcPr>
            <w:tcW w:w="279" w:type="pct"/>
            <w:shd w:val="clear" w:color="auto" w:fill="C6EFCE"/>
            <w:noWrap/>
            <w:vAlign w:val="center"/>
          </w:tcPr>
          <w:p w14:paraId="068EAF11" w14:textId="77777777" w:rsidR="004C6421" w:rsidRDefault="009D1962">
            <w:pPr>
              <w:pStyle w:val="P68B1DB1-Normal4"/>
              <w:jc w:val="center"/>
              <w:rPr>
                <w:noProof/>
              </w:rPr>
            </w:pPr>
            <w:r>
              <w:rPr>
                <w:noProof/>
              </w:rPr>
              <w:t>NIE DOT.</w:t>
            </w:r>
          </w:p>
        </w:tc>
        <w:tc>
          <w:tcPr>
            <w:tcW w:w="278" w:type="pct"/>
            <w:shd w:val="clear" w:color="auto" w:fill="C6EFCE"/>
            <w:noWrap/>
            <w:vAlign w:val="center"/>
            <w:hideMark/>
          </w:tcPr>
          <w:p w14:paraId="2ADED8DF" w14:textId="33C06BD7" w:rsidR="004C6421" w:rsidRDefault="00CC179E">
            <w:pPr>
              <w:pStyle w:val="P68B1DB1-Normal4"/>
              <w:jc w:val="center"/>
              <w:rPr>
                <w:noProof/>
              </w:rPr>
            </w:pPr>
            <w:r>
              <w:rPr>
                <w:noProof/>
              </w:rPr>
              <w:t>KW. 4</w:t>
            </w:r>
          </w:p>
        </w:tc>
        <w:tc>
          <w:tcPr>
            <w:tcW w:w="278" w:type="pct"/>
            <w:shd w:val="clear" w:color="auto" w:fill="C6EFCE"/>
            <w:noWrap/>
            <w:vAlign w:val="center"/>
            <w:hideMark/>
          </w:tcPr>
          <w:p w14:paraId="4232B79B" w14:textId="77777777" w:rsidR="004C6421" w:rsidRDefault="009D1962">
            <w:pPr>
              <w:pStyle w:val="P68B1DB1-Normal4"/>
              <w:jc w:val="center"/>
              <w:rPr>
                <w:noProof/>
              </w:rPr>
            </w:pPr>
            <w:r>
              <w:rPr>
                <w:noProof/>
              </w:rPr>
              <w:t>2021</w:t>
            </w:r>
          </w:p>
        </w:tc>
        <w:tc>
          <w:tcPr>
            <w:tcW w:w="1198" w:type="pct"/>
            <w:shd w:val="clear" w:color="auto" w:fill="C6EFCE"/>
            <w:noWrap/>
            <w:vAlign w:val="center"/>
            <w:hideMark/>
          </w:tcPr>
          <w:p w14:paraId="2EBA91EC" w14:textId="77777777" w:rsidR="004C6421" w:rsidRDefault="009D1962">
            <w:pPr>
              <w:pStyle w:val="P68B1DB1-ListParagraph5"/>
              <w:ind w:left="40"/>
              <w:jc w:val="left"/>
              <w:rPr>
                <w:noProof/>
              </w:rPr>
            </w:pPr>
            <w:r>
              <w:rPr>
                <w:noProof/>
              </w:rPr>
              <w:t xml:space="preserve">Zmiana legislacyjna skróci czas na zatwierdzenie Contratti di Programma (CdP) zarządcy infrastruktury kolejowej </w:t>
            </w:r>
            <w:r>
              <w:rPr>
                <w:i/>
                <w:noProof/>
              </w:rPr>
              <w:t>Rete Ferroviaria Italiana</w:t>
            </w:r>
            <w:r>
              <w:rPr>
                <w:noProof/>
              </w:rPr>
              <w:t>.</w:t>
            </w:r>
          </w:p>
        </w:tc>
      </w:tr>
      <w:tr w:rsidR="004C6421" w14:paraId="554D126D" w14:textId="77777777">
        <w:trPr>
          <w:trHeight w:val="3100"/>
          <w:jc w:val="right"/>
        </w:trPr>
        <w:tc>
          <w:tcPr>
            <w:tcW w:w="369" w:type="pct"/>
            <w:shd w:val="clear" w:color="auto" w:fill="C6EFCE"/>
            <w:noWrap/>
            <w:vAlign w:val="center"/>
            <w:hideMark/>
          </w:tcPr>
          <w:p w14:paraId="3D854DAA" w14:textId="77777777" w:rsidR="004C6421" w:rsidRDefault="009D1962">
            <w:pPr>
              <w:pStyle w:val="P68B1DB1-Normal4"/>
              <w:jc w:val="center"/>
              <w:rPr>
                <w:noProof/>
              </w:rPr>
            </w:pPr>
            <w:r>
              <w:rPr>
                <w:noProof/>
              </w:rPr>
              <w:t>M3C1-2</w:t>
            </w:r>
          </w:p>
        </w:tc>
        <w:tc>
          <w:tcPr>
            <w:tcW w:w="511" w:type="pct"/>
            <w:shd w:val="clear" w:color="auto" w:fill="C6EFCE"/>
            <w:noWrap/>
            <w:vAlign w:val="center"/>
          </w:tcPr>
          <w:p w14:paraId="3E014ED8" w14:textId="77777777" w:rsidR="004C6421" w:rsidRDefault="009D1962">
            <w:pPr>
              <w:pStyle w:val="P68B1DB1-Normal4"/>
              <w:jc w:val="center"/>
              <w:rPr>
                <w:noProof/>
              </w:rPr>
            </w:pPr>
            <w:r>
              <w:rPr>
                <w:noProof/>
              </w:rPr>
              <w:t>Reforma 1.2 – Przyspieszenie procesu zatwierdzania projektów</w:t>
            </w:r>
          </w:p>
        </w:tc>
        <w:tc>
          <w:tcPr>
            <w:tcW w:w="417" w:type="pct"/>
            <w:shd w:val="clear" w:color="auto" w:fill="C6EFCE"/>
            <w:noWrap/>
            <w:vAlign w:val="center"/>
            <w:hideMark/>
          </w:tcPr>
          <w:p w14:paraId="533A9760" w14:textId="77F5E075" w:rsidR="004C6421" w:rsidRDefault="00CC179E">
            <w:pPr>
              <w:pStyle w:val="P68B1DB1-Normal4"/>
              <w:jc w:val="center"/>
              <w:rPr>
                <w:noProof/>
              </w:rPr>
            </w:pPr>
            <w:r>
              <w:rPr>
                <w:noProof/>
              </w:rPr>
              <w:t>Milowy</w:t>
            </w:r>
          </w:p>
        </w:tc>
        <w:tc>
          <w:tcPr>
            <w:tcW w:w="464" w:type="pct"/>
            <w:shd w:val="clear" w:color="auto" w:fill="C6EFCE"/>
            <w:noWrap/>
            <w:vAlign w:val="center"/>
          </w:tcPr>
          <w:p w14:paraId="09CE0EBA" w14:textId="77777777" w:rsidR="004C6421" w:rsidRDefault="009D1962">
            <w:pPr>
              <w:pStyle w:val="P68B1DB1-Normal4"/>
              <w:jc w:val="center"/>
              <w:rPr>
                <w:noProof/>
              </w:rPr>
            </w:pPr>
            <w:r>
              <w:rPr>
                <w:noProof/>
              </w:rPr>
              <w:t>Wejście w życie zmiany regulacyjnej, która skraca czas zatwierdzania projektów z 11 do sześciu miesięcy</w:t>
            </w:r>
          </w:p>
        </w:tc>
        <w:tc>
          <w:tcPr>
            <w:tcW w:w="509" w:type="pct"/>
            <w:shd w:val="clear" w:color="auto" w:fill="C6EFCE"/>
            <w:noWrap/>
            <w:vAlign w:val="center"/>
            <w:hideMark/>
          </w:tcPr>
          <w:p w14:paraId="4117A8AC" w14:textId="77777777" w:rsidR="004C6421" w:rsidRDefault="009D1962">
            <w:pPr>
              <w:pStyle w:val="P68B1DB1-Normal4"/>
              <w:jc w:val="center"/>
              <w:rPr>
                <w:noProof/>
              </w:rPr>
            </w:pPr>
            <w:r>
              <w:rPr>
                <w:noProof/>
              </w:rPr>
              <w:t>Przepis ustawy wskazujący na wejście w życie zmiany regulacyjnej, która skraca czas wydawania zezwoleń z 11 do 6 miesięcy. NIE DOT.</w:t>
            </w:r>
          </w:p>
        </w:tc>
        <w:tc>
          <w:tcPr>
            <w:tcW w:w="325" w:type="pct"/>
            <w:shd w:val="clear" w:color="auto" w:fill="C6EFCE"/>
            <w:noWrap/>
            <w:vAlign w:val="center"/>
            <w:hideMark/>
          </w:tcPr>
          <w:p w14:paraId="43AEA3AE" w14:textId="77777777" w:rsidR="004C6421" w:rsidRDefault="009D1962">
            <w:pPr>
              <w:pStyle w:val="P68B1DB1-Normal4"/>
              <w:jc w:val="center"/>
              <w:rPr>
                <w:noProof/>
              </w:rPr>
            </w:pPr>
            <w:r>
              <w:rPr>
                <w:noProof/>
              </w:rPr>
              <w:t>NIE DOT.</w:t>
            </w:r>
          </w:p>
        </w:tc>
        <w:tc>
          <w:tcPr>
            <w:tcW w:w="371" w:type="pct"/>
            <w:shd w:val="clear" w:color="auto" w:fill="C6EFCE"/>
            <w:noWrap/>
            <w:vAlign w:val="center"/>
          </w:tcPr>
          <w:p w14:paraId="1DCA11D8" w14:textId="77777777" w:rsidR="004C6421" w:rsidRDefault="009D1962">
            <w:pPr>
              <w:pStyle w:val="P68B1DB1-Normal4"/>
              <w:jc w:val="center"/>
              <w:rPr>
                <w:noProof/>
              </w:rPr>
            </w:pPr>
            <w:r>
              <w:rPr>
                <w:noProof/>
              </w:rPr>
              <w:t>NIE DOT.</w:t>
            </w:r>
          </w:p>
        </w:tc>
        <w:tc>
          <w:tcPr>
            <w:tcW w:w="279" w:type="pct"/>
            <w:shd w:val="clear" w:color="auto" w:fill="C6EFCE"/>
            <w:noWrap/>
            <w:vAlign w:val="center"/>
          </w:tcPr>
          <w:p w14:paraId="6C1B57D1" w14:textId="77777777" w:rsidR="004C6421" w:rsidRDefault="009D1962">
            <w:pPr>
              <w:pStyle w:val="P68B1DB1-Normal4"/>
              <w:jc w:val="center"/>
              <w:rPr>
                <w:noProof/>
              </w:rPr>
            </w:pPr>
            <w:r>
              <w:rPr>
                <w:noProof/>
              </w:rPr>
              <w:t>NIE DOT.</w:t>
            </w:r>
          </w:p>
        </w:tc>
        <w:tc>
          <w:tcPr>
            <w:tcW w:w="278" w:type="pct"/>
            <w:shd w:val="clear" w:color="auto" w:fill="C6EFCE"/>
            <w:noWrap/>
            <w:vAlign w:val="center"/>
            <w:hideMark/>
          </w:tcPr>
          <w:p w14:paraId="7004F0A6" w14:textId="2EB0E20A" w:rsidR="004C6421" w:rsidRDefault="00CC179E">
            <w:pPr>
              <w:pStyle w:val="P68B1DB1-Normal4"/>
              <w:jc w:val="center"/>
              <w:rPr>
                <w:noProof/>
              </w:rPr>
            </w:pPr>
            <w:r>
              <w:rPr>
                <w:noProof/>
              </w:rPr>
              <w:t>KW. 4</w:t>
            </w:r>
          </w:p>
        </w:tc>
        <w:tc>
          <w:tcPr>
            <w:tcW w:w="278" w:type="pct"/>
            <w:shd w:val="clear" w:color="auto" w:fill="C6EFCE"/>
            <w:noWrap/>
            <w:vAlign w:val="center"/>
            <w:hideMark/>
          </w:tcPr>
          <w:p w14:paraId="0890F6BC" w14:textId="77777777" w:rsidR="004C6421" w:rsidRDefault="009D1962">
            <w:pPr>
              <w:pStyle w:val="P68B1DB1-Normal4"/>
              <w:jc w:val="center"/>
              <w:rPr>
                <w:noProof/>
              </w:rPr>
            </w:pPr>
            <w:r>
              <w:rPr>
                <w:noProof/>
              </w:rPr>
              <w:t>2021</w:t>
            </w:r>
          </w:p>
        </w:tc>
        <w:tc>
          <w:tcPr>
            <w:tcW w:w="1198" w:type="pct"/>
            <w:shd w:val="clear" w:color="auto" w:fill="C6EFCE"/>
            <w:noWrap/>
            <w:vAlign w:val="center"/>
            <w:hideMark/>
          </w:tcPr>
          <w:p w14:paraId="3C564976" w14:textId="77777777" w:rsidR="004C6421" w:rsidRDefault="009D1962">
            <w:pPr>
              <w:pStyle w:val="P68B1DB1-Normal4"/>
              <w:spacing w:before="100" w:beforeAutospacing="1" w:after="165"/>
              <w:rPr>
                <w:noProof/>
              </w:rPr>
            </w:pPr>
            <w:r>
              <w:rPr>
                <w:noProof/>
              </w:rPr>
              <w:t>Zmiana regulacyjna skraca czas wydawania pozwoleń na projekty z 11 do sześciu miesięcy.</w:t>
            </w:r>
          </w:p>
        </w:tc>
      </w:tr>
      <w:tr w:rsidR="004C6421" w14:paraId="1C2B584D" w14:textId="77777777">
        <w:trPr>
          <w:trHeight w:val="313"/>
          <w:jc w:val="right"/>
        </w:trPr>
        <w:tc>
          <w:tcPr>
            <w:tcW w:w="369" w:type="pct"/>
            <w:shd w:val="clear" w:color="auto" w:fill="C6EFCE"/>
            <w:noWrap/>
            <w:vAlign w:val="center"/>
            <w:hideMark/>
          </w:tcPr>
          <w:p w14:paraId="08C8C248" w14:textId="77777777" w:rsidR="004C6421" w:rsidRDefault="009D1962">
            <w:pPr>
              <w:pStyle w:val="P68B1DB1-Normal4"/>
              <w:jc w:val="center"/>
              <w:rPr>
                <w:noProof/>
              </w:rPr>
            </w:pPr>
            <w:r>
              <w:rPr>
                <w:noProof/>
              </w:rPr>
              <w:t>M3C1-3</w:t>
            </w:r>
          </w:p>
        </w:tc>
        <w:tc>
          <w:tcPr>
            <w:tcW w:w="511" w:type="pct"/>
            <w:shd w:val="clear" w:color="auto" w:fill="C6EFCE"/>
            <w:noWrap/>
            <w:vAlign w:val="center"/>
            <w:hideMark/>
          </w:tcPr>
          <w:p w14:paraId="18D2001A" w14:textId="77777777" w:rsidR="004C6421" w:rsidRDefault="009D1962">
            <w:pPr>
              <w:pStyle w:val="P68B1DB1-Normal4"/>
              <w:jc w:val="center"/>
              <w:rPr>
                <w:noProof/>
              </w:rPr>
            </w:pPr>
            <w:r>
              <w:rPr>
                <w:noProof/>
              </w:rPr>
              <w:t>Inwestycje 1.1 – Połączenia kolejowe dużych prędkości z Południem dla pasażerów i towarów</w:t>
            </w:r>
          </w:p>
        </w:tc>
        <w:tc>
          <w:tcPr>
            <w:tcW w:w="417" w:type="pct"/>
            <w:shd w:val="clear" w:color="auto" w:fill="C6EFCE"/>
            <w:noWrap/>
            <w:vAlign w:val="center"/>
            <w:hideMark/>
          </w:tcPr>
          <w:p w14:paraId="4B5AA4E9" w14:textId="52DC6516" w:rsidR="004C6421" w:rsidRDefault="00CC179E">
            <w:pPr>
              <w:pStyle w:val="P68B1DB1-Normal4"/>
              <w:jc w:val="center"/>
              <w:rPr>
                <w:noProof/>
              </w:rPr>
            </w:pPr>
            <w:r>
              <w:rPr>
                <w:noProof/>
              </w:rPr>
              <w:t>Milowy</w:t>
            </w:r>
          </w:p>
        </w:tc>
        <w:tc>
          <w:tcPr>
            <w:tcW w:w="464" w:type="pct"/>
            <w:shd w:val="clear" w:color="auto" w:fill="C6EFCE"/>
            <w:noWrap/>
            <w:vAlign w:val="center"/>
            <w:hideMark/>
          </w:tcPr>
          <w:p w14:paraId="6F7552B6" w14:textId="77777777" w:rsidR="004C6421" w:rsidRDefault="009D1962">
            <w:pPr>
              <w:pStyle w:val="P68B1DB1-Normal4"/>
              <w:jc w:val="center"/>
              <w:rPr>
                <w:noProof/>
              </w:rPr>
            </w:pPr>
            <w:r>
              <w:rPr>
                <w:noProof/>
              </w:rPr>
              <w:t>Udzielenie zamówienia na budowę kolei dużych prędkości na liniach Napoli-Bari i Palermo-Katania</w:t>
            </w:r>
          </w:p>
        </w:tc>
        <w:tc>
          <w:tcPr>
            <w:tcW w:w="509" w:type="pct"/>
            <w:shd w:val="clear" w:color="auto" w:fill="C6EFCE"/>
            <w:noWrap/>
            <w:vAlign w:val="center"/>
            <w:hideMark/>
          </w:tcPr>
          <w:p w14:paraId="02F308AE" w14:textId="77777777" w:rsidR="004C6421" w:rsidRDefault="009D1962">
            <w:pPr>
              <w:pStyle w:val="P68B1DB1-Normal4"/>
              <w:jc w:val="center"/>
              <w:rPr>
                <w:noProof/>
              </w:rPr>
            </w:pPr>
            <w:r>
              <w:rPr>
                <w:noProof/>
              </w:rPr>
              <w:t>Powiadomienie o udzieleniu wszystkich zamówień publicznych na budowę kolei dużych prędkości na liniach Napoli-Bari i Palermo-Katania</w:t>
            </w:r>
          </w:p>
        </w:tc>
        <w:tc>
          <w:tcPr>
            <w:tcW w:w="325" w:type="pct"/>
            <w:shd w:val="clear" w:color="auto" w:fill="C6EFCE"/>
            <w:noWrap/>
            <w:vAlign w:val="center"/>
            <w:hideMark/>
          </w:tcPr>
          <w:p w14:paraId="40A0B8BA" w14:textId="77777777" w:rsidR="004C6421" w:rsidRDefault="009D1962">
            <w:pPr>
              <w:pStyle w:val="P68B1DB1-Normal4"/>
              <w:jc w:val="center"/>
              <w:rPr>
                <w:noProof/>
              </w:rPr>
            </w:pPr>
            <w:r>
              <w:rPr>
                <w:noProof/>
              </w:rPr>
              <w:t>NIE DOT.</w:t>
            </w:r>
          </w:p>
        </w:tc>
        <w:tc>
          <w:tcPr>
            <w:tcW w:w="371" w:type="pct"/>
            <w:shd w:val="clear" w:color="auto" w:fill="C6EFCE"/>
            <w:noWrap/>
            <w:vAlign w:val="center"/>
            <w:hideMark/>
          </w:tcPr>
          <w:p w14:paraId="70DB9648" w14:textId="77777777" w:rsidR="004C6421" w:rsidRDefault="009D1962">
            <w:pPr>
              <w:pStyle w:val="P68B1DB1-Normal4"/>
              <w:jc w:val="center"/>
              <w:rPr>
                <w:noProof/>
              </w:rPr>
            </w:pPr>
            <w:r>
              <w:rPr>
                <w:noProof/>
              </w:rPr>
              <w:t>NIE DOT.</w:t>
            </w:r>
          </w:p>
        </w:tc>
        <w:tc>
          <w:tcPr>
            <w:tcW w:w="279" w:type="pct"/>
            <w:shd w:val="clear" w:color="auto" w:fill="C6EFCE"/>
            <w:noWrap/>
            <w:vAlign w:val="center"/>
            <w:hideMark/>
          </w:tcPr>
          <w:p w14:paraId="3321296A" w14:textId="77777777" w:rsidR="004C6421" w:rsidRDefault="009D1962">
            <w:pPr>
              <w:pStyle w:val="P68B1DB1-Normal4"/>
              <w:jc w:val="center"/>
              <w:rPr>
                <w:noProof/>
              </w:rPr>
            </w:pPr>
            <w:r>
              <w:rPr>
                <w:noProof/>
              </w:rPr>
              <w:t>NIE DOT.</w:t>
            </w:r>
          </w:p>
        </w:tc>
        <w:tc>
          <w:tcPr>
            <w:tcW w:w="278" w:type="pct"/>
            <w:shd w:val="clear" w:color="auto" w:fill="C6EFCE"/>
            <w:noWrap/>
            <w:vAlign w:val="center"/>
            <w:hideMark/>
          </w:tcPr>
          <w:p w14:paraId="1A3E98A8" w14:textId="6C1ED375" w:rsidR="004C6421" w:rsidRDefault="00CC179E">
            <w:pPr>
              <w:pStyle w:val="P68B1DB1-Normal4"/>
              <w:jc w:val="center"/>
              <w:rPr>
                <w:noProof/>
              </w:rPr>
            </w:pPr>
            <w:r>
              <w:rPr>
                <w:noProof/>
              </w:rPr>
              <w:t>KW. 4</w:t>
            </w:r>
          </w:p>
        </w:tc>
        <w:tc>
          <w:tcPr>
            <w:tcW w:w="278" w:type="pct"/>
            <w:shd w:val="clear" w:color="auto" w:fill="C6EFCE"/>
            <w:noWrap/>
            <w:vAlign w:val="center"/>
            <w:hideMark/>
          </w:tcPr>
          <w:p w14:paraId="6E733401" w14:textId="77777777" w:rsidR="004C6421" w:rsidRDefault="009D1962">
            <w:pPr>
              <w:pStyle w:val="P68B1DB1-Normal4"/>
              <w:jc w:val="center"/>
              <w:rPr>
                <w:noProof/>
              </w:rPr>
            </w:pPr>
            <w:r>
              <w:rPr>
                <w:noProof/>
              </w:rPr>
              <w:t>2022</w:t>
            </w:r>
          </w:p>
        </w:tc>
        <w:tc>
          <w:tcPr>
            <w:tcW w:w="1198" w:type="pct"/>
            <w:shd w:val="clear" w:color="auto" w:fill="C6EFCE"/>
            <w:noWrap/>
            <w:vAlign w:val="center"/>
            <w:hideMark/>
          </w:tcPr>
          <w:p w14:paraId="549EF56F" w14:textId="77777777" w:rsidR="004C6421" w:rsidRDefault="009D1962">
            <w:pPr>
              <w:pStyle w:val="P68B1DB1-Normal4"/>
              <w:spacing w:before="120" w:after="120"/>
              <w:rPr>
                <w:noProof/>
              </w:rPr>
            </w:pPr>
            <w:r>
              <w:rPr>
                <w:noProof/>
              </w:rPr>
              <w:t>Powiadomienie o udzieleniu wszystkich zamówień publicznych na budowę kolei dużych prędkości na liniach Napoli-Bari i Palermo-Katania w pełnej zgodności z przepisami dotyczącymi zamówień publicznych</w:t>
            </w:r>
          </w:p>
          <w:p w14:paraId="713A92E4" w14:textId="77777777" w:rsidR="004C6421" w:rsidRDefault="009D1962">
            <w:pPr>
              <w:pStyle w:val="P68B1DB1-Normal4"/>
              <w:spacing w:before="120" w:after="120"/>
              <w:rPr>
                <w:noProof/>
              </w:rPr>
            </w:pPr>
            <w:r>
              <w:rPr>
                <w:noProof/>
              </w:rPr>
              <w:t>Umowa (umowy) odnosi się do następujących części tych linii:</w:t>
            </w:r>
          </w:p>
          <w:p w14:paraId="6F22206C" w14:textId="77777777" w:rsidR="004C6421" w:rsidRDefault="009D1962">
            <w:pPr>
              <w:pStyle w:val="P68B1DB1-Normal4"/>
              <w:spacing w:before="120" w:after="120"/>
              <w:rPr>
                <w:noProof/>
              </w:rPr>
            </w:pPr>
            <w:r>
              <w:rPr>
                <w:noProof/>
              </w:rPr>
              <w:t>Linia Napoli-Bari: Orsara – Bovino</w:t>
            </w:r>
          </w:p>
          <w:p w14:paraId="0B42C925" w14:textId="77777777" w:rsidR="004C6421" w:rsidRDefault="009D1962">
            <w:pPr>
              <w:pStyle w:val="P68B1DB1-Normal4"/>
              <w:spacing w:before="120" w:after="120"/>
              <w:rPr>
                <w:noProof/>
              </w:rPr>
            </w:pPr>
            <w:r>
              <w:rPr>
                <w:noProof/>
              </w:rPr>
              <w:t>Linia Palermo-Katania:  Catenanuova – Dittaino i Dittaino – Enna</w:t>
            </w:r>
          </w:p>
        </w:tc>
      </w:tr>
      <w:tr w:rsidR="004C6421" w14:paraId="4C6AD301" w14:textId="77777777">
        <w:trPr>
          <w:trHeight w:val="313"/>
          <w:jc w:val="right"/>
        </w:trPr>
        <w:tc>
          <w:tcPr>
            <w:tcW w:w="369" w:type="pct"/>
            <w:shd w:val="clear" w:color="auto" w:fill="C6EFCE"/>
            <w:noWrap/>
            <w:vAlign w:val="center"/>
            <w:hideMark/>
          </w:tcPr>
          <w:p w14:paraId="45E73CDE" w14:textId="77777777" w:rsidR="004C6421" w:rsidRDefault="009D1962">
            <w:pPr>
              <w:pStyle w:val="P68B1DB1-Normal4"/>
              <w:jc w:val="center"/>
              <w:rPr>
                <w:noProof/>
              </w:rPr>
            </w:pPr>
            <w:r>
              <w:rPr>
                <w:noProof/>
              </w:rPr>
              <w:t>M3C1-4</w:t>
            </w:r>
          </w:p>
        </w:tc>
        <w:tc>
          <w:tcPr>
            <w:tcW w:w="511" w:type="pct"/>
            <w:shd w:val="clear" w:color="auto" w:fill="C6EFCE"/>
            <w:noWrap/>
            <w:vAlign w:val="center"/>
            <w:hideMark/>
          </w:tcPr>
          <w:p w14:paraId="5316E1A5" w14:textId="77777777" w:rsidR="004C6421" w:rsidRDefault="009D1962">
            <w:pPr>
              <w:pStyle w:val="P68B1DB1-Normal4"/>
              <w:jc w:val="center"/>
              <w:rPr>
                <w:noProof/>
              </w:rPr>
            </w:pPr>
            <w:r>
              <w:rPr>
                <w:noProof/>
              </w:rPr>
              <w:t>Inwestycje 1.1 – Połączenia kolejowe dużych prędkości z Południem dla pasażerów i towarów</w:t>
            </w:r>
          </w:p>
        </w:tc>
        <w:tc>
          <w:tcPr>
            <w:tcW w:w="417" w:type="pct"/>
            <w:shd w:val="clear" w:color="auto" w:fill="C6EFCE"/>
            <w:noWrap/>
            <w:vAlign w:val="center"/>
            <w:hideMark/>
          </w:tcPr>
          <w:p w14:paraId="2FDB5E58" w14:textId="75A320DE" w:rsidR="004C6421" w:rsidRDefault="00CC179E">
            <w:pPr>
              <w:pStyle w:val="P68B1DB1-Normal4"/>
              <w:jc w:val="center"/>
              <w:rPr>
                <w:noProof/>
              </w:rPr>
            </w:pPr>
            <w:r>
              <w:rPr>
                <w:noProof/>
              </w:rPr>
              <w:t>Milowy</w:t>
            </w:r>
          </w:p>
        </w:tc>
        <w:tc>
          <w:tcPr>
            <w:tcW w:w="464" w:type="pct"/>
            <w:shd w:val="clear" w:color="auto" w:fill="C6EFCE"/>
            <w:noWrap/>
            <w:vAlign w:val="center"/>
            <w:hideMark/>
          </w:tcPr>
          <w:p w14:paraId="0DBF22EC" w14:textId="77777777" w:rsidR="004C6421" w:rsidRDefault="009D1962">
            <w:pPr>
              <w:pStyle w:val="P68B1DB1-Normal4"/>
              <w:jc w:val="center"/>
              <w:rPr>
                <w:noProof/>
              </w:rPr>
            </w:pPr>
            <w:r>
              <w:rPr>
                <w:noProof/>
              </w:rPr>
              <w:t>Udzielenie zamówienia na budowę kolei dużych prędkości na liniach Salerno Reggio Calabria</w:t>
            </w:r>
          </w:p>
        </w:tc>
        <w:tc>
          <w:tcPr>
            <w:tcW w:w="509" w:type="pct"/>
            <w:shd w:val="clear" w:color="auto" w:fill="C6EFCE"/>
            <w:noWrap/>
            <w:vAlign w:val="center"/>
            <w:hideMark/>
          </w:tcPr>
          <w:p w14:paraId="78AB801D" w14:textId="77777777" w:rsidR="004C6421" w:rsidRDefault="009D1962">
            <w:pPr>
              <w:pStyle w:val="P68B1DB1-Normal6"/>
              <w:jc w:val="center"/>
              <w:rPr>
                <w:noProof/>
                <w:color w:val="006100"/>
              </w:rPr>
            </w:pPr>
            <w:r>
              <w:rPr>
                <w:noProof/>
                <w:color w:val="006100"/>
              </w:rPr>
              <w:t>Powiadomienie o udzieleniu  wielodyscyplinarnego zamówienia na budowę kolei dużych prędkości na linii Salerno-Reggio Calabria</w:t>
            </w:r>
          </w:p>
        </w:tc>
        <w:tc>
          <w:tcPr>
            <w:tcW w:w="325" w:type="pct"/>
            <w:shd w:val="clear" w:color="auto" w:fill="C6EFCE"/>
            <w:noWrap/>
            <w:vAlign w:val="center"/>
            <w:hideMark/>
          </w:tcPr>
          <w:p w14:paraId="665EC435" w14:textId="77777777" w:rsidR="004C6421" w:rsidRDefault="009D1962">
            <w:pPr>
              <w:pStyle w:val="P68B1DB1-Normal4"/>
              <w:jc w:val="center"/>
              <w:rPr>
                <w:noProof/>
              </w:rPr>
            </w:pPr>
            <w:r>
              <w:rPr>
                <w:noProof/>
              </w:rPr>
              <w:t>NIE DOT.</w:t>
            </w:r>
          </w:p>
        </w:tc>
        <w:tc>
          <w:tcPr>
            <w:tcW w:w="371" w:type="pct"/>
            <w:shd w:val="clear" w:color="auto" w:fill="C6EFCE"/>
            <w:noWrap/>
            <w:vAlign w:val="center"/>
            <w:hideMark/>
          </w:tcPr>
          <w:p w14:paraId="5C99FFD7" w14:textId="77777777" w:rsidR="004C6421" w:rsidRDefault="009D1962">
            <w:pPr>
              <w:pStyle w:val="P68B1DB1-Normal4"/>
              <w:jc w:val="center"/>
              <w:rPr>
                <w:noProof/>
              </w:rPr>
            </w:pPr>
            <w:r>
              <w:rPr>
                <w:noProof/>
              </w:rPr>
              <w:t>NIE DOT.</w:t>
            </w:r>
          </w:p>
        </w:tc>
        <w:tc>
          <w:tcPr>
            <w:tcW w:w="279" w:type="pct"/>
            <w:shd w:val="clear" w:color="auto" w:fill="C6EFCE"/>
            <w:noWrap/>
            <w:vAlign w:val="center"/>
            <w:hideMark/>
          </w:tcPr>
          <w:p w14:paraId="1AF8CC1A" w14:textId="77777777" w:rsidR="004C6421" w:rsidRDefault="009D1962">
            <w:pPr>
              <w:pStyle w:val="P68B1DB1-Normal4"/>
              <w:jc w:val="center"/>
              <w:rPr>
                <w:noProof/>
              </w:rPr>
            </w:pPr>
            <w:r>
              <w:rPr>
                <w:noProof/>
              </w:rPr>
              <w:t>NIE DOT.</w:t>
            </w:r>
          </w:p>
        </w:tc>
        <w:tc>
          <w:tcPr>
            <w:tcW w:w="278" w:type="pct"/>
            <w:shd w:val="clear" w:color="auto" w:fill="C6EFCE"/>
            <w:noWrap/>
            <w:vAlign w:val="center"/>
            <w:hideMark/>
          </w:tcPr>
          <w:p w14:paraId="55BAB1A0" w14:textId="0E30DE1C" w:rsidR="004C6421" w:rsidRDefault="00CC179E">
            <w:pPr>
              <w:pStyle w:val="P68B1DB1-Normal4"/>
              <w:jc w:val="center"/>
              <w:rPr>
                <w:noProof/>
              </w:rPr>
            </w:pPr>
            <w:r>
              <w:rPr>
                <w:noProof/>
              </w:rPr>
              <w:t>KW. 4</w:t>
            </w:r>
          </w:p>
        </w:tc>
        <w:tc>
          <w:tcPr>
            <w:tcW w:w="278" w:type="pct"/>
            <w:shd w:val="clear" w:color="auto" w:fill="C6EFCE"/>
            <w:noWrap/>
            <w:vAlign w:val="center"/>
            <w:hideMark/>
          </w:tcPr>
          <w:p w14:paraId="763D1918" w14:textId="77777777" w:rsidR="004C6421" w:rsidRDefault="009D1962">
            <w:pPr>
              <w:pStyle w:val="P68B1DB1-Normal4"/>
              <w:jc w:val="center"/>
              <w:rPr>
                <w:noProof/>
              </w:rPr>
            </w:pPr>
            <w:r>
              <w:rPr>
                <w:noProof/>
              </w:rPr>
              <w:t>2023</w:t>
            </w:r>
          </w:p>
        </w:tc>
        <w:tc>
          <w:tcPr>
            <w:tcW w:w="1198" w:type="pct"/>
            <w:shd w:val="clear" w:color="auto" w:fill="C6EFCE"/>
            <w:noWrap/>
            <w:vAlign w:val="center"/>
            <w:hideMark/>
          </w:tcPr>
          <w:p w14:paraId="20F8A2FC" w14:textId="77777777" w:rsidR="004C6421" w:rsidRDefault="009D1962">
            <w:pPr>
              <w:pStyle w:val="P68B1DB1-Normal4"/>
              <w:spacing w:before="120" w:after="120"/>
              <w:rPr>
                <w:noProof/>
              </w:rPr>
            </w:pPr>
            <w:r>
              <w:rPr>
                <w:noProof/>
              </w:rPr>
              <w:t>Powiadomienie o udzieleniu wielodyscyplinarnego zamówienia na budowę kolei dużych prędkości na linii Salerno Reggio Calabria.</w:t>
            </w:r>
          </w:p>
          <w:p w14:paraId="7D915B5C" w14:textId="77777777" w:rsidR="004C6421" w:rsidRDefault="009D1962">
            <w:pPr>
              <w:pStyle w:val="P68B1DB1-Normal4"/>
              <w:spacing w:before="120" w:after="120"/>
              <w:rPr>
                <w:noProof/>
              </w:rPr>
            </w:pPr>
            <w:r>
              <w:rPr>
                <w:noProof/>
              </w:rPr>
              <w:t>Umowa odnosi się do następujących części tego wiersza: Battipaglia – Romagnano</w:t>
            </w:r>
          </w:p>
        </w:tc>
      </w:tr>
      <w:tr w:rsidR="004C6421" w14:paraId="3E7CEC3E" w14:textId="77777777">
        <w:trPr>
          <w:trHeight w:val="309"/>
          <w:jc w:val="right"/>
        </w:trPr>
        <w:tc>
          <w:tcPr>
            <w:tcW w:w="369" w:type="pct"/>
            <w:shd w:val="clear" w:color="auto" w:fill="C6EFCE"/>
            <w:noWrap/>
            <w:vAlign w:val="center"/>
          </w:tcPr>
          <w:p w14:paraId="392DAD7F" w14:textId="77777777" w:rsidR="004C6421" w:rsidRDefault="009D1962">
            <w:pPr>
              <w:pStyle w:val="P68B1DB1-Normal4"/>
              <w:jc w:val="center"/>
              <w:rPr>
                <w:noProof/>
              </w:rPr>
            </w:pPr>
            <w:r>
              <w:rPr>
                <w:noProof/>
              </w:rPr>
              <w:t>M3C1-6</w:t>
            </w:r>
          </w:p>
        </w:tc>
        <w:tc>
          <w:tcPr>
            <w:tcW w:w="511" w:type="pct"/>
            <w:shd w:val="clear" w:color="auto" w:fill="C6EFCE"/>
            <w:noWrap/>
            <w:vAlign w:val="center"/>
          </w:tcPr>
          <w:p w14:paraId="2865BCB3" w14:textId="77777777" w:rsidR="004C6421" w:rsidRDefault="009D1962">
            <w:pPr>
              <w:pStyle w:val="P68B1DB1-Normal4"/>
              <w:jc w:val="center"/>
              <w:rPr>
                <w:noProof/>
              </w:rPr>
            </w:pPr>
            <w:r>
              <w:rPr>
                <w:noProof/>
              </w:rPr>
              <w:t>Inwestycje 1.1 – Połączenia kolejowe dużych prędkości z Południem dla pasażerów i towarów</w:t>
            </w:r>
          </w:p>
        </w:tc>
        <w:tc>
          <w:tcPr>
            <w:tcW w:w="417" w:type="pct"/>
            <w:shd w:val="clear" w:color="auto" w:fill="C6EFCE"/>
            <w:noWrap/>
            <w:vAlign w:val="center"/>
          </w:tcPr>
          <w:p w14:paraId="6204F784" w14:textId="77777777" w:rsidR="004C6421" w:rsidRDefault="009D1962">
            <w:pPr>
              <w:pStyle w:val="P68B1DB1-Normal4"/>
              <w:jc w:val="center"/>
              <w:rPr>
                <w:noProof/>
              </w:rPr>
            </w:pPr>
            <w:r>
              <w:rPr>
                <w:noProof/>
              </w:rPr>
              <w:t>Cel</w:t>
            </w:r>
          </w:p>
        </w:tc>
        <w:tc>
          <w:tcPr>
            <w:tcW w:w="464" w:type="pct"/>
            <w:shd w:val="clear" w:color="auto" w:fill="C6EFCE"/>
            <w:noWrap/>
            <w:vAlign w:val="center"/>
          </w:tcPr>
          <w:p w14:paraId="739870A5" w14:textId="77777777" w:rsidR="004C6421" w:rsidRDefault="009D1962">
            <w:pPr>
              <w:pStyle w:val="P68B1DB1-Normal4"/>
              <w:jc w:val="center"/>
              <w:rPr>
                <w:noProof/>
              </w:rPr>
            </w:pPr>
            <w:r>
              <w:rPr>
                <w:noProof/>
              </w:rPr>
              <w:t>Kolej dużych prędkości, zarówno pasażerskich, jak i towarowych, na liniach Napoli-Bari, Salerno-Reggio Calabria, Palermo-Katania</w:t>
            </w:r>
          </w:p>
        </w:tc>
        <w:tc>
          <w:tcPr>
            <w:tcW w:w="509" w:type="pct"/>
            <w:shd w:val="clear" w:color="auto" w:fill="C6EFCE"/>
            <w:noWrap/>
            <w:vAlign w:val="center"/>
          </w:tcPr>
          <w:p w14:paraId="3A266726" w14:textId="77777777" w:rsidR="004C6421" w:rsidRDefault="009D1962">
            <w:pPr>
              <w:pStyle w:val="P68B1DB1-Normal4"/>
              <w:jc w:val="center"/>
              <w:rPr>
                <w:noProof/>
              </w:rPr>
            </w:pPr>
            <w:r>
              <w:rPr>
                <w:noProof/>
              </w:rPr>
              <w:t>NIE DOT.</w:t>
            </w:r>
          </w:p>
        </w:tc>
        <w:tc>
          <w:tcPr>
            <w:tcW w:w="325" w:type="pct"/>
            <w:shd w:val="clear" w:color="auto" w:fill="C6EFCE"/>
            <w:noWrap/>
            <w:vAlign w:val="center"/>
          </w:tcPr>
          <w:p w14:paraId="6E4FE45C" w14:textId="77777777" w:rsidR="004C6421" w:rsidRDefault="009D1962">
            <w:pPr>
              <w:pStyle w:val="P68B1DB1-Normal4"/>
              <w:jc w:val="center"/>
              <w:rPr>
                <w:rFonts w:eastAsia="Arial Narrow" w:cs="Arial Narrow"/>
                <w:noProof/>
              </w:rPr>
            </w:pPr>
            <w:r>
              <w:rPr>
                <w:noProof/>
              </w:rPr>
              <w:t>Kilometry</w:t>
            </w:r>
          </w:p>
        </w:tc>
        <w:tc>
          <w:tcPr>
            <w:tcW w:w="371" w:type="pct"/>
            <w:shd w:val="clear" w:color="auto" w:fill="C6EFCE"/>
            <w:noWrap/>
            <w:vAlign w:val="center"/>
          </w:tcPr>
          <w:p w14:paraId="09F8892C" w14:textId="77777777" w:rsidR="004C6421" w:rsidRDefault="009D1962">
            <w:pPr>
              <w:pStyle w:val="P68B1DB1-Normal4"/>
              <w:jc w:val="center"/>
              <w:rPr>
                <w:noProof/>
              </w:rPr>
            </w:pPr>
            <w:r>
              <w:rPr>
                <w:noProof/>
              </w:rPr>
              <w:t>0</w:t>
            </w:r>
          </w:p>
        </w:tc>
        <w:tc>
          <w:tcPr>
            <w:tcW w:w="279" w:type="pct"/>
            <w:shd w:val="clear" w:color="auto" w:fill="C6EFCE"/>
            <w:noWrap/>
            <w:vAlign w:val="center"/>
          </w:tcPr>
          <w:p w14:paraId="1EB31841" w14:textId="77777777" w:rsidR="004C6421" w:rsidRDefault="009D1962">
            <w:pPr>
              <w:pStyle w:val="P68B1DB1-Normal4"/>
              <w:jc w:val="center"/>
              <w:rPr>
                <w:noProof/>
              </w:rPr>
            </w:pPr>
            <w:r>
              <w:rPr>
                <w:noProof/>
              </w:rPr>
              <w:t>119</w:t>
            </w:r>
          </w:p>
        </w:tc>
        <w:tc>
          <w:tcPr>
            <w:tcW w:w="278" w:type="pct"/>
            <w:shd w:val="clear" w:color="auto" w:fill="C6EFCE"/>
            <w:noWrap/>
            <w:vAlign w:val="center"/>
          </w:tcPr>
          <w:p w14:paraId="57B64317" w14:textId="77777777" w:rsidR="004C6421" w:rsidRDefault="009D1962">
            <w:pPr>
              <w:pStyle w:val="P68B1DB1-Normal4"/>
              <w:jc w:val="center"/>
              <w:rPr>
                <w:noProof/>
              </w:rPr>
            </w:pPr>
            <w:r>
              <w:rPr>
                <w:noProof/>
              </w:rPr>
              <w:t>II KW.</w:t>
            </w:r>
          </w:p>
        </w:tc>
        <w:tc>
          <w:tcPr>
            <w:tcW w:w="278" w:type="pct"/>
            <w:shd w:val="clear" w:color="auto" w:fill="C6EFCE"/>
            <w:noWrap/>
            <w:vAlign w:val="center"/>
          </w:tcPr>
          <w:p w14:paraId="06389C28" w14:textId="77777777" w:rsidR="004C6421" w:rsidRDefault="009D1962">
            <w:pPr>
              <w:pStyle w:val="P68B1DB1-Normal4"/>
              <w:jc w:val="center"/>
              <w:rPr>
                <w:noProof/>
              </w:rPr>
            </w:pPr>
            <w:r>
              <w:rPr>
                <w:noProof/>
              </w:rPr>
              <w:t>2026</w:t>
            </w:r>
          </w:p>
        </w:tc>
        <w:tc>
          <w:tcPr>
            <w:tcW w:w="1198" w:type="pct"/>
            <w:shd w:val="clear" w:color="auto" w:fill="C6EFCE"/>
            <w:noWrap/>
            <w:vAlign w:val="center"/>
          </w:tcPr>
          <w:p w14:paraId="44CB52FE" w14:textId="77777777" w:rsidR="004C6421" w:rsidRDefault="009D1962">
            <w:pPr>
              <w:pStyle w:val="P68B1DB1-Normal4"/>
              <w:spacing w:before="120" w:after="120"/>
              <w:rPr>
                <w:noProof/>
              </w:rPr>
            </w:pPr>
            <w:r>
              <w:rPr>
                <w:noProof/>
              </w:rPr>
              <w:t>119 km kolei dużych prędkości przeznaczonych zarówno dla pasażerów, jak i towarów na liniach Napoli-Bari, Salerno-Reggio Calabria, Palermo-Katania, gotowa do uzyskania zezwolenia i faza eksploatacji.</w:t>
            </w:r>
          </w:p>
          <w:p w14:paraId="473BB769" w14:textId="77777777" w:rsidR="004C6421" w:rsidRDefault="009D1962">
            <w:pPr>
              <w:pStyle w:val="P68B1DB1-Normal4"/>
              <w:rPr>
                <w:noProof/>
              </w:rPr>
            </w:pPr>
            <w:r>
              <w:rPr>
                <w:noProof/>
              </w:rPr>
              <w:t>Orientacyjny podział jest następujący:</w:t>
            </w:r>
          </w:p>
          <w:p w14:paraId="58F80884" w14:textId="77777777" w:rsidR="004C6421" w:rsidRDefault="004C6421">
            <w:pPr>
              <w:rPr>
                <w:rFonts w:ascii="Arial Narrow" w:hAnsi="Arial Narrow"/>
                <w:noProof/>
                <w:color w:val="006100"/>
                <w:sz w:val="20"/>
              </w:rPr>
            </w:pPr>
          </w:p>
          <w:p w14:paraId="3E6B93D5" w14:textId="77777777" w:rsidR="004C6421" w:rsidRDefault="009D1962">
            <w:pPr>
              <w:pStyle w:val="P68B1DB1-Normal6"/>
              <w:rPr>
                <w:noProof/>
              </w:rPr>
            </w:pPr>
            <w:r>
              <w:rPr>
                <w:noProof/>
                <w:color w:val="006100"/>
              </w:rPr>
              <w:t>Linia Napoli-Bari 49 km;</w:t>
            </w:r>
            <w:r>
              <w:rPr>
                <w:noProof/>
              </w:rPr>
              <w:t xml:space="preserve"> </w:t>
            </w:r>
          </w:p>
          <w:p w14:paraId="40133117" w14:textId="77777777" w:rsidR="004C6421" w:rsidRDefault="009D1962">
            <w:pPr>
              <w:pStyle w:val="P68B1DB1-Normal4"/>
              <w:rPr>
                <w:noProof/>
              </w:rPr>
            </w:pPr>
            <w:r>
              <w:rPr>
                <w:noProof/>
              </w:rPr>
              <w:t>w tym:</w:t>
            </w:r>
          </w:p>
          <w:p w14:paraId="3B4F099C" w14:textId="77777777" w:rsidR="004C6421" w:rsidRDefault="009D1962">
            <w:pPr>
              <w:pStyle w:val="P68B1DB1-Normal4"/>
              <w:spacing w:before="120" w:after="120"/>
              <w:rPr>
                <w:noProof/>
              </w:rPr>
            </w:pPr>
            <w:r>
              <w:rPr>
                <w:noProof/>
              </w:rPr>
              <w:t>Frasso – Telese 11</w:t>
            </w:r>
          </w:p>
          <w:p w14:paraId="62307FBC" w14:textId="77777777" w:rsidR="004C6421" w:rsidRDefault="009D1962">
            <w:pPr>
              <w:pStyle w:val="P68B1DB1-Normal4"/>
              <w:spacing w:before="120" w:after="120"/>
              <w:rPr>
                <w:noProof/>
              </w:rPr>
            </w:pPr>
            <w:r>
              <w:rPr>
                <w:noProof/>
              </w:rPr>
              <w:t>Telese – Vitulano 19 km</w:t>
            </w:r>
          </w:p>
          <w:p w14:paraId="79A135DF" w14:textId="77777777" w:rsidR="004C6421" w:rsidRDefault="009D1962">
            <w:pPr>
              <w:pStyle w:val="P68B1DB1-Normal4"/>
              <w:spacing w:before="120" w:after="120"/>
              <w:rPr>
                <w:noProof/>
              </w:rPr>
            </w:pPr>
            <w:r>
              <w:rPr>
                <w:noProof/>
              </w:rPr>
              <w:t>Apice – Hirpinia 19 km</w:t>
            </w:r>
          </w:p>
          <w:p w14:paraId="389C9F67" w14:textId="77777777" w:rsidR="004C6421" w:rsidRDefault="009D1962">
            <w:pPr>
              <w:pStyle w:val="P68B1DB1-Normal4"/>
              <w:spacing w:before="120" w:after="120"/>
              <w:rPr>
                <w:noProof/>
              </w:rPr>
            </w:pPr>
            <w:r>
              <w:rPr>
                <w:noProof/>
              </w:rPr>
              <w:t xml:space="preserve">Salerno – Reggio Calabria 33 km </w:t>
            </w:r>
          </w:p>
          <w:p w14:paraId="6B9C01C4" w14:textId="77777777" w:rsidR="004C6421" w:rsidRDefault="009D1962">
            <w:pPr>
              <w:pStyle w:val="P68B1DB1-Normal4"/>
              <w:spacing w:before="120" w:after="120"/>
              <w:rPr>
                <w:noProof/>
              </w:rPr>
            </w:pPr>
            <w:r>
              <w:rPr>
                <w:noProof/>
              </w:rPr>
              <w:t>z czego linia Battipaglia-Romagnano 33 km Palermo – Katania, z czego 37 km:</w:t>
            </w:r>
          </w:p>
          <w:p w14:paraId="5AFCA3C1" w14:textId="77777777" w:rsidR="004C6421" w:rsidRDefault="009D1962">
            <w:pPr>
              <w:pStyle w:val="P68B1DB1-Normal4"/>
              <w:rPr>
                <w:noProof/>
              </w:rPr>
            </w:pPr>
            <w:r>
              <w:rPr>
                <w:noProof/>
              </w:rPr>
              <w:t>Catenanuova – Dittaino 22 km</w:t>
            </w:r>
          </w:p>
          <w:p w14:paraId="2922FE27" w14:textId="77777777" w:rsidR="004C6421" w:rsidRDefault="009D1962">
            <w:pPr>
              <w:pStyle w:val="P68B1DB1-Normal4"/>
              <w:rPr>
                <w:noProof/>
              </w:rPr>
            </w:pPr>
            <w:r>
              <w:rPr>
                <w:noProof/>
              </w:rPr>
              <w:t>Dittanio – Enna 15 km</w:t>
            </w:r>
          </w:p>
        </w:tc>
      </w:tr>
      <w:tr w:rsidR="004C6421" w14:paraId="59765783" w14:textId="77777777">
        <w:trPr>
          <w:trHeight w:val="309"/>
          <w:jc w:val="right"/>
        </w:trPr>
        <w:tc>
          <w:tcPr>
            <w:tcW w:w="369" w:type="pct"/>
            <w:shd w:val="clear" w:color="auto" w:fill="C6EFCE"/>
            <w:noWrap/>
            <w:vAlign w:val="center"/>
          </w:tcPr>
          <w:p w14:paraId="597FEAB4" w14:textId="77777777" w:rsidR="004C6421" w:rsidRDefault="009D1962">
            <w:pPr>
              <w:pStyle w:val="P68B1DB1-Normal4"/>
              <w:jc w:val="center"/>
              <w:rPr>
                <w:noProof/>
              </w:rPr>
            </w:pPr>
            <w:r>
              <w:rPr>
                <w:noProof/>
              </w:rPr>
              <w:t>M3C1-23</w:t>
            </w:r>
          </w:p>
        </w:tc>
        <w:tc>
          <w:tcPr>
            <w:tcW w:w="511" w:type="pct"/>
            <w:shd w:val="clear" w:color="auto" w:fill="C6EFCE"/>
            <w:noWrap/>
            <w:vAlign w:val="center"/>
          </w:tcPr>
          <w:p w14:paraId="1B5BCF9D" w14:textId="77777777" w:rsidR="004C6421" w:rsidRDefault="009D1962">
            <w:pPr>
              <w:pStyle w:val="P68B1DB1-Normal4"/>
              <w:jc w:val="center"/>
              <w:rPr>
                <w:noProof/>
              </w:rPr>
            </w:pPr>
            <w:r>
              <w:rPr>
                <w:noProof/>
              </w:rPr>
              <w:t>Inwestycje 1.9</w:t>
            </w:r>
          </w:p>
          <w:p w14:paraId="2C3873CE" w14:textId="77777777" w:rsidR="004C6421" w:rsidRDefault="009D1962">
            <w:pPr>
              <w:pStyle w:val="P68B1DB1-Normal4"/>
              <w:jc w:val="center"/>
              <w:rPr>
                <w:noProof/>
              </w:rPr>
            </w:pPr>
            <w:r>
              <w:rPr>
                <w:noProof/>
              </w:rPr>
              <w:t>Połączenia międzyregionalne</w:t>
            </w:r>
          </w:p>
        </w:tc>
        <w:tc>
          <w:tcPr>
            <w:tcW w:w="417" w:type="pct"/>
            <w:shd w:val="clear" w:color="auto" w:fill="C6EFCE"/>
            <w:noWrap/>
            <w:vAlign w:val="center"/>
          </w:tcPr>
          <w:p w14:paraId="0CBF8167" w14:textId="77777777" w:rsidR="004C6421" w:rsidRDefault="009D1962">
            <w:pPr>
              <w:pStyle w:val="P68B1DB1-Normal4"/>
              <w:jc w:val="center"/>
              <w:rPr>
                <w:noProof/>
              </w:rPr>
            </w:pPr>
            <w:r>
              <w:rPr>
                <w:noProof/>
              </w:rPr>
              <w:t>Cel</w:t>
            </w:r>
          </w:p>
        </w:tc>
        <w:tc>
          <w:tcPr>
            <w:tcW w:w="464" w:type="pct"/>
            <w:shd w:val="clear" w:color="auto" w:fill="C6EFCE"/>
            <w:noWrap/>
            <w:vAlign w:val="center"/>
          </w:tcPr>
          <w:p w14:paraId="29D3FE8C" w14:textId="77777777" w:rsidR="004C6421" w:rsidRDefault="009D1962">
            <w:pPr>
              <w:pStyle w:val="P68B1DB1-Normal4"/>
              <w:jc w:val="center"/>
              <w:rPr>
                <w:noProof/>
              </w:rPr>
            </w:pPr>
            <w:r>
              <w:rPr>
                <w:noProof/>
              </w:rPr>
              <w:t>Inwestycje 1.9</w:t>
            </w:r>
          </w:p>
          <w:p w14:paraId="44D90831" w14:textId="77777777" w:rsidR="004C6421" w:rsidRDefault="009D1962">
            <w:pPr>
              <w:pStyle w:val="P68B1DB1-Normal4"/>
              <w:jc w:val="center"/>
              <w:rPr>
                <w:noProof/>
              </w:rPr>
            </w:pPr>
            <w:r>
              <w:rPr>
                <w:noProof/>
              </w:rPr>
              <w:t>Połączenia międzyregionalne</w:t>
            </w:r>
          </w:p>
        </w:tc>
        <w:tc>
          <w:tcPr>
            <w:tcW w:w="509" w:type="pct"/>
            <w:shd w:val="clear" w:color="auto" w:fill="C6EFCE"/>
            <w:noWrap/>
            <w:vAlign w:val="center"/>
          </w:tcPr>
          <w:p w14:paraId="551C16A4" w14:textId="77777777" w:rsidR="004C6421" w:rsidRDefault="009D1962">
            <w:pPr>
              <w:pStyle w:val="P68B1DB1-Normal4"/>
              <w:jc w:val="center"/>
              <w:rPr>
                <w:noProof/>
              </w:rPr>
            </w:pPr>
            <w:r>
              <w:rPr>
                <w:noProof/>
              </w:rPr>
              <w:t>NIE DOT.</w:t>
            </w:r>
          </w:p>
        </w:tc>
        <w:tc>
          <w:tcPr>
            <w:tcW w:w="325" w:type="pct"/>
            <w:shd w:val="clear" w:color="auto" w:fill="C6EFCE"/>
            <w:noWrap/>
            <w:vAlign w:val="center"/>
          </w:tcPr>
          <w:p w14:paraId="319D7F6D" w14:textId="77777777" w:rsidR="004C6421" w:rsidRDefault="009D1962">
            <w:pPr>
              <w:pStyle w:val="P68B1DB1-Normal4"/>
              <w:jc w:val="center"/>
              <w:rPr>
                <w:noProof/>
              </w:rPr>
            </w:pPr>
            <w:r>
              <w:rPr>
                <w:noProof/>
              </w:rPr>
              <w:t>Numer</w:t>
            </w:r>
          </w:p>
        </w:tc>
        <w:tc>
          <w:tcPr>
            <w:tcW w:w="371" w:type="pct"/>
            <w:shd w:val="clear" w:color="auto" w:fill="C6EFCE"/>
            <w:noWrap/>
            <w:vAlign w:val="center"/>
          </w:tcPr>
          <w:p w14:paraId="022E3704" w14:textId="77777777" w:rsidR="004C6421" w:rsidRDefault="009D1962">
            <w:pPr>
              <w:pStyle w:val="P68B1DB1-Normal4"/>
              <w:jc w:val="center"/>
              <w:rPr>
                <w:noProof/>
              </w:rPr>
            </w:pPr>
            <w:r>
              <w:rPr>
                <w:noProof/>
              </w:rPr>
              <w:t>0</w:t>
            </w:r>
          </w:p>
        </w:tc>
        <w:tc>
          <w:tcPr>
            <w:tcW w:w="279" w:type="pct"/>
            <w:shd w:val="clear" w:color="auto" w:fill="C6EFCE"/>
            <w:noWrap/>
            <w:vAlign w:val="center"/>
          </w:tcPr>
          <w:p w14:paraId="420153B1" w14:textId="77777777" w:rsidR="004C6421" w:rsidRDefault="009D1962">
            <w:pPr>
              <w:pStyle w:val="P68B1DB1-Normal4"/>
              <w:jc w:val="center"/>
              <w:rPr>
                <w:noProof/>
              </w:rPr>
            </w:pPr>
            <w:r>
              <w:rPr>
                <w:noProof/>
              </w:rPr>
              <w:t xml:space="preserve">70 </w:t>
            </w:r>
          </w:p>
        </w:tc>
        <w:tc>
          <w:tcPr>
            <w:tcW w:w="278" w:type="pct"/>
            <w:shd w:val="clear" w:color="auto" w:fill="C6EFCE"/>
            <w:noWrap/>
            <w:vAlign w:val="center"/>
          </w:tcPr>
          <w:p w14:paraId="47F492D5" w14:textId="03C59C96" w:rsidR="004C6421" w:rsidRDefault="00CC179E">
            <w:pPr>
              <w:pStyle w:val="P68B1DB1-Normal4"/>
              <w:jc w:val="center"/>
              <w:rPr>
                <w:noProof/>
              </w:rPr>
            </w:pPr>
            <w:r>
              <w:rPr>
                <w:noProof/>
              </w:rPr>
              <w:t>KW. 4</w:t>
            </w:r>
          </w:p>
        </w:tc>
        <w:tc>
          <w:tcPr>
            <w:tcW w:w="278" w:type="pct"/>
            <w:shd w:val="clear" w:color="auto" w:fill="C6EFCE"/>
            <w:noWrap/>
            <w:vAlign w:val="center"/>
          </w:tcPr>
          <w:p w14:paraId="0CB1C495" w14:textId="77777777" w:rsidR="004C6421" w:rsidRDefault="009D1962">
            <w:pPr>
              <w:pStyle w:val="P68B1DB1-Normal4"/>
              <w:jc w:val="center"/>
              <w:rPr>
                <w:noProof/>
              </w:rPr>
            </w:pPr>
            <w:r>
              <w:rPr>
                <w:noProof/>
              </w:rPr>
              <w:t>2025</w:t>
            </w:r>
          </w:p>
        </w:tc>
        <w:tc>
          <w:tcPr>
            <w:tcW w:w="1198" w:type="pct"/>
            <w:shd w:val="clear" w:color="auto" w:fill="C6EFCE"/>
            <w:noWrap/>
            <w:vAlign w:val="center"/>
          </w:tcPr>
          <w:p w14:paraId="1ACF3B62" w14:textId="77777777" w:rsidR="004C6421" w:rsidRDefault="009D1962">
            <w:pPr>
              <w:pStyle w:val="P68B1DB1-Normal4"/>
              <w:rPr>
                <w:noProof/>
              </w:rPr>
            </w:pPr>
            <w:r>
              <w:rPr>
                <w:noProof/>
              </w:rPr>
              <w:t>Przyspieszenie 70 km połączeń międzyregionalnych</w:t>
            </w:r>
          </w:p>
          <w:p w14:paraId="1B25DB5F" w14:textId="77777777" w:rsidR="004C6421" w:rsidRDefault="004C6421">
            <w:pPr>
              <w:rPr>
                <w:rFonts w:ascii="Arial Narrow" w:hAnsi="Arial Narrow"/>
                <w:noProof/>
                <w:color w:val="006100"/>
                <w:sz w:val="20"/>
              </w:rPr>
            </w:pPr>
          </w:p>
          <w:p w14:paraId="165D8AE7" w14:textId="77777777" w:rsidR="004C6421" w:rsidRDefault="009D1962">
            <w:pPr>
              <w:pStyle w:val="P68B1DB1-Normal4"/>
              <w:rPr>
                <w:noProof/>
              </w:rPr>
            </w:pPr>
            <w:r>
              <w:rPr>
                <w:noProof/>
              </w:rPr>
              <w:t>Linie, które mają zostać zmodernizowane, należą do nich:</w:t>
            </w:r>
          </w:p>
          <w:p w14:paraId="1DA68D06" w14:textId="77777777" w:rsidR="004C6421" w:rsidRDefault="004C6421">
            <w:pPr>
              <w:rPr>
                <w:rFonts w:ascii="Arial Narrow" w:hAnsi="Arial Narrow"/>
                <w:noProof/>
                <w:color w:val="006100"/>
                <w:sz w:val="20"/>
              </w:rPr>
            </w:pPr>
          </w:p>
          <w:p w14:paraId="197CCF23" w14:textId="77777777" w:rsidR="004C6421" w:rsidRDefault="009D1962">
            <w:pPr>
              <w:pStyle w:val="P68B1DB1-Normal4"/>
              <w:rPr>
                <w:noProof/>
              </w:rPr>
            </w:pPr>
            <w:r>
              <w:rPr>
                <w:noProof/>
              </w:rPr>
              <w:t xml:space="preserve">Mediolan Genua </w:t>
            </w:r>
          </w:p>
          <w:p w14:paraId="64232EC8" w14:textId="77777777" w:rsidR="004C6421" w:rsidRDefault="009D1962">
            <w:pPr>
              <w:pStyle w:val="P68B1DB1-Normal4"/>
              <w:rPr>
                <w:noProof/>
              </w:rPr>
            </w:pPr>
            <w:r>
              <w:rPr>
                <w:noProof/>
              </w:rPr>
              <w:t>Palermo Catania (linea storica)</w:t>
            </w:r>
          </w:p>
          <w:p w14:paraId="34C689EB" w14:textId="77777777" w:rsidR="004C6421" w:rsidRDefault="009D1962">
            <w:pPr>
              <w:pStyle w:val="P68B1DB1-Normal4"/>
              <w:rPr>
                <w:noProof/>
              </w:rPr>
            </w:pPr>
            <w:r>
              <w:rPr>
                <w:noProof/>
              </w:rPr>
              <w:t xml:space="preserve">Battipaglia Potenza </w:t>
            </w:r>
          </w:p>
          <w:p w14:paraId="3FA5DF5A" w14:textId="77777777" w:rsidR="004C6421" w:rsidRDefault="009D1962">
            <w:pPr>
              <w:pStyle w:val="P68B1DB1-Normal4"/>
              <w:rPr>
                <w:noProof/>
              </w:rPr>
            </w:pPr>
            <w:r>
              <w:rPr>
                <w:noProof/>
              </w:rPr>
              <w:t xml:space="preserve">Orte Falconara </w:t>
            </w:r>
          </w:p>
        </w:tc>
      </w:tr>
      <w:tr w:rsidR="004C6421" w14:paraId="02E0B94A" w14:textId="77777777">
        <w:trPr>
          <w:trHeight w:val="309"/>
          <w:jc w:val="right"/>
        </w:trPr>
        <w:tc>
          <w:tcPr>
            <w:tcW w:w="369" w:type="pct"/>
            <w:shd w:val="clear" w:color="auto" w:fill="C6EFCE"/>
            <w:noWrap/>
            <w:vAlign w:val="center"/>
          </w:tcPr>
          <w:p w14:paraId="2C0811EF" w14:textId="77777777" w:rsidR="004C6421" w:rsidRDefault="009D1962">
            <w:pPr>
              <w:pStyle w:val="P68B1DB1-Normal4"/>
              <w:jc w:val="center"/>
              <w:rPr>
                <w:noProof/>
              </w:rPr>
            </w:pPr>
            <w:r>
              <w:rPr>
                <w:noProof/>
              </w:rPr>
              <w:t>M3C1-24</w:t>
            </w:r>
          </w:p>
        </w:tc>
        <w:tc>
          <w:tcPr>
            <w:tcW w:w="511" w:type="pct"/>
            <w:shd w:val="clear" w:color="auto" w:fill="C6EFCE"/>
            <w:noWrap/>
            <w:vAlign w:val="center"/>
          </w:tcPr>
          <w:p w14:paraId="4CA4D364" w14:textId="77777777" w:rsidR="004C6421" w:rsidRDefault="009D1962">
            <w:pPr>
              <w:pStyle w:val="P68B1DB1-Normal4"/>
              <w:jc w:val="center"/>
              <w:rPr>
                <w:noProof/>
              </w:rPr>
            </w:pPr>
            <w:r>
              <w:rPr>
                <w:noProof/>
              </w:rPr>
              <w:t>Inwestycje 1.9</w:t>
            </w:r>
          </w:p>
          <w:p w14:paraId="6A4E8DCD" w14:textId="77777777" w:rsidR="004C6421" w:rsidRDefault="009D1962">
            <w:pPr>
              <w:pStyle w:val="P68B1DB1-Normal4"/>
              <w:jc w:val="center"/>
              <w:rPr>
                <w:noProof/>
              </w:rPr>
            </w:pPr>
            <w:r>
              <w:rPr>
                <w:noProof/>
              </w:rPr>
              <w:t>Połączenia międzyregionalne</w:t>
            </w:r>
          </w:p>
        </w:tc>
        <w:tc>
          <w:tcPr>
            <w:tcW w:w="417" w:type="pct"/>
            <w:shd w:val="clear" w:color="auto" w:fill="C6EFCE"/>
            <w:noWrap/>
            <w:vAlign w:val="center"/>
          </w:tcPr>
          <w:p w14:paraId="62A2CF95" w14:textId="77777777" w:rsidR="004C6421" w:rsidRDefault="009D1962">
            <w:pPr>
              <w:pStyle w:val="P68B1DB1-Normal4"/>
              <w:jc w:val="center"/>
              <w:rPr>
                <w:noProof/>
              </w:rPr>
            </w:pPr>
            <w:r>
              <w:rPr>
                <w:noProof/>
              </w:rPr>
              <w:t>Cel</w:t>
            </w:r>
          </w:p>
        </w:tc>
        <w:tc>
          <w:tcPr>
            <w:tcW w:w="464" w:type="pct"/>
            <w:shd w:val="clear" w:color="auto" w:fill="C6EFCE"/>
            <w:noWrap/>
            <w:vAlign w:val="center"/>
          </w:tcPr>
          <w:p w14:paraId="1B02665E" w14:textId="77777777" w:rsidR="004C6421" w:rsidRDefault="009D1962">
            <w:pPr>
              <w:pStyle w:val="P68B1DB1-Normal4"/>
              <w:jc w:val="center"/>
              <w:rPr>
                <w:noProof/>
              </w:rPr>
            </w:pPr>
            <w:r>
              <w:rPr>
                <w:noProof/>
              </w:rPr>
              <w:t>Inwestycje 1.9</w:t>
            </w:r>
          </w:p>
          <w:p w14:paraId="461DD274" w14:textId="77777777" w:rsidR="004C6421" w:rsidRDefault="009D1962">
            <w:pPr>
              <w:pStyle w:val="P68B1DB1-Normal4"/>
              <w:jc w:val="center"/>
              <w:rPr>
                <w:noProof/>
              </w:rPr>
            </w:pPr>
            <w:r>
              <w:rPr>
                <w:noProof/>
              </w:rPr>
              <w:t>Połączenia międzyregionalne</w:t>
            </w:r>
          </w:p>
        </w:tc>
        <w:tc>
          <w:tcPr>
            <w:tcW w:w="509" w:type="pct"/>
            <w:shd w:val="clear" w:color="auto" w:fill="C6EFCE"/>
            <w:noWrap/>
            <w:vAlign w:val="center"/>
          </w:tcPr>
          <w:p w14:paraId="011F8FB9" w14:textId="77777777" w:rsidR="004C6421" w:rsidRDefault="009D1962">
            <w:pPr>
              <w:pStyle w:val="P68B1DB1-Normal4"/>
              <w:jc w:val="center"/>
              <w:rPr>
                <w:noProof/>
              </w:rPr>
            </w:pPr>
            <w:r>
              <w:rPr>
                <w:noProof/>
              </w:rPr>
              <w:t>NIE DOT.</w:t>
            </w:r>
          </w:p>
        </w:tc>
        <w:tc>
          <w:tcPr>
            <w:tcW w:w="325" w:type="pct"/>
            <w:shd w:val="clear" w:color="auto" w:fill="C6EFCE"/>
            <w:noWrap/>
            <w:vAlign w:val="center"/>
          </w:tcPr>
          <w:p w14:paraId="32D96F0B" w14:textId="77777777" w:rsidR="004C6421" w:rsidRDefault="009D1962">
            <w:pPr>
              <w:pStyle w:val="P68B1DB1-Normal4"/>
              <w:jc w:val="center"/>
              <w:rPr>
                <w:noProof/>
              </w:rPr>
            </w:pPr>
            <w:r>
              <w:rPr>
                <w:noProof/>
              </w:rPr>
              <w:t>Numer</w:t>
            </w:r>
          </w:p>
        </w:tc>
        <w:tc>
          <w:tcPr>
            <w:tcW w:w="371" w:type="pct"/>
            <w:shd w:val="clear" w:color="auto" w:fill="C6EFCE"/>
            <w:noWrap/>
            <w:vAlign w:val="center"/>
          </w:tcPr>
          <w:p w14:paraId="5A85D3BC" w14:textId="77777777" w:rsidR="004C6421" w:rsidRDefault="009D1962">
            <w:pPr>
              <w:pStyle w:val="P68B1DB1-Normal4"/>
              <w:jc w:val="center"/>
              <w:rPr>
                <w:noProof/>
              </w:rPr>
            </w:pPr>
            <w:r>
              <w:rPr>
                <w:noProof/>
              </w:rPr>
              <w:t>70</w:t>
            </w:r>
          </w:p>
        </w:tc>
        <w:tc>
          <w:tcPr>
            <w:tcW w:w="279" w:type="pct"/>
            <w:shd w:val="clear" w:color="auto" w:fill="C6EFCE"/>
            <w:noWrap/>
            <w:vAlign w:val="center"/>
          </w:tcPr>
          <w:p w14:paraId="5B18B75D" w14:textId="77777777" w:rsidR="004C6421" w:rsidRDefault="009D1962">
            <w:pPr>
              <w:pStyle w:val="P68B1DB1-Normal4"/>
              <w:jc w:val="center"/>
              <w:rPr>
                <w:noProof/>
              </w:rPr>
            </w:pPr>
            <w:r>
              <w:rPr>
                <w:noProof/>
              </w:rPr>
              <w:t>221</w:t>
            </w:r>
          </w:p>
        </w:tc>
        <w:tc>
          <w:tcPr>
            <w:tcW w:w="278" w:type="pct"/>
            <w:shd w:val="clear" w:color="auto" w:fill="C6EFCE"/>
            <w:noWrap/>
            <w:vAlign w:val="center"/>
          </w:tcPr>
          <w:p w14:paraId="5E3F47B2" w14:textId="77777777" w:rsidR="004C6421" w:rsidRDefault="009D1962">
            <w:pPr>
              <w:pStyle w:val="P68B1DB1-Normal4"/>
              <w:jc w:val="center"/>
              <w:rPr>
                <w:noProof/>
              </w:rPr>
            </w:pPr>
            <w:r>
              <w:rPr>
                <w:noProof/>
              </w:rPr>
              <w:t>II KW.</w:t>
            </w:r>
          </w:p>
        </w:tc>
        <w:tc>
          <w:tcPr>
            <w:tcW w:w="278" w:type="pct"/>
            <w:shd w:val="clear" w:color="auto" w:fill="C6EFCE"/>
            <w:noWrap/>
            <w:vAlign w:val="center"/>
          </w:tcPr>
          <w:p w14:paraId="3CAE5A7F" w14:textId="77777777" w:rsidR="004C6421" w:rsidRDefault="009D1962">
            <w:pPr>
              <w:pStyle w:val="P68B1DB1-Normal4"/>
              <w:jc w:val="center"/>
              <w:rPr>
                <w:noProof/>
              </w:rPr>
            </w:pPr>
            <w:r>
              <w:rPr>
                <w:noProof/>
              </w:rPr>
              <w:t>2026</w:t>
            </w:r>
          </w:p>
        </w:tc>
        <w:tc>
          <w:tcPr>
            <w:tcW w:w="1198" w:type="pct"/>
            <w:shd w:val="clear" w:color="auto" w:fill="C6EFCE"/>
            <w:noWrap/>
            <w:vAlign w:val="center"/>
          </w:tcPr>
          <w:p w14:paraId="07D28405" w14:textId="77777777" w:rsidR="004C6421" w:rsidRDefault="009D1962">
            <w:pPr>
              <w:pStyle w:val="P68B1DB1-Normal4"/>
              <w:rPr>
                <w:noProof/>
              </w:rPr>
            </w:pPr>
            <w:r>
              <w:rPr>
                <w:noProof/>
              </w:rPr>
              <w:t>Łącznie 221 km połączeń międzyregionalnych przyspieszyło.</w:t>
            </w:r>
          </w:p>
          <w:p w14:paraId="321F6B0A" w14:textId="77777777" w:rsidR="004C6421" w:rsidRDefault="004C6421">
            <w:pPr>
              <w:rPr>
                <w:rFonts w:ascii="Arial Narrow" w:hAnsi="Arial Narrow"/>
                <w:noProof/>
                <w:color w:val="006100"/>
                <w:sz w:val="20"/>
              </w:rPr>
            </w:pPr>
          </w:p>
          <w:p w14:paraId="7A5A3373" w14:textId="77777777" w:rsidR="004C6421" w:rsidRDefault="009D1962">
            <w:pPr>
              <w:pStyle w:val="P68B1DB1-Normal4"/>
              <w:rPr>
                <w:noProof/>
              </w:rPr>
            </w:pPr>
            <w:r>
              <w:rPr>
                <w:noProof/>
              </w:rPr>
              <w:t>Linie, które mają zostać zmodernizowane, to:</w:t>
            </w:r>
          </w:p>
          <w:p w14:paraId="7174B44B" w14:textId="77777777" w:rsidR="004C6421" w:rsidRDefault="004C6421">
            <w:pPr>
              <w:rPr>
                <w:rFonts w:ascii="Arial Narrow" w:hAnsi="Arial Narrow"/>
                <w:noProof/>
                <w:color w:val="006100"/>
                <w:sz w:val="20"/>
              </w:rPr>
            </w:pPr>
          </w:p>
          <w:p w14:paraId="25358248" w14:textId="77777777" w:rsidR="004C6421" w:rsidRDefault="009D1962">
            <w:pPr>
              <w:pStyle w:val="P68B1DB1-Normal4"/>
              <w:rPr>
                <w:noProof/>
              </w:rPr>
            </w:pPr>
            <w:r>
              <w:rPr>
                <w:noProof/>
              </w:rPr>
              <w:t>Mediolan Genua (70 km)</w:t>
            </w:r>
          </w:p>
          <w:p w14:paraId="10D3C054" w14:textId="77777777" w:rsidR="004C6421" w:rsidRDefault="009D1962">
            <w:pPr>
              <w:pStyle w:val="P68B1DB1-Normal4"/>
              <w:rPr>
                <w:noProof/>
              </w:rPr>
            </w:pPr>
            <w:r>
              <w:rPr>
                <w:noProof/>
              </w:rPr>
              <w:t>Palermo Catania (linea storica) (84 km)</w:t>
            </w:r>
          </w:p>
          <w:p w14:paraId="26860486" w14:textId="77777777" w:rsidR="004C6421" w:rsidRDefault="009D1962">
            <w:pPr>
              <w:pStyle w:val="P68B1DB1-Normal4"/>
              <w:rPr>
                <w:noProof/>
              </w:rPr>
            </w:pPr>
            <w:r>
              <w:rPr>
                <w:noProof/>
              </w:rPr>
              <w:t>Battipaglia Potenza (60 km)</w:t>
            </w:r>
          </w:p>
          <w:p w14:paraId="7E685062" w14:textId="77777777" w:rsidR="004C6421" w:rsidRDefault="009D1962">
            <w:pPr>
              <w:pStyle w:val="P68B1DB1-Normal4"/>
              <w:rPr>
                <w:noProof/>
              </w:rPr>
            </w:pPr>
            <w:r>
              <w:rPr>
                <w:noProof/>
              </w:rPr>
              <w:t>Orte Falconara (7 km)</w:t>
            </w:r>
          </w:p>
        </w:tc>
      </w:tr>
      <w:tr w:rsidR="004C6421" w14:paraId="4944F68C" w14:textId="77777777">
        <w:trPr>
          <w:trHeight w:val="309"/>
          <w:jc w:val="right"/>
        </w:trPr>
        <w:tc>
          <w:tcPr>
            <w:tcW w:w="369" w:type="pct"/>
            <w:shd w:val="clear" w:color="auto" w:fill="C6EFCE"/>
            <w:noWrap/>
            <w:vAlign w:val="center"/>
          </w:tcPr>
          <w:p w14:paraId="0230FEC3" w14:textId="77777777" w:rsidR="004C6421" w:rsidRDefault="009D1962">
            <w:pPr>
              <w:pStyle w:val="P68B1DB1-Normal4"/>
              <w:jc w:val="center"/>
              <w:rPr>
                <w:noProof/>
              </w:rPr>
            </w:pPr>
            <w:r>
              <w:rPr>
                <w:noProof/>
              </w:rPr>
              <w:t>M3C1-9</w:t>
            </w:r>
          </w:p>
        </w:tc>
        <w:tc>
          <w:tcPr>
            <w:tcW w:w="511" w:type="pct"/>
            <w:shd w:val="clear" w:color="auto" w:fill="C6EFCE"/>
            <w:noWrap/>
            <w:vAlign w:val="center"/>
          </w:tcPr>
          <w:p w14:paraId="2CAA3F22" w14:textId="77777777" w:rsidR="004C6421" w:rsidRDefault="009D1962">
            <w:pPr>
              <w:pStyle w:val="P68B1DB1-Normal4"/>
              <w:jc w:val="center"/>
              <w:rPr>
                <w:noProof/>
              </w:rPr>
            </w:pPr>
            <w:r>
              <w:rPr>
                <w:noProof/>
              </w:rPr>
              <w:t>Inwestycja 1.2 – Linie dużych prędkości na północy łączące się z resztą Europy</w:t>
            </w:r>
          </w:p>
        </w:tc>
        <w:tc>
          <w:tcPr>
            <w:tcW w:w="417" w:type="pct"/>
            <w:shd w:val="clear" w:color="auto" w:fill="C6EFCE"/>
            <w:noWrap/>
            <w:vAlign w:val="center"/>
          </w:tcPr>
          <w:p w14:paraId="1A44BFFC" w14:textId="77777777" w:rsidR="004C6421" w:rsidRDefault="009D1962">
            <w:pPr>
              <w:pStyle w:val="P68B1DB1-Normal4"/>
              <w:jc w:val="center"/>
              <w:rPr>
                <w:noProof/>
              </w:rPr>
            </w:pPr>
            <w:r>
              <w:rPr>
                <w:noProof/>
              </w:rPr>
              <w:t>Cel</w:t>
            </w:r>
          </w:p>
        </w:tc>
        <w:tc>
          <w:tcPr>
            <w:tcW w:w="464" w:type="pct"/>
            <w:shd w:val="clear" w:color="auto" w:fill="C6EFCE"/>
            <w:noWrap/>
            <w:vAlign w:val="center"/>
          </w:tcPr>
          <w:p w14:paraId="5A85E111" w14:textId="77777777" w:rsidR="004C6421" w:rsidRDefault="009D1962">
            <w:pPr>
              <w:pStyle w:val="P68B1DB1-Normal4"/>
              <w:jc w:val="center"/>
              <w:rPr>
                <w:noProof/>
              </w:rPr>
            </w:pPr>
            <w:r>
              <w:rPr>
                <w:noProof/>
              </w:rPr>
              <w:t>Kolej dużych prędkości, zarówno pasażerskich, jak i towarowych, na liniach Brescia-Werona-Vicenza-Padova; Liguria-Alpi.</w:t>
            </w:r>
          </w:p>
        </w:tc>
        <w:tc>
          <w:tcPr>
            <w:tcW w:w="509" w:type="pct"/>
            <w:shd w:val="clear" w:color="auto" w:fill="C6EFCE"/>
            <w:noWrap/>
            <w:vAlign w:val="center"/>
          </w:tcPr>
          <w:p w14:paraId="5D181DB2" w14:textId="77777777" w:rsidR="004C6421" w:rsidRDefault="009D1962">
            <w:pPr>
              <w:pStyle w:val="P68B1DB1-Normal4"/>
              <w:jc w:val="center"/>
              <w:rPr>
                <w:noProof/>
              </w:rPr>
            </w:pPr>
            <w:r>
              <w:rPr>
                <w:noProof/>
              </w:rPr>
              <w:t>NIE DOT.</w:t>
            </w:r>
          </w:p>
        </w:tc>
        <w:tc>
          <w:tcPr>
            <w:tcW w:w="325" w:type="pct"/>
            <w:shd w:val="clear" w:color="auto" w:fill="C6EFCE"/>
            <w:noWrap/>
            <w:vAlign w:val="center"/>
          </w:tcPr>
          <w:p w14:paraId="01380B50" w14:textId="77777777" w:rsidR="004C6421" w:rsidRDefault="009D1962">
            <w:pPr>
              <w:pStyle w:val="P68B1DB1-Normal4"/>
              <w:jc w:val="center"/>
              <w:rPr>
                <w:noProof/>
              </w:rPr>
            </w:pPr>
            <w:r>
              <w:rPr>
                <w:noProof/>
              </w:rPr>
              <w:t>Numer</w:t>
            </w:r>
          </w:p>
        </w:tc>
        <w:tc>
          <w:tcPr>
            <w:tcW w:w="371" w:type="pct"/>
            <w:shd w:val="clear" w:color="auto" w:fill="C6EFCE"/>
            <w:noWrap/>
            <w:vAlign w:val="center"/>
          </w:tcPr>
          <w:p w14:paraId="5E16A0C7" w14:textId="77777777" w:rsidR="004C6421" w:rsidRDefault="009D1962">
            <w:pPr>
              <w:pStyle w:val="P68B1DB1-Normal4"/>
              <w:jc w:val="center"/>
              <w:rPr>
                <w:noProof/>
              </w:rPr>
            </w:pPr>
            <w:r>
              <w:rPr>
                <w:noProof/>
              </w:rPr>
              <w:t>0</w:t>
            </w:r>
          </w:p>
        </w:tc>
        <w:tc>
          <w:tcPr>
            <w:tcW w:w="279" w:type="pct"/>
            <w:shd w:val="clear" w:color="auto" w:fill="C6EFCE"/>
            <w:noWrap/>
            <w:vAlign w:val="center"/>
          </w:tcPr>
          <w:p w14:paraId="2522CC49" w14:textId="77777777" w:rsidR="004C6421" w:rsidRDefault="009D1962">
            <w:pPr>
              <w:pStyle w:val="P68B1DB1-Normal4"/>
              <w:jc w:val="center"/>
              <w:rPr>
                <w:noProof/>
              </w:rPr>
            </w:pPr>
            <w:r>
              <w:rPr>
                <w:noProof/>
              </w:rPr>
              <w:t>165</w:t>
            </w:r>
          </w:p>
        </w:tc>
        <w:tc>
          <w:tcPr>
            <w:tcW w:w="278" w:type="pct"/>
            <w:shd w:val="clear" w:color="auto" w:fill="C6EFCE"/>
            <w:noWrap/>
            <w:vAlign w:val="center"/>
          </w:tcPr>
          <w:p w14:paraId="4303D13B" w14:textId="77777777" w:rsidR="004C6421" w:rsidRDefault="009D1962">
            <w:pPr>
              <w:pStyle w:val="P68B1DB1-Normal4"/>
              <w:jc w:val="center"/>
              <w:rPr>
                <w:noProof/>
              </w:rPr>
            </w:pPr>
            <w:r>
              <w:rPr>
                <w:noProof/>
              </w:rPr>
              <w:t>II KW.</w:t>
            </w:r>
          </w:p>
        </w:tc>
        <w:tc>
          <w:tcPr>
            <w:tcW w:w="278" w:type="pct"/>
            <w:shd w:val="clear" w:color="auto" w:fill="C6EFCE"/>
            <w:noWrap/>
            <w:vAlign w:val="center"/>
          </w:tcPr>
          <w:p w14:paraId="047E8D91" w14:textId="77777777" w:rsidR="004C6421" w:rsidRDefault="009D1962">
            <w:pPr>
              <w:pStyle w:val="P68B1DB1-Normal4"/>
              <w:jc w:val="center"/>
              <w:rPr>
                <w:noProof/>
              </w:rPr>
            </w:pPr>
            <w:r>
              <w:rPr>
                <w:noProof/>
              </w:rPr>
              <w:t>2026</w:t>
            </w:r>
          </w:p>
        </w:tc>
        <w:tc>
          <w:tcPr>
            <w:tcW w:w="1198" w:type="pct"/>
            <w:shd w:val="clear" w:color="auto" w:fill="C6EFCE"/>
            <w:noWrap/>
            <w:vAlign w:val="center"/>
          </w:tcPr>
          <w:p w14:paraId="0609B1F2" w14:textId="77777777" w:rsidR="004C6421" w:rsidRDefault="009D1962">
            <w:pPr>
              <w:pStyle w:val="P68B1DB1-Normal4"/>
              <w:rPr>
                <w:noProof/>
              </w:rPr>
            </w:pPr>
            <w:r>
              <w:rPr>
                <w:noProof/>
              </w:rPr>
              <w:t>165 km kolei dużych prędkości dla pasażerów i towarów na liniach Brescia-Werona-Vicenza-Padova; Liguria-Alpi zbudowała, gotowa do uzyskania zezwolenia i fazy operacyjnej.</w:t>
            </w:r>
          </w:p>
          <w:p w14:paraId="3CFC4238" w14:textId="77777777" w:rsidR="004C6421" w:rsidRDefault="004C6421">
            <w:pPr>
              <w:rPr>
                <w:rFonts w:ascii="Arial Narrow" w:hAnsi="Arial Narrow"/>
                <w:noProof/>
                <w:color w:val="006100"/>
                <w:sz w:val="20"/>
              </w:rPr>
            </w:pPr>
          </w:p>
          <w:p w14:paraId="348525C0" w14:textId="77777777" w:rsidR="004C6421" w:rsidRDefault="009D1962">
            <w:pPr>
              <w:pStyle w:val="P68B1DB1-Normal4"/>
              <w:rPr>
                <w:noProof/>
              </w:rPr>
            </w:pPr>
            <w:r>
              <w:rPr>
                <w:noProof/>
              </w:rPr>
              <w:t>165 km należy zbudować w następujących odcinkach:</w:t>
            </w:r>
          </w:p>
          <w:p w14:paraId="7306148F" w14:textId="77777777" w:rsidR="004C6421" w:rsidRDefault="004C6421">
            <w:pPr>
              <w:rPr>
                <w:rFonts w:ascii="Arial Narrow" w:hAnsi="Arial Narrow"/>
                <w:noProof/>
                <w:color w:val="006100"/>
                <w:sz w:val="20"/>
              </w:rPr>
            </w:pPr>
          </w:p>
          <w:p w14:paraId="4B4F9BAC" w14:textId="77777777" w:rsidR="004C6421" w:rsidRDefault="009D1962">
            <w:pPr>
              <w:pStyle w:val="P68B1DB1-Normal4"/>
              <w:rPr>
                <w:noProof/>
              </w:rPr>
            </w:pPr>
            <w:r>
              <w:rPr>
                <w:noProof/>
              </w:rPr>
              <w:t>Brescia-Werona, 48 km</w:t>
            </w:r>
          </w:p>
          <w:p w14:paraId="4813FAB6" w14:textId="77777777" w:rsidR="004C6421" w:rsidRDefault="009D1962">
            <w:pPr>
              <w:pStyle w:val="P68B1DB1-Normal4"/>
              <w:rPr>
                <w:noProof/>
              </w:rPr>
            </w:pPr>
            <w:r>
              <w:rPr>
                <w:noProof/>
              </w:rPr>
              <w:t>Verona-Bivio Vicenza, 44 km</w:t>
            </w:r>
          </w:p>
          <w:p w14:paraId="4186012B" w14:textId="77777777" w:rsidR="004C6421" w:rsidRDefault="009D1962">
            <w:pPr>
              <w:pStyle w:val="P68B1DB1-Normal4"/>
              <w:rPr>
                <w:noProof/>
              </w:rPr>
            </w:pPr>
            <w:r>
              <w:rPr>
                <w:noProof/>
              </w:rPr>
              <w:t>Węzeł Genua i Trzeci Giovi przecinający 53 km</w:t>
            </w:r>
          </w:p>
          <w:p w14:paraId="4CE79B6C" w14:textId="77777777" w:rsidR="004C6421" w:rsidRDefault="009D1962">
            <w:pPr>
              <w:pStyle w:val="P68B1DB1-Normal4"/>
              <w:rPr>
                <w:noProof/>
              </w:rPr>
            </w:pPr>
            <w:r>
              <w:rPr>
                <w:noProof/>
              </w:rPr>
              <w:t>Rho-Parabiago 9 km</w:t>
            </w:r>
          </w:p>
          <w:p w14:paraId="6C425F0A" w14:textId="77777777" w:rsidR="004C6421" w:rsidRDefault="009D1962">
            <w:pPr>
              <w:pStyle w:val="P68B1DB1-Normal4"/>
              <w:rPr>
                <w:noProof/>
              </w:rPr>
            </w:pPr>
            <w:r>
              <w:rPr>
                <w:noProof/>
              </w:rPr>
              <w:t>Pavia-Milano-Rogoredo 11 km</w:t>
            </w:r>
          </w:p>
        </w:tc>
      </w:tr>
      <w:tr w:rsidR="004C6421" w14:paraId="3E7C3B85" w14:textId="77777777">
        <w:trPr>
          <w:trHeight w:val="3419"/>
          <w:jc w:val="right"/>
        </w:trPr>
        <w:tc>
          <w:tcPr>
            <w:tcW w:w="369" w:type="pct"/>
            <w:shd w:val="clear" w:color="auto" w:fill="C6EFCE"/>
            <w:noWrap/>
            <w:vAlign w:val="center"/>
          </w:tcPr>
          <w:p w14:paraId="75B332B2" w14:textId="77777777" w:rsidR="004C6421" w:rsidRDefault="009D1962">
            <w:pPr>
              <w:pStyle w:val="P68B1DB1-Normal4"/>
              <w:jc w:val="center"/>
              <w:rPr>
                <w:noProof/>
              </w:rPr>
            </w:pPr>
            <w:r>
              <w:rPr>
                <w:noProof/>
              </w:rPr>
              <w:t>M3C1-10</w:t>
            </w:r>
          </w:p>
        </w:tc>
        <w:tc>
          <w:tcPr>
            <w:tcW w:w="511" w:type="pct"/>
            <w:shd w:val="clear" w:color="auto" w:fill="C6EFCE"/>
            <w:noWrap/>
            <w:vAlign w:val="center"/>
          </w:tcPr>
          <w:p w14:paraId="76ACCEB2" w14:textId="77777777" w:rsidR="004C6421" w:rsidRDefault="009D1962">
            <w:pPr>
              <w:pStyle w:val="P68B1DB1-Normal4"/>
              <w:jc w:val="center"/>
              <w:rPr>
                <w:noProof/>
              </w:rPr>
            </w:pPr>
            <w:r>
              <w:rPr>
                <w:noProof/>
              </w:rPr>
              <w:t>Inwestycje 1.3 – Połączenia zasadnicze</w:t>
            </w:r>
          </w:p>
        </w:tc>
        <w:tc>
          <w:tcPr>
            <w:tcW w:w="417" w:type="pct"/>
            <w:shd w:val="clear" w:color="auto" w:fill="C6EFCE"/>
            <w:noWrap/>
            <w:vAlign w:val="center"/>
          </w:tcPr>
          <w:p w14:paraId="5E828291" w14:textId="4F14D3C0" w:rsidR="004C6421" w:rsidRDefault="00CC179E">
            <w:pPr>
              <w:pStyle w:val="P68B1DB1-Normal4"/>
              <w:jc w:val="center"/>
              <w:rPr>
                <w:noProof/>
              </w:rPr>
            </w:pPr>
            <w:r>
              <w:rPr>
                <w:noProof/>
              </w:rPr>
              <w:t>Milowy</w:t>
            </w:r>
          </w:p>
        </w:tc>
        <w:tc>
          <w:tcPr>
            <w:tcW w:w="464" w:type="pct"/>
            <w:shd w:val="clear" w:color="auto" w:fill="C6EFCE"/>
            <w:noWrap/>
            <w:vAlign w:val="center"/>
          </w:tcPr>
          <w:p w14:paraId="4FD7D0E9" w14:textId="77777777" w:rsidR="004C6421" w:rsidRDefault="009D1962">
            <w:pPr>
              <w:pStyle w:val="P68B1DB1-Normal4"/>
              <w:jc w:val="center"/>
              <w:rPr>
                <w:noProof/>
              </w:rPr>
            </w:pPr>
            <w:r>
              <w:rPr>
                <w:noProof/>
              </w:rPr>
              <w:t>Udzielenie zamówienia na budowę połączeń na liniach Orte-Falconara i Taranto-Metaponto-Potenza-Battipaglia</w:t>
            </w:r>
          </w:p>
        </w:tc>
        <w:tc>
          <w:tcPr>
            <w:tcW w:w="509" w:type="pct"/>
            <w:shd w:val="clear" w:color="auto" w:fill="C6EFCE"/>
            <w:noWrap/>
            <w:vAlign w:val="center"/>
          </w:tcPr>
          <w:p w14:paraId="25766B7D" w14:textId="77777777" w:rsidR="004C6421" w:rsidRDefault="009D1962">
            <w:pPr>
              <w:pStyle w:val="P68B1DB1-Normal6"/>
              <w:jc w:val="center"/>
              <w:rPr>
                <w:noProof/>
                <w:color w:val="006100"/>
              </w:rPr>
            </w:pPr>
            <w:r>
              <w:rPr>
                <w:noProof/>
                <w:color w:val="006100"/>
              </w:rPr>
              <w:t>Powiadomienie o udzieleniu zamówienia wielodyscyplinarnego nabudowę kolei dużych prędkości na liniach Orte-Falconara i Taranto-Metaponto-Potenza-Battipaglia</w:t>
            </w:r>
            <w:r>
              <w:rPr>
                <w:noProof/>
              </w:rPr>
              <w:t xml:space="preserve"> NIE DOT.</w:t>
            </w:r>
          </w:p>
        </w:tc>
        <w:tc>
          <w:tcPr>
            <w:tcW w:w="325" w:type="pct"/>
            <w:shd w:val="clear" w:color="auto" w:fill="C6EFCE"/>
            <w:noWrap/>
            <w:vAlign w:val="center"/>
          </w:tcPr>
          <w:p w14:paraId="4B066304" w14:textId="77777777" w:rsidR="004C6421" w:rsidRDefault="009D1962">
            <w:pPr>
              <w:pStyle w:val="P68B1DB1-Normal4"/>
              <w:jc w:val="center"/>
              <w:rPr>
                <w:noProof/>
              </w:rPr>
            </w:pPr>
            <w:r>
              <w:rPr>
                <w:noProof/>
              </w:rPr>
              <w:t>NIE DOT.</w:t>
            </w:r>
          </w:p>
        </w:tc>
        <w:tc>
          <w:tcPr>
            <w:tcW w:w="371" w:type="pct"/>
            <w:shd w:val="clear" w:color="auto" w:fill="C6EFCE"/>
            <w:noWrap/>
            <w:vAlign w:val="center"/>
          </w:tcPr>
          <w:p w14:paraId="4F116AAB" w14:textId="77777777" w:rsidR="004C6421" w:rsidRDefault="009D1962">
            <w:pPr>
              <w:pStyle w:val="P68B1DB1-Normal4"/>
              <w:jc w:val="center"/>
              <w:rPr>
                <w:noProof/>
              </w:rPr>
            </w:pPr>
            <w:r>
              <w:rPr>
                <w:noProof/>
              </w:rPr>
              <w:t>NIE DOT.</w:t>
            </w:r>
          </w:p>
        </w:tc>
        <w:tc>
          <w:tcPr>
            <w:tcW w:w="279" w:type="pct"/>
            <w:shd w:val="clear" w:color="auto" w:fill="C6EFCE"/>
            <w:noWrap/>
            <w:vAlign w:val="center"/>
          </w:tcPr>
          <w:p w14:paraId="6A35F045" w14:textId="77777777" w:rsidR="004C6421" w:rsidRDefault="009D1962">
            <w:pPr>
              <w:pStyle w:val="P68B1DB1-Normal4"/>
              <w:jc w:val="center"/>
              <w:rPr>
                <w:noProof/>
              </w:rPr>
            </w:pPr>
            <w:r>
              <w:rPr>
                <w:noProof/>
              </w:rPr>
              <w:t>NIE DOT.</w:t>
            </w:r>
          </w:p>
        </w:tc>
        <w:tc>
          <w:tcPr>
            <w:tcW w:w="278" w:type="pct"/>
            <w:shd w:val="clear" w:color="auto" w:fill="C6EFCE"/>
            <w:noWrap/>
            <w:vAlign w:val="center"/>
          </w:tcPr>
          <w:p w14:paraId="324F7237" w14:textId="6D0C3B7F" w:rsidR="004C6421" w:rsidRDefault="00CC179E">
            <w:pPr>
              <w:pStyle w:val="P68B1DB1-Normal4"/>
              <w:jc w:val="center"/>
              <w:rPr>
                <w:noProof/>
              </w:rPr>
            </w:pPr>
            <w:r>
              <w:rPr>
                <w:noProof/>
              </w:rPr>
              <w:t>KW. 1</w:t>
            </w:r>
          </w:p>
        </w:tc>
        <w:tc>
          <w:tcPr>
            <w:tcW w:w="278" w:type="pct"/>
            <w:shd w:val="clear" w:color="auto" w:fill="C6EFCE"/>
            <w:noWrap/>
            <w:vAlign w:val="center"/>
          </w:tcPr>
          <w:p w14:paraId="2CDD7815" w14:textId="77777777" w:rsidR="004C6421" w:rsidRDefault="009D1962">
            <w:pPr>
              <w:pStyle w:val="P68B1DB1-Normal4"/>
              <w:jc w:val="center"/>
              <w:rPr>
                <w:noProof/>
              </w:rPr>
            </w:pPr>
            <w:r>
              <w:rPr>
                <w:noProof/>
              </w:rPr>
              <w:t>2024</w:t>
            </w:r>
          </w:p>
        </w:tc>
        <w:tc>
          <w:tcPr>
            <w:tcW w:w="1198" w:type="pct"/>
            <w:shd w:val="clear" w:color="auto" w:fill="C6EFCE"/>
            <w:noWrap/>
            <w:vAlign w:val="center"/>
          </w:tcPr>
          <w:p w14:paraId="475477C6" w14:textId="77777777" w:rsidR="004C6421" w:rsidRDefault="009D1962">
            <w:pPr>
              <w:pStyle w:val="P68B1DB1-Normal4"/>
              <w:rPr>
                <w:noProof/>
              </w:rPr>
            </w:pPr>
            <w:r>
              <w:rPr>
                <w:noProof/>
              </w:rPr>
              <w:t>Powiadomienie o udzieleniu zamówienia wielodyscyplinarnego na budowę połączeń na liniach Orte-Falconara i Taranto-Metaponto-Potenza-Battipaglia.</w:t>
            </w:r>
          </w:p>
          <w:p w14:paraId="0E83BEF9" w14:textId="77777777" w:rsidR="004C6421" w:rsidRDefault="004C6421">
            <w:pPr>
              <w:rPr>
                <w:rFonts w:ascii="Arial Narrow" w:hAnsi="Arial Narrow"/>
                <w:noProof/>
                <w:color w:val="006100"/>
                <w:sz w:val="20"/>
              </w:rPr>
            </w:pPr>
          </w:p>
          <w:p w14:paraId="6F421A57" w14:textId="77777777" w:rsidR="004C6421" w:rsidRDefault="009D1962">
            <w:pPr>
              <w:pStyle w:val="P68B1DB1-Normal4"/>
              <w:rPr>
                <w:noProof/>
              </w:rPr>
            </w:pPr>
            <w:r>
              <w:rPr>
                <w:noProof/>
              </w:rPr>
              <w:t xml:space="preserve">Umowa (umowy) odnosi się do następujących wierszy: </w:t>
            </w:r>
          </w:p>
          <w:p w14:paraId="55F96B2C" w14:textId="77777777" w:rsidR="004C6421" w:rsidRDefault="004C6421">
            <w:pPr>
              <w:rPr>
                <w:rFonts w:ascii="Arial Narrow" w:hAnsi="Arial Narrow"/>
                <w:noProof/>
                <w:color w:val="006100"/>
                <w:sz w:val="20"/>
              </w:rPr>
            </w:pPr>
          </w:p>
          <w:p w14:paraId="5C9162A8" w14:textId="77777777" w:rsidR="004C6421" w:rsidRDefault="009D1962">
            <w:pPr>
              <w:pStyle w:val="P68B1DB1-Normal4"/>
              <w:rPr>
                <w:noProof/>
              </w:rPr>
            </w:pPr>
            <w:r>
              <w:rPr>
                <w:noProof/>
              </w:rPr>
              <w:t>Orte-Falconara</w:t>
            </w:r>
          </w:p>
          <w:p w14:paraId="5082A18B" w14:textId="77777777" w:rsidR="004C6421" w:rsidRDefault="009D1962">
            <w:pPr>
              <w:pStyle w:val="P68B1DB1-Normal4"/>
              <w:rPr>
                <w:noProof/>
              </w:rPr>
            </w:pPr>
            <w:r>
              <w:rPr>
                <w:noProof/>
              </w:rPr>
              <w:t>Taranto -Metaponto-Potenza-Battipaglia</w:t>
            </w:r>
          </w:p>
        </w:tc>
      </w:tr>
      <w:tr w:rsidR="004C6421" w14:paraId="375BA0D6" w14:textId="77777777">
        <w:trPr>
          <w:trHeight w:val="309"/>
          <w:jc w:val="right"/>
        </w:trPr>
        <w:tc>
          <w:tcPr>
            <w:tcW w:w="369" w:type="pct"/>
            <w:shd w:val="clear" w:color="auto" w:fill="C6EFCE"/>
            <w:noWrap/>
            <w:vAlign w:val="center"/>
          </w:tcPr>
          <w:p w14:paraId="3F0437FB" w14:textId="77777777" w:rsidR="004C6421" w:rsidRDefault="009D1962">
            <w:pPr>
              <w:pStyle w:val="P68B1DB1-Normal4"/>
              <w:jc w:val="center"/>
              <w:rPr>
                <w:noProof/>
              </w:rPr>
            </w:pPr>
            <w:r>
              <w:rPr>
                <w:noProof/>
              </w:rPr>
              <w:t>M3C1-11</w:t>
            </w:r>
          </w:p>
        </w:tc>
        <w:tc>
          <w:tcPr>
            <w:tcW w:w="511" w:type="pct"/>
            <w:shd w:val="clear" w:color="auto" w:fill="C6EFCE"/>
            <w:noWrap/>
            <w:vAlign w:val="center"/>
          </w:tcPr>
          <w:p w14:paraId="1FE469C8" w14:textId="77777777" w:rsidR="004C6421" w:rsidRDefault="009D1962">
            <w:pPr>
              <w:pStyle w:val="P68B1DB1-Normal4"/>
              <w:jc w:val="center"/>
              <w:rPr>
                <w:noProof/>
              </w:rPr>
            </w:pPr>
            <w:r>
              <w:rPr>
                <w:noProof/>
              </w:rPr>
              <w:t>Inwestycje 1.3 – Połączenia zasadnicze</w:t>
            </w:r>
          </w:p>
        </w:tc>
        <w:tc>
          <w:tcPr>
            <w:tcW w:w="417" w:type="pct"/>
            <w:shd w:val="clear" w:color="auto" w:fill="C6EFCE"/>
            <w:noWrap/>
            <w:vAlign w:val="center"/>
          </w:tcPr>
          <w:p w14:paraId="18BAF015" w14:textId="77777777" w:rsidR="004C6421" w:rsidRDefault="009D1962">
            <w:pPr>
              <w:pStyle w:val="P68B1DB1-Normal4"/>
              <w:jc w:val="center"/>
              <w:rPr>
                <w:noProof/>
              </w:rPr>
            </w:pPr>
            <w:r>
              <w:rPr>
                <w:noProof/>
              </w:rPr>
              <w:t>Cel</w:t>
            </w:r>
          </w:p>
        </w:tc>
        <w:tc>
          <w:tcPr>
            <w:tcW w:w="464" w:type="pct"/>
            <w:shd w:val="clear" w:color="auto" w:fill="C6EFCE"/>
            <w:noWrap/>
            <w:vAlign w:val="center"/>
          </w:tcPr>
          <w:p w14:paraId="5699019C" w14:textId="77777777" w:rsidR="004C6421" w:rsidRDefault="009D1962">
            <w:pPr>
              <w:pStyle w:val="P68B1DB1-Normal4"/>
              <w:jc w:val="center"/>
              <w:rPr>
                <w:noProof/>
              </w:rPr>
            </w:pPr>
            <w:r>
              <w:rPr>
                <w:noProof/>
              </w:rPr>
              <w:t>Kolej dużych prędkości, zarówno pasażerskich, jak i towarowych, na linii Orte-Falconara i Taranto-Metaponto-Potenza-Battipaglia</w:t>
            </w:r>
          </w:p>
        </w:tc>
        <w:tc>
          <w:tcPr>
            <w:tcW w:w="509" w:type="pct"/>
            <w:shd w:val="clear" w:color="auto" w:fill="C6EFCE"/>
            <w:noWrap/>
            <w:vAlign w:val="center"/>
          </w:tcPr>
          <w:p w14:paraId="46DFAF6A" w14:textId="77777777" w:rsidR="004C6421" w:rsidRDefault="009D1962">
            <w:pPr>
              <w:pStyle w:val="P68B1DB1-Normal4"/>
              <w:jc w:val="center"/>
              <w:rPr>
                <w:noProof/>
              </w:rPr>
            </w:pPr>
            <w:r>
              <w:rPr>
                <w:noProof/>
              </w:rPr>
              <w:t>NIE DOT.</w:t>
            </w:r>
          </w:p>
        </w:tc>
        <w:tc>
          <w:tcPr>
            <w:tcW w:w="325" w:type="pct"/>
            <w:shd w:val="clear" w:color="auto" w:fill="C6EFCE"/>
            <w:noWrap/>
            <w:vAlign w:val="center"/>
          </w:tcPr>
          <w:p w14:paraId="0E594503" w14:textId="77777777" w:rsidR="004C6421" w:rsidRDefault="009D1962">
            <w:pPr>
              <w:pStyle w:val="P68B1DB1-Normal4"/>
              <w:jc w:val="center"/>
              <w:rPr>
                <w:noProof/>
              </w:rPr>
            </w:pPr>
            <w:r>
              <w:rPr>
                <w:noProof/>
              </w:rPr>
              <w:t>Numer</w:t>
            </w:r>
          </w:p>
        </w:tc>
        <w:tc>
          <w:tcPr>
            <w:tcW w:w="371" w:type="pct"/>
            <w:shd w:val="clear" w:color="auto" w:fill="C6EFCE"/>
            <w:noWrap/>
            <w:vAlign w:val="center"/>
          </w:tcPr>
          <w:p w14:paraId="11B92CDB" w14:textId="77777777" w:rsidR="004C6421" w:rsidRDefault="009D1962">
            <w:pPr>
              <w:pStyle w:val="P68B1DB1-Normal4"/>
              <w:jc w:val="center"/>
              <w:rPr>
                <w:noProof/>
              </w:rPr>
            </w:pPr>
            <w:r>
              <w:rPr>
                <w:noProof/>
              </w:rPr>
              <w:t>0</w:t>
            </w:r>
          </w:p>
        </w:tc>
        <w:tc>
          <w:tcPr>
            <w:tcW w:w="279" w:type="pct"/>
            <w:shd w:val="clear" w:color="auto" w:fill="C6EFCE"/>
            <w:noWrap/>
            <w:vAlign w:val="center"/>
          </w:tcPr>
          <w:p w14:paraId="07FA79D8" w14:textId="77777777" w:rsidR="004C6421" w:rsidRDefault="009D1962">
            <w:pPr>
              <w:pStyle w:val="P68B1DB1-Normal4"/>
              <w:jc w:val="center"/>
              <w:rPr>
                <w:noProof/>
              </w:rPr>
            </w:pPr>
            <w:r>
              <w:rPr>
                <w:noProof/>
              </w:rPr>
              <w:t>27</w:t>
            </w:r>
          </w:p>
        </w:tc>
        <w:tc>
          <w:tcPr>
            <w:tcW w:w="278" w:type="pct"/>
            <w:shd w:val="clear" w:color="auto" w:fill="C6EFCE"/>
            <w:noWrap/>
            <w:vAlign w:val="center"/>
          </w:tcPr>
          <w:p w14:paraId="2F21145C" w14:textId="77777777" w:rsidR="004C6421" w:rsidRDefault="009D1962">
            <w:pPr>
              <w:pStyle w:val="P68B1DB1-Normal4"/>
              <w:jc w:val="center"/>
              <w:rPr>
                <w:noProof/>
              </w:rPr>
            </w:pPr>
            <w:r>
              <w:rPr>
                <w:noProof/>
              </w:rPr>
              <w:t>II KW.</w:t>
            </w:r>
          </w:p>
        </w:tc>
        <w:tc>
          <w:tcPr>
            <w:tcW w:w="278" w:type="pct"/>
            <w:shd w:val="clear" w:color="auto" w:fill="C6EFCE"/>
            <w:noWrap/>
            <w:vAlign w:val="center"/>
          </w:tcPr>
          <w:p w14:paraId="2316CC70" w14:textId="77777777" w:rsidR="004C6421" w:rsidRDefault="009D1962">
            <w:pPr>
              <w:pStyle w:val="P68B1DB1-Normal4"/>
              <w:jc w:val="center"/>
              <w:rPr>
                <w:noProof/>
              </w:rPr>
            </w:pPr>
            <w:r>
              <w:rPr>
                <w:noProof/>
              </w:rPr>
              <w:t>2026</w:t>
            </w:r>
          </w:p>
        </w:tc>
        <w:tc>
          <w:tcPr>
            <w:tcW w:w="1198" w:type="pct"/>
            <w:shd w:val="clear" w:color="auto" w:fill="C6EFCE"/>
            <w:noWrap/>
            <w:vAlign w:val="center"/>
          </w:tcPr>
          <w:p w14:paraId="3CADB550" w14:textId="77777777" w:rsidR="004C6421" w:rsidRDefault="009D1962">
            <w:pPr>
              <w:pStyle w:val="P68B1DB1-Normal4"/>
              <w:rPr>
                <w:noProof/>
              </w:rPr>
            </w:pPr>
            <w:r>
              <w:rPr>
                <w:noProof/>
              </w:rPr>
              <w:t>27 km kolei dużych prędkości przeznaczonych zarówno dla pasażerów, jak i towarów na liniach Orte-Falconara i Taranto – Metaponto-Potenza-Battipaglia, gotowa do uzyskania zezwolenia i faza eksploatacji.</w:t>
            </w:r>
          </w:p>
          <w:p w14:paraId="6F11829F" w14:textId="77777777" w:rsidR="004C6421" w:rsidRDefault="004C6421">
            <w:pPr>
              <w:rPr>
                <w:rFonts w:ascii="Arial Narrow" w:hAnsi="Arial Narrow"/>
                <w:noProof/>
                <w:color w:val="006100"/>
                <w:sz w:val="20"/>
              </w:rPr>
            </w:pPr>
          </w:p>
          <w:p w14:paraId="0DCCEF52" w14:textId="77777777" w:rsidR="004C6421" w:rsidRDefault="009D1962">
            <w:pPr>
              <w:pStyle w:val="P68B1DB1-Normal4"/>
              <w:rPr>
                <w:noProof/>
              </w:rPr>
            </w:pPr>
            <w:r>
              <w:rPr>
                <w:noProof/>
              </w:rPr>
              <w:t>Rozkład 27 km jest następujący:</w:t>
            </w:r>
          </w:p>
          <w:p w14:paraId="0A05E373" w14:textId="77777777" w:rsidR="004C6421" w:rsidRDefault="004C6421">
            <w:pPr>
              <w:rPr>
                <w:rFonts w:ascii="Arial Narrow" w:hAnsi="Arial Narrow"/>
                <w:noProof/>
                <w:color w:val="006100"/>
                <w:sz w:val="20"/>
              </w:rPr>
            </w:pPr>
          </w:p>
          <w:p w14:paraId="1EF37145" w14:textId="77777777" w:rsidR="004C6421" w:rsidRDefault="009D1962">
            <w:pPr>
              <w:pStyle w:val="P68B1DB1-Normal4"/>
              <w:rPr>
                <w:noProof/>
              </w:rPr>
            </w:pPr>
            <w:r>
              <w:rPr>
                <w:noProof/>
              </w:rPr>
              <w:t>Orte-Falconara, 13 km</w:t>
            </w:r>
          </w:p>
          <w:p w14:paraId="7C4D2A45" w14:textId="77777777" w:rsidR="004C6421" w:rsidRDefault="009D1962">
            <w:pPr>
              <w:pStyle w:val="P68B1DB1-Normal4"/>
              <w:rPr>
                <w:noProof/>
              </w:rPr>
            </w:pPr>
            <w:r>
              <w:rPr>
                <w:noProof/>
              </w:rPr>
              <w:t>Taranto – Metaponto – Potenza – Battipaglia, 14 km</w:t>
            </w:r>
          </w:p>
        </w:tc>
      </w:tr>
      <w:tr w:rsidR="004C6421" w14:paraId="74E1D875" w14:textId="77777777">
        <w:trPr>
          <w:trHeight w:val="309"/>
          <w:jc w:val="right"/>
        </w:trPr>
        <w:tc>
          <w:tcPr>
            <w:tcW w:w="369" w:type="pct"/>
            <w:shd w:val="clear" w:color="auto" w:fill="C6EFCE"/>
            <w:noWrap/>
            <w:vAlign w:val="center"/>
          </w:tcPr>
          <w:p w14:paraId="513610AD" w14:textId="77777777" w:rsidR="004C6421" w:rsidRDefault="009D1962">
            <w:pPr>
              <w:pStyle w:val="P68B1DB1-Normal4"/>
              <w:jc w:val="center"/>
              <w:rPr>
                <w:noProof/>
              </w:rPr>
            </w:pPr>
            <w:r>
              <w:rPr>
                <w:noProof/>
              </w:rPr>
              <w:t>M3C1-12</w:t>
            </w:r>
          </w:p>
        </w:tc>
        <w:tc>
          <w:tcPr>
            <w:tcW w:w="511" w:type="pct"/>
            <w:shd w:val="clear" w:color="auto" w:fill="C6EFCE"/>
            <w:noWrap/>
            <w:vAlign w:val="center"/>
          </w:tcPr>
          <w:p w14:paraId="222A9C02" w14:textId="77777777" w:rsidR="004C6421" w:rsidRDefault="009D1962">
            <w:pPr>
              <w:pStyle w:val="P68B1DB1-Normal4"/>
              <w:jc w:val="center"/>
              <w:rPr>
                <w:noProof/>
              </w:rPr>
            </w:pPr>
            <w:r>
              <w:rPr>
                <w:noProof/>
              </w:rPr>
              <w:t>Inwestycje 1.4 – Wprowadzenie europejskiego systemu zarządzania transportem kolejowym (ERTMS)</w:t>
            </w:r>
          </w:p>
        </w:tc>
        <w:tc>
          <w:tcPr>
            <w:tcW w:w="417" w:type="pct"/>
            <w:shd w:val="clear" w:color="auto" w:fill="C6EFCE"/>
            <w:noWrap/>
            <w:vAlign w:val="center"/>
          </w:tcPr>
          <w:p w14:paraId="57AFC66D" w14:textId="095373AC" w:rsidR="004C6421" w:rsidRDefault="00CC179E">
            <w:pPr>
              <w:pStyle w:val="P68B1DB1-Normal4"/>
              <w:jc w:val="center"/>
              <w:rPr>
                <w:noProof/>
              </w:rPr>
            </w:pPr>
            <w:r>
              <w:rPr>
                <w:noProof/>
              </w:rPr>
              <w:t>Milowy</w:t>
            </w:r>
          </w:p>
        </w:tc>
        <w:tc>
          <w:tcPr>
            <w:tcW w:w="464" w:type="pct"/>
            <w:shd w:val="clear" w:color="auto" w:fill="C6EFCE"/>
            <w:noWrap/>
            <w:vAlign w:val="center"/>
          </w:tcPr>
          <w:p w14:paraId="0D5C2B4D" w14:textId="77777777" w:rsidR="004C6421" w:rsidRDefault="009D1962">
            <w:pPr>
              <w:pStyle w:val="P68B1DB1-Normal4"/>
              <w:jc w:val="center"/>
              <w:rPr>
                <w:noProof/>
              </w:rPr>
            </w:pPr>
            <w:r>
              <w:rPr>
                <w:noProof/>
              </w:rPr>
              <w:t>Udzielanie zamówień na europejski system zarządzania transportem kolejowym</w:t>
            </w:r>
          </w:p>
        </w:tc>
        <w:tc>
          <w:tcPr>
            <w:tcW w:w="509" w:type="pct"/>
            <w:shd w:val="clear" w:color="auto" w:fill="C6EFCE"/>
            <w:noWrap/>
            <w:vAlign w:val="center"/>
          </w:tcPr>
          <w:p w14:paraId="23F5EB70" w14:textId="77777777" w:rsidR="004C6421" w:rsidRDefault="009D1962">
            <w:pPr>
              <w:pStyle w:val="P68B1DB1-Normal4"/>
              <w:jc w:val="center"/>
              <w:rPr>
                <w:noProof/>
              </w:rPr>
            </w:pPr>
            <w:r>
              <w:rPr>
                <w:noProof/>
              </w:rPr>
              <w:t>Powiadomienie o udzieleniu wszystkich zamówień publicznych na wprowadzenie europejskiego systemu zarządzania transportem kolejowym</w:t>
            </w:r>
          </w:p>
        </w:tc>
        <w:tc>
          <w:tcPr>
            <w:tcW w:w="325" w:type="pct"/>
            <w:shd w:val="clear" w:color="auto" w:fill="C6EFCE"/>
            <w:noWrap/>
            <w:vAlign w:val="center"/>
          </w:tcPr>
          <w:p w14:paraId="2C55DF96" w14:textId="77777777" w:rsidR="004C6421" w:rsidRDefault="009D1962">
            <w:pPr>
              <w:pStyle w:val="P68B1DB1-Normal4"/>
              <w:jc w:val="center"/>
              <w:rPr>
                <w:noProof/>
              </w:rPr>
            </w:pPr>
            <w:r>
              <w:rPr>
                <w:noProof/>
              </w:rPr>
              <w:t>NIE DOT.</w:t>
            </w:r>
          </w:p>
        </w:tc>
        <w:tc>
          <w:tcPr>
            <w:tcW w:w="371" w:type="pct"/>
            <w:shd w:val="clear" w:color="auto" w:fill="C6EFCE"/>
            <w:noWrap/>
            <w:vAlign w:val="center"/>
          </w:tcPr>
          <w:p w14:paraId="756F444C" w14:textId="77777777" w:rsidR="004C6421" w:rsidRDefault="009D1962">
            <w:pPr>
              <w:pStyle w:val="P68B1DB1-Normal4"/>
              <w:jc w:val="center"/>
              <w:rPr>
                <w:noProof/>
              </w:rPr>
            </w:pPr>
            <w:r>
              <w:rPr>
                <w:noProof/>
              </w:rPr>
              <w:t>NIE DOT.</w:t>
            </w:r>
          </w:p>
        </w:tc>
        <w:tc>
          <w:tcPr>
            <w:tcW w:w="279" w:type="pct"/>
            <w:shd w:val="clear" w:color="auto" w:fill="C6EFCE"/>
            <w:noWrap/>
            <w:vAlign w:val="center"/>
          </w:tcPr>
          <w:p w14:paraId="489C0A66" w14:textId="77777777" w:rsidR="004C6421" w:rsidRDefault="009D1962">
            <w:pPr>
              <w:pStyle w:val="P68B1DB1-Normal4"/>
              <w:jc w:val="center"/>
              <w:rPr>
                <w:noProof/>
              </w:rPr>
            </w:pPr>
            <w:r>
              <w:rPr>
                <w:noProof/>
              </w:rPr>
              <w:t>NIE DOT.</w:t>
            </w:r>
          </w:p>
        </w:tc>
        <w:tc>
          <w:tcPr>
            <w:tcW w:w="278" w:type="pct"/>
            <w:shd w:val="clear" w:color="auto" w:fill="C6EFCE"/>
            <w:noWrap/>
            <w:vAlign w:val="center"/>
          </w:tcPr>
          <w:p w14:paraId="2547CF63" w14:textId="61893CC3" w:rsidR="004C6421" w:rsidRDefault="00CC179E">
            <w:pPr>
              <w:pStyle w:val="P68B1DB1-Normal4"/>
              <w:jc w:val="center"/>
              <w:rPr>
                <w:noProof/>
              </w:rPr>
            </w:pPr>
            <w:r>
              <w:rPr>
                <w:noProof/>
              </w:rPr>
              <w:t>KW. 4</w:t>
            </w:r>
          </w:p>
        </w:tc>
        <w:tc>
          <w:tcPr>
            <w:tcW w:w="278" w:type="pct"/>
            <w:shd w:val="clear" w:color="auto" w:fill="C6EFCE"/>
            <w:noWrap/>
            <w:vAlign w:val="center"/>
          </w:tcPr>
          <w:p w14:paraId="4EEBC4C2" w14:textId="77777777" w:rsidR="004C6421" w:rsidRDefault="009D1962">
            <w:pPr>
              <w:pStyle w:val="P68B1DB1-Normal4"/>
              <w:jc w:val="center"/>
              <w:rPr>
                <w:noProof/>
              </w:rPr>
            </w:pPr>
            <w:r>
              <w:rPr>
                <w:noProof/>
              </w:rPr>
              <w:t>2022</w:t>
            </w:r>
          </w:p>
        </w:tc>
        <w:tc>
          <w:tcPr>
            <w:tcW w:w="1198" w:type="pct"/>
            <w:shd w:val="clear" w:color="auto" w:fill="C6EFCE"/>
            <w:noWrap/>
            <w:vAlign w:val="center"/>
          </w:tcPr>
          <w:p w14:paraId="45E81E5E" w14:textId="77777777" w:rsidR="004C6421" w:rsidRDefault="009D1962">
            <w:pPr>
              <w:pStyle w:val="P68B1DB1-Normal4"/>
              <w:rPr>
                <w:noProof/>
              </w:rPr>
            </w:pPr>
            <w:r>
              <w:rPr>
                <w:noProof/>
              </w:rPr>
              <w:t>Powiadomienie o udzieleniu wszystkich zamówień publicznych na wprowadzenie europejskiego systemu zarządzania transportem kolejowym (ERTMS)</w:t>
            </w:r>
          </w:p>
        </w:tc>
      </w:tr>
      <w:tr w:rsidR="004C6421" w14:paraId="736314E3" w14:textId="77777777">
        <w:trPr>
          <w:trHeight w:val="309"/>
          <w:jc w:val="right"/>
        </w:trPr>
        <w:tc>
          <w:tcPr>
            <w:tcW w:w="369" w:type="pct"/>
            <w:shd w:val="clear" w:color="auto" w:fill="C6EFCE"/>
            <w:noWrap/>
            <w:vAlign w:val="center"/>
          </w:tcPr>
          <w:p w14:paraId="1739F851" w14:textId="77777777" w:rsidR="004C6421" w:rsidRDefault="009D1962">
            <w:pPr>
              <w:pStyle w:val="P68B1DB1-Normal4"/>
              <w:jc w:val="center"/>
              <w:rPr>
                <w:noProof/>
              </w:rPr>
            </w:pPr>
            <w:r>
              <w:rPr>
                <w:noProof/>
              </w:rPr>
              <w:t>M3C1-13</w:t>
            </w:r>
          </w:p>
        </w:tc>
        <w:tc>
          <w:tcPr>
            <w:tcW w:w="511" w:type="pct"/>
            <w:shd w:val="clear" w:color="auto" w:fill="C6EFCE"/>
            <w:noWrap/>
            <w:vAlign w:val="center"/>
          </w:tcPr>
          <w:p w14:paraId="25F7FFFD" w14:textId="77777777" w:rsidR="004C6421" w:rsidRDefault="009D1962">
            <w:pPr>
              <w:pStyle w:val="P68B1DB1-Normal4"/>
              <w:jc w:val="center"/>
              <w:rPr>
                <w:noProof/>
              </w:rPr>
            </w:pPr>
            <w:r>
              <w:rPr>
                <w:noProof/>
              </w:rPr>
              <w:t>Inwestycje 1.4 – Wprowadzenie europejskiego systemu zarządzania transportem kolejowym (ERTMS)</w:t>
            </w:r>
          </w:p>
        </w:tc>
        <w:tc>
          <w:tcPr>
            <w:tcW w:w="417" w:type="pct"/>
            <w:shd w:val="clear" w:color="auto" w:fill="C6EFCE"/>
            <w:noWrap/>
            <w:vAlign w:val="center"/>
          </w:tcPr>
          <w:p w14:paraId="3624481B" w14:textId="77777777" w:rsidR="004C6421" w:rsidRDefault="009D1962">
            <w:pPr>
              <w:pStyle w:val="P68B1DB1-Normal4"/>
              <w:jc w:val="center"/>
              <w:rPr>
                <w:noProof/>
              </w:rPr>
            </w:pPr>
            <w:r>
              <w:rPr>
                <w:noProof/>
              </w:rPr>
              <w:t>Cel</w:t>
            </w:r>
          </w:p>
        </w:tc>
        <w:tc>
          <w:tcPr>
            <w:tcW w:w="464" w:type="pct"/>
            <w:shd w:val="clear" w:color="auto" w:fill="C6EFCE"/>
            <w:noWrap/>
            <w:vAlign w:val="center"/>
          </w:tcPr>
          <w:p w14:paraId="28EEFA51" w14:textId="77777777" w:rsidR="004C6421" w:rsidRDefault="009D1962">
            <w:pPr>
              <w:pStyle w:val="P68B1DB1-Normal4"/>
              <w:jc w:val="center"/>
              <w:rPr>
                <w:noProof/>
              </w:rPr>
            </w:pPr>
            <w:r>
              <w:rPr>
                <w:noProof/>
              </w:rPr>
              <w:t>1 400 km linii kolejowych wyposażonych w europejski system zarządzania transportem kolejowym</w:t>
            </w:r>
          </w:p>
        </w:tc>
        <w:tc>
          <w:tcPr>
            <w:tcW w:w="509" w:type="pct"/>
            <w:shd w:val="clear" w:color="auto" w:fill="C6EFCE"/>
            <w:noWrap/>
            <w:vAlign w:val="center"/>
          </w:tcPr>
          <w:p w14:paraId="7305CC57" w14:textId="77777777" w:rsidR="004C6421" w:rsidRDefault="009D1962">
            <w:pPr>
              <w:pStyle w:val="P68B1DB1-Normal4"/>
              <w:jc w:val="center"/>
              <w:rPr>
                <w:noProof/>
              </w:rPr>
            </w:pPr>
            <w:r>
              <w:rPr>
                <w:noProof/>
              </w:rPr>
              <w:t>NIE DOT.</w:t>
            </w:r>
          </w:p>
        </w:tc>
        <w:tc>
          <w:tcPr>
            <w:tcW w:w="325" w:type="pct"/>
            <w:shd w:val="clear" w:color="auto" w:fill="C6EFCE"/>
            <w:noWrap/>
            <w:vAlign w:val="center"/>
          </w:tcPr>
          <w:p w14:paraId="407D1A6B" w14:textId="77777777" w:rsidR="004C6421" w:rsidRDefault="009D1962">
            <w:pPr>
              <w:pStyle w:val="P68B1DB1-Normal4"/>
              <w:jc w:val="center"/>
              <w:rPr>
                <w:noProof/>
              </w:rPr>
            </w:pPr>
            <w:r>
              <w:rPr>
                <w:noProof/>
              </w:rPr>
              <w:t>Numer</w:t>
            </w:r>
          </w:p>
        </w:tc>
        <w:tc>
          <w:tcPr>
            <w:tcW w:w="371" w:type="pct"/>
            <w:shd w:val="clear" w:color="auto" w:fill="C6EFCE"/>
            <w:noWrap/>
            <w:vAlign w:val="center"/>
          </w:tcPr>
          <w:p w14:paraId="1A6B5B9B" w14:textId="77777777" w:rsidR="004C6421" w:rsidRDefault="009D1962">
            <w:pPr>
              <w:pStyle w:val="P68B1DB1-Normal4"/>
              <w:jc w:val="center"/>
              <w:rPr>
                <w:noProof/>
              </w:rPr>
            </w:pPr>
            <w:r>
              <w:rPr>
                <w:noProof/>
              </w:rPr>
              <w:t>0</w:t>
            </w:r>
          </w:p>
        </w:tc>
        <w:tc>
          <w:tcPr>
            <w:tcW w:w="279" w:type="pct"/>
            <w:shd w:val="clear" w:color="auto" w:fill="C6EFCE"/>
            <w:noWrap/>
            <w:vAlign w:val="center"/>
          </w:tcPr>
          <w:p w14:paraId="23A60FE5" w14:textId="77777777" w:rsidR="004C6421" w:rsidRDefault="009D1962">
            <w:pPr>
              <w:pStyle w:val="P68B1DB1-Normal4"/>
              <w:jc w:val="center"/>
              <w:rPr>
                <w:noProof/>
              </w:rPr>
            </w:pPr>
            <w:r>
              <w:rPr>
                <w:noProof/>
              </w:rPr>
              <w:t>1 400</w:t>
            </w:r>
          </w:p>
        </w:tc>
        <w:tc>
          <w:tcPr>
            <w:tcW w:w="278" w:type="pct"/>
            <w:shd w:val="clear" w:color="auto" w:fill="C6EFCE"/>
            <w:noWrap/>
            <w:vAlign w:val="center"/>
          </w:tcPr>
          <w:p w14:paraId="34BC7BB7" w14:textId="77777777" w:rsidR="004C6421" w:rsidRDefault="009D1962">
            <w:pPr>
              <w:pStyle w:val="P68B1DB1-Normal4"/>
              <w:jc w:val="center"/>
              <w:rPr>
                <w:noProof/>
              </w:rPr>
            </w:pPr>
            <w:r>
              <w:rPr>
                <w:noProof/>
              </w:rPr>
              <w:t>II KW.</w:t>
            </w:r>
          </w:p>
        </w:tc>
        <w:tc>
          <w:tcPr>
            <w:tcW w:w="278" w:type="pct"/>
            <w:shd w:val="clear" w:color="auto" w:fill="C6EFCE"/>
            <w:noWrap/>
            <w:vAlign w:val="center"/>
          </w:tcPr>
          <w:p w14:paraId="3DE2E5CF" w14:textId="77777777" w:rsidR="004C6421" w:rsidRDefault="009D1962">
            <w:pPr>
              <w:pStyle w:val="P68B1DB1-Normal4"/>
              <w:jc w:val="center"/>
              <w:rPr>
                <w:noProof/>
              </w:rPr>
            </w:pPr>
            <w:r>
              <w:rPr>
                <w:noProof/>
              </w:rPr>
              <w:t>2025</w:t>
            </w:r>
          </w:p>
        </w:tc>
        <w:tc>
          <w:tcPr>
            <w:tcW w:w="1198" w:type="pct"/>
            <w:shd w:val="clear" w:color="auto" w:fill="C6EFCE"/>
            <w:noWrap/>
            <w:vAlign w:val="center"/>
          </w:tcPr>
          <w:p w14:paraId="4497173B" w14:textId="77777777" w:rsidR="004C6421" w:rsidRDefault="009D1962">
            <w:pPr>
              <w:pStyle w:val="P68B1DB1-Normal4"/>
              <w:rPr>
                <w:noProof/>
              </w:rPr>
            </w:pPr>
            <w:r>
              <w:rPr>
                <w:noProof/>
              </w:rPr>
              <w:t>1 400 km linii kolejowych wyposażonych w europejski system zarządzania transportem kolejowym zgodnie z europejskim planem wdrożenia, gotowe do uzyskania zezwolenia i fazy eksploatacji.</w:t>
            </w:r>
          </w:p>
        </w:tc>
      </w:tr>
      <w:tr w:rsidR="004C6421" w14:paraId="14257368" w14:textId="77777777">
        <w:trPr>
          <w:trHeight w:val="309"/>
          <w:jc w:val="right"/>
        </w:trPr>
        <w:tc>
          <w:tcPr>
            <w:tcW w:w="369" w:type="pct"/>
            <w:shd w:val="clear" w:color="auto" w:fill="C6EFCE"/>
            <w:noWrap/>
            <w:vAlign w:val="center"/>
          </w:tcPr>
          <w:p w14:paraId="3B253C3B" w14:textId="77777777" w:rsidR="004C6421" w:rsidRDefault="009D1962">
            <w:pPr>
              <w:pStyle w:val="P68B1DB1-Normal4"/>
              <w:jc w:val="center"/>
              <w:rPr>
                <w:noProof/>
              </w:rPr>
            </w:pPr>
            <w:r>
              <w:rPr>
                <w:noProof/>
              </w:rPr>
              <w:t>M3C1-14</w:t>
            </w:r>
          </w:p>
        </w:tc>
        <w:tc>
          <w:tcPr>
            <w:tcW w:w="511" w:type="pct"/>
            <w:shd w:val="clear" w:color="auto" w:fill="C6EFCE"/>
            <w:noWrap/>
            <w:vAlign w:val="center"/>
          </w:tcPr>
          <w:p w14:paraId="1E846F57" w14:textId="77777777" w:rsidR="004C6421" w:rsidRDefault="009D1962">
            <w:pPr>
              <w:pStyle w:val="P68B1DB1-Normal4"/>
              <w:jc w:val="center"/>
              <w:rPr>
                <w:noProof/>
              </w:rPr>
            </w:pPr>
            <w:r>
              <w:rPr>
                <w:noProof/>
              </w:rPr>
              <w:t>Inwestycje 1.4 – Wprowadzenie europejskiego systemu zarządzania transportem kolejowym (ERTMS)</w:t>
            </w:r>
          </w:p>
        </w:tc>
        <w:tc>
          <w:tcPr>
            <w:tcW w:w="417" w:type="pct"/>
            <w:shd w:val="clear" w:color="auto" w:fill="C6EFCE"/>
            <w:noWrap/>
            <w:vAlign w:val="center"/>
          </w:tcPr>
          <w:p w14:paraId="59B01028" w14:textId="77777777" w:rsidR="004C6421" w:rsidRDefault="009D1962">
            <w:pPr>
              <w:pStyle w:val="P68B1DB1-Normal4"/>
              <w:jc w:val="center"/>
              <w:rPr>
                <w:noProof/>
              </w:rPr>
            </w:pPr>
            <w:r>
              <w:rPr>
                <w:noProof/>
              </w:rPr>
              <w:t>Cel</w:t>
            </w:r>
          </w:p>
        </w:tc>
        <w:tc>
          <w:tcPr>
            <w:tcW w:w="464" w:type="pct"/>
            <w:shd w:val="clear" w:color="auto" w:fill="C6EFCE"/>
            <w:noWrap/>
            <w:vAlign w:val="center"/>
          </w:tcPr>
          <w:p w14:paraId="5268A72C" w14:textId="77777777" w:rsidR="004C6421" w:rsidRDefault="009D1962">
            <w:pPr>
              <w:pStyle w:val="P68B1DB1-Normal4"/>
              <w:jc w:val="center"/>
              <w:rPr>
                <w:noProof/>
              </w:rPr>
            </w:pPr>
            <w:r>
              <w:rPr>
                <w:noProof/>
              </w:rPr>
              <w:t xml:space="preserve"> 2 785 km linii kolejowych wyposażonych w europejski system zarządzania transportem kolejowym</w:t>
            </w:r>
          </w:p>
        </w:tc>
        <w:tc>
          <w:tcPr>
            <w:tcW w:w="509" w:type="pct"/>
            <w:shd w:val="clear" w:color="auto" w:fill="C6EFCE"/>
            <w:noWrap/>
            <w:vAlign w:val="center"/>
          </w:tcPr>
          <w:p w14:paraId="13E21841" w14:textId="77777777" w:rsidR="004C6421" w:rsidRDefault="009D1962">
            <w:pPr>
              <w:pStyle w:val="P68B1DB1-Normal4"/>
              <w:jc w:val="center"/>
              <w:rPr>
                <w:noProof/>
              </w:rPr>
            </w:pPr>
            <w:r>
              <w:rPr>
                <w:noProof/>
              </w:rPr>
              <w:t>NIE DOT.</w:t>
            </w:r>
          </w:p>
        </w:tc>
        <w:tc>
          <w:tcPr>
            <w:tcW w:w="325" w:type="pct"/>
            <w:shd w:val="clear" w:color="auto" w:fill="C6EFCE"/>
            <w:noWrap/>
            <w:vAlign w:val="center"/>
          </w:tcPr>
          <w:p w14:paraId="63C94436" w14:textId="77777777" w:rsidR="004C6421" w:rsidRDefault="009D1962">
            <w:pPr>
              <w:pStyle w:val="P68B1DB1-Normal4"/>
              <w:jc w:val="center"/>
              <w:rPr>
                <w:noProof/>
              </w:rPr>
            </w:pPr>
            <w:r>
              <w:rPr>
                <w:noProof/>
              </w:rPr>
              <w:t>Numer</w:t>
            </w:r>
          </w:p>
        </w:tc>
        <w:tc>
          <w:tcPr>
            <w:tcW w:w="371" w:type="pct"/>
            <w:shd w:val="clear" w:color="auto" w:fill="C6EFCE"/>
            <w:noWrap/>
            <w:vAlign w:val="center"/>
          </w:tcPr>
          <w:p w14:paraId="3B4ABA36" w14:textId="77777777" w:rsidR="004C6421" w:rsidRDefault="009D1962">
            <w:pPr>
              <w:pStyle w:val="P68B1DB1-Normal4"/>
              <w:jc w:val="center"/>
              <w:rPr>
                <w:noProof/>
              </w:rPr>
            </w:pPr>
            <w:r>
              <w:rPr>
                <w:noProof/>
              </w:rPr>
              <w:t>1 400</w:t>
            </w:r>
          </w:p>
        </w:tc>
        <w:tc>
          <w:tcPr>
            <w:tcW w:w="279" w:type="pct"/>
            <w:shd w:val="clear" w:color="auto" w:fill="C6EFCE"/>
            <w:noWrap/>
            <w:vAlign w:val="center"/>
          </w:tcPr>
          <w:p w14:paraId="3CD6875A" w14:textId="77777777" w:rsidR="004C6421" w:rsidRDefault="009D1962">
            <w:pPr>
              <w:pStyle w:val="P68B1DB1-Normal4"/>
              <w:jc w:val="center"/>
              <w:rPr>
                <w:noProof/>
              </w:rPr>
            </w:pPr>
            <w:r>
              <w:rPr>
                <w:noProof/>
              </w:rPr>
              <w:t>2 785</w:t>
            </w:r>
          </w:p>
        </w:tc>
        <w:tc>
          <w:tcPr>
            <w:tcW w:w="278" w:type="pct"/>
            <w:shd w:val="clear" w:color="auto" w:fill="C6EFCE"/>
            <w:noWrap/>
            <w:vAlign w:val="center"/>
          </w:tcPr>
          <w:p w14:paraId="0D136A74" w14:textId="77777777" w:rsidR="004C6421" w:rsidRDefault="009D1962">
            <w:pPr>
              <w:pStyle w:val="P68B1DB1-Normal4"/>
              <w:jc w:val="center"/>
              <w:rPr>
                <w:noProof/>
              </w:rPr>
            </w:pPr>
            <w:r>
              <w:rPr>
                <w:noProof/>
              </w:rPr>
              <w:t>II KW.</w:t>
            </w:r>
          </w:p>
        </w:tc>
        <w:tc>
          <w:tcPr>
            <w:tcW w:w="278" w:type="pct"/>
            <w:shd w:val="clear" w:color="auto" w:fill="C6EFCE"/>
            <w:noWrap/>
            <w:vAlign w:val="center"/>
          </w:tcPr>
          <w:p w14:paraId="3CE7A70D" w14:textId="77777777" w:rsidR="004C6421" w:rsidRDefault="009D1962">
            <w:pPr>
              <w:pStyle w:val="P68B1DB1-Normal4"/>
              <w:jc w:val="center"/>
              <w:rPr>
                <w:noProof/>
              </w:rPr>
            </w:pPr>
            <w:r>
              <w:rPr>
                <w:noProof/>
              </w:rPr>
              <w:t>2026</w:t>
            </w:r>
          </w:p>
        </w:tc>
        <w:tc>
          <w:tcPr>
            <w:tcW w:w="1198" w:type="pct"/>
            <w:shd w:val="clear" w:color="auto" w:fill="C6EFCE"/>
            <w:noWrap/>
            <w:vAlign w:val="center"/>
          </w:tcPr>
          <w:p w14:paraId="1E007F6E" w14:textId="77777777" w:rsidR="004C6421" w:rsidRDefault="009D1962">
            <w:pPr>
              <w:pStyle w:val="P68B1DB1-Normal4"/>
              <w:spacing w:before="120" w:after="120"/>
              <w:rPr>
                <w:noProof/>
              </w:rPr>
            </w:pPr>
            <w:r>
              <w:rPr>
                <w:noProof/>
              </w:rPr>
              <w:t>2 785 km linii kolejowych wyposażonych w europejski system zarządzania transportem kolejowym zgodnie z europejskim planem wdrożenia, gotowych do zatwierdzenia i fazy eksploatacji.</w:t>
            </w:r>
          </w:p>
        </w:tc>
      </w:tr>
      <w:tr w:rsidR="004C6421" w14:paraId="1DDCB868" w14:textId="77777777">
        <w:trPr>
          <w:trHeight w:val="309"/>
          <w:jc w:val="right"/>
        </w:trPr>
        <w:tc>
          <w:tcPr>
            <w:tcW w:w="369" w:type="pct"/>
            <w:shd w:val="clear" w:color="auto" w:fill="C6EFCE"/>
            <w:noWrap/>
            <w:vAlign w:val="center"/>
          </w:tcPr>
          <w:p w14:paraId="7BC92B74" w14:textId="77777777" w:rsidR="004C6421" w:rsidRDefault="009D1962">
            <w:pPr>
              <w:pStyle w:val="P68B1DB1-Normal4"/>
              <w:jc w:val="center"/>
              <w:rPr>
                <w:noProof/>
              </w:rPr>
            </w:pPr>
            <w:r>
              <w:rPr>
                <w:noProof/>
              </w:rPr>
              <w:t>M3C1-15</w:t>
            </w:r>
          </w:p>
        </w:tc>
        <w:tc>
          <w:tcPr>
            <w:tcW w:w="511" w:type="pct"/>
            <w:shd w:val="clear" w:color="auto" w:fill="C6EFCE"/>
            <w:noWrap/>
            <w:vAlign w:val="center"/>
          </w:tcPr>
          <w:p w14:paraId="6F94F6B3" w14:textId="77777777" w:rsidR="004C6421" w:rsidRDefault="009D1962">
            <w:pPr>
              <w:pStyle w:val="P68B1DB1-Normal4"/>
              <w:jc w:val="center"/>
              <w:rPr>
                <w:noProof/>
              </w:rPr>
            </w:pPr>
            <w:r>
              <w:rPr>
                <w:noProof/>
              </w:rPr>
              <w:t>Inwestycja 1.5 – Wzmocnienie węzłów metropolitalnych i kluczowych powiązań krajowych</w:t>
            </w:r>
          </w:p>
        </w:tc>
        <w:tc>
          <w:tcPr>
            <w:tcW w:w="417" w:type="pct"/>
            <w:shd w:val="clear" w:color="auto" w:fill="C6EFCE"/>
            <w:noWrap/>
            <w:vAlign w:val="center"/>
          </w:tcPr>
          <w:p w14:paraId="40C93114" w14:textId="77777777" w:rsidR="004C6421" w:rsidRDefault="009D1962">
            <w:pPr>
              <w:pStyle w:val="P68B1DB1-Normal4"/>
              <w:jc w:val="center"/>
              <w:rPr>
                <w:noProof/>
              </w:rPr>
            </w:pPr>
            <w:r>
              <w:rPr>
                <w:noProof/>
              </w:rPr>
              <w:t>Cel</w:t>
            </w:r>
          </w:p>
        </w:tc>
        <w:tc>
          <w:tcPr>
            <w:tcW w:w="464" w:type="pct"/>
            <w:shd w:val="clear" w:color="auto" w:fill="C6EFCE"/>
            <w:noWrap/>
            <w:vAlign w:val="center"/>
          </w:tcPr>
          <w:p w14:paraId="016CB671" w14:textId="77777777" w:rsidR="004C6421" w:rsidRDefault="009D1962">
            <w:pPr>
              <w:pStyle w:val="P68B1DB1-Normal4"/>
              <w:jc w:val="center"/>
              <w:rPr>
                <w:noProof/>
              </w:rPr>
            </w:pPr>
            <w:r>
              <w:rPr>
                <w:noProof/>
              </w:rPr>
              <w:t>700 km zmodernizowanych odcinków linii zbudowanych na węzłach metropolitalnych i kluczowych połączeniach krajowych</w:t>
            </w:r>
          </w:p>
        </w:tc>
        <w:tc>
          <w:tcPr>
            <w:tcW w:w="509" w:type="pct"/>
            <w:shd w:val="clear" w:color="auto" w:fill="C6EFCE"/>
            <w:noWrap/>
            <w:vAlign w:val="center"/>
          </w:tcPr>
          <w:p w14:paraId="429FCF4A" w14:textId="77777777" w:rsidR="004C6421" w:rsidRDefault="009D1962">
            <w:pPr>
              <w:pStyle w:val="P68B1DB1-Normal4"/>
              <w:jc w:val="center"/>
              <w:rPr>
                <w:noProof/>
              </w:rPr>
            </w:pPr>
            <w:r>
              <w:rPr>
                <w:noProof/>
              </w:rPr>
              <w:t>NIE DOT.</w:t>
            </w:r>
          </w:p>
        </w:tc>
        <w:tc>
          <w:tcPr>
            <w:tcW w:w="325" w:type="pct"/>
            <w:shd w:val="clear" w:color="auto" w:fill="C6EFCE"/>
            <w:noWrap/>
            <w:vAlign w:val="center"/>
          </w:tcPr>
          <w:p w14:paraId="07E0133E" w14:textId="77777777" w:rsidR="004C6421" w:rsidRDefault="009D1962">
            <w:pPr>
              <w:pStyle w:val="P68B1DB1-Normal4"/>
              <w:jc w:val="center"/>
              <w:rPr>
                <w:noProof/>
              </w:rPr>
            </w:pPr>
            <w:r>
              <w:rPr>
                <w:noProof/>
              </w:rPr>
              <w:t>Numer</w:t>
            </w:r>
          </w:p>
        </w:tc>
        <w:tc>
          <w:tcPr>
            <w:tcW w:w="371" w:type="pct"/>
            <w:shd w:val="clear" w:color="auto" w:fill="C6EFCE"/>
            <w:noWrap/>
            <w:vAlign w:val="center"/>
          </w:tcPr>
          <w:p w14:paraId="3A4EE9CC" w14:textId="77777777" w:rsidR="004C6421" w:rsidRDefault="009D1962">
            <w:pPr>
              <w:pStyle w:val="P68B1DB1-Normal4"/>
              <w:jc w:val="center"/>
              <w:rPr>
                <w:noProof/>
              </w:rPr>
            </w:pPr>
            <w:r>
              <w:rPr>
                <w:noProof/>
              </w:rPr>
              <w:t>0</w:t>
            </w:r>
          </w:p>
        </w:tc>
        <w:tc>
          <w:tcPr>
            <w:tcW w:w="279" w:type="pct"/>
            <w:shd w:val="clear" w:color="auto" w:fill="C6EFCE"/>
            <w:noWrap/>
            <w:vAlign w:val="center"/>
          </w:tcPr>
          <w:p w14:paraId="006BFA66" w14:textId="77777777" w:rsidR="004C6421" w:rsidRDefault="009D1962">
            <w:pPr>
              <w:pStyle w:val="P68B1DB1-Normal4"/>
              <w:jc w:val="center"/>
              <w:rPr>
                <w:noProof/>
              </w:rPr>
            </w:pPr>
            <w:r>
              <w:rPr>
                <w:noProof/>
              </w:rPr>
              <w:t>700</w:t>
            </w:r>
          </w:p>
        </w:tc>
        <w:tc>
          <w:tcPr>
            <w:tcW w:w="278" w:type="pct"/>
            <w:shd w:val="clear" w:color="auto" w:fill="C6EFCE"/>
            <w:noWrap/>
            <w:vAlign w:val="center"/>
          </w:tcPr>
          <w:p w14:paraId="4971D2E0" w14:textId="68ECF647" w:rsidR="004C6421" w:rsidRDefault="00CC179E">
            <w:pPr>
              <w:pStyle w:val="P68B1DB1-Normal4"/>
              <w:jc w:val="center"/>
              <w:rPr>
                <w:noProof/>
              </w:rPr>
            </w:pPr>
            <w:r>
              <w:rPr>
                <w:noProof/>
              </w:rPr>
              <w:t>KW. 4</w:t>
            </w:r>
          </w:p>
        </w:tc>
        <w:tc>
          <w:tcPr>
            <w:tcW w:w="278" w:type="pct"/>
            <w:shd w:val="clear" w:color="auto" w:fill="C6EFCE"/>
            <w:noWrap/>
            <w:vAlign w:val="center"/>
          </w:tcPr>
          <w:p w14:paraId="2EB3C194" w14:textId="77777777" w:rsidR="004C6421" w:rsidRDefault="009D1962">
            <w:pPr>
              <w:pStyle w:val="P68B1DB1-Normal4"/>
              <w:jc w:val="center"/>
              <w:rPr>
                <w:noProof/>
              </w:rPr>
            </w:pPr>
            <w:r>
              <w:rPr>
                <w:noProof/>
              </w:rPr>
              <w:t>2024</w:t>
            </w:r>
          </w:p>
        </w:tc>
        <w:tc>
          <w:tcPr>
            <w:tcW w:w="1198" w:type="pct"/>
            <w:shd w:val="clear" w:color="auto" w:fill="C6EFCE"/>
            <w:noWrap/>
            <w:vAlign w:val="center"/>
          </w:tcPr>
          <w:p w14:paraId="411626C7" w14:textId="77777777" w:rsidR="004C6421" w:rsidRDefault="009D1962">
            <w:pPr>
              <w:pStyle w:val="P68B1DB1-Normal4"/>
              <w:rPr>
                <w:noProof/>
              </w:rPr>
            </w:pPr>
            <w:r>
              <w:rPr>
                <w:noProof/>
              </w:rPr>
              <w:t>Co najmniej 700 km zmodernizowanych odcinków linii zbudowanych na węzłach metropolitalnych i kluczowych połączeniach krajowych, gotowych do uzyskania zezwolenia i fazy operacyjnej.</w:t>
            </w:r>
          </w:p>
          <w:p w14:paraId="09DA7C3C" w14:textId="77777777" w:rsidR="004C6421" w:rsidRDefault="004C6421">
            <w:pPr>
              <w:rPr>
                <w:rFonts w:ascii="Arial Narrow" w:hAnsi="Arial Narrow"/>
                <w:noProof/>
                <w:color w:val="006100"/>
                <w:sz w:val="20"/>
              </w:rPr>
            </w:pPr>
          </w:p>
        </w:tc>
      </w:tr>
      <w:tr w:rsidR="004C6421" w14:paraId="7D284EA6" w14:textId="77777777">
        <w:trPr>
          <w:trHeight w:val="309"/>
          <w:jc w:val="right"/>
        </w:trPr>
        <w:tc>
          <w:tcPr>
            <w:tcW w:w="369" w:type="pct"/>
            <w:shd w:val="clear" w:color="auto" w:fill="C6EFCE"/>
            <w:noWrap/>
            <w:vAlign w:val="center"/>
          </w:tcPr>
          <w:p w14:paraId="379B2082" w14:textId="77777777" w:rsidR="004C6421" w:rsidRDefault="009D1962">
            <w:pPr>
              <w:pStyle w:val="P68B1DB1-Normal4"/>
              <w:jc w:val="center"/>
              <w:rPr>
                <w:noProof/>
              </w:rPr>
            </w:pPr>
            <w:r>
              <w:rPr>
                <w:noProof/>
              </w:rPr>
              <w:t>M3C1-16</w:t>
            </w:r>
          </w:p>
        </w:tc>
        <w:tc>
          <w:tcPr>
            <w:tcW w:w="511" w:type="pct"/>
            <w:shd w:val="clear" w:color="auto" w:fill="C6EFCE"/>
            <w:noWrap/>
            <w:vAlign w:val="center"/>
          </w:tcPr>
          <w:p w14:paraId="553AF3F1" w14:textId="77777777" w:rsidR="004C6421" w:rsidRDefault="009D1962">
            <w:pPr>
              <w:pStyle w:val="P68B1DB1-Normal4"/>
              <w:jc w:val="center"/>
              <w:rPr>
                <w:noProof/>
              </w:rPr>
            </w:pPr>
            <w:r>
              <w:rPr>
                <w:noProof/>
              </w:rPr>
              <w:t>Inwestycja 1.5 – Wzmocnienie węzłów metropolitalnych i kluczowych powiązań krajowych</w:t>
            </w:r>
          </w:p>
        </w:tc>
        <w:tc>
          <w:tcPr>
            <w:tcW w:w="417" w:type="pct"/>
            <w:shd w:val="clear" w:color="auto" w:fill="C6EFCE"/>
            <w:noWrap/>
            <w:vAlign w:val="center"/>
          </w:tcPr>
          <w:p w14:paraId="51AD40C9" w14:textId="77777777" w:rsidR="004C6421" w:rsidRDefault="009D1962">
            <w:pPr>
              <w:pStyle w:val="P68B1DB1-Normal4"/>
              <w:jc w:val="center"/>
              <w:rPr>
                <w:noProof/>
              </w:rPr>
            </w:pPr>
            <w:r>
              <w:rPr>
                <w:noProof/>
              </w:rPr>
              <w:t>Cel</w:t>
            </w:r>
          </w:p>
        </w:tc>
        <w:tc>
          <w:tcPr>
            <w:tcW w:w="464" w:type="pct"/>
            <w:shd w:val="clear" w:color="auto" w:fill="C6EFCE"/>
            <w:noWrap/>
            <w:vAlign w:val="center"/>
          </w:tcPr>
          <w:p w14:paraId="7E9B4FDC" w14:textId="77777777" w:rsidR="004C6421" w:rsidRDefault="009D1962">
            <w:pPr>
              <w:pStyle w:val="P68B1DB1-Normal4"/>
              <w:jc w:val="center"/>
              <w:rPr>
                <w:noProof/>
              </w:rPr>
            </w:pPr>
            <w:r>
              <w:rPr>
                <w:noProof/>
              </w:rPr>
              <w:t>1 280 km zmodernizowanych odcinków linii zbudowanych na węzłach metropolitalnych i kluczowych połączeniach krajowych</w:t>
            </w:r>
          </w:p>
        </w:tc>
        <w:tc>
          <w:tcPr>
            <w:tcW w:w="509" w:type="pct"/>
            <w:shd w:val="clear" w:color="auto" w:fill="C6EFCE"/>
            <w:noWrap/>
            <w:vAlign w:val="center"/>
          </w:tcPr>
          <w:p w14:paraId="275399E4" w14:textId="77777777" w:rsidR="004C6421" w:rsidRDefault="009D1962">
            <w:pPr>
              <w:pStyle w:val="P68B1DB1-Normal4"/>
              <w:jc w:val="center"/>
              <w:rPr>
                <w:noProof/>
              </w:rPr>
            </w:pPr>
            <w:r>
              <w:rPr>
                <w:noProof/>
              </w:rPr>
              <w:t>NIE DOT.</w:t>
            </w:r>
          </w:p>
        </w:tc>
        <w:tc>
          <w:tcPr>
            <w:tcW w:w="325" w:type="pct"/>
            <w:shd w:val="clear" w:color="auto" w:fill="C6EFCE"/>
            <w:noWrap/>
            <w:vAlign w:val="center"/>
          </w:tcPr>
          <w:p w14:paraId="4D439A1E" w14:textId="77777777" w:rsidR="004C6421" w:rsidRDefault="009D1962">
            <w:pPr>
              <w:pStyle w:val="P68B1DB1-Normal4"/>
              <w:jc w:val="center"/>
              <w:rPr>
                <w:noProof/>
              </w:rPr>
            </w:pPr>
            <w:r>
              <w:rPr>
                <w:noProof/>
              </w:rPr>
              <w:t>Numer</w:t>
            </w:r>
          </w:p>
        </w:tc>
        <w:tc>
          <w:tcPr>
            <w:tcW w:w="371" w:type="pct"/>
            <w:shd w:val="clear" w:color="auto" w:fill="C6EFCE"/>
            <w:noWrap/>
            <w:vAlign w:val="center"/>
          </w:tcPr>
          <w:p w14:paraId="357C4605" w14:textId="77777777" w:rsidR="004C6421" w:rsidRDefault="009D1962">
            <w:pPr>
              <w:pStyle w:val="P68B1DB1-Normal4"/>
              <w:jc w:val="center"/>
              <w:rPr>
                <w:noProof/>
              </w:rPr>
            </w:pPr>
            <w:r>
              <w:rPr>
                <w:noProof/>
              </w:rPr>
              <w:t>700</w:t>
            </w:r>
          </w:p>
        </w:tc>
        <w:tc>
          <w:tcPr>
            <w:tcW w:w="279" w:type="pct"/>
            <w:shd w:val="clear" w:color="auto" w:fill="C6EFCE"/>
            <w:noWrap/>
            <w:vAlign w:val="center"/>
          </w:tcPr>
          <w:p w14:paraId="7B96EE7A" w14:textId="77777777" w:rsidR="004C6421" w:rsidRDefault="009D1962">
            <w:pPr>
              <w:pStyle w:val="P68B1DB1-Normal4"/>
              <w:jc w:val="center"/>
              <w:rPr>
                <w:noProof/>
              </w:rPr>
            </w:pPr>
            <w:r>
              <w:rPr>
                <w:noProof/>
              </w:rPr>
              <w:t>1 280</w:t>
            </w:r>
          </w:p>
        </w:tc>
        <w:tc>
          <w:tcPr>
            <w:tcW w:w="278" w:type="pct"/>
            <w:shd w:val="clear" w:color="auto" w:fill="C6EFCE"/>
            <w:noWrap/>
            <w:vAlign w:val="center"/>
          </w:tcPr>
          <w:p w14:paraId="6847B528" w14:textId="77777777" w:rsidR="004C6421" w:rsidRDefault="009D1962">
            <w:pPr>
              <w:pStyle w:val="P68B1DB1-Normal4"/>
              <w:jc w:val="center"/>
              <w:rPr>
                <w:noProof/>
              </w:rPr>
            </w:pPr>
            <w:r>
              <w:rPr>
                <w:noProof/>
              </w:rPr>
              <w:t>II KW.</w:t>
            </w:r>
          </w:p>
        </w:tc>
        <w:tc>
          <w:tcPr>
            <w:tcW w:w="278" w:type="pct"/>
            <w:shd w:val="clear" w:color="auto" w:fill="C6EFCE"/>
            <w:noWrap/>
            <w:vAlign w:val="center"/>
          </w:tcPr>
          <w:p w14:paraId="21FD9CAB" w14:textId="77777777" w:rsidR="004C6421" w:rsidRDefault="009D1962">
            <w:pPr>
              <w:pStyle w:val="P68B1DB1-Normal4"/>
              <w:jc w:val="center"/>
              <w:rPr>
                <w:noProof/>
              </w:rPr>
            </w:pPr>
            <w:r>
              <w:rPr>
                <w:noProof/>
              </w:rPr>
              <w:t>2026</w:t>
            </w:r>
          </w:p>
        </w:tc>
        <w:tc>
          <w:tcPr>
            <w:tcW w:w="1198" w:type="pct"/>
            <w:shd w:val="clear" w:color="auto" w:fill="C6EFCE"/>
            <w:noWrap/>
            <w:vAlign w:val="center"/>
          </w:tcPr>
          <w:p w14:paraId="19701D7F" w14:textId="77777777" w:rsidR="004C6421" w:rsidRDefault="009D1962">
            <w:pPr>
              <w:pStyle w:val="P68B1DB1-Normal4"/>
              <w:rPr>
                <w:noProof/>
              </w:rPr>
            </w:pPr>
            <w:r>
              <w:rPr>
                <w:noProof/>
              </w:rPr>
              <w:t>Co najmniej 1 280 km odcinków zmodernizowanych/zmodernizowanych linii zbudowanych na węzłach metropolitalnych i kluczowych połączeniach krajowych, gotowych do uzyskania zezwolenia i fazy eksploatacji</w:t>
            </w:r>
          </w:p>
        </w:tc>
      </w:tr>
      <w:tr w:rsidR="004C6421" w14:paraId="6BB68B65" w14:textId="77777777">
        <w:trPr>
          <w:trHeight w:val="309"/>
          <w:jc w:val="right"/>
        </w:trPr>
        <w:tc>
          <w:tcPr>
            <w:tcW w:w="369" w:type="pct"/>
            <w:shd w:val="clear" w:color="auto" w:fill="C6EFCE"/>
            <w:noWrap/>
            <w:vAlign w:val="center"/>
          </w:tcPr>
          <w:p w14:paraId="0E5E3B61" w14:textId="77777777" w:rsidR="004C6421" w:rsidRDefault="009D1962">
            <w:pPr>
              <w:pStyle w:val="P68B1DB1-Normal4"/>
              <w:jc w:val="center"/>
              <w:rPr>
                <w:noProof/>
              </w:rPr>
            </w:pPr>
            <w:r>
              <w:rPr>
                <w:noProof/>
              </w:rPr>
              <w:t>M3C1-17</w:t>
            </w:r>
          </w:p>
        </w:tc>
        <w:tc>
          <w:tcPr>
            <w:tcW w:w="511" w:type="pct"/>
            <w:shd w:val="clear" w:color="auto" w:fill="C6EFCE"/>
            <w:noWrap/>
            <w:vAlign w:val="center"/>
          </w:tcPr>
          <w:p w14:paraId="5018C27E" w14:textId="77777777" w:rsidR="004C6421" w:rsidRDefault="009D1962">
            <w:pPr>
              <w:pStyle w:val="P68B1DB1-Normal4"/>
              <w:jc w:val="center"/>
              <w:rPr>
                <w:noProof/>
              </w:rPr>
            </w:pPr>
            <w:r>
              <w:rPr>
                <w:noProof/>
              </w:rPr>
              <w:t>Inwestycje 1.7 – Modernizacja, elektryfikacja i odporność kolei na południu</w:t>
            </w:r>
          </w:p>
        </w:tc>
        <w:tc>
          <w:tcPr>
            <w:tcW w:w="417" w:type="pct"/>
            <w:shd w:val="clear" w:color="auto" w:fill="C6EFCE"/>
            <w:noWrap/>
            <w:vAlign w:val="center"/>
          </w:tcPr>
          <w:p w14:paraId="60EA35D6" w14:textId="77777777" w:rsidR="004C6421" w:rsidRDefault="004C6421">
            <w:pPr>
              <w:jc w:val="center"/>
              <w:rPr>
                <w:rFonts w:ascii="Arial Narrow" w:hAnsi="Arial Narrow"/>
                <w:noProof/>
                <w:color w:val="006100"/>
                <w:sz w:val="20"/>
              </w:rPr>
            </w:pPr>
          </w:p>
          <w:p w14:paraId="14203952" w14:textId="77777777" w:rsidR="004C6421" w:rsidRDefault="009D1962">
            <w:pPr>
              <w:pStyle w:val="P68B1DB1-Normal4"/>
              <w:jc w:val="center"/>
              <w:rPr>
                <w:noProof/>
              </w:rPr>
            </w:pPr>
            <w:r>
              <w:rPr>
                <w:noProof/>
              </w:rPr>
              <w:t xml:space="preserve">Cel </w:t>
            </w:r>
          </w:p>
        </w:tc>
        <w:tc>
          <w:tcPr>
            <w:tcW w:w="464" w:type="pct"/>
            <w:shd w:val="clear" w:color="auto" w:fill="C6EFCE"/>
            <w:noWrap/>
            <w:vAlign w:val="center"/>
          </w:tcPr>
          <w:p w14:paraId="3343CBD1" w14:textId="77777777" w:rsidR="004C6421" w:rsidRDefault="009D1962">
            <w:pPr>
              <w:pStyle w:val="P68B1DB1-Normal4"/>
              <w:jc w:val="center"/>
              <w:rPr>
                <w:noProof/>
              </w:rPr>
            </w:pPr>
            <w:r>
              <w:rPr>
                <w:noProof/>
              </w:rPr>
              <w:t>172 km ukończonych prac związanych z odpornością kolei na południu, gotowych do fazy zatwierdzania i eksploatacji.</w:t>
            </w:r>
          </w:p>
        </w:tc>
        <w:tc>
          <w:tcPr>
            <w:tcW w:w="509" w:type="pct"/>
            <w:shd w:val="clear" w:color="auto" w:fill="C6EFCE"/>
            <w:noWrap/>
            <w:vAlign w:val="center"/>
          </w:tcPr>
          <w:p w14:paraId="4AEEE046" w14:textId="77777777" w:rsidR="004C6421" w:rsidRDefault="009D1962">
            <w:pPr>
              <w:pStyle w:val="P68B1DB1-Normal4"/>
              <w:jc w:val="center"/>
              <w:rPr>
                <w:noProof/>
              </w:rPr>
            </w:pPr>
            <w:r>
              <w:rPr>
                <w:noProof/>
              </w:rPr>
              <w:t>NIE DOT.</w:t>
            </w:r>
          </w:p>
        </w:tc>
        <w:tc>
          <w:tcPr>
            <w:tcW w:w="325" w:type="pct"/>
            <w:shd w:val="clear" w:color="auto" w:fill="C6EFCE"/>
            <w:noWrap/>
            <w:vAlign w:val="center"/>
          </w:tcPr>
          <w:p w14:paraId="491EC4FB" w14:textId="77777777" w:rsidR="004C6421" w:rsidRDefault="009D1962">
            <w:pPr>
              <w:pStyle w:val="P68B1DB1-Normal4"/>
              <w:jc w:val="center"/>
              <w:rPr>
                <w:noProof/>
              </w:rPr>
            </w:pPr>
            <w:r>
              <w:rPr>
                <w:noProof/>
              </w:rPr>
              <w:t>Numer</w:t>
            </w:r>
          </w:p>
        </w:tc>
        <w:tc>
          <w:tcPr>
            <w:tcW w:w="371" w:type="pct"/>
            <w:shd w:val="clear" w:color="auto" w:fill="C6EFCE"/>
            <w:noWrap/>
            <w:vAlign w:val="center"/>
          </w:tcPr>
          <w:p w14:paraId="3C77AC12" w14:textId="77777777" w:rsidR="004C6421" w:rsidRDefault="009D1962">
            <w:pPr>
              <w:pStyle w:val="P68B1DB1-Normal4"/>
              <w:jc w:val="center"/>
              <w:rPr>
                <w:noProof/>
              </w:rPr>
            </w:pPr>
            <w:r>
              <w:rPr>
                <w:noProof/>
              </w:rPr>
              <w:t>0</w:t>
            </w:r>
          </w:p>
        </w:tc>
        <w:tc>
          <w:tcPr>
            <w:tcW w:w="279" w:type="pct"/>
            <w:shd w:val="clear" w:color="auto" w:fill="C6EFCE"/>
            <w:noWrap/>
            <w:vAlign w:val="center"/>
          </w:tcPr>
          <w:p w14:paraId="5611150A" w14:textId="77777777" w:rsidR="004C6421" w:rsidRDefault="009D1962">
            <w:pPr>
              <w:pStyle w:val="P68B1DB1-Normal4"/>
              <w:jc w:val="center"/>
              <w:rPr>
                <w:noProof/>
              </w:rPr>
            </w:pPr>
            <w:r>
              <w:rPr>
                <w:noProof/>
              </w:rPr>
              <w:t>172</w:t>
            </w:r>
          </w:p>
        </w:tc>
        <w:tc>
          <w:tcPr>
            <w:tcW w:w="278" w:type="pct"/>
            <w:shd w:val="clear" w:color="auto" w:fill="C6EFCE"/>
            <w:noWrap/>
            <w:vAlign w:val="center"/>
          </w:tcPr>
          <w:p w14:paraId="68610D0D" w14:textId="65B10225" w:rsidR="004C6421" w:rsidRDefault="00CC179E">
            <w:pPr>
              <w:pStyle w:val="P68B1DB1-Normal4"/>
              <w:jc w:val="center"/>
              <w:rPr>
                <w:noProof/>
              </w:rPr>
            </w:pPr>
            <w:r>
              <w:rPr>
                <w:noProof/>
              </w:rPr>
              <w:t>KW. 4</w:t>
            </w:r>
          </w:p>
        </w:tc>
        <w:tc>
          <w:tcPr>
            <w:tcW w:w="278" w:type="pct"/>
            <w:shd w:val="clear" w:color="auto" w:fill="C6EFCE"/>
            <w:noWrap/>
            <w:vAlign w:val="center"/>
          </w:tcPr>
          <w:p w14:paraId="6E3EA58E" w14:textId="77777777" w:rsidR="004C6421" w:rsidRDefault="009D1962">
            <w:pPr>
              <w:pStyle w:val="P68B1DB1-Normal4"/>
              <w:jc w:val="center"/>
              <w:rPr>
                <w:noProof/>
              </w:rPr>
            </w:pPr>
            <w:r>
              <w:rPr>
                <w:noProof/>
              </w:rPr>
              <w:t>2023</w:t>
            </w:r>
          </w:p>
        </w:tc>
        <w:tc>
          <w:tcPr>
            <w:tcW w:w="1198" w:type="pct"/>
            <w:shd w:val="clear" w:color="auto" w:fill="C6EFCE"/>
            <w:noWrap/>
            <w:vAlign w:val="center"/>
          </w:tcPr>
          <w:p w14:paraId="74621FC2" w14:textId="77777777" w:rsidR="004C6421" w:rsidRDefault="009D1962">
            <w:pPr>
              <w:pStyle w:val="P68B1DB1-Normal4"/>
              <w:spacing w:before="120" w:after="120"/>
              <w:rPr>
                <w:noProof/>
              </w:rPr>
            </w:pPr>
            <w:r>
              <w:rPr>
                <w:noProof/>
              </w:rPr>
              <w:t xml:space="preserve">Zakończenie prac dotyczących co najmniej 172 km, związanych z odpornością linii kolejowych południowych, gotowych do fazy zatwierdzania i eksploatacji. </w:t>
            </w:r>
          </w:p>
          <w:p w14:paraId="73695A52" w14:textId="77777777" w:rsidR="004C6421" w:rsidRDefault="009D1962">
            <w:pPr>
              <w:pStyle w:val="P68B1DB1-Normal4"/>
              <w:spacing w:before="120" w:after="120"/>
              <w:rPr>
                <w:noProof/>
              </w:rPr>
            </w:pPr>
            <w:r>
              <w:rPr>
                <w:noProof/>
              </w:rPr>
              <w:t>172 km oznacza następujące linie:</w:t>
            </w:r>
          </w:p>
          <w:p w14:paraId="2BBAFDF1" w14:textId="77777777" w:rsidR="004C6421" w:rsidRDefault="009D1962">
            <w:pPr>
              <w:pStyle w:val="P68B1DB1-Normal24"/>
              <w:spacing w:before="120" w:after="120"/>
              <w:rPr>
                <w:rFonts w:ascii="Arial Narrow" w:hAnsi="Arial Narrow"/>
                <w:noProof/>
                <w:sz w:val="20"/>
              </w:rPr>
            </w:pPr>
            <w:r>
              <w:rPr>
                <w:rFonts w:ascii="Arial Narrow" w:hAnsi="Arial Narrow"/>
                <w:noProof/>
                <w:sz w:val="20"/>
              </w:rPr>
              <w:t>•</w:t>
            </w:r>
            <w:r>
              <w:rPr>
                <w:noProof/>
              </w:rPr>
              <w:t xml:space="preserve"> </w:t>
            </w:r>
            <w:r>
              <w:rPr>
                <w:rFonts w:ascii="Arial Narrow" w:hAnsi="Arial Narrow"/>
                <w:noProof/>
                <w:sz w:val="20"/>
              </w:rPr>
              <w:t>Paola- Reggio Calabria;</w:t>
            </w:r>
          </w:p>
          <w:p w14:paraId="3FACCDA8" w14:textId="77777777" w:rsidR="004C6421" w:rsidRDefault="009D1962">
            <w:pPr>
              <w:pStyle w:val="P68B1DB1-Normal24"/>
              <w:spacing w:before="120" w:after="120"/>
              <w:rPr>
                <w:rFonts w:ascii="Arial Narrow" w:hAnsi="Arial Narrow"/>
                <w:noProof/>
                <w:sz w:val="20"/>
              </w:rPr>
            </w:pPr>
            <w:r>
              <w:rPr>
                <w:rFonts w:ascii="Arial Narrow" w:hAnsi="Arial Narrow"/>
                <w:noProof/>
                <w:sz w:val="20"/>
              </w:rPr>
              <w:t>•</w:t>
            </w:r>
            <w:r>
              <w:rPr>
                <w:noProof/>
              </w:rPr>
              <w:t xml:space="preserve"> </w:t>
            </w:r>
            <w:r>
              <w:rPr>
                <w:rFonts w:ascii="Arial Narrow" w:hAnsi="Arial Narrow"/>
                <w:noProof/>
                <w:sz w:val="20"/>
              </w:rPr>
              <w:t>Lentini Diramazione-Gela;</w:t>
            </w:r>
          </w:p>
          <w:p w14:paraId="635A8E54" w14:textId="77777777" w:rsidR="004C6421" w:rsidRDefault="009D1962">
            <w:pPr>
              <w:pStyle w:val="P68B1DB1-Normal24"/>
              <w:spacing w:before="120" w:after="120"/>
              <w:rPr>
                <w:rFonts w:ascii="Arial Narrow" w:hAnsi="Arial Narrow"/>
                <w:noProof/>
                <w:sz w:val="20"/>
              </w:rPr>
            </w:pPr>
            <w:r>
              <w:rPr>
                <w:rFonts w:ascii="Arial Narrow" w:hAnsi="Arial Narrow"/>
                <w:noProof/>
                <w:sz w:val="20"/>
              </w:rPr>
              <w:t>•</w:t>
            </w:r>
            <w:r>
              <w:rPr>
                <w:noProof/>
              </w:rPr>
              <w:t xml:space="preserve"> </w:t>
            </w:r>
            <w:r>
              <w:rPr>
                <w:rFonts w:ascii="Arial Narrow" w:hAnsi="Arial Narrow"/>
                <w:noProof/>
                <w:sz w:val="20"/>
              </w:rPr>
              <w:t>Mesyna – Katania – Siracusa;</w:t>
            </w:r>
          </w:p>
          <w:p w14:paraId="241326BA" w14:textId="77777777" w:rsidR="004C6421" w:rsidRDefault="009D1962">
            <w:pPr>
              <w:pStyle w:val="P68B1DB1-Normal24"/>
              <w:spacing w:before="120" w:after="120"/>
              <w:rPr>
                <w:rFonts w:ascii="Arial Narrow" w:hAnsi="Arial Narrow"/>
                <w:noProof/>
                <w:sz w:val="20"/>
              </w:rPr>
            </w:pPr>
            <w:r>
              <w:rPr>
                <w:rFonts w:ascii="Arial Narrow" w:hAnsi="Arial Narrow"/>
                <w:noProof/>
                <w:sz w:val="20"/>
              </w:rPr>
              <w:t>•</w:t>
            </w:r>
            <w:r>
              <w:rPr>
                <w:noProof/>
              </w:rPr>
              <w:t xml:space="preserve"> </w:t>
            </w:r>
            <w:r>
              <w:rPr>
                <w:rFonts w:ascii="Arial Narrow" w:hAnsi="Arial Narrow"/>
                <w:noProof/>
                <w:sz w:val="20"/>
              </w:rPr>
              <w:t>Caserta – Battipaglia;</w:t>
            </w:r>
          </w:p>
          <w:p w14:paraId="0DC16ADD" w14:textId="77777777" w:rsidR="004C6421" w:rsidRDefault="009D1962">
            <w:pPr>
              <w:pStyle w:val="P68B1DB1-Normal24"/>
              <w:spacing w:before="120" w:after="120"/>
              <w:rPr>
                <w:rFonts w:ascii="Arial Narrow" w:hAnsi="Arial Narrow"/>
                <w:noProof/>
                <w:sz w:val="20"/>
              </w:rPr>
            </w:pPr>
            <w:r>
              <w:rPr>
                <w:rFonts w:ascii="Arial Narrow" w:hAnsi="Arial Narrow"/>
                <w:noProof/>
                <w:sz w:val="20"/>
              </w:rPr>
              <w:t>•</w:t>
            </w:r>
            <w:r>
              <w:rPr>
                <w:noProof/>
              </w:rPr>
              <w:t xml:space="preserve"> </w:t>
            </w:r>
            <w:r>
              <w:rPr>
                <w:rFonts w:ascii="Arial Narrow" w:hAnsi="Arial Narrow"/>
                <w:noProof/>
                <w:sz w:val="20"/>
              </w:rPr>
              <w:t>Romowie – Neapol; oraz</w:t>
            </w:r>
          </w:p>
          <w:p w14:paraId="502D6A17" w14:textId="77777777" w:rsidR="004C6421" w:rsidRDefault="009D1962">
            <w:pPr>
              <w:pStyle w:val="P68B1DB1-Normal24"/>
              <w:spacing w:before="120" w:after="120"/>
              <w:rPr>
                <w:rFonts w:ascii="Arial Narrow" w:hAnsi="Arial Narrow"/>
                <w:noProof/>
                <w:sz w:val="20"/>
              </w:rPr>
            </w:pPr>
            <w:r>
              <w:rPr>
                <w:rFonts w:ascii="Arial Narrow" w:hAnsi="Arial Narrow"/>
                <w:noProof/>
                <w:sz w:val="20"/>
              </w:rPr>
              <w:t>•</w:t>
            </w:r>
            <w:r>
              <w:rPr>
                <w:noProof/>
              </w:rPr>
              <w:t xml:space="preserve"> </w:t>
            </w:r>
            <w:r>
              <w:rPr>
                <w:rFonts w:ascii="Arial Narrow" w:hAnsi="Arial Narrow"/>
                <w:noProof/>
                <w:sz w:val="20"/>
              </w:rPr>
              <w:t>Bari – Brindisi.</w:t>
            </w:r>
          </w:p>
          <w:p w14:paraId="794BCAF8" w14:textId="77777777" w:rsidR="004C6421" w:rsidRDefault="009D1962">
            <w:pPr>
              <w:pStyle w:val="P68B1DB1-Normal4"/>
              <w:spacing w:before="120" w:after="120"/>
              <w:rPr>
                <w:noProof/>
              </w:rPr>
            </w:pPr>
            <w:r>
              <w:rPr>
                <w:noProof/>
              </w:rPr>
              <w:t>Cel ten musi zostać osiągnięty za pomocą programów CLP (tj. „Codice Locale Progetto”), które nie są wspierane z funduszy UE innych niż RRF.</w:t>
            </w:r>
          </w:p>
        </w:tc>
      </w:tr>
      <w:tr w:rsidR="004C6421" w14:paraId="4BF78747" w14:textId="77777777">
        <w:trPr>
          <w:trHeight w:val="309"/>
          <w:jc w:val="right"/>
        </w:trPr>
        <w:tc>
          <w:tcPr>
            <w:tcW w:w="369" w:type="pct"/>
            <w:shd w:val="clear" w:color="auto" w:fill="C6EFCE"/>
            <w:noWrap/>
            <w:vAlign w:val="center"/>
          </w:tcPr>
          <w:p w14:paraId="550E92E8" w14:textId="77777777" w:rsidR="004C6421" w:rsidRDefault="009D1962">
            <w:pPr>
              <w:pStyle w:val="P68B1DB1-Normal4"/>
              <w:jc w:val="center"/>
              <w:rPr>
                <w:noProof/>
              </w:rPr>
            </w:pPr>
            <w:r>
              <w:rPr>
                <w:noProof/>
              </w:rPr>
              <w:t>M3C1-17bis</w:t>
            </w:r>
          </w:p>
        </w:tc>
        <w:tc>
          <w:tcPr>
            <w:tcW w:w="511" w:type="pct"/>
            <w:shd w:val="clear" w:color="auto" w:fill="C6EFCE"/>
            <w:noWrap/>
            <w:vAlign w:val="center"/>
          </w:tcPr>
          <w:p w14:paraId="2B26B9CE" w14:textId="77777777" w:rsidR="004C6421" w:rsidRDefault="009D1962">
            <w:pPr>
              <w:pStyle w:val="P68B1DB1-Normal4"/>
              <w:jc w:val="center"/>
              <w:rPr>
                <w:noProof/>
              </w:rPr>
            </w:pPr>
            <w:bookmarkStart w:id="11" w:name="_Hlk160473215"/>
            <w:r>
              <w:rPr>
                <w:noProof/>
              </w:rPr>
              <w:t>Inwestycje 1.7 – Modernizacja, elektryfikacja i odporność kolei na południu</w:t>
            </w:r>
            <w:bookmarkEnd w:id="11"/>
          </w:p>
        </w:tc>
        <w:tc>
          <w:tcPr>
            <w:tcW w:w="417" w:type="pct"/>
            <w:shd w:val="clear" w:color="auto" w:fill="C6EFCE"/>
            <w:noWrap/>
            <w:vAlign w:val="center"/>
          </w:tcPr>
          <w:p w14:paraId="07B2E06B" w14:textId="77777777" w:rsidR="004C6421" w:rsidRDefault="009D1962">
            <w:pPr>
              <w:pStyle w:val="P68B1DB1-Normal4"/>
              <w:jc w:val="center"/>
              <w:rPr>
                <w:noProof/>
              </w:rPr>
            </w:pPr>
            <w:r>
              <w:rPr>
                <w:noProof/>
              </w:rPr>
              <w:t>Cel</w:t>
            </w:r>
          </w:p>
        </w:tc>
        <w:tc>
          <w:tcPr>
            <w:tcW w:w="464" w:type="pct"/>
            <w:shd w:val="clear" w:color="auto" w:fill="C6EFCE"/>
            <w:noWrap/>
            <w:vAlign w:val="center"/>
          </w:tcPr>
          <w:p w14:paraId="74580E68" w14:textId="77777777" w:rsidR="004C6421" w:rsidRDefault="009D1962">
            <w:pPr>
              <w:pStyle w:val="P68B1DB1-Normal4"/>
              <w:jc w:val="center"/>
              <w:rPr>
                <w:noProof/>
              </w:rPr>
            </w:pPr>
            <w:r>
              <w:rPr>
                <w:noProof/>
              </w:rPr>
              <w:t>1 162 km ukończonych prac związanych z modernizacją, elektryfikacją i odpornością kolei na południu, gotowych do etapu zatwierdzania i eksploatacji.</w:t>
            </w:r>
          </w:p>
        </w:tc>
        <w:tc>
          <w:tcPr>
            <w:tcW w:w="509" w:type="pct"/>
            <w:shd w:val="clear" w:color="auto" w:fill="C6EFCE"/>
            <w:noWrap/>
            <w:vAlign w:val="center"/>
          </w:tcPr>
          <w:p w14:paraId="712DAC0E" w14:textId="77777777" w:rsidR="004C6421" w:rsidRDefault="009D1962">
            <w:pPr>
              <w:pStyle w:val="P68B1DB1-Normal4"/>
              <w:jc w:val="center"/>
              <w:rPr>
                <w:noProof/>
              </w:rPr>
            </w:pPr>
            <w:r>
              <w:rPr>
                <w:noProof/>
              </w:rPr>
              <w:t>NIE DOT.</w:t>
            </w:r>
          </w:p>
        </w:tc>
        <w:tc>
          <w:tcPr>
            <w:tcW w:w="325" w:type="pct"/>
            <w:shd w:val="clear" w:color="auto" w:fill="C6EFCE"/>
            <w:noWrap/>
            <w:vAlign w:val="center"/>
          </w:tcPr>
          <w:p w14:paraId="002E9418" w14:textId="77777777" w:rsidR="004C6421" w:rsidRDefault="009D1962">
            <w:pPr>
              <w:pStyle w:val="P68B1DB1-Normal4"/>
              <w:jc w:val="center"/>
              <w:rPr>
                <w:noProof/>
              </w:rPr>
            </w:pPr>
            <w:r>
              <w:rPr>
                <w:noProof/>
              </w:rPr>
              <w:t>Numer</w:t>
            </w:r>
          </w:p>
        </w:tc>
        <w:tc>
          <w:tcPr>
            <w:tcW w:w="371" w:type="pct"/>
            <w:shd w:val="clear" w:color="auto" w:fill="C6EFCE"/>
            <w:noWrap/>
            <w:vAlign w:val="center"/>
          </w:tcPr>
          <w:p w14:paraId="15F40BB4" w14:textId="77777777" w:rsidR="004C6421" w:rsidRDefault="009D1962">
            <w:pPr>
              <w:pStyle w:val="P68B1DB1-Normal4"/>
              <w:jc w:val="center"/>
              <w:rPr>
                <w:noProof/>
              </w:rPr>
            </w:pPr>
            <w:r>
              <w:rPr>
                <w:noProof/>
              </w:rPr>
              <w:t>172</w:t>
            </w:r>
          </w:p>
        </w:tc>
        <w:tc>
          <w:tcPr>
            <w:tcW w:w="279" w:type="pct"/>
            <w:shd w:val="clear" w:color="auto" w:fill="C6EFCE"/>
            <w:noWrap/>
            <w:vAlign w:val="center"/>
          </w:tcPr>
          <w:p w14:paraId="4E71A799" w14:textId="77777777" w:rsidR="004C6421" w:rsidRDefault="009D1962">
            <w:pPr>
              <w:pStyle w:val="P68B1DB1-Normal4"/>
              <w:jc w:val="center"/>
              <w:rPr>
                <w:noProof/>
              </w:rPr>
            </w:pPr>
            <w:r>
              <w:rPr>
                <w:noProof/>
              </w:rPr>
              <w:t>1162</w:t>
            </w:r>
          </w:p>
        </w:tc>
        <w:tc>
          <w:tcPr>
            <w:tcW w:w="278" w:type="pct"/>
            <w:shd w:val="clear" w:color="auto" w:fill="C6EFCE"/>
            <w:noWrap/>
            <w:vAlign w:val="center"/>
          </w:tcPr>
          <w:p w14:paraId="79376B0E" w14:textId="77777777" w:rsidR="004C6421" w:rsidRDefault="009D1962">
            <w:pPr>
              <w:pStyle w:val="P68B1DB1-Normal4"/>
              <w:jc w:val="center"/>
              <w:rPr>
                <w:noProof/>
              </w:rPr>
            </w:pPr>
            <w:r>
              <w:rPr>
                <w:noProof/>
              </w:rPr>
              <w:t>II KW.</w:t>
            </w:r>
          </w:p>
        </w:tc>
        <w:tc>
          <w:tcPr>
            <w:tcW w:w="278" w:type="pct"/>
            <w:shd w:val="clear" w:color="auto" w:fill="C6EFCE"/>
            <w:noWrap/>
            <w:vAlign w:val="center"/>
          </w:tcPr>
          <w:p w14:paraId="5E12FFA1" w14:textId="77777777" w:rsidR="004C6421" w:rsidRDefault="009D1962">
            <w:pPr>
              <w:pStyle w:val="P68B1DB1-Normal4"/>
              <w:jc w:val="center"/>
              <w:rPr>
                <w:noProof/>
              </w:rPr>
            </w:pPr>
            <w:r>
              <w:rPr>
                <w:noProof/>
              </w:rPr>
              <w:t>2026</w:t>
            </w:r>
          </w:p>
        </w:tc>
        <w:tc>
          <w:tcPr>
            <w:tcW w:w="1198" w:type="pct"/>
            <w:shd w:val="clear" w:color="auto" w:fill="C6EFCE"/>
            <w:noWrap/>
            <w:vAlign w:val="center"/>
          </w:tcPr>
          <w:p w14:paraId="19E5B3F5" w14:textId="77777777" w:rsidR="004C6421" w:rsidRDefault="009D1962">
            <w:pPr>
              <w:pStyle w:val="P68B1DB1-Normal4"/>
              <w:spacing w:before="120" w:after="120"/>
              <w:rPr>
                <w:noProof/>
              </w:rPr>
            </w:pPr>
            <w:r>
              <w:rPr>
                <w:noProof/>
              </w:rPr>
              <w:t xml:space="preserve">Zakończenie prac dotyczących co najmniej 1 162 km, związanych z modernizacją, elektryfikacją i odpornością linii kolejowych południowych, gotowych do etapu zatwierdzania i eksploatacji. </w:t>
            </w:r>
          </w:p>
          <w:p w14:paraId="1C358A22" w14:textId="77777777" w:rsidR="004C6421" w:rsidRDefault="009D1962">
            <w:pPr>
              <w:pStyle w:val="P68B1DB1-Normal4"/>
              <w:spacing w:before="120" w:after="120"/>
              <w:rPr>
                <w:noProof/>
              </w:rPr>
            </w:pPr>
            <w:r>
              <w:rPr>
                <w:noProof/>
              </w:rPr>
              <w:t xml:space="preserve">Podział robót przedstawia się następująco: </w:t>
            </w:r>
          </w:p>
          <w:p w14:paraId="4D0102CF" w14:textId="77777777" w:rsidR="004C6421" w:rsidRDefault="009D1962">
            <w:pPr>
              <w:pStyle w:val="P68B1DB1-Normal4"/>
              <w:spacing w:before="120" w:after="120"/>
              <w:rPr>
                <w:noProof/>
              </w:rPr>
            </w:pPr>
            <w:r>
              <w:rPr>
                <w:noProof/>
              </w:rPr>
              <w:t>— Co najmniej 462 km interwencji związanych z modernizacją i elektryfikacją odnosi się do następujących linii:</w:t>
            </w:r>
          </w:p>
          <w:p w14:paraId="3AD58B7A" w14:textId="77777777" w:rsidR="004C6421" w:rsidRDefault="009D1962">
            <w:pPr>
              <w:pStyle w:val="P68B1DB1-Normal4"/>
              <w:spacing w:before="120" w:after="120"/>
              <w:rPr>
                <w:noProof/>
              </w:rPr>
            </w:pPr>
            <w:r>
              <w:rPr>
                <w:noProof/>
              </w:rPr>
              <w:t>Region Molise</w:t>
            </w:r>
          </w:p>
          <w:p w14:paraId="2D549DB7" w14:textId="77777777" w:rsidR="004C6421" w:rsidRDefault="009D1962">
            <w:pPr>
              <w:pStyle w:val="P68B1DB1-ListParagraph5"/>
              <w:numPr>
                <w:ilvl w:val="0"/>
                <w:numId w:val="53"/>
              </w:numPr>
              <w:ind w:left="535"/>
              <w:jc w:val="left"/>
              <w:rPr>
                <w:noProof/>
              </w:rPr>
            </w:pPr>
            <w:r>
              <w:rPr>
                <w:noProof/>
              </w:rPr>
              <w:t>Venafro-Campobasso-Termoli;</w:t>
            </w:r>
          </w:p>
          <w:p w14:paraId="22333984" w14:textId="77777777" w:rsidR="004C6421" w:rsidRDefault="009D1962">
            <w:pPr>
              <w:pStyle w:val="P68B1DB1-Normal4"/>
              <w:spacing w:before="120" w:after="120"/>
              <w:rPr>
                <w:noProof/>
              </w:rPr>
            </w:pPr>
            <w:r>
              <w:rPr>
                <w:noProof/>
              </w:rPr>
              <w:t>Region Apulia</w:t>
            </w:r>
          </w:p>
          <w:p w14:paraId="22325419" w14:textId="77777777" w:rsidR="004C6421" w:rsidRDefault="009D1962">
            <w:pPr>
              <w:pStyle w:val="P68B1DB1-ListParagraph5"/>
              <w:numPr>
                <w:ilvl w:val="0"/>
                <w:numId w:val="53"/>
              </w:numPr>
              <w:ind w:left="535"/>
              <w:jc w:val="left"/>
              <w:rPr>
                <w:noProof/>
              </w:rPr>
            </w:pPr>
            <w:r>
              <w:rPr>
                <w:noProof/>
              </w:rPr>
              <w:t>Pescara-Foggia</w:t>
            </w:r>
          </w:p>
          <w:p w14:paraId="7FD10012" w14:textId="77777777" w:rsidR="004C6421" w:rsidRDefault="009D1962">
            <w:pPr>
              <w:pStyle w:val="P68B1DB1-ListParagraph5"/>
              <w:numPr>
                <w:ilvl w:val="0"/>
                <w:numId w:val="53"/>
              </w:numPr>
              <w:ind w:left="535"/>
              <w:jc w:val="left"/>
              <w:rPr>
                <w:noProof/>
              </w:rPr>
            </w:pPr>
            <w:r>
              <w:rPr>
                <w:noProof/>
              </w:rPr>
              <w:t>Potenza-Foggia</w:t>
            </w:r>
          </w:p>
          <w:p w14:paraId="0FFCAD33" w14:textId="77777777" w:rsidR="004C6421" w:rsidRDefault="009D1962">
            <w:pPr>
              <w:pStyle w:val="P68B1DB1-ListParagraph5"/>
              <w:numPr>
                <w:ilvl w:val="0"/>
                <w:numId w:val="53"/>
              </w:numPr>
              <w:ind w:left="535"/>
              <w:jc w:val="left"/>
              <w:rPr>
                <w:noProof/>
              </w:rPr>
            </w:pPr>
            <w:r>
              <w:rPr>
                <w:noProof/>
              </w:rPr>
              <w:t>Połączenia Brindisi (w tym centrum intermodalne);</w:t>
            </w:r>
          </w:p>
          <w:p w14:paraId="6B8D3E57" w14:textId="77777777" w:rsidR="004C6421" w:rsidRDefault="009D1962">
            <w:pPr>
              <w:pStyle w:val="P68B1DB1-ListParagraph5"/>
              <w:numPr>
                <w:ilvl w:val="0"/>
                <w:numId w:val="53"/>
              </w:numPr>
              <w:ind w:left="535"/>
              <w:jc w:val="left"/>
              <w:rPr>
                <w:noProof/>
              </w:rPr>
            </w:pPr>
            <w:r>
              <w:rPr>
                <w:noProof/>
              </w:rPr>
              <w:t>Łączy Taranto;</w:t>
            </w:r>
          </w:p>
          <w:p w14:paraId="249D6E04" w14:textId="77777777" w:rsidR="004C6421" w:rsidRDefault="009D1962">
            <w:pPr>
              <w:pStyle w:val="P68B1DB1-ListParagraph5"/>
              <w:numPr>
                <w:ilvl w:val="0"/>
                <w:numId w:val="53"/>
              </w:numPr>
              <w:ind w:left="535"/>
              <w:jc w:val="left"/>
              <w:rPr>
                <w:noProof/>
              </w:rPr>
            </w:pPr>
            <w:r>
              <w:rPr>
                <w:noProof/>
              </w:rPr>
              <w:t>Taranto-Brindisi</w:t>
            </w:r>
          </w:p>
          <w:p w14:paraId="46926432" w14:textId="77777777" w:rsidR="004C6421" w:rsidRDefault="009D1962">
            <w:pPr>
              <w:pStyle w:val="P68B1DB1-Normal4"/>
              <w:spacing w:before="120" w:after="120"/>
              <w:rPr>
                <w:noProof/>
              </w:rPr>
            </w:pPr>
            <w:r>
              <w:rPr>
                <w:noProof/>
              </w:rPr>
              <w:t>Region Kalabria</w:t>
            </w:r>
          </w:p>
          <w:p w14:paraId="791ABCB5" w14:textId="77777777" w:rsidR="004C6421" w:rsidRDefault="009D1962">
            <w:pPr>
              <w:pStyle w:val="P68B1DB1-Normal4"/>
              <w:spacing w:before="120" w:after="120"/>
              <w:rPr>
                <w:noProof/>
              </w:rPr>
            </w:pPr>
            <w:r>
              <w:rPr>
                <w:noProof/>
              </w:rPr>
              <w:t>Linia jońska Sibari-Melito Porto Salvo; Catanzaro Lido – Lamezia Terme link Region Basilicata</w:t>
            </w:r>
          </w:p>
          <w:p w14:paraId="11C67733" w14:textId="77777777" w:rsidR="004C6421" w:rsidRDefault="009D1962">
            <w:pPr>
              <w:pStyle w:val="P68B1DB1-ListParagraph5"/>
              <w:numPr>
                <w:ilvl w:val="0"/>
                <w:numId w:val="53"/>
              </w:numPr>
              <w:ind w:left="535"/>
              <w:jc w:val="left"/>
              <w:rPr>
                <w:noProof/>
              </w:rPr>
            </w:pPr>
            <w:r>
              <w:rPr>
                <w:noProof/>
              </w:rPr>
              <w:t>Ferrandina-Matera</w:t>
            </w:r>
          </w:p>
          <w:p w14:paraId="05D7945B" w14:textId="77777777" w:rsidR="004C6421" w:rsidRDefault="009D1962">
            <w:pPr>
              <w:pStyle w:val="P68B1DB1-Normal4"/>
              <w:spacing w:before="120" w:after="120"/>
              <w:rPr>
                <w:noProof/>
              </w:rPr>
            </w:pPr>
            <w:r>
              <w:rPr>
                <w:noProof/>
              </w:rPr>
              <w:t>Region Kampania</w:t>
            </w:r>
          </w:p>
          <w:p w14:paraId="3A631CB5" w14:textId="77777777" w:rsidR="004C6421" w:rsidRDefault="009D1962">
            <w:pPr>
              <w:pStyle w:val="P68B1DB1-ListParagraph5"/>
              <w:numPr>
                <w:ilvl w:val="0"/>
                <w:numId w:val="53"/>
              </w:numPr>
              <w:ind w:left="535"/>
              <w:jc w:val="left"/>
              <w:rPr>
                <w:noProof/>
              </w:rPr>
            </w:pPr>
            <w:r>
              <w:rPr>
                <w:noProof/>
              </w:rPr>
              <w:t>Salerno Arechi – Aeroporto Pontecagnano</w:t>
            </w:r>
          </w:p>
          <w:p w14:paraId="075127B2" w14:textId="77777777" w:rsidR="004C6421" w:rsidRDefault="009D1962">
            <w:pPr>
              <w:pStyle w:val="P68B1DB1-Normal4"/>
              <w:rPr>
                <w:noProof/>
              </w:rPr>
            </w:pPr>
            <w:r>
              <w:rPr>
                <w:noProof/>
              </w:rPr>
              <w:t>Region Sycylia</w:t>
            </w:r>
          </w:p>
          <w:p w14:paraId="4F6C8645" w14:textId="77777777" w:rsidR="004C6421" w:rsidRDefault="009D1962">
            <w:pPr>
              <w:pStyle w:val="P68B1DB1-ListParagraph5"/>
              <w:numPr>
                <w:ilvl w:val="0"/>
                <w:numId w:val="53"/>
              </w:numPr>
              <w:ind w:left="535"/>
              <w:jc w:val="left"/>
              <w:rPr>
                <w:noProof/>
              </w:rPr>
            </w:pPr>
            <w:r>
              <w:rPr>
                <w:noProof/>
              </w:rPr>
              <w:t>Agrigento – Porto Empedocle</w:t>
            </w:r>
          </w:p>
          <w:p w14:paraId="1167DE29" w14:textId="77777777" w:rsidR="004C6421" w:rsidRDefault="009D1962">
            <w:pPr>
              <w:pStyle w:val="P68B1DB1-ListParagraph5"/>
              <w:numPr>
                <w:ilvl w:val="0"/>
                <w:numId w:val="53"/>
              </w:numPr>
              <w:ind w:left="535"/>
              <w:jc w:val="left"/>
              <w:rPr>
                <w:noProof/>
              </w:rPr>
            </w:pPr>
            <w:r>
              <w:rPr>
                <w:noProof/>
              </w:rPr>
              <w:t>Połączenie z portem Augusta</w:t>
            </w:r>
          </w:p>
          <w:p w14:paraId="58C27D3F" w14:textId="77777777" w:rsidR="004C6421" w:rsidRDefault="009D1962">
            <w:pPr>
              <w:pStyle w:val="P68B1DB1-ListParagraph5"/>
              <w:numPr>
                <w:ilvl w:val="0"/>
                <w:numId w:val="53"/>
              </w:numPr>
              <w:ind w:left="535"/>
              <w:jc w:val="left"/>
              <w:rPr>
                <w:noProof/>
              </w:rPr>
            </w:pPr>
            <w:r>
              <w:rPr>
                <w:noProof/>
              </w:rPr>
              <w:t>Połączenie z lotniskiem Trapani Birgi</w:t>
            </w:r>
          </w:p>
          <w:p w14:paraId="384BB620" w14:textId="77777777" w:rsidR="004C6421" w:rsidRDefault="009D1962">
            <w:pPr>
              <w:pStyle w:val="P68B1DB1-Normal4"/>
              <w:rPr>
                <w:noProof/>
              </w:rPr>
            </w:pPr>
            <w:r>
              <w:rPr>
                <w:noProof/>
              </w:rPr>
              <w:t>Region Sardegna</w:t>
            </w:r>
          </w:p>
          <w:p w14:paraId="4B96B41A" w14:textId="77777777" w:rsidR="004C6421" w:rsidRDefault="009D1962">
            <w:pPr>
              <w:pStyle w:val="P68B1DB1-ListParagraph5"/>
              <w:numPr>
                <w:ilvl w:val="0"/>
                <w:numId w:val="53"/>
              </w:numPr>
              <w:ind w:left="677" w:hanging="458"/>
              <w:jc w:val="left"/>
              <w:rPr>
                <w:noProof/>
              </w:rPr>
            </w:pPr>
            <w:r>
              <w:rPr>
                <w:noProof/>
              </w:rPr>
              <w:t xml:space="preserve">Połączenie kolejowe z portem lotniczym Olbia </w:t>
            </w:r>
          </w:p>
          <w:p w14:paraId="6F883869" w14:textId="77777777" w:rsidR="004C6421" w:rsidRDefault="009D1962">
            <w:pPr>
              <w:pStyle w:val="P68B1DB1-ListParagraph5"/>
              <w:numPr>
                <w:ilvl w:val="0"/>
                <w:numId w:val="53"/>
              </w:numPr>
              <w:ind w:left="677" w:hanging="458"/>
              <w:jc w:val="left"/>
              <w:rPr>
                <w:noProof/>
              </w:rPr>
            </w:pPr>
            <w:r>
              <w:rPr>
                <w:noProof/>
              </w:rPr>
              <w:t>Podwojenie torów Decimomannu-Villamassargia</w:t>
            </w:r>
          </w:p>
          <w:p w14:paraId="57E914B8" w14:textId="77777777" w:rsidR="004C6421" w:rsidRDefault="009D1962">
            <w:pPr>
              <w:pStyle w:val="P68B1DB1-Normal4"/>
              <w:rPr>
                <w:noProof/>
              </w:rPr>
            </w:pPr>
            <w:r>
              <w:rPr>
                <w:noProof/>
              </w:rPr>
              <w:t xml:space="preserve">Co najmniej 528 km interwencji w zakresie odporności odnosi się do następujących linii: </w:t>
            </w:r>
          </w:p>
          <w:p w14:paraId="23CCCB5C" w14:textId="77777777" w:rsidR="004C6421" w:rsidRDefault="009D1962">
            <w:pPr>
              <w:pStyle w:val="P68B1DB1-Normal4"/>
              <w:rPr>
                <w:noProof/>
              </w:rPr>
            </w:pPr>
            <w:r>
              <w:rPr>
                <w:noProof/>
              </w:rPr>
              <w:t>Region Kampania, Basilicata i Kalabria:</w:t>
            </w:r>
          </w:p>
          <w:p w14:paraId="02A24D36" w14:textId="77777777" w:rsidR="004C6421" w:rsidRDefault="009D1962">
            <w:pPr>
              <w:pStyle w:val="P68B1DB1-Normal24"/>
              <w:rPr>
                <w:rFonts w:ascii="Arial Narrow" w:hAnsi="Arial Narrow"/>
                <w:noProof/>
                <w:sz w:val="20"/>
              </w:rPr>
            </w:pPr>
            <w:r>
              <w:rPr>
                <w:rFonts w:ascii="Arial Narrow" w:hAnsi="Arial Narrow"/>
                <w:noProof/>
                <w:sz w:val="20"/>
              </w:rPr>
              <w:t>•</w:t>
            </w:r>
            <w:r>
              <w:rPr>
                <w:noProof/>
              </w:rPr>
              <w:t xml:space="preserve"> </w:t>
            </w:r>
            <w:r>
              <w:rPr>
                <w:rFonts w:ascii="Arial Narrow" w:hAnsi="Arial Narrow"/>
                <w:noProof/>
                <w:sz w:val="20"/>
              </w:rPr>
              <w:t>Romowie – Neapol (AV,via Cassino, przez Formia);</w:t>
            </w:r>
          </w:p>
          <w:p w14:paraId="2778BA5B" w14:textId="77777777" w:rsidR="004C6421" w:rsidRDefault="009D1962">
            <w:pPr>
              <w:pStyle w:val="P68B1DB1-Normal24"/>
              <w:rPr>
                <w:rFonts w:ascii="Arial Narrow" w:hAnsi="Arial Narrow"/>
                <w:noProof/>
                <w:sz w:val="20"/>
              </w:rPr>
            </w:pPr>
            <w:r>
              <w:rPr>
                <w:rFonts w:ascii="Arial Narrow" w:hAnsi="Arial Narrow"/>
                <w:noProof/>
                <w:sz w:val="20"/>
              </w:rPr>
              <w:t>•</w:t>
            </w:r>
            <w:r>
              <w:rPr>
                <w:noProof/>
              </w:rPr>
              <w:t xml:space="preserve"> </w:t>
            </w:r>
            <w:r>
              <w:rPr>
                <w:rFonts w:ascii="Arial Narrow" w:hAnsi="Arial Narrow"/>
                <w:noProof/>
                <w:sz w:val="20"/>
              </w:rPr>
              <w:t>Aversa – Caserta</w:t>
            </w:r>
          </w:p>
          <w:p w14:paraId="5D91EF34" w14:textId="77777777" w:rsidR="004C6421" w:rsidRDefault="009D1962">
            <w:pPr>
              <w:pStyle w:val="P68B1DB1-Normal24"/>
              <w:rPr>
                <w:rFonts w:ascii="Arial Narrow" w:hAnsi="Arial Narrow"/>
                <w:noProof/>
                <w:sz w:val="20"/>
              </w:rPr>
            </w:pPr>
            <w:r>
              <w:rPr>
                <w:rFonts w:ascii="Arial Narrow" w:hAnsi="Arial Narrow"/>
                <w:noProof/>
                <w:sz w:val="20"/>
              </w:rPr>
              <w:t>•</w:t>
            </w:r>
            <w:r>
              <w:rPr>
                <w:noProof/>
              </w:rPr>
              <w:t xml:space="preserve"> </w:t>
            </w:r>
            <w:r>
              <w:rPr>
                <w:rFonts w:ascii="Arial Narrow" w:hAnsi="Arial Narrow"/>
                <w:noProof/>
                <w:sz w:val="20"/>
              </w:rPr>
              <w:t xml:space="preserve">Villa Literno – Napoli Gianturco; </w:t>
            </w:r>
          </w:p>
          <w:p w14:paraId="42928CEF" w14:textId="77777777" w:rsidR="004C6421" w:rsidRDefault="009D1962">
            <w:pPr>
              <w:pStyle w:val="P68B1DB1-Normal24"/>
              <w:rPr>
                <w:rFonts w:ascii="Arial Narrow" w:hAnsi="Arial Narrow"/>
                <w:noProof/>
                <w:sz w:val="20"/>
              </w:rPr>
            </w:pPr>
            <w:r>
              <w:rPr>
                <w:rFonts w:ascii="Arial Narrow" w:hAnsi="Arial Narrow"/>
                <w:noProof/>
                <w:sz w:val="20"/>
              </w:rPr>
              <w:t>•</w:t>
            </w:r>
            <w:r>
              <w:rPr>
                <w:noProof/>
              </w:rPr>
              <w:t xml:space="preserve"> </w:t>
            </w:r>
            <w:r>
              <w:rPr>
                <w:rFonts w:ascii="Arial Narrow" w:hAnsi="Arial Narrow"/>
                <w:noProof/>
                <w:sz w:val="20"/>
              </w:rPr>
              <w:t>Napoli – Salerno LMV Napoli – Salerno Storica;</w:t>
            </w:r>
          </w:p>
          <w:p w14:paraId="0B358E02" w14:textId="77777777" w:rsidR="004C6421" w:rsidRDefault="009D1962">
            <w:pPr>
              <w:pStyle w:val="P68B1DB1-Normal24"/>
              <w:rPr>
                <w:rFonts w:ascii="Arial Narrow" w:hAnsi="Arial Narrow"/>
                <w:noProof/>
                <w:sz w:val="20"/>
              </w:rPr>
            </w:pPr>
            <w:r>
              <w:rPr>
                <w:rFonts w:ascii="Arial Narrow" w:hAnsi="Arial Narrow"/>
                <w:noProof/>
                <w:sz w:val="20"/>
              </w:rPr>
              <w:t>•</w:t>
            </w:r>
            <w:r>
              <w:rPr>
                <w:noProof/>
              </w:rPr>
              <w:t xml:space="preserve"> </w:t>
            </w:r>
            <w:r>
              <w:rPr>
                <w:rFonts w:ascii="Arial Narrow" w:hAnsi="Arial Narrow"/>
                <w:noProof/>
                <w:sz w:val="20"/>
              </w:rPr>
              <w:t>Nocera Inferiore – Salerno;</w:t>
            </w:r>
          </w:p>
          <w:p w14:paraId="2095ACC2" w14:textId="77777777" w:rsidR="004C6421" w:rsidRDefault="009D1962">
            <w:pPr>
              <w:pStyle w:val="P68B1DB1-Normal24"/>
              <w:rPr>
                <w:rFonts w:ascii="Arial Narrow" w:hAnsi="Arial Narrow"/>
                <w:noProof/>
                <w:sz w:val="20"/>
              </w:rPr>
            </w:pPr>
            <w:r>
              <w:rPr>
                <w:rFonts w:ascii="Arial Narrow" w:hAnsi="Arial Narrow"/>
                <w:noProof/>
                <w:sz w:val="20"/>
              </w:rPr>
              <w:t>•</w:t>
            </w:r>
            <w:r>
              <w:rPr>
                <w:noProof/>
              </w:rPr>
              <w:t xml:space="preserve"> </w:t>
            </w:r>
            <w:r>
              <w:rPr>
                <w:rFonts w:ascii="Arial Narrow" w:hAnsi="Arial Narrow"/>
                <w:noProof/>
                <w:sz w:val="20"/>
              </w:rPr>
              <w:t xml:space="preserve">Battipaglia – Paola; </w:t>
            </w:r>
          </w:p>
          <w:p w14:paraId="291153A3" w14:textId="77777777" w:rsidR="004C6421" w:rsidRDefault="009D1962">
            <w:pPr>
              <w:pStyle w:val="P68B1DB1-Normal24"/>
              <w:rPr>
                <w:rFonts w:ascii="Arial Narrow" w:hAnsi="Arial Narrow"/>
                <w:noProof/>
                <w:sz w:val="20"/>
              </w:rPr>
            </w:pPr>
            <w:r>
              <w:rPr>
                <w:rFonts w:ascii="Arial Narrow" w:hAnsi="Arial Narrow"/>
                <w:noProof/>
                <w:sz w:val="20"/>
              </w:rPr>
              <w:t>•</w:t>
            </w:r>
            <w:r>
              <w:rPr>
                <w:noProof/>
              </w:rPr>
              <w:t xml:space="preserve"> </w:t>
            </w:r>
            <w:r>
              <w:rPr>
                <w:rFonts w:ascii="Arial Narrow" w:hAnsi="Arial Narrow"/>
                <w:noProof/>
                <w:sz w:val="20"/>
              </w:rPr>
              <w:t xml:space="preserve">Battipaglia – Potenza; </w:t>
            </w:r>
          </w:p>
          <w:p w14:paraId="18C260CB" w14:textId="77777777" w:rsidR="004C6421" w:rsidRDefault="009D1962">
            <w:pPr>
              <w:pStyle w:val="P68B1DB1-Normal24"/>
              <w:rPr>
                <w:rFonts w:ascii="Arial Narrow" w:hAnsi="Arial Narrow"/>
                <w:noProof/>
                <w:sz w:val="20"/>
              </w:rPr>
            </w:pPr>
            <w:r>
              <w:rPr>
                <w:rFonts w:ascii="Arial Narrow" w:hAnsi="Arial Narrow"/>
                <w:noProof/>
                <w:sz w:val="20"/>
              </w:rPr>
              <w:t>•</w:t>
            </w:r>
            <w:r>
              <w:rPr>
                <w:noProof/>
              </w:rPr>
              <w:t xml:space="preserve"> </w:t>
            </w:r>
            <w:r>
              <w:rPr>
                <w:rFonts w:ascii="Arial Narrow" w:hAnsi="Arial Narrow"/>
                <w:noProof/>
                <w:sz w:val="20"/>
              </w:rPr>
              <w:t>Caserta – Battipaglia; Caserta – Foggia; Catanzaro – Reggio Calabria;</w:t>
            </w:r>
          </w:p>
          <w:p w14:paraId="740817A5" w14:textId="77777777" w:rsidR="004C6421" w:rsidRDefault="009D1962">
            <w:pPr>
              <w:pStyle w:val="P68B1DB1-Normal24"/>
              <w:rPr>
                <w:rFonts w:ascii="Arial Narrow" w:hAnsi="Arial Narrow"/>
                <w:noProof/>
                <w:sz w:val="20"/>
              </w:rPr>
            </w:pPr>
            <w:r>
              <w:rPr>
                <w:rFonts w:ascii="Arial Narrow" w:hAnsi="Arial Narrow"/>
                <w:noProof/>
                <w:sz w:val="20"/>
              </w:rPr>
              <w:t>•</w:t>
            </w:r>
            <w:r>
              <w:rPr>
                <w:noProof/>
              </w:rPr>
              <w:t xml:space="preserve"> </w:t>
            </w:r>
            <w:r>
              <w:rPr>
                <w:rFonts w:ascii="Arial Narrow" w:hAnsi="Arial Narrow"/>
                <w:noProof/>
                <w:sz w:val="20"/>
              </w:rPr>
              <w:t>Paola – Reggio Calabria; oraz</w:t>
            </w:r>
          </w:p>
          <w:p w14:paraId="75801537" w14:textId="77777777" w:rsidR="004C6421" w:rsidRDefault="009D1962">
            <w:pPr>
              <w:pStyle w:val="P68B1DB1-Normal24"/>
              <w:rPr>
                <w:rFonts w:ascii="Arial Narrow" w:hAnsi="Arial Narrow"/>
                <w:noProof/>
                <w:sz w:val="20"/>
              </w:rPr>
            </w:pPr>
            <w:r>
              <w:rPr>
                <w:rFonts w:ascii="Arial Narrow" w:hAnsi="Arial Narrow"/>
                <w:noProof/>
                <w:sz w:val="20"/>
              </w:rPr>
              <w:t>•</w:t>
            </w:r>
            <w:r>
              <w:rPr>
                <w:noProof/>
              </w:rPr>
              <w:t xml:space="preserve"> </w:t>
            </w:r>
            <w:r>
              <w:rPr>
                <w:rFonts w:ascii="Arial Narrow" w:hAnsi="Arial Narrow"/>
                <w:noProof/>
                <w:sz w:val="20"/>
              </w:rPr>
              <w:t xml:space="preserve">Paola – Cosenza – Sibari; </w:t>
            </w:r>
          </w:p>
          <w:p w14:paraId="4DBADDFC" w14:textId="77777777" w:rsidR="004C6421" w:rsidRDefault="009D1962">
            <w:pPr>
              <w:pStyle w:val="P68B1DB1-Normal4"/>
              <w:rPr>
                <w:noProof/>
              </w:rPr>
            </w:pPr>
            <w:r>
              <w:rPr>
                <w:noProof/>
              </w:rPr>
              <w:t>Region Molise:</w:t>
            </w:r>
          </w:p>
          <w:p w14:paraId="14E2E1E5" w14:textId="77777777" w:rsidR="004C6421" w:rsidRDefault="009D1962">
            <w:pPr>
              <w:pStyle w:val="P68B1DB1-Normal24"/>
              <w:rPr>
                <w:rFonts w:ascii="Arial Narrow" w:hAnsi="Arial Narrow"/>
                <w:noProof/>
                <w:sz w:val="20"/>
              </w:rPr>
            </w:pPr>
            <w:r>
              <w:rPr>
                <w:rFonts w:ascii="Arial Narrow" w:hAnsi="Arial Narrow"/>
                <w:noProof/>
                <w:sz w:val="20"/>
              </w:rPr>
              <w:t>•</w:t>
            </w:r>
            <w:r>
              <w:rPr>
                <w:noProof/>
              </w:rPr>
              <w:t xml:space="preserve"> </w:t>
            </w:r>
            <w:r>
              <w:rPr>
                <w:rFonts w:ascii="Arial Narrow" w:hAnsi="Arial Narrow"/>
                <w:noProof/>
                <w:sz w:val="20"/>
              </w:rPr>
              <w:t xml:space="preserve">Termoli – Campobasso. </w:t>
            </w:r>
          </w:p>
          <w:p w14:paraId="5F00BD65" w14:textId="77777777" w:rsidR="004C6421" w:rsidRDefault="004C6421">
            <w:pPr>
              <w:rPr>
                <w:rFonts w:ascii="Arial Narrow" w:hAnsi="Arial Narrow"/>
                <w:noProof/>
                <w:color w:val="006100"/>
                <w:sz w:val="20"/>
              </w:rPr>
            </w:pPr>
          </w:p>
          <w:p w14:paraId="3A6EB62A" w14:textId="77777777" w:rsidR="004C6421" w:rsidRDefault="009D1962">
            <w:pPr>
              <w:pStyle w:val="P68B1DB1-Normal4"/>
              <w:rPr>
                <w:noProof/>
              </w:rPr>
            </w:pPr>
            <w:r>
              <w:rPr>
                <w:noProof/>
              </w:rPr>
              <w:t>Region Apulia:</w:t>
            </w:r>
          </w:p>
          <w:p w14:paraId="444F475E" w14:textId="77777777" w:rsidR="004C6421" w:rsidRDefault="009D1962">
            <w:pPr>
              <w:rPr>
                <w:rFonts w:ascii="Arial Narrow" w:hAnsi="Arial Narrow"/>
                <w:noProof/>
                <w:color w:val="006100"/>
                <w:sz w:val="20"/>
              </w:rPr>
            </w:pPr>
            <w:r>
              <w:rPr>
                <w:rFonts w:ascii="Arial Narrow" w:hAnsi="Arial Narrow"/>
                <w:noProof/>
                <w:color w:val="006100"/>
                <w:sz w:val="20"/>
              </w:rPr>
              <w:t>•</w:t>
            </w:r>
            <w:r>
              <w:rPr>
                <w:noProof/>
              </w:rPr>
              <w:t xml:space="preserve"> </w:t>
            </w:r>
            <w:r>
              <w:rPr>
                <w:rFonts w:ascii="Arial Narrow" w:hAnsi="Arial Narrow"/>
                <w:noProof/>
                <w:color w:val="006100"/>
                <w:sz w:val="20"/>
              </w:rPr>
              <w:t xml:space="preserve">Bari-Taranto; </w:t>
            </w:r>
          </w:p>
          <w:p w14:paraId="3071C062" w14:textId="77777777" w:rsidR="004C6421" w:rsidRDefault="009D1962">
            <w:pPr>
              <w:rPr>
                <w:rFonts w:ascii="Arial Narrow" w:hAnsi="Arial Narrow"/>
                <w:noProof/>
                <w:color w:val="006100"/>
                <w:sz w:val="20"/>
              </w:rPr>
            </w:pPr>
            <w:r>
              <w:rPr>
                <w:rFonts w:ascii="Arial Narrow" w:hAnsi="Arial Narrow"/>
                <w:noProof/>
                <w:color w:val="006100"/>
                <w:sz w:val="20"/>
              </w:rPr>
              <w:t>•</w:t>
            </w:r>
            <w:r>
              <w:rPr>
                <w:noProof/>
              </w:rPr>
              <w:t xml:space="preserve"> </w:t>
            </w:r>
            <w:r>
              <w:rPr>
                <w:rFonts w:ascii="Arial Narrow" w:hAnsi="Arial Narrow"/>
                <w:noProof/>
                <w:color w:val="006100"/>
                <w:sz w:val="20"/>
              </w:rPr>
              <w:t>Taranto – Brindisi; oraz</w:t>
            </w:r>
          </w:p>
          <w:p w14:paraId="16EE4446" w14:textId="77777777" w:rsidR="004C6421" w:rsidRDefault="009D1962">
            <w:pPr>
              <w:rPr>
                <w:rFonts w:ascii="Arial Narrow" w:hAnsi="Arial Narrow"/>
                <w:noProof/>
                <w:color w:val="006100"/>
                <w:sz w:val="20"/>
              </w:rPr>
            </w:pPr>
            <w:r>
              <w:rPr>
                <w:rFonts w:ascii="Arial Narrow" w:hAnsi="Arial Narrow"/>
                <w:noProof/>
                <w:color w:val="006100"/>
                <w:sz w:val="20"/>
              </w:rPr>
              <w:t>•</w:t>
            </w:r>
            <w:r>
              <w:rPr>
                <w:noProof/>
              </w:rPr>
              <w:t xml:space="preserve"> </w:t>
            </w:r>
            <w:r>
              <w:rPr>
                <w:rFonts w:ascii="Arial Narrow" w:hAnsi="Arial Narrow"/>
                <w:noProof/>
                <w:color w:val="006100"/>
                <w:sz w:val="20"/>
              </w:rPr>
              <w:t>Barletta-Spinazzola.</w:t>
            </w:r>
          </w:p>
          <w:p w14:paraId="4DBDEEA5" w14:textId="77777777" w:rsidR="004C6421" w:rsidRDefault="004C6421">
            <w:pPr>
              <w:rPr>
                <w:rFonts w:ascii="Arial Narrow" w:hAnsi="Arial Narrow"/>
                <w:noProof/>
                <w:color w:val="006100"/>
                <w:sz w:val="20"/>
              </w:rPr>
            </w:pPr>
          </w:p>
          <w:p w14:paraId="0A791925" w14:textId="77777777" w:rsidR="004C6421" w:rsidRDefault="009D1962">
            <w:pPr>
              <w:pStyle w:val="P68B1DB1-Normal4"/>
              <w:rPr>
                <w:noProof/>
              </w:rPr>
            </w:pPr>
            <w:r>
              <w:rPr>
                <w:noProof/>
              </w:rPr>
              <w:t>Region Sycylia:</w:t>
            </w:r>
          </w:p>
          <w:p w14:paraId="62C654D1" w14:textId="77777777" w:rsidR="004C6421" w:rsidRDefault="009D1962">
            <w:pPr>
              <w:pStyle w:val="P68B1DB1-Normal24"/>
              <w:rPr>
                <w:rFonts w:ascii="Arial Narrow" w:hAnsi="Arial Narrow"/>
                <w:noProof/>
                <w:sz w:val="20"/>
              </w:rPr>
            </w:pPr>
            <w:r>
              <w:rPr>
                <w:rFonts w:ascii="Arial Narrow" w:hAnsi="Arial Narrow"/>
                <w:noProof/>
                <w:sz w:val="20"/>
              </w:rPr>
              <w:t>•</w:t>
            </w:r>
            <w:r>
              <w:rPr>
                <w:noProof/>
              </w:rPr>
              <w:t xml:space="preserve"> </w:t>
            </w:r>
            <w:r>
              <w:rPr>
                <w:rFonts w:ascii="Arial Narrow" w:hAnsi="Arial Narrow"/>
                <w:noProof/>
                <w:sz w:val="20"/>
              </w:rPr>
              <w:t>Fiumetorto – Agrigento;</w:t>
            </w:r>
          </w:p>
          <w:p w14:paraId="6DB0AE7D" w14:textId="77777777" w:rsidR="004C6421" w:rsidRDefault="009D1962">
            <w:pPr>
              <w:pStyle w:val="P68B1DB1-Normal24"/>
              <w:rPr>
                <w:rFonts w:ascii="Arial Narrow" w:hAnsi="Arial Narrow"/>
                <w:noProof/>
                <w:sz w:val="20"/>
              </w:rPr>
            </w:pPr>
            <w:r>
              <w:rPr>
                <w:rFonts w:ascii="Arial Narrow" w:hAnsi="Arial Narrow"/>
                <w:noProof/>
                <w:sz w:val="20"/>
              </w:rPr>
              <w:t>• Lercara</w:t>
            </w:r>
            <w:r>
              <w:rPr>
                <w:noProof/>
              </w:rPr>
              <w:t xml:space="preserve"> </w:t>
            </w:r>
            <w:r>
              <w:rPr>
                <w:rFonts w:ascii="Arial Narrow" w:hAnsi="Arial Narrow"/>
                <w:noProof/>
                <w:sz w:val="20"/>
              </w:rPr>
              <w:t>dir. – Bicocca;</w:t>
            </w:r>
          </w:p>
          <w:p w14:paraId="2E22E613" w14:textId="77777777" w:rsidR="004C6421" w:rsidRDefault="009D1962">
            <w:pPr>
              <w:pStyle w:val="P68B1DB1-Normal24"/>
              <w:rPr>
                <w:rFonts w:ascii="Arial Narrow" w:hAnsi="Arial Narrow"/>
                <w:noProof/>
                <w:sz w:val="20"/>
              </w:rPr>
            </w:pPr>
            <w:r>
              <w:rPr>
                <w:rFonts w:ascii="Arial Narrow" w:hAnsi="Arial Narrow"/>
                <w:noProof/>
                <w:sz w:val="20"/>
              </w:rPr>
              <w:t>•</w:t>
            </w:r>
            <w:r>
              <w:rPr>
                <w:noProof/>
              </w:rPr>
              <w:t xml:space="preserve"> </w:t>
            </w:r>
            <w:r>
              <w:rPr>
                <w:rFonts w:ascii="Arial Narrow" w:hAnsi="Arial Narrow"/>
                <w:noProof/>
                <w:sz w:val="20"/>
              </w:rPr>
              <w:t>Mesyna – Katania – Siracusa;</w:t>
            </w:r>
          </w:p>
          <w:p w14:paraId="0BE139B4" w14:textId="77777777" w:rsidR="004C6421" w:rsidRDefault="009D1962">
            <w:pPr>
              <w:pStyle w:val="P68B1DB1-Normal24"/>
              <w:rPr>
                <w:rFonts w:ascii="Arial Narrow" w:hAnsi="Arial Narrow"/>
                <w:noProof/>
                <w:sz w:val="20"/>
              </w:rPr>
            </w:pPr>
            <w:r>
              <w:rPr>
                <w:rFonts w:ascii="Arial Narrow" w:hAnsi="Arial Narrow"/>
                <w:noProof/>
                <w:sz w:val="20"/>
              </w:rPr>
              <w:t>•</w:t>
            </w:r>
            <w:r>
              <w:rPr>
                <w:noProof/>
              </w:rPr>
              <w:t xml:space="preserve"> </w:t>
            </w:r>
            <w:r>
              <w:rPr>
                <w:rFonts w:ascii="Arial Narrow" w:hAnsi="Arial Narrow"/>
                <w:noProof/>
                <w:sz w:val="20"/>
              </w:rPr>
              <w:t>Palermo – Mesyna; oraz</w:t>
            </w:r>
          </w:p>
          <w:p w14:paraId="5A6F56DA" w14:textId="77777777" w:rsidR="004C6421" w:rsidRDefault="009D1962">
            <w:pPr>
              <w:pStyle w:val="P68B1DB1-Normal24"/>
              <w:rPr>
                <w:rFonts w:ascii="Arial Narrow" w:hAnsi="Arial Narrow"/>
                <w:noProof/>
                <w:sz w:val="20"/>
              </w:rPr>
            </w:pPr>
            <w:r>
              <w:rPr>
                <w:rFonts w:ascii="Arial Narrow" w:hAnsi="Arial Narrow"/>
                <w:noProof/>
                <w:sz w:val="20"/>
              </w:rPr>
              <w:t>•</w:t>
            </w:r>
            <w:r>
              <w:rPr>
                <w:noProof/>
              </w:rPr>
              <w:t xml:space="preserve"> </w:t>
            </w:r>
            <w:r>
              <w:rPr>
                <w:rFonts w:ascii="Arial Narrow" w:hAnsi="Arial Narrow"/>
                <w:noProof/>
                <w:sz w:val="20"/>
              </w:rPr>
              <w:t>Caltanissetta Xirbi – Canicattì – Aragona; Canicattì – Siracusa.</w:t>
            </w:r>
          </w:p>
          <w:p w14:paraId="7C63C654" w14:textId="77777777" w:rsidR="004C6421" w:rsidRDefault="004C6421">
            <w:pPr>
              <w:rPr>
                <w:rFonts w:ascii="Arial Narrow" w:hAnsi="Arial Narrow"/>
                <w:noProof/>
                <w:color w:val="006100"/>
                <w:sz w:val="20"/>
              </w:rPr>
            </w:pPr>
          </w:p>
          <w:p w14:paraId="1ABC7C41" w14:textId="77777777" w:rsidR="004C6421" w:rsidRDefault="009D1962">
            <w:pPr>
              <w:pStyle w:val="P68B1DB1-Normal4"/>
              <w:rPr>
                <w:noProof/>
              </w:rPr>
            </w:pPr>
            <w:r>
              <w:rPr>
                <w:noProof/>
              </w:rPr>
              <w:t xml:space="preserve">Cel ten musi zostać osiągnięty za pomocą programów CLP (tj. „Codice Locale Progetto”), które nie są wspierane z funduszy UE innych niż RRF. </w:t>
            </w:r>
          </w:p>
        </w:tc>
      </w:tr>
      <w:tr w:rsidR="004C6421" w14:paraId="61C6BFDF" w14:textId="77777777">
        <w:trPr>
          <w:trHeight w:val="309"/>
          <w:jc w:val="right"/>
        </w:trPr>
        <w:tc>
          <w:tcPr>
            <w:tcW w:w="369" w:type="pct"/>
            <w:shd w:val="clear" w:color="auto" w:fill="C6EFCE"/>
            <w:noWrap/>
            <w:vAlign w:val="center"/>
          </w:tcPr>
          <w:p w14:paraId="720D9B70" w14:textId="77777777" w:rsidR="004C6421" w:rsidRDefault="009D1962">
            <w:pPr>
              <w:pStyle w:val="P68B1DB1-Normal4"/>
              <w:jc w:val="center"/>
              <w:rPr>
                <w:noProof/>
              </w:rPr>
            </w:pPr>
            <w:r>
              <w:rPr>
                <w:noProof/>
              </w:rPr>
              <w:t>M3C1-18</w:t>
            </w:r>
          </w:p>
        </w:tc>
        <w:tc>
          <w:tcPr>
            <w:tcW w:w="511" w:type="pct"/>
            <w:shd w:val="clear" w:color="auto" w:fill="C6EFCE"/>
            <w:noWrap/>
            <w:vAlign w:val="center"/>
          </w:tcPr>
          <w:p w14:paraId="0F110011" w14:textId="77777777" w:rsidR="004C6421" w:rsidRDefault="009D1962">
            <w:pPr>
              <w:pStyle w:val="P68B1DB1-Normal4"/>
              <w:jc w:val="center"/>
              <w:rPr>
                <w:noProof/>
              </w:rPr>
            </w:pPr>
            <w:r>
              <w:rPr>
                <w:noProof/>
              </w:rPr>
              <w:t>Inwestycje 1.6 – Wzmocnienie linii regionalnych – modernizacja kolei regionalnych (zarządzanie RFI)</w:t>
            </w:r>
          </w:p>
        </w:tc>
        <w:tc>
          <w:tcPr>
            <w:tcW w:w="417" w:type="pct"/>
            <w:shd w:val="clear" w:color="auto" w:fill="C6EFCE"/>
            <w:noWrap/>
            <w:vAlign w:val="center"/>
          </w:tcPr>
          <w:p w14:paraId="1A3C40B4" w14:textId="77777777" w:rsidR="004C6421" w:rsidRDefault="009D1962">
            <w:pPr>
              <w:pStyle w:val="P68B1DB1-Normal4"/>
              <w:jc w:val="center"/>
              <w:rPr>
                <w:noProof/>
              </w:rPr>
            </w:pPr>
            <w:r>
              <w:rPr>
                <w:noProof/>
              </w:rPr>
              <w:t>Cel</w:t>
            </w:r>
          </w:p>
        </w:tc>
        <w:tc>
          <w:tcPr>
            <w:tcW w:w="464" w:type="pct"/>
            <w:shd w:val="clear" w:color="auto" w:fill="C6EFCE"/>
            <w:noWrap/>
            <w:vAlign w:val="center"/>
          </w:tcPr>
          <w:p w14:paraId="148AF988" w14:textId="77777777" w:rsidR="004C6421" w:rsidRDefault="009D1962">
            <w:pPr>
              <w:pStyle w:val="P68B1DB1-Normal4"/>
              <w:jc w:val="center"/>
              <w:rPr>
                <w:noProof/>
              </w:rPr>
            </w:pPr>
            <w:r>
              <w:rPr>
                <w:noProof/>
              </w:rPr>
              <w:t>Zmodernizowane linie regionalne, gotowe do uzyskania zezwolenia i fazy eksploatacji</w:t>
            </w:r>
          </w:p>
        </w:tc>
        <w:tc>
          <w:tcPr>
            <w:tcW w:w="509" w:type="pct"/>
            <w:shd w:val="clear" w:color="auto" w:fill="C6EFCE"/>
            <w:noWrap/>
            <w:vAlign w:val="center"/>
          </w:tcPr>
          <w:p w14:paraId="32939C77" w14:textId="77777777" w:rsidR="004C6421" w:rsidRDefault="009D1962">
            <w:pPr>
              <w:pStyle w:val="P68B1DB1-Normal4"/>
              <w:jc w:val="center"/>
              <w:rPr>
                <w:noProof/>
              </w:rPr>
            </w:pPr>
            <w:r>
              <w:rPr>
                <w:noProof/>
              </w:rPr>
              <w:t>NIE DOT.</w:t>
            </w:r>
          </w:p>
        </w:tc>
        <w:tc>
          <w:tcPr>
            <w:tcW w:w="325" w:type="pct"/>
            <w:shd w:val="clear" w:color="auto" w:fill="C6EFCE"/>
            <w:noWrap/>
            <w:vAlign w:val="center"/>
          </w:tcPr>
          <w:p w14:paraId="63E654B3" w14:textId="77777777" w:rsidR="004C6421" w:rsidRDefault="009D1962">
            <w:pPr>
              <w:pStyle w:val="P68B1DB1-Normal4"/>
              <w:jc w:val="center"/>
              <w:rPr>
                <w:noProof/>
              </w:rPr>
            </w:pPr>
            <w:r>
              <w:rPr>
                <w:noProof/>
              </w:rPr>
              <w:t>Numer</w:t>
            </w:r>
          </w:p>
        </w:tc>
        <w:tc>
          <w:tcPr>
            <w:tcW w:w="371" w:type="pct"/>
            <w:shd w:val="clear" w:color="auto" w:fill="C6EFCE"/>
            <w:noWrap/>
            <w:vAlign w:val="center"/>
          </w:tcPr>
          <w:p w14:paraId="164C3E35" w14:textId="77777777" w:rsidR="004C6421" w:rsidRDefault="009D1962">
            <w:pPr>
              <w:pStyle w:val="P68B1DB1-Normal4"/>
              <w:jc w:val="center"/>
              <w:rPr>
                <w:noProof/>
              </w:rPr>
            </w:pPr>
            <w:r>
              <w:rPr>
                <w:noProof/>
              </w:rPr>
              <w:t>0</w:t>
            </w:r>
          </w:p>
        </w:tc>
        <w:tc>
          <w:tcPr>
            <w:tcW w:w="279" w:type="pct"/>
            <w:shd w:val="clear" w:color="auto" w:fill="C6EFCE"/>
            <w:noWrap/>
            <w:vAlign w:val="center"/>
          </w:tcPr>
          <w:p w14:paraId="05FB2F4E" w14:textId="77777777" w:rsidR="004C6421" w:rsidRDefault="009D1962">
            <w:pPr>
              <w:pStyle w:val="P68B1DB1-Normal4"/>
              <w:jc w:val="center"/>
              <w:rPr>
                <w:noProof/>
              </w:rPr>
            </w:pPr>
            <w:r>
              <w:rPr>
                <w:noProof/>
              </w:rPr>
              <w:t>646</w:t>
            </w:r>
          </w:p>
        </w:tc>
        <w:tc>
          <w:tcPr>
            <w:tcW w:w="278" w:type="pct"/>
            <w:shd w:val="clear" w:color="auto" w:fill="C6EFCE"/>
            <w:noWrap/>
            <w:vAlign w:val="center"/>
          </w:tcPr>
          <w:p w14:paraId="105271B8" w14:textId="77777777" w:rsidR="004C6421" w:rsidRDefault="009D1962">
            <w:pPr>
              <w:pStyle w:val="P68B1DB1-Normal4"/>
              <w:jc w:val="center"/>
              <w:rPr>
                <w:noProof/>
              </w:rPr>
            </w:pPr>
            <w:r>
              <w:rPr>
                <w:noProof/>
              </w:rPr>
              <w:t>II KW.</w:t>
            </w:r>
          </w:p>
        </w:tc>
        <w:tc>
          <w:tcPr>
            <w:tcW w:w="278" w:type="pct"/>
            <w:shd w:val="clear" w:color="auto" w:fill="C6EFCE"/>
            <w:noWrap/>
            <w:vAlign w:val="center"/>
          </w:tcPr>
          <w:p w14:paraId="45E16407" w14:textId="77777777" w:rsidR="004C6421" w:rsidRDefault="009D1962">
            <w:pPr>
              <w:pStyle w:val="P68B1DB1-Normal4"/>
              <w:jc w:val="center"/>
              <w:rPr>
                <w:noProof/>
              </w:rPr>
            </w:pPr>
            <w:r>
              <w:rPr>
                <w:noProof/>
              </w:rPr>
              <w:t>2026</w:t>
            </w:r>
          </w:p>
        </w:tc>
        <w:tc>
          <w:tcPr>
            <w:tcW w:w="1198" w:type="pct"/>
            <w:shd w:val="clear" w:color="auto" w:fill="C6EFCE"/>
            <w:noWrap/>
            <w:vAlign w:val="center"/>
          </w:tcPr>
          <w:p w14:paraId="72C7459E" w14:textId="77777777" w:rsidR="004C6421" w:rsidRDefault="009D1962">
            <w:pPr>
              <w:pStyle w:val="P68B1DB1-Normal4"/>
              <w:rPr>
                <w:noProof/>
              </w:rPr>
            </w:pPr>
            <w:r>
              <w:rPr>
                <w:noProof/>
              </w:rPr>
              <w:t>646 km zmodernizowanych linii regionalnych gotowych do uzyskania zezwolenia i fazy eksploatacji.</w:t>
            </w:r>
          </w:p>
        </w:tc>
      </w:tr>
      <w:tr w:rsidR="004C6421" w14:paraId="7DF8B226" w14:textId="77777777">
        <w:trPr>
          <w:trHeight w:val="309"/>
          <w:jc w:val="right"/>
        </w:trPr>
        <w:tc>
          <w:tcPr>
            <w:tcW w:w="369" w:type="pct"/>
            <w:shd w:val="clear" w:color="auto" w:fill="C6EFCE"/>
            <w:noWrap/>
            <w:vAlign w:val="center"/>
          </w:tcPr>
          <w:p w14:paraId="20BBC96C" w14:textId="77777777" w:rsidR="004C6421" w:rsidRDefault="009D1962">
            <w:pPr>
              <w:pStyle w:val="P68B1DB1-Normal4"/>
              <w:jc w:val="center"/>
              <w:rPr>
                <w:noProof/>
              </w:rPr>
            </w:pPr>
            <w:r>
              <w:rPr>
                <w:noProof/>
              </w:rPr>
              <w:t>M3C1-19</w:t>
            </w:r>
          </w:p>
        </w:tc>
        <w:tc>
          <w:tcPr>
            <w:tcW w:w="511" w:type="pct"/>
            <w:shd w:val="clear" w:color="auto" w:fill="C6EFCE"/>
            <w:noWrap/>
            <w:vAlign w:val="center"/>
          </w:tcPr>
          <w:p w14:paraId="5F2AEDED" w14:textId="77777777" w:rsidR="004C6421" w:rsidRDefault="009D1962">
            <w:pPr>
              <w:pStyle w:val="P68B1DB1-Normal4"/>
              <w:jc w:val="center"/>
              <w:rPr>
                <w:noProof/>
              </w:rPr>
            </w:pPr>
            <w:r>
              <w:rPr>
                <w:noProof/>
              </w:rPr>
              <w:t>Inwestycja 1.8 – Modernizacja dworców kolejowych (zarządzanie RFI; na południu)</w:t>
            </w:r>
          </w:p>
        </w:tc>
        <w:tc>
          <w:tcPr>
            <w:tcW w:w="417" w:type="pct"/>
            <w:shd w:val="clear" w:color="auto" w:fill="C6EFCE"/>
            <w:noWrap/>
            <w:vAlign w:val="center"/>
          </w:tcPr>
          <w:p w14:paraId="0CF6980F" w14:textId="77777777" w:rsidR="004C6421" w:rsidRDefault="009D1962">
            <w:pPr>
              <w:pStyle w:val="P68B1DB1-Normal4"/>
              <w:jc w:val="center"/>
              <w:rPr>
                <w:noProof/>
              </w:rPr>
            </w:pPr>
            <w:r>
              <w:rPr>
                <w:noProof/>
              </w:rPr>
              <w:t>Cel</w:t>
            </w:r>
          </w:p>
        </w:tc>
        <w:tc>
          <w:tcPr>
            <w:tcW w:w="464" w:type="pct"/>
            <w:shd w:val="clear" w:color="auto" w:fill="C6EFCE"/>
            <w:noWrap/>
            <w:vAlign w:val="center"/>
          </w:tcPr>
          <w:p w14:paraId="6B342DB2" w14:textId="77777777" w:rsidR="004C6421" w:rsidRDefault="009D1962">
            <w:pPr>
              <w:pStyle w:val="P68B1DB1-Normal4"/>
              <w:jc w:val="center"/>
              <w:rPr>
                <w:noProof/>
              </w:rPr>
            </w:pPr>
            <w:r>
              <w:rPr>
                <w:noProof/>
              </w:rPr>
              <w:t>Zmodernizowane i dostępne stacje kolejowe</w:t>
            </w:r>
          </w:p>
        </w:tc>
        <w:tc>
          <w:tcPr>
            <w:tcW w:w="509" w:type="pct"/>
            <w:shd w:val="clear" w:color="auto" w:fill="C6EFCE"/>
            <w:noWrap/>
            <w:vAlign w:val="center"/>
          </w:tcPr>
          <w:p w14:paraId="4BC9F2FC" w14:textId="77777777" w:rsidR="004C6421" w:rsidRDefault="009D1962">
            <w:pPr>
              <w:pStyle w:val="P68B1DB1-Normal4"/>
              <w:jc w:val="center"/>
              <w:rPr>
                <w:noProof/>
              </w:rPr>
            </w:pPr>
            <w:r>
              <w:rPr>
                <w:noProof/>
              </w:rPr>
              <w:t>NIE DOT.</w:t>
            </w:r>
          </w:p>
        </w:tc>
        <w:tc>
          <w:tcPr>
            <w:tcW w:w="325" w:type="pct"/>
            <w:shd w:val="clear" w:color="auto" w:fill="C6EFCE"/>
            <w:noWrap/>
            <w:vAlign w:val="center"/>
          </w:tcPr>
          <w:p w14:paraId="1D7B87FD" w14:textId="77777777" w:rsidR="004C6421" w:rsidRDefault="009D1962">
            <w:pPr>
              <w:pStyle w:val="P68B1DB1-Normal4"/>
              <w:jc w:val="center"/>
              <w:rPr>
                <w:noProof/>
              </w:rPr>
            </w:pPr>
            <w:r>
              <w:rPr>
                <w:noProof/>
              </w:rPr>
              <w:t>Numer</w:t>
            </w:r>
          </w:p>
        </w:tc>
        <w:tc>
          <w:tcPr>
            <w:tcW w:w="371" w:type="pct"/>
            <w:shd w:val="clear" w:color="auto" w:fill="C6EFCE"/>
            <w:noWrap/>
            <w:vAlign w:val="center"/>
          </w:tcPr>
          <w:p w14:paraId="271CB19B" w14:textId="77777777" w:rsidR="004C6421" w:rsidRDefault="009D1962">
            <w:pPr>
              <w:pStyle w:val="P68B1DB1-Normal4"/>
              <w:jc w:val="center"/>
              <w:rPr>
                <w:noProof/>
              </w:rPr>
            </w:pPr>
            <w:r>
              <w:rPr>
                <w:noProof/>
              </w:rPr>
              <w:t>0</w:t>
            </w:r>
          </w:p>
        </w:tc>
        <w:tc>
          <w:tcPr>
            <w:tcW w:w="279" w:type="pct"/>
            <w:shd w:val="clear" w:color="auto" w:fill="C6EFCE"/>
            <w:noWrap/>
            <w:vAlign w:val="center"/>
          </w:tcPr>
          <w:p w14:paraId="12D63FBC" w14:textId="77777777" w:rsidR="004C6421" w:rsidRDefault="009D1962">
            <w:pPr>
              <w:pStyle w:val="P68B1DB1-Normal4"/>
              <w:jc w:val="center"/>
              <w:rPr>
                <w:noProof/>
              </w:rPr>
            </w:pPr>
            <w:r>
              <w:rPr>
                <w:noProof/>
              </w:rPr>
              <w:t>10</w:t>
            </w:r>
          </w:p>
        </w:tc>
        <w:tc>
          <w:tcPr>
            <w:tcW w:w="278" w:type="pct"/>
            <w:shd w:val="clear" w:color="auto" w:fill="C6EFCE"/>
            <w:noWrap/>
            <w:vAlign w:val="center"/>
          </w:tcPr>
          <w:p w14:paraId="4057BA28" w14:textId="52AC250D" w:rsidR="004C6421" w:rsidRDefault="00CC179E">
            <w:pPr>
              <w:pStyle w:val="P68B1DB1-Normal4"/>
              <w:jc w:val="center"/>
              <w:rPr>
                <w:noProof/>
              </w:rPr>
            </w:pPr>
            <w:r>
              <w:rPr>
                <w:noProof/>
              </w:rPr>
              <w:t>KW. 4</w:t>
            </w:r>
          </w:p>
        </w:tc>
        <w:tc>
          <w:tcPr>
            <w:tcW w:w="278" w:type="pct"/>
            <w:shd w:val="clear" w:color="auto" w:fill="C6EFCE"/>
            <w:noWrap/>
            <w:vAlign w:val="center"/>
          </w:tcPr>
          <w:p w14:paraId="008D667A" w14:textId="77777777" w:rsidR="004C6421" w:rsidRDefault="009D1962">
            <w:pPr>
              <w:pStyle w:val="P68B1DB1-Normal4"/>
              <w:jc w:val="center"/>
              <w:rPr>
                <w:noProof/>
              </w:rPr>
            </w:pPr>
            <w:r>
              <w:rPr>
                <w:noProof/>
              </w:rPr>
              <w:t>2024</w:t>
            </w:r>
          </w:p>
        </w:tc>
        <w:tc>
          <w:tcPr>
            <w:tcW w:w="1198" w:type="pct"/>
            <w:shd w:val="clear" w:color="auto" w:fill="C6EFCE"/>
            <w:noWrap/>
            <w:vAlign w:val="center"/>
          </w:tcPr>
          <w:p w14:paraId="4BA116E8" w14:textId="77777777" w:rsidR="004C6421" w:rsidRDefault="009D1962">
            <w:pPr>
              <w:pStyle w:val="P68B1DB1-Normal4"/>
              <w:rPr>
                <w:noProof/>
              </w:rPr>
            </w:pPr>
            <w:r>
              <w:rPr>
                <w:noProof/>
              </w:rPr>
              <w:t>Dziesięć stacji kolejowych zostało zmodernizowanych i dostępnych zgodnie z rozporządzeniem Komisji nr 1300/2014 i unijnymi przepisami dotyczącymi bezpieczeństwa kolei.</w:t>
            </w:r>
          </w:p>
        </w:tc>
      </w:tr>
      <w:tr w:rsidR="004C6421" w14:paraId="753B44C5" w14:textId="77777777">
        <w:trPr>
          <w:trHeight w:val="309"/>
          <w:jc w:val="right"/>
        </w:trPr>
        <w:tc>
          <w:tcPr>
            <w:tcW w:w="369" w:type="pct"/>
            <w:shd w:val="clear" w:color="auto" w:fill="C6EFCE"/>
            <w:noWrap/>
            <w:vAlign w:val="center"/>
          </w:tcPr>
          <w:p w14:paraId="48D74860" w14:textId="77777777" w:rsidR="004C6421" w:rsidRDefault="009D1962">
            <w:pPr>
              <w:pStyle w:val="P68B1DB1-Normal4"/>
              <w:jc w:val="center"/>
              <w:rPr>
                <w:noProof/>
              </w:rPr>
            </w:pPr>
            <w:r>
              <w:rPr>
                <w:noProof/>
              </w:rPr>
              <w:t>M3C1-20</w:t>
            </w:r>
          </w:p>
        </w:tc>
        <w:tc>
          <w:tcPr>
            <w:tcW w:w="511" w:type="pct"/>
            <w:shd w:val="clear" w:color="auto" w:fill="C6EFCE"/>
            <w:noWrap/>
            <w:vAlign w:val="center"/>
          </w:tcPr>
          <w:p w14:paraId="06006C5C" w14:textId="77777777" w:rsidR="004C6421" w:rsidRDefault="009D1962">
            <w:pPr>
              <w:pStyle w:val="P68B1DB1-Normal4"/>
              <w:jc w:val="center"/>
              <w:rPr>
                <w:noProof/>
              </w:rPr>
            </w:pPr>
            <w:r>
              <w:rPr>
                <w:noProof/>
              </w:rPr>
              <w:t>Inwestycja 1.8 – Modernizacja dworców kolejowych (zarządzanie RFI; na południu)</w:t>
            </w:r>
          </w:p>
        </w:tc>
        <w:tc>
          <w:tcPr>
            <w:tcW w:w="417" w:type="pct"/>
            <w:shd w:val="clear" w:color="auto" w:fill="C6EFCE"/>
            <w:noWrap/>
            <w:vAlign w:val="center"/>
          </w:tcPr>
          <w:p w14:paraId="5949C4F6" w14:textId="77777777" w:rsidR="004C6421" w:rsidRDefault="009D1962">
            <w:pPr>
              <w:pStyle w:val="P68B1DB1-Normal4"/>
              <w:jc w:val="center"/>
              <w:rPr>
                <w:noProof/>
              </w:rPr>
            </w:pPr>
            <w:r>
              <w:rPr>
                <w:noProof/>
              </w:rPr>
              <w:t>Cel</w:t>
            </w:r>
          </w:p>
        </w:tc>
        <w:tc>
          <w:tcPr>
            <w:tcW w:w="464" w:type="pct"/>
            <w:shd w:val="clear" w:color="auto" w:fill="C6EFCE"/>
            <w:noWrap/>
            <w:vAlign w:val="center"/>
          </w:tcPr>
          <w:p w14:paraId="7E15EC67" w14:textId="77777777" w:rsidR="004C6421" w:rsidRDefault="009D1962">
            <w:pPr>
              <w:pStyle w:val="P68B1DB1-Normal4"/>
              <w:jc w:val="center"/>
              <w:rPr>
                <w:noProof/>
              </w:rPr>
            </w:pPr>
            <w:r>
              <w:rPr>
                <w:noProof/>
              </w:rPr>
              <w:t>Zmodernizowane i dostępne stacje kolejowe</w:t>
            </w:r>
          </w:p>
        </w:tc>
        <w:tc>
          <w:tcPr>
            <w:tcW w:w="509" w:type="pct"/>
            <w:shd w:val="clear" w:color="auto" w:fill="C6EFCE"/>
            <w:noWrap/>
            <w:vAlign w:val="center"/>
          </w:tcPr>
          <w:p w14:paraId="2A1B1FDC" w14:textId="77777777" w:rsidR="004C6421" w:rsidRDefault="009D1962">
            <w:pPr>
              <w:pStyle w:val="P68B1DB1-Normal4"/>
              <w:jc w:val="center"/>
              <w:rPr>
                <w:noProof/>
              </w:rPr>
            </w:pPr>
            <w:r>
              <w:rPr>
                <w:noProof/>
              </w:rPr>
              <w:t>NIE DOT.</w:t>
            </w:r>
          </w:p>
        </w:tc>
        <w:tc>
          <w:tcPr>
            <w:tcW w:w="325" w:type="pct"/>
            <w:shd w:val="clear" w:color="auto" w:fill="C6EFCE"/>
            <w:noWrap/>
            <w:vAlign w:val="center"/>
          </w:tcPr>
          <w:p w14:paraId="6DA1F8E3" w14:textId="77777777" w:rsidR="004C6421" w:rsidRDefault="009D1962">
            <w:pPr>
              <w:pStyle w:val="P68B1DB1-Normal4"/>
              <w:jc w:val="center"/>
              <w:rPr>
                <w:noProof/>
              </w:rPr>
            </w:pPr>
            <w:r>
              <w:rPr>
                <w:noProof/>
              </w:rPr>
              <w:t>Numer</w:t>
            </w:r>
          </w:p>
        </w:tc>
        <w:tc>
          <w:tcPr>
            <w:tcW w:w="371" w:type="pct"/>
            <w:shd w:val="clear" w:color="auto" w:fill="C6EFCE"/>
            <w:noWrap/>
            <w:vAlign w:val="center"/>
          </w:tcPr>
          <w:p w14:paraId="79D5FE9E" w14:textId="77777777" w:rsidR="004C6421" w:rsidRDefault="009D1962">
            <w:pPr>
              <w:pStyle w:val="P68B1DB1-Normal4"/>
              <w:jc w:val="center"/>
              <w:rPr>
                <w:noProof/>
              </w:rPr>
            </w:pPr>
            <w:r>
              <w:rPr>
                <w:noProof/>
              </w:rPr>
              <w:t>10</w:t>
            </w:r>
          </w:p>
        </w:tc>
        <w:tc>
          <w:tcPr>
            <w:tcW w:w="279" w:type="pct"/>
            <w:shd w:val="clear" w:color="auto" w:fill="C6EFCE"/>
            <w:noWrap/>
            <w:vAlign w:val="center"/>
          </w:tcPr>
          <w:p w14:paraId="2195F1CE" w14:textId="77777777" w:rsidR="004C6421" w:rsidRDefault="009D1962">
            <w:pPr>
              <w:pStyle w:val="P68B1DB1-Normal4"/>
              <w:jc w:val="center"/>
              <w:rPr>
                <w:noProof/>
              </w:rPr>
            </w:pPr>
            <w:r>
              <w:rPr>
                <w:noProof/>
              </w:rPr>
              <w:t>38</w:t>
            </w:r>
          </w:p>
        </w:tc>
        <w:tc>
          <w:tcPr>
            <w:tcW w:w="278" w:type="pct"/>
            <w:shd w:val="clear" w:color="auto" w:fill="C6EFCE"/>
            <w:noWrap/>
            <w:vAlign w:val="center"/>
          </w:tcPr>
          <w:p w14:paraId="106A2FCD" w14:textId="77777777" w:rsidR="004C6421" w:rsidRDefault="009D1962">
            <w:pPr>
              <w:pStyle w:val="P68B1DB1-Normal4"/>
              <w:jc w:val="center"/>
              <w:rPr>
                <w:noProof/>
              </w:rPr>
            </w:pPr>
            <w:r>
              <w:rPr>
                <w:noProof/>
              </w:rPr>
              <w:t>II KW.</w:t>
            </w:r>
          </w:p>
        </w:tc>
        <w:tc>
          <w:tcPr>
            <w:tcW w:w="278" w:type="pct"/>
            <w:shd w:val="clear" w:color="auto" w:fill="C6EFCE"/>
            <w:noWrap/>
            <w:vAlign w:val="center"/>
          </w:tcPr>
          <w:p w14:paraId="54B87548" w14:textId="77777777" w:rsidR="004C6421" w:rsidRDefault="009D1962">
            <w:pPr>
              <w:pStyle w:val="P68B1DB1-Normal4"/>
              <w:jc w:val="center"/>
              <w:rPr>
                <w:noProof/>
              </w:rPr>
            </w:pPr>
            <w:r>
              <w:rPr>
                <w:noProof/>
              </w:rPr>
              <w:t>2026</w:t>
            </w:r>
          </w:p>
        </w:tc>
        <w:tc>
          <w:tcPr>
            <w:tcW w:w="1198" w:type="pct"/>
            <w:shd w:val="clear" w:color="auto" w:fill="C6EFCE"/>
            <w:noWrap/>
            <w:vAlign w:val="center"/>
          </w:tcPr>
          <w:p w14:paraId="437832A2" w14:textId="77777777" w:rsidR="004C6421" w:rsidRDefault="009D1962">
            <w:pPr>
              <w:pStyle w:val="P68B1DB1-Normal4"/>
              <w:spacing w:before="120"/>
              <w:rPr>
                <w:noProof/>
              </w:rPr>
            </w:pPr>
            <w:r>
              <w:rPr>
                <w:noProof/>
              </w:rPr>
              <w:t>38 stacji kolejowych zostało zmodernizowanych i dostępnych zgodnie z rozporządzeniem Komisji nr 1300/2014 i unijnymi przepisami dotyczącymi bezpieczeństwa kolei.</w:t>
            </w:r>
          </w:p>
        </w:tc>
      </w:tr>
      <w:tr w:rsidR="004C6421" w14:paraId="072825EF" w14:textId="77777777">
        <w:trPr>
          <w:trHeight w:val="309"/>
          <w:jc w:val="right"/>
        </w:trPr>
        <w:tc>
          <w:tcPr>
            <w:tcW w:w="369" w:type="pct"/>
            <w:shd w:val="clear" w:color="auto" w:fill="C6EFCE"/>
            <w:noWrap/>
            <w:vAlign w:val="center"/>
          </w:tcPr>
          <w:p w14:paraId="7DCA2430" w14:textId="77777777" w:rsidR="004C6421" w:rsidRDefault="009D1962">
            <w:pPr>
              <w:pStyle w:val="P68B1DB1-Normal4"/>
              <w:jc w:val="center"/>
              <w:rPr>
                <w:noProof/>
              </w:rPr>
            </w:pPr>
            <w:r>
              <w:rPr>
                <w:noProof/>
              </w:rPr>
              <w:t>M3C1-21</w:t>
            </w:r>
          </w:p>
        </w:tc>
        <w:tc>
          <w:tcPr>
            <w:tcW w:w="511" w:type="pct"/>
            <w:shd w:val="clear" w:color="auto" w:fill="C6EFCE"/>
            <w:noWrap/>
            <w:vAlign w:val="center"/>
          </w:tcPr>
          <w:p w14:paraId="4EDB318F" w14:textId="77777777" w:rsidR="004C6421" w:rsidRDefault="009D1962">
            <w:pPr>
              <w:pStyle w:val="P68B1DB1-Normal4"/>
              <w:jc w:val="center"/>
              <w:rPr>
                <w:noProof/>
              </w:rPr>
            </w:pPr>
            <w:r>
              <w:rPr>
                <w:noProof/>
              </w:rPr>
              <w:t>Reforma 2.1 – Wdrożenie niedawnego „dekretu upraszczającego” (przekształconego w ustawę nr 120 z dnia 11 września 2020 r.) poprzez wydanie dekretu dotyczącego przyjęcia „Wytycznych dotyczących klasyfikacji ryzyka i zarządzania nim, oceny bezpieczeństwa i monitorowania istniejących mostów”</w:t>
            </w:r>
          </w:p>
        </w:tc>
        <w:tc>
          <w:tcPr>
            <w:tcW w:w="417" w:type="pct"/>
            <w:shd w:val="clear" w:color="auto" w:fill="C6EFCE"/>
            <w:noWrap/>
            <w:vAlign w:val="center"/>
          </w:tcPr>
          <w:p w14:paraId="4A0918FC" w14:textId="311634DF" w:rsidR="004C6421" w:rsidRDefault="00CC179E">
            <w:pPr>
              <w:pStyle w:val="P68B1DB1-Normal4"/>
              <w:jc w:val="center"/>
              <w:rPr>
                <w:noProof/>
              </w:rPr>
            </w:pPr>
            <w:r>
              <w:rPr>
                <w:noProof/>
              </w:rPr>
              <w:t>Milowy</w:t>
            </w:r>
          </w:p>
        </w:tc>
        <w:tc>
          <w:tcPr>
            <w:tcW w:w="464" w:type="pct"/>
            <w:shd w:val="clear" w:color="auto" w:fill="C6EFCE"/>
            <w:noWrap/>
            <w:vAlign w:val="center"/>
          </w:tcPr>
          <w:p w14:paraId="5A1053D0" w14:textId="77777777" w:rsidR="004C6421" w:rsidRDefault="009D1962">
            <w:pPr>
              <w:pStyle w:val="P68B1DB1-Normal4"/>
              <w:jc w:val="center"/>
              <w:rPr>
                <w:noProof/>
              </w:rPr>
            </w:pPr>
            <w:r>
              <w:rPr>
                <w:noProof/>
              </w:rPr>
              <w:t>Wejście w życie „Wytycznych dotyczących klasyfikacji ryzyka i zarządzania nim, oceny bezpieczeństwa i monitorowania istniejących mostów”</w:t>
            </w:r>
          </w:p>
        </w:tc>
        <w:tc>
          <w:tcPr>
            <w:tcW w:w="509" w:type="pct"/>
            <w:shd w:val="clear" w:color="auto" w:fill="C6EFCE"/>
            <w:noWrap/>
            <w:vAlign w:val="center"/>
          </w:tcPr>
          <w:p w14:paraId="3F6C2B5A" w14:textId="77777777" w:rsidR="004C6421" w:rsidRDefault="009D1962">
            <w:pPr>
              <w:pStyle w:val="P68B1DB1-Normal4"/>
              <w:jc w:val="center"/>
              <w:rPr>
                <w:noProof/>
              </w:rPr>
            </w:pPr>
            <w:r>
              <w:rPr>
                <w:noProof/>
              </w:rPr>
              <w:t>Przepis w dekrecie wskazujący na wejście w życie dekretu przyjmującego „Wytyczne dotyczące klasyfikacji ryzyka i zarządzania nim, oceny bezpieczeństwa i monitorowania istniejących mostów” NIE DOT.</w:t>
            </w:r>
          </w:p>
        </w:tc>
        <w:tc>
          <w:tcPr>
            <w:tcW w:w="325" w:type="pct"/>
            <w:shd w:val="clear" w:color="auto" w:fill="C6EFCE"/>
            <w:noWrap/>
            <w:vAlign w:val="center"/>
          </w:tcPr>
          <w:p w14:paraId="33C7FEE7" w14:textId="77777777" w:rsidR="004C6421" w:rsidRDefault="009D1962">
            <w:pPr>
              <w:pStyle w:val="P68B1DB1-Normal4"/>
              <w:jc w:val="center"/>
              <w:rPr>
                <w:noProof/>
              </w:rPr>
            </w:pPr>
            <w:r>
              <w:rPr>
                <w:noProof/>
              </w:rPr>
              <w:t>NIE DOT.</w:t>
            </w:r>
          </w:p>
        </w:tc>
        <w:tc>
          <w:tcPr>
            <w:tcW w:w="371" w:type="pct"/>
            <w:shd w:val="clear" w:color="auto" w:fill="C6EFCE"/>
            <w:noWrap/>
            <w:vAlign w:val="center"/>
          </w:tcPr>
          <w:p w14:paraId="1A8AAA47" w14:textId="77777777" w:rsidR="004C6421" w:rsidRDefault="009D1962">
            <w:pPr>
              <w:pStyle w:val="P68B1DB1-Normal4"/>
              <w:jc w:val="center"/>
              <w:rPr>
                <w:noProof/>
              </w:rPr>
            </w:pPr>
            <w:r>
              <w:rPr>
                <w:noProof/>
              </w:rPr>
              <w:t>NIE DOT.</w:t>
            </w:r>
          </w:p>
        </w:tc>
        <w:tc>
          <w:tcPr>
            <w:tcW w:w="279" w:type="pct"/>
            <w:shd w:val="clear" w:color="auto" w:fill="C6EFCE"/>
            <w:noWrap/>
            <w:vAlign w:val="center"/>
          </w:tcPr>
          <w:p w14:paraId="54B32EC6" w14:textId="77777777" w:rsidR="004C6421" w:rsidRDefault="009D1962">
            <w:pPr>
              <w:pStyle w:val="P68B1DB1-Normal4"/>
              <w:jc w:val="center"/>
              <w:rPr>
                <w:noProof/>
              </w:rPr>
            </w:pPr>
            <w:r>
              <w:rPr>
                <w:noProof/>
              </w:rPr>
              <w:t>NIE DOT.</w:t>
            </w:r>
          </w:p>
        </w:tc>
        <w:tc>
          <w:tcPr>
            <w:tcW w:w="278" w:type="pct"/>
            <w:shd w:val="clear" w:color="auto" w:fill="C6EFCE"/>
            <w:noWrap/>
            <w:vAlign w:val="center"/>
          </w:tcPr>
          <w:p w14:paraId="7916389E" w14:textId="3BF71DFD" w:rsidR="004C6421" w:rsidRDefault="00CC179E">
            <w:pPr>
              <w:pStyle w:val="P68B1DB1-Normal4"/>
              <w:jc w:val="center"/>
              <w:rPr>
                <w:noProof/>
              </w:rPr>
            </w:pPr>
            <w:r>
              <w:rPr>
                <w:noProof/>
              </w:rPr>
              <w:t>KW. 4</w:t>
            </w:r>
          </w:p>
        </w:tc>
        <w:tc>
          <w:tcPr>
            <w:tcW w:w="278" w:type="pct"/>
            <w:shd w:val="clear" w:color="auto" w:fill="C6EFCE"/>
            <w:noWrap/>
            <w:vAlign w:val="center"/>
          </w:tcPr>
          <w:p w14:paraId="64870BAB" w14:textId="77777777" w:rsidR="004C6421" w:rsidRDefault="009D1962">
            <w:pPr>
              <w:pStyle w:val="P68B1DB1-Normal4"/>
              <w:jc w:val="center"/>
              <w:rPr>
                <w:noProof/>
              </w:rPr>
            </w:pPr>
            <w:r>
              <w:rPr>
                <w:noProof/>
              </w:rPr>
              <w:t>2021</w:t>
            </w:r>
          </w:p>
        </w:tc>
        <w:tc>
          <w:tcPr>
            <w:tcW w:w="1198" w:type="pct"/>
            <w:shd w:val="clear" w:color="auto" w:fill="C6EFCE"/>
            <w:noWrap/>
            <w:vAlign w:val="center"/>
          </w:tcPr>
          <w:p w14:paraId="2BD78C25" w14:textId="77777777" w:rsidR="004C6421" w:rsidRDefault="009D1962">
            <w:pPr>
              <w:pStyle w:val="P68B1DB1-Normal6"/>
              <w:spacing w:before="120" w:after="120"/>
              <w:rPr>
                <w:noProof/>
                <w:color w:val="006100"/>
              </w:rPr>
            </w:pPr>
            <w:r>
              <w:rPr>
                <w:noProof/>
                <w:color w:val="006100"/>
              </w:rPr>
              <w:t>„Wytyczne” określają wspólne normy i metody dla całej sieci dróg krajowychw zakresie klasyfikacji ryzyka i zarządzania nim, oceny bezpieczeństwa i monitorowania istniejących mostów.</w:t>
            </w:r>
          </w:p>
        </w:tc>
      </w:tr>
      <w:tr w:rsidR="004C6421" w14:paraId="1388143C" w14:textId="77777777">
        <w:trPr>
          <w:trHeight w:val="309"/>
          <w:jc w:val="right"/>
        </w:trPr>
        <w:tc>
          <w:tcPr>
            <w:tcW w:w="369" w:type="pct"/>
            <w:shd w:val="clear" w:color="auto" w:fill="C6EFCE"/>
            <w:noWrap/>
            <w:vAlign w:val="center"/>
          </w:tcPr>
          <w:p w14:paraId="2A440809" w14:textId="77777777" w:rsidR="004C6421" w:rsidRDefault="009D1962">
            <w:pPr>
              <w:pStyle w:val="P68B1DB1-Normal4"/>
              <w:jc w:val="center"/>
              <w:rPr>
                <w:noProof/>
              </w:rPr>
            </w:pPr>
            <w:r>
              <w:rPr>
                <w:noProof/>
              </w:rPr>
              <w:t>M3C1-22</w:t>
            </w:r>
          </w:p>
        </w:tc>
        <w:tc>
          <w:tcPr>
            <w:tcW w:w="511" w:type="pct"/>
            <w:shd w:val="clear" w:color="auto" w:fill="C6EFCE"/>
            <w:noWrap/>
            <w:vAlign w:val="center"/>
          </w:tcPr>
          <w:p w14:paraId="0EF4FC51" w14:textId="77777777" w:rsidR="004C6421" w:rsidRDefault="009D1962">
            <w:pPr>
              <w:pStyle w:val="P68B1DB1-Normal4"/>
              <w:jc w:val="center"/>
              <w:rPr>
                <w:noProof/>
              </w:rPr>
            </w:pPr>
            <w:r>
              <w:rPr>
                <w:noProof/>
              </w:rPr>
              <w:t>Reforma 2.2 – Przeniesienie własności mostów i wiaduktów z dróg niższego rzędu na drogi wyższego rzędu</w:t>
            </w:r>
          </w:p>
        </w:tc>
        <w:tc>
          <w:tcPr>
            <w:tcW w:w="417" w:type="pct"/>
            <w:shd w:val="clear" w:color="auto" w:fill="C6EFCE"/>
            <w:noWrap/>
            <w:vAlign w:val="center"/>
          </w:tcPr>
          <w:p w14:paraId="678067FF" w14:textId="1246379F" w:rsidR="004C6421" w:rsidRDefault="00CC179E">
            <w:pPr>
              <w:pStyle w:val="P68B1DB1-Normal4"/>
              <w:jc w:val="center"/>
              <w:rPr>
                <w:noProof/>
              </w:rPr>
            </w:pPr>
            <w:r>
              <w:rPr>
                <w:noProof/>
              </w:rPr>
              <w:t>Milowy</w:t>
            </w:r>
          </w:p>
        </w:tc>
        <w:tc>
          <w:tcPr>
            <w:tcW w:w="464" w:type="pct"/>
            <w:shd w:val="clear" w:color="auto" w:fill="C6EFCE"/>
            <w:noWrap/>
            <w:vAlign w:val="center"/>
          </w:tcPr>
          <w:p w14:paraId="442280CC" w14:textId="77777777" w:rsidR="004C6421" w:rsidRDefault="009D1962">
            <w:pPr>
              <w:pStyle w:val="P68B1DB1-Normal4"/>
              <w:jc w:val="center"/>
              <w:rPr>
                <w:noProof/>
              </w:rPr>
            </w:pPr>
            <w:r>
              <w:rPr>
                <w:noProof/>
              </w:rPr>
              <w:t>Przeniesienie własności mostów, wiaduktów i przejść z dróg niższego rzędu na drogi wyższego rzędu (drogi drogowe i główne drogi krajowe)</w:t>
            </w:r>
          </w:p>
        </w:tc>
        <w:tc>
          <w:tcPr>
            <w:tcW w:w="509" w:type="pct"/>
            <w:shd w:val="clear" w:color="auto" w:fill="C6EFCE"/>
            <w:noWrap/>
            <w:vAlign w:val="center"/>
          </w:tcPr>
          <w:p w14:paraId="7AB3DFCF" w14:textId="77777777" w:rsidR="004C6421" w:rsidRDefault="009D1962">
            <w:pPr>
              <w:pStyle w:val="P68B1DB1-Normal4"/>
              <w:jc w:val="center"/>
              <w:rPr>
                <w:noProof/>
              </w:rPr>
            </w:pPr>
            <w:r>
              <w:rPr>
                <w:noProof/>
              </w:rPr>
              <w:t>Przepis w odpowiednim akcie prawnym dotyczący wejścia w życie przeniesienia własności mostów, wiaduktów i przejść z dróg niższego rzędu na drogi wyższego rzędu (drogi drogowe i główne drogi krajowe) NIE DOT.</w:t>
            </w:r>
          </w:p>
        </w:tc>
        <w:tc>
          <w:tcPr>
            <w:tcW w:w="325" w:type="pct"/>
            <w:shd w:val="clear" w:color="auto" w:fill="C6EFCE"/>
            <w:noWrap/>
            <w:vAlign w:val="center"/>
          </w:tcPr>
          <w:p w14:paraId="619DEFE6" w14:textId="77777777" w:rsidR="004C6421" w:rsidRDefault="009D1962">
            <w:pPr>
              <w:pStyle w:val="P68B1DB1-Normal4"/>
              <w:jc w:val="center"/>
              <w:rPr>
                <w:noProof/>
              </w:rPr>
            </w:pPr>
            <w:r>
              <w:rPr>
                <w:noProof/>
              </w:rPr>
              <w:t>NIE DOT.</w:t>
            </w:r>
          </w:p>
        </w:tc>
        <w:tc>
          <w:tcPr>
            <w:tcW w:w="371" w:type="pct"/>
            <w:shd w:val="clear" w:color="auto" w:fill="C6EFCE"/>
            <w:noWrap/>
            <w:vAlign w:val="center"/>
          </w:tcPr>
          <w:p w14:paraId="03093362" w14:textId="77777777" w:rsidR="004C6421" w:rsidRDefault="009D1962">
            <w:pPr>
              <w:pStyle w:val="P68B1DB1-Normal4"/>
              <w:jc w:val="center"/>
              <w:rPr>
                <w:noProof/>
              </w:rPr>
            </w:pPr>
            <w:r>
              <w:rPr>
                <w:noProof/>
              </w:rPr>
              <w:t>NIE DOT.</w:t>
            </w:r>
          </w:p>
        </w:tc>
        <w:tc>
          <w:tcPr>
            <w:tcW w:w="279" w:type="pct"/>
            <w:shd w:val="clear" w:color="auto" w:fill="C6EFCE"/>
            <w:noWrap/>
            <w:vAlign w:val="center"/>
          </w:tcPr>
          <w:p w14:paraId="1304EE80" w14:textId="77777777" w:rsidR="004C6421" w:rsidRDefault="009D1962">
            <w:pPr>
              <w:pStyle w:val="P68B1DB1-Normal4"/>
              <w:jc w:val="center"/>
              <w:rPr>
                <w:noProof/>
              </w:rPr>
            </w:pPr>
            <w:r>
              <w:rPr>
                <w:noProof/>
              </w:rPr>
              <w:t>NIE DOT.</w:t>
            </w:r>
          </w:p>
        </w:tc>
        <w:tc>
          <w:tcPr>
            <w:tcW w:w="278" w:type="pct"/>
            <w:shd w:val="clear" w:color="auto" w:fill="C6EFCE"/>
            <w:noWrap/>
            <w:vAlign w:val="center"/>
          </w:tcPr>
          <w:p w14:paraId="3F3E6B4F" w14:textId="2AD097E5" w:rsidR="004C6421" w:rsidRDefault="00CC179E">
            <w:pPr>
              <w:pStyle w:val="P68B1DB1-Normal4"/>
              <w:jc w:val="center"/>
              <w:rPr>
                <w:noProof/>
              </w:rPr>
            </w:pPr>
            <w:r>
              <w:rPr>
                <w:noProof/>
              </w:rPr>
              <w:t>KW. 4</w:t>
            </w:r>
          </w:p>
        </w:tc>
        <w:tc>
          <w:tcPr>
            <w:tcW w:w="278" w:type="pct"/>
            <w:shd w:val="clear" w:color="auto" w:fill="C6EFCE"/>
            <w:noWrap/>
            <w:vAlign w:val="center"/>
          </w:tcPr>
          <w:p w14:paraId="58A79921" w14:textId="77777777" w:rsidR="004C6421" w:rsidRDefault="009D1962">
            <w:pPr>
              <w:pStyle w:val="P68B1DB1-Normal4"/>
              <w:jc w:val="center"/>
              <w:rPr>
                <w:noProof/>
              </w:rPr>
            </w:pPr>
            <w:r>
              <w:rPr>
                <w:noProof/>
              </w:rPr>
              <w:t>2021</w:t>
            </w:r>
          </w:p>
        </w:tc>
        <w:tc>
          <w:tcPr>
            <w:tcW w:w="1198" w:type="pct"/>
            <w:shd w:val="clear" w:color="auto" w:fill="C6EFCE"/>
            <w:noWrap/>
            <w:vAlign w:val="center"/>
          </w:tcPr>
          <w:p w14:paraId="30AA6241" w14:textId="77777777" w:rsidR="004C6421" w:rsidRDefault="009D1962">
            <w:pPr>
              <w:pStyle w:val="P68B1DB1-Normal4"/>
              <w:jc w:val="center"/>
              <w:rPr>
                <w:noProof/>
              </w:rPr>
            </w:pPr>
            <w:r>
              <w:rPr>
                <w:noProof/>
              </w:rPr>
              <w:t>Przeniesienie własności dzieł sztuki następuje w terminie sześciu miesięcy od wejścia w życie ustawy 120/20. Oczekuje się, że zostanie on ukończony zgodnie z przepisami Codice della Strada (dekretu ustawodawczego 285/1992) i jego rozporządzenia (dekretu prezydenckiego nr 495/92), które określają przepisy dotyczące przeniesienia własności między podmiotami będącymi właścicielami dróg.</w:t>
            </w:r>
          </w:p>
        </w:tc>
      </w:tr>
    </w:tbl>
    <w:p w14:paraId="667CF33F" w14:textId="77777777" w:rsidR="004C6421" w:rsidRDefault="004C6421">
      <w:pPr>
        <w:spacing w:before="120" w:after="120"/>
        <w:jc w:val="both"/>
        <w:rPr>
          <w:noProof/>
        </w:rPr>
      </w:pPr>
    </w:p>
    <w:p w14:paraId="628CB397" w14:textId="77777777" w:rsidR="004C6421" w:rsidRDefault="004C6421">
      <w:pPr>
        <w:tabs>
          <w:tab w:val="left" w:pos="4252"/>
        </w:tabs>
        <w:rPr>
          <w:i/>
          <w:noProof/>
        </w:rPr>
      </w:pPr>
    </w:p>
    <w:p w14:paraId="4AD2A3C9" w14:textId="77777777" w:rsidR="004C6421" w:rsidRDefault="004C6421">
      <w:pPr>
        <w:tabs>
          <w:tab w:val="left" w:pos="4252"/>
        </w:tabs>
        <w:rPr>
          <w:i/>
          <w:noProof/>
        </w:rPr>
      </w:pPr>
    </w:p>
    <w:p w14:paraId="0DE2407F" w14:textId="77777777" w:rsidR="004C6421" w:rsidRDefault="004C6421">
      <w:pPr>
        <w:spacing w:before="120" w:after="120"/>
        <w:jc w:val="both"/>
        <w:rPr>
          <w:b/>
          <w:noProof/>
          <w:u w:val="single"/>
        </w:rPr>
        <w:sectPr w:rsidR="004C6421" w:rsidSect="00797973">
          <w:headerReference w:type="even" r:id="rId224"/>
          <w:headerReference w:type="default" r:id="rId225"/>
          <w:footerReference w:type="even" r:id="rId226"/>
          <w:footerReference w:type="default" r:id="rId227"/>
          <w:headerReference w:type="first" r:id="rId228"/>
          <w:footerReference w:type="first" r:id="rId229"/>
          <w:pgSz w:w="16838" w:h="11907" w:orient="landscape" w:code="9"/>
          <w:pgMar w:top="1134" w:right="1134" w:bottom="1134" w:left="1134" w:header="567" w:footer="567" w:gutter="0"/>
          <w:cols w:space="720"/>
          <w:docGrid w:linePitch="360"/>
        </w:sectPr>
      </w:pPr>
    </w:p>
    <w:p w14:paraId="3BD0FFE2" w14:textId="4C10762F" w:rsidR="004C6421" w:rsidRDefault="009D1962">
      <w:pPr>
        <w:pStyle w:val="Heading2"/>
        <w:numPr>
          <w:ilvl w:val="0"/>
          <w:numId w:val="0"/>
        </w:numPr>
        <w:ind w:left="850" w:hanging="850"/>
        <w:rPr>
          <w:noProof/>
        </w:rPr>
      </w:pPr>
      <w:r>
        <w:rPr>
          <w:noProof/>
        </w:rPr>
        <w:t xml:space="preserve">I. </w:t>
      </w:r>
      <w:r w:rsidR="002175A3">
        <w:rPr>
          <w:noProof/>
        </w:rPr>
        <w:t>ZADANIE</w:t>
      </w:r>
      <w:r>
        <w:rPr>
          <w:noProof/>
        </w:rPr>
        <w:t xml:space="preserve"> 3 KOMPONENT 2 – Intermodalność i zintegrowana logistyka</w:t>
      </w:r>
    </w:p>
    <w:p w14:paraId="5BF56056" w14:textId="77777777" w:rsidR="004C6421" w:rsidRDefault="009D1962">
      <w:pPr>
        <w:tabs>
          <w:tab w:val="left" w:pos="1134"/>
        </w:tabs>
        <w:spacing w:before="120" w:after="120"/>
        <w:jc w:val="both"/>
        <w:rPr>
          <w:rFonts w:eastAsia="Calibri"/>
          <w:noProof/>
        </w:rPr>
      </w:pPr>
      <w:r>
        <w:rPr>
          <w:noProof/>
        </w:rPr>
        <w:t>Celem tego komponentu włoskiego planu odbudowy i zwiększania odporności jest uczynienie włoskich portów bardziej wydajnymi i konkurencyjnymi, energooszczędnymi i lepiej zintegrowanymi z łańcuchem logistycznym. Jego celem jest również cyfryzacja systemu zarządzania ruchem lotniczym.</w:t>
      </w:r>
    </w:p>
    <w:p w14:paraId="6F7D97E9" w14:textId="77777777" w:rsidR="004C6421" w:rsidRDefault="009D1962">
      <w:pPr>
        <w:tabs>
          <w:tab w:val="left" w:pos="1134"/>
        </w:tabs>
        <w:spacing w:before="120" w:after="120"/>
        <w:jc w:val="both"/>
        <w:rPr>
          <w:rFonts w:eastAsia="Calibri"/>
          <w:noProof/>
        </w:rPr>
      </w:pPr>
      <w:r>
        <w:rPr>
          <w:noProof/>
        </w:rPr>
        <w:t>W tym celu obejmuje on z jednej strony ważne reformy mające na celu uproszczenie procesów, aktualizację planowania portów oraz zwiększenie konkurencyjności koncesji w portach włoskich. W odniesieniu do innych inwestycji mających na celu zapewnienie intermodalności z ogólnymi kierunkami komunikacji europejskiej, rozwój powiązań z handlem oceanicznym i międzyśródziemnomorskim, zwiększenie dynamiki i konkurencyjności włoskiego systemu portowego, również z myślą o ograniczeniu emisji gazów cieplarnianych. Oczekuje się, że inwestycje związane z tym komponentem znacznie zwiększą liczbę pasażerów i towarów we włoskich portach, co będzie miało pozytywny wpływ na stymulującą działalność gospodarczą w odpowiednich obszarach oraz na całą gospodarkę krajową.</w:t>
      </w:r>
    </w:p>
    <w:p w14:paraId="4039A939" w14:textId="77777777" w:rsidR="004C6421" w:rsidRDefault="009D1962">
      <w:pPr>
        <w:tabs>
          <w:tab w:val="left" w:pos="1134"/>
        </w:tabs>
        <w:spacing w:before="120" w:after="120"/>
        <w:jc w:val="both"/>
        <w:rPr>
          <w:rFonts w:eastAsia="Calibri"/>
          <w:noProof/>
        </w:rPr>
      </w:pPr>
      <w:r>
        <w:rPr>
          <w:noProof/>
        </w:rPr>
        <w:t xml:space="preserve">Z drugiej strony komponent ten odnosi się do cyfryzacji systemów logistycznych, w tym systemów portów lotniczych. Oczekuje się, że przyczyni się to do zwiększenia konkurencyjności tych sektorów poprzez zastosowanie innowacyjnych rozwiązań technologicznych w celu zwiększenia wydajności systemu, a także zmniejszenia ich wpływu na środowisko. </w:t>
      </w:r>
    </w:p>
    <w:p w14:paraId="7F1DD8FA" w14:textId="77777777" w:rsidR="004C6421" w:rsidRDefault="009D1962">
      <w:pPr>
        <w:spacing w:before="120" w:after="120"/>
        <w:jc w:val="both"/>
        <w:rPr>
          <w:noProof/>
        </w:rPr>
      </w:pPr>
      <w:r>
        <w:rPr>
          <w:noProof/>
        </w:rPr>
        <w:t>Komponent ten jest odpowiedzią na zalecenie krajowe nr 3 z 2019 r., w którym wzywa się Włochy do skoncentrowania polityki gospodarczej związanej z inwestycjami na jakości infrastruktury oraz zalecenia krajowego nr 3 z 2020 r., w którym zaleca się „koncentrowanie inwestycji na transformację ekologiczną i cyfrową, w szczególności na czystą i efektywną produkcję i wykorzystanie energii, badania naukowe i innowacje, zrównoważony transport publiczny, gospodarkę odpadami i gospodarkę wodną, a także wzmocnioną infrastrukturę cyfrową w celu zapewnienia świadczenia podstawowych usług”.</w:t>
      </w:r>
    </w:p>
    <w:p w14:paraId="3719F6E4" w14:textId="77777777" w:rsidR="004C6421" w:rsidRDefault="009D1962">
      <w:pPr>
        <w:spacing w:before="120" w:after="120"/>
        <w:jc w:val="both"/>
        <w:rPr>
          <w:noProof/>
        </w:rPr>
      </w:pPr>
      <w:r>
        <w:rPr>
          <w:noProof/>
        </w:rPr>
        <w:t>Oczekuje się, że żaden środek w ramach tego komponentu nie spowoduje znaczącej szkody w realizacji celów środowiskowych w rozumieniu art. 17 rozporządzenia (UE) 2020/852, biorąc pod uwagę opis środków i działań łagodzących określonych w planie odbudowy i zwiększania odporności zgodnie z wytycznymi technicznymi dotyczącymi zasady „nie czyń poważnych szkód” (2021/C58/01).</w:t>
      </w:r>
    </w:p>
    <w:p w14:paraId="7A215D45" w14:textId="77777777" w:rsidR="004C6421" w:rsidRDefault="009D1962">
      <w:pPr>
        <w:pStyle w:val="Heading3"/>
        <w:numPr>
          <w:ilvl w:val="0"/>
          <w:numId w:val="0"/>
        </w:numPr>
        <w:ind w:left="850" w:hanging="850"/>
        <w:rPr>
          <w:b/>
          <w:i w:val="0"/>
          <w:noProof/>
          <w:color w:val="4472C4" w:themeColor="accent1"/>
          <w:u w:val="single"/>
        </w:rPr>
      </w:pPr>
      <w:r>
        <w:rPr>
          <w:b/>
          <w:i w:val="0"/>
          <w:noProof/>
          <w:u w:val="single"/>
        </w:rPr>
        <w:t xml:space="preserve">I.1. </w:t>
      </w:r>
      <w:r>
        <w:rPr>
          <w:noProof/>
        </w:rPr>
        <w:t xml:space="preserve"> </w:t>
      </w:r>
      <w:r>
        <w:rPr>
          <w:b/>
          <w:i w:val="0"/>
          <w:noProof/>
          <w:u w:val="single"/>
        </w:rPr>
        <w:t>Opis reform i inwestycji, które mają być finansowane z bezzwrotnego wsparcia finansowego</w:t>
      </w:r>
    </w:p>
    <w:p w14:paraId="6D04151A" w14:textId="77777777" w:rsidR="004C6421" w:rsidRDefault="009D1962">
      <w:pPr>
        <w:pStyle w:val="P68B1DB1-Normal2"/>
        <w:spacing w:before="120" w:after="120" w:line="257" w:lineRule="auto"/>
        <w:jc w:val="both"/>
        <w:rPr>
          <w:noProof/>
        </w:rPr>
      </w:pPr>
      <w:r>
        <w:rPr>
          <w:noProof/>
        </w:rPr>
        <w:t>Reforma 1.1 – Uproszczenie procedur dotyczących procesu planowania strategicznego</w:t>
      </w:r>
    </w:p>
    <w:p w14:paraId="50AA7C28" w14:textId="77777777" w:rsidR="004C6421" w:rsidRDefault="009D1962">
      <w:pPr>
        <w:spacing w:before="120" w:after="120" w:line="257" w:lineRule="auto"/>
        <w:jc w:val="both"/>
        <w:rPr>
          <w:noProof/>
        </w:rPr>
      </w:pPr>
      <w:r>
        <w:rPr>
          <w:noProof/>
        </w:rPr>
        <w:t>Środek ten przewiduje aktualizację planowania portów w celu zapewnienia strategicznej wizji włoskiego systemu portów. Reforma reguluje co najmniej (i) cele rozwojowe organów systemu portowego; (II) zidentyfikowanych i określonych obszarów przeznaczonych do ściśle określonych funkcji portowych i tylnych, (iii) połączeń infrastrukturalnych ostatniej mili drogowej i kolejowej z portami, (iv) kryteriów stosowanych przy określaniu treści planowania oraz (v) jednoznacznej identyfikacji wytycznych, zasad i procedur przygotowania planów regulacyjnych dotyczących portów.</w:t>
      </w:r>
    </w:p>
    <w:p w14:paraId="3769F228" w14:textId="77777777" w:rsidR="004C6421" w:rsidRDefault="009D1962">
      <w:pPr>
        <w:pStyle w:val="P68B1DB1-Normal2"/>
        <w:spacing w:before="120" w:after="120" w:line="257" w:lineRule="auto"/>
        <w:jc w:val="both"/>
        <w:rPr>
          <w:noProof/>
        </w:rPr>
      </w:pPr>
      <w:r>
        <w:rPr>
          <w:noProof/>
        </w:rPr>
        <w:t xml:space="preserve">Reforma 1.2 – Konkurencyjne udzielanie koncesji w portach włoskich  </w:t>
      </w:r>
    </w:p>
    <w:p w14:paraId="767BCA62" w14:textId="77777777" w:rsidR="004C6421" w:rsidRDefault="009D1962">
      <w:pPr>
        <w:spacing w:before="120" w:after="120"/>
        <w:jc w:val="both"/>
        <w:rPr>
          <w:rFonts w:eastAsia="Calibri"/>
          <w:noProof/>
        </w:rPr>
      </w:pPr>
      <w:r>
        <w:rPr>
          <w:noProof/>
        </w:rPr>
        <w:t>Celem tego środka jest określenie warunków dotyczących okresu obowiązywania koncesji, uprawnień nadzorczych i kontrolnych organów udzielających koncesji, procedur odnowienia, przekazania obiektów nowemu koncesjonariuszowi po wygaśnięciu koncesji oraz określenia minimalnych limitów opłat pobieranych od koncesjonariuszy.</w:t>
      </w:r>
    </w:p>
    <w:p w14:paraId="06101A59" w14:textId="77777777" w:rsidR="004C6421" w:rsidRDefault="004C6421">
      <w:pPr>
        <w:spacing w:before="120" w:after="120"/>
        <w:jc w:val="both"/>
        <w:rPr>
          <w:rFonts w:eastAsia="Calibri"/>
          <w:noProof/>
        </w:rPr>
      </w:pPr>
    </w:p>
    <w:p w14:paraId="32CF8ED7" w14:textId="77777777" w:rsidR="004C6421" w:rsidRDefault="009D1962">
      <w:pPr>
        <w:pStyle w:val="P68B1DB1-Normal2"/>
        <w:spacing w:before="120" w:after="120"/>
        <w:jc w:val="both"/>
        <w:rPr>
          <w:rFonts w:eastAsia="Calibri"/>
          <w:noProof/>
        </w:rPr>
      </w:pPr>
      <w:r>
        <w:rPr>
          <w:noProof/>
        </w:rPr>
        <w:t xml:space="preserve">Reforma 1.3 – Uproszczenie zezwoleń na stosowanie procedur wydawania zezwoleń na prasowanie na zimno we włoskich portach  </w:t>
      </w:r>
    </w:p>
    <w:p w14:paraId="5FA7A505" w14:textId="77777777" w:rsidR="004C6421" w:rsidRDefault="009D1962">
      <w:pPr>
        <w:spacing w:before="120" w:after="120"/>
        <w:jc w:val="both"/>
        <w:rPr>
          <w:rFonts w:eastAsia="Calibri"/>
          <w:noProof/>
        </w:rPr>
      </w:pPr>
      <w:r>
        <w:rPr>
          <w:noProof/>
        </w:rPr>
        <w:t>Oczekuje się, że środek ten uprości i zredukuje procedurę wydawania zezwoleń na budowę krajowej sieci przesyłowej energii elektrycznej w celu zasilania systemów dystrybucji energii elektrycznej dla statków (</w:t>
      </w:r>
      <w:r>
        <w:rPr>
          <w:i/>
          <w:noProof/>
        </w:rPr>
        <w:t>żelazowanie zimne</w:t>
      </w:r>
      <w:r>
        <w:rPr>
          <w:noProof/>
        </w:rPr>
        <w:t>).</w:t>
      </w:r>
    </w:p>
    <w:p w14:paraId="3D72A5A1" w14:textId="77777777" w:rsidR="004C6421" w:rsidRDefault="009D1962">
      <w:pPr>
        <w:spacing w:before="120" w:after="120"/>
        <w:jc w:val="both"/>
        <w:rPr>
          <w:rFonts w:eastAsia="Calibri"/>
          <w:noProof/>
        </w:rPr>
      </w:pPr>
      <w:r>
        <w:rPr>
          <w:noProof/>
        </w:rPr>
        <w:t xml:space="preserve">Ministerstwo Infrastruktury i Transportu przedstawia propozycję usprawnienia procesu wydawania zezwoleń. W szczególności proponuje się przeprowadzenie oceny projektów zimnego prasowania przez urzędy terytorialne, które podlegają Ministerstwu Rozwoju Gospodarczego, które mogłyby w krótszym czasie przeanalizować te projekty i w związku z tym zatwierdzić je. Ponadto przewiduje się interwencję regulacyjną w celu określenia jednego procesu wydawania zezwoleń dla projektów o napięciu wyższym niż 132 kV i pozostałych, w celu wykorzystania synergii procesu. </w:t>
      </w:r>
    </w:p>
    <w:p w14:paraId="7248F225" w14:textId="77777777" w:rsidR="004C6421" w:rsidRDefault="009D1962">
      <w:pPr>
        <w:pStyle w:val="P68B1DB1-Normal2"/>
        <w:spacing w:before="120" w:after="120"/>
        <w:jc w:val="both"/>
        <w:rPr>
          <w:rFonts w:eastAsia="Calibri"/>
          <w:noProof/>
        </w:rPr>
      </w:pPr>
      <w:r>
        <w:rPr>
          <w:noProof/>
        </w:rPr>
        <w:t>Reforma 2.1: Wdrożenie jednego okienka celnego („Sportello Unico Doganale”)</w:t>
      </w:r>
    </w:p>
    <w:p w14:paraId="737E5B6A" w14:textId="77777777" w:rsidR="004C6421" w:rsidRDefault="009D1962">
      <w:pPr>
        <w:spacing w:before="120" w:after="120"/>
        <w:jc w:val="both"/>
        <w:rPr>
          <w:noProof/>
        </w:rPr>
      </w:pPr>
      <w:r>
        <w:rPr>
          <w:noProof/>
        </w:rPr>
        <w:t>Celem jest stworzenie specjalnego portalu dla pojedynczego punktu kontroli, który umożliwi interoperacyjność z krajowymi bazami danych i koordynację działań kontrolnych organów celnych.</w:t>
      </w:r>
    </w:p>
    <w:p w14:paraId="5185F9F4" w14:textId="77777777" w:rsidR="004C6421" w:rsidRDefault="009D1962">
      <w:pPr>
        <w:pStyle w:val="P68B1DB1-Normal2"/>
        <w:spacing w:before="120" w:after="120"/>
        <w:jc w:val="both"/>
        <w:rPr>
          <w:noProof/>
        </w:rPr>
      </w:pPr>
      <w:r>
        <w:rPr>
          <w:noProof/>
        </w:rPr>
        <w:t>Inwestycja 2.1: Cyfryzacja łańcucha logistycznego</w:t>
      </w:r>
    </w:p>
    <w:p w14:paraId="1BD2D6A4" w14:textId="77777777" w:rsidR="004C6421" w:rsidRDefault="009D1962">
      <w:pPr>
        <w:spacing w:before="120" w:after="120"/>
        <w:jc w:val="both"/>
        <w:rPr>
          <w:noProof/>
        </w:rPr>
      </w:pPr>
      <w:r>
        <w:rPr>
          <w:noProof/>
        </w:rPr>
        <w:t>Oczekuje się, że inwestycja ta zwiększy konkurencyjność logistyki krajowej poprzez stworzenie interoperacyjnego systemu cyfrowego między podmiotami publicznymi i prywatnymi w zakresie transportu towarowego i logistycznego, który uprości procedury, procesy i kontrole poprzez skupienie się na dematerializacji dokumentów oraz wymianie danych i informacji.</w:t>
      </w:r>
    </w:p>
    <w:p w14:paraId="0281129F" w14:textId="77777777" w:rsidR="004C6421" w:rsidRDefault="009D1962">
      <w:pPr>
        <w:pStyle w:val="P68B1DB1-Normal2"/>
        <w:spacing w:before="120" w:after="120"/>
        <w:jc w:val="both"/>
        <w:rPr>
          <w:rFonts w:eastAsia="Calibri"/>
          <w:noProof/>
        </w:rPr>
      </w:pPr>
      <w:r>
        <w:rPr>
          <w:noProof/>
        </w:rPr>
        <w:t>Inwestycje 2.2: Cyfryzacja zarządzania ruchem lotniczym</w:t>
      </w:r>
    </w:p>
    <w:p w14:paraId="2CB4045A" w14:textId="77777777" w:rsidR="004C6421" w:rsidRDefault="009D1962">
      <w:pPr>
        <w:spacing w:before="120" w:after="120"/>
        <w:jc w:val="both"/>
        <w:rPr>
          <w:rFonts w:eastAsia="Calibri"/>
          <w:noProof/>
        </w:rPr>
      </w:pPr>
      <w:r>
        <w:rPr>
          <w:noProof/>
        </w:rPr>
        <w:t xml:space="preserve">Inwestycja ta ma na celu cyfrową modernizację sektora, która obejmie zarówno opracowanie nowych narzędzi cyfryzacji informacji lotniczej, jak i wdrożenie platform i usług bezzałogowych statków powietrznych. </w:t>
      </w:r>
    </w:p>
    <w:p w14:paraId="1117B915" w14:textId="77777777" w:rsidR="004C6421" w:rsidRDefault="009D1962">
      <w:pPr>
        <w:spacing w:before="120" w:after="120"/>
        <w:jc w:val="both"/>
        <w:rPr>
          <w:rFonts w:eastAsia="Calibri"/>
          <w:noProof/>
        </w:rPr>
      </w:pPr>
      <w:r>
        <w:rPr>
          <w:noProof/>
        </w:rPr>
        <w:t>Projekty obejmują rozwój i łączność systemu zarządzania ruchem bezzałogowym (UTMS), cyfryzację informacji lotniczej oraz określenie nowego modelu obsługi technicznej.</w:t>
      </w:r>
    </w:p>
    <w:p w14:paraId="56241094" w14:textId="77777777" w:rsidR="004C6421" w:rsidRDefault="009D1962">
      <w:pPr>
        <w:pStyle w:val="paragraph"/>
        <w:spacing w:before="0" w:beforeAutospacing="0" w:after="0" w:afterAutospacing="0"/>
        <w:jc w:val="both"/>
        <w:textAlignment w:val="baseline"/>
        <w:rPr>
          <w:rFonts w:ascii="Segoe UI" w:hAnsi="Segoe UI" w:cs="Segoe UI"/>
          <w:noProof/>
          <w:sz w:val="18"/>
        </w:rPr>
      </w:pPr>
      <w:r>
        <w:rPr>
          <w:rStyle w:val="normaltextrun"/>
          <w:b/>
          <w:noProof/>
        </w:rPr>
        <w:t>Inwestycja 2.3: Prasowanie na zimno</w:t>
      </w:r>
      <w:r>
        <w:rPr>
          <w:rStyle w:val="eop"/>
          <w:noProof/>
        </w:rPr>
        <w:t xml:space="preserve"> </w:t>
      </w:r>
    </w:p>
    <w:p w14:paraId="409CCF37" w14:textId="77777777" w:rsidR="004C6421" w:rsidRDefault="009D1962">
      <w:pPr>
        <w:pStyle w:val="paragraph"/>
        <w:spacing w:before="0" w:beforeAutospacing="0" w:after="0" w:afterAutospacing="0"/>
        <w:jc w:val="both"/>
        <w:textAlignment w:val="baseline"/>
        <w:rPr>
          <w:rStyle w:val="eop"/>
          <w:noProof/>
        </w:rPr>
      </w:pPr>
      <w:r>
        <w:rPr>
          <w:rStyle w:val="normaltextrun"/>
          <w:noProof/>
        </w:rPr>
        <w:t xml:space="preserve">Inwestycja ta polega na budowie sieci dostarczania energii elektrycznej na obszarze portowym (doki) oraz związanej z nią infrastruktury przyłączeniowej do krajowej sieci przesyłowej. Zgodnie z rozporządzeniem w sprawie infrastruktury paliw alternatywnych zasilanie energią elektryczną z lądu umożliwia również ładowanie statków elektrycznych. </w:t>
      </w:r>
    </w:p>
    <w:p w14:paraId="5AC63577" w14:textId="77777777" w:rsidR="004C6421" w:rsidRDefault="004C6421">
      <w:pPr>
        <w:pStyle w:val="paragraph"/>
        <w:spacing w:before="0" w:beforeAutospacing="0" w:after="0" w:afterAutospacing="0"/>
        <w:jc w:val="both"/>
        <w:textAlignment w:val="baseline"/>
        <w:rPr>
          <w:rFonts w:ascii="Segoe UI" w:hAnsi="Segoe UI" w:cs="Segoe UI"/>
          <w:noProof/>
          <w:sz w:val="18"/>
        </w:rPr>
      </w:pPr>
    </w:p>
    <w:p w14:paraId="00FDF0D3" w14:textId="77777777" w:rsidR="004C6421" w:rsidRDefault="009D1962">
      <w:pPr>
        <w:pStyle w:val="Heading3"/>
        <w:numPr>
          <w:ilvl w:val="0"/>
          <w:numId w:val="0"/>
        </w:numPr>
        <w:ind w:left="850" w:hanging="850"/>
        <w:rPr>
          <w:b/>
          <w:i w:val="0"/>
          <w:noProof/>
          <w:u w:val="single"/>
        </w:rPr>
      </w:pPr>
      <w:r>
        <w:rPr>
          <w:b/>
          <w:i w:val="0"/>
          <w:noProof/>
          <w:u w:val="single"/>
        </w:rPr>
        <w:t xml:space="preserve">I.2. </w:t>
      </w:r>
      <w:r>
        <w:rPr>
          <w:noProof/>
        </w:rPr>
        <w:t xml:space="preserve"> </w:t>
      </w:r>
      <w:r>
        <w:rPr>
          <w:b/>
          <w:i w:val="0"/>
          <w:noProof/>
          <w:u w:val="single"/>
        </w:rPr>
        <w:t>Kamienie milowe, wartości docelowe, wskaźniki i harmonogram monitorowania i realizacji na potrzeby bezzwrotnego wsparcia finansowego</w:t>
      </w:r>
    </w:p>
    <w:p w14:paraId="290C72EB" w14:textId="77777777" w:rsidR="004C6421" w:rsidRDefault="004C6421">
      <w:pPr>
        <w:spacing w:before="120" w:after="120"/>
        <w:ind w:left="709"/>
        <w:jc w:val="both"/>
        <w:rPr>
          <w:noProof/>
        </w:rPr>
        <w:sectPr w:rsidR="004C6421" w:rsidSect="00797973">
          <w:headerReference w:type="even" r:id="rId230"/>
          <w:headerReference w:type="default" r:id="rId231"/>
          <w:footerReference w:type="even" r:id="rId232"/>
          <w:footerReference w:type="default" r:id="rId233"/>
          <w:headerReference w:type="first" r:id="rId234"/>
          <w:footerReference w:type="first" r:id="rId235"/>
          <w:pgSz w:w="11907" w:h="16839"/>
          <w:pgMar w:top="1134" w:right="1134" w:bottom="1134" w:left="1134" w:header="567" w:footer="567" w:gutter="0"/>
          <w:cols w:space="720"/>
          <w:docGrid w:linePitch="360"/>
        </w:sectPr>
      </w:pPr>
    </w:p>
    <w:tbl>
      <w:tblPr>
        <w:tblW w:w="4950" w:type="pct"/>
        <w:jc w:val="center"/>
        <w:tblLook w:val="04A0" w:firstRow="1" w:lastRow="0" w:firstColumn="1" w:lastColumn="0" w:noHBand="0" w:noVBand="1"/>
      </w:tblPr>
      <w:tblGrid>
        <w:gridCol w:w="1035"/>
        <w:gridCol w:w="1322"/>
        <w:gridCol w:w="1204"/>
        <w:gridCol w:w="1357"/>
        <w:gridCol w:w="1478"/>
        <w:gridCol w:w="1043"/>
        <w:gridCol w:w="928"/>
        <w:gridCol w:w="751"/>
        <w:gridCol w:w="1359"/>
        <w:gridCol w:w="621"/>
        <w:gridCol w:w="3463"/>
      </w:tblGrid>
      <w:tr w:rsidR="004C6421" w14:paraId="39982C32" w14:textId="77777777">
        <w:trPr>
          <w:trHeight w:val="927"/>
          <w:tblHeader/>
          <w:jc w:val="center"/>
        </w:trPr>
        <w:tc>
          <w:tcPr>
            <w:tcW w:w="113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DA177EA" w14:textId="77777777" w:rsidR="004C6421" w:rsidRDefault="009D1962">
            <w:pPr>
              <w:pStyle w:val="P68B1DB1-Normal3"/>
              <w:jc w:val="center"/>
              <w:rPr>
                <w:noProof/>
              </w:rPr>
            </w:pPr>
            <w:r>
              <w:rPr>
                <w:noProof/>
              </w:rPr>
              <w:t>Numer porządkowy</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682297C" w14:textId="77777777" w:rsidR="004C6421" w:rsidRDefault="009D1962">
            <w:pPr>
              <w:pStyle w:val="P68B1DB1-Normal3"/>
              <w:jc w:val="center"/>
              <w:rPr>
                <w:noProof/>
              </w:rPr>
            </w:pPr>
            <w:r>
              <w:rPr>
                <w:noProof/>
              </w:rPr>
              <w:t>Powiązane działanie (reforma lub inwestycja)</w:t>
            </w:r>
          </w:p>
        </w:tc>
        <w:tc>
          <w:tcPr>
            <w:tcW w:w="106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A7E3132" w14:textId="77777777" w:rsidR="004C6421" w:rsidRDefault="009D1962">
            <w:pPr>
              <w:pStyle w:val="P68B1DB1-Normal3"/>
              <w:jc w:val="center"/>
              <w:rPr>
                <w:noProof/>
              </w:rPr>
            </w:pPr>
            <w:r>
              <w:rPr>
                <w:noProof/>
              </w:rPr>
              <w:t>Kamień milowy/wartość docelowa</w:t>
            </w:r>
          </w:p>
        </w:tc>
        <w:tc>
          <w:tcPr>
            <w:tcW w:w="1627" w:type="dxa"/>
            <w:vMerge w:val="restart"/>
            <w:tcBorders>
              <w:top w:val="single" w:sz="4" w:space="0" w:color="auto"/>
              <w:left w:val="nil"/>
              <w:bottom w:val="single" w:sz="4" w:space="0" w:color="auto"/>
              <w:right w:val="single" w:sz="4" w:space="0" w:color="auto"/>
            </w:tcBorders>
            <w:shd w:val="clear" w:color="auto" w:fill="BDD7EE"/>
            <w:vAlign w:val="center"/>
            <w:hideMark/>
          </w:tcPr>
          <w:p w14:paraId="76321903" w14:textId="77777777" w:rsidR="004C6421" w:rsidRDefault="009D1962">
            <w:pPr>
              <w:pStyle w:val="P68B1DB1-Normal3"/>
              <w:jc w:val="center"/>
              <w:rPr>
                <w:noProof/>
              </w:rPr>
            </w:pPr>
            <w:r>
              <w:rPr>
                <w:noProof/>
              </w:rPr>
              <w:t>Nazwa</w:t>
            </w:r>
          </w:p>
        </w:tc>
        <w:tc>
          <w:tcPr>
            <w:tcW w:w="177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AF67DB9" w14:textId="77777777" w:rsidR="004C6421" w:rsidRDefault="009D1962">
            <w:pPr>
              <w:jc w:val="center"/>
              <w:rPr>
                <w:rFonts w:ascii="Arial Narrow" w:hAnsi="Arial Narrow"/>
                <w:b/>
                <w:noProof/>
                <w:sz w:val="20"/>
              </w:rPr>
            </w:pPr>
            <w:r>
              <w:rPr>
                <w:rFonts w:ascii="Arial Narrow" w:hAnsi="Arial Narrow"/>
                <w:b/>
                <w:noProof/>
                <w:sz w:val="20"/>
              </w:rPr>
              <w:t xml:space="preserve">Wskaźniki jakościowe </w:t>
            </w:r>
            <w:r>
              <w:rPr>
                <w:rFonts w:ascii="Arial Narrow" w:hAnsi="Arial Narrow"/>
                <w:noProof/>
              </w:rPr>
              <w:t xml:space="preserve"> </w:t>
            </w:r>
            <w:r>
              <w:rPr>
                <w:noProof/>
              </w:rPr>
              <w:t xml:space="preserve">  </w:t>
            </w:r>
            <w:r>
              <w:rPr>
                <w:noProof/>
              </w:rPr>
              <w:br/>
            </w:r>
            <w:r>
              <w:rPr>
                <w:rFonts w:ascii="Arial Narrow" w:hAnsi="Arial Narrow"/>
                <w:b/>
                <w:noProof/>
                <w:sz w:val="20"/>
              </w:rPr>
              <w:t>(dla kamieni milowych)</w:t>
            </w:r>
          </w:p>
        </w:tc>
        <w:tc>
          <w:tcPr>
            <w:tcW w:w="2900"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5D42294D" w14:textId="77777777" w:rsidR="004C6421" w:rsidRDefault="009D1962">
            <w:pPr>
              <w:jc w:val="center"/>
              <w:rPr>
                <w:rFonts w:ascii="Arial Narrow" w:hAnsi="Arial Narrow"/>
                <w:b/>
                <w:noProof/>
                <w:sz w:val="20"/>
              </w:rPr>
            </w:pPr>
            <w:r>
              <w:rPr>
                <w:rFonts w:ascii="Arial Narrow" w:hAnsi="Arial Narrow"/>
                <w:b/>
                <w:noProof/>
                <w:sz w:val="20"/>
              </w:rPr>
              <w:t xml:space="preserve">Wskaźniki ilościowe </w:t>
            </w:r>
            <w:r>
              <w:rPr>
                <w:rFonts w:ascii="Arial Narrow" w:hAnsi="Arial Narrow"/>
                <w:noProof/>
              </w:rPr>
              <w:t xml:space="preserve"> </w:t>
            </w:r>
            <w:r>
              <w:rPr>
                <w:noProof/>
              </w:rPr>
              <w:t xml:space="preserve">  </w:t>
            </w:r>
            <w:r>
              <w:rPr>
                <w:noProof/>
              </w:rPr>
              <w:br/>
            </w:r>
            <w:r>
              <w:rPr>
                <w:rFonts w:ascii="Arial Narrow" w:hAnsi="Arial Narrow"/>
                <w:b/>
                <w:noProof/>
                <w:sz w:val="20"/>
              </w:rPr>
              <w:t>(dla wartości docelowych)</w:t>
            </w:r>
          </w:p>
        </w:tc>
        <w:tc>
          <w:tcPr>
            <w:tcW w:w="1582" w:type="dxa"/>
            <w:gridSpan w:val="2"/>
            <w:tcBorders>
              <w:top w:val="single" w:sz="4" w:space="0" w:color="auto"/>
              <w:left w:val="nil"/>
              <w:bottom w:val="single" w:sz="4" w:space="0" w:color="auto"/>
              <w:right w:val="single" w:sz="4" w:space="0" w:color="auto"/>
            </w:tcBorders>
            <w:shd w:val="clear" w:color="auto" w:fill="BDD7EE"/>
            <w:vAlign w:val="center"/>
            <w:hideMark/>
          </w:tcPr>
          <w:p w14:paraId="4E375BFE" w14:textId="77777777" w:rsidR="004C6421" w:rsidRDefault="009D1962">
            <w:pPr>
              <w:pStyle w:val="P68B1DB1-Normal3"/>
              <w:jc w:val="center"/>
              <w:rPr>
                <w:noProof/>
              </w:rPr>
            </w:pPr>
            <w:r>
              <w:rPr>
                <w:noProof/>
              </w:rPr>
              <w:t>Orientacyjny harmonogram zakończenia działania</w:t>
            </w:r>
          </w:p>
        </w:tc>
        <w:tc>
          <w:tcPr>
            <w:tcW w:w="423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CD10421" w14:textId="77777777" w:rsidR="004C6421" w:rsidRDefault="009D1962">
            <w:pPr>
              <w:pStyle w:val="P68B1DB1-Normal3"/>
              <w:jc w:val="center"/>
              <w:rPr>
                <w:noProof/>
              </w:rPr>
            </w:pPr>
            <w:r>
              <w:rPr>
                <w:noProof/>
              </w:rPr>
              <w:t>Opis każdego kamienia milowego i każdej wartości docelowej</w:t>
            </w:r>
          </w:p>
        </w:tc>
      </w:tr>
      <w:tr w:rsidR="004C6421" w14:paraId="70934F89" w14:textId="77777777">
        <w:trPr>
          <w:trHeight w:val="1013"/>
          <w:jc w:val="center"/>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1DE45B93" w14:textId="77777777" w:rsidR="004C6421" w:rsidRDefault="004C6421">
            <w:pPr>
              <w:jc w:val="center"/>
              <w:rPr>
                <w:rFonts w:ascii="Arial Narrow" w:hAnsi="Arial Narrow"/>
                <w:b/>
                <w:noProof/>
                <w:sz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C99CEF9" w14:textId="77777777" w:rsidR="004C6421" w:rsidRDefault="004C6421">
            <w:pPr>
              <w:jc w:val="center"/>
              <w:rPr>
                <w:rFonts w:ascii="Arial Narrow" w:hAnsi="Arial Narrow"/>
                <w:b/>
                <w:noProof/>
                <w:sz w:val="20"/>
              </w:rPr>
            </w:pPr>
          </w:p>
        </w:tc>
        <w:tc>
          <w:tcPr>
            <w:tcW w:w="1066" w:type="dxa"/>
            <w:vMerge/>
            <w:tcBorders>
              <w:top w:val="single" w:sz="4" w:space="0" w:color="auto"/>
              <w:left w:val="single" w:sz="4" w:space="0" w:color="auto"/>
              <w:bottom w:val="single" w:sz="4" w:space="0" w:color="auto"/>
              <w:right w:val="single" w:sz="4" w:space="0" w:color="auto"/>
            </w:tcBorders>
            <w:vAlign w:val="center"/>
            <w:hideMark/>
          </w:tcPr>
          <w:p w14:paraId="13A6059E" w14:textId="77777777" w:rsidR="004C6421" w:rsidRDefault="004C6421">
            <w:pPr>
              <w:jc w:val="center"/>
              <w:rPr>
                <w:rFonts w:ascii="Arial Narrow" w:hAnsi="Arial Narrow"/>
                <w:b/>
                <w:noProof/>
                <w:sz w:val="20"/>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14:paraId="63324C19" w14:textId="77777777" w:rsidR="004C6421" w:rsidRDefault="004C6421">
            <w:pPr>
              <w:jc w:val="center"/>
              <w:rPr>
                <w:rFonts w:ascii="Arial Narrow" w:hAnsi="Arial Narrow"/>
                <w:b/>
                <w:noProof/>
                <w:sz w:val="20"/>
              </w:rPr>
            </w:pPr>
          </w:p>
        </w:tc>
        <w:tc>
          <w:tcPr>
            <w:tcW w:w="1777" w:type="dxa"/>
            <w:vMerge/>
            <w:tcBorders>
              <w:top w:val="single" w:sz="4" w:space="0" w:color="auto"/>
              <w:left w:val="single" w:sz="4" w:space="0" w:color="auto"/>
              <w:bottom w:val="single" w:sz="4" w:space="0" w:color="auto"/>
              <w:right w:val="single" w:sz="4" w:space="0" w:color="auto"/>
            </w:tcBorders>
            <w:vAlign w:val="center"/>
            <w:hideMark/>
          </w:tcPr>
          <w:p w14:paraId="1B9E42C9" w14:textId="77777777" w:rsidR="004C6421" w:rsidRDefault="004C6421">
            <w:pPr>
              <w:jc w:val="center"/>
              <w:rPr>
                <w:rFonts w:ascii="Arial Narrow" w:hAnsi="Arial Narrow"/>
                <w:b/>
                <w:noProof/>
                <w:sz w:val="20"/>
              </w:rPr>
            </w:pPr>
          </w:p>
        </w:tc>
        <w:tc>
          <w:tcPr>
            <w:tcW w:w="926"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2174DB7C" w14:textId="77777777" w:rsidR="004C6421" w:rsidRDefault="009D1962">
            <w:pPr>
              <w:pStyle w:val="P68B1DB1-Normal3"/>
              <w:jc w:val="center"/>
              <w:rPr>
                <w:noProof/>
              </w:rPr>
            </w:pPr>
            <w:r>
              <w:rPr>
                <w:noProof/>
              </w:rPr>
              <w:t>Jednostka miary</w:t>
            </w:r>
          </w:p>
        </w:tc>
        <w:tc>
          <w:tcPr>
            <w:tcW w:w="1096" w:type="dxa"/>
            <w:tcBorders>
              <w:top w:val="single" w:sz="4" w:space="0" w:color="auto"/>
              <w:left w:val="nil"/>
              <w:bottom w:val="single" w:sz="4" w:space="0" w:color="auto"/>
              <w:right w:val="single" w:sz="4" w:space="0" w:color="auto"/>
            </w:tcBorders>
            <w:shd w:val="clear" w:color="auto" w:fill="BDD7EE"/>
            <w:vAlign w:val="center"/>
            <w:hideMark/>
          </w:tcPr>
          <w:p w14:paraId="1B14DBF2" w14:textId="77777777" w:rsidR="004C6421" w:rsidRDefault="009D1962">
            <w:pPr>
              <w:pStyle w:val="P68B1DB1-Normal3"/>
              <w:jc w:val="center"/>
              <w:rPr>
                <w:noProof/>
              </w:rPr>
            </w:pPr>
            <w:r>
              <w:rPr>
                <w:noProof/>
              </w:rPr>
              <w:t>Bazowy</w:t>
            </w:r>
          </w:p>
        </w:tc>
        <w:tc>
          <w:tcPr>
            <w:tcW w:w="878" w:type="dxa"/>
            <w:tcBorders>
              <w:top w:val="single" w:sz="4" w:space="0" w:color="auto"/>
              <w:left w:val="nil"/>
              <w:bottom w:val="single" w:sz="4" w:space="0" w:color="auto"/>
              <w:right w:val="single" w:sz="4" w:space="0" w:color="auto"/>
            </w:tcBorders>
            <w:shd w:val="clear" w:color="auto" w:fill="BDD7EE"/>
            <w:vAlign w:val="center"/>
            <w:hideMark/>
          </w:tcPr>
          <w:p w14:paraId="0A4699BA" w14:textId="77777777" w:rsidR="004C6421" w:rsidRDefault="009D1962">
            <w:pPr>
              <w:pStyle w:val="P68B1DB1-Normal3"/>
              <w:jc w:val="center"/>
              <w:rPr>
                <w:noProof/>
              </w:rPr>
            </w:pPr>
            <w:r>
              <w:rPr>
                <w:noProof/>
              </w:rPr>
              <w:t>Cel</w:t>
            </w:r>
          </w:p>
        </w:tc>
        <w:tc>
          <w:tcPr>
            <w:tcW w:w="916" w:type="dxa"/>
            <w:tcBorders>
              <w:top w:val="single" w:sz="4" w:space="0" w:color="auto"/>
              <w:left w:val="nil"/>
              <w:bottom w:val="single" w:sz="4" w:space="0" w:color="auto"/>
              <w:right w:val="single" w:sz="4" w:space="0" w:color="auto"/>
            </w:tcBorders>
            <w:shd w:val="clear" w:color="auto" w:fill="BDD7EE"/>
            <w:vAlign w:val="center"/>
            <w:hideMark/>
          </w:tcPr>
          <w:p w14:paraId="51841AA2" w14:textId="77777777" w:rsidR="004C6421" w:rsidRDefault="009D1962">
            <w:pPr>
              <w:pStyle w:val="P68B1DB1-Normal3"/>
              <w:jc w:val="center"/>
              <w:rPr>
                <w:noProof/>
              </w:rPr>
            </w:pPr>
            <w:r>
              <w:rPr>
                <w:noProof/>
              </w:rPr>
              <w:t>Kwartał</w:t>
            </w:r>
          </w:p>
        </w:tc>
        <w:tc>
          <w:tcPr>
            <w:tcW w:w="666" w:type="dxa"/>
            <w:tcBorders>
              <w:top w:val="single" w:sz="4" w:space="0" w:color="auto"/>
              <w:left w:val="nil"/>
              <w:bottom w:val="single" w:sz="4" w:space="0" w:color="auto"/>
              <w:right w:val="single" w:sz="4" w:space="0" w:color="auto"/>
            </w:tcBorders>
            <w:shd w:val="clear" w:color="auto" w:fill="BDD7EE"/>
            <w:vAlign w:val="center"/>
            <w:hideMark/>
          </w:tcPr>
          <w:p w14:paraId="53FE9D2E" w14:textId="77777777" w:rsidR="004C6421" w:rsidRDefault="009D1962">
            <w:pPr>
              <w:pStyle w:val="P68B1DB1-Normal3"/>
              <w:jc w:val="center"/>
              <w:rPr>
                <w:noProof/>
              </w:rPr>
            </w:pPr>
            <w:r>
              <w:rPr>
                <w:noProof/>
              </w:rPr>
              <w:t>Rok</w:t>
            </w:r>
          </w:p>
        </w:tc>
        <w:tc>
          <w:tcPr>
            <w:tcW w:w="4231" w:type="dxa"/>
            <w:vMerge/>
            <w:tcBorders>
              <w:bottom w:val="single" w:sz="4" w:space="0" w:color="auto"/>
              <w:right w:val="single" w:sz="4" w:space="0" w:color="auto"/>
            </w:tcBorders>
            <w:vAlign w:val="center"/>
            <w:hideMark/>
          </w:tcPr>
          <w:p w14:paraId="69E0CFDD" w14:textId="77777777" w:rsidR="004C6421" w:rsidRDefault="004C6421">
            <w:pPr>
              <w:rPr>
                <w:rFonts w:ascii="Arial Narrow" w:hAnsi="Arial Narrow"/>
                <w:b/>
                <w:noProof/>
                <w:sz w:val="20"/>
              </w:rPr>
            </w:pPr>
          </w:p>
        </w:tc>
      </w:tr>
      <w:tr w:rsidR="004C6421" w14:paraId="071C6477" w14:textId="77777777">
        <w:trPr>
          <w:trHeight w:val="309"/>
          <w:jc w:val="center"/>
        </w:trPr>
        <w:tc>
          <w:tcPr>
            <w:tcW w:w="1130"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E5F3D71" w14:textId="77777777" w:rsidR="004C6421" w:rsidRDefault="009D1962">
            <w:pPr>
              <w:pStyle w:val="P68B1DB1-Normal4"/>
              <w:jc w:val="center"/>
              <w:rPr>
                <w:noProof/>
              </w:rPr>
            </w:pPr>
            <w:r>
              <w:rPr>
                <w:noProof/>
              </w:rPr>
              <w:t>M3C2-1</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06C50FDD" w14:textId="77777777" w:rsidR="004C6421" w:rsidRDefault="009D1962">
            <w:pPr>
              <w:pStyle w:val="P68B1DB1-Normal4"/>
              <w:spacing w:line="257" w:lineRule="auto"/>
              <w:jc w:val="center"/>
              <w:rPr>
                <w:noProof/>
              </w:rPr>
            </w:pPr>
            <w:r>
              <w:rPr>
                <w:noProof/>
              </w:rPr>
              <w:t>Reforma 1.1 – Uproszczenie procedur dotyczących procesu planowania strategicznego</w:t>
            </w:r>
          </w:p>
        </w:tc>
        <w:tc>
          <w:tcPr>
            <w:tcW w:w="1066" w:type="dxa"/>
            <w:tcBorders>
              <w:top w:val="single" w:sz="4" w:space="0" w:color="auto"/>
              <w:left w:val="nil"/>
              <w:bottom w:val="single" w:sz="4" w:space="0" w:color="auto"/>
              <w:right w:val="single" w:sz="4" w:space="0" w:color="auto"/>
            </w:tcBorders>
            <w:shd w:val="clear" w:color="auto" w:fill="C6EFCE"/>
            <w:noWrap/>
            <w:vAlign w:val="center"/>
          </w:tcPr>
          <w:p w14:paraId="50FE55C5" w14:textId="5DF0DB70" w:rsidR="004C6421" w:rsidRDefault="00CC179E">
            <w:pPr>
              <w:pStyle w:val="P68B1DB1-Normal4"/>
              <w:jc w:val="center"/>
              <w:rPr>
                <w:noProof/>
              </w:rPr>
            </w:pPr>
            <w:r>
              <w:rPr>
                <w:noProof/>
              </w:rPr>
              <w:t>Milowy</w:t>
            </w:r>
          </w:p>
        </w:tc>
        <w:tc>
          <w:tcPr>
            <w:tcW w:w="1627" w:type="dxa"/>
            <w:tcBorders>
              <w:top w:val="single" w:sz="4" w:space="0" w:color="auto"/>
              <w:left w:val="nil"/>
              <w:bottom w:val="single" w:sz="4" w:space="0" w:color="auto"/>
              <w:right w:val="single" w:sz="4" w:space="0" w:color="auto"/>
            </w:tcBorders>
            <w:shd w:val="clear" w:color="auto" w:fill="C6EFCE"/>
            <w:noWrap/>
            <w:vAlign w:val="center"/>
          </w:tcPr>
          <w:p w14:paraId="482D4128" w14:textId="77777777" w:rsidR="004C6421" w:rsidRDefault="009D1962">
            <w:pPr>
              <w:pStyle w:val="P68B1DB1-Normal4"/>
              <w:jc w:val="center"/>
              <w:rPr>
                <w:noProof/>
              </w:rPr>
            </w:pPr>
            <w:r>
              <w:rPr>
                <w:noProof/>
              </w:rPr>
              <w:t>Wejście w życie zmian legislacyjnych związanych z uproszczeniem procedur dotyczących procesu planowania strategicznego</w:t>
            </w:r>
          </w:p>
        </w:tc>
        <w:tc>
          <w:tcPr>
            <w:tcW w:w="1777" w:type="dxa"/>
            <w:tcBorders>
              <w:top w:val="single" w:sz="4" w:space="0" w:color="auto"/>
              <w:left w:val="nil"/>
              <w:bottom w:val="single" w:sz="4" w:space="0" w:color="auto"/>
              <w:right w:val="single" w:sz="4" w:space="0" w:color="auto"/>
            </w:tcBorders>
            <w:shd w:val="clear" w:color="auto" w:fill="C6EFCE"/>
            <w:noWrap/>
            <w:vAlign w:val="center"/>
          </w:tcPr>
          <w:p w14:paraId="0B29662A" w14:textId="77777777" w:rsidR="004C6421" w:rsidRDefault="009D1962">
            <w:pPr>
              <w:pStyle w:val="P68B1DB1-Normal4"/>
              <w:jc w:val="center"/>
              <w:rPr>
                <w:noProof/>
              </w:rPr>
            </w:pPr>
            <w:r>
              <w:rPr>
                <w:noProof/>
              </w:rPr>
              <w:t>Przepis w akcie(-ach) prawnym(-ych) wskazujący na wejście w życie zmian legislacyjnych związanych z uproszczeniem procedur dotyczących procesu planowania strategicznego NIE DOT.</w:t>
            </w:r>
          </w:p>
        </w:tc>
        <w:tc>
          <w:tcPr>
            <w:tcW w:w="926" w:type="dxa"/>
            <w:tcBorders>
              <w:top w:val="single" w:sz="4" w:space="0" w:color="auto"/>
              <w:left w:val="nil"/>
              <w:bottom w:val="single" w:sz="4" w:space="0" w:color="auto"/>
              <w:right w:val="single" w:sz="4" w:space="0" w:color="auto"/>
            </w:tcBorders>
            <w:shd w:val="clear" w:color="auto" w:fill="C6EFCE"/>
            <w:noWrap/>
            <w:vAlign w:val="center"/>
          </w:tcPr>
          <w:p w14:paraId="4E410970" w14:textId="77777777" w:rsidR="004C6421" w:rsidRDefault="009D1962">
            <w:pPr>
              <w:pStyle w:val="P68B1DB1-Normal4"/>
              <w:jc w:val="center"/>
              <w:rPr>
                <w:noProof/>
              </w:rPr>
            </w:pPr>
            <w:r>
              <w:rPr>
                <w:noProof/>
              </w:rPr>
              <w:t>NIE DOT.</w:t>
            </w:r>
          </w:p>
        </w:tc>
        <w:tc>
          <w:tcPr>
            <w:tcW w:w="1096" w:type="dxa"/>
            <w:tcBorders>
              <w:top w:val="nil"/>
              <w:left w:val="nil"/>
              <w:bottom w:val="single" w:sz="4" w:space="0" w:color="auto"/>
              <w:right w:val="single" w:sz="4" w:space="0" w:color="auto"/>
            </w:tcBorders>
            <w:shd w:val="clear" w:color="auto" w:fill="C6EFCE"/>
            <w:noWrap/>
            <w:vAlign w:val="center"/>
          </w:tcPr>
          <w:p w14:paraId="3013DFA9" w14:textId="77777777" w:rsidR="004C6421" w:rsidRDefault="009D1962">
            <w:pPr>
              <w:pStyle w:val="P68B1DB1-Normal4"/>
              <w:jc w:val="center"/>
              <w:rPr>
                <w:noProof/>
              </w:rPr>
            </w:pPr>
            <w:r>
              <w:rPr>
                <w:noProof/>
              </w:rPr>
              <w:t>NIE DOT.</w:t>
            </w:r>
          </w:p>
        </w:tc>
        <w:tc>
          <w:tcPr>
            <w:tcW w:w="878" w:type="dxa"/>
            <w:tcBorders>
              <w:top w:val="nil"/>
              <w:left w:val="nil"/>
              <w:bottom w:val="single" w:sz="4" w:space="0" w:color="auto"/>
              <w:right w:val="single" w:sz="4" w:space="0" w:color="auto"/>
            </w:tcBorders>
            <w:shd w:val="clear" w:color="auto" w:fill="C6EFCE"/>
            <w:noWrap/>
            <w:vAlign w:val="center"/>
          </w:tcPr>
          <w:p w14:paraId="0578254C" w14:textId="77777777" w:rsidR="004C6421" w:rsidRDefault="009D1962">
            <w:pPr>
              <w:pStyle w:val="P68B1DB1-Normal4"/>
              <w:jc w:val="center"/>
              <w:rPr>
                <w:noProof/>
              </w:rPr>
            </w:pPr>
            <w:r>
              <w:rPr>
                <w:noProof/>
              </w:rPr>
              <w:t>NIE DOT.</w:t>
            </w:r>
          </w:p>
        </w:tc>
        <w:tc>
          <w:tcPr>
            <w:tcW w:w="916" w:type="dxa"/>
            <w:tcBorders>
              <w:top w:val="nil"/>
              <w:left w:val="nil"/>
              <w:bottom w:val="single" w:sz="4" w:space="0" w:color="auto"/>
              <w:right w:val="single" w:sz="4" w:space="0" w:color="auto"/>
            </w:tcBorders>
            <w:shd w:val="clear" w:color="auto" w:fill="C6EFCE"/>
            <w:noWrap/>
            <w:vAlign w:val="center"/>
          </w:tcPr>
          <w:p w14:paraId="6D3B9259" w14:textId="7C1F3CD6" w:rsidR="004C6421" w:rsidRDefault="00CC179E">
            <w:pPr>
              <w:pStyle w:val="P68B1DB1-Normal4"/>
              <w:jc w:val="center"/>
              <w:rPr>
                <w:noProof/>
              </w:rPr>
            </w:pPr>
            <w:r>
              <w:rPr>
                <w:noProof/>
              </w:rPr>
              <w:t>KW. 4</w:t>
            </w:r>
          </w:p>
        </w:tc>
        <w:tc>
          <w:tcPr>
            <w:tcW w:w="666" w:type="dxa"/>
            <w:tcBorders>
              <w:top w:val="nil"/>
              <w:left w:val="nil"/>
              <w:bottom w:val="single" w:sz="4" w:space="0" w:color="auto"/>
              <w:right w:val="single" w:sz="4" w:space="0" w:color="auto"/>
            </w:tcBorders>
            <w:shd w:val="clear" w:color="auto" w:fill="C6EFCE"/>
            <w:noWrap/>
            <w:vAlign w:val="center"/>
          </w:tcPr>
          <w:p w14:paraId="216A53F3" w14:textId="77777777" w:rsidR="004C6421" w:rsidRDefault="009D1962">
            <w:pPr>
              <w:pStyle w:val="P68B1DB1-Normal4"/>
              <w:jc w:val="center"/>
              <w:rPr>
                <w:noProof/>
              </w:rPr>
            </w:pPr>
            <w:r>
              <w:rPr>
                <w:noProof/>
              </w:rPr>
              <w:t>2022</w:t>
            </w:r>
          </w:p>
        </w:tc>
        <w:tc>
          <w:tcPr>
            <w:tcW w:w="4231" w:type="dxa"/>
            <w:tcBorders>
              <w:top w:val="single" w:sz="4" w:space="0" w:color="auto"/>
              <w:left w:val="nil"/>
              <w:bottom w:val="single" w:sz="4" w:space="0" w:color="auto"/>
              <w:right w:val="single" w:sz="4" w:space="0" w:color="auto"/>
            </w:tcBorders>
            <w:shd w:val="clear" w:color="auto" w:fill="C6EFCE"/>
            <w:noWrap/>
            <w:vAlign w:val="center"/>
          </w:tcPr>
          <w:p w14:paraId="07234F3F" w14:textId="77777777" w:rsidR="004C6421" w:rsidRDefault="009D1962">
            <w:pPr>
              <w:pStyle w:val="P68B1DB1-Normal4"/>
              <w:rPr>
                <w:noProof/>
              </w:rPr>
            </w:pPr>
            <w:r>
              <w:rPr>
                <w:noProof/>
              </w:rPr>
              <w:t>Zmienione ramy legislacyjne określają, co następuje:</w:t>
            </w:r>
          </w:p>
          <w:p w14:paraId="70A3DFAD" w14:textId="77777777" w:rsidR="004C6421" w:rsidRDefault="004C6421">
            <w:pPr>
              <w:rPr>
                <w:rFonts w:ascii="Arial Narrow" w:hAnsi="Arial Narrow"/>
                <w:noProof/>
                <w:color w:val="006100"/>
                <w:sz w:val="20"/>
              </w:rPr>
            </w:pPr>
          </w:p>
          <w:p w14:paraId="59C8EE1A" w14:textId="77777777" w:rsidR="004C6421" w:rsidRDefault="009D1962">
            <w:pPr>
              <w:pStyle w:val="P68B1DB1-Normal4"/>
              <w:rPr>
                <w:noProof/>
              </w:rPr>
            </w:pPr>
            <w:r>
              <w:rPr>
                <w:noProof/>
              </w:rPr>
              <w:t>— Wszystkie władze portowe przyjmują swoje dokumenty planowania strategicznego (DPSS) oraz plany regulacji portów (PRP), w pełni uwzględniając reformę włoskich systemów portowych z 2016 r. zatwierdzoną dekretem ustawodawczym nr 169 z dnia 4 sierpnia 2016 r.</w:t>
            </w:r>
          </w:p>
          <w:p w14:paraId="0C6337D6" w14:textId="77777777" w:rsidR="004C6421" w:rsidRDefault="004C6421">
            <w:pPr>
              <w:rPr>
                <w:rFonts w:ascii="Arial Narrow" w:hAnsi="Arial Narrow"/>
                <w:noProof/>
                <w:color w:val="006100"/>
                <w:sz w:val="20"/>
              </w:rPr>
            </w:pPr>
          </w:p>
          <w:p w14:paraId="5561BECB" w14:textId="77777777" w:rsidR="004C6421" w:rsidRDefault="009D1962">
            <w:pPr>
              <w:pStyle w:val="P68B1DB1-Normal4"/>
              <w:rPr>
                <w:noProof/>
              </w:rPr>
            </w:pPr>
            <w:r>
              <w:rPr>
                <w:noProof/>
              </w:rPr>
              <w:t>Dynamiczny system zakupów reguluje co najmniej następujące elementy:</w:t>
            </w:r>
          </w:p>
          <w:p w14:paraId="21E1587A" w14:textId="77777777" w:rsidR="004C6421" w:rsidRDefault="004C6421">
            <w:pPr>
              <w:rPr>
                <w:rFonts w:ascii="Arial Narrow" w:hAnsi="Arial Narrow"/>
                <w:noProof/>
                <w:color w:val="006100"/>
                <w:sz w:val="20"/>
              </w:rPr>
            </w:pPr>
          </w:p>
          <w:p w14:paraId="5D0BF4EB" w14:textId="77777777" w:rsidR="004C6421" w:rsidRDefault="009D1962">
            <w:pPr>
              <w:pStyle w:val="P68B1DB1-Normal4"/>
              <w:rPr>
                <w:noProof/>
              </w:rPr>
            </w:pPr>
            <w:r>
              <w:rPr>
                <w:noProof/>
              </w:rPr>
              <w:t>—Opracowywanie celów organów systemu portowego;</w:t>
            </w:r>
          </w:p>
          <w:p w14:paraId="2EBFC8D8" w14:textId="77777777" w:rsidR="004C6421" w:rsidRDefault="009D1962">
            <w:pPr>
              <w:pStyle w:val="P68B1DB1-Normal4"/>
              <w:rPr>
                <w:noProof/>
              </w:rPr>
            </w:pPr>
            <w:r>
              <w:rPr>
                <w:noProof/>
              </w:rPr>
              <w:t>Zidentyfikowane i zarysowane obszary przeznaczone wyłącznie do pełnienia funkcji portu i portu tylnego,</w:t>
            </w:r>
          </w:p>
          <w:p w14:paraId="0E88C869" w14:textId="77777777" w:rsidR="004C6421" w:rsidRDefault="009D1962">
            <w:pPr>
              <w:pStyle w:val="P68B1DB1-Normal4"/>
              <w:rPr>
                <w:noProof/>
              </w:rPr>
            </w:pPr>
            <w:r>
              <w:rPr>
                <w:noProof/>
              </w:rPr>
              <w:t>—Ostatniej mili infrastrukturalnych połączeń drogowych i kolejowych z portami,</w:t>
            </w:r>
          </w:p>
          <w:p w14:paraId="307D11A1" w14:textId="77777777" w:rsidR="004C6421" w:rsidRDefault="009D1962">
            <w:pPr>
              <w:pStyle w:val="P68B1DB1-Normal4"/>
              <w:rPr>
                <w:noProof/>
              </w:rPr>
            </w:pPr>
            <w:r>
              <w:rPr>
                <w:noProof/>
              </w:rPr>
              <w:t>Kryteria stosowane przy określaniu treści planowania,</w:t>
            </w:r>
          </w:p>
          <w:p w14:paraId="491A0AC8" w14:textId="77777777" w:rsidR="004C6421" w:rsidRDefault="009D1962">
            <w:pPr>
              <w:pStyle w:val="P68B1DB1-Normal4"/>
              <w:rPr>
                <w:noProof/>
              </w:rPr>
            </w:pPr>
            <w:r>
              <w:rPr>
                <w:noProof/>
              </w:rPr>
              <w:t>Jednoznaczne określenie wytycznych, zasad i procedur przygotowania planów regulacyjnych portu.</w:t>
            </w:r>
          </w:p>
        </w:tc>
      </w:tr>
      <w:tr w:rsidR="004C6421" w14:paraId="6D1FECE4" w14:textId="77777777">
        <w:trPr>
          <w:trHeight w:val="309"/>
          <w:jc w:val="center"/>
        </w:trPr>
        <w:tc>
          <w:tcPr>
            <w:tcW w:w="1130" w:type="dxa"/>
            <w:tcBorders>
              <w:top w:val="nil"/>
              <w:left w:val="single" w:sz="4" w:space="0" w:color="auto"/>
              <w:bottom w:val="single" w:sz="4" w:space="0" w:color="auto"/>
              <w:right w:val="single" w:sz="4" w:space="0" w:color="auto"/>
            </w:tcBorders>
            <w:shd w:val="clear" w:color="auto" w:fill="C6EFCE"/>
            <w:noWrap/>
            <w:vAlign w:val="center"/>
          </w:tcPr>
          <w:p w14:paraId="6746D97B" w14:textId="77777777" w:rsidR="004C6421" w:rsidRDefault="009D1962">
            <w:pPr>
              <w:pStyle w:val="P68B1DB1-Normal4"/>
              <w:jc w:val="center"/>
              <w:rPr>
                <w:noProof/>
              </w:rPr>
            </w:pPr>
            <w:r>
              <w:rPr>
                <w:noProof/>
              </w:rPr>
              <w:t>M3C2-2</w:t>
            </w:r>
          </w:p>
        </w:tc>
        <w:tc>
          <w:tcPr>
            <w:tcW w:w="1560" w:type="dxa"/>
            <w:tcBorders>
              <w:top w:val="nil"/>
              <w:left w:val="nil"/>
              <w:bottom w:val="single" w:sz="4" w:space="0" w:color="auto"/>
              <w:right w:val="single" w:sz="4" w:space="0" w:color="auto"/>
            </w:tcBorders>
            <w:shd w:val="clear" w:color="auto" w:fill="C6EFCE"/>
            <w:noWrap/>
            <w:vAlign w:val="center"/>
          </w:tcPr>
          <w:p w14:paraId="241242FD" w14:textId="77777777" w:rsidR="004C6421" w:rsidRDefault="009D1962">
            <w:pPr>
              <w:pStyle w:val="P68B1DB1-Normal4"/>
              <w:jc w:val="center"/>
              <w:rPr>
                <w:noProof/>
              </w:rPr>
            </w:pPr>
            <w:r>
              <w:rPr>
                <w:noProof/>
              </w:rPr>
              <w:t>Reforma 1.2 – Konkurencyjne udzielanie koncesji w portach włoskich</w:t>
            </w:r>
          </w:p>
        </w:tc>
        <w:tc>
          <w:tcPr>
            <w:tcW w:w="1066" w:type="dxa"/>
            <w:tcBorders>
              <w:top w:val="nil"/>
              <w:left w:val="nil"/>
              <w:bottom w:val="single" w:sz="4" w:space="0" w:color="auto"/>
              <w:right w:val="single" w:sz="4" w:space="0" w:color="auto"/>
            </w:tcBorders>
            <w:shd w:val="clear" w:color="auto" w:fill="C6EFCE"/>
            <w:noWrap/>
            <w:vAlign w:val="center"/>
          </w:tcPr>
          <w:p w14:paraId="6BA0AEB0" w14:textId="556DE630" w:rsidR="004C6421" w:rsidRDefault="00CC179E">
            <w:pPr>
              <w:pStyle w:val="P68B1DB1-Normal4"/>
              <w:jc w:val="center"/>
              <w:rPr>
                <w:noProof/>
              </w:rPr>
            </w:pPr>
            <w:r>
              <w:rPr>
                <w:noProof/>
              </w:rPr>
              <w:t>Milowy</w:t>
            </w:r>
          </w:p>
        </w:tc>
        <w:tc>
          <w:tcPr>
            <w:tcW w:w="1627" w:type="dxa"/>
            <w:tcBorders>
              <w:top w:val="nil"/>
              <w:left w:val="nil"/>
              <w:bottom w:val="single" w:sz="4" w:space="0" w:color="auto"/>
              <w:right w:val="single" w:sz="4" w:space="0" w:color="auto"/>
            </w:tcBorders>
            <w:shd w:val="clear" w:color="auto" w:fill="C6EFCE"/>
            <w:noWrap/>
            <w:vAlign w:val="center"/>
          </w:tcPr>
          <w:p w14:paraId="0E5A7A6B" w14:textId="77777777" w:rsidR="004C6421" w:rsidRDefault="009D1962">
            <w:pPr>
              <w:pStyle w:val="P68B1DB1-Normal4"/>
              <w:jc w:val="center"/>
              <w:rPr>
                <w:noProof/>
              </w:rPr>
            </w:pPr>
            <w:r>
              <w:rPr>
                <w:noProof/>
              </w:rPr>
              <w:t>Wejście w życie rozporządzenia w sprawie koncesji portowych</w:t>
            </w:r>
          </w:p>
        </w:tc>
        <w:tc>
          <w:tcPr>
            <w:tcW w:w="1777" w:type="dxa"/>
            <w:tcBorders>
              <w:top w:val="nil"/>
              <w:left w:val="nil"/>
              <w:bottom w:val="single" w:sz="4" w:space="0" w:color="auto"/>
              <w:right w:val="single" w:sz="4" w:space="0" w:color="auto"/>
            </w:tcBorders>
            <w:shd w:val="clear" w:color="auto" w:fill="C6EFCE"/>
            <w:noWrap/>
            <w:vAlign w:val="center"/>
          </w:tcPr>
          <w:p w14:paraId="401724AD" w14:textId="77777777" w:rsidR="004C6421" w:rsidRDefault="009D1962">
            <w:pPr>
              <w:pStyle w:val="P68B1DB1-Normal4"/>
              <w:jc w:val="center"/>
              <w:rPr>
                <w:noProof/>
              </w:rPr>
            </w:pPr>
            <w:r>
              <w:rPr>
                <w:noProof/>
              </w:rPr>
              <w:t>Przepis rozporządzenia wskazujący na wejście w życie rozporządzenia w sprawie koncesji portowych NIE DOT.</w:t>
            </w:r>
          </w:p>
        </w:tc>
        <w:tc>
          <w:tcPr>
            <w:tcW w:w="926" w:type="dxa"/>
            <w:tcBorders>
              <w:top w:val="nil"/>
              <w:left w:val="nil"/>
              <w:bottom w:val="single" w:sz="4" w:space="0" w:color="auto"/>
              <w:right w:val="single" w:sz="4" w:space="0" w:color="auto"/>
            </w:tcBorders>
            <w:shd w:val="clear" w:color="auto" w:fill="C6EFCE"/>
            <w:noWrap/>
            <w:vAlign w:val="center"/>
          </w:tcPr>
          <w:p w14:paraId="52E6D777" w14:textId="77777777" w:rsidR="004C6421" w:rsidRDefault="009D1962">
            <w:pPr>
              <w:pStyle w:val="P68B1DB1-Normal4"/>
              <w:jc w:val="center"/>
              <w:rPr>
                <w:noProof/>
              </w:rPr>
            </w:pPr>
            <w:r>
              <w:rPr>
                <w:noProof/>
              </w:rPr>
              <w:t>NIE DOT.</w:t>
            </w:r>
          </w:p>
        </w:tc>
        <w:tc>
          <w:tcPr>
            <w:tcW w:w="1096" w:type="dxa"/>
            <w:tcBorders>
              <w:top w:val="nil"/>
              <w:left w:val="nil"/>
              <w:bottom w:val="single" w:sz="4" w:space="0" w:color="auto"/>
              <w:right w:val="single" w:sz="4" w:space="0" w:color="auto"/>
            </w:tcBorders>
            <w:shd w:val="clear" w:color="auto" w:fill="C6EFCE"/>
            <w:noWrap/>
            <w:vAlign w:val="center"/>
          </w:tcPr>
          <w:p w14:paraId="7CE4C92B" w14:textId="77777777" w:rsidR="004C6421" w:rsidRDefault="009D1962">
            <w:pPr>
              <w:pStyle w:val="P68B1DB1-Normal4"/>
              <w:jc w:val="center"/>
              <w:rPr>
                <w:noProof/>
              </w:rPr>
            </w:pPr>
            <w:r>
              <w:rPr>
                <w:noProof/>
              </w:rPr>
              <w:t>NIE DOT.</w:t>
            </w:r>
          </w:p>
        </w:tc>
        <w:tc>
          <w:tcPr>
            <w:tcW w:w="878" w:type="dxa"/>
            <w:tcBorders>
              <w:top w:val="nil"/>
              <w:left w:val="nil"/>
              <w:bottom w:val="single" w:sz="4" w:space="0" w:color="auto"/>
              <w:right w:val="single" w:sz="4" w:space="0" w:color="auto"/>
            </w:tcBorders>
            <w:shd w:val="clear" w:color="auto" w:fill="C6EFCE"/>
            <w:noWrap/>
            <w:vAlign w:val="center"/>
          </w:tcPr>
          <w:p w14:paraId="700667C3" w14:textId="77777777" w:rsidR="004C6421" w:rsidRDefault="009D1962">
            <w:pPr>
              <w:pStyle w:val="P68B1DB1-Normal4"/>
              <w:jc w:val="center"/>
              <w:rPr>
                <w:noProof/>
              </w:rPr>
            </w:pPr>
            <w:r>
              <w:rPr>
                <w:noProof/>
              </w:rPr>
              <w:t>NIE DOT.</w:t>
            </w:r>
          </w:p>
        </w:tc>
        <w:tc>
          <w:tcPr>
            <w:tcW w:w="916" w:type="dxa"/>
            <w:tcBorders>
              <w:top w:val="nil"/>
              <w:left w:val="nil"/>
              <w:bottom w:val="single" w:sz="4" w:space="0" w:color="auto"/>
              <w:right w:val="single" w:sz="4" w:space="0" w:color="auto"/>
            </w:tcBorders>
            <w:shd w:val="clear" w:color="auto" w:fill="C6EFCE"/>
            <w:noWrap/>
            <w:vAlign w:val="center"/>
          </w:tcPr>
          <w:p w14:paraId="40C78878" w14:textId="7424906F" w:rsidR="004C6421" w:rsidRDefault="00CC179E">
            <w:pPr>
              <w:pStyle w:val="P68B1DB1-Normal4"/>
              <w:jc w:val="center"/>
              <w:rPr>
                <w:noProof/>
              </w:rPr>
            </w:pPr>
            <w:r>
              <w:rPr>
                <w:noProof/>
              </w:rPr>
              <w:t>KW. 4</w:t>
            </w:r>
          </w:p>
        </w:tc>
        <w:tc>
          <w:tcPr>
            <w:tcW w:w="666" w:type="dxa"/>
            <w:tcBorders>
              <w:top w:val="nil"/>
              <w:left w:val="nil"/>
              <w:bottom w:val="single" w:sz="4" w:space="0" w:color="auto"/>
              <w:right w:val="single" w:sz="4" w:space="0" w:color="auto"/>
            </w:tcBorders>
            <w:shd w:val="clear" w:color="auto" w:fill="C6EFCE"/>
            <w:noWrap/>
            <w:vAlign w:val="center"/>
          </w:tcPr>
          <w:p w14:paraId="41CB3B56" w14:textId="77777777" w:rsidR="004C6421" w:rsidRDefault="009D1962">
            <w:pPr>
              <w:pStyle w:val="P68B1DB1-Normal4"/>
              <w:jc w:val="center"/>
              <w:rPr>
                <w:noProof/>
              </w:rPr>
            </w:pPr>
            <w:r>
              <w:rPr>
                <w:noProof/>
              </w:rPr>
              <w:t>2022</w:t>
            </w:r>
          </w:p>
        </w:tc>
        <w:tc>
          <w:tcPr>
            <w:tcW w:w="4231" w:type="dxa"/>
            <w:tcBorders>
              <w:top w:val="nil"/>
              <w:left w:val="nil"/>
              <w:bottom w:val="single" w:sz="4" w:space="0" w:color="auto"/>
              <w:right w:val="single" w:sz="4" w:space="0" w:color="auto"/>
            </w:tcBorders>
            <w:shd w:val="clear" w:color="auto" w:fill="C6EFCE"/>
            <w:noWrap/>
            <w:vAlign w:val="center"/>
          </w:tcPr>
          <w:p w14:paraId="2CB0209E" w14:textId="77777777" w:rsidR="004C6421" w:rsidRDefault="009D1962">
            <w:pPr>
              <w:pStyle w:val="P68B1DB1-Normal4"/>
              <w:rPr>
                <w:noProof/>
              </w:rPr>
            </w:pPr>
            <w:r>
              <w:rPr>
                <w:noProof/>
              </w:rPr>
              <w:t>Nowe rozporządzenie określa ramowe warunki udzielania koncesji w portach. Rozporządzenie określa co najmniej:</w:t>
            </w:r>
          </w:p>
          <w:p w14:paraId="7BE02716" w14:textId="77777777" w:rsidR="004C6421" w:rsidRDefault="004C6421">
            <w:pPr>
              <w:rPr>
                <w:rFonts w:ascii="Arial Narrow" w:hAnsi="Arial Narrow"/>
                <w:noProof/>
                <w:color w:val="006100"/>
                <w:sz w:val="20"/>
              </w:rPr>
            </w:pPr>
          </w:p>
          <w:p w14:paraId="61486117" w14:textId="77777777" w:rsidR="004C6421" w:rsidRDefault="009D1962">
            <w:pPr>
              <w:pStyle w:val="P68B1DB1-Normal4"/>
              <w:rPr>
                <w:noProof/>
              </w:rPr>
            </w:pPr>
            <w:r>
              <w:rPr>
                <w:noProof/>
              </w:rPr>
              <w:t>—Warunki dotyczące okresu obowiązywania koncesji;</w:t>
            </w:r>
          </w:p>
          <w:p w14:paraId="30C190FD" w14:textId="77777777" w:rsidR="004C6421" w:rsidRDefault="009D1962">
            <w:pPr>
              <w:pStyle w:val="P68B1DB1-Normal4"/>
              <w:rPr>
                <w:noProof/>
              </w:rPr>
            </w:pPr>
            <w:r>
              <w:rPr>
                <w:noProof/>
              </w:rPr>
              <w:t>—Uprawnienia organów przyznających pomoc w zakresie nadzoru i kontroli;</w:t>
            </w:r>
          </w:p>
          <w:p w14:paraId="0CE40764" w14:textId="77777777" w:rsidR="004C6421" w:rsidRDefault="009D1962">
            <w:pPr>
              <w:pStyle w:val="P68B1DB1-Normal4"/>
              <w:rPr>
                <w:noProof/>
              </w:rPr>
            </w:pPr>
            <w:r>
              <w:rPr>
                <w:noProof/>
              </w:rPr>
              <w:t>—Metody odnowienia;</w:t>
            </w:r>
          </w:p>
          <w:p w14:paraId="22FC33C3" w14:textId="77777777" w:rsidR="004C6421" w:rsidRDefault="009D1962">
            <w:pPr>
              <w:pStyle w:val="P68B1DB1-Normal4"/>
              <w:rPr>
                <w:noProof/>
              </w:rPr>
            </w:pPr>
            <w:r>
              <w:rPr>
                <w:noProof/>
              </w:rPr>
              <w:t>Przekazanie obiektów nowemu koncesjonariuszowi po wygaśnięciu koncesji;</w:t>
            </w:r>
          </w:p>
          <w:p w14:paraId="405A8EAA" w14:textId="77777777" w:rsidR="004C6421" w:rsidRDefault="009D1962">
            <w:pPr>
              <w:pStyle w:val="P68B1DB1-Normal4"/>
              <w:rPr>
                <w:noProof/>
              </w:rPr>
            </w:pPr>
            <w:r>
              <w:rPr>
                <w:noProof/>
              </w:rPr>
              <w:t>Ograniczenia minimalnych opłat uiszczanych przez licencjobiorców.</w:t>
            </w:r>
          </w:p>
        </w:tc>
      </w:tr>
      <w:tr w:rsidR="004C6421" w14:paraId="78D140A9" w14:textId="77777777">
        <w:trPr>
          <w:trHeight w:val="309"/>
          <w:jc w:val="center"/>
        </w:trPr>
        <w:tc>
          <w:tcPr>
            <w:tcW w:w="1130" w:type="dxa"/>
            <w:tcBorders>
              <w:top w:val="nil"/>
              <w:left w:val="single" w:sz="4" w:space="0" w:color="auto"/>
              <w:bottom w:val="single" w:sz="4" w:space="0" w:color="auto"/>
              <w:right w:val="single" w:sz="4" w:space="0" w:color="auto"/>
            </w:tcBorders>
            <w:shd w:val="clear" w:color="auto" w:fill="C6EFCE"/>
            <w:noWrap/>
            <w:vAlign w:val="center"/>
          </w:tcPr>
          <w:p w14:paraId="7CCFDE8F" w14:textId="77777777" w:rsidR="004C6421" w:rsidRDefault="009D1962">
            <w:pPr>
              <w:jc w:val="center"/>
              <w:rPr>
                <w:rFonts w:ascii="Arial Narrow" w:hAnsi="Arial Narrow"/>
                <w:noProof/>
                <w:color w:val="006100"/>
                <w:sz w:val="20"/>
              </w:rPr>
            </w:pPr>
            <w:r>
              <w:rPr>
                <w:rStyle w:val="normaltextrun"/>
                <w:rFonts w:ascii="Arial Narrow" w:hAnsi="Arial Narrow"/>
                <w:noProof/>
                <w:color w:val="006100"/>
                <w:sz w:val="20"/>
              </w:rPr>
              <w:t xml:space="preserve">M3C2-3 </w:t>
            </w:r>
          </w:p>
        </w:tc>
        <w:tc>
          <w:tcPr>
            <w:tcW w:w="1560" w:type="dxa"/>
            <w:tcBorders>
              <w:top w:val="nil"/>
              <w:left w:val="nil"/>
              <w:bottom w:val="single" w:sz="4" w:space="0" w:color="auto"/>
              <w:right w:val="single" w:sz="4" w:space="0" w:color="auto"/>
            </w:tcBorders>
            <w:shd w:val="clear" w:color="auto" w:fill="C6EFCE"/>
            <w:noWrap/>
            <w:vAlign w:val="center"/>
          </w:tcPr>
          <w:p w14:paraId="4D9A1E57" w14:textId="77777777" w:rsidR="004C6421" w:rsidRDefault="009D1962">
            <w:pPr>
              <w:pStyle w:val="P68B1DB1-Normal4"/>
              <w:jc w:val="center"/>
              <w:rPr>
                <w:noProof/>
              </w:rPr>
            </w:pPr>
            <w:r>
              <w:rPr>
                <w:noProof/>
              </w:rPr>
              <w:t>Reforma 2.1 – Wdrażanie jednego okienka celnego („Sportello Unico Doganale”) </w:t>
            </w:r>
          </w:p>
        </w:tc>
        <w:tc>
          <w:tcPr>
            <w:tcW w:w="1066" w:type="dxa"/>
            <w:tcBorders>
              <w:top w:val="nil"/>
              <w:left w:val="nil"/>
              <w:bottom w:val="single" w:sz="4" w:space="0" w:color="auto"/>
              <w:right w:val="single" w:sz="4" w:space="0" w:color="auto"/>
            </w:tcBorders>
            <w:shd w:val="clear" w:color="auto" w:fill="C6EFCE"/>
            <w:noWrap/>
            <w:vAlign w:val="center"/>
          </w:tcPr>
          <w:p w14:paraId="2C8ADC54" w14:textId="39C5D9BA" w:rsidR="004C6421" w:rsidRDefault="00CC179E">
            <w:pPr>
              <w:pStyle w:val="P68B1DB1-Normal4"/>
              <w:jc w:val="center"/>
              <w:rPr>
                <w:noProof/>
              </w:rPr>
            </w:pPr>
            <w:r>
              <w:rPr>
                <w:noProof/>
              </w:rPr>
              <w:t>Milowy </w:t>
            </w:r>
          </w:p>
        </w:tc>
        <w:tc>
          <w:tcPr>
            <w:tcW w:w="1627" w:type="dxa"/>
            <w:tcBorders>
              <w:top w:val="nil"/>
              <w:left w:val="nil"/>
              <w:bottom w:val="single" w:sz="4" w:space="0" w:color="auto"/>
              <w:right w:val="single" w:sz="4" w:space="0" w:color="auto"/>
            </w:tcBorders>
            <w:shd w:val="clear" w:color="auto" w:fill="C6EFCE"/>
            <w:noWrap/>
            <w:vAlign w:val="center"/>
          </w:tcPr>
          <w:p w14:paraId="66334B7E" w14:textId="77777777" w:rsidR="004C6421" w:rsidRDefault="009D1962">
            <w:pPr>
              <w:pStyle w:val="P68B1DB1-paragraph18"/>
              <w:spacing w:before="0" w:beforeAutospacing="0" w:after="0" w:afterAutospacing="0"/>
              <w:jc w:val="center"/>
              <w:textAlignment w:val="baseline"/>
              <w:rPr>
                <w:noProof/>
              </w:rPr>
            </w:pPr>
            <w:r>
              <w:rPr>
                <w:noProof/>
              </w:rPr>
              <w:t xml:space="preserve">Wejście w życie dekretu w sprawie jednolitej stawki celnej </w:t>
            </w:r>
          </w:p>
          <w:p w14:paraId="58E41DD4" w14:textId="77777777" w:rsidR="004C6421" w:rsidRDefault="009D1962">
            <w:pPr>
              <w:pStyle w:val="P68B1DB1-Normal4"/>
              <w:jc w:val="center"/>
              <w:rPr>
                <w:noProof/>
              </w:rPr>
            </w:pPr>
            <w:r>
              <w:rPr>
                <w:noProof/>
              </w:rPr>
              <w:t>Biuro (Sportello Unico Doganale) </w:t>
            </w:r>
          </w:p>
        </w:tc>
        <w:tc>
          <w:tcPr>
            <w:tcW w:w="1777" w:type="dxa"/>
            <w:tcBorders>
              <w:top w:val="nil"/>
              <w:left w:val="nil"/>
              <w:bottom w:val="single" w:sz="4" w:space="0" w:color="auto"/>
              <w:right w:val="single" w:sz="4" w:space="0" w:color="auto"/>
            </w:tcBorders>
            <w:shd w:val="clear" w:color="auto" w:fill="C6EFCE"/>
            <w:noWrap/>
            <w:vAlign w:val="center"/>
          </w:tcPr>
          <w:p w14:paraId="42592DED" w14:textId="77777777" w:rsidR="004C6421" w:rsidRDefault="009D1962">
            <w:pPr>
              <w:pStyle w:val="P68B1DB1-Normal4"/>
              <w:jc w:val="center"/>
              <w:rPr>
                <w:noProof/>
              </w:rPr>
            </w:pPr>
            <w:r>
              <w:rPr>
                <w:noProof/>
              </w:rPr>
              <w:t>Przepis w dekrecie wskazujący na wejście w życie dekretu w sprawie jednolitego biura celnego (Sportello Unico Doganale) NIE DOT. </w:t>
            </w:r>
          </w:p>
        </w:tc>
        <w:tc>
          <w:tcPr>
            <w:tcW w:w="926" w:type="dxa"/>
            <w:tcBorders>
              <w:top w:val="nil"/>
              <w:left w:val="nil"/>
              <w:bottom w:val="single" w:sz="4" w:space="0" w:color="auto"/>
              <w:right w:val="single" w:sz="4" w:space="0" w:color="auto"/>
            </w:tcBorders>
            <w:shd w:val="clear" w:color="auto" w:fill="C6EFCE"/>
            <w:noWrap/>
            <w:vAlign w:val="center"/>
          </w:tcPr>
          <w:p w14:paraId="7243A3C1" w14:textId="77777777" w:rsidR="004C6421" w:rsidRDefault="009D1962">
            <w:pPr>
              <w:pStyle w:val="P68B1DB1-Normal4"/>
              <w:jc w:val="center"/>
              <w:rPr>
                <w:noProof/>
              </w:rPr>
            </w:pPr>
            <w:r>
              <w:rPr>
                <w:noProof/>
              </w:rPr>
              <w:t>NIE DOT. </w:t>
            </w:r>
          </w:p>
        </w:tc>
        <w:tc>
          <w:tcPr>
            <w:tcW w:w="1096" w:type="dxa"/>
            <w:tcBorders>
              <w:top w:val="nil"/>
              <w:left w:val="nil"/>
              <w:bottom w:val="single" w:sz="4" w:space="0" w:color="auto"/>
              <w:right w:val="single" w:sz="4" w:space="0" w:color="auto"/>
            </w:tcBorders>
            <w:shd w:val="clear" w:color="auto" w:fill="C6EFCE"/>
            <w:noWrap/>
            <w:vAlign w:val="center"/>
          </w:tcPr>
          <w:p w14:paraId="27EE07F8" w14:textId="77777777" w:rsidR="004C6421" w:rsidRDefault="009D1962">
            <w:pPr>
              <w:pStyle w:val="P68B1DB1-Normal4"/>
              <w:jc w:val="center"/>
              <w:rPr>
                <w:noProof/>
              </w:rPr>
            </w:pPr>
            <w:r>
              <w:rPr>
                <w:noProof/>
              </w:rPr>
              <w:t>NIE DOT. </w:t>
            </w:r>
          </w:p>
        </w:tc>
        <w:tc>
          <w:tcPr>
            <w:tcW w:w="878" w:type="dxa"/>
            <w:tcBorders>
              <w:top w:val="nil"/>
              <w:left w:val="nil"/>
              <w:bottom w:val="single" w:sz="4" w:space="0" w:color="auto"/>
              <w:right w:val="single" w:sz="4" w:space="0" w:color="auto"/>
            </w:tcBorders>
            <w:shd w:val="clear" w:color="auto" w:fill="C6EFCE"/>
            <w:noWrap/>
            <w:vAlign w:val="center"/>
          </w:tcPr>
          <w:p w14:paraId="71B47B73" w14:textId="77777777" w:rsidR="004C6421" w:rsidRDefault="009D1962">
            <w:pPr>
              <w:pStyle w:val="P68B1DB1-Normal4"/>
              <w:jc w:val="center"/>
              <w:rPr>
                <w:noProof/>
              </w:rPr>
            </w:pPr>
            <w:r>
              <w:rPr>
                <w:noProof/>
              </w:rPr>
              <w:t>NIE DOT. </w:t>
            </w:r>
          </w:p>
        </w:tc>
        <w:tc>
          <w:tcPr>
            <w:tcW w:w="916" w:type="dxa"/>
            <w:tcBorders>
              <w:top w:val="nil"/>
              <w:left w:val="nil"/>
              <w:bottom w:val="single" w:sz="4" w:space="0" w:color="auto"/>
              <w:right w:val="single" w:sz="4" w:space="0" w:color="auto"/>
            </w:tcBorders>
            <w:shd w:val="clear" w:color="auto" w:fill="C6EFCE"/>
            <w:noWrap/>
            <w:vAlign w:val="center"/>
          </w:tcPr>
          <w:p w14:paraId="33F0DA1F" w14:textId="763E8185" w:rsidR="004C6421" w:rsidRDefault="00CC179E">
            <w:pPr>
              <w:pStyle w:val="P68B1DB1-Normal4"/>
              <w:jc w:val="center"/>
              <w:rPr>
                <w:noProof/>
              </w:rPr>
            </w:pPr>
            <w:r>
              <w:rPr>
                <w:noProof/>
              </w:rPr>
              <w:t>KW. 4 </w:t>
            </w:r>
          </w:p>
        </w:tc>
        <w:tc>
          <w:tcPr>
            <w:tcW w:w="666" w:type="dxa"/>
            <w:tcBorders>
              <w:top w:val="nil"/>
              <w:left w:val="nil"/>
              <w:bottom w:val="single" w:sz="4" w:space="0" w:color="auto"/>
              <w:right w:val="single" w:sz="4" w:space="0" w:color="auto"/>
            </w:tcBorders>
            <w:shd w:val="clear" w:color="auto" w:fill="C6EFCE"/>
            <w:noWrap/>
            <w:vAlign w:val="center"/>
          </w:tcPr>
          <w:p w14:paraId="39ECAE1B" w14:textId="77777777" w:rsidR="004C6421" w:rsidRDefault="009D1962">
            <w:pPr>
              <w:pStyle w:val="P68B1DB1-Normal4"/>
              <w:jc w:val="center"/>
              <w:rPr>
                <w:noProof/>
              </w:rPr>
            </w:pPr>
            <w:r>
              <w:rPr>
                <w:noProof/>
              </w:rPr>
              <w:t>2021 </w:t>
            </w:r>
          </w:p>
        </w:tc>
        <w:tc>
          <w:tcPr>
            <w:tcW w:w="4231" w:type="dxa"/>
            <w:tcBorders>
              <w:top w:val="nil"/>
              <w:left w:val="nil"/>
              <w:bottom w:val="single" w:sz="4" w:space="0" w:color="auto"/>
              <w:right w:val="single" w:sz="4" w:space="0" w:color="auto"/>
            </w:tcBorders>
            <w:shd w:val="clear" w:color="auto" w:fill="C6EFCE"/>
            <w:noWrap/>
            <w:vAlign w:val="center"/>
          </w:tcPr>
          <w:p w14:paraId="47E0094A" w14:textId="77777777" w:rsidR="004C6421" w:rsidRDefault="009D1962">
            <w:pPr>
              <w:pStyle w:val="P68B1DB1-Normal4"/>
              <w:rPr>
                <w:noProof/>
              </w:rPr>
            </w:pPr>
            <w:r>
              <w:rPr>
                <w:noProof/>
              </w:rPr>
              <w:t>Dekret określa metody i specyfikacje jednolitego biura celnego zgodnie z rozporządzeniem (UE) nr 1239/2019 w sprawie wdrożenia europejskiego morskiego pojedynczego punktu kontaktowego oraz z rozporządzeniem Parlamentu Europejskiego i Rady (UE) 2020/1056 z dnia 15 lipca 2020 r. w sprawie elektronicznych informacji dotyczących transportu towarowego (eFTI). </w:t>
            </w:r>
          </w:p>
        </w:tc>
      </w:tr>
      <w:tr w:rsidR="004C6421" w14:paraId="1B3BC7E9" w14:textId="77777777">
        <w:trPr>
          <w:trHeight w:val="309"/>
          <w:jc w:val="center"/>
        </w:trPr>
        <w:tc>
          <w:tcPr>
            <w:tcW w:w="1130" w:type="dxa"/>
            <w:tcBorders>
              <w:top w:val="nil"/>
              <w:left w:val="single" w:sz="4" w:space="0" w:color="auto"/>
              <w:bottom w:val="single" w:sz="4" w:space="0" w:color="auto"/>
              <w:right w:val="single" w:sz="4" w:space="0" w:color="auto"/>
            </w:tcBorders>
            <w:shd w:val="clear" w:color="auto" w:fill="C6EFCE"/>
            <w:noWrap/>
            <w:vAlign w:val="center"/>
          </w:tcPr>
          <w:p w14:paraId="0EAA7900" w14:textId="77777777" w:rsidR="004C6421" w:rsidRDefault="009D1962">
            <w:pPr>
              <w:pStyle w:val="P68B1DB1-Normal4"/>
              <w:jc w:val="center"/>
              <w:rPr>
                <w:noProof/>
              </w:rPr>
            </w:pPr>
            <w:r>
              <w:rPr>
                <w:noProof/>
              </w:rPr>
              <w:t>M3C2-4</w:t>
            </w:r>
          </w:p>
        </w:tc>
        <w:tc>
          <w:tcPr>
            <w:tcW w:w="1560" w:type="dxa"/>
            <w:tcBorders>
              <w:top w:val="nil"/>
              <w:left w:val="nil"/>
              <w:bottom w:val="single" w:sz="4" w:space="0" w:color="auto"/>
              <w:right w:val="single" w:sz="4" w:space="0" w:color="auto"/>
            </w:tcBorders>
            <w:shd w:val="clear" w:color="auto" w:fill="C6EFCE"/>
            <w:noWrap/>
            <w:vAlign w:val="center"/>
          </w:tcPr>
          <w:p w14:paraId="3CF0B42A" w14:textId="77777777" w:rsidR="004C6421" w:rsidRDefault="009D1962">
            <w:pPr>
              <w:pStyle w:val="P68B1DB1-Normal4"/>
              <w:jc w:val="center"/>
              <w:rPr>
                <w:noProof/>
              </w:rPr>
            </w:pPr>
            <w:r>
              <w:rPr>
                <w:noProof/>
              </w:rPr>
              <w:t>Reforma 1.3 – Uproszczenie procedur udzielania zezwoleń dla zakładów prasowania na zimno</w:t>
            </w:r>
          </w:p>
        </w:tc>
        <w:tc>
          <w:tcPr>
            <w:tcW w:w="1066" w:type="dxa"/>
            <w:tcBorders>
              <w:top w:val="nil"/>
              <w:left w:val="nil"/>
              <w:bottom w:val="single" w:sz="4" w:space="0" w:color="auto"/>
              <w:right w:val="single" w:sz="4" w:space="0" w:color="auto"/>
            </w:tcBorders>
            <w:shd w:val="clear" w:color="auto" w:fill="C6EFCE"/>
            <w:noWrap/>
            <w:vAlign w:val="center"/>
          </w:tcPr>
          <w:p w14:paraId="793C8DD0" w14:textId="56FBBA0F" w:rsidR="004C6421" w:rsidRDefault="00CC179E">
            <w:pPr>
              <w:pStyle w:val="P68B1DB1-Normal4"/>
              <w:jc w:val="center"/>
              <w:rPr>
                <w:noProof/>
              </w:rPr>
            </w:pPr>
            <w:r>
              <w:rPr>
                <w:noProof/>
              </w:rPr>
              <w:t>Milowy</w:t>
            </w:r>
          </w:p>
        </w:tc>
        <w:tc>
          <w:tcPr>
            <w:tcW w:w="1627" w:type="dxa"/>
            <w:tcBorders>
              <w:top w:val="nil"/>
              <w:left w:val="nil"/>
              <w:bottom w:val="single" w:sz="4" w:space="0" w:color="auto"/>
              <w:right w:val="single" w:sz="4" w:space="0" w:color="auto"/>
            </w:tcBorders>
            <w:shd w:val="clear" w:color="auto" w:fill="C6EFCE"/>
            <w:noWrap/>
            <w:vAlign w:val="center"/>
          </w:tcPr>
          <w:p w14:paraId="23196D9C" w14:textId="77777777" w:rsidR="004C6421" w:rsidRDefault="009D1962">
            <w:pPr>
              <w:pStyle w:val="P68B1DB1-Normal4"/>
              <w:spacing w:line="257" w:lineRule="auto"/>
              <w:jc w:val="center"/>
              <w:rPr>
                <w:noProof/>
              </w:rPr>
            </w:pPr>
            <w:r>
              <w:rPr>
                <w:noProof/>
              </w:rPr>
              <w:t>Wejście w życie uproszczenia procedur wydawania zezwoleń dla zakładów prasowania na zimno</w:t>
            </w:r>
          </w:p>
        </w:tc>
        <w:tc>
          <w:tcPr>
            <w:tcW w:w="1777" w:type="dxa"/>
            <w:tcBorders>
              <w:top w:val="nil"/>
              <w:left w:val="nil"/>
              <w:bottom w:val="single" w:sz="4" w:space="0" w:color="auto"/>
              <w:right w:val="single" w:sz="4" w:space="0" w:color="auto"/>
            </w:tcBorders>
            <w:shd w:val="clear" w:color="auto" w:fill="C6EFCE"/>
            <w:noWrap/>
            <w:vAlign w:val="center"/>
          </w:tcPr>
          <w:p w14:paraId="218EB5B1" w14:textId="77777777" w:rsidR="004C6421" w:rsidRDefault="009D1962">
            <w:pPr>
              <w:pStyle w:val="P68B1DB1-Normal4"/>
              <w:jc w:val="center"/>
              <w:rPr>
                <w:noProof/>
              </w:rPr>
            </w:pPr>
            <w:r>
              <w:rPr>
                <w:noProof/>
              </w:rPr>
              <w:t>Przepis prawny wskazujący na wejście w życie uproszczenia procedur udzielania zezwoleń dla zakładów prasowania na zimno NIE DOT.</w:t>
            </w:r>
          </w:p>
        </w:tc>
        <w:tc>
          <w:tcPr>
            <w:tcW w:w="926" w:type="dxa"/>
            <w:tcBorders>
              <w:top w:val="nil"/>
              <w:left w:val="nil"/>
              <w:bottom w:val="single" w:sz="4" w:space="0" w:color="auto"/>
              <w:right w:val="single" w:sz="4" w:space="0" w:color="auto"/>
            </w:tcBorders>
            <w:shd w:val="clear" w:color="auto" w:fill="C6EFCE"/>
            <w:noWrap/>
            <w:vAlign w:val="center"/>
          </w:tcPr>
          <w:p w14:paraId="7ADD0DBB" w14:textId="77777777" w:rsidR="004C6421" w:rsidRDefault="009D1962">
            <w:pPr>
              <w:pStyle w:val="P68B1DB1-Normal4"/>
              <w:jc w:val="center"/>
              <w:rPr>
                <w:noProof/>
              </w:rPr>
            </w:pPr>
            <w:r>
              <w:rPr>
                <w:noProof/>
              </w:rPr>
              <w:t>NIE DOT.</w:t>
            </w:r>
          </w:p>
        </w:tc>
        <w:tc>
          <w:tcPr>
            <w:tcW w:w="1096" w:type="dxa"/>
            <w:tcBorders>
              <w:top w:val="nil"/>
              <w:left w:val="nil"/>
              <w:bottom w:val="single" w:sz="4" w:space="0" w:color="auto"/>
              <w:right w:val="single" w:sz="4" w:space="0" w:color="auto"/>
            </w:tcBorders>
            <w:shd w:val="clear" w:color="auto" w:fill="C6EFCE"/>
            <w:noWrap/>
            <w:vAlign w:val="center"/>
          </w:tcPr>
          <w:p w14:paraId="0D64B540" w14:textId="77777777" w:rsidR="004C6421" w:rsidRDefault="009D1962">
            <w:pPr>
              <w:pStyle w:val="P68B1DB1-Normal4"/>
              <w:jc w:val="center"/>
              <w:rPr>
                <w:noProof/>
              </w:rPr>
            </w:pPr>
            <w:r>
              <w:rPr>
                <w:noProof/>
              </w:rPr>
              <w:t>NIE DOT.</w:t>
            </w:r>
          </w:p>
        </w:tc>
        <w:tc>
          <w:tcPr>
            <w:tcW w:w="878" w:type="dxa"/>
            <w:tcBorders>
              <w:top w:val="nil"/>
              <w:left w:val="nil"/>
              <w:bottom w:val="single" w:sz="4" w:space="0" w:color="auto"/>
              <w:right w:val="single" w:sz="4" w:space="0" w:color="auto"/>
            </w:tcBorders>
            <w:shd w:val="clear" w:color="auto" w:fill="C6EFCE"/>
            <w:noWrap/>
            <w:vAlign w:val="center"/>
          </w:tcPr>
          <w:p w14:paraId="6B8A0488" w14:textId="77777777" w:rsidR="004C6421" w:rsidRDefault="009D1962">
            <w:pPr>
              <w:pStyle w:val="P68B1DB1-Normal4"/>
              <w:jc w:val="center"/>
              <w:rPr>
                <w:noProof/>
              </w:rPr>
            </w:pPr>
            <w:r>
              <w:rPr>
                <w:noProof/>
              </w:rPr>
              <w:t>NIE DOT.</w:t>
            </w:r>
          </w:p>
        </w:tc>
        <w:tc>
          <w:tcPr>
            <w:tcW w:w="916" w:type="dxa"/>
            <w:tcBorders>
              <w:top w:val="nil"/>
              <w:left w:val="nil"/>
              <w:bottom w:val="single" w:sz="4" w:space="0" w:color="auto"/>
              <w:right w:val="single" w:sz="4" w:space="0" w:color="auto"/>
            </w:tcBorders>
            <w:shd w:val="clear" w:color="auto" w:fill="C6EFCE"/>
            <w:noWrap/>
            <w:vAlign w:val="center"/>
          </w:tcPr>
          <w:p w14:paraId="28DCBCA9" w14:textId="121DBD46" w:rsidR="004C6421" w:rsidRDefault="00CC179E">
            <w:pPr>
              <w:pStyle w:val="P68B1DB1-Normal4"/>
              <w:jc w:val="center"/>
              <w:rPr>
                <w:noProof/>
              </w:rPr>
            </w:pPr>
            <w:r>
              <w:rPr>
                <w:noProof/>
              </w:rPr>
              <w:t>KW. 4</w:t>
            </w:r>
          </w:p>
        </w:tc>
        <w:tc>
          <w:tcPr>
            <w:tcW w:w="666" w:type="dxa"/>
            <w:tcBorders>
              <w:top w:val="nil"/>
              <w:left w:val="nil"/>
              <w:bottom w:val="single" w:sz="4" w:space="0" w:color="auto"/>
              <w:right w:val="single" w:sz="4" w:space="0" w:color="auto"/>
            </w:tcBorders>
            <w:shd w:val="clear" w:color="auto" w:fill="C6EFCE"/>
            <w:noWrap/>
            <w:vAlign w:val="center"/>
          </w:tcPr>
          <w:p w14:paraId="373E5E8F" w14:textId="77777777" w:rsidR="004C6421" w:rsidRDefault="009D1962">
            <w:pPr>
              <w:pStyle w:val="P68B1DB1-Normal4"/>
              <w:jc w:val="center"/>
              <w:rPr>
                <w:noProof/>
              </w:rPr>
            </w:pPr>
            <w:r>
              <w:rPr>
                <w:noProof/>
              </w:rPr>
              <w:t>2022</w:t>
            </w:r>
          </w:p>
        </w:tc>
        <w:tc>
          <w:tcPr>
            <w:tcW w:w="4231" w:type="dxa"/>
            <w:tcBorders>
              <w:top w:val="nil"/>
              <w:left w:val="nil"/>
              <w:bottom w:val="single" w:sz="4" w:space="0" w:color="auto"/>
              <w:right w:val="single" w:sz="4" w:space="0" w:color="auto"/>
            </w:tcBorders>
            <w:shd w:val="clear" w:color="auto" w:fill="C6EFCE"/>
            <w:noWrap/>
            <w:vAlign w:val="center"/>
          </w:tcPr>
          <w:p w14:paraId="6EBE7282" w14:textId="77777777" w:rsidR="004C6421" w:rsidRDefault="009D1962">
            <w:pPr>
              <w:pStyle w:val="P68B1DB1-Normal4"/>
              <w:rPr>
                <w:noProof/>
              </w:rPr>
            </w:pPr>
            <w:r>
              <w:rPr>
                <w:noProof/>
              </w:rPr>
              <w:t>Usprawnienie procesu wydawania zezwoleń w celu skrócenia czasu wydawania zezwoleń do maksymalnie 12 miesięcy na budowę infrastruktury służącej do przesyłu energii elektrycznej z lądu na statki w fazie cumowania (w przypadku interwencji niepodlegających ocenie oddziaływania na środowisko)</w:t>
            </w:r>
          </w:p>
        </w:tc>
      </w:tr>
      <w:tr w:rsidR="004C6421" w14:paraId="64D55827" w14:textId="77777777">
        <w:trPr>
          <w:trHeight w:val="309"/>
          <w:jc w:val="center"/>
        </w:trPr>
        <w:tc>
          <w:tcPr>
            <w:tcW w:w="1130" w:type="dxa"/>
            <w:tcBorders>
              <w:top w:val="nil"/>
              <w:left w:val="single" w:sz="4" w:space="0" w:color="auto"/>
              <w:bottom w:val="single" w:sz="4" w:space="0" w:color="auto"/>
              <w:right w:val="single" w:sz="4" w:space="0" w:color="auto"/>
            </w:tcBorders>
            <w:shd w:val="clear" w:color="auto" w:fill="C6EFCE"/>
            <w:noWrap/>
            <w:vAlign w:val="center"/>
          </w:tcPr>
          <w:p w14:paraId="5F70F1A9" w14:textId="77777777" w:rsidR="004C6421" w:rsidRDefault="009D1962">
            <w:pPr>
              <w:pStyle w:val="P68B1DB1-Normal4"/>
              <w:jc w:val="center"/>
              <w:rPr>
                <w:noProof/>
              </w:rPr>
            </w:pPr>
            <w:r>
              <w:rPr>
                <w:noProof/>
              </w:rPr>
              <w:t>M3C2-5</w:t>
            </w:r>
          </w:p>
        </w:tc>
        <w:tc>
          <w:tcPr>
            <w:tcW w:w="1560" w:type="dxa"/>
            <w:tcBorders>
              <w:top w:val="nil"/>
              <w:left w:val="nil"/>
              <w:bottom w:val="single" w:sz="4" w:space="0" w:color="auto"/>
              <w:right w:val="single" w:sz="4" w:space="0" w:color="auto"/>
            </w:tcBorders>
            <w:shd w:val="clear" w:color="auto" w:fill="C6EFCE"/>
            <w:noWrap/>
            <w:vAlign w:val="center"/>
          </w:tcPr>
          <w:p w14:paraId="0AF3CD32" w14:textId="77777777" w:rsidR="004C6421" w:rsidRDefault="009D1962">
            <w:pPr>
              <w:pStyle w:val="P68B1DB1-Normal4"/>
              <w:jc w:val="center"/>
              <w:rPr>
                <w:noProof/>
              </w:rPr>
            </w:pPr>
            <w:r>
              <w:rPr>
                <w:noProof/>
              </w:rPr>
              <w:t>Inwestycje 2.1 – Cyfryzacja łańcucha logistycznego</w:t>
            </w:r>
          </w:p>
        </w:tc>
        <w:tc>
          <w:tcPr>
            <w:tcW w:w="1066" w:type="dxa"/>
            <w:tcBorders>
              <w:top w:val="nil"/>
              <w:left w:val="nil"/>
              <w:bottom w:val="single" w:sz="4" w:space="0" w:color="auto"/>
              <w:right w:val="single" w:sz="4" w:space="0" w:color="auto"/>
            </w:tcBorders>
            <w:shd w:val="clear" w:color="auto" w:fill="C6EFCE"/>
            <w:noWrap/>
            <w:vAlign w:val="center"/>
          </w:tcPr>
          <w:p w14:paraId="4613A0C0" w14:textId="77777777" w:rsidR="004C6421" w:rsidRDefault="009D1962">
            <w:pPr>
              <w:pStyle w:val="P68B1DB1-Normal4"/>
              <w:jc w:val="center"/>
              <w:rPr>
                <w:noProof/>
              </w:rPr>
            </w:pPr>
            <w:r>
              <w:rPr>
                <w:noProof/>
              </w:rPr>
              <w:t>Cel</w:t>
            </w:r>
          </w:p>
        </w:tc>
        <w:tc>
          <w:tcPr>
            <w:tcW w:w="1627" w:type="dxa"/>
            <w:tcBorders>
              <w:top w:val="nil"/>
              <w:left w:val="nil"/>
              <w:bottom w:val="single" w:sz="4" w:space="0" w:color="auto"/>
              <w:right w:val="single" w:sz="4" w:space="0" w:color="auto"/>
            </w:tcBorders>
            <w:shd w:val="clear" w:color="auto" w:fill="C6EFCE"/>
            <w:noWrap/>
            <w:vAlign w:val="center"/>
          </w:tcPr>
          <w:p w14:paraId="7A0AB851" w14:textId="77777777" w:rsidR="004C6421" w:rsidRDefault="009D1962">
            <w:pPr>
              <w:pStyle w:val="P68B1DB1-Normal4"/>
              <w:spacing w:line="257" w:lineRule="auto"/>
              <w:jc w:val="center"/>
              <w:rPr>
                <w:noProof/>
              </w:rPr>
            </w:pPr>
            <w:r>
              <w:rPr>
                <w:noProof/>
              </w:rPr>
              <w:t>Cyfryzacja łańcucha logistycznego</w:t>
            </w:r>
          </w:p>
        </w:tc>
        <w:tc>
          <w:tcPr>
            <w:tcW w:w="1777" w:type="dxa"/>
            <w:tcBorders>
              <w:top w:val="nil"/>
              <w:left w:val="nil"/>
              <w:bottom w:val="single" w:sz="4" w:space="0" w:color="auto"/>
              <w:right w:val="single" w:sz="4" w:space="0" w:color="auto"/>
            </w:tcBorders>
            <w:shd w:val="clear" w:color="auto" w:fill="C6EFCE"/>
            <w:noWrap/>
            <w:vAlign w:val="center"/>
          </w:tcPr>
          <w:p w14:paraId="084E0213" w14:textId="77777777" w:rsidR="004C6421" w:rsidRDefault="009D1962">
            <w:pPr>
              <w:pStyle w:val="P68B1DB1-Normal4"/>
              <w:jc w:val="center"/>
              <w:rPr>
                <w:noProof/>
              </w:rPr>
            </w:pPr>
            <w:r>
              <w:rPr>
                <w:noProof/>
              </w:rPr>
              <w:t>NIE DOT.</w:t>
            </w:r>
          </w:p>
        </w:tc>
        <w:tc>
          <w:tcPr>
            <w:tcW w:w="926" w:type="dxa"/>
            <w:tcBorders>
              <w:top w:val="nil"/>
              <w:left w:val="nil"/>
              <w:bottom w:val="single" w:sz="4" w:space="0" w:color="auto"/>
              <w:right w:val="single" w:sz="4" w:space="0" w:color="auto"/>
            </w:tcBorders>
            <w:shd w:val="clear" w:color="auto" w:fill="C6EFCE"/>
            <w:noWrap/>
            <w:vAlign w:val="center"/>
          </w:tcPr>
          <w:p w14:paraId="33B2561D" w14:textId="4CCC2009" w:rsidR="004C6421" w:rsidRDefault="009D1962">
            <w:pPr>
              <w:pStyle w:val="P68B1DB1-Normal4"/>
              <w:jc w:val="center"/>
              <w:rPr>
                <w:noProof/>
              </w:rPr>
            </w:pPr>
            <w:r>
              <w:rPr>
                <w:noProof/>
              </w:rPr>
              <w:t>Numer</w:t>
            </w:r>
          </w:p>
        </w:tc>
        <w:tc>
          <w:tcPr>
            <w:tcW w:w="1096" w:type="dxa"/>
            <w:tcBorders>
              <w:top w:val="nil"/>
              <w:left w:val="nil"/>
              <w:bottom w:val="single" w:sz="4" w:space="0" w:color="auto"/>
              <w:right w:val="single" w:sz="4" w:space="0" w:color="auto"/>
            </w:tcBorders>
            <w:shd w:val="clear" w:color="auto" w:fill="C6EFCE"/>
            <w:noWrap/>
            <w:vAlign w:val="center"/>
          </w:tcPr>
          <w:p w14:paraId="5B9E6DC0" w14:textId="77777777" w:rsidR="004C6421" w:rsidRDefault="009D1962">
            <w:pPr>
              <w:pStyle w:val="P68B1DB1-Normal4"/>
              <w:jc w:val="center"/>
              <w:rPr>
                <w:noProof/>
              </w:rPr>
            </w:pPr>
            <w:r>
              <w:rPr>
                <w:noProof/>
              </w:rPr>
              <w:t>0</w:t>
            </w:r>
          </w:p>
        </w:tc>
        <w:tc>
          <w:tcPr>
            <w:tcW w:w="878" w:type="dxa"/>
            <w:tcBorders>
              <w:top w:val="nil"/>
              <w:left w:val="nil"/>
              <w:bottom w:val="single" w:sz="4" w:space="0" w:color="auto"/>
              <w:right w:val="single" w:sz="4" w:space="0" w:color="auto"/>
            </w:tcBorders>
            <w:shd w:val="clear" w:color="auto" w:fill="C6EFCE"/>
            <w:noWrap/>
            <w:vAlign w:val="center"/>
          </w:tcPr>
          <w:p w14:paraId="67E54912" w14:textId="4DF5E40B" w:rsidR="004C6421" w:rsidRDefault="009D1962">
            <w:pPr>
              <w:pStyle w:val="P68B1DB1-Normal4"/>
              <w:jc w:val="center"/>
              <w:rPr>
                <w:noProof/>
              </w:rPr>
            </w:pPr>
            <w:r>
              <w:rPr>
                <w:noProof/>
              </w:rPr>
              <w:t>12</w:t>
            </w:r>
          </w:p>
        </w:tc>
        <w:tc>
          <w:tcPr>
            <w:tcW w:w="916" w:type="dxa"/>
            <w:tcBorders>
              <w:top w:val="nil"/>
              <w:left w:val="nil"/>
              <w:bottom w:val="single" w:sz="4" w:space="0" w:color="auto"/>
              <w:right w:val="single" w:sz="4" w:space="0" w:color="auto"/>
            </w:tcBorders>
            <w:shd w:val="clear" w:color="auto" w:fill="C6EFCE"/>
            <w:noWrap/>
            <w:vAlign w:val="center"/>
          </w:tcPr>
          <w:p w14:paraId="62312E13" w14:textId="77777777" w:rsidR="004C6421" w:rsidRDefault="009D1962">
            <w:pPr>
              <w:pStyle w:val="P68B1DB1-Normal4"/>
              <w:jc w:val="center"/>
              <w:rPr>
                <w:noProof/>
              </w:rPr>
            </w:pPr>
            <w:r>
              <w:rPr>
                <w:noProof/>
              </w:rPr>
              <w:t>II KW.</w:t>
            </w:r>
          </w:p>
        </w:tc>
        <w:tc>
          <w:tcPr>
            <w:tcW w:w="666" w:type="dxa"/>
            <w:tcBorders>
              <w:top w:val="nil"/>
              <w:left w:val="nil"/>
              <w:bottom w:val="single" w:sz="4" w:space="0" w:color="auto"/>
              <w:right w:val="single" w:sz="4" w:space="0" w:color="auto"/>
            </w:tcBorders>
            <w:shd w:val="clear" w:color="auto" w:fill="C6EFCE"/>
            <w:noWrap/>
            <w:vAlign w:val="center"/>
          </w:tcPr>
          <w:p w14:paraId="13C17662" w14:textId="77777777" w:rsidR="004C6421" w:rsidRDefault="009D1962">
            <w:pPr>
              <w:pStyle w:val="P68B1DB1-Normal4"/>
              <w:jc w:val="center"/>
              <w:rPr>
                <w:noProof/>
              </w:rPr>
            </w:pPr>
            <w:r>
              <w:rPr>
                <w:noProof/>
              </w:rPr>
              <w:t>2024</w:t>
            </w:r>
          </w:p>
        </w:tc>
        <w:tc>
          <w:tcPr>
            <w:tcW w:w="4231" w:type="dxa"/>
            <w:tcBorders>
              <w:top w:val="nil"/>
              <w:left w:val="nil"/>
              <w:bottom w:val="single" w:sz="4" w:space="0" w:color="auto"/>
              <w:right w:val="single" w:sz="4" w:space="0" w:color="auto"/>
            </w:tcBorders>
            <w:shd w:val="clear" w:color="auto" w:fill="C6EFCE"/>
            <w:noWrap/>
            <w:vAlign w:val="center"/>
          </w:tcPr>
          <w:p w14:paraId="7FE73B28" w14:textId="71AE8710" w:rsidR="004C6421" w:rsidRDefault="009D1962">
            <w:pPr>
              <w:pStyle w:val="P68B1DB1-Normal4"/>
              <w:rPr>
                <w:noProof/>
              </w:rPr>
            </w:pPr>
            <w:r>
              <w:rPr>
                <w:noProof/>
              </w:rPr>
              <w:t xml:space="preserve">Co najmniej 12 z 16 organów systemu portowego musi być wyposażonych w usługi w zakresie systemów wspólnot portowych (PCS) interoperacyjne z </w:t>
            </w:r>
            <w:r>
              <w:rPr>
                <w:i/>
                <w:noProof/>
              </w:rPr>
              <w:t>Comando Generale delle Capitanerie di Porto</w:t>
            </w:r>
            <w:r>
              <w:rPr>
                <w:noProof/>
              </w:rPr>
              <w:t xml:space="preserve"> lub </w:t>
            </w:r>
            <w:r>
              <w:rPr>
                <w:i/>
                <w:noProof/>
              </w:rPr>
              <w:t>Agenzia delle Dogane e dei Monopoli</w:t>
            </w:r>
            <w:r>
              <w:rPr>
                <w:noProof/>
              </w:rPr>
              <w:t xml:space="preserve"> i kompatybilne z nowym PLN (Piattaforma Logistica Nazionale).  Organ systemu portowego uznaje się za wyposażony w usługi systemów Wspólnoty Portowej (PCS), jeżeli co najmniej jeden port tego organu systemu portowego został wyposażony w systemy Wspólnoty Portowej (PCS). </w:t>
            </w:r>
          </w:p>
        </w:tc>
      </w:tr>
      <w:tr w:rsidR="004C6421" w14:paraId="1A0AA4BD" w14:textId="77777777">
        <w:trPr>
          <w:trHeight w:val="309"/>
          <w:jc w:val="center"/>
        </w:trPr>
        <w:tc>
          <w:tcPr>
            <w:tcW w:w="1228" w:type="dxa"/>
            <w:tcBorders>
              <w:top w:val="nil"/>
              <w:left w:val="single" w:sz="4" w:space="0" w:color="auto"/>
              <w:bottom w:val="single" w:sz="4" w:space="0" w:color="auto"/>
              <w:right w:val="single" w:sz="4" w:space="0" w:color="auto"/>
            </w:tcBorders>
            <w:shd w:val="clear" w:color="auto" w:fill="C6EFCE"/>
            <w:noWrap/>
            <w:vAlign w:val="center"/>
          </w:tcPr>
          <w:p w14:paraId="67A3BC4A" w14:textId="77777777" w:rsidR="004C6421" w:rsidRDefault="009D1962">
            <w:pPr>
              <w:pStyle w:val="P68B1DB1-Normal4"/>
              <w:spacing w:after="160" w:line="257" w:lineRule="auto"/>
              <w:jc w:val="both"/>
              <w:rPr>
                <w:rFonts w:eastAsia="Arial Narrow" w:cs="Arial Narrow"/>
                <w:noProof/>
              </w:rPr>
            </w:pPr>
            <w:r>
              <w:rPr>
                <w:noProof/>
              </w:rPr>
              <w:t>M3C2-5bis</w:t>
            </w:r>
          </w:p>
        </w:tc>
        <w:tc>
          <w:tcPr>
            <w:tcW w:w="1584" w:type="dxa"/>
            <w:tcBorders>
              <w:top w:val="nil"/>
              <w:left w:val="nil"/>
              <w:bottom w:val="single" w:sz="4" w:space="0" w:color="auto"/>
              <w:right w:val="single" w:sz="4" w:space="0" w:color="auto"/>
            </w:tcBorders>
            <w:shd w:val="clear" w:color="auto" w:fill="C6EFCE"/>
            <w:noWrap/>
            <w:vAlign w:val="center"/>
          </w:tcPr>
          <w:p w14:paraId="0F7B40D9" w14:textId="77777777" w:rsidR="004C6421" w:rsidRDefault="009D1962">
            <w:pPr>
              <w:pStyle w:val="P68B1DB1-Normal4"/>
              <w:spacing w:after="160" w:line="257" w:lineRule="auto"/>
              <w:jc w:val="both"/>
              <w:rPr>
                <w:rFonts w:eastAsia="Arial Narrow" w:cs="Arial Narrow"/>
                <w:noProof/>
              </w:rPr>
            </w:pPr>
            <w:r>
              <w:rPr>
                <w:noProof/>
              </w:rPr>
              <w:t>Inwestycje 2.1 – Cyfryzacja łańcucha logistycznego</w:t>
            </w:r>
          </w:p>
        </w:tc>
        <w:tc>
          <w:tcPr>
            <w:tcW w:w="1139" w:type="dxa"/>
            <w:tcBorders>
              <w:top w:val="nil"/>
              <w:left w:val="nil"/>
              <w:bottom w:val="single" w:sz="4" w:space="0" w:color="auto"/>
              <w:right w:val="single" w:sz="4" w:space="0" w:color="auto"/>
            </w:tcBorders>
            <w:shd w:val="clear" w:color="auto" w:fill="C6EFCE"/>
            <w:noWrap/>
            <w:vAlign w:val="center"/>
          </w:tcPr>
          <w:p w14:paraId="06736FC5" w14:textId="77777777" w:rsidR="004C6421" w:rsidRDefault="009D1962">
            <w:pPr>
              <w:pStyle w:val="P68B1DB1-Normal4"/>
              <w:spacing w:after="160" w:line="257" w:lineRule="auto"/>
              <w:jc w:val="both"/>
              <w:rPr>
                <w:rFonts w:eastAsia="Arial Narrow" w:cs="Arial Narrow"/>
                <w:noProof/>
              </w:rPr>
            </w:pPr>
            <w:r>
              <w:rPr>
                <w:noProof/>
              </w:rPr>
              <w:t>Cel</w:t>
            </w:r>
          </w:p>
        </w:tc>
        <w:tc>
          <w:tcPr>
            <w:tcW w:w="1627" w:type="dxa"/>
            <w:tcBorders>
              <w:top w:val="nil"/>
              <w:left w:val="nil"/>
              <w:bottom w:val="single" w:sz="4" w:space="0" w:color="auto"/>
              <w:right w:val="single" w:sz="4" w:space="0" w:color="auto"/>
            </w:tcBorders>
            <w:shd w:val="clear" w:color="auto" w:fill="C6EFCE"/>
            <w:noWrap/>
            <w:vAlign w:val="center"/>
          </w:tcPr>
          <w:p w14:paraId="15938F1E" w14:textId="77777777" w:rsidR="004C6421" w:rsidRDefault="009D1962">
            <w:pPr>
              <w:pStyle w:val="P68B1DB1-Normal4"/>
              <w:spacing w:after="160" w:line="257" w:lineRule="auto"/>
              <w:jc w:val="both"/>
              <w:rPr>
                <w:rFonts w:eastAsia="Arial Narrow" w:cs="Arial Narrow"/>
                <w:noProof/>
              </w:rPr>
            </w:pPr>
            <w:r>
              <w:rPr>
                <w:noProof/>
              </w:rPr>
              <w:t>Cyfryzacja łańcucha logistycznego</w:t>
            </w:r>
          </w:p>
        </w:tc>
        <w:tc>
          <w:tcPr>
            <w:tcW w:w="1777" w:type="dxa"/>
            <w:tcBorders>
              <w:top w:val="nil"/>
              <w:left w:val="nil"/>
              <w:bottom w:val="single" w:sz="4" w:space="0" w:color="auto"/>
              <w:right w:val="single" w:sz="4" w:space="0" w:color="auto"/>
            </w:tcBorders>
            <w:shd w:val="clear" w:color="auto" w:fill="C6EFCE"/>
            <w:noWrap/>
            <w:vAlign w:val="center"/>
          </w:tcPr>
          <w:p w14:paraId="58E62E5D" w14:textId="77777777" w:rsidR="004C6421" w:rsidRDefault="009D1962">
            <w:pPr>
              <w:pStyle w:val="P68B1DB1-Normal4"/>
              <w:spacing w:after="160" w:line="257" w:lineRule="auto"/>
              <w:jc w:val="both"/>
              <w:rPr>
                <w:rFonts w:eastAsia="Arial Narrow" w:cs="Arial Narrow"/>
                <w:noProof/>
              </w:rPr>
            </w:pPr>
            <w:r>
              <w:rPr>
                <w:noProof/>
              </w:rPr>
              <w:t>NIE DOT.</w:t>
            </w:r>
          </w:p>
        </w:tc>
        <w:tc>
          <w:tcPr>
            <w:tcW w:w="1239" w:type="dxa"/>
            <w:tcBorders>
              <w:top w:val="nil"/>
              <w:left w:val="nil"/>
              <w:bottom w:val="single" w:sz="4" w:space="0" w:color="auto"/>
              <w:right w:val="single" w:sz="4" w:space="0" w:color="auto"/>
            </w:tcBorders>
            <w:shd w:val="clear" w:color="auto" w:fill="C6EFCE"/>
            <w:noWrap/>
            <w:vAlign w:val="center"/>
          </w:tcPr>
          <w:p w14:paraId="118D9608" w14:textId="77777777" w:rsidR="004C6421" w:rsidRDefault="009D1962">
            <w:pPr>
              <w:pStyle w:val="P68B1DB1-Normal4"/>
              <w:spacing w:after="160" w:line="257" w:lineRule="auto"/>
              <w:jc w:val="both"/>
              <w:rPr>
                <w:rFonts w:eastAsia="Arial Narrow" w:cs="Arial Narrow"/>
                <w:noProof/>
              </w:rPr>
            </w:pPr>
            <w:r>
              <w:rPr>
                <w:noProof/>
              </w:rPr>
              <w:t>Numer</w:t>
            </w:r>
          </w:p>
        </w:tc>
        <w:tc>
          <w:tcPr>
            <w:tcW w:w="1096" w:type="dxa"/>
            <w:tcBorders>
              <w:top w:val="nil"/>
              <w:left w:val="nil"/>
              <w:bottom w:val="single" w:sz="4" w:space="0" w:color="auto"/>
              <w:right w:val="single" w:sz="4" w:space="0" w:color="auto"/>
            </w:tcBorders>
            <w:shd w:val="clear" w:color="auto" w:fill="C6EFCE"/>
            <w:noWrap/>
            <w:vAlign w:val="center"/>
          </w:tcPr>
          <w:p w14:paraId="7FC16820" w14:textId="77777777" w:rsidR="004C6421" w:rsidRDefault="009D1962">
            <w:pPr>
              <w:pStyle w:val="P68B1DB1-Normal4"/>
              <w:spacing w:after="160" w:line="257" w:lineRule="auto"/>
              <w:jc w:val="both"/>
              <w:rPr>
                <w:rFonts w:eastAsia="Arial Narrow" w:cs="Arial Narrow"/>
                <w:noProof/>
              </w:rPr>
            </w:pPr>
            <w:r>
              <w:rPr>
                <w:noProof/>
              </w:rPr>
              <w:t>0</w:t>
            </w:r>
          </w:p>
        </w:tc>
        <w:tc>
          <w:tcPr>
            <w:tcW w:w="878" w:type="dxa"/>
            <w:tcBorders>
              <w:top w:val="nil"/>
              <w:left w:val="nil"/>
              <w:bottom w:val="single" w:sz="4" w:space="0" w:color="auto"/>
              <w:right w:val="single" w:sz="4" w:space="0" w:color="auto"/>
            </w:tcBorders>
            <w:shd w:val="clear" w:color="auto" w:fill="C6EFCE"/>
            <w:noWrap/>
            <w:vAlign w:val="center"/>
          </w:tcPr>
          <w:p w14:paraId="39C48ECF" w14:textId="77777777" w:rsidR="004C6421" w:rsidRDefault="009D1962">
            <w:pPr>
              <w:pStyle w:val="P68B1DB1-Normal4"/>
              <w:spacing w:after="160" w:line="257" w:lineRule="auto"/>
              <w:jc w:val="both"/>
              <w:rPr>
                <w:rFonts w:eastAsia="Arial Narrow" w:cs="Arial Narrow"/>
                <w:noProof/>
              </w:rPr>
            </w:pPr>
            <w:r>
              <w:rPr>
                <w:noProof/>
              </w:rPr>
              <w:t>3</w:t>
            </w:r>
          </w:p>
        </w:tc>
        <w:tc>
          <w:tcPr>
            <w:tcW w:w="1630" w:type="dxa"/>
            <w:tcBorders>
              <w:top w:val="nil"/>
              <w:left w:val="nil"/>
              <w:bottom w:val="single" w:sz="4" w:space="0" w:color="auto"/>
              <w:right w:val="single" w:sz="4" w:space="0" w:color="auto"/>
            </w:tcBorders>
            <w:shd w:val="clear" w:color="auto" w:fill="C6EFCE"/>
            <w:noWrap/>
            <w:vAlign w:val="center"/>
          </w:tcPr>
          <w:p w14:paraId="44A7665A" w14:textId="77777777" w:rsidR="004C6421" w:rsidRDefault="009D1962">
            <w:pPr>
              <w:pStyle w:val="P68B1DB1-Normal4"/>
              <w:spacing w:after="160" w:line="257" w:lineRule="auto"/>
              <w:jc w:val="both"/>
              <w:rPr>
                <w:rFonts w:eastAsia="Arial Narrow" w:cs="Arial Narrow"/>
                <w:noProof/>
              </w:rPr>
            </w:pPr>
            <w:r>
              <w:rPr>
                <w:noProof/>
              </w:rPr>
              <w:t>II KW.</w:t>
            </w:r>
          </w:p>
        </w:tc>
        <w:tc>
          <w:tcPr>
            <w:tcW w:w="717" w:type="dxa"/>
            <w:tcBorders>
              <w:top w:val="nil"/>
              <w:left w:val="nil"/>
              <w:bottom w:val="single" w:sz="4" w:space="0" w:color="auto"/>
              <w:right w:val="single" w:sz="4" w:space="0" w:color="auto"/>
            </w:tcBorders>
            <w:shd w:val="clear" w:color="auto" w:fill="C6EFCE"/>
            <w:noWrap/>
            <w:vAlign w:val="center"/>
          </w:tcPr>
          <w:p w14:paraId="650E6BA7" w14:textId="77777777" w:rsidR="004C6421" w:rsidRDefault="009D1962">
            <w:pPr>
              <w:pStyle w:val="P68B1DB1-Normal4"/>
              <w:spacing w:after="160" w:line="257" w:lineRule="auto"/>
              <w:jc w:val="both"/>
              <w:rPr>
                <w:rFonts w:eastAsia="Arial Narrow" w:cs="Arial Narrow"/>
                <w:noProof/>
              </w:rPr>
            </w:pPr>
            <w:r>
              <w:rPr>
                <w:noProof/>
              </w:rPr>
              <w:t>2026</w:t>
            </w:r>
          </w:p>
        </w:tc>
        <w:tc>
          <w:tcPr>
            <w:tcW w:w="4231" w:type="dxa"/>
            <w:tcBorders>
              <w:top w:val="nil"/>
              <w:left w:val="nil"/>
              <w:bottom w:val="single" w:sz="4" w:space="0" w:color="auto"/>
              <w:right w:val="single" w:sz="4" w:space="0" w:color="auto"/>
            </w:tcBorders>
            <w:shd w:val="clear" w:color="auto" w:fill="C6EFCE"/>
            <w:noWrap/>
            <w:vAlign w:val="center"/>
          </w:tcPr>
          <w:p w14:paraId="7544C127" w14:textId="77777777" w:rsidR="004C6421" w:rsidRDefault="009D1962">
            <w:pPr>
              <w:pStyle w:val="P68B1DB1-Normal4"/>
              <w:spacing w:before="120" w:after="120" w:line="257" w:lineRule="auto"/>
              <w:jc w:val="both"/>
              <w:rPr>
                <w:rFonts w:eastAsia="Arial Narrow" w:cs="Arial Narrow"/>
                <w:noProof/>
              </w:rPr>
            </w:pPr>
            <w:r>
              <w:rPr>
                <w:noProof/>
              </w:rPr>
              <w:t xml:space="preserve">Zakończenie następujących 3 interwencji związanych z cyfryzacją łańcucha logistycznego: </w:t>
            </w:r>
          </w:p>
          <w:p w14:paraId="69B2ED0D" w14:textId="0291508C" w:rsidR="004C6421" w:rsidRDefault="009D1962">
            <w:pPr>
              <w:pStyle w:val="P68B1DB1-ListParagraph5"/>
              <w:numPr>
                <w:ilvl w:val="0"/>
                <w:numId w:val="1"/>
              </w:numPr>
              <w:spacing w:before="0" w:after="0"/>
              <w:rPr>
                <w:rFonts w:eastAsia="Arial Narrow" w:cs="Arial Narrow"/>
                <w:noProof/>
              </w:rPr>
            </w:pPr>
            <w:r>
              <w:rPr>
                <w:noProof/>
              </w:rPr>
              <w:t xml:space="preserve">Log-IN Center: Utworzenie platformy cyfrowej (Piattaforma Logistica Nazionale – PLN), działającej w bezpiecznym środowisku chmury obliczeniowej, zdolnej do promowania interoperacyjności między operatorami transportowymi i logistycznymi a zaangażowanymi organami administracji publicznej poprzez skupienie się na dematerializacji dokumentów oraz wymianie danych i usług, w stosownych przypadkach zgodnie z rozporządzeniem (UE) 2020/1056. </w:t>
            </w:r>
          </w:p>
          <w:p w14:paraId="103CFD8B" w14:textId="77777777" w:rsidR="004C6421" w:rsidRDefault="004C6421">
            <w:pPr>
              <w:pStyle w:val="ListParagraph"/>
              <w:spacing w:before="0" w:after="0"/>
              <w:rPr>
                <w:rFonts w:ascii="Arial Narrow" w:eastAsia="Arial Narrow" w:hAnsi="Arial Narrow" w:cs="Arial Narrow"/>
                <w:noProof/>
                <w:color w:val="006100"/>
                <w:sz w:val="20"/>
              </w:rPr>
            </w:pPr>
          </w:p>
          <w:p w14:paraId="0ED76D9A" w14:textId="00C3773B" w:rsidR="004C6421" w:rsidRDefault="009D1962">
            <w:pPr>
              <w:pStyle w:val="P68B1DB1-ListParagraph5"/>
              <w:numPr>
                <w:ilvl w:val="0"/>
                <w:numId w:val="1"/>
              </w:numPr>
              <w:rPr>
                <w:rFonts w:eastAsia="Arial Narrow" w:cs="Arial Narrow"/>
                <w:noProof/>
              </w:rPr>
            </w:pPr>
            <w:r>
              <w:rPr>
                <w:noProof/>
              </w:rPr>
              <w:t xml:space="preserve">Sieć portów i wsie towarowe: </w:t>
            </w:r>
          </w:p>
          <w:p w14:paraId="799477F2" w14:textId="0CA4E1D4" w:rsidR="004C6421" w:rsidRDefault="009D1962">
            <w:pPr>
              <w:pStyle w:val="P68B1DB1-Normal16"/>
              <w:spacing w:before="120" w:after="120"/>
              <w:ind w:left="197"/>
              <w:jc w:val="both"/>
              <w:rPr>
                <w:rFonts w:eastAsia="Arial Narrow" w:cs="Arial Narrow"/>
                <w:noProof/>
                <w:sz w:val="20"/>
              </w:rPr>
            </w:pPr>
            <w:r>
              <w:rPr>
                <w:noProof/>
                <w:sz w:val="20"/>
              </w:rPr>
              <w:t>Wszystkie 16 organów systemu portowego posiada usługi PCS (wspólnego systemu portowego) zgodne z Piattaforma Logistica Nazionale (PLN) oraz, w stosownych przypadkach, z rozporządzeniem (UE) 2020/1056. Organ systemu portowego uznaje się za wyposażony w usługi systemów Wspólnoty Portowej (PCS), jeżeli co najmniej jeden port tego organu systemu portowego został wyposażony w systemy Wspólnoty Portowej (PCS</w:t>
            </w:r>
            <w:r>
              <w:rPr>
                <w:noProof/>
                <w:sz w:val="18"/>
              </w:rPr>
              <w:t xml:space="preserve">).  </w:t>
            </w:r>
            <w:r>
              <w:rPr>
                <w:noProof/>
                <w:sz w:val="20"/>
              </w:rPr>
              <w:t>Te usługi PCS są operacyjne dla wszystkich portów bazowych określonych w rozporządzeniu (UE) nr 1679/2024.</w:t>
            </w:r>
          </w:p>
          <w:p w14:paraId="4FCA784C" w14:textId="2A6A320A" w:rsidR="004C6421" w:rsidRDefault="009D1962">
            <w:pPr>
              <w:pStyle w:val="P68B1DB1-Normal4"/>
              <w:spacing w:before="120" w:after="120"/>
              <w:ind w:left="197"/>
              <w:jc w:val="both"/>
              <w:rPr>
                <w:rFonts w:eastAsia="Arial Narrow" w:cs="Arial Narrow"/>
                <w:noProof/>
              </w:rPr>
            </w:pPr>
            <w:r>
              <w:rPr>
                <w:noProof/>
              </w:rPr>
              <w:t>Co najmniej 12 krajowych wsi towarowych musi posiadać system wiosek towarowych (FVS) zgodny z PLN oraz, w stosownych przypadkach, z rozporządzeniem (UE) 2020/1056.</w:t>
            </w:r>
          </w:p>
          <w:p w14:paraId="3605DD61" w14:textId="522FC820" w:rsidR="004C6421" w:rsidRDefault="009D1962">
            <w:pPr>
              <w:pStyle w:val="ListParagraph"/>
              <w:numPr>
                <w:ilvl w:val="0"/>
                <w:numId w:val="1"/>
              </w:numPr>
              <w:rPr>
                <w:rFonts w:ascii="Calibri" w:eastAsia="Calibri" w:hAnsi="Calibri" w:cs="Calibri"/>
                <w:noProof/>
                <w:color w:val="006100"/>
                <w:sz w:val="20"/>
              </w:rPr>
            </w:pPr>
            <w:r>
              <w:rPr>
                <w:rFonts w:ascii="Arial Narrow" w:hAnsi="Arial Narrow"/>
                <w:noProof/>
                <w:color w:val="006100"/>
                <w:sz w:val="20"/>
              </w:rPr>
              <w:t>Log-IN Business: zakończenie tej interwencji wymaga, aby co najmniej 8350</w:t>
            </w:r>
            <w:r>
              <w:rPr>
                <w:noProof/>
              </w:rPr>
              <w:t xml:space="preserve"> </w:t>
            </w:r>
            <w:r>
              <w:rPr>
                <w:rFonts w:ascii="Arial Narrow" w:hAnsi="Arial Narrow"/>
                <w:noProof/>
                <w:color w:val="006100"/>
                <w:sz w:val="20"/>
              </w:rPr>
              <w:t>przedsiębiorstw otrzymało wsparcie publiczne na opracowanie systemów cyfrowych promujących interoperacyjność usług oraz zgodność z eCMR i eFTI.</w:t>
            </w:r>
          </w:p>
        </w:tc>
      </w:tr>
      <w:tr w:rsidR="004C6421" w14:paraId="66221C5A" w14:textId="77777777">
        <w:trPr>
          <w:trHeight w:val="309"/>
          <w:jc w:val="center"/>
        </w:trPr>
        <w:tc>
          <w:tcPr>
            <w:tcW w:w="1130" w:type="dxa"/>
            <w:tcBorders>
              <w:top w:val="nil"/>
              <w:left w:val="single" w:sz="4" w:space="0" w:color="auto"/>
              <w:bottom w:val="single" w:sz="4" w:space="0" w:color="auto"/>
              <w:right w:val="single" w:sz="4" w:space="0" w:color="auto"/>
            </w:tcBorders>
            <w:shd w:val="clear" w:color="auto" w:fill="C6EFCE"/>
            <w:noWrap/>
            <w:vAlign w:val="center"/>
          </w:tcPr>
          <w:p w14:paraId="255E999D" w14:textId="77777777" w:rsidR="004C6421" w:rsidRDefault="009D1962">
            <w:pPr>
              <w:pStyle w:val="P68B1DB1-Normal4"/>
              <w:jc w:val="center"/>
              <w:rPr>
                <w:noProof/>
              </w:rPr>
            </w:pPr>
            <w:r>
              <w:rPr>
                <w:noProof/>
              </w:rPr>
              <w:t>M3C2-6</w:t>
            </w:r>
          </w:p>
        </w:tc>
        <w:tc>
          <w:tcPr>
            <w:tcW w:w="1560" w:type="dxa"/>
            <w:tcBorders>
              <w:top w:val="nil"/>
              <w:left w:val="nil"/>
              <w:bottom w:val="single" w:sz="4" w:space="0" w:color="auto"/>
              <w:right w:val="single" w:sz="4" w:space="0" w:color="auto"/>
            </w:tcBorders>
            <w:shd w:val="clear" w:color="auto" w:fill="C6EFCE"/>
            <w:noWrap/>
            <w:vAlign w:val="center"/>
          </w:tcPr>
          <w:p w14:paraId="3937E34B" w14:textId="77777777" w:rsidR="004C6421" w:rsidRDefault="009D1962">
            <w:pPr>
              <w:pStyle w:val="P68B1DB1-Normal4"/>
              <w:jc w:val="center"/>
              <w:rPr>
                <w:noProof/>
              </w:rPr>
            </w:pPr>
            <w:r>
              <w:rPr>
                <w:noProof/>
              </w:rPr>
              <w:t>Inwestycje 2.2: Cyfryzacja zarządzania ruchem lotniczym</w:t>
            </w:r>
          </w:p>
        </w:tc>
        <w:tc>
          <w:tcPr>
            <w:tcW w:w="1066" w:type="dxa"/>
            <w:tcBorders>
              <w:top w:val="nil"/>
              <w:left w:val="nil"/>
              <w:bottom w:val="single" w:sz="4" w:space="0" w:color="auto"/>
              <w:right w:val="single" w:sz="4" w:space="0" w:color="auto"/>
            </w:tcBorders>
            <w:shd w:val="clear" w:color="auto" w:fill="C6EFCE"/>
            <w:noWrap/>
            <w:vAlign w:val="center"/>
          </w:tcPr>
          <w:p w14:paraId="3017841F" w14:textId="19F2E885" w:rsidR="004C6421" w:rsidRDefault="00CC179E">
            <w:pPr>
              <w:pStyle w:val="P68B1DB1-Normal4"/>
              <w:jc w:val="center"/>
              <w:rPr>
                <w:noProof/>
              </w:rPr>
            </w:pPr>
            <w:r>
              <w:rPr>
                <w:noProof/>
              </w:rPr>
              <w:t>Milowy</w:t>
            </w:r>
          </w:p>
        </w:tc>
        <w:tc>
          <w:tcPr>
            <w:tcW w:w="1627" w:type="dxa"/>
            <w:tcBorders>
              <w:top w:val="nil"/>
              <w:left w:val="nil"/>
              <w:bottom w:val="single" w:sz="4" w:space="0" w:color="auto"/>
              <w:right w:val="single" w:sz="4" w:space="0" w:color="auto"/>
            </w:tcBorders>
            <w:shd w:val="clear" w:color="auto" w:fill="C6EFCE"/>
            <w:noWrap/>
            <w:vAlign w:val="center"/>
          </w:tcPr>
          <w:p w14:paraId="113464DE" w14:textId="77777777" w:rsidR="004C6421" w:rsidRDefault="009D1962">
            <w:pPr>
              <w:pStyle w:val="P68B1DB1-Normal4"/>
              <w:jc w:val="center"/>
              <w:rPr>
                <w:noProof/>
              </w:rPr>
            </w:pPr>
            <w:r>
              <w:rPr>
                <w:noProof/>
              </w:rPr>
              <w:t>Cyfryzacja zarządzania ruchem lotniczym: uruchomienie nowych narzędzi</w:t>
            </w:r>
          </w:p>
        </w:tc>
        <w:tc>
          <w:tcPr>
            <w:tcW w:w="1777" w:type="dxa"/>
            <w:tcBorders>
              <w:top w:val="nil"/>
              <w:left w:val="nil"/>
              <w:bottom w:val="single" w:sz="4" w:space="0" w:color="auto"/>
              <w:right w:val="single" w:sz="4" w:space="0" w:color="auto"/>
            </w:tcBorders>
            <w:shd w:val="clear" w:color="auto" w:fill="C6EFCE"/>
            <w:noWrap/>
            <w:vAlign w:val="center"/>
          </w:tcPr>
          <w:p w14:paraId="220E56B1" w14:textId="77777777" w:rsidR="004C6421" w:rsidRDefault="009D1962">
            <w:pPr>
              <w:pStyle w:val="P68B1DB1-Normal4"/>
              <w:jc w:val="center"/>
              <w:rPr>
                <w:noProof/>
              </w:rPr>
            </w:pPr>
            <w:r>
              <w:rPr>
                <w:noProof/>
              </w:rPr>
              <w:t>Certyfikaty TOC, cyfrowej informacji lotniczej i UTMS NIE DOT.</w:t>
            </w:r>
          </w:p>
        </w:tc>
        <w:tc>
          <w:tcPr>
            <w:tcW w:w="926" w:type="dxa"/>
            <w:tcBorders>
              <w:top w:val="nil"/>
              <w:left w:val="nil"/>
              <w:bottom w:val="single" w:sz="4" w:space="0" w:color="auto"/>
              <w:right w:val="single" w:sz="4" w:space="0" w:color="auto"/>
            </w:tcBorders>
            <w:shd w:val="clear" w:color="auto" w:fill="C6EFCE"/>
            <w:noWrap/>
            <w:vAlign w:val="center"/>
          </w:tcPr>
          <w:p w14:paraId="1B208711" w14:textId="77777777" w:rsidR="004C6421" w:rsidRDefault="009D1962">
            <w:pPr>
              <w:pStyle w:val="P68B1DB1-Normal4"/>
              <w:jc w:val="center"/>
              <w:rPr>
                <w:noProof/>
              </w:rPr>
            </w:pPr>
            <w:r>
              <w:rPr>
                <w:noProof/>
              </w:rPr>
              <w:t>NIE DOT.</w:t>
            </w:r>
          </w:p>
        </w:tc>
        <w:tc>
          <w:tcPr>
            <w:tcW w:w="1096" w:type="dxa"/>
            <w:tcBorders>
              <w:top w:val="nil"/>
              <w:left w:val="nil"/>
              <w:bottom w:val="single" w:sz="4" w:space="0" w:color="auto"/>
              <w:right w:val="single" w:sz="4" w:space="0" w:color="auto"/>
            </w:tcBorders>
            <w:shd w:val="clear" w:color="auto" w:fill="C6EFCE"/>
            <w:noWrap/>
            <w:vAlign w:val="center"/>
          </w:tcPr>
          <w:p w14:paraId="49EA4495" w14:textId="77777777" w:rsidR="004C6421" w:rsidRDefault="009D1962">
            <w:pPr>
              <w:pStyle w:val="P68B1DB1-Normal4"/>
              <w:jc w:val="center"/>
              <w:rPr>
                <w:noProof/>
              </w:rPr>
            </w:pPr>
            <w:r>
              <w:rPr>
                <w:noProof/>
              </w:rPr>
              <w:t xml:space="preserve">NIE DOT. </w:t>
            </w:r>
          </w:p>
        </w:tc>
        <w:tc>
          <w:tcPr>
            <w:tcW w:w="878" w:type="dxa"/>
            <w:tcBorders>
              <w:top w:val="nil"/>
              <w:left w:val="nil"/>
              <w:bottom w:val="single" w:sz="4" w:space="0" w:color="auto"/>
              <w:right w:val="single" w:sz="4" w:space="0" w:color="auto"/>
            </w:tcBorders>
            <w:shd w:val="clear" w:color="auto" w:fill="C6EFCE"/>
            <w:noWrap/>
            <w:vAlign w:val="center"/>
          </w:tcPr>
          <w:p w14:paraId="3B55E4D1" w14:textId="77777777" w:rsidR="004C6421" w:rsidRDefault="004C6421">
            <w:pPr>
              <w:jc w:val="center"/>
              <w:rPr>
                <w:rFonts w:ascii="Arial Narrow" w:hAnsi="Arial Narrow"/>
                <w:noProof/>
                <w:color w:val="006100"/>
                <w:sz w:val="20"/>
              </w:rPr>
            </w:pPr>
          </w:p>
          <w:p w14:paraId="6937F3D9" w14:textId="77777777" w:rsidR="004C6421" w:rsidRDefault="009D1962">
            <w:pPr>
              <w:pStyle w:val="P68B1DB1-Normal4"/>
              <w:jc w:val="center"/>
              <w:rPr>
                <w:noProof/>
              </w:rPr>
            </w:pPr>
            <w:r>
              <w:rPr>
                <w:noProof/>
              </w:rPr>
              <w:t>NIE DOT.</w:t>
            </w:r>
          </w:p>
          <w:p w14:paraId="2292C871" w14:textId="77777777" w:rsidR="004C6421" w:rsidRDefault="004C6421">
            <w:pPr>
              <w:jc w:val="center"/>
              <w:rPr>
                <w:rFonts w:ascii="Arial Narrow" w:hAnsi="Arial Narrow"/>
                <w:noProof/>
                <w:color w:val="006100"/>
                <w:sz w:val="20"/>
              </w:rPr>
            </w:pPr>
          </w:p>
        </w:tc>
        <w:tc>
          <w:tcPr>
            <w:tcW w:w="916" w:type="dxa"/>
            <w:tcBorders>
              <w:top w:val="nil"/>
              <w:left w:val="nil"/>
              <w:bottom w:val="single" w:sz="4" w:space="0" w:color="auto"/>
              <w:right w:val="single" w:sz="4" w:space="0" w:color="auto"/>
            </w:tcBorders>
            <w:shd w:val="clear" w:color="auto" w:fill="C6EFCE"/>
            <w:noWrap/>
            <w:vAlign w:val="center"/>
          </w:tcPr>
          <w:p w14:paraId="74204D25" w14:textId="16CEF1BD" w:rsidR="004C6421" w:rsidRDefault="00CC179E">
            <w:pPr>
              <w:pStyle w:val="P68B1DB1-Normal4"/>
              <w:jc w:val="center"/>
              <w:rPr>
                <w:noProof/>
              </w:rPr>
            </w:pPr>
            <w:r>
              <w:rPr>
                <w:noProof/>
              </w:rPr>
              <w:t>KW. 1</w:t>
            </w:r>
          </w:p>
        </w:tc>
        <w:tc>
          <w:tcPr>
            <w:tcW w:w="666" w:type="dxa"/>
            <w:tcBorders>
              <w:top w:val="nil"/>
              <w:left w:val="nil"/>
              <w:bottom w:val="single" w:sz="4" w:space="0" w:color="auto"/>
              <w:right w:val="single" w:sz="4" w:space="0" w:color="auto"/>
            </w:tcBorders>
            <w:shd w:val="clear" w:color="auto" w:fill="C6EFCE"/>
            <w:noWrap/>
            <w:vAlign w:val="center"/>
          </w:tcPr>
          <w:p w14:paraId="163C8A31" w14:textId="77777777" w:rsidR="004C6421" w:rsidRDefault="009D1962">
            <w:pPr>
              <w:pStyle w:val="P68B1DB1-Normal4"/>
              <w:jc w:val="center"/>
              <w:rPr>
                <w:noProof/>
              </w:rPr>
            </w:pPr>
            <w:r>
              <w:rPr>
                <w:noProof/>
              </w:rPr>
              <w:t>2026</w:t>
            </w:r>
          </w:p>
        </w:tc>
        <w:tc>
          <w:tcPr>
            <w:tcW w:w="4231" w:type="dxa"/>
            <w:tcBorders>
              <w:top w:val="nil"/>
              <w:left w:val="nil"/>
              <w:bottom w:val="single" w:sz="4" w:space="0" w:color="auto"/>
              <w:right w:val="single" w:sz="4" w:space="0" w:color="auto"/>
            </w:tcBorders>
            <w:shd w:val="clear" w:color="auto" w:fill="C6EFCE"/>
            <w:noWrap/>
            <w:vAlign w:val="center"/>
          </w:tcPr>
          <w:p w14:paraId="2B8E361F" w14:textId="77777777" w:rsidR="004C6421" w:rsidRDefault="009D1962">
            <w:pPr>
              <w:pStyle w:val="P68B1DB1-Normal4"/>
              <w:jc w:val="both"/>
              <w:rPr>
                <w:noProof/>
              </w:rPr>
            </w:pPr>
            <w:r>
              <w:rPr>
                <w:noProof/>
              </w:rPr>
              <w:t xml:space="preserve">Rozpoczęcie realizacji następujących 3 projektów: </w:t>
            </w:r>
          </w:p>
          <w:p w14:paraId="09BEFF35" w14:textId="77777777" w:rsidR="004C6421" w:rsidRDefault="009D1962">
            <w:pPr>
              <w:pStyle w:val="P68B1DB1-Normal4"/>
              <w:jc w:val="both"/>
              <w:rPr>
                <w:noProof/>
              </w:rPr>
            </w:pPr>
            <w:r>
              <w:rPr>
                <w:noProof/>
              </w:rPr>
              <w:t xml:space="preserve">techniczne Centrum Operacyjne (TOC) i co najmniej dwa systemy zarządzania ruchem lotniczym </w:t>
            </w:r>
          </w:p>
          <w:p w14:paraId="7F5153B7" w14:textId="77777777" w:rsidR="004C6421" w:rsidRDefault="009D1962">
            <w:pPr>
              <w:pStyle w:val="P68B1DB1-Normal4"/>
              <w:jc w:val="both"/>
              <w:rPr>
                <w:noProof/>
              </w:rPr>
            </w:pPr>
            <w:r>
              <w:rPr>
                <w:noProof/>
              </w:rPr>
              <w:t xml:space="preserve">b) Cyfrowe informacje lotnicze </w:t>
            </w:r>
          </w:p>
          <w:p w14:paraId="6E058DE9" w14:textId="77777777" w:rsidR="004C6421" w:rsidRDefault="009D1962">
            <w:pPr>
              <w:pStyle w:val="P68B1DB1-Normal4"/>
              <w:rPr>
                <w:noProof/>
              </w:rPr>
            </w:pPr>
            <w:r>
              <w:rPr>
                <w:noProof/>
              </w:rPr>
              <w:t>C) System zarządzania ruchem bezzałogowym i łączność (UTMS).</w:t>
            </w:r>
          </w:p>
        </w:tc>
      </w:tr>
      <w:tr w:rsidR="004C6421" w14:paraId="60915B91" w14:textId="77777777">
        <w:trPr>
          <w:trHeight w:val="309"/>
          <w:jc w:val="center"/>
        </w:trPr>
        <w:tc>
          <w:tcPr>
            <w:tcW w:w="113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5A69A83" w14:textId="77777777" w:rsidR="004C6421" w:rsidRDefault="009D1962">
            <w:pPr>
              <w:jc w:val="center"/>
              <w:rPr>
                <w:rFonts w:ascii="Arial Narrow" w:hAnsi="Arial Narrow"/>
                <w:noProof/>
                <w:color w:val="006100"/>
                <w:sz w:val="20"/>
              </w:rPr>
            </w:pPr>
            <w:r>
              <w:rPr>
                <w:rStyle w:val="normaltextrun"/>
                <w:rFonts w:ascii="Arial Narrow" w:hAnsi="Arial Narrow"/>
                <w:noProof/>
                <w:color w:val="006100"/>
                <w:sz w:val="20"/>
              </w:rPr>
              <w:t xml:space="preserve">M3C2-7 </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23826A0F" w14:textId="77777777" w:rsidR="004C6421" w:rsidRDefault="009D1962">
            <w:pPr>
              <w:jc w:val="center"/>
              <w:rPr>
                <w:rFonts w:ascii="Arial Narrow" w:hAnsi="Arial Narrow"/>
                <w:noProof/>
                <w:color w:val="006100"/>
                <w:sz w:val="20"/>
              </w:rPr>
            </w:pPr>
            <w:r>
              <w:rPr>
                <w:rStyle w:val="normaltextrun"/>
                <w:rFonts w:ascii="Arial Narrow" w:hAnsi="Arial Narrow"/>
                <w:noProof/>
                <w:color w:val="006100"/>
                <w:sz w:val="20"/>
              </w:rPr>
              <w:t xml:space="preserve">Inwestycja 2.3: Prasowanie na zimno </w:t>
            </w:r>
          </w:p>
        </w:tc>
        <w:tc>
          <w:tcPr>
            <w:tcW w:w="1066" w:type="dxa"/>
            <w:tcBorders>
              <w:top w:val="single" w:sz="4" w:space="0" w:color="auto"/>
              <w:left w:val="nil"/>
              <w:bottom w:val="single" w:sz="4" w:space="0" w:color="auto"/>
              <w:right w:val="single" w:sz="4" w:space="0" w:color="auto"/>
            </w:tcBorders>
            <w:shd w:val="clear" w:color="auto" w:fill="C6EFCE"/>
            <w:noWrap/>
            <w:vAlign w:val="center"/>
          </w:tcPr>
          <w:p w14:paraId="5D2B8C73" w14:textId="1C1C94B6" w:rsidR="004C6421" w:rsidRDefault="00CC179E">
            <w:pPr>
              <w:jc w:val="center"/>
              <w:rPr>
                <w:rFonts w:ascii="Arial Narrow" w:hAnsi="Arial Narrow"/>
                <w:noProof/>
                <w:color w:val="006100"/>
                <w:sz w:val="20"/>
              </w:rPr>
            </w:pPr>
            <w:r>
              <w:rPr>
                <w:rStyle w:val="normaltextrun"/>
                <w:rFonts w:ascii="Arial Narrow" w:hAnsi="Arial Narrow"/>
                <w:noProof/>
                <w:color w:val="006100"/>
                <w:sz w:val="20"/>
              </w:rPr>
              <w:t xml:space="preserve">Milowy </w:t>
            </w:r>
          </w:p>
        </w:tc>
        <w:tc>
          <w:tcPr>
            <w:tcW w:w="1627" w:type="dxa"/>
            <w:tcBorders>
              <w:top w:val="single" w:sz="4" w:space="0" w:color="auto"/>
              <w:left w:val="nil"/>
              <w:bottom w:val="single" w:sz="4" w:space="0" w:color="auto"/>
              <w:right w:val="single" w:sz="4" w:space="0" w:color="auto"/>
            </w:tcBorders>
            <w:shd w:val="clear" w:color="auto" w:fill="C6EFCE"/>
            <w:noWrap/>
            <w:vAlign w:val="center"/>
          </w:tcPr>
          <w:p w14:paraId="6AB81129" w14:textId="77777777" w:rsidR="004C6421" w:rsidRDefault="009D1962">
            <w:pPr>
              <w:jc w:val="center"/>
              <w:rPr>
                <w:rFonts w:ascii="Arial Narrow" w:hAnsi="Arial Narrow"/>
                <w:noProof/>
                <w:color w:val="006100"/>
                <w:sz w:val="20"/>
              </w:rPr>
            </w:pPr>
            <w:r>
              <w:rPr>
                <w:rStyle w:val="normaltextrun"/>
                <w:rFonts w:ascii="Arial Narrow" w:hAnsi="Arial Narrow"/>
                <w:noProof/>
                <w:color w:val="006100"/>
                <w:sz w:val="20"/>
              </w:rPr>
              <w:t xml:space="preserve">Udzielanie wszystkich zamówień publicznych </w:t>
            </w:r>
          </w:p>
        </w:tc>
        <w:tc>
          <w:tcPr>
            <w:tcW w:w="1777" w:type="dxa"/>
            <w:tcBorders>
              <w:top w:val="single" w:sz="4" w:space="0" w:color="auto"/>
              <w:left w:val="nil"/>
              <w:bottom w:val="single" w:sz="4" w:space="0" w:color="auto"/>
              <w:right w:val="single" w:sz="4" w:space="0" w:color="auto"/>
            </w:tcBorders>
            <w:shd w:val="clear" w:color="auto" w:fill="C6EFCE"/>
            <w:noWrap/>
            <w:vAlign w:val="center"/>
          </w:tcPr>
          <w:p w14:paraId="327735A0" w14:textId="77777777" w:rsidR="004C6421" w:rsidRDefault="009D1962">
            <w:pPr>
              <w:jc w:val="center"/>
              <w:rPr>
                <w:rFonts w:ascii="Arial Narrow" w:hAnsi="Arial Narrow"/>
                <w:noProof/>
                <w:color w:val="006100"/>
                <w:sz w:val="20"/>
              </w:rPr>
            </w:pPr>
            <w:r>
              <w:rPr>
                <w:rStyle w:val="normaltextrun"/>
                <w:rFonts w:ascii="Arial Narrow" w:hAnsi="Arial Narrow"/>
                <w:noProof/>
                <w:color w:val="006100"/>
                <w:sz w:val="20"/>
              </w:rPr>
              <w:t xml:space="preserve">Powiadomienie o udzieleniu wszystkich zamówień publicznych na budowę co najmniej 15 zakładów prasowania na zimno </w:t>
            </w:r>
          </w:p>
        </w:tc>
        <w:tc>
          <w:tcPr>
            <w:tcW w:w="926" w:type="dxa"/>
            <w:tcBorders>
              <w:top w:val="single" w:sz="4" w:space="0" w:color="auto"/>
              <w:left w:val="nil"/>
              <w:bottom w:val="single" w:sz="4" w:space="0" w:color="auto"/>
              <w:right w:val="single" w:sz="4" w:space="0" w:color="auto"/>
            </w:tcBorders>
            <w:shd w:val="clear" w:color="auto" w:fill="C6EFCE"/>
            <w:noWrap/>
            <w:vAlign w:val="center"/>
          </w:tcPr>
          <w:p w14:paraId="22510BE6" w14:textId="77777777" w:rsidR="004C6421" w:rsidRDefault="009D1962">
            <w:pPr>
              <w:jc w:val="center"/>
              <w:rPr>
                <w:rFonts w:ascii="Arial Narrow" w:hAnsi="Arial Narrow"/>
                <w:noProof/>
                <w:color w:val="006100"/>
                <w:sz w:val="20"/>
              </w:rPr>
            </w:pPr>
            <w:r>
              <w:rPr>
                <w:rStyle w:val="normaltextrun"/>
                <w:rFonts w:ascii="Arial Narrow" w:hAnsi="Arial Narrow"/>
                <w:noProof/>
                <w:color w:val="006100"/>
                <w:sz w:val="20"/>
              </w:rPr>
              <w:t xml:space="preserve">NIE DOT. </w:t>
            </w:r>
          </w:p>
        </w:tc>
        <w:tc>
          <w:tcPr>
            <w:tcW w:w="1096" w:type="dxa"/>
            <w:tcBorders>
              <w:top w:val="single" w:sz="4" w:space="0" w:color="auto"/>
              <w:left w:val="nil"/>
              <w:bottom w:val="single" w:sz="4" w:space="0" w:color="auto"/>
              <w:right w:val="single" w:sz="4" w:space="0" w:color="auto"/>
            </w:tcBorders>
            <w:shd w:val="clear" w:color="auto" w:fill="C6EFCE"/>
            <w:noWrap/>
            <w:vAlign w:val="center"/>
          </w:tcPr>
          <w:p w14:paraId="1A42490E" w14:textId="77777777" w:rsidR="004C6421" w:rsidRDefault="009D1962">
            <w:pPr>
              <w:jc w:val="center"/>
              <w:rPr>
                <w:rFonts w:ascii="Arial Narrow" w:hAnsi="Arial Narrow"/>
                <w:noProof/>
                <w:color w:val="006100"/>
                <w:sz w:val="20"/>
              </w:rPr>
            </w:pPr>
            <w:r>
              <w:rPr>
                <w:rStyle w:val="normaltextrun"/>
                <w:rFonts w:ascii="Arial Narrow" w:hAnsi="Arial Narrow"/>
                <w:noProof/>
                <w:color w:val="006100"/>
                <w:sz w:val="20"/>
              </w:rPr>
              <w:t xml:space="preserve">NIE DOT. </w:t>
            </w:r>
          </w:p>
        </w:tc>
        <w:tc>
          <w:tcPr>
            <w:tcW w:w="878" w:type="dxa"/>
            <w:tcBorders>
              <w:top w:val="single" w:sz="4" w:space="0" w:color="auto"/>
              <w:left w:val="nil"/>
              <w:bottom w:val="single" w:sz="4" w:space="0" w:color="auto"/>
              <w:right w:val="single" w:sz="4" w:space="0" w:color="auto"/>
            </w:tcBorders>
            <w:shd w:val="clear" w:color="auto" w:fill="C6EFCE"/>
            <w:noWrap/>
            <w:vAlign w:val="center"/>
          </w:tcPr>
          <w:p w14:paraId="7BF95109" w14:textId="77777777" w:rsidR="004C6421" w:rsidRDefault="009D1962">
            <w:pPr>
              <w:jc w:val="center"/>
              <w:rPr>
                <w:rFonts w:ascii="Arial Narrow" w:hAnsi="Arial Narrow"/>
                <w:noProof/>
                <w:color w:val="006100"/>
                <w:sz w:val="20"/>
              </w:rPr>
            </w:pPr>
            <w:r>
              <w:rPr>
                <w:rStyle w:val="normaltextrun"/>
                <w:rFonts w:ascii="Arial Narrow" w:hAnsi="Arial Narrow"/>
                <w:noProof/>
                <w:color w:val="006100"/>
                <w:sz w:val="20"/>
              </w:rPr>
              <w:t xml:space="preserve">NIE DOT. </w:t>
            </w:r>
          </w:p>
        </w:tc>
        <w:tc>
          <w:tcPr>
            <w:tcW w:w="916" w:type="dxa"/>
            <w:tcBorders>
              <w:top w:val="single" w:sz="4" w:space="0" w:color="auto"/>
              <w:left w:val="nil"/>
              <w:bottom w:val="single" w:sz="4" w:space="0" w:color="auto"/>
              <w:right w:val="single" w:sz="4" w:space="0" w:color="auto"/>
            </w:tcBorders>
            <w:shd w:val="clear" w:color="auto" w:fill="C6EFCE"/>
            <w:noWrap/>
            <w:vAlign w:val="center"/>
          </w:tcPr>
          <w:p w14:paraId="26A6B3E4" w14:textId="77777777" w:rsidR="004C6421" w:rsidRDefault="009D1962">
            <w:pPr>
              <w:jc w:val="center"/>
              <w:rPr>
                <w:rFonts w:ascii="Arial Narrow" w:hAnsi="Arial Narrow"/>
                <w:noProof/>
                <w:color w:val="006100"/>
                <w:sz w:val="20"/>
              </w:rPr>
            </w:pPr>
            <w:r>
              <w:rPr>
                <w:rStyle w:val="normaltextrun"/>
                <w:rFonts w:ascii="Arial Narrow" w:hAnsi="Arial Narrow"/>
                <w:noProof/>
                <w:color w:val="006100"/>
                <w:sz w:val="20"/>
              </w:rPr>
              <w:t xml:space="preserve">III KW. </w:t>
            </w:r>
          </w:p>
        </w:tc>
        <w:tc>
          <w:tcPr>
            <w:tcW w:w="666" w:type="dxa"/>
            <w:tcBorders>
              <w:top w:val="single" w:sz="4" w:space="0" w:color="auto"/>
              <w:left w:val="nil"/>
              <w:bottom w:val="single" w:sz="4" w:space="0" w:color="auto"/>
              <w:right w:val="single" w:sz="4" w:space="0" w:color="auto"/>
            </w:tcBorders>
            <w:shd w:val="clear" w:color="auto" w:fill="C6EFCE"/>
            <w:noWrap/>
            <w:vAlign w:val="center"/>
          </w:tcPr>
          <w:p w14:paraId="645001C6" w14:textId="77777777" w:rsidR="004C6421" w:rsidRDefault="009D1962">
            <w:pPr>
              <w:jc w:val="center"/>
              <w:rPr>
                <w:rFonts w:ascii="Arial Narrow" w:hAnsi="Arial Narrow"/>
                <w:noProof/>
                <w:color w:val="006100"/>
                <w:sz w:val="20"/>
              </w:rPr>
            </w:pPr>
            <w:r>
              <w:rPr>
                <w:rStyle w:val="normaltextrun"/>
                <w:rFonts w:ascii="Arial Narrow" w:hAnsi="Arial Narrow"/>
                <w:noProof/>
                <w:color w:val="006100"/>
                <w:sz w:val="20"/>
              </w:rPr>
              <w:t xml:space="preserve">2024 </w:t>
            </w:r>
          </w:p>
        </w:tc>
        <w:tc>
          <w:tcPr>
            <w:tcW w:w="4231" w:type="dxa"/>
            <w:tcBorders>
              <w:top w:val="single" w:sz="4" w:space="0" w:color="auto"/>
              <w:left w:val="nil"/>
              <w:bottom w:val="single" w:sz="4" w:space="0" w:color="auto"/>
              <w:right w:val="single" w:sz="4" w:space="0" w:color="auto"/>
            </w:tcBorders>
            <w:shd w:val="clear" w:color="auto" w:fill="C6EFCE"/>
            <w:noWrap/>
            <w:vAlign w:val="center"/>
          </w:tcPr>
          <w:p w14:paraId="6C6101DD" w14:textId="77777777" w:rsidR="004C6421" w:rsidRDefault="009D1962">
            <w:pPr>
              <w:jc w:val="both"/>
              <w:rPr>
                <w:rFonts w:ascii="Arial Narrow" w:hAnsi="Arial Narrow"/>
                <w:noProof/>
                <w:color w:val="006100"/>
                <w:sz w:val="20"/>
              </w:rPr>
            </w:pPr>
            <w:r>
              <w:rPr>
                <w:rStyle w:val="normaltextrun"/>
                <w:rFonts w:ascii="Arial Narrow" w:hAnsi="Arial Narrow"/>
                <w:noProof/>
                <w:color w:val="006100"/>
                <w:sz w:val="20"/>
              </w:rPr>
              <w:t xml:space="preserve">Publikacja zaproszenia do składania ofert i udzielenie wszystkich zamówień na budowę co najmniej 15 chłodnych zakładów prasowania dostarczających energię elektryczną w co najmniej 10 portach. </w:t>
            </w:r>
          </w:p>
        </w:tc>
      </w:tr>
      <w:tr w:rsidR="004C6421" w14:paraId="24A54FA5" w14:textId="77777777">
        <w:trPr>
          <w:trHeight w:val="309"/>
          <w:jc w:val="center"/>
        </w:trPr>
        <w:tc>
          <w:tcPr>
            <w:tcW w:w="113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372B340" w14:textId="77777777" w:rsidR="004C6421" w:rsidRDefault="009D1962">
            <w:pPr>
              <w:jc w:val="center"/>
              <w:rPr>
                <w:rFonts w:ascii="Arial Narrow" w:hAnsi="Arial Narrow"/>
                <w:noProof/>
                <w:color w:val="006100"/>
                <w:sz w:val="20"/>
              </w:rPr>
            </w:pPr>
            <w:r>
              <w:rPr>
                <w:rStyle w:val="normaltextrun"/>
                <w:rFonts w:ascii="Arial Narrow" w:hAnsi="Arial Narrow"/>
                <w:noProof/>
                <w:color w:val="006100"/>
                <w:sz w:val="20"/>
              </w:rPr>
              <w:t>M3C2-12</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22537578" w14:textId="77777777" w:rsidR="004C6421" w:rsidRDefault="009D1962">
            <w:pPr>
              <w:jc w:val="center"/>
              <w:rPr>
                <w:rFonts w:ascii="Arial Narrow" w:hAnsi="Arial Narrow"/>
                <w:noProof/>
                <w:color w:val="006100"/>
                <w:sz w:val="20"/>
              </w:rPr>
            </w:pPr>
            <w:r>
              <w:rPr>
                <w:rStyle w:val="normaltextrun"/>
                <w:rFonts w:ascii="Arial Narrow" w:hAnsi="Arial Narrow"/>
                <w:noProof/>
                <w:color w:val="006100"/>
                <w:sz w:val="20"/>
              </w:rPr>
              <w:t xml:space="preserve">Inwestycja 2.3: Prasowanie na zimno </w:t>
            </w:r>
          </w:p>
        </w:tc>
        <w:tc>
          <w:tcPr>
            <w:tcW w:w="1066" w:type="dxa"/>
            <w:tcBorders>
              <w:top w:val="single" w:sz="4" w:space="0" w:color="auto"/>
              <w:left w:val="nil"/>
              <w:bottom w:val="single" w:sz="4" w:space="0" w:color="auto"/>
              <w:right w:val="single" w:sz="4" w:space="0" w:color="auto"/>
            </w:tcBorders>
            <w:shd w:val="clear" w:color="auto" w:fill="C6EFCE"/>
            <w:noWrap/>
            <w:vAlign w:val="center"/>
          </w:tcPr>
          <w:p w14:paraId="76CE408D" w14:textId="77777777" w:rsidR="004C6421" w:rsidRDefault="009D1962">
            <w:pPr>
              <w:jc w:val="center"/>
              <w:rPr>
                <w:rFonts w:ascii="Arial Narrow" w:hAnsi="Arial Narrow"/>
                <w:noProof/>
                <w:color w:val="006100"/>
                <w:sz w:val="20"/>
              </w:rPr>
            </w:pPr>
            <w:r>
              <w:rPr>
                <w:rStyle w:val="normaltextrun"/>
                <w:rFonts w:ascii="Arial Narrow" w:hAnsi="Arial Narrow"/>
                <w:noProof/>
                <w:color w:val="006100"/>
                <w:sz w:val="20"/>
              </w:rPr>
              <w:t xml:space="preserve">Cel </w:t>
            </w:r>
          </w:p>
        </w:tc>
        <w:tc>
          <w:tcPr>
            <w:tcW w:w="1627" w:type="dxa"/>
            <w:tcBorders>
              <w:top w:val="single" w:sz="4" w:space="0" w:color="auto"/>
              <w:left w:val="nil"/>
              <w:bottom w:val="single" w:sz="4" w:space="0" w:color="auto"/>
              <w:right w:val="single" w:sz="4" w:space="0" w:color="auto"/>
            </w:tcBorders>
            <w:shd w:val="clear" w:color="auto" w:fill="C6EFCE"/>
            <w:noWrap/>
            <w:vAlign w:val="center"/>
          </w:tcPr>
          <w:p w14:paraId="618F57C2" w14:textId="77777777" w:rsidR="004C6421" w:rsidRDefault="009D1962">
            <w:pPr>
              <w:jc w:val="center"/>
              <w:rPr>
                <w:rFonts w:ascii="Arial Narrow" w:hAnsi="Arial Narrow"/>
                <w:noProof/>
                <w:color w:val="006100"/>
                <w:sz w:val="20"/>
              </w:rPr>
            </w:pPr>
            <w:r>
              <w:rPr>
                <w:rStyle w:val="normaltextrun"/>
                <w:rFonts w:ascii="Arial Narrow" w:hAnsi="Arial Narrow"/>
                <w:noProof/>
                <w:color w:val="006100"/>
                <w:sz w:val="20"/>
              </w:rPr>
              <w:t xml:space="preserve">Uruchomienie infrastruktury do prasowania na zimno. </w:t>
            </w:r>
          </w:p>
        </w:tc>
        <w:tc>
          <w:tcPr>
            <w:tcW w:w="1777" w:type="dxa"/>
            <w:tcBorders>
              <w:top w:val="single" w:sz="4" w:space="0" w:color="auto"/>
              <w:left w:val="nil"/>
              <w:bottom w:val="single" w:sz="4" w:space="0" w:color="auto"/>
              <w:right w:val="single" w:sz="4" w:space="0" w:color="auto"/>
            </w:tcBorders>
            <w:shd w:val="clear" w:color="auto" w:fill="C6EFCE"/>
            <w:noWrap/>
            <w:vAlign w:val="center"/>
          </w:tcPr>
          <w:p w14:paraId="5326951A" w14:textId="77777777" w:rsidR="004C6421" w:rsidRDefault="009D1962">
            <w:pPr>
              <w:jc w:val="center"/>
              <w:rPr>
                <w:rFonts w:ascii="Arial Narrow" w:hAnsi="Arial Narrow"/>
                <w:noProof/>
                <w:color w:val="006100"/>
                <w:sz w:val="20"/>
              </w:rPr>
            </w:pPr>
            <w:r>
              <w:rPr>
                <w:rStyle w:val="eop"/>
                <w:rFonts w:ascii="Arial Narrow" w:hAnsi="Arial Narrow"/>
                <w:noProof/>
                <w:color w:val="006100"/>
                <w:sz w:val="20"/>
              </w:rPr>
              <w:t xml:space="preserve"> </w:t>
            </w:r>
          </w:p>
        </w:tc>
        <w:tc>
          <w:tcPr>
            <w:tcW w:w="926" w:type="dxa"/>
            <w:tcBorders>
              <w:top w:val="single" w:sz="4" w:space="0" w:color="auto"/>
              <w:left w:val="nil"/>
              <w:bottom w:val="single" w:sz="4" w:space="0" w:color="auto"/>
              <w:right w:val="single" w:sz="4" w:space="0" w:color="auto"/>
            </w:tcBorders>
            <w:shd w:val="clear" w:color="auto" w:fill="C6EFCE"/>
            <w:noWrap/>
            <w:vAlign w:val="center"/>
          </w:tcPr>
          <w:p w14:paraId="0A32E84E" w14:textId="77777777" w:rsidR="004C6421" w:rsidRDefault="009D1962">
            <w:pPr>
              <w:jc w:val="center"/>
              <w:rPr>
                <w:rFonts w:ascii="Arial Narrow" w:hAnsi="Arial Narrow"/>
                <w:noProof/>
                <w:color w:val="006100"/>
                <w:sz w:val="20"/>
              </w:rPr>
            </w:pPr>
            <w:r>
              <w:rPr>
                <w:rStyle w:val="normaltextrun"/>
                <w:rFonts w:ascii="Arial Narrow" w:hAnsi="Arial Narrow"/>
                <w:noProof/>
                <w:color w:val="006100"/>
                <w:sz w:val="20"/>
              </w:rPr>
              <w:t xml:space="preserve">Numer </w:t>
            </w:r>
          </w:p>
        </w:tc>
        <w:tc>
          <w:tcPr>
            <w:tcW w:w="1096" w:type="dxa"/>
            <w:tcBorders>
              <w:top w:val="single" w:sz="4" w:space="0" w:color="auto"/>
              <w:left w:val="nil"/>
              <w:bottom w:val="single" w:sz="4" w:space="0" w:color="auto"/>
              <w:right w:val="single" w:sz="4" w:space="0" w:color="auto"/>
            </w:tcBorders>
            <w:shd w:val="clear" w:color="auto" w:fill="C6EFCE"/>
            <w:noWrap/>
            <w:vAlign w:val="center"/>
          </w:tcPr>
          <w:p w14:paraId="5E06B45A" w14:textId="77777777" w:rsidR="004C6421" w:rsidRDefault="009D1962">
            <w:pPr>
              <w:jc w:val="center"/>
              <w:rPr>
                <w:rFonts w:ascii="Arial Narrow" w:hAnsi="Arial Narrow"/>
                <w:noProof/>
                <w:color w:val="006100"/>
                <w:sz w:val="20"/>
              </w:rPr>
            </w:pPr>
            <w:r>
              <w:rPr>
                <w:rStyle w:val="normaltextrun"/>
                <w:rFonts w:ascii="Arial Narrow" w:hAnsi="Arial Narrow"/>
                <w:noProof/>
                <w:color w:val="006100"/>
                <w:sz w:val="20"/>
              </w:rPr>
              <w:t xml:space="preserve">0 </w:t>
            </w:r>
          </w:p>
        </w:tc>
        <w:tc>
          <w:tcPr>
            <w:tcW w:w="878" w:type="dxa"/>
            <w:tcBorders>
              <w:top w:val="single" w:sz="4" w:space="0" w:color="auto"/>
              <w:left w:val="nil"/>
              <w:bottom w:val="single" w:sz="4" w:space="0" w:color="auto"/>
              <w:right w:val="single" w:sz="4" w:space="0" w:color="auto"/>
            </w:tcBorders>
            <w:shd w:val="clear" w:color="auto" w:fill="C6EFCE"/>
            <w:noWrap/>
            <w:vAlign w:val="center"/>
          </w:tcPr>
          <w:p w14:paraId="4241CD7E" w14:textId="77777777" w:rsidR="004C6421" w:rsidRDefault="009D1962">
            <w:pPr>
              <w:jc w:val="center"/>
              <w:rPr>
                <w:rFonts w:ascii="Arial Narrow" w:hAnsi="Arial Narrow"/>
                <w:noProof/>
                <w:color w:val="006100"/>
                <w:sz w:val="20"/>
              </w:rPr>
            </w:pPr>
            <w:r>
              <w:rPr>
                <w:rStyle w:val="normaltextrun"/>
                <w:rFonts w:ascii="Arial Narrow" w:hAnsi="Arial Narrow"/>
                <w:noProof/>
                <w:color w:val="006100"/>
                <w:sz w:val="20"/>
              </w:rPr>
              <w:t xml:space="preserve">15 </w:t>
            </w:r>
          </w:p>
        </w:tc>
        <w:tc>
          <w:tcPr>
            <w:tcW w:w="916" w:type="dxa"/>
            <w:tcBorders>
              <w:top w:val="single" w:sz="4" w:space="0" w:color="auto"/>
              <w:left w:val="nil"/>
              <w:bottom w:val="single" w:sz="4" w:space="0" w:color="auto"/>
              <w:right w:val="single" w:sz="4" w:space="0" w:color="auto"/>
            </w:tcBorders>
            <w:shd w:val="clear" w:color="auto" w:fill="C6EFCE"/>
            <w:noWrap/>
            <w:vAlign w:val="center"/>
          </w:tcPr>
          <w:p w14:paraId="71752AB8" w14:textId="0F81D4AD" w:rsidR="004C6421" w:rsidRDefault="00CC179E">
            <w:pPr>
              <w:jc w:val="center"/>
              <w:rPr>
                <w:rFonts w:ascii="Arial Narrow" w:hAnsi="Arial Narrow"/>
                <w:noProof/>
                <w:color w:val="006100"/>
                <w:sz w:val="20"/>
              </w:rPr>
            </w:pPr>
            <w:r>
              <w:rPr>
                <w:rStyle w:val="normaltextrun"/>
                <w:rFonts w:ascii="Arial Narrow" w:hAnsi="Arial Narrow"/>
                <w:noProof/>
                <w:color w:val="006100"/>
                <w:sz w:val="20"/>
              </w:rPr>
              <w:t xml:space="preserve">KW. 1 </w:t>
            </w:r>
          </w:p>
        </w:tc>
        <w:tc>
          <w:tcPr>
            <w:tcW w:w="666" w:type="dxa"/>
            <w:tcBorders>
              <w:top w:val="single" w:sz="4" w:space="0" w:color="auto"/>
              <w:left w:val="nil"/>
              <w:bottom w:val="single" w:sz="4" w:space="0" w:color="auto"/>
              <w:right w:val="single" w:sz="4" w:space="0" w:color="auto"/>
            </w:tcBorders>
            <w:shd w:val="clear" w:color="auto" w:fill="C6EFCE"/>
            <w:noWrap/>
            <w:vAlign w:val="center"/>
          </w:tcPr>
          <w:p w14:paraId="36F4CDC7" w14:textId="77777777" w:rsidR="004C6421" w:rsidRDefault="009D1962">
            <w:pPr>
              <w:jc w:val="center"/>
              <w:rPr>
                <w:rFonts w:ascii="Arial Narrow" w:hAnsi="Arial Narrow"/>
                <w:noProof/>
                <w:color w:val="006100"/>
                <w:sz w:val="20"/>
              </w:rPr>
            </w:pPr>
            <w:r>
              <w:rPr>
                <w:rStyle w:val="normaltextrun"/>
                <w:rFonts w:ascii="Arial Narrow" w:hAnsi="Arial Narrow"/>
                <w:noProof/>
                <w:color w:val="006100"/>
                <w:sz w:val="20"/>
              </w:rPr>
              <w:t xml:space="preserve">2026 </w:t>
            </w:r>
          </w:p>
        </w:tc>
        <w:tc>
          <w:tcPr>
            <w:tcW w:w="4231" w:type="dxa"/>
            <w:tcBorders>
              <w:top w:val="single" w:sz="4" w:space="0" w:color="auto"/>
              <w:left w:val="nil"/>
              <w:bottom w:val="single" w:sz="4" w:space="0" w:color="auto"/>
              <w:right w:val="single" w:sz="4" w:space="0" w:color="auto"/>
            </w:tcBorders>
            <w:shd w:val="clear" w:color="auto" w:fill="C6EFCE"/>
            <w:noWrap/>
            <w:vAlign w:val="center"/>
          </w:tcPr>
          <w:p w14:paraId="68872BB9" w14:textId="77777777" w:rsidR="004C6421" w:rsidRDefault="009D1962">
            <w:pPr>
              <w:jc w:val="both"/>
              <w:rPr>
                <w:rFonts w:ascii="Arial Narrow" w:hAnsi="Arial Narrow"/>
                <w:noProof/>
                <w:color w:val="006100"/>
                <w:sz w:val="20"/>
              </w:rPr>
            </w:pPr>
            <w:r>
              <w:rPr>
                <w:rStyle w:val="normaltextrun"/>
                <w:rFonts w:ascii="Arial Narrow" w:hAnsi="Arial Narrow"/>
                <w:noProof/>
                <w:color w:val="006100"/>
                <w:sz w:val="20"/>
              </w:rPr>
              <w:t xml:space="preserve">Oddanie do eksploatacji co najmniej 15 infrastruktur prasowania na zimno zapewniających energię elektryczną w co najmniej 10 portach. </w:t>
            </w:r>
          </w:p>
        </w:tc>
      </w:tr>
    </w:tbl>
    <w:p w14:paraId="74ED34F2" w14:textId="77777777" w:rsidR="004C6421" w:rsidRDefault="004C6421">
      <w:pPr>
        <w:spacing w:before="120" w:after="120"/>
        <w:jc w:val="both"/>
        <w:rPr>
          <w:noProof/>
        </w:rPr>
      </w:pPr>
    </w:p>
    <w:p w14:paraId="4B15171B" w14:textId="77777777" w:rsidR="004C6421" w:rsidRDefault="004C6421">
      <w:pPr>
        <w:spacing w:before="120" w:after="120"/>
        <w:ind w:left="709"/>
        <w:jc w:val="both"/>
        <w:rPr>
          <w:noProof/>
        </w:rPr>
      </w:pPr>
    </w:p>
    <w:p w14:paraId="032455EE" w14:textId="77777777" w:rsidR="004C6421" w:rsidRDefault="004C6421">
      <w:pPr>
        <w:spacing w:before="120" w:after="120"/>
        <w:ind w:left="709"/>
        <w:jc w:val="both"/>
        <w:rPr>
          <w:noProof/>
        </w:rPr>
        <w:sectPr w:rsidR="004C6421" w:rsidSect="00797973">
          <w:headerReference w:type="even" r:id="rId236"/>
          <w:headerReference w:type="default" r:id="rId237"/>
          <w:footerReference w:type="even" r:id="rId238"/>
          <w:footerReference w:type="default" r:id="rId239"/>
          <w:headerReference w:type="first" r:id="rId240"/>
          <w:footerReference w:type="first" r:id="rId241"/>
          <w:pgSz w:w="16839" w:h="11907" w:orient="landscape"/>
          <w:pgMar w:top="1134" w:right="1134" w:bottom="1134" w:left="1134" w:header="567" w:footer="567" w:gutter="0"/>
          <w:cols w:space="720"/>
          <w:docGrid w:linePitch="360"/>
        </w:sectPr>
      </w:pPr>
    </w:p>
    <w:p w14:paraId="24014D40" w14:textId="77777777" w:rsidR="004C6421" w:rsidRDefault="009D1962">
      <w:pPr>
        <w:pStyle w:val="Heading3"/>
        <w:numPr>
          <w:ilvl w:val="0"/>
          <w:numId w:val="0"/>
        </w:numPr>
        <w:ind w:left="850" w:hanging="850"/>
        <w:rPr>
          <w:b/>
          <w:i w:val="0"/>
          <w:noProof/>
          <w:color w:val="4472C4" w:themeColor="accent1"/>
          <w:u w:val="single"/>
        </w:rPr>
      </w:pPr>
      <w:r>
        <w:rPr>
          <w:b/>
          <w:i w:val="0"/>
          <w:noProof/>
          <w:u w:val="single"/>
        </w:rPr>
        <w:t xml:space="preserve">I.3. </w:t>
      </w:r>
      <w:r>
        <w:rPr>
          <w:noProof/>
        </w:rPr>
        <w:t xml:space="preserve"> </w:t>
      </w:r>
      <w:r>
        <w:rPr>
          <w:b/>
          <w:i w:val="0"/>
          <w:noProof/>
          <w:u w:val="single"/>
        </w:rPr>
        <w:t xml:space="preserve">Opis reform i inwestycji związanych z pożyczką </w:t>
      </w:r>
    </w:p>
    <w:p w14:paraId="60FD5629" w14:textId="77777777" w:rsidR="004C6421" w:rsidRDefault="009D1962">
      <w:pPr>
        <w:pStyle w:val="P68B1DB1-Normal2"/>
        <w:spacing w:before="120" w:after="120"/>
        <w:jc w:val="both"/>
        <w:rPr>
          <w:rFonts w:eastAsia="Calibri"/>
          <w:noProof/>
        </w:rPr>
      </w:pPr>
      <w:r>
        <w:rPr>
          <w:noProof/>
        </w:rPr>
        <w:t>Inwestycje 1.1: „Zielone porty: interwencje w zakresie energii odnawialnej i efektywności energetycznej w portach</w:t>
      </w:r>
    </w:p>
    <w:p w14:paraId="71DF3F6E" w14:textId="77777777" w:rsidR="004C6421" w:rsidRDefault="009D1962">
      <w:pPr>
        <w:spacing w:before="120" w:after="120"/>
        <w:jc w:val="both"/>
        <w:rPr>
          <w:rFonts w:eastAsia="Calibri"/>
          <w:noProof/>
        </w:rPr>
      </w:pPr>
      <w:r>
        <w:rPr>
          <w:noProof/>
        </w:rPr>
        <w:t>Głównym celem tego środka jest ograniczenie emisji CO2 i poprawa jakości powietrza w miastach portowych poprzez interwencje mające na celu efektywność energetyczną i promowanie wykorzystania energii ze źródeł odnawialnych w portach. Celem jest przyczynienie się do zmniejszenia całkowitych rocznych emisji CO2 na danym obszarze portowym. Projekty mają być wybierane spośród projektów, które poszczególne organy systemu portowego wskazały w dokumentach planowania środowiskowego systemów portowych (DEASP). Oczekuje się również, że program „zielone porty” doprowadzi do znacznego ograniczenia innych zanieczyszczeń spalania, które są główną przyczyną pogorszenia jakości powietrza w miastach portowych. Inwestycja ta obejmuje zakup bezemisyjnych pojazdów i łodzi służbowych lub przekształcenie pojazdów i łodzi serwisowych napędzanych paliwami kopalnymi w pojazdy bezemisyjne.</w:t>
      </w:r>
    </w:p>
    <w:p w14:paraId="1C914551" w14:textId="77777777" w:rsidR="004C6421" w:rsidRDefault="009D1962">
      <w:pPr>
        <w:pStyle w:val="P68B1DB1-Normal2"/>
        <w:spacing w:before="120" w:after="120"/>
        <w:jc w:val="both"/>
        <w:rPr>
          <w:noProof/>
        </w:rPr>
      </w:pPr>
      <w:r>
        <w:rPr>
          <w:noProof/>
        </w:rPr>
        <w:t>Reforma 2.2: Ustanowienie Krajowej Platformy Logistyki Cyfrowej w celu wprowadzenia cyfryzacji usług towarowych lub pasażerskich</w:t>
      </w:r>
    </w:p>
    <w:p w14:paraId="0C1CECB3" w14:textId="77777777" w:rsidR="004C6421" w:rsidRDefault="009D1962">
      <w:pPr>
        <w:spacing w:before="120" w:after="120"/>
        <w:jc w:val="both"/>
        <w:rPr>
          <w:noProof/>
        </w:rPr>
      </w:pPr>
      <w:r>
        <w:rPr>
          <w:noProof/>
        </w:rPr>
        <w:t xml:space="preserve">Celem reformy jest zapewnienie interoperacyjności wspólnotowych systemów portowych poszczególnych organów systemu portowego z Krajową Platformą Logistyki Cyfrowej. </w:t>
      </w:r>
    </w:p>
    <w:p w14:paraId="4CB15250" w14:textId="77777777" w:rsidR="004C6421" w:rsidRDefault="009D1962">
      <w:pPr>
        <w:pStyle w:val="Heading3"/>
        <w:numPr>
          <w:ilvl w:val="0"/>
          <w:numId w:val="0"/>
        </w:numPr>
        <w:ind w:left="850" w:hanging="850"/>
        <w:rPr>
          <w:b/>
          <w:i w:val="0"/>
          <w:noProof/>
          <w:u w:val="single"/>
        </w:rPr>
      </w:pPr>
      <w:r>
        <w:rPr>
          <w:b/>
          <w:i w:val="0"/>
          <w:noProof/>
          <w:u w:val="single"/>
        </w:rPr>
        <w:t xml:space="preserve">I.4. </w:t>
      </w:r>
      <w:r>
        <w:rPr>
          <w:noProof/>
        </w:rPr>
        <w:t xml:space="preserve"> </w:t>
      </w:r>
      <w:r>
        <w:rPr>
          <w:b/>
          <w:i w:val="0"/>
          <w:noProof/>
          <w:u w:val="single"/>
        </w:rPr>
        <w:t xml:space="preserve">Cele pośrednie, wartości docelowe, wskaźniki i harmonogram monitorowania i realizacji pożyczki </w:t>
      </w:r>
    </w:p>
    <w:p w14:paraId="49AFA53F" w14:textId="77777777" w:rsidR="004C6421" w:rsidRDefault="004C6421">
      <w:pPr>
        <w:spacing w:before="120" w:after="120"/>
        <w:ind w:left="709"/>
        <w:contextualSpacing/>
        <w:jc w:val="both"/>
        <w:rPr>
          <w:noProof/>
        </w:rPr>
        <w:sectPr w:rsidR="004C6421" w:rsidSect="00797973">
          <w:headerReference w:type="even" r:id="rId242"/>
          <w:headerReference w:type="default" r:id="rId243"/>
          <w:footerReference w:type="even" r:id="rId244"/>
          <w:footerReference w:type="default" r:id="rId245"/>
          <w:headerReference w:type="first" r:id="rId246"/>
          <w:footerReference w:type="first" r:id="rId247"/>
          <w:pgSz w:w="11907" w:h="16839"/>
          <w:pgMar w:top="1134" w:right="1134" w:bottom="1134" w:left="1134" w:header="567" w:footer="567" w:gutter="0"/>
          <w:cols w:space="720"/>
          <w:docGrid w:linePitch="360"/>
        </w:sectPr>
      </w:pPr>
    </w:p>
    <w:tbl>
      <w:tblPr>
        <w:tblW w:w="53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5"/>
        <w:gridCol w:w="1572"/>
        <w:gridCol w:w="1275"/>
        <w:gridCol w:w="1418"/>
        <w:gridCol w:w="1559"/>
        <w:gridCol w:w="1276"/>
        <w:gridCol w:w="1276"/>
        <w:gridCol w:w="710"/>
        <w:gridCol w:w="708"/>
        <w:gridCol w:w="710"/>
        <w:gridCol w:w="3401"/>
      </w:tblGrid>
      <w:tr w:rsidR="004C6421" w14:paraId="11772133" w14:textId="77777777">
        <w:trPr>
          <w:trHeight w:val="939"/>
          <w:tblHeader/>
          <w:jc w:val="center"/>
        </w:trPr>
        <w:tc>
          <w:tcPr>
            <w:tcW w:w="1115" w:type="dxa"/>
            <w:vMerge w:val="restart"/>
            <w:shd w:val="clear" w:color="auto" w:fill="BDD7EE"/>
            <w:vAlign w:val="center"/>
            <w:hideMark/>
          </w:tcPr>
          <w:p w14:paraId="72634816" w14:textId="77777777" w:rsidR="004C6421" w:rsidRDefault="009D1962">
            <w:pPr>
              <w:pStyle w:val="P68B1DB1-Normal3"/>
              <w:jc w:val="center"/>
              <w:rPr>
                <w:noProof/>
              </w:rPr>
            </w:pPr>
            <w:r>
              <w:rPr>
                <w:noProof/>
              </w:rPr>
              <w:t>Numer porządkowy</w:t>
            </w:r>
          </w:p>
        </w:tc>
        <w:tc>
          <w:tcPr>
            <w:tcW w:w="1572" w:type="dxa"/>
            <w:vMerge w:val="restart"/>
            <w:shd w:val="clear" w:color="auto" w:fill="BDD7EE"/>
            <w:vAlign w:val="center"/>
            <w:hideMark/>
          </w:tcPr>
          <w:p w14:paraId="65D16AE7" w14:textId="77777777" w:rsidR="004C6421" w:rsidRDefault="009D1962">
            <w:pPr>
              <w:pStyle w:val="P68B1DB1-Normal3"/>
              <w:jc w:val="center"/>
              <w:rPr>
                <w:noProof/>
              </w:rPr>
            </w:pPr>
            <w:r>
              <w:rPr>
                <w:noProof/>
              </w:rPr>
              <w:t>Powiązane działanie (reforma lub inwestycja)</w:t>
            </w:r>
          </w:p>
        </w:tc>
        <w:tc>
          <w:tcPr>
            <w:tcW w:w="1275" w:type="dxa"/>
            <w:vMerge w:val="restart"/>
            <w:shd w:val="clear" w:color="auto" w:fill="BDD7EE"/>
            <w:vAlign w:val="center"/>
            <w:hideMark/>
          </w:tcPr>
          <w:p w14:paraId="2DFF03F3" w14:textId="77777777" w:rsidR="004C6421" w:rsidRDefault="009D1962">
            <w:pPr>
              <w:pStyle w:val="P68B1DB1-Normal3"/>
              <w:jc w:val="center"/>
              <w:rPr>
                <w:noProof/>
              </w:rPr>
            </w:pPr>
            <w:r>
              <w:rPr>
                <w:noProof/>
              </w:rPr>
              <w:t>Kamień milowy/wartość docelowa</w:t>
            </w:r>
          </w:p>
        </w:tc>
        <w:tc>
          <w:tcPr>
            <w:tcW w:w="1418" w:type="dxa"/>
            <w:vMerge w:val="restart"/>
            <w:shd w:val="clear" w:color="auto" w:fill="BDD7EE"/>
            <w:vAlign w:val="center"/>
            <w:hideMark/>
          </w:tcPr>
          <w:p w14:paraId="2B474790" w14:textId="77777777" w:rsidR="004C6421" w:rsidRDefault="009D1962">
            <w:pPr>
              <w:pStyle w:val="P68B1DB1-Normal3"/>
              <w:jc w:val="center"/>
              <w:rPr>
                <w:noProof/>
              </w:rPr>
            </w:pPr>
            <w:r>
              <w:rPr>
                <w:noProof/>
              </w:rPr>
              <w:t>Nazwa</w:t>
            </w:r>
          </w:p>
        </w:tc>
        <w:tc>
          <w:tcPr>
            <w:tcW w:w="1559" w:type="dxa"/>
            <w:vMerge w:val="restart"/>
            <w:shd w:val="clear" w:color="auto" w:fill="BDD7EE"/>
            <w:vAlign w:val="center"/>
            <w:hideMark/>
          </w:tcPr>
          <w:p w14:paraId="68912152" w14:textId="77777777" w:rsidR="004C6421" w:rsidRDefault="009D1962">
            <w:pPr>
              <w:jc w:val="center"/>
              <w:rPr>
                <w:rFonts w:ascii="Arial Narrow" w:hAnsi="Arial Narrow"/>
                <w:b/>
                <w:noProof/>
                <w:sz w:val="20"/>
              </w:rPr>
            </w:pPr>
            <w:r>
              <w:rPr>
                <w:rFonts w:ascii="Arial Narrow" w:hAnsi="Arial Narrow"/>
                <w:b/>
                <w:noProof/>
                <w:sz w:val="20"/>
              </w:rPr>
              <w:t xml:space="preserve">Wskaźniki jakościowe </w:t>
            </w:r>
            <w:r>
              <w:rPr>
                <w:rFonts w:ascii="Arial Narrow" w:hAnsi="Arial Narrow"/>
                <w:noProof/>
              </w:rPr>
              <w:t xml:space="preserve"> </w:t>
            </w:r>
            <w:r>
              <w:rPr>
                <w:noProof/>
              </w:rPr>
              <w:t xml:space="preserve">  </w:t>
            </w:r>
            <w:r>
              <w:rPr>
                <w:noProof/>
              </w:rPr>
              <w:br/>
            </w:r>
            <w:r>
              <w:rPr>
                <w:rFonts w:ascii="Arial Narrow" w:hAnsi="Arial Narrow"/>
                <w:b/>
                <w:noProof/>
                <w:sz w:val="20"/>
              </w:rPr>
              <w:t>(dla kamieni milowych)</w:t>
            </w:r>
          </w:p>
        </w:tc>
        <w:tc>
          <w:tcPr>
            <w:tcW w:w="3262" w:type="dxa"/>
            <w:gridSpan w:val="3"/>
            <w:shd w:val="clear" w:color="auto" w:fill="BDD7EE"/>
            <w:vAlign w:val="center"/>
            <w:hideMark/>
          </w:tcPr>
          <w:p w14:paraId="22B847F8" w14:textId="77777777" w:rsidR="004C6421" w:rsidRDefault="009D1962">
            <w:pPr>
              <w:jc w:val="center"/>
              <w:rPr>
                <w:rFonts w:ascii="Arial Narrow" w:hAnsi="Arial Narrow"/>
                <w:b/>
                <w:noProof/>
                <w:sz w:val="20"/>
              </w:rPr>
            </w:pPr>
            <w:r>
              <w:rPr>
                <w:rFonts w:ascii="Arial Narrow" w:hAnsi="Arial Narrow"/>
                <w:b/>
                <w:noProof/>
                <w:sz w:val="20"/>
              </w:rPr>
              <w:t xml:space="preserve">Wskaźniki ilościowe </w:t>
            </w:r>
            <w:r>
              <w:rPr>
                <w:rFonts w:ascii="Arial Narrow" w:hAnsi="Arial Narrow"/>
                <w:noProof/>
              </w:rPr>
              <w:t xml:space="preserve"> </w:t>
            </w:r>
            <w:r>
              <w:rPr>
                <w:noProof/>
              </w:rPr>
              <w:t xml:space="preserve">  </w:t>
            </w:r>
            <w:r>
              <w:rPr>
                <w:noProof/>
              </w:rPr>
              <w:br/>
            </w:r>
            <w:r>
              <w:rPr>
                <w:rFonts w:ascii="Arial Narrow" w:hAnsi="Arial Narrow"/>
                <w:b/>
                <w:noProof/>
                <w:sz w:val="20"/>
              </w:rPr>
              <w:t>(dla wartości docelowych)</w:t>
            </w:r>
          </w:p>
        </w:tc>
        <w:tc>
          <w:tcPr>
            <w:tcW w:w="1418" w:type="dxa"/>
            <w:gridSpan w:val="2"/>
            <w:shd w:val="clear" w:color="auto" w:fill="BDD7EE"/>
            <w:vAlign w:val="center"/>
            <w:hideMark/>
          </w:tcPr>
          <w:p w14:paraId="12ADAE44" w14:textId="77777777" w:rsidR="004C6421" w:rsidRDefault="009D1962">
            <w:pPr>
              <w:pStyle w:val="P68B1DB1-Normal3"/>
              <w:jc w:val="center"/>
              <w:rPr>
                <w:noProof/>
              </w:rPr>
            </w:pPr>
            <w:r>
              <w:rPr>
                <w:noProof/>
              </w:rPr>
              <w:t xml:space="preserve">Orientacyjny harmonogram zakończenia działania </w:t>
            </w:r>
          </w:p>
        </w:tc>
        <w:tc>
          <w:tcPr>
            <w:tcW w:w="3401" w:type="dxa"/>
            <w:vMerge w:val="restart"/>
            <w:shd w:val="clear" w:color="auto" w:fill="BDD7EE"/>
            <w:vAlign w:val="center"/>
            <w:hideMark/>
          </w:tcPr>
          <w:p w14:paraId="2C0330E2" w14:textId="77777777" w:rsidR="004C6421" w:rsidRDefault="009D1962">
            <w:pPr>
              <w:pStyle w:val="P68B1DB1-Normal3"/>
              <w:jc w:val="center"/>
              <w:rPr>
                <w:noProof/>
              </w:rPr>
            </w:pPr>
            <w:r>
              <w:rPr>
                <w:noProof/>
              </w:rPr>
              <w:t>Opis każdego kamienia milowego i każdej wartości docelowej</w:t>
            </w:r>
          </w:p>
        </w:tc>
      </w:tr>
      <w:tr w:rsidR="004C6421" w14:paraId="0D0684AE" w14:textId="77777777">
        <w:trPr>
          <w:trHeight w:val="1027"/>
          <w:jc w:val="center"/>
        </w:trPr>
        <w:tc>
          <w:tcPr>
            <w:tcW w:w="1115" w:type="dxa"/>
            <w:vMerge/>
            <w:vAlign w:val="center"/>
            <w:hideMark/>
          </w:tcPr>
          <w:p w14:paraId="224165DD" w14:textId="77777777" w:rsidR="004C6421" w:rsidRDefault="004C6421">
            <w:pPr>
              <w:rPr>
                <w:rFonts w:ascii="Arial Narrow" w:hAnsi="Arial Narrow"/>
                <w:b/>
                <w:noProof/>
                <w:sz w:val="20"/>
              </w:rPr>
            </w:pPr>
          </w:p>
        </w:tc>
        <w:tc>
          <w:tcPr>
            <w:tcW w:w="1572" w:type="dxa"/>
            <w:vMerge/>
            <w:vAlign w:val="center"/>
            <w:hideMark/>
          </w:tcPr>
          <w:p w14:paraId="41ED9BF0" w14:textId="77777777" w:rsidR="004C6421" w:rsidRDefault="004C6421">
            <w:pPr>
              <w:rPr>
                <w:rFonts w:ascii="Arial Narrow" w:hAnsi="Arial Narrow"/>
                <w:b/>
                <w:noProof/>
                <w:sz w:val="20"/>
              </w:rPr>
            </w:pPr>
          </w:p>
        </w:tc>
        <w:tc>
          <w:tcPr>
            <w:tcW w:w="1275" w:type="dxa"/>
            <w:vMerge/>
            <w:vAlign w:val="center"/>
            <w:hideMark/>
          </w:tcPr>
          <w:p w14:paraId="5384190F" w14:textId="77777777" w:rsidR="004C6421" w:rsidRDefault="004C6421">
            <w:pPr>
              <w:rPr>
                <w:rFonts w:ascii="Arial Narrow" w:hAnsi="Arial Narrow"/>
                <w:b/>
                <w:noProof/>
                <w:sz w:val="20"/>
              </w:rPr>
            </w:pPr>
          </w:p>
        </w:tc>
        <w:tc>
          <w:tcPr>
            <w:tcW w:w="1418" w:type="dxa"/>
            <w:vMerge/>
            <w:vAlign w:val="center"/>
            <w:hideMark/>
          </w:tcPr>
          <w:p w14:paraId="0DC22A3F" w14:textId="77777777" w:rsidR="004C6421" w:rsidRDefault="004C6421">
            <w:pPr>
              <w:rPr>
                <w:rFonts w:ascii="Arial Narrow" w:hAnsi="Arial Narrow"/>
                <w:b/>
                <w:noProof/>
                <w:sz w:val="20"/>
              </w:rPr>
            </w:pPr>
          </w:p>
        </w:tc>
        <w:tc>
          <w:tcPr>
            <w:tcW w:w="1559" w:type="dxa"/>
            <w:vMerge/>
            <w:vAlign w:val="center"/>
            <w:hideMark/>
          </w:tcPr>
          <w:p w14:paraId="6CDB6589" w14:textId="77777777" w:rsidR="004C6421" w:rsidRDefault="004C6421">
            <w:pPr>
              <w:rPr>
                <w:rFonts w:ascii="Arial Narrow" w:hAnsi="Arial Narrow"/>
                <w:b/>
                <w:noProof/>
                <w:sz w:val="20"/>
              </w:rPr>
            </w:pPr>
          </w:p>
        </w:tc>
        <w:tc>
          <w:tcPr>
            <w:tcW w:w="1276" w:type="dxa"/>
            <w:shd w:val="clear" w:color="auto" w:fill="BDD7EE"/>
            <w:vAlign w:val="center"/>
            <w:hideMark/>
          </w:tcPr>
          <w:p w14:paraId="37D330E1" w14:textId="77777777" w:rsidR="004C6421" w:rsidRDefault="009D1962">
            <w:pPr>
              <w:pStyle w:val="P68B1DB1-Normal3"/>
              <w:jc w:val="center"/>
              <w:rPr>
                <w:noProof/>
              </w:rPr>
            </w:pPr>
            <w:r>
              <w:rPr>
                <w:noProof/>
              </w:rPr>
              <w:t>Jednostka miary</w:t>
            </w:r>
          </w:p>
        </w:tc>
        <w:tc>
          <w:tcPr>
            <w:tcW w:w="1276" w:type="dxa"/>
            <w:shd w:val="clear" w:color="auto" w:fill="BDD7EE"/>
            <w:vAlign w:val="center"/>
            <w:hideMark/>
          </w:tcPr>
          <w:p w14:paraId="3C07082C" w14:textId="77777777" w:rsidR="004C6421" w:rsidRDefault="009D1962">
            <w:pPr>
              <w:pStyle w:val="P68B1DB1-Normal3"/>
              <w:jc w:val="center"/>
              <w:rPr>
                <w:noProof/>
              </w:rPr>
            </w:pPr>
            <w:r>
              <w:rPr>
                <w:noProof/>
              </w:rPr>
              <w:t xml:space="preserve">Bazowy </w:t>
            </w:r>
          </w:p>
        </w:tc>
        <w:tc>
          <w:tcPr>
            <w:tcW w:w="710" w:type="dxa"/>
            <w:shd w:val="clear" w:color="auto" w:fill="BDD7EE"/>
            <w:vAlign w:val="center"/>
            <w:hideMark/>
          </w:tcPr>
          <w:p w14:paraId="74D1510E" w14:textId="77777777" w:rsidR="004C6421" w:rsidRDefault="009D1962">
            <w:pPr>
              <w:pStyle w:val="P68B1DB1-Normal3"/>
              <w:jc w:val="center"/>
              <w:rPr>
                <w:noProof/>
              </w:rPr>
            </w:pPr>
            <w:r>
              <w:rPr>
                <w:noProof/>
              </w:rPr>
              <w:t xml:space="preserve">Cel </w:t>
            </w:r>
          </w:p>
        </w:tc>
        <w:tc>
          <w:tcPr>
            <w:tcW w:w="708" w:type="dxa"/>
            <w:shd w:val="clear" w:color="auto" w:fill="BDD7EE"/>
            <w:vAlign w:val="center"/>
            <w:hideMark/>
          </w:tcPr>
          <w:p w14:paraId="1D1F7475" w14:textId="77777777" w:rsidR="004C6421" w:rsidRDefault="009D1962">
            <w:pPr>
              <w:pStyle w:val="P68B1DB1-Normal3"/>
              <w:jc w:val="center"/>
              <w:rPr>
                <w:noProof/>
              </w:rPr>
            </w:pPr>
            <w:r>
              <w:rPr>
                <w:noProof/>
              </w:rPr>
              <w:t>Kwartał</w:t>
            </w:r>
          </w:p>
        </w:tc>
        <w:tc>
          <w:tcPr>
            <w:tcW w:w="710" w:type="dxa"/>
            <w:shd w:val="clear" w:color="auto" w:fill="BDD7EE"/>
            <w:vAlign w:val="center"/>
            <w:hideMark/>
          </w:tcPr>
          <w:p w14:paraId="5AC37568" w14:textId="77777777" w:rsidR="004C6421" w:rsidRDefault="009D1962">
            <w:pPr>
              <w:pStyle w:val="P68B1DB1-Normal3"/>
              <w:jc w:val="center"/>
              <w:rPr>
                <w:noProof/>
              </w:rPr>
            </w:pPr>
            <w:r>
              <w:rPr>
                <w:noProof/>
              </w:rPr>
              <w:t>Rok</w:t>
            </w:r>
          </w:p>
        </w:tc>
        <w:tc>
          <w:tcPr>
            <w:tcW w:w="3401" w:type="dxa"/>
            <w:vMerge/>
            <w:vAlign w:val="center"/>
            <w:hideMark/>
          </w:tcPr>
          <w:p w14:paraId="177C0CDF" w14:textId="77777777" w:rsidR="004C6421" w:rsidRDefault="004C6421">
            <w:pPr>
              <w:rPr>
                <w:rFonts w:ascii="Arial Narrow" w:hAnsi="Arial Narrow"/>
                <w:b/>
                <w:noProof/>
                <w:sz w:val="20"/>
              </w:rPr>
            </w:pPr>
          </w:p>
        </w:tc>
      </w:tr>
      <w:tr w:rsidR="004C6421" w14:paraId="5D242B9C" w14:textId="77777777">
        <w:trPr>
          <w:trHeight w:val="313"/>
          <w:jc w:val="center"/>
        </w:trPr>
        <w:tc>
          <w:tcPr>
            <w:tcW w:w="1115" w:type="dxa"/>
            <w:shd w:val="clear" w:color="auto" w:fill="C6EFCE"/>
            <w:noWrap/>
            <w:vAlign w:val="center"/>
          </w:tcPr>
          <w:p w14:paraId="4E1CCD7E" w14:textId="77777777" w:rsidR="004C6421" w:rsidRDefault="009D1962">
            <w:pPr>
              <w:pStyle w:val="P68B1DB1-Normal4"/>
              <w:jc w:val="center"/>
              <w:rPr>
                <w:noProof/>
              </w:rPr>
            </w:pPr>
            <w:r>
              <w:rPr>
                <w:noProof/>
              </w:rPr>
              <w:t>M3C2-8</w:t>
            </w:r>
          </w:p>
        </w:tc>
        <w:tc>
          <w:tcPr>
            <w:tcW w:w="1572" w:type="dxa"/>
            <w:shd w:val="clear" w:color="auto" w:fill="C6EFCE"/>
            <w:noWrap/>
            <w:vAlign w:val="center"/>
          </w:tcPr>
          <w:p w14:paraId="42044326" w14:textId="77777777" w:rsidR="004C6421" w:rsidRDefault="009D1962">
            <w:pPr>
              <w:pStyle w:val="P68B1DB1-Normal4"/>
              <w:jc w:val="center"/>
              <w:rPr>
                <w:noProof/>
              </w:rPr>
            </w:pPr>
            <w:r>
              <w:rPr>
                <w:noProof/>
              </w:rPr>
              <w:t>Inwestycje 1.1: „Zielone porty: interwencje w zakresie energii odnawialnej i efektywności energetycznej w portach</w:t>
            </w:r>
          </w:p>
        </w:tc>
        <w:tc>
          <w:tcPr>
            <w:tcW w:w="1275" w:type="dxa"/>
            <w:shd w:val="clear" w:color="auto" w:fill="C6EFCE"/>
            <w:noWrap/>
            <w:vAlign w:val="center"/>
          </w:tcPr>
          <w:p w14:paraId="3890E39E" w14:textId="77777777" w:rsidR="004C6421" w:rsidRDefault="009D1962">
            <w:pPr>
              <w:pStyle w:val="P68B1DB1-Normal4"/>
              <w:jc w:val="center"/>
              <w:rPr>
                <w:noProof/>
              </w:rPr>
            </w:pPr>
            <w:r>
              <w:rPr>
                <w:noProof/>
              </w:rPr>
              <w:t>Cel</w:t>
            </w:r>
          </w:p>
        </w:tc>
        <w:tc>
          <w:tcPr>
            <w:tcW w:w="1418" w:type="dxa"/>
            <w:shd w:val="clear" w:color="auto" w:fill="C6EFCE"/>
            <w:noWrap/>
            <w:vAlign w:val="center"/>
          </w:tcPr>
          <w:p w14:paraId="297903EF" w14:textId="77777777" w:rsidR="004C6421" w:rsidRDefault="009D1962">
            <w:pPr>
              <w:pStyle w:val="P68B1DB1-Normal4"/>
              <w:jc w:val="center"/>
              <w:rPr>
                <w:noProof/>
              </w:rPr>
            </w:pPr>
            <w:r>
              <w:rPr>
                <w:noProof/>
              </w:rPr>
              <w:t>„Zielone porty: przydzielanie robót</w:t>
            </w:r>
          </w:p>
        </w:tc>
        <w:tc>
          <w:tcPr>
            <w:tcW w:w="1559" w:type="dxa"/>
            <w:shd w:val="clear" w:color="auto" w:fill="C6EFCE"/>
            <w:noWrap/>
            <w:vAlign w:val="center"/>
          </w:tcPr>
          <w:p w14:paraId="2298B201" w14:textId="77777777" w:rsidR="004C6421" w:rsidRDefault="009D1962">
            <w:pPr>
              <w:pStyle w:val="P68B1DB1-Normal4"/>
              <w:jc w:val="center"/>
              <w:rPr>
                <w:noProof/>
              </w:rPr>
            </w:pPr>
            <w:r>
              <w:rPr>
                <w:noProof/>
              </w:rPr>
              <w:t>NIE DOT.</w:t>
            </w:r>
          </w:p>
        </w:tc>
        <w:tc>
          <w:tcPr>
            <w:tcW w:w="1276" w:type="dxa"/>
            <w:shd w:val="clear" w:color="auto" w:fill="C6EFCE"/>
            <w:noWrap/>
            <w:vAlign w:val="center"/>
          </w:tcPr>
          <w:p w14:paraId="56F1A375" w14:textId="77777777" w:rsidR="004C6421" w:rsidRDefault="009D1962">
            <w:pPr>
              <w:pStyle w:val="P68B1DB1-Normal4"/>
              <w:jc w:val="center"/>
              <w:rPr>
                <w:noProof/>
              </w:rPr>
            </w:pPr>
            <w:r>
              <w:rPr>
                <w:noProof/>
              </w:rPr>
              <w:t>Numer</w:t>
            </w:r>
          </w:p>
        </w:tc>
        <w:tc>
          <w:tcPr>
            <w:tcW w:w="1276" w:type="dxa"/>
            <w:shd w:val="clear" w:color="auto" w:fill="C6EFCE"/>
            <w:noWrap/>
            <w:vAlign w:val="center"/>
          </w:tcPr>
          <w:p w14:paraId="0F18AA35" w14:textId="77777777" w:rsidR="004C6421" w:rsidRDefault="009D1962">
            <w:pPr>
              <w:pStyle w:val="P68B1DB1-Normal4"/>
              <w:jc w:val="center"/>
              <w:rPr>
                <w:noProof/>
              </w:rPr>
            </w:pPr>
            <w:r>
              <w:rPr>
                <w:noProof/>
              </w:rPr>
              <w:t>0</w:t>
            </w:r>
          </w:p>
        </w:tc>
        <w:tc>
          <w:tcPr>
            <w:tcW w:w="710" w:type="dxa"/>
            <w:shd w:val="clear" w:color="auto" w:fill="C6EFCE"/>
            <w:noWrap/>
            <w:vAlign w:val="center"/>
          </w:tcPr>
          <w:p w14:paraId="4046598B" w14:textId="77777777" w:rsidR="004C6421" w:rsidRDefault="009D1962">
            <w:pPr>
              <w:pStyle w:val="P68B1DB1-Normal4"/>
              <w:jc w:val="center"/>
              <w:rPr>
                <w:noProof/>
              </w:rPr>
            </w:pPr>
            <w:r>
              <w:rPr>
                <w:noProof/>
              </w:rPr>
              <w:t>7</w:t>
            </w:r>
          </w:p>
        </w:tc>
        <w:tc>
          <w:tcPr>
            <w:tcW w:w="708" w:type="dxa"/>
            <w:shd w:val="clear" w:color="auto" w:fill="C6EFCE"/>
            <w:noWrap/>
            <w:vAlign w:val="center"/>
          </w:tcPr>
          <w:p w14:paraId="65E5FC5D" w14:textId="137F1235" w:rsidR="004C6421" w:rsidRDefault="00CC179E">
            <w:pPr>
              <w:pStyle w:val="P68B1DB1-Normal4"/>
              <w:jc w:val="center"/>
              <w:rPr>
                <w:noProof/>
              </w:rPr>
            </w:pPr>
            <w:r>
              <w:rPr>
                <w:noProof/>
              </w:rPr>
              <w:t>KW. 4</w:t>
            </w:r>
          </w:p>
        </w:tc>
        <w:tc>
          <w:tcPr>
            <w:tcW w:w="710" w:type="dxa"/>
            <w:shd w:val="clear" w:color="auto" w:fill="C6EFCE"/>
            <w:noWrap/>
            <w:vAlign w:val="center"/>
          </w:tcPr>
          <w:p w14:paraId="430F77F1" w14:textId="77777777" w:rsidR="004C6421" w:rsidRDefault="009D1962">
            <w:pPr>
              <w:pStyle w:val="P68B1DB1-Normal4"/>
              <w:jc w:val="center"/>
              <w:rPr>
                <w:noProof/>
              </w:rPr>
            </w:pPr>
            <w:r>
              <w:rPr>
                <w:noProof/>
              </w:rPr>
              <w:t>2022</w:t>
            </w:r>
          </w:p>
        </w:tc>
        <w:tc>
          <w:tcPr>
            <w:tcW w:w="3401" w:type="dxa"/>
            <w:shd w:val="clear" w:color="auto" w:fill="C6EFCE"/>
            <w:noWrap/>
            <w:vAlign w:val="center"/>
          </w:tcPr>
          <w:p w14:paraId="43793191" w14:textId="77777777" w:rsidR="004C6421" w:rsidRDefault="009D1962">
            <w:pPr>
              <w:pStyle w:val="P68B1DB1-Normal4"/>
              <w:jc w:val="both"/>
              <w:rPr>
                <w:noProof/>
              </w:rPr>
            </w:pPr>
            <w:r>
              <w:rPr>
                <w:noProof/>
              </w:rPr>
              <w:t xml:space="preserve">Powierzenie prac co najmniej siedmiu organom systemu portowego. Procedura wyboru przydzielenia robót obejmuje: </w:t>
            </w:r>
          </w:p>
          <w:p w14:paraId="1B6F596D" w14:textId="77777777" w:rsidR="004C6421" w:rsidRDefault="004C6421">
            <w:pPr>
              <w:jc w:val="both"/>
              <w:rPr>
                <w:rFonts w:ascii="Arial Narrow" w:hAnsi="Arial Narrow"/>
                <w:noProof/>
                <w:color w:val="006100"/>
                <w:sz w:val="20"/>
              </w:rPr>
            </w:pPr>
          </w:p>
          <w:p w14:paraId="19C66498" w14:textId="77777777" w:rsidR="004C6421" w:rsidRDefault="009D1962">
            <w:pPr>
              <w:pStyle w:val="P68B1DB1-Normal4"/>
              <w:jc w:val="both"/>
              <w:rPr>
                <w:noProof/>
              </w:rPr>
            </w:pPr>
            <w:r>
              <w:rPr>
                <w:noProof/>
              </w:rPr>
              <w:t>a) Kryteria kwalifikowalności zapewniające zgodność robót budowlanych z wytycznymi technicznymi dotyczącymi zasady „nie czyń poważnych szkód” (2021/C58/01) oraz z odpowiednimi unijnymi i krajowymi przepisami w zakresie ochrony środowiska.</w:t>
            </w:r>
          </w:p>
          <w:p w14:paraId="6B0DE552" w14:textId="77777777" w:rsidR="004C6421" w:rsidRDefault="009D1962">
            <w:pPr>
              <w:pStyle w:val="P68B1DB1-Normal4"/>
              <w:jc w:val="both"/>
              <w:rPr>
                <w:noProof/>
              </w:rPr>
            </w:pPr>
            <w:r>
              <w:rPr>
                <w:noProof/>
              </w:rPr>
              <w:t>b) Zobowiązanie, że wkład inwestycji w działania na rzecz klimatu zgodnie z metodyką określoną w załączniku VI do rozporządzenia (UE) 2021/241 musi stanowić co najmniej 79 % łącznych kosztów inwestycji wspieranej z RRF.</w:t>
            </w:r>
          </w:p>
          <w:p w14:paraId="0F236D48" w14:textId="77777777" w:rsidR="004C6421" w:rsidRDefault="009D1962">
            <w:pPr>
              <w:pStyle w:val="P68B1DB1-Normal4"/>
              <w:jc w:val="both"/>
              <w:rPr>
                <w:noProof/>
              </w:rPr>
            </w:pPr>
            <w:r>
              <w:rPr>
                <w:noProof/>
              </w:rPr>
              <w:t>C) Zobowiązanie do składania sprawozdań z realizacji środka w połowie okresu obowiązywania programu i zakończenia programu.</w:t>
            </w:r>
          </w:p>
        </w:tc>
      </w:tr>
      <w:tr w:rsidR="004C6421" w14:paraId="05710095" w14:textId="77777777">
        <w:trPr>
          <w:trHeight w:val="313"/>
          <w:jc w:val="center"/>
        </w:trPr>
        <w:tc>
          <w:tcPr>
            <w:tcW w:w="1115" w:type="dxa"/>
            <w:shd w:val="clear" w:color="auto" w:fill="C6EFCE"/>
            <w:noWrap/>
            <w:vAlign w:val="center"/>
          </w:tcPr>
          <w:p w14:paraId="4FA9F250" w14:textId="77777777" w:rsidR="004C6421" w:rsidRDefault="009D1962">
            <w:pPr>
              <w:pStyle w:val="P68B1DB1-Normal4"/>
              <w:jc w:val="center"/>
              <w:rPr>
                <w:noProof/>
              </w:rPr>
            </w:pPr>
            <w:r>
              <w:rPr>
                <w:noProof/>
              </w:rPr>
              <w:t>M3C2-9 </w:t>
            </w:r>
          </w:p>
        </w:tc>
        <w:tc>
          <w:tcPr>
            <w:tcW w:w="1572" w:type="dxa"/>
            <w:shd w:val="clear" w:color="auto" w:fill="C6EFCE"/>
            <w:noWrap/>
            <w:vAlign w:val="center"/>
          </w:tcPr>
          <w:p w14:paraId="45C1BD74" w14:textId="77777777" w:rsidR="004C6421" w:rsidRDefault="009D1962">
            <w:pPr>
              <w:pStyle w:val="P68B1DB1-Normal4"/>
              <w:jc w:val="center"/>
              <w:rPr>
                <w:noProof/>
              </w:rPr>
            </w:pPr>
            <w:r>
              <w:rPr>
                <w:noProof/>
              </w:rPr>
              <w:t>Inwestycje 1.1: „Zielone porty: interwencje w zakresie energii odnawialnej i efektywności energetycznej w portach </w:t>
            </w:r>
          </w:p>
        </w:tc>
        <w:tc>
          <w:tcPr>
            <w:tcW w:w="1275" w:type="dxa"/>
            <w:shd w:val="clear" w:color="auto" w:fill="C6EFCE"/>
            <w:noWrap/>
            <w:vAlign w:val="center"/>
          </w:tcPr>
          <w:p w14:paraId="348DF58A" w14:textId="77777777" w:rsidR="004C6421" w:rsidRDefault="009D1962">
            <w:pPr>
              <w:pStyle w:val="P68B1DB1-Normal4"/>
              <w:jc w:val="center"/>
              <w:rPr>
                <w:noProof/>
              </w:rPr>
            </w:pPr>
            <w:r>
              <w:rPr>
                <w:noProof/>
              </w:rPr>
              <w:t>Cel </w:t>
            </w:r>
          </w:p>
        </w:tc>
        <w:tc>
          <w:tcPr>
            <w:tcW w:w="1418" w:type="dxa"/>
            <w:shd w:val="clear" w:color="auto" w:fill="C6EFCE"/>
            <w:noWrap/>
            <w:vAlign w:val="center"/>
          </w:tcPr>
          <w:p w14:paraId="45118646" w14:textId="77777777" w:rsidR="004C6421" w:rsidRDefault="009D1962">
            <w:pPr>
              <w:pStyle w:val="P68B1DB1-Normal4"/>
              <w:jc w:val="center"/>
              <w:rPr>
                <w:noProof/>
              </w:rPr>
            </w:pPr>
            <w:r>
              <w:rPr>
                <w:noProof/>
              </w:rPr>
              <w:t xml:space="preserve">„Zielone porty: zakończenie prac </w:t>
            </w:r>
          </w:p>
        </w:tc>
        <w:tc>
          <w:tcPr>
            <w:tcW w:w="1559" w:type="dxa"/>
            <w:shd w:val="clear" w:color="auto" w:fill="C6EFCE"/>
            <w:noWrap/>
            <w:vAlign w:val="center"/>
          </w:tcPr>
          <w:p w14:paraId="4C590EC9" w14:textId="77777777" w:rsidR="004C6421" w:rsidRDefault="009D1962">
            <w:pPr>
              <w:pStyle w:val="P68B1DB1-Normal4"/>
              <w:jc w:val="center"/>
              <w:rPr>
                <w:noProof/>
              </w:rPr>
            </w:pPr>
            <w:r>
              <w:rPr>
                <w:noProof/>
              </w:rPr>
              <w:t>NIE DOT.</w:t>
            </w:r>
          </w:p>
        </w:tc>
        <w:tc>
          <w:tcPr>
            <w:tcW w:w="1276" w:type="dxa"/>
            <w:shd w:val="clear" w:color="auto" w:fill="C6EFCE"/>
            <w:noWrap/>
            <w:vAlign w:val="center"/>
          </w:tcPr>
          <w:p w14:paraId="0F990951" w14:textId="77777777" w:rsidR="004C6421" w:rsidRDefault="009D1962">
            <w:pPr>
              <w:pStyle w:val="P68B1DB1-Normal4"/>
              <w:jc w:val="center"/>
              <w:rPr>
                <w:noProof/>
              </w:rPr>
            </w:pPr>
            <w:r>
              <w:rPr>
                <w:noProof/>
              </w:rPr>
              <w:t>Numer</w:t>
            </w:r>
          </w:p>
        </w:tc>
        <w:tc>
          <w:tcPr>
            <w:tcW w:w="1276" w:type="dxa"/>
            <w:shd w:val="clear" w:color="auto" w:fill="C6EFCE"/>
            <w:noWrap/>
            <w:vAlign w:val="center"/>
          </w:tcPr>
          <w:p w14:paraId="7D072929" w14:textId="77777777" w:rsidR="004C6421" w:rsidRDefault="009D1962">
            <w:pPr>
              <w:pStyle w:val="P68B1DB1-Normal4"/>
              <w:jc w:val="center"/>
              <w:rPr>
                <w:noProof/>
              </w:rPr>
            </w:pPr>
            <w:r>
              <w:rPr>
                <w:noProof/>
              </w:rPr>
              <w:t>0</w:t>
            </w:r>
          </w:p>
        </w:tc>
        <w:tc>
          <w:tcPr>
            <w:tcW w:w="710" w:type="dxa"/>
            <w:shd w:val="clear" w:color="auto" w:fill="C6EFCE"/>
            <w:noWrap/>
            <w:vAlign w:val="center"/>
          </w:tcPr>
          <w:p w14:paraId="16C307B4" w14:textId="77777777" w:rsidR="004C6421" w:rsidRDefault="009D1962">
            <w:pPr>
              <w:pStyle w:val="P68B1DB1-Normal4"/>
              <w:jc w:val="center"/>
              <w:rPr>
                <w:noProof/>
              </w:rPr>
            </w:pPr>
            <w:r>
              <w:rPr>
                <w:noProof/>
              </w:rPr>
              <w:t>75</w:t>
            </w:r>
          </w:p>
        </w:tc>
        <w:tc>
          <w:tcPr>
            <w:tcW w:w="708" w:type="dxa"/>
            <w:shd w:val="clear" w:color="auto" w:fill="C6EFCE"/>
            <w:noWrap/>
            <w:vAlign w:val="center"/>
          </w:tcPr>
          <w:p w14:paraId="530B36F7" w14:textId="77777777" w:rsidR="004C6421" w:rsidRDefault="009D1962">
            <w:pPr>
              <w:pStyle w:val="P68B1DB1-Normal4"/>
              <w:jc w:val="center"/>
              <w:rPr>
                <w:noProof/>
              </w:rPr>
            </w:pPr>
            <w:r>
              <w:rPr>
                <w:noProof/>
              </w:rPr>
              <w:t>II KW. </w:t>
            </w:r>
          </w:p>
        </w:tc>
        <w:tc>
          <w:tcPr>
            <w:tcW w:w="710" w:type="dxa"/>
            <w:shd w:val="clear" w:color="auto" w:fill="C6EFCE"/>
            <w:noWrap/>
            <w:vAlign w:val="center"/>
          </w:tcPr>
          <w:p w14:paraId="704892DF" w14:textId="77777777" w:rsidR="004C6421" w:rsidRDefault="009D1962">
            <w:pPr>
              <w:pStyle w:val="P68B1DB1-Normal4"/>
              <w:jc w:val="center"/>
              <w:rPr>
                <w:noProof/>
              </w:rPr>
            </w:pPr>
            <w:r>
              <w:rPr>
                <w:noProof/>
              </w:rPr>
              <w:t>2026 </w:t>
            </w:r>
          </w:p>
        </w:tc>
        <w:tc>
          <w:tcPr>
            <w:tcW w:w="3401" w:type="dxa"/>
            <w:shd w:val="clear" w:color="auto" w:fill="C6EFCE"/>
            <w:noWrap/>
            <w:vAlign w:val="center"/>
          </w:tcPr>
          <w:p w14:paraId="2B37597E" w14:textId="77777777" w:rsidR="004C6421" w:rsidRDefault="009D1962">
            <w:pPr>
              <w:pStyle w:val="P68B1DB1-Normal4"/>
              <w:jc w:val="both"/>
              <w:rPr>
                <w:noProof/>
              </w:rPr>
            </w:pPr>
            <w:r>
              <w:rPr>
                <w:noProof/>
              </w:rPr>
              <w:t>Ukończenie co najmniej 75 projektów dla władz portowych. Co najmniej 79 % łącznych kosztów inwestycji poniesionych w ramach RRF przeznacza się na działania wspierające cel klimatyczny zgodnie z metodologią określoną w załączniku VI do rozporządzenia (UE) 2021/241. </w:t>
            </w:r>
          </w:p>
        </w:tc>
      </w:tr>
      <w:tr w:rsidR="004C6421" w14:paraId="642DAB51" w14:textId="77777777">
        <w:trPr>
          <w:trHeight w:val="313"/>
          <w:jc w:val="center"/>
        </w:trPr>
        <w:tc>
          <w:tcPr>
            <w:tcW w:w="1115" w:type="dxa"/>
            <w:shd w:val="clear" w:color="auto" w:fill="C6EFCE"/>
            <w:noWrap/>
            <w:vAlign w:val="center"/>
          </w:tcPr>
          <w:p w14:paraId="5B300462" w14:textId="77777777" w:rsidR="004C6421" w:rsidRDefault="009D1962">
            <w:pPr>
              <w:pStyle w:val="P68B1DB1-Normal4"/>
              <w:jc w:val="center"/>
              <w:rPr>
                <w:noProof/>
              </w:rPr>
            </w:pPr>
            <w:r>
              <w:rPr>
                <w:noProof/>
              </w:rPr>
              <w:t>M3C2-10</w:t>
            </w:r>
          </w:p>
        </w:tc>
        <w:tc>
          <w:tcPr>
            <w:tcW w:w="1572" w:type="dxa"/>
            <w:shd w:val="clear" w:color="auto" w:fill="C6EFCE"/>
            <w:noWrap/>
            <w:vAlign w:val="center"/>
          </w:tcPr>
          <w:p w14:paraId="5C24FC8A" w14:textId="77777777" w:rsidR="004C6421" w:rsidRDefault="009D1962">
            <w:pPr>
              <w:pStyle w:val="P68B1DB1-Normal4"/>
              <w:jc w:val="center"/>
              <w:rPr>
                <w:noProof/>
              </w:rPr>
            </w:pPr>
            <w:r>
              <w:rPr>
                <w:noProof/>
              </w:rPr>
              <w:t>Reforma 2.2: Utworzenie Krajowej Platformy Logistyki Cyfrowej w celu wprowadzenia cyfryzacji usług towarowych lub pasażerskich</w:t>
            </w:r>
          </w:p>
        </w:tc>
        <w:tc>
          <w:tcPr>
            <w:tcW w:w="1275" w:type="dxa"/>
            <w:shd w:val="clear" w:color="auto" w:fill="C6EFCE"/>
            <w:noWrap/>
            <w:vAlign w:val="center"/>
          </w:tcPr>
          <w:p w14:paraId="11F92B47" w14:textId="0CEA3819" w:rsidR="004C6421" w:rsidRDefault="00CC179E">
            <w:pPr>
              <w:pStyle w:val="P68B1DB1-Normal4"/>
              <w:jc w:val="center"/>
              <w:rPr>
                <w:noProof/>
              </w:rPr>
            </w:pPr>
            <w:r>
              <w:rPr>
                <w:noProof/>
              </w:rPr>
              <w:t>Milowy</w:t>
            </w:r>
          </w:p>
        </w:tc>
        <w:tc>
          <w:tcPr>
            <w:tcW w:w="1418" w:type="dxa"/>
            <w:shd w:val="clear" w:color="auto" w:fill="C6EFCE"/>
            <w:noWrap/>
            <w:vAlign w:val="center"/>
          </w:tcPr>
          <w:p w14:paraId="1EFE00E9" w14:textId="77777777" w:rsidR="004C6421" w:rsidRDefault="009D1962">
            <w:pPr>
              <w:pStyle w:val="P68B1DB1-Normal4"/>
              <w:jc w:val="center"/>
              <w:rPr>
                <w:noProof/>
              </w:rPr>
            </w:pPr>
            <w:r>
              <w:rPr>
                <w:noProof/>
              </w:rPr>
              <w:t xml:space="preserve">Krajowa Platforma Logistyki Cyfrowej </w:t>
            </w:r>
          </w:p>
        </w:tc>
        <w:tc>
          <w:tcPr>
            <w:tcW w:w="1559" w:type="dxa"/>
            <w:shd w:val="clear" w:color="auto" w:fill="C6EFCE"/>
            <w:noWrap/>
            <w:vAlign w:val="center"/>
          </w:tcPr>
          <w:p w14:paraId="1175B461" w14:textId="77777777" w:rsidR="004C6421" w:rsidRDefault="009D1962">
            <w:pPr>
              <w:pStyle w:val="P68B1DB1-Normal4"/>
              <w:jc w:val="center"/>
              <w:rPr>
                <w:noProof/>
              </w:rPr>
            </w:pPr>
            <w:r>
              <w:rPr>
                <w:noProof/>
              </w:rPr>
              <w:t xml:space="preserve">Przepis w akcie prawnym wskazujący na wejście w życie aktu prawnego NIE DOT.   </w:t>
            </w:r>
          </w:p>
        </w:tc>
        <w:tc>
          <w:tcPr>
            <w:tcW w:w="1276" w:type="dxa"/>
            <w:shd w:val="clear" w:color="auto" w:fill="C6EFCE"/>
            <w:noWrap/>
            <w:vAlign w:val="center"/>
          </w:tcPr>
          <w:p w14:paraId="6B959685" w14:textId="77777777" w:rsidR="004C6421" w:rsidRDefault="009D1962">
            <w:pPr>
              <w:pStyle w:val="P68B1DB1-Normal4"/>
              <w:jc w:val="center"/>
              <w:rPr>
                <w:noProof/>
              </w:rPr>
            </w:pPr>
            <w:r>
              <w:rPr>
                <w:noProof/>
              </w:rPr>
              <w:t>NIE DOT.</w:t>
            </w:r>
          </w:p>
        </w:tc>
        <w:tc>
          <w:tcPr>
            <w:tcW w:w="1276" w:type="dxa"/>
            <w:shd w:val="clear" w:color="auto" w:fill="C6EFCE"/>
            <w:noWrap/>
            <w:vAlign w:val="center"/>
          </w:tcPr>
          <w:p w14:paraId="64BC6FBD" w14:textId="77777777" w:rsidR="004C6421" w:rsidRDefault="009D1962">
            <w:pPr>
              <w:pStyle w:val="P68B1DB1-Normal4"/>
              <w:jc w:val="center"/>
              <w:rPr>
                <w:noProof/>
              </w:rPr>
            </w:pPr>
            <w:r>
              <w:rPr>
                <w:noProof/>
              </w:rPr>
              <w:t>NIE DOT.</w:t>
            </w:r>
          </w:p>
        </w:tc>
        <w:tc>
          <w:tcPr>
            <w:tcW w:w="710" w:type="dxa"/>
            <w:shd w:val="clear" w:color="auto" w:fill="C6EFCE"/>
            <w:noWrap/>
            <w:vAlign w:val="center"/>
          </w:tcPr>
          <w:p w14:paraId="2C179694" w14:textId="77777777" w:rsidR="004C6421" w:rsidRDefault="009D1962">
            <w:pPr>
              <w:pStyle w:val="P68B1DB1-Normal4"/>
              <w:jc w:val="center"/>
              <w:rPr>
                <w:noProof/>
              </w:rPr>
            </w:pPr>
            <w:r>
              <w:rPr>
                <w:noProof/>
              </w:rPr>
              <w:t>NIE DOT.</w:t>
            </w:r>
          </w:p>
        </w:tc>
        <w:tc>
          <w:tcPr>
            <w:tcW w:w="708" w:type="dxa"/>
            <w:shd w:val="clear" w:color="auto" w:fill="C6EFCE"/>
            <w:noWrap/>
            <w:vAlign w:val="center"/>
          </w:tcPr>
          <w:p w14:paraId="1FF87B57" w14:textId="77777777" w:rsidR="004C6421" w:rsidRDefault="009D1962">
            <w:pPr>
              <w:pStyle w:val="P68B1DB1-Normal4"/>
              <w:jc w:val="center"/>
              <w:rPr>
                <w:noProof/>
              </w:rPr>
            </w:pPr>
            <w:r>
              <w:rPr>
                <w:noProof/>
              </w:rPr>
              <w:t>II KW.</w:t>
            </w:r>
          </w:p>
        </w:tc>
        <w:tc>
          <w:tcPr>
            <w:tcW w:w="710" w:type="dxa"/>
            <w:shd w:val="clear" w:color="auto" w:fill="C6EFCE"/>
            <w:noWrap/>
            <w:vAlign w:val="center"/>
          </w:tcPr>
          <w:p w14:paraId="1AA08EB3" w14:textId="77777777" w:rsidR="004C6421" w:rsidRDefault="009D1962">
            <w:pPr>
              <w:pStyle w:val="P68B1DB1-Normal4"/>
              <w:jc w:val="center"/>
              <w:rPr>
                <w:noProof/>
              </w:rPr>
            </w:pPr>
            <w:r>
              <w:rPr>
                <w:noProof/>
              </w:rPr>
              <w:t>2024</w:t>
            </w:r>
          </w:p>
        </w:tc>
        <w:tc>
          <w:tcPr>
            <w:tcW w:w="3401" w:type="dxa"/>
            <w:shd w:val="clear" w:color="auto" w:fill="C6EFCE"/>
            <w:noWrap/>
            <w:vAlign w:val="center"/>
          </w:tcPr>
          <w:p w14:paraId="1C8F378E" w14:textId="77777777" w:rsidR="004C6421" w:rsidRDefault="009D1962">
            <w:pPr>
              <w:pStyle w:val="P68B1DB1-Normal4"/>
              <w:jc w:val="both"/>
              <w:rPr>
                <w:noProof/>
              </w:rPr>
            </w:pPr>
            <w:r>
              <w:rPr>
                <w:noProof/>
              </w:rPr>
              <w:t>Wejście w życie aktu prawnego zapewniającego interoperacyjność systemów wspólnot portowych z Krajową Platformą Logistyki Cyfrowej.</w:t>
            </w:r>
          </w:p>
          <w:p w14:paraId="3D5303D9" w14:textId="77777777" w:rsidR="004C6421" w:rsidRDefault="004C6421">
            <w:pPr>
              <w:jc w:val="both"/>
              <w:rPr>
                <w:rFonts w:ascii="Arial Narrow" w:hAnsi="Arial Narrow"/>
                <w:noProof/>
                <w:color w:val="006100"/>
                <w:sz w:val="20"/>
              </w:rPr>
            </w:pPr>
          </w:p>
          <w:p w14:paraId="34C77DB0" w14:textId="77777777" w:rsidR="004C6421" w:rsidRDefault="009D1962">
            <w:pPr>
              <w:pStyle w:val="P68B1DB1-Normal4"/>
              <w:jc w:val="both"/>
              <w:rPr>
                <w:noProof/>
              </w:rPr>
            </w:pPr>
            <w:r>
              <w:rPr>
                <w:noProof/>
              </w:rPr>
              <w:t>Ponadto w akcie prawnym przewiduje się, że organy systemu portowego są wyposażone w standardowe usługi PCS (system wspólnoty portowej) interoperacyjne z zaangażowanymi administracjami publicznymi i zgodne z rozporządzeniem (UE) nr 1056/2020 oraz z krajową platformą logistyki cyfrowej.</w:t>
            </w:r>
          </w:p>
        </w:tc>
      </w:tr>
    </w:tbl>
    <w:p w14:paraId="47122F39" w14:textId="77777777" w:rsidR="004C6421" w:rsidRDefault="004C6421">
      <w:pPr>
        <w:tabs>
          <w:tab w:val="left" w:pos="4252"/>
        </w:tabs>
        <w:rPr>
          <w:i/>
          <w:noProof/>
        </w:rPr>
        <w:sectPr w:rsidR="004C6421" w:rsidSect="00797973">
          <w:headerReference w:type="even" r:id="rId248"/>
          <w:headerReference w:type="default" r:id="rId249"/>
          <w:footerReference w:type="even" r:id="rId250"/>
          <w:footerReference w:type="default" r:id="rId251"/>
          <w:headerReference w:type="first" r:id="rId252"/>
          <w:footerReference w:type="first" r:id="rId253"/>
          <w:pgSz w:w="16839" w:h="11907" w:orient="landscape"/>
          <w:pgMar w:top="1440" w:right="1440" w:bottom="1440" w:left="1440" w:header="567" w:footer="567" w:gutter="0"/>
          <w:cols w:space="720"/>
          <w:docGrid w:linePitch="360"/>
        </w:sectPr>
      </w:pPr>
    </w:p>
    <w:p w14:paraId="1FAA6DA8" w14:textId="243C58A1" w:rsidR="004C6421" w:rsidRDefault="002175A3">
      <w:pPr>
        <w:pStyle w:val="Heading2"/>
        <w:numPr>
          <w:ilvl w:val="1"/>
          <w:numId w:val="0"/>
        </w:numPr>
        <w:ind w:left="850" w:hanging="850"/>
        <w:rPr>
          <w:noProof/>
        </w:rPr>
      </w:pPr>
      <w:r>
        <w:rPr>
          <w:noProof/>
        </w:rPr>
        <w:t xml:space="preserve">ZADANIE 4 – KOMPONENT 1: Wzmocnienie świadczenia usług edukacyjnych: od żłobków do szkół wyższych </w:t>
      </w:r>
    </w:p>
    <w:p w14:paraId="683D989A" w14:textId="77777777" w:rsidR="004C6421" w:rsidRDefault="009D1962">
      <w:pPr>
        <w:spacing w:before="120" w:after="120"/>
        <w:jc w:val="both"/>
        <w:rPr>
          <w:noProof/>
        </w:rPr>
      </w:pPr>
      <w:r>
        <w:rPr>
          <w:noProof/>
        </w:rPr>
        <w:t xml:space="preserve">Ten element włoskiego planu odbudowy i zwiększania odporności obejmuje cztery obszary interwencji: poprawa jakości i ilościowa ekspansja usług edukacyjnych i szkoleniowych – od przedszkoli po uniwersytet; reforma zawodu nauczyciela, w szczególności w odniesieniu do procesów rekrutacji i szkolenia, w tym zwiększenie umiejętności kadry nauczycielskiej i rozwiązanie problemu niedopasowania terytorialnego; podnoszenie i modernizacja infrastruktury w celu poprawy technologii cyfrowych, nauk przyrodniczych, technologii, inżynierii i matematyki (STEM) oraz nauczania wielojęzyczności przy jednoczesnej poprawie bezpieczeństwa i efektywności energetycznej budynków szkolnych; reforma grup stopni naukowych, stopni naukowych i programów doktoranckich w celu pobudzenia badań stosowanych i zwiększenia liczby stypendiów doktoranckich. </w:t>
      </w:r>
    </w:p>
    <w:p w14:paraId="1E142C3B" w14:textId="77777777" w:rsidR="004C6421" w:rsidRDefault="009D1962">
      <w:pPr>
        <w:spacing w:before="120" w:after="120"/>
        <w:jc w:val="both"/>
        <w:rPr>
          <w:noProof/>
        </w:rPr>
      </w:pPr>
      <w:r>
        <w:rPr>
          <w:noProof/>
        </w:rPr>
        <w:t xml:space="preserve">Środki w ramach tego komponentu mają na celu zaradzenie słabościom włoskiego systemu kształcenia, szkolenia i badań naukowych w celu poprawy wyników kształcenia i szans na zatrudnienie włoskich studentów. </w:t>
      </w:r>
    </w:p>
    <w:p w14:paraId="06F19693" w14:textId="77777777" w:rsidR="004C6421" w:rsidRDefault="009D1962">
      <w:pPr>
        <w:spacing w:before="120" w:after="120"/>
        <w:jc w:val="both"/>
        <w:rPr>
          <w:noProof/>
        </w:rPr>
      </w:pPr>
      <w:r>
        <w:rPr>
          <w:noProof/>
        </w:rPr>
        <w:t>Inwestycje i reformy w ramach tego komponentu przyczynią się do realizacji zaleceń dla poszczególnych krajów skierowanych do Włoch w latach 2020 i 2019 dotyczących potrzeby „wspierania udziału kobiet w rynku pracy poprzez kompleksową strategię, w tym poprzez dostęp do wysokiej jakości opieki nad dziećmi” (zalecenie dla poszczególnych krajów nr 2, 2019 r.), „poprawa wyników kształcenia, również poprzez odpowiednie i ukierunkowane inwestycje, oraz wspieranie podnoszenia kwalifikacji, w tym poprzez wzmocnienie umiejętności cyfrowych” (zalecenie dla poszczególnych krajów nr 2, 2019), „wspieranie badań naukowych i innowacji” (zalecenie dla poszczególnych krajów 3, 2019 r.), „wzmocnienie nauczania na odległość i umiejętności, w tym cyfrowych” (zalecenie dla poszczególnych krajów nr 2, 2020) oraz „koncentrowanie inwestycji na badaniach naukowych i innowacjach” (zalecenie dla poszczególnych krajów nr 3, 2019).</w:t>
      </w:r>
    </w:p>
    <w:p w14:paraId="7D2A2F49" w14:textId="77777777" w:rsidR="004C6421" w:rsidRDefault="009D1962">
      <w:pPr>
        <w:pStyle w:val="Heading3"/>
        <w:numPr>
          <w:ilvl w:val="0"/>
          <w:numId w:val="0"/>
        </w:numPr>
        <w:ind w:left="850" w:hanging="850"/>
        <w:rPr>
          <w:b/>
          <w:i w:val="0"/>
          <w:noProof/>
          <w:u w:val="single"/>
        </w:rPr>
      </w:pPr>
      <w:r>
        <w:rPr>
          <w:b/>
          <w:i w:val="0"/>
          <w:noProof/>
          <w:u w:val="single"/>
        </w:rPr>
        <w:t xml:space="preserve">J.1. </w:t>
      </w:r>
      <w:r>
        <w:rPr>
          <w:noProof/>
        </w:rPr>
        <w:t xml:space="preserve"> </w:t>
      </w:r>
      <w:r>
        <w:rPr>
          <w:b/>
          <w:i w:val="0"/>
          <w:noProof/>
          <w:u w:val="single"/>
        </w:rPr>
        <w:t>Opis reform i inwestycji, które mają być finansowane z bezzwrotnego wsparcia finansowego</w:t>
      </w:r>
    </w:p>
    <w:p w14:paraId="5664F1F6" w14:textId="77777777" w:rsidR="004C6421" w:rsidRDefault="009D1962">
      <w:pPr>
        <w:pStyle w:val="P68B1DB1-Normal2"/>
        <w:spacing w:before="120" w:after="120"/>
        <w:jc w:val="both"/>
        <w:rPr>
          <w:noProof/>
        </w:rPr>
      </w:pPr>
      <w:r>
        <w:rPr>
          <w:noProof/>
        </w:rPr>
        <w:t xml:space="preserve">Inwestycje 1.1: Plan dotyczący żłobków i przedszkoli oraz usług wczesnej edukacji i opieki nad dzieckiem </w:t>
      </w:r>
    </w:p>
    <w:p w14:paraId="79A360AD" w14:textId="77777777" w:rsidR="004C6421" w:rsidRDefault="009D1962">
      <w:pPr>
        <w:spacing w:before="120" w:after="120"/>
        <w:jc w:val="both"/>
        <w:rPr>
          <w:noProof/>
        </w:rPr>
      </w:pPr>
      <w:r>
        <w:rPr>
          <w:noProof/>
        </w:rPr>
        <w:t>„Plan inwestycyjny dla grupy wiekowej 0-6 lat ma na celu zwiększenie podaży placówek opieki nad dziećmi poprzez budowę, remont i zapewnienie bezpieczeństwa żłobków i przedszkoli, zwiększenie oferty edukacyjnej i dostępnych przedziałów czasowych dla grupy wiekowej 0-6 lat, a tym samym poprawę jakości nauczania. Oczekuje się, że środek ten zachęci kobiety do uczestnictwa w rynku pracy i pomoże opiekunom w godzeniu życia rodzinnego i zawodowego</w:t>
      </w:r>
      <w:r>
        <w:rPr>
          <w:noProof/>
          <w:color w:val="006100"/>
        </w:rPr>
        <w:t>.</w:t>
      </w:r>
    </w:p>
    <w:p w14:paraId="0BC0C5C9" w14:textId="77777777" w:rsidR="004C6421" w:rsidRDefault="009D1962">
      <w:pPr>
        <w:spacing w:before="120" w:after="120"/>
        <w:jc w:val="both"/>
        <w:rPr>
          <w:noProof/>
          <w:color w:val="006100"/>
        </w:rPr>
      </w:pPr>
      <w:r>
        <w:rPr>
          <w:noProof/>
        </w:rPr>
        <w:t>Aby zapewnić zgodność środka z wytycznymi technicznymi zasady „nie czyń poważnych szkód” (2021/C58/01), kryteria kwalifikowalności zawarte w zakresie wymagań i obowiązków w odniesieniu do przyszłych zaproszeń do składania projektów wykluczają następujący wykaz działań: (i) działalności związanej z paliwami kopalnymi, w tym wykorzystania niższego szczebla</w:t>
      </w:r>
      <w:r>
        <w:rPr>
          <w:rStyle w:val="FootnoteReference"/>
          <w:noProof/>
        </w:rPr>
        <w:footnoteReference w:id="63"/>
      </w:r>
      <w:r>
        <w:rPr>
          <w:noProof/>
        </w:rPr>
        <w:t>; (II) działania w ramach unijnego systemu handlu uprawnieniami do emisji (ETS) prowadzące do osiągnięcia prognozowanych emisji gazów cieplarnianych, które nie są niższe niż odpowiednie wskaźniki referencyjne</w:t>
      </w:r>
      <w:r>
        <w:rPr>
          <w:rStyle w:val="FootnoteReference"/>
          <w:noProof/>
        </w:rPr>
        <w:footnoteReference w:id="64"/>
      </w:r>
      <w:r>
        <w:rPr>
          <w:noProof/>
        </w:rPr>
        <w:t>; (III) działania związane ze składowiskami odpadów, spalarniami</w:t>
      </w:r>
      <w:r>
        <w:rPr>
          <w:rStyle w:val="FootnoteReference"/>
          <w:noProof/>
        </w:rPr>
        <w:footnoteReference w:id="65"/>
      </w:r>
      <w:r>
        <w:rPr>
          <w:noProof/>
        </w:rPr>
        <w:t xml:space="preserve"> i zakładami mechaniczno-biologicznego przetwarzania odpadów</w:t>
      </w:r>
      <w:r>
        <w:rPr>
          <w:rStyle w:val="FootnoteReference"/>
          <w:noProof/>
        </w:rPr>
        <w:footnoteReference w:id="66"/>
      </w:r>
      <w:r>
        <w:rPr>
          <w:noProof/>
        </w:rPr>
        <w:t>; oraz (iv) działań, w przypadku których długoterminowe unieszkodliwianie odpadów może szkodzić środowisku naturalnemu. W specyfikacji istotnych warunków zamówienia należy dodatkowo zawrzeć wymóg, aby wybierane były wyłącznie działania zgodne z odpowiednimi przepisami unijnymi i krajowymi w zakresie ochrony środowiska.”;</w:t>
      </w:r>
    </w:p>
    <w:p w14:paraId="7D706A16" w14:textId="77777777" w:rsidR="004C6421" w:rsidRDefault="009D1962">
      <w:pPr>
        <w:pStyle w:val="P68B1DB1-Normal2"/>
        <w:spacing w:before="120" w:after="120"/>
        <w:jc w:val="both"/>
        <w:rPr>
          <w:noProof/>
        </w:rPr>
      </w:pPr>
      <w:r>
        <w:rPr>
          <w:noProof/>
        </w:rPr>
        <w:t>Inwestycje 1.2: Plan przedłużenia pełnego wymiaru czasu pracy</w:t>
      </w:r>
    </w:p>
    <w:p w14:paraId="5CA2C56D" w14:textId="77777777" w:rsidR="004C6421" w:rsidRDefault="009D1962">
      <w:pPr>
        <w:spacing w:before="120" w:after="120"/>
        <w:jc w:val="both"/>
        <w:rPr>
          <w:noProof/>
        </w:rPr>
      </w:pPr>
      <w:r>
        <w:rPr>
          <w:noProof/>
        </w:rPr>
        <w:t>Celem środka jest sfinansowanie wydłużenia czasu szkolnego w celu zwiększenia oferty edukacyjnej szkół i otwarcia ich na terytorium poza godzinami szkolnymi. Środek przewiduje budowę lub renowację pomieszczeń stołówkowych dla co najmniej 1000 budowli, aby umożliwić wydłużenie czasu szkolnego. Oczekuje się, że wydłużenie godzin nauki będzie miało pozytywny wpływ na walkę z wczesnym kończeniem nauki.</w:t>
      </w:r>
    </w:p>
    <w:p w14:paraId="6B7CD51D" w14:textId="77777777" w:rsidR="004C6421" w:rsidRDefault="009D1962">
      <w:pPr>
        <w:pStyle w:val="P68B1DB1-Normal2"/>
        <w:spacing w:before="120" w:after="120"/>
        <w:jc w:val="both"/>
        <w:rPr>
          <w:noProof/>
        </w:rPr>
      </w:pPr>
      <w:r>
        <w:rPr>
          <w:noProof/>
        </w:rPr>
        <w:t>Inwestycja 1.3: Plan poprawy infrastruktury sportowej w szkołach</w:t>
      </w:r>
    </w:p>
    <w:p w14:paraId="2F08B6AB" w14:textId="77777777" w:rsidR="004C6421" w:rsidRDefault="009D1962">
      <w:pPr>
        <w:spacing w:before="120" w:after="120"/>
        <w:jc w:val="both"/>
        <w:rPr>
          <w:noProof/>
        </w:rPr>
      </w:pPr>
      <w:r>
        <w:rPr>
          <w:noProof/>
        </w:rPr>
        <w:t>Środek ten ma na celu wzmocnienie infrastruktury sportowej i zachęcanie do uprawiania sportu. Oczekuje się, że wzmocnienie aktywności sportowej przyczyni się do zwalczania przedwczesnego kończenia nauki, zwiększenia włączenia społecznego i wzmocnienia zdolności osobistych.</w:t>
      </w:r>
    </w:p>
    <w:p w14:paraId="7C547EC8" w14:textId="25C149A3" w:rsidR="004C6421" w:rsidRDefault="009D1962">
      <w:pPr>
        <w:spacing w:before="120" w:after="120"/>
        <w:jc w:val="both"/>
        <w:rPr>
          <w:noProof/>
          <w:color w:val="006100"/>
        </w:rPr>
      </w:pPr>
      <w:r>
        <w:rPr>
          <w:noProof/>
        </w:rPr>
        <w:t>Inwestycja polega na budowie i renowacji obiektów sportowych i gimnastów do użytku szkolnego. Aby zapewnić zgodność środka z wytycznymi technicznymi dotyczącymi zasady „nie czyń poważnych szkód” (2021/C58/01), kryteria kwalifikowalności zawarte w zakresie wymagań i obowiązków w odniesieniu do zaproszeń do składania projektów wykluczają systemy ogrzewania oparte na paliwach kopalnych, takie jak kotły na gaz ziemny.</w:t>
      </w:r>
    </w:p>
    <w:p w14:paraId="5090B57E" w14:textId="77777777" w:rsidR="004C6421" w:rsidRDefault="009D1962">
      <w:pPr>
        <w:pStyle w:val="P68B1DB1-Normal2"/>
        <w:spacing w:before="120" w:after="120"/>
        <w:jc w:val="both"/>
        <w:rPr>
          <w:noProof/>
        </w:rPr>
      </w:pPr>
      <w:r>
        <w:rPr>
          <w:noProof/>
        </w:rPr>
        <w:t>Inwestycje 1.4: Nadzwyczajne działanie mające na celu zmniejszenie różnic terytorialnych w pierwszym i drugim cyklu szkoły średniej oraz rozwiązanie problemu przedwczesnego kończenia nauki</w:t>
      </w:r>
    </w:p>
    <w:p w14:paraId="5A8F7FE8" w14:textId="7430C00C" w:rsidR="004C6421" w:rsidRDefault="009D1962">
      <w:pPr>
        <w:spacing w:before="120" w:after="120"/>
        <w:jc w:val="both"/>
        <w:rPr>
          <w:noProof/>
        </w:rPr>
      </w:pPr>
      <w:r>
        <w:rPr>
          <w:noProof/>
        </w:rPr>
        <w:t>Środek ten ma na celu zagwarantowanie studentom odpowiednich umiejętności podstawowych, również poprzez stworzenie jednego krajowego portalu szkolenia online. Szczególną uwagę poświęca się szkołom, które doświadczyły większych trudności pod względem wyników, poprzez dostosowanie interwencji do potrzeb uczniów – gdzie ma miejsce interwencja wspierająca ze strony kierownika szkoły z udziałem nauczycieli zewnętrznych, a także, w najbardziej krytycznych przypadkach, dostępność co najmniej jednego dodatkowego działu kadrowego na dany temat (włoski, matematyczny i angielski) przez okres co najmniej dwóch lat. Inwestycja wspiera realizację działań mentorskich skierowanych do co najmniej 820000 młodych ludzi zagrożonych wczesnym kończeniem nauki oraz młodych ludzi, którzy już porzucili naukę. Przewiduje się w nim wykorzystanie platformy internetowej do prowadzenia działań mentorskich i szkoleniowych.</w:t>
      </w:r>
    </w:p>
    <w:p w14:paraId="4E2ADF04" w14:textId="77777777" w:rsidR="004C6421" w:rsidRDefault="009D1962">
      <w:pPr>
        <w:spacing w:before="120" w:after="120"/>
        <w:jc w:val="both"/>
        <w:rPr>
          <w:noProof/>
        </w:rPr>
      </w:pPr>
      <w:r>
        <w:rPr>
          <w:noProof/>
        </w:rPr>
        <w:t xml:space="preserve">Oczekuje się, że interwencja ta będzie promować równouprawnienie płci i przyczynić się do przezwyciężenia nierówności, w tym różnic terytorialnych, w dostępie do edukacji. </w:t>
      </w:r>
    </w:p>
    <w:p w14:paraId="5DBA8055" w14:textId="77777777" w:rsidR="004C6421" w:rsidRDefault="009D1962">
      <w:pPr>
        <w:pStyle w:val="P68B1DB1-Normal2"/>
        <w:spacing w:before="120" w:after="120"/>
        <w:jc w:val="both"/>
        <w:rPr>
          <w:noProof/>
        </w:rPr>
      </w:pPr>
      <w:r>
        <w:rPr>
          <w:noProof/>
        </w:rPr>
        <w:t>Reforma 1.1: Reforma instytutów technicznych i zawodowych</w:t>
      </w:r>
    </w:p>
    <w:p w14:paraId="56DA1B96" w14:textId="77777777" w:rsidR="004C6421" w:rsidRDefault="009D1962">
      <w:pPr>
        <w:spacing w:before="120" w:after="120"/>
        <w:jc w:val="both"/>
        <w:rPr>
          <w:noProof/>
        </w:rPr>
      </w:pPr>
      <w:r>
        <w:rPr>
          <w:noProof/>
        </w:rPr>
        <w:t>Reforma ma na celu dostosowanie programów nauczania instytutów technicznych i zawodowych do kompetencji potrzebnych włoskiemu systemowi produkcji, w tym na szczeblu lokalnym. Reforma ma w szczególności zapewnić spójność kształcenia technicznego i zawodowego z przemysłem 4.0 i uwzględniać innowacje cyfrowe.</w:t>
      </w:r>
    </w:p>
    <w:p w14:paraId="08613A1D" w14:textId="77777777" w:rsidR="004C6421" w:rsidRDefault="009D1962">
      <w:pPr>
        <w:pStyle w:val="P68B1DB1-Normal2"/>
        <w:spacing w:before="120" w:after="120"/>
        <w:jc w:val="both"/>
        <w:rPr>
          <w:noProof/>
        </w:rPr>
      </w:pPr>
      <w:r>
        <w:rPr>
          <w:noProof/>
        </w:rPr>
        <w:t>Reforma 1.2: Reforma kształcenia zawodowego na poziomie wyższym (ITS)</w:t>
      </w:r>
    </w:p>
    <w:p w14:paraId="14FF1E3D" w14:textId="77777777" w:rsidR="004C6421" w:rsidRDefault="009D1962">
      <w:pPr>
        <w:spacing w:before="120" w:after="120"/>
        <w:jc w:val="both"/>
        <w:rPr>
          <w:noProof/>
        </w:rPr>
      </w:pPr>
      <w:r>
        <w:rPr>
          <w:noProof/>
        </w:rPr>
        <w:t xml:space="preserve">Reforma ma na celu wzmocnienie systemu szkolnictwa wyższego poprzez uproszczenie zarządzania ITS w celu zwiększenia liczby instytutów i zapisów z myślą o lokalnym terytorium. </w:t>
      </w:r>
    </w:p>
    <w:p w14:paraId="1A37CA60" w14:textId="77777777" w:rsidR="004C6421" w:rsidRDefault="009D1962">
      <w:pPr>
        <w:spacing w:before="120" w:after="120"/>
        <w:jc w:val="both"/>
        <w:rPr>
          <w:noProof/>
        </w:rPr>
      </w:pPr>
      <w:r>
        <w:rPr>
          <w:noProof/>
        </w:rPr>
        <w:t xml:space="preserve">Oczekuje się, że reforma zniweluje niedopasowanie podaży pracy do popytu na pracę. </w:t>
      </w:r>
    </w:p>
    <w:p w14:paraId="695B91E6" w14:textId="77777777" w:rsidR="004C6421" w:rsidRDefault="009D1962">
      <w:pPr>
        <w:pStyle w:val="P68B1DB1-Normal2"/>
        <w:spacing w:before="120" w:after="120"/>
        <w:jc w:val="both"/>
        <w:rPr>
          <w:noProof/>
        </w:rPr>
      </w:pPr>
      <w:r>
        <w:rPr>
          <w:noProof/>
        </w:rPr>
        <w:t>Inwestycja 1.5: Rozwój systemu szkolnictwa wyższego szkolenia zawodowego (ITS)</w:t>
      </w:r>
    </w:p>
    <w:p w14:paraId="78F91A44" w14:textId="77777777" w:rsidR="004C6421" w:rsidRDefault="009D1962">
      <w:pPr>
        <w:spacing w:before="120" w:after="120"/>
        <w:jc w:val="both"/>
        <w:rPr>
          <w:noProof/>
        </w:rPr>
      </w:pPr>
      <w:r>
        <w:rPr>
          <w:noProof/>
        </w:rPr>
        <w:t xml:space="preserve">Środek ten stanowi uzupełnienie reformy 1.2 – Reforma szkolnictwa wyższego – w celu wzmocnienia oferty edukacyjnej instytutów szkolenia zawodowego (ITS). Przyczynia się do zwiększenia oferty edukacyjnej instytucji kształcenia zawodowego oraz do zwiększenia udziału przedsiębiorstw w procesach edukacyjnych w celu lepszego połączenia z siecią przedsiębiorców. Oczekuje się również, że środek ten przyczyni się do zmniejszenia bezrobocia młodzieży poprzez rozwiązanie problemu niedopasowania umiejętności między popytem na pracę a podażą. </w:t>
      </w:r>
    </w:p>
    <w:p w14:paraId="07718A42" w14:textId="77777777" w:rsidR="004C6421" w:rsidRDefault="009D1962">
      <w:pPr>
        <w:spacing w:before="120" w:after="120"/>
        <w:jc w:val="both"/>
        <w:rPr>
          <w:noProof/>
        </w:rPr>
      </w:pPr>
      <w:r>
        <w:rPr>
          <w:noProof/>
        </w:rPr>
        <w:t xml:space="preserve">Inwestycja ma na celu zwiększenie liczby studentów uczęszczających na kursy ITS oraz wzmocnienie struktur laboratoryjnych (wprowadzenie innowacyjnych technologii 4.0) przy jednoczesnym inwestowaniu w umiejętności nauczycieli. Przewiduje się uruchomienie krajowej platformy cyfrowej, która umożliwia studentom zapoznanie się z ofertami pracy dla osób, które uzyskały kwalifikacje zawodowe. </w:t>
      </w:r>
    </w:p>
    <w:p w14:paraId="29D1BAA7" w14:textId="77777777" w:rsidR="004C6421" w:rsidRDefault="009D1962">
      <w:pPr>
        <w:pStyle w:val="P68B1DB1-Normal2"/>
        <w:spacing w:before="120" w:after="120"/>
        <w:jc w:val="both"/>
        <w:rPr>
          <w:noProof/>
        </w:rPr>
      </w:pPr>
      <w:r>
        <w:rPr>
          <w:noProof/>
        </w:rPr>
        <w:t>Reforma 1.3: Reorganizacja systemu szkolnictwa</w:t>
      </w:r>
    </w:p>
    <w:p w14:paraId="6DF266BE" w14:textId="77777777" w:rsidR="004C6421" w:rsidRDefault="009D1962">
      <w:pPr>
        <w:spacing w:before="120" w:after="120"/>
        <w:jc w:val="both"/>
        <w:rPr>
          <w:noProof/>
        </w:rPr>
      </w:pPr>
      <w:r>
        <w:rPr>
          <w:noProof/>
        </w:rPr>
        <w:t xml:space="preserve">Cel reformy jest dwojaki: </w:t>
      </w:r>
    </w:p>
    <w:p w14:paraId="075C6B35" w14:textId="77777777" w:rsidR="004C6421" w:rsidRDefault="009D1962">
      <w:pPr>
        <w:pStyle w:val="ListParagraph"/>
        <w:numPr>
          <w:ilvl w:val="0"/>
          <w:numId w:val="62"/>
        </w:numPr>
        <w:ind w:left="360"/>
        <w:rPr>
          <w:noProof/>
        </w:rPr>
      </w:pPr>
      <w:r>
        <w:rPr>
          <w:noProof/>
        </w:rPr>
        <w:t xml:space="preserve">Dostosowanie liczby uczniów na klasę. </w:t>
      </w:r>
    </w:p>
    <w:p w14:paraId="7F897E2E" w14:textId="77777777" w:rsidR="004C6421" w:rsidRDefault="009D1962">
      <w:pPr>
        <w:spacing w:before="120" w:after="120"/>
        <w:jc w:val="both"/>
        <w:rPr>
          <w:noProof/>
        </w:rPr>
      </w:pPr>
      <w:r>
        <w:rPr>
          <w:noProof/>
        </w:rPr>
        <w:t>Liczbę pracowników dydaktycznych ustala się na tym samym poziomie co w roku szkolnym 2020/2021, z uwagi na spadek liczby ludności oraz w celu zmniejszenia liczby uczniów w klasie i stopniowej poprawy stosunku liczby uczniów do liczby nauczycieli zajmujących wspólne stanowiska. Realizacja interwencji nie zwiększa liczby dostępnych budynków. W ramach inicjatywy zwraca się zindywidualizowaną uwagę na poszczególnych uczniów, w szczególności na uczniów znajdujących się w najtrudniejszej sytuacji, a z pewnością uczniów z niepełnosprawnościami.  Oczekuje się, że poprawa stosunku liczby uczniów do nauczycieli przyczyni się do poprawy jakości nauczania i dostępności zasobów na budynki szkół.</w:t>
      </w:r>
    </w:p>
    <w:p w14:paraId="58BAB82D" w14:textId="77777777" w:rsidR="004C6421" w:rsidRDefault="009D1962">
      <w:pPr>
        <w:pStyle w:val="ListParagraph"/>
        <w:numPr>
          <w:ilvl w:val="0"/>
          <w:numId w:val="62"/>
        </w:numPr>
        <w:ind w:left="360"/>
        <w:rPr>
          <w:noProof/>
        </w:rPr>
      </w:pPr>
      <w:r>
        <w:rPr>
          <w:noProof/>
        </w:rPr>
        <w:t xml:space="preserve">Przegląd przepisów dotyczących wielkości budynków szkolnych. </w:t>
      </w:r>
    </w:p>
    <w:p w14:paraId="0E386DCB" w14:textId="77777777" w:rsidR="004C6421" w:rsidRDefault="009D1962">
      <w:pPr>
        <w:spacing w:before="120" w:after="120"/>
        <w:jc w:val="both"/>
        <w:rPr>
          <w:noProof/>
        </w:rPr>
      </w:pPr>
      <w:r>
        <w:rPr>
          <w:noProof/>
        </w:rPr>
        <w:t>Regionalną populację szkolną przyjmuje się jako „efektywny parametr” służący do identyfikacji instytucji edukacyjnych posiadających głowę i głowę, a nie populacji danej szkoły, zgodnie z obowiązującymi przepisami.</w:t>
      </w:r>
    </w:p>
    <w:p w14:paraId="25D8B740" w14:textId="77777777" w:rsidR="004C6421" w:rsidRDefault="009D1962">
      <w:pPr>
        <w:pStyle w:val="P68B1DB1-Normal2"/>
        <w:spacing w:before="120" w:after="120"/>
        <w:jc w:val="both"/>
        <w:rPr>
          <w:noProof/>
        </w:rPr>
      </w:pPr>
      <w:r>
        <w:rPr>
          <w:noProof/>
        </w:rPr>
        <w:t xml:space="preserve">Reforma 1.4: Reforma systemu orientacji  </w:t>
      </w:r>
    </w:p>
    <w:p w14:paraId="05FAD610" w14:textId="77777777" w:rsidR="004C6421" w:rsidRDefault="009D1962">
      <w:pPr>
        <w:spacing w:before="120" w:after="120"/>
        <w:jc w:val="both"/>
        <w:rPr>
          <w:noProof/>
        </w:rPr>
      </w:pPr>
      <w:r>
        <w:rPr>
          <w:noProof/>
        </w:rPr>
        <w:t>Reforma ma na celu wprowadzenie modułów orientacyjnych (co najmniej 30 godzin rocznie) dla czwartej i piątej klasy szkoły średniej II stopnia. Głównym celem jest wspieranie studentów w dokonywaniu świadomego wyboru między kontynuowaniem studiów a dalszym kształceniem zawodowym (ITS) przed ich integracją na rynku pracy. Reforma przewiduje również utworzenie platformy orientacji cyfrowej związanej z ofertą szkolnictwa wyższego uniwersytetów i instytutów szkolenia zawodowego (ITS).</w:t>
      </w:r>
    </w:p>
    <w:p w14:paraId="7D915FE3" w14:textId="77777777" w:rsidR="004C6421" w:rsidRDefault="009D1962">
      <w:pPr>
        <w:spacing w:after="160" w:line="259" w:lineRule="auto"/>
        <w:rPr>
          <w:b/>
          <w:noProof/>
        </w:rPr>
      </w:pPr>
      <w:r>
        <w:rPr>
          <w:noProof/>
        </w:rPr>
        <w:br w:type="page"/>
      </w:r>
    </w:p>
    <w:p w14:paraId="02F2E60E" w14:textId="12EBDD31" w:rsidR="004C6421" w:rsidRDefault="009D1962">
      <w:pPr>
        <w:pStyle w:val="P68B1DB1-Normal2"/>
        <w:spacing w:before="120" w:after="120"/>
        <w:jc w:val="both"/>
        <w:rPr>
          <w:noProof/>
        </w:rPr>
      </w:pPr>
      <w:r>
        <w:rPr>
          <w:noProof/>
        </w:rPr>
        <w:t>Inwestycja 1.6: Aktywna orientacja w przechodzeniu ze szkoły do szkół wyższych</w:t>
      </w:r>
    </w:p>
    <w:p w14:paraId="3B704A14" w14:textId="77777777" w:rsidR="004C6421" w:rsidRDefault="009D1962">
      <w:pPr>
        <w:spacing w:before="120" w:after="120"/>
        <w:jc w:val="both"/>
        <w:rPr>
          <w:noProof/>
        </w:rPr>
      </w:pPr>
      <w:r>
        <w:rPr>
          <w:noProof/>
        </w:rPr>
        <w:t>Środek ten ma na celu ułatwienie i zachęcenie do przechodzenia ze szkoły średniej II stopnia na uczelnie wyższe oraz zmniejszenie liczby osób przedwcześnie kończących naukę, co przyczyni się do zwiększenia liczby absolwentów. Oczekuje się, że inwestycja zwiększy wskaźniki sukcesu (uczestnictwo w szkole, poprawa poziomu nauczania, liczba studentów przyjętych na następny rok akademicki itp.) oraz zmniejszy różnice w traktowaniu kobiet i mężczyzn, zarówno pod względem zatrudnienia, jak i uczestnictwa w szkolnictwie wyższym we wszystkich dziedzinach.</w:t>
      </w:r>
    </w:p>
    <w:p w14:paraId="5DD6B470" w14:textId="77777777" w:rsidR="004C6421" w:rsidRDefault="009D1962">
      <w:pPr>
        <w:spacing w:before="120" w:after="120"/>
        <w:jc w:val="both"/>
        <w:rPr>
          <w:noProof/>
        </w:rPr>
      </w:pPr>
      <w:r>
        <w:rPr>
          <w:noProof/>
        </w:rPr>
        <w:t>Inicjatywa ta przewiduje prowadzenie kursów dla wszystkich uczniów szkół średnich II stopnia w celu wsparcia ich w wyborze szkolnictwa wyższego, ułatwienia lepszego dopasowania między przygotowaniem a ścieżką zawodową oraz pomocy uczniom w przechodzeniu ze szkoły do szkoły wyższej. Wykłady są prowadzone przez profesorów szkół wyższych i prowadzone dla uczniów szkół średnich II stopnia. Zrównoważony rozwój osiąga się poprzez rozszerzenie szkoleń na profesorów szkół średnich w taki sposób, aby w następstwie tego trzyletniego programu wskazówki były dostępne dla wewnętrznego personelu szkół średnich.</w:t>
      </w:r>
    </w:p>
    <w:p w14:paraId="10D50EFF" w14:textId="77777777" w:rsidR="004C6421" w:rsidRDefault="009D1962">
      <w:pPr>
        <w:pStyle w:val="P68B1DB1-Normal2"/>
        <w:spacing w:before="120" w:after="120"/>
        <w:jc w:val="both"/>
        <w:rPr>
          <w:noProof/>
        </w:rPr>
      </w:pPr>
      <w:r>
        <w:rPr>
          <w:noProof/>
        </w:rPr>
        <w:t>Inwestycja 1.7: Stypendia na dostęp do uczelni</w:t>
      </w:r>
    </w:p>
    <w:p w14:paraId="58AD0C1A" w14:textId="77777777" w:rsidR="004C6421" w:rsidRDefault="009D1962">
      <w:pPr>
        <w:spacing w:before="120" w:after="120"/>
        <w:jc w:val="both"/>
        <w:rPr>
          <w:noProof/>
        </w:rPr>
      </w:pPr>
      <w:r>
        <w:rPr>
          <w:noProof/>
        </w:rPr>
        <w:t>Celem środka jest zapewnienie równego dostępu do edukacji poprzez ułatwienie dostępu do szkolnictwa wyższego studentom znajdującym się w trudnej sytuacji społeczno-ekonomicznej i przy stosunkowo wysokich kosztach alternatywnych związanych z zaawansowanymi studiami w kontekście wczesnego przejścia na rynek pracy. W szczególności należy to osiągnąć poprzez zwiększenie liczby stypendiów przyznawanych studentom szkół wyższych w ramach wsparcia z RRF.</w:t>
      </w:r>
    </w:p>
    <w:p w14:paraId="01B61585" w14:textId="77777777" w:rsidR="004C6421" w:rsidRDefault="009D1962">
      <w:pPr>
        <w:jc w:val="both"/>
        <w:rPr>
          <w:rFonts w:ascii="Segoe UI" w:eastAsia="Segoe UI" w:hAnsi="Segoe UI" w:cs="Segoe UI"/>
          <w:noProof/>
          <w:color w:val="000000" w:themeColor="text1"/>
          <w:sz w:val="20"/>
        </w:rPr>
      </w:pPr>
      <w:r>
        <w:rPr>
          <w:noProof/>
        </w:rPr>
        <w:t>Uzupełnieniem tego działania jest React-EU, który ma sfinansować 13000 stypendiów na dostęp do szkół wyższych w 2023 r. w regionach południowych.</w:t>
      </w:r>
    </w:p>
    <w:p w14:paraId="41643B26" w14:textId="77777777" w:rsidR="004C6421" w:rsidRDefault="009D1962">
      <w:pPr>
        <w:pStyle w:val="P68B1DB1-Normal2"/>
        <w:spacing w:before="120" w:after="120"/>
        <w:jc w:val="both"/>
        <w:rPr>
          <w:noProof/>
        </w:rPr>
      </w:pPr>
      <w:r>
        <w:rPr>
          <w:noProof/>
        </w:rPr>
        <w:t>Reforma 1.5: Reformy ugrupowań uniwersyteckich</w:t>
      </w:r>
    </w:p>
    <w:p w14:paraId="3D3E049D" w14:textId="77777777" w:rsidR="004C6421" w:rsidRDefault="009D1962">
      <w:pPr>
        <w:spacing w:before="120" w:after="120"/>
        <w:jc w:val="both"/>
        <w:rPr>
          <w:noProof/>
          <w:color w:val="006100"/>
        </w:rPr>
      </w:pPr>
      <w:r>
        <w:rPr>
          <w:noProof/>
        </w:rPr>
        <w:t>Reforma przewiduje aktualizację uniwersyteckich programów nauczania, ograniczając istniejące sztywne granice, które poważnie ograniczają możliwość tworzenia ścieżek interdyscyplinarnych. Oczekuje się również, że reforma rozszerzy możliwość wdrożenia programów szkolenia zawodowego poprzez wprowadzenie innowacyjnych klas stopni zorientowanych na pracę</w:t>
      </w:r>
      <w:r>
        <w:rPr>
          <w:noProof/>
          <w:color w:val="006100"/>
        </w:rPr>
        <w:t>.</w:t>
      </w:r>
    </w:p>
    <w:p w14:paraId="0F43C36B" w14:textId="77777777" w:rsidR="004C6421" w:rsidRDefault="009D1962">
      <w:pPr>
        <w:pStyle w:val="P68B1DB1-Normal2"/>
        <w:spacing w:before="120" w:after="120"/>
        <w:jc w:val="both"/>
        <w:rPr>
          <w:noProof/>
        </w:rPr>
      </w:pPr>
      <w:r>
        <w:rPr>
          <w:noProof/>
        </w:rPr>
        <w:t xml:space="preserve">Reforma 1.6: Umożliwienie reformy dyplomu ukończenia studiów wyższych </w:t>
      </w:r>
    </w:p>
    <w:p w14:paraId="35ACA52E" w14:textId="77777777" w:rsidR="004C6421" w:rsidRDefault="009D1962">
      <w:pPr>
        <w:spacing w:before="120" w:after="120"/>
        <w:jc w:val="both"/>
        <w:rPr>
          <w:noProof/>
        </w:rPr>
      </w:pPr>
      <w:r>
        <w:rPr>
          <w:noProof/>
        </w:rPr>
        <w:t xml:space="preserve">Reforma przewiduje uproszczenie procedury dostępu do zawodów, które wymagają zapisywania się na zleceniach zawodowych w drodze specjalnego egzaminu zawodowego. Środek ten przyczynia się do zharmonizowania końcowego egzaminu krajowego każdego stopnia z odpowiednim egzaminem na zamówienie zawodowe, zapewniając tym samym ogólne i jasne zasady oraz substytucję. </w:t>
      </w:r>
    </w:p>
    <w:p w14:paraId="3B49B03A" w14:textId="77777777" w:rsidR="004C6421" w:rsidRDefault="009D1962">
      <w:pPr>
        <w:pStyle w:val="P68B1DB1-Normal2"/>
        <w:spacing w:before="120" w:after="120"/>
        <w:jc w:val="both"/>
        <w:rPr>
          <w:noProof/>
        </w:rPr>
      </w:pPr>
      <w:r>
        <w:rPr>
          <w:noProof/>
        </w:rPr>
        <w:t>Reforma 2.1: Rekrutacja nauczycieli</w:t>
      </w:r>
    </w:p>
    <w:p w14:paraId="14FA64BC" w14:textId="77777777" w:rsidR="004C6421" w:rsidRDefault="009D1962">
      <w:pPr>
        <w:spacing w:before="120" w:after="120"/>
        <w:jc w:val="both"/>
        <w:rPr>
          <w:noProof/>
        </w:rPr>
      </w:pPr>
      <w:r>
        <w:rPr>
          <w:noProof/>
        </w:rPr>
        <w:t xml:space="preserve">Reforma ma na celu ustanowienie nowego modelu rekrutacji nauczycieli, związanego z ponownym przemyśleniem ich kształcenia wstępnego i przez cały okres ich kariery zawodowej. Celem strategicznym tego środka jest znaczna poprawa jakości włoskiego systemu edukacji. W szczególności reforma uprości obecne publiczne procedury konkursowe. Środki te wprowadzają wyższe wymogi w zakresie dostępu do zawodów nauczycielskich, skuteczniejsze ramy mobilności nauczycieli, ograniczające nadmierną mobilność oraz wyraźny związek między rozwojem kariery zawodowej a oceną wyników i ustawicznym doskonaleniem zawodowym.  </w:t>
      </w:r>
    </w:p>
    <w:p w14:paraId="40C340BF" w14:textId="77777777" w:rsidR="004C6421" w:rsidRDefault="009D1962">
      <w:pPr>
        <w:spacing w:after="160" w:line="259" w:lineRule="auto"/>
        <w:rPr>
          <w:b/>
          <w:noProof/>
        </w:rPr>
      </w:pPr>
      <w:r>
        <w:rPr>
          <w:noProof/>
        </w:rPr>
        <w:br w:type="page"/>
      </w:r>
    </w:p>
    <w:p w14:paraId="64F73498" w14:textId="4D18856B" w:rsidR="004C6421" w:rsidRDefault="009D1962">
      <w:pPr>
        <w:pStyle w:val="P68B1DB1-Normal2"/>
        <w:spacing w:before="120" w:after="120"/>
        <w:jc w:val="both"/>
        <w:rPr>
          <w:noProof/>
        </w:rPr>
      </w:pPr>
      <w:r>
        <w:rPr>
          <w:noProof/>
        </w:rPr>
        <w:t>Reforma 2.2: Szkolnictwo wyższe i obowiązkowe szkolenia dla kadry kierowniczej szkół, nauczycieli, personelu administracyjnego i technicznego</w:t>
      </w:r>
    </w:p>
    <w:p w14:paraId="7AA9A32D" w14:textId="77777777" w:rsidR="004C6421" w:rsidRDefault="009D1962">
      <w:pPr>
        <w:spacing w:before="120" w:after="120"/>
        <w:jc w:val="both"/>
        <w:rPr>
          <w:noProof/>
        </w:rPr>
      </w:pPr>
      <w:r>
        <w:rPr>
          <w:noProof/>
        </w:rPr>
        <w:t>Reforma ma na celu stworzenie wysokiej jakości systemu szkoleń dla pracowników szkół w celu ustawicznego rozwoju zawodowego i zawodowego. Przewiduje się w nim utworzenie wykwalifikowanego organu odpowiedzialnego za wydawanie wytycznych zgodnie ze standardami europejskimi oraz za wybór i koordynację inicjatyw szkoleniowych, ewentualnie łącząc je z rozwojem kariery zawodowej, jak przewidziano w reformie rekrutacji – reformie 2.1: Rekrutacja nauczycieli, uwzględniona w planie.</w:t>
      </w:r>
    </w:p>
    <w:p w14:paraId="58E5EE22" w14:textId="77777777" w:rsidR="004C6421" w:rsidRDefault="009D1962">
      <w:pPr>
        <w:pStyle w:val="P68B1DB1-Normal2"/>
        <w:spacing w:before="120" w:after="120"/>
        <w:jc w:val="both"/>
        <w:rPr>
          <w:noProof/>
        </w:rPr>
      </w:pPr>
      <w:r>
        <w:rPr>
          <w:noProof/>
        </w:rPr>
        <w:t xml:space="preserve">Inwestycja 2.1: Zintegrowane cyfrowe nauczanie i szkolenia w zakresie transformacji cyfrowej dla pracowników szkół </w:t>
      </w:r>
    </w:p>
    <w:p w14:paraId="07ED60B4" w14:textId="77777777" w:rsidR="004C6421" w:rsidRDefault="009D1962">
      <w:pPr>
        <w:spacing w:before="120" w:after="120"/>
        <w:jc w:val="both"/>
        <w:rPr>
          <w:noProof/>
        </w:rPr>
      </w:pPr>
      <w:r>
        <w:rPr>
          <w:noProof/>
        </w:rPr>
        <w:t xml:space="preserve">Środek ten ma na celu stworzenie stałego systemu rozwoju cyfrowych umiejętności dydaktycznych, a także umiejętności cyfrowych i dydaktycznych pracowników szkół.  Interwencja przewiduje:  </w:t>
      </w:r>
    </w:p>
    <w:p w14:paraId="38A37E68" w14:textId="77777777" w:rsidR="004C6421" w:rsidRDefault="009D1962">
      <w:pPr>
        <w:pStyle w:val="ListParagraph"/>
        <w:numPr>
          <w:ilvl w:val="0"/>
          <w:numId w:val="53"/>
        </w:numPr>
        <w:ind w:left="360"/>
        <w:rPr>
          <w:noProof/>
        </w:rPr>
      </w:pPr>
      <w:r>
        <w:rPr>
          <w:noProof/>
        </w:rPr>
        <w:t>stworzenie systemu ustawicznego szkolenia nauczycieli i pracowników szkół w zakresie transformacji cyfrowej;</w:t>
      </w:r>
    </w:p>
    <w:p w14:paraId="73352B47" w14:textId="77777777" w:rsidR="004C6421" w:rsidRDefault="009D1962">
      <w:pPr>
        <w:pStyle w:val="ListParagraph"/>
        <w:numPr>
          <w:ilvl w:val="0"/>
          <w:numId w:val="53"/>
        </w:numPr>
        <w:ind w:left="360"/>
        <w:rPr>
          <w:rStyle w:val="normaltextrun"/>
          <w:noProof/>
        </w:rPr>
      </w:pPr>
      <w:r>
        <w:rPr>
          <w:rStyle w:val="normaltextrun"/>
          <w:noProof/>
          <w:shd w:val="clear" w:color="auto" w:fill="FFFFFF"/>
        </w:rPr>
        <w:t>Przyjęcie krajowych ram odniesienia dla zintegrowanego nauczania cyfrowego w celu promowania przyjmowania programów nauczania kompetencji cyfrowych we wszystkich szkołach.</w:t>
      </w:r>
    </w:p>
    <w:p w14:paraId="59CA3847" w14:textId="77777777" w:rsidR="004C6421" w:rsidRDefault="009D1962">
      <w:pPr>
        <w:spacing w:before="120" w:after="120"/>
        <w:jc w:val="both"/>
        <w:rPr>
          <w:noProof/>
        </w:rPr>
      </w:pPr>
      <w:r>
        <w:rPr>
          <w:noProof/>
        </w:rPr>
        <w:t>Plan działania przewiduje szkolenie około 650000 nauczycieli i pracowników szkół, utworzenie około 20000 kursów szkoleniowych w ciągu pięciu lat oraz utworzenie lokalnych ośrodków szkoleniowych. Wszystkie z ponad 8000 placówek oświatowych we Włoszech będą zaangażowane w projekty szkoleniowe.</w:t>
      </w:r>
    </w:p>
    <w:p w14:paraId="3DDDF4CD" w14:textId="77777777" w:rsidR="004C6421" w:rsidRDefault="009D1962">
      <w:pPr>
        <w:pStyle w:val="P68B1DB1-Normal2"/>
        <w:spacing w:before="120" w:after="120"/>
        <w:jc w:val="both"/>
        <w:rPr>
          <w:noProof/>
        </w:rPr>
      </w:pPr>
      <w:r>
        <w:rPr>
          <w:noProof/>
        </w:rPr>
        <w:t>Inwestycja 3.1: Nowe umiejętności i nowe języki</w:t>
      </w:r>
    </w:p>
    <w:p w14:paraId="070543BA" w14:textId="77777777" w:rsidR="004C6421" w:rsidRDefault="009D1962">
      <w:pPr>
        <w:spacing w:before="120" w:after="120"/>
        <w:jc w:val="both"/>
        <w:rPr>
          <w:noProof/>
        </w:rPr>
      </w:pPr>
      <w:r>
        <w:rPr>
          <w:noProof/>
        </w:rPr>
        <w:t>Celem interwencji jest włączenie do wszystkich poziomów szkolnych działań, metodologii i treści programów nauczania mających na celu wzmocnienie umiejętności w zakresie nauk ścisłych, technologii, inżynierii i matematyki oraz umiejętności cyfrowych i innowacyjnych. Środek koncentruje się na uczących się kobietach i przewiduje pełne podejście interdyscyplinarne. Celem interwencji jest zagwarantowanie równych szans i równości płci pod względem podejścia metodologicznego i działań ukierunkowanych na STEM.</w:t>
      </w:r>
    </w:p>
    <w:p w14:paraId="7003F595" w14:textId="77777777" w:rsidR="004C6421" w:rsidRDefault="009D1962">
      <w:pPr>
        <w:spacing w:before="120" w:after="120"/>
        <w:jc w:val="both"/>
        <w:rPr>
          <w:noProof/>
        </w:rPr>
      </w:pPr>
      <w:r>
        <w:rPr>
          <w:noProof/>
        </w:rPr>
        <w:t xml:space="preserve"> Oczekuje się, że środek wzmocni umiejętności wielojęzyczne wśród studentów i nauczycieli poprzez poszerzenie programów konsultacyjnych i informacyjnych na temat programu Erasmus+ przy wsparciu Krajowego Instytutu Dokumentacji, Innowacji i Badań Edukacyjnych Erasmus+ (INDIRE) i jego sieci ambasadorów. </w:t>
      </w:r>
    </w:p>
    <w:p w14:paraId="62F14C1D" w14:textId="77777777" w:rsidR="004C6421" w:rsidRDefault="009D1962">
      <w:pPr>
        <w:spacing w:before="120" w:after="120"/>
        <w:jc w:val="both"/>
        <w:rPr>
          <w:noProof/>
        </w:rPr>
      </w:pPr>
      <w:r>
        <w:rPr>
          <w:noProof/>
        </w:rPr>
        <w:t xml:space="preserve">Opracowuje się również system cyfrowy w celu monitorowania umiejętności językowych na szczeblu krajowym przy wsparciu odpowiednich podmiotów certyfikujących. </w:t>
      </w:r>
    </w:p>
    <w:p w14:paraId="5E01DF75" w14:textId="77777777" w:rsidR="004C6421" w:rsidRDefault="009D1962">
      <w:pPr>
        <w:pStyle w:val="P68B1DB1-Normal2"/>
        <w:spacing w:before="120" w:after="120"/>
        <w:jc w:val="both"/>
        <w:rPr>
          <w:noProof/>
        </w:rPr>
      </w:pPr>
      <w:r>
        <w:rPr>
          <w:noProof/>
        </w:rPr>
        <w:t>Inwestycje 3.2: Szkoła 4.0: innowacyjne szkoły, okablowanie, nowe klasy i warsztaty</w:t>
      </w:r>
    </w:p>
    <w:p w14:paraId="08E66D10" w14:textId="77777777" w:rsidR="004C6421" w:rsidRDefault="009D1962">
      <w:pPr>
        <w:spacing w:before="120" w:after="120"/>
        <w:jc w:val="both"/>
        <w:rPr>
          <w:noProof/>
        </w:rPr>
      </w:pPr>
      <w:r>
        <w:rPr>
          <w:noProof/>
        </w:rPr>
        <w:t>Środek ten ma na celu zaktualizowanie placówek szkolnych w możliwe do dostosowania, elastyczne i cyfrowe środowiska edukacyjne, wraz z zaawansowanymi technologicznie warsztatami i procesem uczenia się opartego na pracy. Środek ten przyspieszy transformację cyfrową włoskiego systemu szkolnictwa za pomocą czterech inicjatyw:</w:t>
      </w:r>
    </w:p>
    <w:p w14:paraId="0AF2C553" w14:textId="77777777" w:rsidR="004C6421" w:rsidRDefault="009D1962">
      <w:pPr>
        <w:pStyle w:val="ListParagraph"/>
        <w:numPr>
          <w:ilvl w:val="0"/>
          <w:numId w:val="53"/>
        </w:numPr>
        <w:ind w:left="360"/>
        <w:rPr>
          <w:noProof/>
        </w:rPr>
      </w:pPr>
      <w:r>
        <w:rPr>
          <w:noProof/>
        </w:rPr>
        <w:t>Przekształcenie około 100000 tradycyjnych klas w połączone środowiska edukacyjne, wraz z wprowadzeniem powiązanych urządzeń edukacyjnych</w:t>
      </w:r>
    </w:p>
    <w:p w14:paraId="1E88B1B5" w14:textId="77777777" w:rsidR="004C6421" w:rsidRDefault="009D1962">
      <w:pPr>
        <w:pStyle w:val="ListParagraph"/>
        <w:numPr>
          <w:ilvl w:val="0"/>
          <w:numId w:val="53"/>
        </w:numPr>
        <w:ind w:left="360"/>
        <w:rPr>
          <w:noProof/>
        </w:rPr>
      </w:pPr>
      <w:r>
        <w:rPr>
          <w:noProof/>
        </w:rPr>
        <w:t>Utworzenie warsztatów dla zawodów cyfrowych w drugim cyklu</w:t>
      </w:r>
    </w:p>
    <w:p w14:paraId="7D163B33" w14:textId="77777777" w:rsidR="004C6421" w:rsidRDefault="009D1962">
      <w:pPr>
        <w:pStyle w:val="ListParagraph"/>
        <w:numPr>
          <w:ilvl w:val="0"/>
          <w:numId w:val="53"/>
        </w:numPr>
        <w:ind w:left="360"/>
        <w:rPr>
          <w:noProof/>
        </w:rPr>
      </w:pPr>
      <w:r>
        <w:rPr>
          <w:noProof/>
        </w:rPr>
        <w:t>Cyfryzacja administracji szkolnych</w:t>
      </w:r>
    </w:p>
    <w:p w14:paraId="58EA1A8C" w14:textId="77777777" w:rsidR="004C6421" w:rsidRDefault="009D1962">
      <w:pPr>
        <w:pStyle w:val="ListParagraph"/>
        <w:numPr>
          <w:ilvl w:val="0"/>
          <w:numId w:val="53"/>
        </w:numPr>
        <w:ind w:left="360"/>
        <w:rPr>
          <w:noProof/>
        </w:rPr>
      </w:pPr>
      <w:r>
        <w:rPr>
          <w:noProof/>
        </w:rPr>
        <w:t>Okablowanie wewnętrzne ok. 40000 budynków szkolnych i powiązanych urządzeń</w:t>
      </w:r>
    </w:p>
    <w:p w14:paraId="62EB7DBF" w14:textId="77777777" w:rsidR="004C6421" w:rsidRDefault="009D1962">
      <w:pPr>
        <w:spacing w:after="160" w:line="259" w:lineRule="auto"/>
        <w:rPr>
          <w:b/>
          <w:noProof/>
        </w:rPr>
      </w:pPr>
      <w:r>
        <w:rPr>
          <w:noProof/>
        </w:rPr>
        <w:br w:type="page"/>
      </w:r>
    </w:p>
    <w:p w14:paraId="280952FD" w14:textId="1D97C84A" w:rsidR="004C6421" w:rsidRDefault="009D1962">
      <w:pPr>
        <w:pStyle w:val="P68B1DB1-Normal2"/>
        <w:spacing w:before="120" w:after="120"/>
        <w:jc w:val="both"/>
        <w:rPr>
          <w:noProof/>
        </w:rPr>
      </w:pPr>
      <w:r>
        <w:rPr>
          <w:noProof/>
        </w:rPr>
        <w:t>Inwestycja 3.3: Bezpieczeństwo budynków szkolnych i plan rehabilitacji strukturalnej</w:t>
      </w:r>
    </w:p>
    <w:p w14:paraId="08C17D7E" w14:textId="77777777" w:rsidR="004C6421" w:rsidRDefault="009D1962">
      <w:pPr>
        <w:spacing w:before="120" w:after="120"/>
        <w:jc w:val="both"/>
        <w:rPr>
          <w:noProof/>
        </w:rPr>
      </w:pPr>
      <w:r>
        <w:rPr>
          <w:noProof/>
        </w:rPr>
        <w:t>Głównym celem środka jest przyczynienie się do odbudowy klimatu poprzez zwiększenie bezpieczeństwa budynków szkolnych i zużycia energii. W szczególności środek ten przyczynia się do poprawy klas energetycznych i prowadzi do zmniejszenia zużycia i emisji CO2, a także do zwiększenia bezpieczeństwa konstrukcyjnego budynków. Szczególną uwagę zwraca się na obszary znajdujące się w najtrudniejszej sytuacji w celu rozwiązania problemu i wyeliminowania nierównowagi gospodarczej i społecznej. Inwestycja nie obejmuje zakupu kotłów gazu ziemnego.</w:t>
      </w:r>
    </w:p>
    <w:p w14:paraId="01F80C7D" w14:textId="77777777" w:rsidR="004C6421" w:rsidRDefault="009D1962">
      <w:pPr>
        <w:pStyle w:val="P68B1DB1-Normal2"/>
        <w:spacing w:before="120" w:after="120"/>
        <w:jc w:val="both"/>
        <w:rPr>
          <w:noProof/>
        </w:rPr>
      </w:pPr>
      <w:r>
        <w:rPr>
          <w:noProof/>
        </w:rPr>
        <w:t>Inwestycja 3.4: Nauczanie i zaawansowane umiejętności uniwersyteckie</w:t>
      </w:r>
    </w:p>
    <w:p w14:paraId="2403D65A" w14:textId="77777777" w:rsidR="004C6421" w:rsidRDefault="009D1962">
      <w:pPr>
        <w:spacing w:before="120" w:after="120"/>
        <w:jc w:val="both"/>
        <w:rPr>
          <w:noProof/>
        </w:rPr>
      </w:pPr>
      <w:r>
        <w:rPr>
          <w:noProof/>
        </w:rPr>
        <w:t xml:space="preserve">Środek ma na celu zakwalifikowanie i innowacyjne programy uniwersyteckie (w tym programy doktoranckie) poprzez realizację trzech celów strategicznych: digitalizacji; „kultura innowacji”; umiędzynarodowienie. </w:t>
      </w:r>
    </w:p>
    <w:p w14:paraId="4243045A" w14:textId="77777777" w:rsidR="004C6421" w:rsidRDefault="009D1962">
      <w:pPr>
        <w:spacing w:before="120" w:after="120"/>
        <w:jc w:val="both"/>
        <w:rPr>
          <w:noProof/>
        </w:rPr>
      </w:pPr>
      <w:r>
        <w:rPr>
          <w:noProof/>
        </w:rPr>
        <w:t xml:space="preserve">W szczególności wdraża się następujące poddziałania: </w:t>
      </w:r>
    </w:p>
    <w:p w14:paraId="200AD062" w14:textId="77777777" w:rsidR="004C6421" w:rsidRDefault="009D1962">
      <w:pPr>
        <w:pStyle w:val="ListParagraph"/>
        <w:numPr>
          <w:ilvl w:val="0"/>
          <w:numId w:val="53"/>
        </w:numPr>
        <w:ind w:left="360"/>
        <w:rPr>
          <w:noProof/>
        </w:rPr>
      </w:pPr>
      <w:r>
        <w:rPr>
          <w:noProof/>
        </w:rPr>
        <w:t>Do 500 doktorantów zapisuje się w ciągu 3 lat (100 + 200 + 200) w programach poświęconych transformacji cyfrowej i ekologicznej</w:t>
      </w:r>
    </w:p>
    <w:p w14:paraId="59E8F15A" w14:textId="77777777" w:rsidR="004C6421" w:rsidRDefault="009D1962">
      <w:pPr>
        <w:pStyle w:val="ListParagraph"/>
        <w:numPr>
          <w:ilvl w:val="0"/>
          <w:numId w:val="53"/>
        </w:numPr>
        <w:ind w:left="360"/>
        <w:rPr>
          <w:noProof/>
        </w:rPr>
      </w:pPr>
      <w:r>
        <w:rPr>
          <w:noProof/>
        </w:rPr>
        <w:t>Ustanowienie trzech centrów edukacji cyfrowej (DEH) w celu poprawy zdolności systemu szkolnictwa wyższego do oferowania edukacji cyfrowej studentom i pracownikom uczelni wyższych;</w:t>
      </w:r>
    </w:p>
    <w:p w14:paraId="587FFAE9" w14:textId="77777777" w:rsidR="004C6421" w:rsidRDefault="009D1962">
      <w:pPr>
        <w:pStyle w:val="ListParagraph"/>
        <w:numPr>
          <w:ilvl w:val="0"/>
          <w:numId w:val="53"/>
        </w:numPr>
        <w:ind w:left="360"/>
        <w:rPr>
          <w:noProof/>
        </w:rPr>
      </w:pPr>
      <w:r>
        <w:rPr>
          <w:noProof/>
        </w:rPr>
        <w:t>Wzmocnienie szkół wyższych</w:t>
      </w:r>
    </w:p>
    <w:p w14:paraId="40C9A818" w14:textId="77777777" w:rsidR="004C6421" w:rsidRDefault="009D1962">
      <w:pPr>
        <w:pStyle w:val="ListParagraph"/>
        <w:numPr>
          <w:ilvl w:val="0"/>
          <w:numId w:val="53"/>
        </w:numPr>
        <w:ind w:left="360"/>
        <w:rPr>
          <w:noProof/>
        </w:rPr>
      </w:pPr>
      <w:r>
        <w:rPr>
          <w:noProof/>
        </w:rPr>
        <w:t>Realizacja dziesięciu transnarodowych inicjatyw edukacyjnych – TNE – we współpracy z Ministerstwem Spraw Zagranicznych i Współpracy Międzynarodowej</w:t>
      </w:r>
    </w:p>
    <w:p w14:paraId="13426655" w14:textId="77777777" w:rsidR="004C6421" w:rsidRDefault="009D1962">
      <w:pPr>
        <w:pStyle w:val="ListParagraph"/>
        <w:numPr>
          <w:ilvl w:val="0"/>
          <w:numId w:val="53"/>
        </w:numPr>
        <w:ind w:left="360"/>
        <w:rPr>
          <w:noProof/>
        </w:rPr>
      </w:pPr>
      <w:r>
        <w:rPr>
          <w:noProof/>
        </w:rPr>
        <w:t>Działania na rzecz umiędzynarodowienia artystycznej i muzycznej instytucji szkolnictwa wyższego (AFAM) poprzez wspieranie 15 projektów umiędzynarodowienia instytucji AFAM mających na celu promowanie ich roli za granicą w ochronie i promowaniu kultury włoskiej</w:t>
      </w:r>
    </w:p>
    <w:p w14:paraId="755C7489" w14:textId="77777777" w:rsidR="004C6421" w:rsidRDefault="009D1962">
      <w:pPr>
        <w:pStyle w:val="P68B1DB1-Normal2"/>
        <w:spacing w:before="120" w:after="120"/>
        <w:jc w:val="both"/>
        <w:rPr>
          <w:noProof/>
        </w:rPr>
      </w:pPr>
      <w:r>
        <w:rPr>
          <w:noProof/>
        </w:rPr>
        <w:t xml:space="preserve">Reforma 4.1: Doktorat – Reforma programów  </w:t>
      </w:r>
    </w:p>
    <w:p w14:paraId="76EFABAB" w14:textId="77777777" w:rsidR="004C6421" w:rsidRDefault="009D1962">
      <w:pPr>
        <w:spacing w:before="120" w:after="120"/>
        <w:jc w:val="both"/>
        <w:rPr>
          <w:noProof/>
        </w:rPr>
      </w:pPr>
      <w:r>
        <w:rPr>
          <w:noProof/>
        </w:rPr>
        <w:t>Reforma ma na celu aktualizację rozporządzenia w sprawie programów doktoranckich, uproszczenie procedur angażowania przedsiębiorstw, ośrodków badawczych i programów doktoranckich oraz wzmocnienie badań stosowanych. Proponowana reforma łączy się ze wszystkimi inwestycjami związanymi z programami doktoranckimi w obszarze docelowym „Edukacja i badania naukowe”.</w:t>
      </w:r>
    </w:p>
    <w:p w14:paraId="6399C1B8" w14:textId="77777777" w:rsidR="004C6421" w:rsidRDefault="009D1962">
      <w:pPr>
        <w:pStyle w:val="P68B1DB1-Normal2"/>
        <w:spacing w:before="120" w:after="120"/>
        <w:jc w:val="both"/>
        <w:rPr>
          <w:noProof/>
        </w:rPr>
      </w:pPr>
      <w:r>
        <w:rPr>
          <w:noProof/>
        </w:rPr>
        <w:t xml:space="preserve">Inwestycja 4.1: Rozszerzenie liczby i możliwości kariery doktoranckich (nastawione na badania naukowe, administracja publiczna i dziedzictwo kulturowe)  </w:t>
      </w:r>
    </w:p>
    <w:p w14:paraId="2C063D39" w14:textId="0332B9B3" w:rsidR="004C6421" w:rsidRDefault="009D1962">
      <w:pPr>
        <w:spacing w:before="120" w:after="120"/>
        <w:jc w:val="both"/>
        <w:rPr>
          <w:noProof/>
        </w:rPr>
      </w:pPr>
      <w:r>
        <w:rPr>
          <w:noProof/>
        </w:rPr>
        <w:t>Środek ten ma na celu zwiększenie zasobów kapitału ludzkiego przeznaczonego na działalność ukierunkowaną na badania naukowe, administrację publiczną i dziedzictwo kulturowe. Inwestycja przewiduje utworzenie 1200 dodatkowych ogólnych programów stypendiów doktoranckich przyznawanych rocznie (przez trzy lata), 1000 dodatkowych programów studiów doktoranckich w administracji publicznej rocznie (ponad 3 lata) oraz co najmniej 200 nowych programów studiów doktoranckich dotyczących dziedzictwa kulturowego rocznie (ponad 3 lata).</w:t>
      </w:r>
    </w:p>
    <w:p w14:paraId="06676F35" w14:textId="77777777" w:rsidR="004C6421" w:rsidRDefault="009D1962">
      <w:pPr>
        <w:pStyle w:val="Heading3"/>
        <w:numPr>
          <w:ilvl w:val="0"/>
          <w:numId w:val="0"/>
        </w:numPr>
        <w:ind w:left="850" w:hanging="850"/>
        <w:rPr>
          <w:b/>
          <w:i w:val="0"/>
          <w:noProof/>
          <w:u w:val="single"/>
        </w:rPr>
      </w:pPr>
      <w:r>
        <w:rPr>
          <w:b/>
          <w:i w:val="0"/>
          <w:noProof/>
          <w:u w:val="single"/>
        </w:rPr>
        <w:t xml:space="preserve">J.2. </w:t>
      </w:r>
      <w:r>
        <w:rPr>
          <w:noProof/>
        </w:rPr>
        <w:t xml:space="preserve"> </w:t>
      </w:r>
      <w:r>
        <w:rPr>
          <w:b/>
          <w:i w:val="0"/>
          <w:noProof/>
          <w:u w:val="single"/>
        </w:rPr>
        <w:t>Kamienie milowe, wartości docelowe, wskaźniki i harmonogram monitorowania i realizacji na potrzeby bezzwrotnego wsparcia finansowego</w:t>
      </w:r>
    </w:p>
    <w:p w14:paraId="4921E84B" w14:textId="77777777" w:rsidR="004C6421" w:rsidRDefault="004C6421">
      <w:pPr>
        <w:spacing w:before="120" w:after="120"/>
        <w:ind w:left="709"/>
        <w:jc w:val="both"/>
        <w:rPr>
          <w:noProof/>
        </w:rPr>
        <w:sectPr w:rsidR="004C6421" w:rsidSect="00797973">
          <w:headerReference w:type="even" r:id="rId254"/>
          <w:headerReference w:type="default" r:id="rId255"/>
          <w:footerReference w:type="even" r:id="rId256"/>
          <w:footerReference w:type="default" r:id="rId257"/>
          <w:headerReference w:type="first" r:id="rId258"/>
          <w:footerReference w:type="first" r:id="rId259"/>
          <w:pgSz w:w="11907" w:h="16839"/>
          <w:pgMar w:top="1440" w:right="1440" w:bottom="1440" w:left="1440" w:header="567" w:footer="567" w:gutter="0"/>
          <w:cols w:space="720"/>
          <w:docGrid w:linePitch="360"/>
        </w:sectPr>
      </w:pP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1488"/>
        <w:gridCol w:w="1065"/>
        <w:gridCol w:w="1702"/>
        <w:gridCol w:w="1428"/>
        <w:gridCol w:w="1256"/>
        <w:gridCol w:w="1116"/>
        <w:gridCol w:w="1021"/>
        <w:gridCol w:w="851"/>
        <w:gridCol w:w="708"/>
        <w:gridCol w:w="3112"/>
      </w:tblGrid>
      <w:tr w:rsidR="004C6421" w14:paraId="4835C90D" w14:textId="77777777">
        <w:trPr>
          <w:trHeight w:val="927"/>
          <w:tblHeader/>
        </w:trPr>
        <w:tc>
          <w:tcPr>
            <w:tcW w:w="380" w:type="pct"/>
            <w:vMerge w:val="restart"/>
            <w:shd w:val="clear" w:color="auto" w:fill="BDD7EE"/>
            <w:vAlign w:val="center"/>
            <w:hideMark/>
          </w:tcPr>
          <w:p w14:paraId="34D96D3F" w14:textId="77777777" w:rsidR="004C6421" w:rsidRDefault="009D1962">
            <w:pPr>
              <w:pStyle w:val="P68B1DB1-Normal3"/>
              <w:jc w:val="center"/>
              <w:rPr>
                <w:noProof/>
              </w:rPr>
            </w:pPr>
            <w:r>
              <w:rPr>
                <w:noProof/>
              </w:rPr>
              <w:t>Numer porządkowy</w:t>
            </w:r>
          </w:p>
        </w:tc>
        <w:tc>
          <w:tcPr>
            <w:tcW w:w="500" w:type="pct"/>
            <w:vMerge w:val="restart"/>
            <w:shd w:val="clear" w:color="auto" w:fill="BDD7EE"/>
            <w:vAlign w:val="center"/>
            <w:hideMark/>
          </w:tcPr>
          <w:p w14:paraId="1440E839" w14:textId="77777777" w:rsidR="004C6421" w:rsidRDefault="009D1962">
            <w:pPr>
              <w:pStyle w:val="P68B1DB1-Normal3"/>
              <w:jc w:val="center"/>
              <w:rPr>
                <w:noProof/>
              </w:rPr>
            </w:pPr>
            <w:r>
              <w:rPr>
                <w:noProof/>
              </w:rPr>
              <w:t>Powiązane działanie (reforma lub inwestycja)</w:t>
            </w:r>
          </w:p>
        </w:tc>
        <w:tc>
          <w:tcPr>
            <w:tcW w:w="358" w:type="pct"/>
            <w:vMerge w:val="restart"/>
            <w:shd w:val="clear" w:color="auto" w:fill="BDD7EE"/>
            <w:vAlign w:val="center"/>
            <w:hideMark/>
          </w:tcPr>
          <w:p w14:paraId="1919A07C" w14:textId="77777777" w:rsidR="004C6421" w:rsidRDefault="009D1962">
            <w:pPr>
              <w:pStyle w:val="P68B1DB1-Normal3"/>
              <w:jc w:val="center"/>
              <w:rPr>
                <w:noProof/>
              </w:rPr>
            </w:pPr>
            <w:r>
              <w:rPr>
                <w:noProof/>
              </w:rPr>
              <w:t>Kamień milowy/wartość docelowa</w:t>
            </w:r>
          </w:p>
        </w:tc>
        <w:tc>
          <w:tcPr>
            <w:tcW w:w="572" w:type="pct"/>
            <w:vMerge w:val="restart"/>
            <w:shd w:val="clear" w:color="auto" w:fill="BDD7EE"/>
            <w:vAlign w:val="center"/>
            <w:hideMark/>
          </w:tcPr>
          <w:p w14:paraId="072E7D5B" w14:textId="77777777" w:rsidR="004C6421" w:rsidRDefault="009D1962">
            <w:pPr>
              <w:pStyle w:val="P68B1DB1-Normal3"/>
              <w:jc w:val="center"/>
              <w:rPr>
                <w:noProof/>
              </w:rPr>
            </w:pPr>
            <w:r>
              <w:rPr>
                <w:noProof/>
              </w:rPr>
              <w:t>Nazwa</w:t>
            </w:r>
          </w:p>
        </w:tc>
        <w:tc>
          <w:tcPr>
            <w:tcW w:w="480" w:type="pct"/>
            <w:vMerge w:val="restart"/>
            <w:shd w:val="clear" w:color="auto" w:fill="BDD7EE"/>
            <w:vAlign w:val="center"/>
            <w:hideMark/>
          </w:tcPr>
          <w:p w14:paraId="1D8BCA67" w14:textId="77777777" w:rsidR="004C6421" w:rsidRDefault="009D1962">
            <w:pPr>
              <w:jc w:val="center"/>
              <w:rPr>
                <w:rFonts w:ascii="Arial Narrow" w:hAnsi="Arial Narrow"/>
                <w:b/>
                <w:noProof/>
                <w:sz w:val="20"/>
              </w:rPr>
            </w:pPr>
            <w:r>
              <w:rPr>
                <w:rFonts w:ascii="Arial Narrow" w:hAnsi="Arial Narrow"/>
                <w:b/>
                <w:noProof/>
                <w:sz w:val="20"/>
              </w:rPr>
              <w:t xml:space="preserve">Wskaźniki jakościowe </w:t>
            </w:r>
            <w:r>
              <w:rPr>
                <w:rFonts w:ascii="Arial Narrow" w:hAnsi="Arial Narrow"/>
                <w:noProof/>
              </w:rPr>
              <w:t xml:space="preserve"> </w:t>
            </w:r>
            <w:r>
              <w:rPr>
                <w:noProof/>
              </w:rPr>
              <w:t xml:space="preserve">  </w:t>
            </w:r>
            <w:r>
              <w:rPr>
                <w:noProof/>
              </w:rPr>
              <w:br/>
            </w:r>
            <w:r>
              <w:rPr>
                <w:rFonts w:ascii="Arial Narrow" w:hAnsi="Arial Narrow"/>
                <w:b/>
                <w:noProof/>
                <w:sz w:val="20"/>
              </w:rPr>
              <w:t>(dla kamieni milowych)</w:t>
            </w:r>
          </w:p>
        </w:tc>
        <w:tc>
          <w:tcPr>
            <w:tcW w:w="1140" w:type="pct"/>
            <w:gridSpan w:val="3"/>
            <w:shd w:val="clear" w:color="auto" w:fill="BDD7EE"/>
            <w:vAlign w:val="center"/>
            <w:hideMark/>
          </w:tcPr>
          <w:p w14:paraId="16E089B1" w14:textId="77777777" w:rsidR="004C6421" w:rsidRDefault="009D1962">
            <w:pPr>
              <w:jc w:val="center"/>
              <w:rPr>
                <w:rFonts w:ascii="Arial Narrow" w:hAnsi="Arial Narrow"/>
                <w:b/>
                <w:noProof/>
                <w:sz w:val="20"/>
              </w:rPr>
            </w:pPr>
            <w:r>
              <w:rPr>
                <w:rFonts w:ascii="Arial Narrow" w:hAnsi="Arial Narrow"/>
                <w:b/>
                <w:noProof/>
                <w:sz w:val="20"/>
              </w:rPr>
              <w:t xml:space="preserve">Wskaźniki ilościowe </w:t>
            </w:r>
            <w:r>
              <w:rPr>
                <w:rFonts w:ascii="Arial Narrow" w:hAnsi="Arial Narrow"/>
                <w:noProof/>
              </w:rPr>
              <w:t xml:space="preserve"> </w:t>
            </w:r>
            <w:r>
              <w:rPr>
                <w:noProof/>
              </w:rPr>
              <w:t xml:space="preserve">  </w:t>
            </w:r>
            <w:r>
              <w:rPr>
                <w:noProof/>
              </w:rPr>
              <w:br/>
            </w:r>
            <w:r>
              <w:rPr>
                <w:rFonts w:ascii="Arial Narrow" w:hAnsi="Arial Narrow"/>
                <w:b/>
                <w:noProof/>
                <w:sz w:val="20"/>
              </w:rPr>
              <w:t>(dla wartości docelowych)</w:t>
            </w:r>
          </w:p>
        </w:tc>
        <w:tc>
          <w:tcPr>
            <w:tcW w:w="524" w:type="pct"/>
            <w:gridSpan w:val="2"/>
            <w:shd w:val="clear" w:color="auto" w:fill="BDD7EE"/>
            <w:vAlign w:val="center"/>
            <w:hideMark/>
          </w:tcPr>
          <w:p w14:paraId="3F0F0E96" w14:textId="77777777" w:rsidR="004C6421" w:rsidRDefault="009D1962">
            <w:pPr>
              <w:pStyle w:val="P68B1DB1-Normal3"/>
              <w:jc w:val="center"/>
              <w:rPr>
                <w:noProof/>
              </w:rPr>
            </w:pPr>
            <w:r>
              <w:rPr>
                <w:noProof/>
              </w:rPr>
              <w:t>Orientacyjny harmonogram zakończenia działania</w:t>
            </w:r>
          </w:p>
        </w:tc>
        <w:tc>
          <w:tcPr>
            <w:tcW w:w="1046" w:type="pct"/>
            <w:vMerge w:val="restart"/>
            <w:shd w:val="clear" w:color="auto" w:fill="BDD7EE"/>
            <w:vAlign w:val="center"/>
            <w:hideMark/>
          </w:tcPr>
          <w:p w14:paraId="3FAF6EAD" w14:textId="77777777" w:rsidR="004C6421" w:rsidRDefault="009D1962">
            <w:pPr>
              <w:pStyle w:val="P68B1DB1-Normal3"/>
              <w:jc w:val="center"/>
              <w:rPr>
                <w:noProof/>
              </w:rPr>
            </w:pPr>
            <w:r>
              <w:rPr>
                <w:noProof/>
              </w:rPr>
              <w:t>Opis każdego kamienia milowego i każdej wartości docelowej</w:t>
            </w:r>
          </w:p>
        </w:tc>
      </w:tr>
      <w:tr w:rsidR="004C6421" w14:paraId="765FFE5B" w14:textId="77777777">
        <w:trPr>
          <w:trHeight w:val="612"/>
        </w:trPr>
        <w:tc>
          <w:tcPr>
            <w:tcW w:w="380" w:type="pct"/>
            <w:vMerge/>
            <w:vAlign w:val="center"/>
            <w:hideMark/>
          </w:tcPr>
          <w:p w14:paraId="526EC845" w14:textId="77777777" w:rsidR="004C6421" w:rsidRDefault="004C6421">
            <w:pPr>
              <w:jc w:val="center"/>
              <w:rPr>
                <w:rFonts w:ascii="Arial Narrow" w:hAnsi="Arial Narrow"/>
                <w:b/>
                <w:noProof/>
                <w:sz w:val="20"/>
              </w:rPr>
            </w:pPr>
          </w:p>
        </w:tc>
        <w:tc>
          <w:tcPr>
            <w:tcW w:w="500" w:type="pct"/>
            <w:vMerge/>
            <w:vAlign w:val="center"/>
            <w:hideMark/>
          </w:tcPr>
          <w:p w14:paraId="7F05E304" w14:textId="77777777" w:rsidR="004C6421" w:rsidRDefault="004C6421">
            <w:pPr>
              <w:jc w:val="center"/>
              <w:rPr>
                <w:rFonts w:ascii="Arial Narrow" w:hAnsi="Arial Narrow"/>
                <w:b/>
                <w:noProof/>
                <w:sz w:val="20"/>
              </w:rPr>
            </w:pPr>
          </w:p>
        </w:tc>
        <w:tc>
          <w:tcPr>
            <w:tcW w:w="358" w:type="pct"/>
            <w:vMerge/>
            <w:vAlign w:val="center"/>
            <w:hideMark/>
          </w:tcPr>
          <w:p w14:paraId="1FE31C7F" w14:textId="77777777" w:rsidR="004C6421" w:rsidRDefault="004C6421">
            <w:pPr>
              <w:jc w:val="center"/>
              <w:rPr>
                <w:rFonts w:ascii="Arial Narrow" w:hAnsi="Arial Narrow"/>
                <w:b/>
                <w:noProof/>
                <w:sz w:val="20"/>
              </w:rPr>
            </w:pPr>
          </w:p>
        </w:tc>
        <w:tc>
          <w:tcPr>
            <w:tcW w:w="572" w:type="pct"/>
            <w:vMerge/>
            <w:vAlign w:val="center"/>
            <w:hideMark/>
          </w:tcPr>
          <w:p w14:paraId="66C8FA58" w14:textId="77777777" w:rsidR="004C6421" w:rsidRDefault="004C6421">
            <w:pPr>
              <w:jc w:val="center"/>
              <w:rPr>
                <w:rFonts w:ascii="Arial Narrow" w:hAnsi="Arial Narrow"/>
                <w:b/>
                <w:noProof/>
                <w:sz w:val="20"/>
              </w:rPr>
            </w:pPr>
          </w:p>
        </w:tc>
        <w:tc>
          <w:tcPr>
            <w:tcW w:w="480" w:type="pct"/>
            <w:vMerge/>
            <w:vAlign w:val="center"/>
            <w:hideMark/>
          </w:tcPr>
          <w:p w14:paraId="4738E360" w14:textId="77777777" w:rsidR="004C6421" w:rsidRDefault="004C6421">
            <w:pPr>
              <w:jc w:val="center"/>
              <w:rPr>
                <w:rFonts w:ascii="Arial Narrow" w:hAnsi="Arial Narrow"/>
                <w:b/>
                <w:noProof/>
                <w:sz w:val="20"/>
              </w:rPr>
            </w:pPr>
          </w:p>
        </w:tc>
        <w:tc>
          <w:tcPr>
            <w:tcW w:w="422" w:type="pct"/>
            <w:shd w:val="clear" w:color="auto" w:fill="BDD7EE"/>
            <w:vAlign w:val="center"/>
            <w:hideMark/>
          </w:tcPr>
          <w:p w14:paraId="6C77B8CF" w14:textId="77777777" w:rsidR="004C6421" w:rsidRDefault="009D1962">
            <w:pPr>
              <w:pStyle w:val="P68B1DB1-Normal3"/>
              <w:jc w:val="center"/>
              <w:rPr>
                <w:noProof/>
              </w:rPr>
            </w:pPr>
            <w:r>
              <w:rPr>
                <w:noProof/>
              </w:rPr>
              <w:t>Jednostka miary</w:t>
            </w:r>
          </w:p>
        </w:tc>
        <w:tc>
          <w:tcPr>
            <w:tcW w:w="375" w:type="pct"/>
            <w:shd w:val="clear" w:color="auto" w:fill="BDD7EE"/>
            <w:vAlign w:val="center"/>
            <w:hideMark/>
          </w:tcPr>
          <w:p w14:paraId="47F9BC5C" w14:textId="77777777" w:rsidR="004C6421" w:rsidRDefault="009D1962">
            <w:pPr>
              <w:pStyle w:val="P68B1DB1-Normal3"/>
              <w:jc w:val="center"/>
              <w:rPr>
                <w:noProof/>
              </w:rPr>
            </w:pPr>
            <w:r>
              <w:rPr>
                <w:noProof/>
              </w:rPr>
              <w:t>Bazowy</w:t>
            </w:r>
          </w:p>
        </w:tc>
        <w:tc>
          <w:tcPr>
            <w:tcW w:w="343" w:type="pct"/>
            <w:shd w:val="clear" w:color="auto" w:fill="BDD7EE"/>
            <w:vAlign w:val="center"/>
            <w:hideMark/>
          </w:tcPr>
          <w:p w14:paraId="52BBE346" w14:textId="77777777" w:rsidR="004C6421" w:rsidRDefault="009D1962">
            <w:pPr>
              <w:pStyle w:val="P68B1DB1-Normal3"/>
              <w:jc w:val="center"/>
              <w:rPr>
                <w:noProof/>
              </w:rPr>
            </w:pPr>
            <w:r>
              <w:rPr>
                <w:noProof/>
              </w:rPr>
              <w:t>Cel</w:t>
            </w:r>
          </w:p>
        </w:tc>
        <w:tc>
          <w:tcPr>
            <w:tcW w:w="286" w:type="pct"/>
            <w:shd w:val="clear" w:color="auto" w:fill="BDD7EE"/>
            <w:vAlign w:val="center"/>
            <w:hideMark/>
          </w:tcPr>
          <w:p w14:paraId="0D0AC3B5" w14:textId="77777777" w:rsidR="004C6421" w:rsidRDefault="009D1962">
            <w:pPr>
              <w:pStyle w:val="P68B1DB1-Normal3"/>
              <w:jc w:val="center"/>
              <w:rPr>
                <w:noProof/>
              </w:rPr>
            </w:pPr>
            <w:r>
              <w:rPr>
                <w:noProof/>
              </w:rPr>
              <w:t>Kwartał</w:t>
            </w:r>
          </w:p>
        </w:tc>
        <w:tc>
          <w:tcPr>
            <w:tcW w:w="238" w:type="pct"/>
            <w:shd w:val="clear" w:color="auto" w:fill="BDD7EE"/>
            <w:vAlign w:val="center"/>
            <w:hideMark/>
          </w:tcPr>
          <w:p w14:paraId="7102B0F8" w14:textId="77777777" w:rsidR="004C6421" w:rsidRDefault="009D1962">
            <w:pPr>
              <w:pStyle w:val="P68B1DB1-Normal3"/>
              <w:jc w:val="center"/>
              <w:rPr>
                <w:noProof/>
              </w:rPr>
            </w:pPr>
            <w:r>
              <w:rPr>
                <w:noProof/>
              </w:rPr>
              <w:t>Rok</w:t>
            </w:r>
          </w:p>
        </w:tc>
        <w:tc>
          <w:tcPr>
            <w:tcW w:w="1046" w:type="pct"/>
            <w:vMerge/>
            <w:vAlign w:val="center"/>
            <w:hideMark/>
          </w:tcPr>
          <w:p w14:paraId="0F4C1F78" w14:textId="77777777" w:rsidR="004C6421" w:rsidRDefault="004C6421">
            <w:pPr>
              <w:rPr>
                <w:rFonts w:ascii="Arial Narrow" w:hAnsi="Arial Narrow"/>
                <w:b/>
                <w:noProof/>
                <w:sz w:val="20"/>
              </w:rPr>
            </w:pPr>
          </w:p>
        </w:tc>
      </w:tr>
      <w:tr w:rsidR="004C6421" w14:paraId="1EB25A7F" w14:textId="77777777">
        <w:trPr>
          <w:trHeight w:val="309"/>
        </w:trPr>
        <w:tc>
          <w:tcPr>
            <w:tcW w:w="380" w:type="pct"/>
            <w:shd w:val="clear" w:color="auto" w:fill="C6EFCE"/>
            <w:noWrap/>
            <w:vAlign w:val="center"/>
            <w:hideMark/>
          </w:tcPr>
          <w:p w14:paraId="5BADD900" w14:textId="77777777" w:rsidR="004C6421" w:rsidRDefault="009D1962">
            <w:pPr>
              <w:pStyle w:val="P68B1DB1-Normal4"/>
              <w:jc w:val="center"/>
              <w:rPr>
                <w:noProof/>
              </w:rPr>
            </w:pPr>
            <w:r>
              <w:rPr>
                <w:noProof/>
              </w:rPr>
              <w:t>M4C1-1</w:t>
            </w:r>
          </w:p>
        </w:tc>
        <w:tc>
          <w:tcPr>
            <w:tcW w:w="500" w:type="pct"/>
            <w:shd w:val="clear" w:color="auto" w:fill="C6EFCE"/>
            <w:noWrap/>
            <w:vAlign w:val="center"/>
            <w:hideMark/>
          </w:tcPr>
          <w:p w14:paraId="376ABD3A" w14:textId="77777777" w:rsidR="004C6421" w:rsidRDefault="009D1962">
            <w:pPr>
              <w:pStyle w:val="P68B1DB1-Normal4"/>
              <w:jc w:val="center"/>
              <w:rPr>
                <w:noProof/>
              </w:rPr>
            </w:pPr>
            <w:r>
              <w:rPr>
                <w:noProof/>
              </w:rPr>
              <w:t>Reforma 1.5: Reforma grup uniwersyteckich; Reforma 1.6: Umożliwienie reformy studiów wyższych; Reforma 4.1: Doktorat – Reforma programów</w:t>
            </w:r>
          </w:p>
        </w:tc>
        <w:tc>
          <w:tcPr>
            <w:tcW w:w="358" w:type="pct"/>
            <w:shd w:val="clear" w:color="auto" w:fill="C6EFCE"/>
            <w:noWrap/>
            <w:vAlign w:val="center"/>
            <w:hideMark/>
          </w:tcPr>
          <w:p w14:paraId="14EA26F3" w14:textId="6483376E" w:rsidR="004C6421" w:rsidRDefault="00CC179E">
            <w:pPr>
              <w:pStyle w:val="P68B1DB1-Normal4"/>
              <w:jc w:val="center"/>
              <w:rPr>
                <w:noProof/>
              </w:rPr>
            </w:pPr>
            <w:r>
              <w:rPr>
                <w:noProof/>
              </w:rPr>
              <w:t>Milowy</w:t>
            </w:r>
          </w:p>
        </w:tc>
        <w:tc>
          <w:tcPr>
            <w:tcW w:w="572" w:type="pct"/>
            <w:shd w:val="clear" w:color="auto" w:fill="C6EFCE"/>
            <w:noWrap/>
            <w:vAlign w:val="center"/>
            <w:hideMark/>
          </w:tcPr>
          <w:p w14:paraId="75E4F9B0" w14:textId="77777777" w:rsidR="004C6421" w:rsidRDefault="009D1962">
            <w:pPr>
              <w:pStyle w:val="P68B1DB1-Normal4"/>
              <w:jc w:val="center"/>
              <w:rPr>
                <w:noProof/>
              </w:rPr>
            </w:pPr>
            <w:r>
              <w:rPr>
                <w:noProof/>
              </w:rPr>
              <w:t>Wejście w życie reform systemu szkolnictwa wyższego w celu poprawy wyników kształcenia (prawodawstwo podstawowe) w zakresie: a) umożliwianie uzyskania dyplomów uniwersyteckich; grupy dyplomów uniwersyteckich; C) reforma programów doktoranckich</w:t>
            </w:r>
          </w:p>
        </w:tc>
        <w:tc>
          <w:tcPr>
            <w:tcW w:w="480" w:type="pct"/>
            <w:shd w:val="clear" w:color="auto" w:fill="C6EFCE"/>
            <w:noWrap/>
            <w:vAlign w:val="center"/>
            <w:hideMark/>
          </w:tcPr>
          <w:p w14:paraId="6C4BC4BA" w14:textId="77777777" w:rsidR="004C6421" w:rsidRDefault="009D1962">
            <w:pPr>
              <w:pStyle w:val="P68B1DB1-Normal4"/>
              <w:jc w:val="center"/>
              <w:rPr>
                <w:noProof/>
              </w:rPr>
            </w:pPr>
            <w:r>
              <w:rPr>
                <w:noProof/>
              </w:rPr>
              <w:t>Przepis ustawy wskazujący na wejście w życie reform NIE DOT.</w:t>
            </w:r>
          </w:p>
        </w:tc>
        <w:tc>
          <w:tcPr>
            <w:tcW w:w="422" w:type="pct"/>
            <w:shd w:val="clear" w:color="auto" w:fill="C6EFCE"/>
            <w:noWrap/>
            <w:vAlign w:val="center"/>
            <w:hideMark/>
          </w:tcPr>
          <w:p w14:paraId="31C71413" w14:textId="77777777" w:rsidR="004C6421" w:rsidRDefault="009D1962">
            <w:pPr>
              <w:pStyle w:val="P68B1DB1-Normal4"/>
              <w:jc w:val="center"/>
              <w:rPr>
                <w:noProof/>
              </w:rPr>
            </w:pPr>
            <w:r>
              <w:rPr>
                <w:noProof/>
              </w:rPr>
              <w:t>NIE DOT.</w:t>
            </w:r>
          </w:p>
        </w:tc>
        <w:tc>
          <w:tcPr>
            <w:tcW w:w="375" w:type="pct"/>
            <w:shd w:val="clear" w:color="auto" w:fill="C6EFCE"/>
            <w:noWrap/>
            <w:vAlign w:val="center"/>
            <w:hideMark/>
          </w:tcPr>
          <w:p w14:paraId="3D59E429" w14:textId="77777777" w:rsidR="004C6421" w:rsidRDefault="009D1962">
            <w:pPr>
              <w:pStyle w:val="P68B1DB1-Normal4"/>
              <w:jc w:val="center"/>
              <w:rPr>
                <w:noProof/>
              </w:rPr>
            </w:pPr>
            <w:r>
              <w:rPr>
                <w:noProof/>
              </w:rPr>
              <w:t>NIE DOT.</w:t>
            </w:r>
          </w:p>
        </w:tc>
        <w:tc>
          <w:tcPr>
            <w:tcW w:w="343" w:type="pct"/>
            <w:shd w:val="clear" w:color="auto" w:fill="C6EFCE"/>
            <w:noWrap/>
            <w:vAlign w:val="center"/>
            <w:hideMark/>
          </w:tcPr>
          <w:p w14:paraId="3C92C8C5" w14:textId="77777777" w:rsidR="004C6421" w:rsidRDefault="009D1962">
            <w:pPr>
              <w:pStyle w:val="P68B1DB1-Normal4"/>
              <w:jc w:val="center"/>
              <w:rPr>
                <w:noProof/>
              </w:rPr>
            </w:pPr>
            <w:r>
              <w:rPr>
                <w:noProof/>
              </w:rPr>
              <w:t>NIE DOT.</w:t>
            </w:r>
          </w:p>
        </w:tc>
        <w:tc>
          <w:tcPr>
            <w:tcW w:w="286" w:type="pct"/>
            <w:shd w:val="clear" w:color="auto" w:fill="C6EFCE"/>
            <w:noWrap/>
            <w:vAlign w:val="center"/>
            <w:hideMark/>
          </w:tcPr>
          <w:p w14:paraId="662CF92B" w14:textId="18F25BD1" w:rsidR="004C6421" w:rsidRDefault="00CC179E">
            <w:pPr>
              <w:pStyle w:val="P68B1DB1-Normal4"/>
              <w:jc w:val="center"/>
              <w:rPr>
                <w:noProof/>
              </w:rPr>
            </w:pPr>
            <w:r>
              <w:rPr>
                <w:noProof/>
              </w:rPr>
              <w:t>KW. 4</w:t>
            </w:r>
          </w:p>
        </w:tc>
        <w:tc>
          <w:tcPr>
            <w:tcW w:w="238" w:type="pct"/>
            <w:shd w:val="clear" w:color="auto" w:fill="C6EFCE"/>
            <w:noWrap/>
            <w:vAlign w:val="center"/>
            <w:hideMark/>
          </w:tcPr>
          <w:p w14:paraId="665FCB06" w14:textId="77777777" w:rsidR="004C6421" w:rsidRDefault="009D1962">
            <w:pPr>
              <w:pStyle w:val="P68B1DB1-Normal4"/>
              <w:jc w:val="center"/>
              <w:rPr>
                <w:noProof/>
              </w:rPr>
            </w:pPr>
            <w:r>
              <w:rPr>
                <w:noProof/>
              </w:rPr>
              <w:t>2021</w:t>
            </w:r>
          </w:p>
        </w:tc>
        <w:tc>
          <w:tcPr>
            <w:tcW w:w="1046" w:type="pct"/>
            <w:shd w:val="clear" w:color="auto" w:fill="C6EFCE"/>
            <w:noWrap/>
            <w:vAlign w:val="center"/>
            <w:hideMark/>
          </w:tcPr>
          <w:p w14:paraId="03FC8E4F" w14:textId="77777777" w:rsidR="004C6421" w:rsidRDefault="004C6421">
            <w:pPr>
              <w:rPr>
                <w:rFonts w:ascii="Arial Narrow" w:eastAsia="Calibri" w:hAnsi="Arial Narrow"/>
                <w:noProof/>
                <w:color w:val="006100"/>
                <w:sz w:val="20"/>
              </w:rPr>
            </w:pPr>
          </w:p>
          <w:p w14:paraId="0AEC1A1C" w14:textId="77777777" w:rsidR="004C6421" w:rsidRDefault="009D1962">
            <w:pPr>
              <w:rPr>
                <w:rFonts w:ascii="Arial Narrow" w:hAnsi="Arial Narrow"/>
                <w:noProof/>
                <w:color w:val="006100"/>
                <w:sz w:val="20"/>
              </w:rPr>
            </w:pPr>
            <w:r>
              <w:rPr>
                <w:rFonts w:ascii="Arial Narrow" w:hAnsi="Arial Narrow"/>
                <w:noProof/>
                <w:color w:val="006100"/>
                <w:sz w:val="20"/>
              </w:rPr>
              <w:t xml:space="preserve">Reformy obejmują co najmniej następujące kluczowe elementy: </w:t>
            </w:r>
            <w:r>
              <w:rPr>
                <w:rFonts w:ascii="Arial Narrow" w:hAnsi="Arial Narrow"/>
                <w:noProof/>
              </w:rPr>
              <w:t xml:space="preserve"> </w:t>
            </w:r>
            <w:r>
              <w:rPr>
                <w:noProof/>
              </w:rPr>
              <w:t xml:space="preserve">  </w:t>
            </w:r>
            <w:r>
              <w:rPr>
                <w:noProof/>
              </w:rPr>
              <w:br/>
            </w:r>
            <w:r>
              <w:rPr>
                <w:rFonts w:ascii="Arial Narrow" w:hAnsi="Arial Narrow"/>
                <w:noProof/>
                <w:color w:val="006100"/>
                <w:sz w:val="20"/>
              </w:rPr>
              <w:t xml:space="preserve">inicjatywy mające na celu zreformowanie grup dyplomów uniwersyteckich poprzez wprowadzenie większej elastyczności, aby sprostać zmieniającemu się zapotrzebowaniu na umiejętności na rynku pracy; </w:t>
            </w:r>
            <w:r>
              <w:rPr>
                <w:rFonts w:ascii="Arial Narrow" w:hAnsi="Arial Narrow"/>
                <w:noProof/>
              </w:rPr>
              <w:t xml:space="preserve"> </w:t>
            </w:r>
            <w:r>
              <w:rPr>
                <w:noProof/>
              </w:rPr>
              <w:t xml:space="preserve"> </w:t>
            </w:r>
            <w:r>
              <w:rPr>
                <w:noProof/>
              </w:rPr>
              <w:br/>
            </w:r>
            <w:r>
              <w:rPr>
                <w:rFonts w:ascii="Arial Narrow" w:hAnsi="Arial Narrow"/>
                <w:noProof/>
                <w:color w:val="006100"/>
                <w:sz w:val="20"/>
              </w:rPr>
              <w:t>inicjatywy mające na celu zreformowanie możliwości uzyskania dyplomów uniwersyteckich, uproszczenie i przyspieszenie dostępu do zawodów;</w:t>
            </w:r>
            <w:r>
              <w:rPr>
                <w:rFonts w:ascii="Arial Narrow" w:hAnsi="Arial Narrow"/>
                <w:noProof/>
              </w:rPr>
              <w:t xml:space="preserve"> </w:t>
            </w:r>
            <w:r>
              <w:rPr>
                <w:noProof/>
              </w:rPr>
              <w:t xml:space="preserve"> </w:t>
            </w:r>
            <w:r>
              <w:rPr>
                <w:noProof/>
              </w:rPr>
              <w:br/>
            </w:r>
            <w:r>
              <w:rPr>
                <w:rFonts w:ascii="Arial Narrow" w:hAnsi="Arial Narrow"/>
                <w:noProof/>
                <w:color w:val="006100"/>
                <w:sz w:val="20"/>
              </w:rPr>
              <w:t>inicjatywy mające na celu zreformowanie programów dotyczących osób z niepełnosprawnościami w celu większego zaangażowania przedsiębiorstw i pobudzenia badań stosowanych;</w:t>
            </w:r>
            <w:r>
              <w:rPr>
                <w:rFonts w:ascii="Arial Narrow" w:hAnsi="Arial Narrow"/>
                <w:noProof/>
              </w:rPr>
              <w:t xml:space="preserve"> </w:t>
            </w:r>
            <w:r>
              <w:rPr>
                <w:noProof/>
              </w:rPr>
              <w:t xml:space="preserve"> </w:t>
            </w:r>
            <w:r>
              <w:rPr>
                <w:noProof/>
              </w:rPr>
              <w:br/>
            </w:r>
            <w:r>
              <w:rPr>
                <w:rFonts w:ascii="Arial Narrow" w:hAnsi="Arial Narrow"/>
                <w:noProof/>
                <w:color w:val="006100"/>
                <w:sz w:val="20"/>
              </w:rPr>
              <w:t>Środki mające na celu reformę systemu szkolnictwa wyższego, w tym wzmocnienie powiązań i możliwości przekwalifikowania się z dyplomami zawodowymi (lauree professionalizzanti), aby zaspokoić zapotrzebowanie rynku pracy na kompetencje techniczne</w:t>
            </w:r>
          </w:p>
        </w:tc>
      </w:tr>
      <w:tr w:rsidR="004C6421" w14:paraId="39ED333E" w14:textId="77777777">
        <w:trPr>
          <w:trHeight w:val="309"/>
        </w:trPr>
        <w:tc>
          <w:tcPr>
            <w:tcW w:w="380" w:type="pct"/>
            <w:shd w:val="clear" w:color="auto" w:fill="C6EFCE"/>
            <w:noWrap/>
            <w:vAlign w:val="center"/>
          </w:tcPr>
          <w:p w14:paraId="3B468810" w14:textId="77777777" w:rsidR="004C6421" w:rsidRDefault="009D1962">
            <w:pPr>
              <w:pStyle w:val="P68B1DB1-Normal4"/>
              <w:jc w:val="center"/>
              <w:rPr>
                <w:noProof/>
              </w:rPr>
            </w:pPr>
            <w:r>
              <w:rPr>
                <w:noProof/>
              </w:rPr>
              <w:t>M4C1-2</w:t>
            </w:r>
          </w:p>
        </w:tc>
        <w:tc>
          <w:tcPr>
            <w:tcW w:w="500" w:type="pct"/>
            <w:shd w:val="clear" w:color="auto" w:fill="C6EFCE"/>
            <w:noWrap/>
            <w:vAlign w:val="center"/>
          </w:tcPr>
          <w:p w14:paraId="1BDEA40F" w14:textId="77777777" w:rsidR="004C6421" w:rsidRDefault="009D1962">
            <w:pPr>
              <w:pStyle w:val="P68B1DB1-Normal4"/>
              <w:jc w:val="center"/>
              <w:rPr>
                <w:noProof/>
              </w:rPr>
            </w:pPr>
            <w:r>
              <w:rPr>
                <w:noProof/>
              </w:rPr>
              <w:t>Inwestycja 1.7: Stypendia na dostęp do uczelni</w:t>
            </w:r>
          </w:p>
        </w:tc>
        <w:tc>
          <w:tcPr>
            <w:tcW w:w="358" w:type="pct"/>
            <w:shd w:val="clear" w:color="auto" w:fill="C6EFCE"/>
            <w:noWrap/>
            <w:vAlign w:val="center"/>
          </w:tcPr>
          <w:p w14:paraId="4748898C" w14:textId="24B92723" w:rsidR="004C6421" w:rsidRDefault="00CC179E">
            <w:pPr>
              <w:pStyle w:val="P68B1DB1-Normal4"/>
              <w:jc w:val="center"/>
              <w:rPr>
                <w:noProof/>
              </w:rPr>
            </w:pPr>
            <w:r>
              <w:rPr>
                <w:noProof/>
              </w:rPr>
              <w:t>Milowy</w:t>
            </w:r>
          </w:p>
        </w:tc>
        <w:tc>
          <w:tcPr>
            <w:tcW w:w="572" w:type="pct"/>
            <w:shd w:val="clear" w:color="auto" w:fill="C6EFCE"/>
            <w:noWrap/>
            <w:vAlign w:val="center"/>
          </w:tcPr>
          <w:p w14:paraId="44D19F3E" w14:textId="77777777" w:rsidR="004C6421" w:rsidRDefault="009D1962">
            <w:pPr>
              <w:pStyle w:val="P68B1DB1-Normal4"/>
              <w:jc w:val="center"/>
              <w:rPr>
                <w:noProof/>
              </w:rPr>
            </w:pPr>
            <w:r>
              <w:rPr>
                <w:noProof/>
              </w:rPr>
              <w:t>Wejście w życie dekretów ministerialnych w sprawie reformy stypendiów w celu zwiększenia dostępu do szkolnictwa wyższego</w:t>
            </w:r>
          </w:p>
        </w:tc>
        <w:tc>
          <w:tcPr>
            <w:tcW w:w="480" w:type="pct"/>
            <w:shd w:val="clear" w:color="auto" w:fill="C6EFCE"/>
            <w:noWrap/>
            <w:vAlign w:val="center"/>
          </w:tcPr>
          <w:p w14:paraId="38D6F021" w14:textId="77777777" w:rsidR="004C6421" w:rsidRDefault="009D1962">
            <w:pPr>
              <w:pStyle w:val="P68B1DB1-Normal4"/>
              <w:jc w:val="center"/>
              <w:rPr>
                <w:noProof/>
              </w:rPr>
            </w:pPr>
            <w:r>
              <w:rPr>
                <w:noProof/>
              </w:rPr>
              <w:t>Przepis ustawy wskazujący na wejście w życie reformy NIE DOT.</w:t>
            </w:r>
          </w:p>
        </w:tc>
        <w:tc>
          <w:tcPr>
            <w:tcW w:w="422" w:type="pct"/>
            <w:shd w:val="clear" w:color="auto" w:fill="C6EFCE"/>
            <w:noWrap/>
            <w:vAlign w:val="center"/>
          </w:tcPr>
          <w:p w14:paraId="28C6FD54" w14:textId="77777777" w:rsidR="004C6421" w:rsidRDefault="009D1962">
            <w:pPr>
              <w:pStyle w:val="P68B1DB1-Normal4"/>
              <w:jc w:val="center"/>
              <w:rPr>
                <w:noProof/>
              </w:rPr>
            </w:pPr>
            <w:r>
              <w:rPr>
                <w:noProof/>
              </w:rPr>
              <w:t>NIE DOT.</w:t>
            </w:r>
          </w:p>
        </w:tc>
        <w:tc>
          <w:tcPr>
            <w:tcW w:w="375" w:type="pct"/>
            <w:shd w:val="clear" w:color="auto" w:fill="C6EFCE"/>
            <w:noWrap/>
            <w:vAlign w:val="center"/>
          </w:tcPr>
          <w:p w14:paraId="74F14319" w14:textId="77777777" w:rsidR="004C6421" w:rsidRDefault="009D1962">
            <w:pPr>
              <w:pStyle w:val="P68B1DB1-Normal4"/>
              <w:jc w:val="center"/>
              <w:rPr>
                <w:noProof/>
              </w:rPr>
            </w:pPr>
            <w:r>
              <w:rPr>
                <w:noProof/>
              </w:rPr>
              <w:t>NIE DOT.</w:t>
            </w:r>
          </w:p>
        </w:tc>
        <w:tc>
          <w:tcPr>
            <w:tcW w:w="343" w:type="pct"/>
            <w:shd w:val="clear" w:color="auto" w:fill="C6EFCE"/>
            <w:noWrap/>
            <w:vAlign w:val="center"/>
          </w:tcPr>
          <w:p w14:paraId="66A81023" w14:textId="77777777" w:rsidR="004C6421" w:rsidRDefault="009D1962">
            <w:pPr>
              <w:pStyle w:val="P68B1DB1-Normal4"/>
              <w:jc w:val="center"/>
              <w:rPr>
                <w:noProof/>
              </w:rPr>
            </w:pPr>
            <w:r>
              <w:rPr>
                <w:noProof/>
              </w:rPr>
              <w:t>NIE DOT.</w:t>
            </w:r>
          </w:p>
        </w:tc>
        <w:tc>
          <w:tcPr>
            <w:tcW w:w="286" w:type="pct"/>
            <w:shd w:val="clear" w:color="auto" w:fill="C6EFCE"/>
            <w:noWrap/>
            <w:vAlign w:val="center"/>
          </w:tcPr>
          <w:p w14:paraId="58800ADF" w14:textId="6E1F24C1" w:rsidR="004C6421" w:rsidRDefault="00CC179E">
            <w:pPr>
              <w:pStyle w:val="P68B1DB1-Normal4"/>
              <w:jc w:val="center"/>
              <w:rPr>
                <w:noProof/>
              </w:rPr>
            </w:pPr>
            <w:r>
              <w:rPr>
                <w:noProof/>
              </w:rPr>
              <w:t>KW. 4</w:t>
            </w:r>
          </w:p>
        </w:tc>
        <w:tc>
          <w:tcPr>
            <w:tcW w:w="238" w:type="pct"/>
            <w:shd w:val="clear" w:color="auto" w:fill="C6EFCE"/>
            <w:noWrap/>
            <w:vAlign w:val="center"/>
          </w:tcPr>
          <w:p w14:paraId="432DE607" w14:textId="77777777" w:rsidR="004C6421" w:rsidRDefault="009D1962">
            <w:pPr>
              <w:pStyle w:val="P68B1DB1-Normal4"/>
              <w:jc w:val="center"/>
              <w:rPr>
                <w:noProof/>
              </w:rPr>
            </w:pPr>
            <w:r>
              <w:rPr>
                <w:noProof/>
              </w:rPr>
              <w:t>2021</w:t>
            </w:r>
          </w:p>
        </w:tc>
        <w:tc>
          <w:tcPr>
            <w:tcW w:w="1046" w:type="pct"/>
            <w:shd w:val="clear" w:color="auto" w:fill="C6EFCE"/>
            <w:noWrap/>
            <w:vAlign w:val="center"/>
          </w:tcPr>
          <w:p w14:paraId="52DE6C4A" w14:textId="77777777" w:rsidR="004C6421" w:rsidRDefault="009D1962">
            <w:pPr>
              <w:pStyle w:val="P68B1DB1-Normal4"/>
              <w:rPr>
                <w:noProof/>
              </w:rPr>
            </w:pPr>
            <w:r>
              <w:rPr>
                <w:noProof/>
              </w:rPr>
              <w:t>Dekrety ministerialne przyjęte przez Ministerstwo Uniwersytetów i Badań Naukowych w sprawie reformy stypendiów zwiększają dostęp do szkolnictwa wyższego utalentowanych studentów znajdujących się w trudnej sytuacji społeczno-gospodarczej, zwiększają kwotę stypendiów i liczbę beneficjentów do dnia 31 grudnia 2024 r. Student ten jest identyfikowany na podstawie ISEE – Indicatore della Situazione Economica Equivalente.</w:t>
            </w:r>
          </w:p>
        </w:tc>
      </w:tr>
      <w:tr w:rsidR="004C6421" w14:paraId="46FD7A2A" w14:textId="77777777">
        <w:trPr>
          <w:trHeight w:val="309"/>
        </w:trPr>
        <w:tc>
          <w:tcPr>
            <w:tcW w:w="380" w:type="pct"/>
            <w:shd w:val="clear" w:color="auto" w:fill="C6EFCE"/>
            <w:noWrap/>
            <w:vAlign w:val="center"/>
            <w:hideMark/>
          </w:tcPr>
          <w:p w14:paraId="5BD39BA0" w14:textId="77777777" w:rsidR="004C6421" w:rsidRDefault="009D1962">
            <w:pPr>
              <w:pStyle w:val="P68B1DB1-Normal4"/>
              <w:jc w:val="center"/>
              <w:rPr>
                <w:noProof/>
              </w:rPr>
            </w:pPr>
            <w:r>
              <w:rPr>
                <w:noProof/>
              </w:rPr>
              <w:t>M4C1-3</w:t>
            </w:r>
          </w:p>
        </w:tc>
        <w:tc>
          <w:tcPr>
            <w:tcW w:w="500" w:type="pct"/>
            <w:shd w:val="clear" w:color="auto" w:fill="C6EFCE"/>
            <w:noWrap/>
            <w:vAlign w:val="center"/>
            <w:hideMark/>
          </w:tcPr>
          <w:p w14:paraId="60063B9D" w14:textId="77777777" w:rsidR="004C6421" w:rsidRDefault="009D1962">
            <w:pPr>
              <w:pStyle w:val="P68B1DB1-Normal4"/>
              <w:jc w:val="center"/>
              <w:rPr>
                <w:noProof/>
              </w:rPr>
            </w:pPr>
            <w:r>
              <w:rPr>
                <w:noProof/>
              </w:rPr>
              <w:t>Reforma 2.1: Rekrutacja nauczycieli</w:t>
            </w:r>
          </w:p>
        </w:tc>
        <w:tc>
          <w:tcPr>
            <w:tcW w:w="358" w:type="pct"/>
            <w:shd w:val="clear" w:color="auto" w:fill="C6EFCE"/>
            <w:noWrap/>
            <w:vAlign w:val="center"/>
            <w:hideMark/>
          </w:tcPr>
          <w:p w14:paraId="6A29E4DA" w14:textId="3BD20569" w:rsidR="004C6421" w:rsidRDefault="00CC179E">
            <w:pPr>
              <w:pStyle w:val="P68B1DB1-Normal4"/>
              <w:jc w:val="center"/>
              <w:rPr>
                <w:noProof/>
              </w:rPr>
            </w:pPr>
            <w:r>
              <w:rPr>
                <w:noProof/>
              </w:rPr>
              <w:t>Milowy</w:t>
            </w:r>
          </w:p>
        </w:tc>
        <w:tc>
          <w:tcPr>
            <w:tcW w:w="572" w:type="pct"/>
            <w:shd w:val="clear" w:color="auto" w:fill="C6EFCE"/>
            <w:noWrap/>
            <w:vAlign w:val="center"/>
            <w:hideMark/>
          </w:tcPr>
          <w:p w14:paraId="643D71D5" w14:textId="77777777" w:rsidR="004C6421" w:rsidRDefault="009D1962">
            <w:pPr>
              <w:pStyle w:val="P68B1DB1-Normal4"/>
              <w:jc w:val="center"/>
              <w:rPr>
                <w:noProof/>
              </w:rPr>
            </w:pPr>
            <w:r>
              <w:rPr>
                <w:noProof/>
              </w:rPr>
              <w:t>Wejście w życie reformy zawodu nauczyciela.</w:t>
            </w:r>
          </w:p>
        </w:tc>
        <w:tc>
          <w:tcPr>
            <w:tcW w:w="480" w:type="pct"/>
            <w:shd w:val="clear" w:color="auto" w:fill="C6EFCE"/>
            <w:noWrap/>
            <w:vAlign w:val="center"/>
            <w:hideMark/>
          </w:tcPr>
          <w:p w14:paraId="2444F523" w14:textId="77777777" w:rsidR="004C6421" w:rsidRDefault="009D1962">
            <w:pPr>
              <w:pStyle w:val="P68B1DB1-Normal4"/>
              <w:jc w:val="center"/>
              <w:rPr>
                <w:noProof/>
              </w:rPr>
            </w:pPr>
            <w:r>
              <w:rPr>
                <w:noProof/>
              </w:rPr>
              <w:t>Przepis ustawy wskazujący na wejście w życie reformy NIE DOT.</w:t>
            </w:r>
          </w:p>
        </w:tc>
        <w:tc>
          <w:tcPr>
            <w:tcW w:w="422" w:type="pct"/>
            <w:shd w:val="clear" w:color="auto" w:fill="C6EFCE"/>
            <w:noWrap/>
            <w:vAlign w:val="center"/>
            <w:hideMark/>
          </w:tcPr>
          <w:p w14:paraId="047D03C1" w14:textId="77777777" w:rsidR="004C6421" w:rsidRDefault="009D1962">
            <w:pPr>
              <w:pStyle w:val="P68B1DB1-Normal4"/>
              <w:jc w:val="center"/>
              <w:rPr>
                <w:noProof/>
              </w:rPr>
            </w:pPr>
            <w:r>
              <w:rPr>
                <w:noProof/>
              </w:rPr>
              <w:t>NIE DOT.</w:t>
            </w:r>
          </w:p>
        </w:tc>
        <w:tc>
          <w:tcPr>
            <w:tcW w:w="375" w:type="pct"/>
            <w:shd w:val="clear" w:color="auto" w:fill="C6EFCE"/>
            <w:noWrap/>
            <w:vAlign w:val="center"/>
            <w:hideMark/>
          </w:tcPr>
          <w:p w14:paraId="4B05B3E4" w14:textId="77777777" w:rsidR="004C6421" w:rsidRDefault="009D1962">
            <w:pPr>
              <w:pStyle w:val="P68B1DB1-Normal4"/>
              <w:jc w:val="center"/>
              <w:rPr>
                <w:noProof/>
              </w:rPr>
            </w:pPr>
            <w:r>
              <w:rPr>
                <w:noProof/>
              </w:rPr>
              <w:t>NIE DOT.</w:t>
            </w:r>
          </w:p>
        </w:tc>
        <w:tc>
          <w:tcPr>
            <w:tcW w:w="343" w:type="pct"/>
            <w:shd w:val="clear" w:color="auto" w:fill="C6EFCE"/>
            <w:noWrap/>
            <w:vAlign w:val="center"/>
            <w:hideMark/>
          </w:tcPr>
          <w:p w14:paraId="34D3152F" w14:textId="77777777" w:rsidR="004C6421" w:rsidRDefault="009D1962">
            <w:pPr>
              <w:pStyle w:val="P68B1DB1-Normal4"/>
              <w:jc w:val="center"/>
              <w:rPr>
                <w:noProof/>
              </w:rPr>
            </w:pPr>
            <w:r>
              <w:rPr>
                <w:noProof/>
              </w:rPr>
              <w:t>NIE DOT.</w:t>
            </w:r>
          </w:p>
        </w:tc>
        <w:tc>
          <w:tcPr>
            <w:tcW w:w="286" w:type="pct"/>
            <w:shd w:val="clear" w:color="auto" w:fill="C6EFCE"/>
            <w:noWrap/>
            <w:vAlign w:val="center"/>
            <w:hideMark/>
          </w:tcPr>
          <w:p w14:paraId="20E0805F" w14:textId="77777777" w:rsidR="004C6421" w:rsidRDefault="009D1962">
            <w:pPr>
              <w:pStyle w:val="P68B1DB1-Normal4"/>
              <w:jc w:val="center"/>
              <w:rPr>
                <w:noProof/>
              </w:rPr>
            </w:pPr>
            <w:r>
              <w:rPr>
                <w:noProof/>
              </w:rPr>
              <w:t>II KW.</w:t>
            </w:r>
          </w:p>
        </w:tc>
        <w:tc>
          <w:tcPr>
            <w:tcW w:w="238" w:type="pct"/>
            <w:shd w:val="clear" w:color="auto" w:fill="C6EFCE"/>
            <w:noWrap/>
            <w:vAlign w:val="center"/>
            <w:hideMark/>
          </w:tcPr>
          <w:p w14:paraId="5FA97D40" w14:textId="77777777" w:rsidR="004C6421" w:rsidRDefault="009D1962">
            <w:pPr>
              <w:pStyle w:val="P68B1DB1-Normal4"/>
              <w:jc w:val="center"/>
              <w:rPr>
                <w:noProof/>
              </w:rPr>
            </w:pPr>
            <w:r>
              <w:rPr>
                <w:noProof/>
              </w:rPr>
              <w:t>2022</w:t>
            </w:r>
          </w:p>
        </w:tc>
        <w:tc>
          <w:tcPr>
            <w:tcW w:w="1046" w:type="pct"/>
            <w:shd w:val="clear" w:color="auto" w:fill="C6EFCE"/>
            <w:noWrap/>
            <w:vAlign w:val="center"/>
            <w:hideMark/>
          </w:tcPr>
          <w:p w14:paraId="0436D7B2" w14:textId="77777777" w:rsidR="004C6421" w:rsidRDefault="009D1962">
            <w:pPr>
              <w:rPr>
                <w:rFonts w:ascii="Arial Narrow" w:hAnsi="Arial Narrow"/>
                <w:noProof/>
                <w:color w:val="006100"/>
                <w:sz w:val="20"/>
              </w:rPr>
            </w:pPr>
            <w:r>
              <w:rPr>
                <w:rFonts w:ascii="Arial Narrow" w:hAnsi="Arial Narrow"/>
                <w:noProof/>
                <w:color w:val="006100"/>
                <w:sz w:val="20"/>
              </w:rPr>
              <w:t xml:space="preserve">Zmienione ramy prawne przyciągają, rekrutują i motywują nauczycieli wysokiej jakości, w szczególności poprzez: </w:t>
            </w:r>
            <w:r>
              <w:rPr>
                <w:rFonts w:ascii="Arial Narrow" w:hAnsi="Arial Narrow"/>
                <w:noProof/>
              </w:rPr>
              <w:t xml:space="preserve"> </w:t>
            </w:r>
            <w:r>
              <w:rPr>
                <w:noProof/>
              </w:rPr>
              <w:t xml:space="preserve">  </w:t>
            </w:r>
            <w:r>
              <w:rPr>
                <w:noProof/>
              </w:rPr>
              <w:br/>
            </w:r>
            <w:r>
              <w:rPr>
                <w:rFonts w:ascii="Arial Narrow" w:hAnsi="Arial Narrow"/>
                <w:noProof/>
                <w:color w:val="006100"/>
                <w:sz w:val="20"/>
              </w:rPr>
              <w:t xml:space="preserve">poprawa systemu rekrutacji </w:t>
            </w:r>
            <w:r>
              <w:rPr>
                <w:rFonts w:ascii="Arial Narrow" w:hAnsi="Arial Narrow"/>
                <w:noProof/>
              </w:rPr>
              <w:t xml:space="preserve"> </w:t>
            </w:r>
            <w:r>
              <w:rPr>
                <w:noProof/>
              </w:rPr>
              <w:t xml:space="preserve"> </w:t>
            </w:r>
            <w:r>
              <w:rPr>
                <w:noProof/>
              </w:rPr>
              <w:br/>
              <w:t xml:space="preserve"> </w:t>
            </w:r>
            <w:r>
              <w:rPr>
                <w:rFonts w:ascii="Arial Narrow" w:hAnsi="Arial Narrow"/>
                <w:noProof/>
                <w:color w:val="006100"/>
                <w:sz w:val="20"/>
              </w:rPr>
              <w:t xml:space="preserve">wprowadzenie wyższych kwalifikacji w zakresie nauczania w celu uzyskania dostępu do zawodu w szkole średniej; </w:t>
            </w:r>
            <w:r>
              <w:rPr>
                <w:rFonts w:ascii="Arial Narrow" w:hAnsi="Arial Narrow"/>
                <w:noProof/>
              </w:rPr>
              <w:t xml:space="preserve"> </w:t>
            </w:r>
            <w:r>
              <w:rPr>
                <w:noProof/>
              </w:rPr>
              <w:t xml:space="preserve"> </w:t>
            </w:r>
            <w:r>
              <w:rPr>
                <w:noProof/>
              </w:rPr>
              <w:br/>
            </w:r>
            <w:r>
              <w:rPr>
                <w:rFonts w:ascii="Arial Narrow" w:hAnsi="Arial Narrow"/>
                <w:noProof/>
                <w:color w:val="006100"/>
                <w:sz w:val="20"/>
              </w:rPr>
              <w:t>ograniczenie nadmiernej mobilności nauczycieli (w interesie ciągłości nauczania);</w:t>
            </w:r>
            <w:r>
              <w:rPr>
                <w:rFonts w:ascii="Arial Narrow" w:hAnsi="Arial Narrow"/>
                <w:noProof/>
              </w:rPr>
              <w:t xml:space="preserve"> </w:t>
            </w:r>
            <w:r>
              <w:rPr>
                <w:noProof/>
              </w:rPr>
              <w:t xml:space="preserve"> </w:t>
            </w:r>
            <w:r>
              <w:rPr>
                <w:noProof/>
              </w:rPr>
              <w:br/>
            </w:r>
            <w:r>
              <w:rPr>
                <w:rFonts w:ascii="Arial Narrow" w:hAnsi="Arial Narrow"/>
                <w:noProof/>
                <w:color w:val="006100"/>
                <w:sz w:val="20"/>
              </w:rPr>
              <w:t>IV) ustalenie przebiegu kariery zawodowej wyraźnie powiązanej z oceną wyników i ustawicznym doskonaleniem zawodowym.</w:t>
            </w:r>
          </w:p>
        </w:tc>
      </w:tr>
      <w:tr w:rsidR="004C6421" w14:paraId="79092586" w14:textId="77777777">
        <w:trPr>
          <w:trHeight w:val="309"/>
        </w:trPr>
        <w:tc>
          <w:tcPr>
            <w:tcW w:w="380" w:type="pct"/>
            <w:shd w:val="clear" w:color="auto" w:fill="C6EFCE"/>
            <w:noWrap/>
            <w:vAlign w:val="center"/>
            <w:hideMark/>
          </w:tcPr>
          <w:p w14:paraId="0544876F" w14:textId="77777777" w:rsidR="004C6421" w:rsidRDefault="009D1962">
            <w:pPr>
              <w:pStyle w:val="P68B1DB1-Normal4"/>
              <w:jc w:val="center"/>
              <w:rPr>
                <w:noProof/>
              </w:rPr>
            </w:pPr>
            <w:r>
              <w:rPr>
                <w:noProof/>
              </w:rPr>
              <w:t>M4C1-4</w:t>
            </w:r>
          </w:p>
        </w:tc>
        <w:tc>
          <w:tcPr>
            <w:tcW w:w="500" w:type="pct"/>
            <w:shd w:val="clear" w:color="auto" w:fill="C6EFCE"/>
            <w:noWrap/>
            <w:vAlign w:val="center"/>
            <w:hideMark/>
          </w:tcPr>
          <w:p w14:paraId="310C6F90" w14:textId="77777777" w:rsidR="004C6421" w:rsidRDefault="009D1962">
            <w:pPr>
              <w:pStyle w:val="P68B1DB1-Normal4"/>
              <w:jc w:val="center"/>
              <w:rPr>
                <w:noProof/>
              </w:rPr>
            </w:pPr>
            <w:r>
              <w:rPr>
                <w:noProof/>
              </w:rPr>
              <w:t>Inwestycje 3.2: Szkoła 4.0: innowacyjne szkoły, okablowanie, nowe klasy i warsztaty</w:t>
            </w:r>
          </w:p>
        </w:tc>
        <w:tc>
          <w:tcPr>
            <w:tcW w:w="358" w:type="pct"/>
            <w:shd w:val="clear" w:color="auto" w:fill="C6EFCE"/>
            <w:noWrap/>
            <w:vAlign w:val="center"/>
            <w:hideMark/>
          </w:tcPr>
          <w:p w14:paraId="4520B0AB" w14:textId="03266C62" w:rsidR="004C6421" w:rsidRDefault="00CC179E">
            <w:pPr>
              <w:pStyle w:val="P68B1DB1-Normal4"/>
              <w:jc w:val="center"/>
              <w:rPr>
                <w:noProof/>
              </w:rPr>
            </w:pPr>
            <w:r>
              <w:rPr>
                <w:noProof/>
              </w:rPr>
              <w:t>Milowy</w:t>
            </w:r>
          </w:p>
        </w:tc>
        <w:tc>
          <w:tcPr>
            <w:tcW w:w="572" w:type="pct"/>
            <w:shd w:val="clear" w:color="auto" w:fill="C6EFCE"/>
            <w:noWrap/>
            <w:vAlign w:val="center"/>
            <w:hideMark/>
          </w:tcPr>
          <w:p w14:paraId="1226634B" w14:textId="77777777" w:rsidR="004C6421" w:rsidRDefault="009D1962">
            <w:pPr>
              <w:pStyle w:val="P68B1DB1-Normal4"/>
              <w:jc w:val="center"/>
              <w:rPr>
                <w:noProof/>
              </w:rPr>
            </w:pPr>
            <w:r>
              <w:rPr>
                <w:noProof/>
              </w:rPr>
              <w:t>Przyjęto plan szkoły 4.0 mający na celu wspieranie transformacji cyfrowej włoskiego systemu szkolnictwa</w:t>
            </w:r>
          </w:p>
        </w:tc>
        <w:tc>
          <w:tcPr>
            <w:tcW w:w="480" w:type="pct"/>
            <w:shd w:val="clear" w:color="auto" w:fill="C6EFCE"/>
            <w:noWrap/>
            <w:vAlign w:val="center"/>
            <w:hideMark/>
          </w:tcPr>
          <w:p w14:paraId="65BBFF8C" w14:textId="77777777" w:rsidR="004C6421" w:rsidRDefault="009D1962">
            <w:pPr>
              <w:pStyle w:val="P68B1DB1-Normal4"/>
              <w:jc w:val="center"/>
              <w:rPr>
                <w:noProof/>
              </w:rPr>
            </w:pPr>
            <w:r>
              <w:rPr>
                <w:noProof/>
              </w:rPr>
              <w:t>Ministerstwo Edukacji – dekret przyjmujący plan dla szkoły 4.0</w:t>
            </w:r>
          </w:p>
        </w:tc>
        <w:tc>
          <w:tcPr>
            <w:tcW w:w="422" w:type="pct"/>
            <w:shd w:val="clear" w:color="auto" w:fill="C6EFCE"/>
            <w:noWrap/>
            <w:vAlign w:val="center"/>
            <w:hideMark/>
          </w:tcPr>
          <w:p w14:paraId="78478CC0" w14:textId="77777777" w:rsidR="004C6421" w:rsidRDefault="009D1962">
            <w:pPr>
              <w:pStyle w:val="P68B1DB1-Normal4"/>
              <w:jc w:val="center"/>
              <w:rPr>
                <w:noProof/>
              </w:rPr>
            </w:pPr>
            <w:r>
              <w:rPr>
                <w:noProof/>
              </w:rPr>
              <w:t>NIE DOT.</w:t>
            </w:r>
          </w:p>
        </w:tc>
        <w:tc>
          <w:tcPr>
            <w:tcW w:w="375" w:type="pct"/>
            <w:shd w:val="clear" w:color="auto" w:fill="C6EFCE"/>
            <w:noWrap/>
            <w:vAlign w:val="center"/>
            <w:hideMark/>
          </w:tcPr>
          <w:p w14:paraId="6BEF9B5B" w14:textId="77777777" w:rsidR="004C6421" w:rsidRDefault="009D1962">
            <w:pPr>
              <w:pStyle w:val="P68B1DB1-Normal4"/>
              <w:jc w:val="center"/>
              <w:rPr>
                <w:noProof/>
              </w:rPr>
            </w:pPr>
            <w:r>
              <w:rPr>
                <w:noProof/>
              </w:rPr>
              <w:t>NIE DOT.</w:t>
            </w:r>
          </w:p>
        </w:tc>
        <w:tc>
          <w:tcPr>
            <w:tcW w:w="343" w:type="pct"/>
            <w:shd w:val="clear" w:color="auto" w:fill="C6EFCE"/>
            <w:noWrap/>
            <w:vAlign w:val="center"/>
            <w:hideMark/>
          </w:tcPr>
          <w:p w14:paraId="6227EAC4" w14:textId="77777777" w:rsidR="004C6421" w:rsidRDefault="009D1962">
            <w:pPr>
              <w:pStyle w:val="P68B1DB1-Normal4"/>
              <w:jc w:val="center"/>
              <w:rPr>
                <w:noProof/>
              </w:rPr>
            </w:pPr>
            <w:r>
              <w:rPr>
                <w:noProof/>
              </w:rPr>
              <w:t>NIE DOT.</w:t>
            </w:r>
          </w:p>
        </w:tc>
        <w:tc>
          <w:tcPr>
            <w:tcW w:w="286" w:type="pct"/>
            <w:shd w:val="clear" w:color="auto" w:fill="C6EFCE"/>
            <w:noWrap/>
            <w:vAlign w:val="center"/>
            <w:hideMark/>
          </w:tcPr>
          <w:p w14:paraId="30665305" w14:textId="77777777" w:rsidR="004C6421" w:rsidRDefault="009D1962">
            <w:pPr>
              <w:pStyle w:val="P68B1DB1-Normal4"/>
              <w:jc w:val="center"/>
              <w:rPr>
                <w:noProof/>
              </w:rPr>
            </w:pPr>
            <w:r>
              <w:rPr>
                <w:noProof/>
              </w:rPr>
              <w:t>II KW.</w:t>
            </w:r>
          </w:p>
        </w:tc>
        <w:tc>
          <w:tcPr>
            <w:tcW w:w="238" w:type="pct"/>
            <w:shd w:val="clear" w:color="auto" w:fill="C6EFCE"/>
            <w:noWrap/>
            <w:vAlign w:val="center"/>
            <w:hideMark/>
          </w:tcPr>
          <w:p w14:paraId="608BBD48" w14:textId="77777777" w:rsidR="004C6421" w:rsidRDefault="009D1962">
            <w:pPr>
              <w:pStyle w:val="P68B1DB1-Normal4"/>
              <w:jc w:val="center"/>
              <w:rPr>
                <w:noProof/>
              </w:rPr>
            </w:pPr>
            <w:r>
              <w:rPr>
                <w:noProof/>
              </w:rPr>
              <w:t>2022</w:t>
            </w:r>
          </w:p>
        </w:tc>
        <w:tc>
          <w:tcPr>
            <w:tcW w:w="1046" w:type="pct"/>
            <w:shd w:val="clear" w:color="auto" w:fill="C6EFCE"/>
            <w:noWrap/>
            <w:vAlign w:val="center"/>
            <w:hideMark/>
          </w:tcPr>
          <w:p w14:paraId="6BE96485" w14:textId="77777777" w:rsidR="004C6421" w:rsidRDefault="004C6421">
            <w:pPr>
              <w:rPr>
                <w:rFonts w:ascii="Arial Narrow" w:hAnsi="Arial Narrow"/>
                <w:noProof/>
                <w:color w:val="006100"/>
                <w:sz w:val="20"/>
              </w:rPr>
            </w:pPr>
          </w:p>
          <w:p w14:paraId="73C23BB3" w14:textId="77777777" w:rsidR="004C6421" w:rsidRDefault="009D1962">
            <w:pPr>
              <w:pStyle w:val="P68B1DB1-Normal4"/>
              <w:rPr>
                <w:noProof/>
              </w:rPr>
            </w:pPr>
            <w:r>
              <w:rPr>
                <w:noProof/>
              </w:rPr>
              <w:t>Plan „Szkoł 4.0” przyjęty przez Ministerstwo Edukacji w celu wspierania transformacji cyfrowej włoskiego systemu szkolnictwa obejmuje:</w:t>
            </w:r>
          </w:p>
          <w:p w14:paraId="7D7925C1" w14:textId="77777777" w:rsidR="004C6421" w:rsidRDefault="009D1962">
            <w:pPr>
              <w:pStyle w:val="P68B1DB1-Normal4"/>
              <w:rPr>
                <w:noProof/>
              </w:rPr>
            </w:pPr>
            <w:r>
              <w:rPr>
                <w:noProof/>
              </w:rPr>
              <w:t>a) przekształcenie 100000 klas w innowacyjne środowiska edukacyjne</w:t>
            </w:r>
          </w:p>
          <w:p w14:paraId="2BAA5453" w14:textId="77777777" w:rsidR="004C6421" w:rsidRDefault="009D1962">
            <w:pPr>
              <w:pStyle w:val="P68B1DB1-Normal4"/>
              <w:rPr>
                <w:noProof/>
              </w:rPr>
            </w:pPr>
            <w:r>
              <w:rPr>
                <w:noProof/>
              </w:rPr>
              <w:t>tworzenie laboratoriów dla nowych zawodów cyfrowych we wszystkich szkołach średnich.</w:t>
            </w:r>
          </w:p>
          <w:p w14:paraId="4071CDB1" w14:textId="77777777" w:rsidR="004C6421" w:rsidRDefault="004C6421">
            <w:pPr>
              <w:rPr>
                <w:rFonts w:ascii="Arial Narrow" w:hAnsi="Arial Narrow"/>
                <w:noProof/>
                <w:color w:val="006100"/>
                <w:sz w:val="20"/>
              </w:rPr>
            </w:pPr>
          </w:p>
          <w:p w14:paraId="68ECDB76" w14:textId="77777777" w:rsidR="004C6421" w:rsidRDefault="009D1962">
            <w:pPr>
              <w:pStyle w:val="P68B1DB1-Normal4"/>
              <w:rPr>
                <w:noProof/>
              </w:rPr>
            </w:pPr>
            <w:r>
              <w:rPr>
                <w:noProof/>
              </w:rPr>
              <w:t>Działanie a) przekształca przestrzenie szkolne przeznaczone dla tradycyjnych klas w innowacyjne, adaptacyjne i elastyczne środowiska edukacyjne, połączone z technologiami cyfrowymi, fizycznymi i wirtualnymi, połączone z technologiami cyfrowymi, fizycznymi i wirtualnymi. Inwestycje w placówki szkolne powinny przynieść najbardziej innowacyjne technologie nauczania (urządzenia do kodowania i robotyki, urządzenia rzeczywistości wirtualnej, zaawansowane urządzenia cyfrowe na potrzeby edukacji włączającej itp.) do co najmniej 100000 klas szkół podstawowych i średnich wykorzystywanych do nauczania.</w:t>
            </w:r>
          </w:p>
          <w:p w14:paraId="61AC27BD" w14:textId="77777777" w:rsidR="004C6421" w:rsidRDefault="009D1962">
            <w:pPr>
              <w:pStyle w:val="P68B1DB1-Normal4"/>
              <w:rPr>
                <w:noProof/>
              </w:rPr>
            </w:pPr>
            <w:r>
              <w:rPr>
                <w:noProof/>
              </w:rPr>
              <w:t>Działanie b) ustanawia co najmniej jedno laboratorium dla zawodów cyfrowych w każdej szkole średniej, laboratorium ściśle powiązane z przedsiębiorstwami i innowacyjnymi przedsiębiorstwami typu start-up w celu tworzenia nowych miejsc pracy w sektorze nowych zawodów cyfrowych (takich jak sztuczna inteligencja, robotyka, duże zbiory danych oraz cyberbezpieczeństwo, niebieska i zielona gospodarka).</w:t>
            </w:r>
          </w:p>
          <w:p w14:paraId="247D70C1" w14:textId="77777777" w:rsidR="004C6421" w:rsidRDefault="004C6421">
            <w:pPr>
              <w:rPr>
                <w:rFonts w:ascii="Arial Narrow" w:hAnsi="Arial Narrow"/>
                <w:noProof/>
                <w:color w:val="006100"/>
                <w:sz w:val="20"/>
              </w:rPr>
            </w:pPr>
          </w:p>
          <w:p w14:paraId="7B5B4F96" w14:textId="77777777" w:rsidR="004C6421" w:rsidRDefault="009D1962">
            <w:pPr>
              <w:pStyle w:val="P68B1DB1-Normal4"/>
              <w:rPr>
                <w:noProof/>
              </w:rPr>
            </w:pPr>
            <w:r>
              <w:rPr>
                <w:noProof/>
              </w:rPr>
              <w:t>Co najmniej 40 % szkół będących beneficjentami musi znajdować się na południu Włoch.</w:t>
            </w:r>
          </w:p>
        </w:tc>
      </w:tr>
      <w:tr w:rsidR="004C6421" w14:paraId="3E229E32" w14:textId="77777777">
        <w:trPr>
          <w:trHeight w:val="309"/>
        </w:trPr>
        <w:tc>
          <w:tcPr>
            <w:tcW w:w="380" w:type="pct"/>
            <w:shd w:val="clear" w:color="auto" w:fill="C6EFCE"/>
            <w:noWrap/>
            <w:vAlign w:val="center"/>
            <w:hideMark/>
          </w:tcPr>
          <w:p w14:paraId="6EF18594" w14:textId="77777777" w:rsidR="004C6421" w:rsidRDefault="009D1962">
            <w:pPr>
              <w:pStyle w:val="P68B1DB1-Normal4"/>
              <w:jc w:val="center"/>
              <w:rPr>
                <w:noProof/>
              </w:rPr>
            </w:pPr>
            <w:r>
              <w:rPr>
                <w:noProof/>
              </w:rPr>
              <w:t>M4C1-5</w:t>
            </w:r>
          </w:p>
        </w:tc>
        <w:tc>
          <w:tcPr>
            <w:tcW w:w="500" w:type="pct"/>
            <w:shd w:val="clear" w:color="auto" w:fill="C6EFCE"/>
            <w:noWrap/>
            <w:vAlign w:val="center"/>
            <w:hideMark/>
          </w:tcPr>
          <w:p w14:paraId="429E815E" w14:textId="77777777" w:rsidR="004C6421" w:rsidRDefault="009D1962">
            <w:pPr>
              <w:pStyle w:val="P68B1DB1-Normal4"/>
              <w:jc w:val="center"/>
              <w:rPr>
                <w:noProof/>
              </w:rPr>
            </w:pPr>
            <w:r>
              <w:rPr>
                <w:noProof/>
              </w:rPr>
              <w:t>Reforma 1.3: Reorganizacja systemu szkolnictwa; Reforma 1.2: Reforma systemu szkolnictwa wyższego kształcenia zawodowego (ITS); Reforma 1.1: Reforma instytutów technicznych i zawodowych; Reforma 1.4: Reforma systemu orientacji</w:t>
            </w:r>
          </w:p>
        </w:tc>
        <w:tc>
          <w:tcPr>
            <w:tcW w:w="358" w:type="pct"/>
            <w:shd w:val="clear" w:color="auto" w:fill="C6EFCE"/>
            <w:noWrap/>
            <w:vAlign w:val="center"/>
            <w:hideMark/>
          </w:tcPr>
          <w:p w14:paraId="55D5BDB3" w14:textId="77777777" w:rsidR="004C6421" w:rsidRDefault="009D1962">
            <w:pPr>
              <w:pStyle w:val="P68B1DB1-Normal4"/>
              <w:jc w:val="center"/>
              <w:rPr>
                <w:noProof/>
              </w:rPr>
            </w:pPr>
            <w:r>
              <w:rPr>
                <w:noProof/>
              </w:rPr>
              <w:t>Etapy</w:t>
            </w:r>
          </w:p>
        </w:tc>
        <w:tc>
          <w:tcPr>
            <w:tcW w:w="572" w:type="pct"/>
            <w:shd w:val="clear" w:color="auto" w:fill="C6EFCE"/>
            <w:noWrap/>
            <w:vAlign w:val="center"/>
            <w:hideMark/>
          </w:tcPr>
          <w:p w14:paraId="03DB71F8" w14:textId="77777777" w:rsidR="004C6421" w:rsidRDefault="009D1962">
            <w:pPr>
              <w:pStyle w:val="P68B1DB1-Normal4"/>
              <w:jc w:val="center"/>
              <w:rPr>
                <w:noProof/>
              </w:rPr>
            </w:pPr>
            <w:r>
              <w:rPr>
                <w:noProof/>
              </w:rPr>
              <w:t>Wejście w życie reform systemu szkolnictwa podstawowego i średniego w celu poprawy wyników kształcenia</w:t>
            </w:r>
          </w:p>
        </w:tc>
        <w:tc>
          <w:tcPr>
            <w:tcW w:w="480" w:type="pct"/>
            <w:shd w:val="clear" w:color="auto" w:fill="C6EFCE"/>
            <w:noWrap/>
            <w:vAlign w:val="center"/>
            <w:hideMark/>
          </w:tcPr>
          <w:p w14:paraId="14AFE6D3" w14:textId="77777777" w:rsidR="004C6421" w:rsidRDefault="009D1962">
            <w:pPr>
              <w:pStyle w:val="P68B1DB1-Normal4"/>
              <w:jc w:val="center"/>
              <w:rPr>
                <w:noProof/>
              </w:rPr>
            </w:pPr>
            <w:r>
              <w:rPr>
                <w:noProof/>
              </w:rPr>
              <w:t>Przepis ustawy wskazujący na wejście w życie reform NIE DOT.</w:t>
            </w:r>
          </w:p>
        </w:tc>
        <w:tc>
          <w:tcPr>
            <w:tcW w:w="422" w:type="pct"/>
            <w:shd w:val="clear" w:color="auto" w:fill="C6EFCE"/>
            <w:noWrap/>
            <w:vAlign w:val="center"/>
            <w:hideMark/>
          </w:tcPr>
          <w:p w14:paraId="3B36FB2E" w14:textId="77777777" w:rsidR="004C6421" w:rsidRDefault="009D1962">
            <w:pPr>
              <w:pStyle w:val="P68B1DB1-Normal4"/>
              <w:jc w:val="center"/>
              <w:rPr>
                <w:noProof/>
              </w:rPr>
            </w:pPr>
            <w:r>
              <w:rPr>
                <w:noProof/>
              </w:rPr>
              <w:t>NIE DOT.</w:t>
            </w:r>
          </w:p>
        </w:tc>
        <w:tc>
          <w:tcPr>
            <w:tcW w:w="375" w:type="pct"/>
            <w:shd w:val="clear" w:color="auto" w:fill="C6EFCE"/>
            <w:noWrap/>
            <w:vAlign w:val="center"/>
            <w:hideMark/>
          </w:tcPr>
          <w:p w14:paraId="474ED4F9" w14:textId="77777777" w:rsidR="004C6421" w:rsidRDefault="009D1962">
            <w:pPr>
              <w:pStyle w:val="P68B1DB1-Normal4"/>
              <w:jc w:val="center"/>
              <w:rPr>
                <w:noProof/>
              </w:rPr>
            </w:pPr>
            <w:r>
              <w:rPr>
                <w:noProof/>
              </w:rPr>
              <w:t>NIE DOT.</w:t>
            </w:r>
          </w:p>
        </w:tc>
        <w:tc>
          <w:tcPr>
            <w:tcW w:w="343" w:type="pct"/>
            <w:shd w:val="clear" w:color="auto" w:fill="C6EFCE"/>
            <w:noWrap/>
            <w:vAlign w:val="center"/>
            <w:hideMark/>
          </w:tcPr>
          <w:p w14:paraId="364D3650" w14:textId="77777777" w:rsidR="004C6421" w:rsidRDefault="009D1962">
            <w:pPr>
              <w:pStyle w:val="P68B1DB1-Normal4"/>
              <w:jc w:val="center"/>
              <w:rPr>
                <w:noProof/>
              </w:rPr>
            </w:pPr>
            <w:r>
              <w:rPr>
                <w:noProof/>
              </w:rPr>
              <w:t>NIE DOT.</w:t>
            </w:r>
          </w:p>
        </w:tc>
        <w:tc>
          <w:tcPr>
            <w:tcW w:w="286" w:type="pct"/>
            <w:shd w:val="clear" w:color="auto" w:fill="C6EFCE"/>
            <w:noWrap/>
            <w:vAlign w:val="center"/>
            <w:hideMark/>
          </w:tcPr>
          <w:p w14:paraId="4B297D71" w14:textId="741899E8" w:rsidR="004C6421" w:rsidRDefault="00CC179E">
            <w:pPr>
              <w:pStyle w:val="P68B1DB1-Normal4"/>
              <w:jc w:val="center"/>
              <w:rPr>
                <w:noProof/>
              </w:rPr>
            </w:pPr>
            <w:r>
              <w:rPr>
                <w:noProof/>
              </w:rPr>
              <w:t>KW. 4</w:t>
            </w:r>
          </w:p>
        </w:tc>
        <w:tc>
          <w:tcPr>
            <w:tcW w:w="238" w:type="pct"/>
            <w:shd w:val="clear" w:color="auto" w:fill="C6EFCE"/>
            <w:noWrap/>
            <w:vAlign w:val="center"/>
            <w:hideMark/>
          </w:tcPr>
          <w:p w14:paraId="11BE44DA" w14:textId="77777777" w:rsidR="004C6421" w:rsidRDefault="009D1962">
            <w:pPr>
              <w:pStyle w:val="P68B1DB1-Normal4"/>
              <w:jc w:val="center"/>
              <w:rPr>
                <w:noProof/>
              </w:rPr>
            </w:pPr>
            <w:r>
              <w:rPr>
                <w:noProof/>
              </w:rPr>
              <w:t>2022</w:t>
            </w:r>
          </w:p>
        </w:tc>
        <w:tc>
          <w:tcPr>
            <w:tcW w:w="1046" w:type="pct"/>
            <w:shd w:val="clear" w:color="auto" w:fill="C6EFCE"/>
            <w:noWrap/>
            <w:vAlign w:val="center"/>
            <w:hideMark/>
          </w:tcPr>
          <w:p w14:paraId="4B6408C8" w14:textId="77777777" w:rsidR="004C6421" w:rsidRDefault="009D1962">
            <w:pPr>
              <w:rPr>
                <w:rFonts w:ascii="Arial Narrow" w:hAnsi="Arial Narrow"/>
                <w:noProof/>
                <w:color w:val="006100"/>
                <w:sz w:val="20"/>
              </w:rPr>
            </w:pPr>
            <w:r>
              <w:rPr>
                <w:rFonts w:ascii="Arial Narrow" w:hAnsi="Arial Narrow"/>
                <w:noProof/>
                <w:color w:val="006100"/>
                <w:sz w:val="20"/>
              </w:rPr>
              <w:t xml:space="preserve">Reformy prawa pierwotnego systemu szkolnictwa podstawowego i średniego mające na celu poprawę wyników kształcenia (za pomocą prawa pierwotnego) obejmują co najmniej następujące kluczowe elementy: </w:t>
            </w:r>
            <w:r>
              <w:rPr>
                <w:rFonts w:ascii="Arial Narrow" w:hAnsi="Arial Narrow"/>
                <w:noProof/>
              </w:rPr>
              <w:t xml:space="preserve"> </w:t>
            </w:r>
            <w:r>
              <w:rPr>
                <w:noProof/>
              </w:rPr>
              <w:t xml:space="preserve">  </w:t>
            </w:r>
            <w:r>
              <w:rPr>
                <w:noProof/>
              </w:rPr>
              <w:br/>
            </w:r>
            <w:r>
              <w:rPr>
                <w:rFonts w:ascii="Arial Narrow" w:hAnsi="Arial Narrow"/>
                <w:noProof/>
                <w:color w:val="006100"/>
                <w:sz w:val="20"/>
              </w:rPr>
              <w:t>I) Inicjatywy mające na celu zreformowanie organizacji systemu edukacji w celu dostosowania się do zmian demograficznych (np. liczba szkół i odsetek uczniów/nauczycieli)</w:t>
            </w:r>
            <w:r>
              <w:rPr>
                <w:rFonts w:ascii="Arial Narrow" w:hAnsi="Arial Narrow"/>
                <w:noProof/>
              </w:rPr>
              <w:t xml:space="preserve"> </w:t>
            </w:r>
            <w:r>
              <w:rPr>
                <w:noProof/>
              </w:rPr>
              <w:t xml:space="preserve"> </w:t>
            </w:r>
            <w:r>
              <w:rPr>
                <w:noProof/>
              </w:rPr>
              <w:br/>
              <w:t xml:space="preserve"> </w:t>
            </w:r>
            <w:r>
              <w:rPr>
                <w:rFonts w:ascii="Arial Narrow" w:hAnsi="Arial Narrow"/>
                <w:noProof/>
                <w:color w:val="006100"/>
                <w:sz w:val="20"/>
              </w:rPr>
              <w:t>inicjatywy mające na celu zreformowanie systemu orientacji w celu zminimalizowania odsetka osób przedwcześnie kończących naukę w szkolnictwie wyższym;</w:t>
            </w:r>
            <w:r>
              <w:rPr>
                <w:rFonts w:ascii="Arial Narrow" w:hAnsi="Arial Narrow"/>
                <w:noProof/>
              </w:rPr>
              <w:t xml:space="preserve"> </w:t>
            </w:r>
            <w:r>
              <w:rPr>
                <w:noProof/>
              </w:rPr>
              <w:t xml:space="preserve"> </w:t>
            </w:r>
            <w:r>
              <w:rPr>
                <w:noProof/>
              </w:rPr>
              <w:br/>
            </w:r>
            <w:r>
              <w:rPr>
                <w:rFonts w:ascii="Arial Narrow" w:hAnsi="Arial Narrow"/>
                <w:noProof/>
                <w:color w:val="006100"/>
                <w:sz w:val="20"/>
              </w:rPr>
              <w:t>inicjatywy na rzecz wzmocnienia kształcenia zawodowego na poziomie średnim (Istituti tecnico- Professionali), w tym przyjęcie nowego programu nauczania i ich ukierunkowanie na wyniki innowacyjne krajowego planu przemysłu 4.0 (Ministero dello Sviluppo economico, Decreto 26 Maggio 2020);</w:t>
            </w:r>
            <w:r>
              <w:rPr>
                <w:rFonts w:ascii="Arial Narrow" w:hAnsi="Arial Narrow"/>
                <w:noProof/>
              </w:rPr>
              <w:t xml:space="preserve"> </w:t>
            </w:r>
            <w:r>
              <w:rPr>
                <w:noProof/>
              </w:rPr>
              <w:t xml:space="preserve"> </w:t>
            </w:r>
            <w:r>
              <w:rPr>
                <w:noProof/>
              </w:rPr>
              <w:br/>
            </w:r>
            <w:r>
              <w:rPr>
                <w:rFonts w:ascii="Arial Narrow" w:hAnsi="Arial Narrow"/>
                <w:noProof/>
                <w:color w:val="006100"/>
                <w:sz w:val="20"/>
              </w:rPr>
              <w:t>inicjatywy na rzecz szkolenia kadry kierowniczej szkół, nauczycieli oraz personelu administracyjnego/technicznego, a także utworzenie szkoły wyższej w zakresie szkoleń w celu poprawy jakości nauczania;</w:t>
            </w:r>
            <w:r>
              <w:rPr>
                <w:rFonts w:ascii="Arial Narrow" w:hAnsi="Arial Narrow"/>
                <w:noProof/>
              </w:rPr>
              <w:t xml:space="preserve"> </w:t>
            </w:r>
            <w:r>
              <w:rPr>
                <w:noProof/>
              </w:rPr>
              <w:t xml:space="preserve"> </w:t>
            </w:r>
            <w:r>
              <w:rPr>
                <w:noProof/>
              </w:rPr>
              <w:br/>
            </w:r>
            <w:r>
              <w:rPr>
                <w:rFonts w:ascii="Arial Narrow" w:hAnsi="Arial Narrow"/>
                <w:noProof/>
                <w:color w:val="006100"/>
                <w:sz w:val="20"/>
              </w:rPr>
              <w:t>inicjatywy na rzecz integracji działań, metod i treści mających na celu rozwijanie i wzmacnianie programów nauczania w dziedzinie nauk przyrodniczych, technologii, inżynierii i matematyki (STEM) oraz umiejętności cyfrowych i innowacyjnych we wszystkich cyklach kształcenia, od przedszkola po szkoły średnie II stopnia, w celu zwiększenia liczby zapisów do programów nauczania w zakresie nauk ścisłych, technologii, inżynierii i matematyki, w szczególności dla kobiet.</w:t>
            </w:r>
          </w:p>
          <w:p w14:paraId="57B1B33A" w14:textId="77777777" w:rsidR="004C6421" w:rsidRDefault="004C6421">
            <w:pPr>
              <w:rPr>
                <w:rFonts w:ascii="Arial Narrow" w:hAnsi="Arial Narrow"/>
                <w:noProof/>
                <w:color w:val="006100"/>
                <w:sz w:val="20"/>
              </w:rPr>
            </w:pPr>
          </w:p>
          <w:p w14:paraId="5735985A" w14:textId="77777777" w:rsidR="004C6421" w:rsidRDefault="009D1962">
            <w:pPr>
              <w:pStyle w:val="P68B1DB1-Normal4"/>
              <w:rPr>
                <w:noProof/>
              </w:rPr>
            </w:pPr>
            <w:r>
              <w:rPr>
                <w:noProof/>
              </w:rPr>
              <w:t>Aby osiągnąć cel pośredni, prawodawstwo musi zawierać obowiązkowe terminy wydania prawa wtórnego, wytyczne i wszystkie niezbędne przepisy regulacyjne (monitorowanie przez bazę danych Ministerstwa Edukacji) w celu zapewnienia sprawnego wdrożenia.</w:t>
            </w:r>
          </w:p>
        </w:tc>
      </w:tr>
      <w:tr w:rsidR="004C6421" w14:paraId="1FA0A3E3" w14:textId="77777777">
        <w:trPr>
          <w:trHeight w:val="309"/>
        </w:trPr>
        <w:tc>
          <w:tcPr>
            <w:tcW w:w="380" w:type="pct"/>
            <w:shd w:val="clear" w:color="auto" w:fill="C6EFCE"/>
            <w:noWrap/>
            <w:vAlign w:val="center"/>
          </w:tcPr>
          <w:p w14:paraId="511BB469" w14:textId="77777777" w:rsidR="004C6421" w:rsidRDefault="009D1962">
            <w:pPr>
              <w:pStyle w:val="P68B1DB1-Normal4"/>
              <w:jc w:val="center"/>
              <w:rPr>
                <w:noProof/>
              </w:rPr>
            </w:pPr>
            <w:r>
              <w:rPr>
                <w:noProof/>
              </w:rPr>
              <w:t>M4C1-6</w:t>
            </w:r>
          </w:p>
        </w:tc>
        <w:tc>
          <w:tcPr>
            <w:tcW w:w="500" w:type="pct"/>
            <w:shd w:val="clear" w:color="auto" w:fill="C6EFCE"/>
            <w:noWrap/>
            <w:vAlign w:val="center"/>
          </w:tcPr>
          <w:p w14:paraId="2EE50E97" w14:textId="77777777" w:rsidR="004C6421" w:rsidRDefault="009D1962">
            <w:pPr>
              <w:pStyle w:val="P68B1DB1-Normal4"/>
              <w:jc w:val="center"/>
              <w:rPr>
                <w:noProof/>
              </w:rPr>
            </w:pPr>
            <w:r>
              <w:rPr>
                <w:noProof/>
              </w:rPr>
              <w:t>Reforma 2.2: Szkolnictwo wyższe i ustawiczne szkolenie kadry kierowniczej szkół, nauczycieli, personelu administracyjnego i technicznego</w:t>
            </w:r>
          </w:p>
        </w:tc>
        <w:tc>
          <w:tcPr>
            <w:tcW w:w="358" w:type="pct"/>
            <w:shd w:val="clear" w:color="auto" w:fill="C6EFCE"/>
            <w:noWrap/>
            <w:vAlign w:val="center"/>
          </w:tcPr>
          <w:p w14:paraId="246D86A8" w14:textId="6ED53CDC" w:rsidR="004C6421" w:rsidRDefault="00CC179E">
            <w:pPr>
              <w:pStyle w:val="P68B1DB1-Normal4"/>
              <w:jc w:val="center"/>
              <w:rPr>
                <w:noProof/>
              </w:rPr>
            </w:pPr>
            <w:r>
              <w:rPr>
                <w:noProof/>
              </w:rPr>
              <w:t>Milowy</w:t>
            </w:r>
          </w:p>
        </w:tc>
        <w:tc>
          <w:tcPr>
            <w:tcW w:w="572" w:type="pct"/>
            <w:shd w:val="clear" w:color="auto" w:fill="C6EFCE"/>
            <w:noWrap/>
            <w:vAlign w:val="center"/>
          </w:tcPr>
          <w:p w14:paraId="18D39FAB" w14:textId="77777777" w:rsidR="004C6421" w:rsidRDefault="009D1962">
            <w:pPr>
              <w:pStyle w:val="P68B1DB1-Normal4"/>
              <w:jc w:val="center"/>
              <w:rPr>
                <w:noProof/>
              </w:rPr>
            </w:pPr>
            <w:r>
              <w:rPr>
                <w:noProof/>
              </w:rPr>
              <w:t>Wejście w życie przepisów mających na celu stworzenie wysokiej jakości systemu szkoleń dla szkół.</w:t>
            </w:r>
          </w:p>
        </w:tc>
        <w:tc>
          <w:tcPr>
            <w:tcW w:w="480" w:type="pct"/>
            <w:shd w:val="clear" w:color="auto" w:fill="C6EFCE"/>
            <w:noWrap/>
            <w:vAlign w:val="center"/>
          </w:tcPr>
          <w:p w14:paraId="09A12549" w14:textId="77777777" w:rsidR="004C6421" w:rsidRDefault="009D1962">
            <w:pPr>
              <w:pStyle w:val="P68B1DB1-Normal4"/>
              <w:jc w:val="center"/>
              <w:rPr>
                <w:noProof/>
              </w:rPr>
            </w:pPr>
            <w:r>
              <w:rPr>
                <w:noProof/>
              </w:rPr>
              <w:t>Przepis ustawy wskazujący na wejście w życie ustawy. NIE DOT.</w:t>
            </w:r>
          </w:p>
        </w:tc>
        <w:tc>
          <w:tcPr>
            <w:tcW w:w="422" w:type="pct"/>
            <w:shd w:val="clear" w:color="auto" w:fill="C6EFCE"/>
            <w:noWrap/>
            <w:vAlign w:val="center"/>
          </w:tcPr>
          <w:p w14:paraId="062023E9" w14:textId="77777777" w:rsidR="004C6421" w:rsidRDefault="009D1962">
            <w:pPr>
              <w:pStyle w:val="P68B1DB1-Normal4"/>
              <w:jc w:val="center"/>
              <w:rPr>
                <w:noProof/>
              </w:rPr>
            </w:pPr>
            <w:r>
              <w:rPr>
                <w:noProof/>
              </w:rPr>
              <w:t>NIE DOT.</w:t>
            </w:r>
          </w:p>
        </w:tc>
        <w:tc>
          <w:tcPr>
            <w:tcW w:w="375" w:type="pct"/>
            <w:shd w:val="clear" w:color="auto" w:fill="C6EFCE"/>
            <w:noWrap/>
            <w:vAlign w:val="center"/>
          </w:tcPr>
          <w:p w14:paraId="1A0E5293" w14:textId="77777777" w:rsidR="004C6421" w:rsidRDefault="009D1962">
            <w:pPr>
              <w:pStyle w:val="P68B1DB1-Normal4"/>
              <w:jc w:val="center"/>
              <w:rPr>
                <w:noProof/>
              </w:rPr>
            </w:pPr>
            <w:r>
              <w:rPr>
                <w:noProof/>
              </w:rPr>
              <w:t>NIE DOT.</w:t>
            </w:r>
          </w:p>
        </w:tc>
        <w:tc>
          <w:tcPr>
            <w:tcW w:w="343" w:type="pct"/>
            <w:shd w:val="clear" w:color="auto" w:fill="C6EFCE"/>
            <w:noWrap/>
            <w:vAlign w:val="center"/>
          </w:tcPr>
          <w:p w14:paraId="32829C55" w14:textId="77777777" w:rsidR="004C6421" w:rsidRDefault="009D1962">
            <w:pPr>
              <w:pStyle w:val="P68B1DB1-Normal4"/>
              <w:jc w:val="center"/>
              <w:rPr>
                <w:noProof/>
              </w:rPr>
            </w:pPr>
            <w:r>
              <w:rPr>
                <w:noProof/>
              </w:rPr>
              <w:t>NIE DOT.</w:t>
            </w:r>
          </w:p>
        </w:tc>
        <w:tc>
          <w:tcPr>
            <w:tcW w:w="286" w:type="pct"/>
            <w:shd w:val="clear" w:color="auto" w:fill="C6EFCE"/>
            <w:noWrap/>
            <w:vAlign w:val="center"/>
          </w:tcPr>
          <w:p w14:paraId="57B434EE" w14:textId="058CC421" w:rsidR="004C6421" w:rsidRDefault="00CC179E">
            <w:pPr>
              <w:pStyle w:val="P68B1DB1-Normal4"/>
              <w:jc w:val="center"/>
              <w:rPr>
                <w:noProof/>
              </w:rPr>
            </w:pPr>
            <w:r>
              <w:rPr>
                <w:noProof/>
              </w:rPr>
              <w:t>KW. 4</w:t>
            </w:r>
          </w:p>
        </w:tc>
        <w:tc>
          <w:tcPr>
            <w:tcW w:w="238" w:type="pct"/>
            <w:shd w:val="clear" w:color="auto" w:fill="C6EFCE"/>
            <w:noWrap/>
            <w:vAlign w:val="center"/>
          </w:tcPr>
          <w:p w14:paraId="375F7650" w14:textId="77777777" w:rsidR="004C6421" w:rsidRDefault="009D1962">
            <w:pPr>
              <w:pStyle w:val="P68B1DB1-Normal4"/>
              <w:jc w:val="center"/>
              <w:rPr>
                <w:noProof/>
              </w:rPr>
            </w:pPr>
            <w:r>
              <w:rPr>
                <w:noProof/>
              </w:rPr>
              <w:t>2022</w:t>
            </w:r>
          </w:p>
        </w:tc>
        <w:tc>
          <w:tcPr>
            <w:tcW w:w="1046" w:type="pct"/>
            <w:shd w:val="clear" w:color="auto" w:fill="C6EFCE"/>
            <w:noWrap/>
            <w:vAlign w:val="center"/>
          </w:tcPr>
          <w:p w14:paraId="644AAB75" w14:textId="77777777" w:rsidR="004C6421" w:rsidRDefault="009D1962">
            <w:pPr>
              <w:pStyle w:val="P68B1DB1-Normal4"/>
              <w:rPr>
                <w:noProof/>
              </w:rPr>
            </w:pPr>
            <w:r>
              <w:rPr>
                <w:noProof/>
              </w:rPr>
              <w:t>Prawodawstwo zawiera przepisy mające na celu stworzenie wysokiej jakości systemu szkoleń dla pracowników szkół zgodnie z ciągłym rozwojem zawodowym i zawodowym, utworzenie wykwalifikowanego organu odpowiedzialnego za wytyczne szkoleniowe dla pracowników szkół, selekcję i koordynację inicjatyw szkoleniowych oraz powiązanie ich z rozwojem kariery zawodowej, jak przewidziano w reformie rekrutacji. Wdrożenie systemu szkolenia wstępnego i ustawicznego powinno umożliwić przezwyciężenie obecnego rozdrobnienia ścieżek szkoleniowych, które obecnie nie posiadają jednolitej strategii krajowej.</w:t>
            </w:r>
          </w:p>
        </w:tc>
      </w:tr>
      <w:tr w:rsidR="004C6421" w14:paraId="3986B5A6" w14:textId="77777777">
        <w:trPr>
          <w:trHeight w:val="309"/>
        </w:trPr>
        <w:tc>
          <w:tcPr>
            <w:tcW w:w="380" w:type="pct"/>
            <w:shd w:val="clear" w:color="auto" w:fill="C6EFCE"/>
            <w:noWrap/>
            <w:vAlign w:val="center"/>
          </w:tcPr>
          <w:p w14:paraId="70BC0305" w14:textId="77777777" w:rsidR="004C6421" w:rsidRDefault="009D1962">
            <w:pPr>
              <w:pStyle w:val="P68B1DB1-Normal4"/>
              <w:jc w:val="center"/>
              <w:rPr>
                <w:noProof/>
              </w:rPr>
            </w:pPr>
            <w:r>
              <w:rPr>
                <w:noProof/>
              </w:rPr>
              <w:t>M4C1-7</w:t>
            </w:r>
          </w:p>
        </w:tc>
        <w:tc>
          <w:tcPr>
            <w:tcW w:w="500" w:type="pct"/>
            <w:shd w:val="clear" w:color="auto" w:fill="C6EFCE"/>
            <w:noWrap/>
            <w:vAlign w:val="center"/>
          </w:tcPr>
          <w:p w14:paraId="77CCC28F" w14:textId="77777777" w:rsidR="004C6421" w:rsidRDefault="009D1962">
            <w:pPr>
              <w:pStyle w:val="P68B1DB1-Normal4"/>
              <w:jc w:val="center"/>
              <w:rPr>
                <w:noProof/>
              </w:rPr>
            </w:pPr>
            <w:r>
              <w:rPr>
                <w:noProof/>
              </w:rPr>
              <w:t>Inwestycje 1.4: Nadzwyczajne działanie mające na celu zmniejszenie różnic terytorialnych w pierwszym i drugim cyklu szkoły średniej oraz rozwiązanie problemu przedwczesnego kończenia nauki</w:t>
            </w:r>
          </w:p>
        </w:tc>
        <w:tc>
          <w:tcPr>
            <w:tcW w:w="358" w:type="pct"/>
            <w:shd w:val="clear" w:color="auto" w:fill="C6EFCE"/>
            <w:noWrap/>
            <w:vAlign w:val="center"/>
          </w:tcPr>
          <w:p w14:paraId="0550EFF3" w14:textId="77777777" w:rsidR="004C6421" w:rsidRDefault="009D1962">
            <w:pPr>
              <w:pStyle w:val="P68B1DB1-Normal4"/>
              <w:jc w:val="center"/>
              <w:rPr>
                <w:noProof/>
              </w:rPr>
            </w:pPr>
            <w:r>
              <w:rPr>
                <w:noProof/>
              </w:rPr>
              <w:t>Cel</w:t>
            </w:r>
          </w:p>
        </w:tc>
        <w:tc>
          <w:tcPr>
            <w:tcW w:w="572" w:type="pct"/>
            <w:shd w:val="clear" w:color="auto" w:fill="C6EFCE"/>
            <w:noWrap/>
            <w:vAlign w:val="center"/>
          </w:tcPr>
          <w:p w14:paraId="0D11E478" w14:textId="77777777" w:rsidR="004C6421" w:rsidRDefault="009D1962">
            <w:pPr>
              <w:pStyle w:val="P68B1DB1-Normal4"/>
              <w:jc w:val="center"/>
              <w:rPr>
                <w:noProof/>
              </w:rPr>
            </w:pPr>
            <w:r>
              <w:rPr>
                <w:noProof/>
              </w:rPr>
              <w:t>Studenci lub młodzi ludzie, którzy uczestniczyli w działaniach mentorskich lub kursach szkoleniowych</w:t>
            </w:r>
          </w:p>
        </w:tc>
        <w:tc>
          <w:tcPr>
            <w:tcW w:w="480" w:type="pct"/>
            <w:shd w:val="clear" w:color="auto" w:fill="C6EFCE"/>
            <w:noWrap/>
            <w:vAlign w:val="center"/>
          </w:tcPr>
          <w:p w14:paraId="02768300" w14:textId="77777777" w:rsidR="004C6421" w:rsidRDefault="009D1962">
            <w:pPr>
              <w:pStyle w:val="P68B1DB1-Normal4"/>
              <w:jc w:val="center"/>
              <w:rPr>
                <w:noProof/>
              </w:rPr>
            </w:pPr>
            <w:r>
              <w:rPr>
                <w:noProof/>
              </w:rPr>
              <w:t>Prowadzone są działania w zakresie mentoringu</w:t>
            </w:r>
          </w:p>
        </w:tc>
        <w:tc>
          <w:tcPr>
            <w:tcW w:w="422" w:type="pct"/>
            <w:shd w:val="clear" w:color="auto" w:fill="C6EFCE"/>
            <w:noWrap/>
            <w:vAlign w:val="center"/>
          </w:tcPr>
          <w:p w14:paraId="178C3B58" w14:textId="77777777" w:rsidR="004C6421" w:rsidRDefault="009D1962">
            <w:pPr>
              <w:pStyle w:val="P68B1DB1-Normal4"/>
              <w:jc w:val="center"/>
              <w:rPr>
                <w:noProof/>
              </w:rPr>
            </w:pPr>
            <w:r>
              <w:rPr>
                <w:noProof/>
              </w:rPr>
              <w:t>Numer</w:t>
            </w:r>
          </w:p>
        </w:tc>
        <w:tc>
          <w:tcPr>
            <w:tcW w:w="375" w:type="pct"/>
            <w:shd w:val="clear" w:color="auto" w:fill="C6EFCE"/>
            <w:noWrap/>
            <w:vAlign w:val="center"/>
          </w:tcPr>
          <w:p w14:paraId="79CD561D" w14:textId="77777777" w:rsidR="004C6421" w:rsidRDefault="009D1962">
            <w:pPr>
              <w:pStyle w:val="P68B1DB1-Normal4"/>
              <w:jc w:val="center"/>
              <w:rPr>
                <w:noProof/>
              </w:rPr>
            </w:pPr>
            <w:r>
              <w:rPr>
                <w:noProof/>
              </w:rPr>
              <w:t>0</w:t>
            </w:r>
          </w:p>
        </w:tc>
        <w:tc>
          <w:tcPr>
            <w:tcW w:w="343" w:type="pct"/>
            <w:shd w:val="clear" w:color="auto" w:fill="C6EFCE"/>
            <w:noWrap/>
            <w:vAlign w:val="center"/>
          </w:tcPr>
          <w:p w14:paraId="556DA1C0" w14:textId="77777777" w:rsidR="004C6421" w:rsidRDefault="009D1962">
            <w:pPr>
              <w:pStyle w:val="P68B1DB1-Normal4"/>
              <w:jc w:val="center"/>
              <w:rPr>
                <w:noProof/>
              </w:rPr>
            </w:pPr>
            <w:r>
              <w:rPr>
                <w:noProof/>
              </w:rPr>
              <w:t>820 000</w:t>
            </w:r>
          </w:p>
        </w:tc>
        <w:tc>
          <w:tcPr>
            <w:tcW w:w="286" w:type="pct"/>
            <w:shd w:val="clear" w:color="auto" w:fill="C6EFCE"/>
            <w:noWrap/>
            <w:vAlign w:val="center"/>
          </w:tcPr>
          <w:p w14:paraId="69E32F78" w14:textId="77777777" w:rsidR="004C6421" w:rsidRDefault="009D1962">
            <w:pPr>
              <w:pStyle w:val="P68B1DB1-Normal4"/>
              <w:jc w:val="center"/>
              <w:rPr>
                <w:noProof/>
              </w:rPr>
            </w:pPr>
            <w:r>
              <w:rPr>
                <w:noProof/>
              </w:rPr>
              <w:t>III KW.</w:t>
            </w:r>
          </w:p>
        </w:tc>
        <w:tc>
          <w:tcPr>
            <w:tcW w:w="238" w:type="pct"/>
            <w:shd w:val="clear" w:color="auto" w:fill="C6EFCE"/>
            <w:noWrap/>
            <w:vAlign w:val="center"/>
          </w:tcPr>
          <w:p w14:paraId="4BA0FDF0" w14:textId="77777777" w:rsidR="004C6421" w:rsidRDefault="009D1962">
            <w:pPr>
              <w:pStyle w:val="P68B1DB1-Normal4"/>
              <w:jc w:val="center"/>
              <w:rPr>
                <w:noProof/>
              </w:rPr>
            </w:pPr>
            <w:r>
              <w:rPr>
                <w:noProof/>
              </w:rPr>
              <w:t>2025</w:t>
            </w:r>
          </w:p>
        </w:tc>
        <w:tc>
          <w:tcPr>
            <w:tcW w:w="1046" w:type="pct"/>
            <w:shd w:val="clear" w:color="auto" w:fill="C6EFCE"/>
            <w:noWrap/>
            <w:vAlign w:val="center"/>
          </w:tcPr>
          <w:p w14:paraId="7A3AB6E0" w14:textId="77777777" w:rsidR="004C6421" w:rsidRDefault="009D1962">
            <w:pPr>
              <w:pStyle w:val="P68B1DB1-Normal4"/>
              <w:rPr>
                <w:noProof/>
              </w:rPr>
            </w:pPr>
            <w:r>
              <w:rPr>
                <w:noProof/>
              </w:rPr>
              <w:t>Realizacja działań mentorskich skierowanych do co najmniej 820000 młodych ludzi zagrożonych wczesnym kończeniem nauki oraz dla młodych ludzi, którzy już porzucili naukę.</w:t>
            </w:r>
          </w:p>
        </w:tc>
      </w:tr>
      <w:tr w:rsidR="004C6421" w14:paraId="100C8A1E" w14:textId="77777777">
        <w:trPr>
          <w:trHeight w:val="309"/>
        </w:trPr>
        <w:tc>
          <w:tcPr>
            <w:tcW w:w="380" w:type="pct"/>
            <w:shd w:val="clear" w:color="auto" w:fill="C6EFCE"/>
            <w:noWrap/>
            <w:vAlign w:val="center"/>
          </w:tcPr>
          <w:p w14:paraId="7FF367F5" w14:textId="77777777" w:rsidR="004C6421" w:rsidRDefault="009D1962">
            <w:pPr>
              <w:pStyle w:val="P68B1DB1-Normal4"/>
              <w:jc w:val="center"/>
              <w:rPr>
                <w:noProof/>
              </w:rPr>
            </w:pPr>
            <w:r>
              <w:rPr>
                <w:noProof/>
              </w:rPr>
              <w:t>M4C1-8</w:t>
            </w:r>
          </w:p>
          <w:p w14:paraId="37E82D39" w14:textId="77777777" w:rsidR="004C6421" w:rsidRDefault="004C6421">
            <w:pPr>
              <w:jc w:val="center"/>
              <w:rPr>
                <w:rFonts w:ascii="Arial Narrow" w:hAnsi="Arial Narrow"/>
                <w:noProof/>
                <w:color w:val="006100"/>
                <w:sz w:val="20"/>
              </w:rPr>
            </w:pPr>
          </w:p>
        </w:tc>
        <w:tc>
          <w:tcPr>
            <w:tcW w:w="500" w:type="pct"/>
            <w:shd w:val="clear" w:color="auto" w:fill="C6EFCE"/>
            <w:noWrap/>
            <w:vAlign w:val="center"/>
          </w:tcPr>
          <w:p w14:paraId="611BAA10" w14:textId="77777777" w:rsidR="004C6421" w:rsidRDefault="009D1962">
            <w:pPr>
              <w:pStyle w:val="P68B1DB1-Normal4"/>
              <w:jc w:val="center"/>
              <w:rPr>
                <w:noProof/>
              </w:rPr>
            </w:pPr>
            <w:r>
              <w:rPr>
                <w:noProof/>
              </w:rPr>
              <w:t>Inwestycja 1.3: Plan poprawy infrastruktury sportowej w szkołach</w:t>
            </w:r>
          </w:p>
        </w:tc>
        <w:tc>
          <w:tcPr>
            <w:tcW w:w="358" w:type="pct"/>
            <w:shd w:val="clear" w:color="auto" w:fill="C6EFCE"/>
            <w:noWrap/>
            <w:vAlign w:val="center"/>
          </w:tcPr>
          <w:p w14:paraId="7D581727" w14:textId="044CD160" w:rsidR="004C6421" w:rsidRDefault="00CC179E">
            <w:pPr>
              <w:pStyle w:val="P68B1DB1-Normal4"/>
              <w:jc w:val="center"/>
              <w:rPr>
                <w:noProof/>
              </w:rPr>
            </w:pPr>
            <w:r>
              <w:rPr>
                <w:noProof/>
              </w:rPr>
              <w:t>Milowy</w:t>
            </w:r>
          </w:p>
        </w:tc>
        <w:tc>
          <w:tcPr>
            <w:tcW w:w="572" w:type="pct"/>
            <w:shd w:val="clear" w:color="auto" w:fill="C6EFCE"/>
            <w:noWrap/>
            <w:vAlign w:val="center"/>
          </w:tcPr>
          <w:p w14:paraId="377D3039" w14:textId="4138FA7F" w:rsidR="004C6421" w:rsidRDefault="009D1962">
            <w:pPr>
              <w:pStyle w:val="P68B1DB1-Normal4"/>
              <w:jc w:val="center"/>
              <w:rPr>
                <w:noProof/>
              </w:rPr>
            </w:pPr>
            <w:r>
              <w:rPr>
                <w:noProof/>
              </w:rPr>
              <w:t>Udzielanie zamówień na interwencje mające na celu budowę i renowację obiektów sportowych i siłowni do użytku szkolnego</w:t>
            </w:r>
          </w:p>
        </w:tc>
        <w:tc>
          <w:tcPr>
            <w:tcW w:w="480" w:type="pct"/>
            <w:shd w:val="clear" w:color="auto" w:fill="C6EFCE"/>
            <w:noWrap/>
            <w:vAlign w:val="center"/>
          </w:tcPr>
          <w:p w14:paraId="58AFDAB0" w14:textId="00166140" w:rsidR="004C6421" w:rsidRDefault="009D1962">
            <w:pPr>
              <w:pStyle w:val="P68B1DB1-Normal4"/>
              <w:jc w:val="center"/>
              <w:rPr>
                <w:noProof/>
              </w:rPr>
            </w:pPr>
            <w:r>
              <w:rPr>
                <w:noProof/>
              </w:rPr>
              <w:t>Powiadomienie o udzieleniu zamówień publicznych na kwalifikujące się interwencje</w:t>
            </w:r>
          </w:p>
          <w:p w14:paraId="6D6585ED" w14:textId="77777777" w:rsidR="004C6421" w:rsidRDefault="004C6421">
            <w:pPr>
              <w:jc w:val="center"/>
              <w:rPr>
                <w:rFonts w:ascii="Arial Narrow" w:hAnsi="Arial Narrow"/>
                <w:b/>
                <w:noProof/>
                <w:color w:val="006100"/>
                <w:sz w:val="20"/>
              </w:rPr>
            </w:pPr>
          </w:p>
        </w:tc>
        <w:tc>
          <w:tcPr>
            <w:tcW w:w="422" w:type="pct"/>
            <w:shd w:val="clear" w:color="auto" w:fill="C6EFCE"/>
            <w:noWrap/>
            <w:vAlign w:val="center"/>
          </w:tcPr>
          <w:p w14:paraId="6ACFB5D4" w14:textId="77777777" w:rsidR="004C6421" w:rsidRDefault="009D1962">
            <w:pPr>
              <w:pStyle w:val="P68B1DB1-Normal4"/>
              <w:jc w:val="center"/>
              <w:rPr>
                <w:noProof/>
              </w:rPr>
            </w:pPr>
            <w:r>
              <w:rPr>
                <w:noProof/>
              </w:rPr>
              <w:t>NIE DOT.</w:t>
            </w:r>
          </w:p>
        </w:tc>
        <w:tc>
          <w:tcPr>
            <w:tcW w:w="375" w:type="pct"/>
            <w:shd w:val="clear" w:color="auto" w:fill="C6EFCE"/>
            <w:noWrap/>
            <w:vAlign w:val="center"/>
          </w:tcPr>
          <w:p w14:paraId="3D7F7309" w14:textId="77777777" w:rsidR="004C6421" w:rsidRDefault="009D1962">
            <w:pPr>
              <w:pStyle w:val="P68B1DB1-Normal4"/>
              <w:jc w:val="center"/>
              <w:rPr>
                <w:noProof/>
              </w:rPr>
            </w:pPr>
            <w:r>
              <w:rPr>
                <w:noProof/>
              </w:rPr>
              <w:t>NIE DOT.</w:t>
            </w:r>
          </w:p>
        </w:tc>
        <w:tc>
          <w:tcPr>
            <w:tcW w:w="343" w:type="pct"/>
            <w:shd w:val="clear" w:color="auto" w:fill="C6EFCE"/>
            <w:noWrap/>
            <w:vAlign w:val="center"/>
          </w:tcPr>
          <w:p w14:paraId="5D6D0532" w14:textId="77777777" w:rsidR="004C6421" w:rsidRDefault="009D1962">
            <w:pPr>
              <w:pStyle w:val="P68B1DB1-Normal4"/>
              <w:jc w:val="center"/>
              <w:rPr>
                <w:noProof/>
              </w:rPr>
            </w:pPr>
            <w:r>
              <w:rPr>
                <w:noProof/>
              </w:rPr>
              <w:t>NIE DOT.</w:t>
            </w:r>
          </w:p>
        </w:tc>
        <w:tc>
          <w:tcPr>
            <w:tcW w:w="286" w:type="pct"/>
            <w:shd w:val="clear" w:color="auto" w:fill="C6EFCE"/>
            <w:noWrap/>
            <w:vAlign w:val="center"/>
          </w:tcPr>
          <w:p w14:paraId="3A6D42B4" w14:textId="120909DF" w:rsidR="004C6421" w:rsidRDefault="00CC179E">
            <w:pPr>
              <w:pStyle w:val="P68B1DB1-Normal4"/>
              <w:jc w:val="center"/>
              <w:rPr>
                <w:noProof/>
              </w:rPr>
            </w:pPr>
            <w:r>
              <w:rPr>
                <w:noProof/>
              </w:rPr>
              <w:t>KW. 1</w:t>
            </w:r>
          </w:p>
        </w:tc>
        <w:tc>
          <w:tcPr>
            <w:tcW w:w="238" w:type="pct"/>
            <w:shd w:val="clear" w:color="auto" w:fill="C6EFCE"/>
            <w:noWrap/>
            <w:vAlign w:val="center"/>
          </w:tcPr>
          <w:p w14:paraId="0CA4D0AE" w14:textId="77777777" w:rsidR="004C6421" w:rsidRDefault="009D1962">
            <w:pPr>
              <w:pStyle w:val="P68B1DB1-Normal4"/>
              <w:jc w:val="center"/>
              <w:rPr>
                <w:noProof/>
              </w:rPr>
            </w:pPr>
            <w:r>
              <w:rPr>
                <w:noProof/>
              </w:rPr>
              <w:t>2024</w:t>
            </w:r>
          </w:p>
        </w:tc>
        <w:tc>
          <w:tcPr>
            <w:tcW w:w="1046" w:type="pct"/>
            <w:shd w:val="clear" w:color="auto" w:fill="C6EFCE"/>
            <w:noWrap/>
            <w:vAlign w:val="center"/>
          </w:tcPr>
          <w:p w14:paraId="29E65C28" w14:textId="759D7657" w:rsidR="004C6421" w:rsidRDefault="009D1962">
            <w:pPr>
              <w:pStyle w:val="P68B1DB1-Normal4"/>
              <w:rPr>
                <w:noProof/>
              </w:rPr>
            </w:pPr>
            <w:r>
              <w:rPr>
                <w:noProof/>
              </w:rPr>
              <w:t>Udzielanie zamówień na interwencje mające na celu budowę i renowację obiektów sportowych i gimnastów przeznaczonych do użytku szkolnego, po przeprowadzeniu procedury przetargowej.</w:t>
            </w:r>
          </w:p>
          <w:p w14:paraId="056A462C" w14:textId="77777777" w:rsidR="004C6421" w:rsidRDefault="004C6421">
            <w:pPr>
              <w:rPr>
                <w:rFonts w:ascii="Arial Narrow" w:hAnsi="Arial Narrow"/>
                <w:noProof/>
                <w:color w:val="006100"/>
                <w:sz w:val="20"/>
              </w:rPr>
            </w:pPr>
          </w:p>
          <w:p w14:paraId="5912BF14" w14:textId="77777777" w:rsidR="004C6421" w:rsidRDefault="004C6421">
            <w:pPr>
              <w:rPr>
                <w:rFonts w:ascii="Arial Narrow" w:hAnsi="Arial Narrow"/>
                <w:noProof/>
                <w:color w:val="006100"/>
                <w:sz w:val="20"/>
              </w:rPr>
            </w:pPr>
          </w:p>
          <w:p w14:paraId="141F4E53" w14:textId="77777777" w:rsidR="004C6421" w:rsidRDefault="004C6421">
            <w:pPr>
              <w:rPr>
                <w:rFonts w:ascii="Arial Narrow" w:hAnsi="Arial Narrow"/>
                <w:noProof/>
                <w:color w:val="006100"/>
                <w:sz w:val="20"/>
              </w:rPr>
            </w:pPr>
          </w:p>
        </w:tc>
      </w:tr>
      <w:tr w:rsidR="004C6421" w14:paraId="3643A823" w14:textId="77777777">
        <w:trPr>
          <w:trHeight w:val="309"/>
        </w:trPr>
        <w:tc>
          <w:tcPr>
            <w:tcW w:w="380" w:type="pct"/>
            <w:shd w:val="clear" w:color="auto" w:fill="C6EFCE"/>
            <w:noWrap/>
            <w:vAlign w:val="center"/>
          </w:tcPr>
          <w:p w14:paraId="4C1B4AB5" w14:textId="77777777" w:rsidR="004C6421" w:rsidRDefault="009D1962">
            <w:pPr>
              <w:pStyle w:val="P68B1DB1-Normal4"/>
              <w:jc w:val="center"/>
              <w:rPr>
                <w:noProof/>
              </w:rPr>
            </w:pPr>
            <w:r>
              <w:rPr>
                <w:noProof/>
              </w:rPr>
              <w:t>M4C1-9</w:t>
            </w:r>
          </w:p>
        </w:tc>
        <w:tc>
          <w:tcPr>
            <w:tcW w:w="500" w:type="pct"/>
            <w:shd w:val="clear" w:color="auto" w:fill="C6EFCE"/>
            <w:noWrap/>
            <w:vAlign w:val="center"/>
          </w:tcPr>
          <w:p w14:paraId="4E0DE93B" w14:textId="77777777" w:rsidR="004C6421" w:rsidRDefault="009D1962">
            <w:pPr>
              <w:pStyle w:val="P68B1DB1-Normal4"/>
              <w:jc w:val="center"/>
              <w:rPr>
                <w:noProof/>
              </w:rPr>
            </w:pPr>
            <w:r>
              <w:rPr>
                <w:noProof/>
              </w:rPr>
              <w:t>Inwestycje 1.1: Plan dotyczący żłobków i przedszkoli oraz usług wczesnej edukacji i opieki nad dzieckiem</w:t>
            </w:r>
          </w:p>
        </w:tc>
        <w:tc>
          <w:tcPr>
            <w:tcW w:w="358" w:type="pct"/>
            <w:shd w:val="clear" w:color="auto" w:fill="C6EFCE"/>
            <w:noWrap/>
            <w:vAlign w:val="center"/>
          </w:tcPr>
          <w:p w14:paraId="06B9505B" w14:textId="7FCC7A1D" w:rsidR="004C6421" w:rsidRDefault="00CC179E">
            <w:pPr>
              <w:pStyle w:val="P68B1DB1-Normal4"/>
              <w:jc w:val="center"/>
              <w:rPr>
                <w:noProof/>
              </w:rPr>
            </w:pPr>
            <w:r>
              <w:rPr>
                <w:noProof/>
              </w:rPr>
              <w:t>Milowy</w:t>
            </w:r>
          </w:p>
        </w:tc>
        <w:tc>
          <w:tcPr>
            <w:tcW w:w="572" w:type="pct"/>
            <w:shd w:val="clear" w:color="auto" w:fill="C6EFCE"/>
            <w:noWrap/>
            <w:vAlign w:val="center"/>
          </w:tcPr>
          <w:p w14:paraId="0E4C7752" w14:textId="77777777" w:rsidR="004C6421" w:rsidRDefault="009D1962">
            <w:pPr>
              <w:pStyle w:val="P68B1DB1-Normal4"/>
              <w:jc w:val="center"/>
              <w:rPr>
                <w:noProof/>
              </w:rPr>
            </w:pPr>
            <w:r>
              <w:rPr>
                <w:noProof/>
              </w:rPr>
              <w:t>Udzielenie zamówień na budowę, remont i zapewnienie bezpieczeństwa żłobków, przedszkoli oraz usług wczesnej edukacji i opieki nad dzieckiem</w:t>
            </w:r>
          </w:p>
        </w:tc>
        <w:tc>
          <w:tcPr>
            <w:tcW w:w="480" w:type="pct"/>
            <w:shd w:val="clear" w:color="auto" w:fill="C6EFCE"/>
            <w:noWrap/>
            <w:vAlign w:val="center"/>
          </w:tcPr>
          <w:p w14:paraId="268A4A79" w14:textId="77777777" w:rsidR="004C6421" w:rsidRDefault="004C6421">
            <w:pPr>
              <w:jc w:val="center"/>
              <w:rPr>
                <w:rFonts w:ascii="Arial Narrow" w:hAnsi="Arial Narrow"/>
                <w:noProof/>
                <w:color w:val="006100"/>
                <w:sz w:val="20"/>
              </w:rPr>
            </w:pPr>
          </w:p>
          <w:p w14:paraId="2257DAF3" w14:textId="77777777" w:rsidR="004C6421" w:rsidRDefault="009D1962">
            <w:pPr>
              <w:pStyle w:val="P68B1DB1-Normal4"/>
              <w:jc w:val="center"/>
              <w:rPr>
                <w:noProof/>
              </w:rPr>
            </w:pPr>
            <w:r>
              <w:rPr>
                <w:noProof/>
              </w:rPr>
              <w:t>Powiadomienie przez beneficjentów władz lokalnych o finansowaniu udzielania zamówień publicznych w odniesieniu do pierwszej grupy kwalifikujących się interwencji</w:t>
            </w:r>
          </w:p>
        </w:tc>
        <w:tc>
          <w:tcPr>
            <w:tcW w:w="422" w:type="pct"/>
            <w:shd w:val="clear" w:color="auto" w:fill="C6EFCE"/>
            <w:noWrap/>
            <w:vAlign w:val="center"/>
          </w:tcPr>
          <w:p w14:paraId="1F7771B3" w14:textId="77777777" w:rsidR="004C6421" w:rsidRDefault="009D1962">
            <w:pPr>
              <w:pStyle w:val="P68B1DB1-Normal4"/>
              <w:jc w:val="center"/>
              <w:rPr>
                <w:noProof/>
              </w:rPr>
            </w:pPr>
            <w:r>
              <w:rPr>
                <w:noProof/>
              </w:rPr>
              <w:t>NIE DOT.</w:t>
            </w:r>
          </w:p>
        </w:tc>
        <w:tc>
          <w:tcPr>
            <w:tcW w:w="375" w:type="pct"/>
            <w:shd w:val="clear" w:color="auto" w:fill="C6EFCE"/>
            <w:noWrap/>
            <w:vAlign w:val="center"/>
          </w:tcPr>
          <w:p w14:paraId="44519633" w14:textId="77777777" w:rsidR="004C6421" w:rsidRDefault="009D1962">
            <w:pPr>
              <w:pStyle w:val="P68B1DB1-Normal4"/>
              <w:jc w:val="center"/>
              <w:rPr>
                <w:noProof/>
              </w:rPr>
            </w:pPr>
            <w:r>
              <w:rPr>
                <w:noProof/>
              </w:rPr>
              <w:t>NIE DOT.</w:t>
            </w:r>
          </w:p>
        </w:tc>
        <w:tc>
          <w:tcPr>
            <w:tcW w:w="343" w:type="pct"/>
            <w:shd w:val="clear" w:color="auto" w:fill="C6EFCE"/>
            <w:noWrap/>
            <w:vAlign w:val="center"/>
          </w:tcPr>
          <w:p w14:paraId="08FC08E2" w14:textId="77777777" w:rsidR="004C6421" w:rsidRDefault="009D1962">
            <w:pPr>
              <w:pStyle w:val="P68B1DB1-Normal4"/>
              <w:jc w:val="center"/>
              <w:rPr>
                <w:noProof/>
              </w:rPr>
            </w:pPr>
            <w:r>
              <w:rPr>
                <w:noProof/>
              </w:rPr>
              <w:t>NIE DOT.</w:t>
            </w:r>
          </w:p>
        </w:tc>
        <w:tc>
          <w:tcPr>
            <w:tcW w:w="286" w:type="pct"/>
            <w:shd w:val="clear" w:color="auto" w:fill="C6EFCE"/>
            <w:noWrap/>
            <w:vAlign w:val="center"/>
          </w:tcPr>
          <w:p w14:paraId="47ED7E39" w14:textId="77777777" w:rsidR="004C6421" w:rsidRDefault="009D1962">
            <w:pPr>
              <w:pStyle w:val="P68B1DB1-Normal4"/>
              <w:jc w:val="center"/>
              <w:rPr>
                <w:noProof/>
              </w:rPr>
            </w:pPr>
            <w:r>
              <w:rPr>
                <w:noProof/>
              </w:rPr>
              <w:t>II KW.</w:t>
            </w:r>
          </w:p>
        </w:tc>
        <w:tc>
          <w:tcPr>
            <w:tcW w:w="238" w:type="pct"/>
            <w:shd w:val="clear" w:color="auto" w:fill="C6EFCE"/>
            <w:noWrap/>
            <w:vAlign w:val="center"/>
          </w:tcPr>
          <w:p w14:paraId="7D102C6A" w14:textId="77777777" w:rsidR="004C6421" w:rsidRDefault="009D1962">
            <w:pPr>
              <w:pStyle w:val="P68B1DB1-Normal4"/>
              <w:jc w:val="center"/>
              <w:rPr>
                <w:noProof/>
              </w:rPr>
            </w:pPr>
            <w:r>
              <w:rPr>
                <w:noProof/>
              </w:rPr>
              <w:t>2023</w:t>
            </w:r>
          </w:p>
        </w:tc>
        <w:tc>
          <w:tcPr>
            <w:tcW w:w="1046" w:type="pct"/>
            <w:shd w:val="clear" w:color="auto" w:fill="C6EFCE"/>
            <w:noWrap/>
            <w:vAlign w:val="center"/>
          </w:tcPr>
          <w:p w14:paraId="7084EB4C" w14:textId="77777777" w:rsidR="004C6421" w:rsidRDefault="009D1962">
            <w:pPr>
              <w:pStyle w:val="P68B1DB1-Normal4"/>
              <w:rPr>
                <w:noProof/>
              </w:rPr>
            </w:pPr>
            <w:r>
              <w:rPr>
                <w:noProof/>
              </w:rPr>
              <w:t>Udzielenie zamówień i dystrybucja terytorialna w odniesieniu do żłobków, przedszkoli, wczesnej edukacji i opieki nad dzieckiem. Udzielanie zamówień odbywa się zgodnie z wytycznymi technicznymi dotyczącymi zasady »nie czyń poważnych szkód« (2021/C58/01) przez wykorzystanie listy wykluczeń i wymogu zgodności z odpowiednimi przepisami unijnymi i krajowymi w zakresie ochrony środowiska.”;</w:t>
            </w:r>
          </w:p>
        </w:tc>
      </w:tr>
      <w:tr w:rsidR="004C6421" w14:paraId="34774B32" w14:textId="77777777">
        <w:trPr>
          <w:trHeight w:val="309"/>
        </w:trPr>
        <w:tc>
          <w:tcPr>
            <w:tcW w:w="380" w:type="pct"/>
            <w:shd w:val="clear" w:color="auto" w:fill="C6EFCE"/>
            <w:noWrap/>
            <w:vAlign w:val="center"/>
          </w:tcPr>
          <w:p w14:paraId="5C962559" w14:textId="77777777" w:rsidR="004C6421" w:rsidRDefault="009D1962">
            <w:pPr>
              <w:pStyle w:val="P68B1DB1-Normal4"/>
              <w:jc w:val="center"/>
              <w:rPr>
                <w:noProof/>
              </w:rPr>
            </w:pPr>
            <w:r>
              <w:rPr>
                <w:noProof/>
              </w:rPr>
              <w:t>M4C1-10</w:t>
            </w:r>
          </w:p>
        </w:tc>
        <w:tc>
          <w:tcPr>
            <w:tcW w:w="500" w:type="pct"/>
            <w:shd w:val="clear" w:color="auto" w:fill="C6EFCE"/>
            <w:noWrap/>
            <w:vAlign w:val="center"/>
          </w:tcPr>
          <w:p w14:paraId="0723B0FC" w14:textId="77777777" w:rsidR="004C6421" w:rsidRDefault="009D1962">
            <w:pPr>
              <w:pStyle w:val="P68B1DB1-Normal4"/>
              <w:jc w:val="center"/>
              <w:rPr>
                <w:noProof/>
              </w:rPr>
            </w:pPr>
            <w:r>
              <w:rPr>
                <w:noProof/>
              </w:rPr>
              <w:t>Reforma 2.1: Rekrutacja nauczycieli; Reforma 1.3: Reorganizacja systemu szkolnictwa; Reforma 1.2: Reforma systemu szkolnictwa wyższego kształcenia zawodowego (ITS); Reforma 1.4: Reforma systemu „orientacji”; Reforma 1.5: Reforma grup uniwersyteckich; Reforma 1.6: Umożliwienie reformy studiów wyższych</w:t>
            </w:r>
          </w:p>
        </w:tc>
        <w:tc>
          <w:tcPr>
            <w:tcW w:w="358" w:type="pct"/>
            <w:shd w:val="clear" w:color="auto" w:fill="C6EFCE"/>
            <w:noWrap/>
            <w:vAlign w:val="center"/>
          </w:tcPr>
          <w:p w14:paraId="7F496B5D" w14:textId="62759D06" w:rsidR="004C6421" w:rsidRDefault="00CC179E">
            <w:pPr>
              <w:pStyle w:val="P68B1DB1-Normal4"/>
              <w:jc w:val="center"/>
              <w:rPr>
                <w:noProof/>
              </w:rPr>
            </w:pPr>
            <w:r>
              <w:rPr>
                <w:noProof/>
              </w:rPr>
              <w:t>Milowy</w:t>
            </w:r>
          </w:p>
        </w:tc>
        <w:tc>
          <w:tcPr>
            <w:tcW w:w="572" w:type="pct"/>
            <w:shd w:val="clear" w:color="auto" w:fill="C6EFCE"/>
            <w:noWrap/>
            <w:vAlign w:val="center"/>
          </w:tcPr>
          <w:p w14:paraId="3EA8DB5A" w14:textId="77777777" w:rsidR="004C6421" w:rsidRDefault="009D1962">
            <w:pPr>
              <w:pStyle w:val="P68B1DB1-Normal4"/>
              <w:jc w:val="center"/>
              <w:rPr>
                <w:noProof/>
              </w:rPr>
            </w:pPr>
            <w:r>
              <w:rPr>
                <w:noProof/>
              </w:rPr>
              <w:t>Wejście w życie rozporządzeń mających na celu skuteczne wdrożenie i stosowanie w razie potrzeby wszystkich środków dotyczących reform szkolnictwa podstawowego, średniego i wyższego</w:t>
            </w:r>
          </w:p>
        </w:tc>
        <w:tc>
          <w:tcPr>
            <w:tcW w:w="480" w:type="pct"/>
            <w:shd w:val="clear" w:color="auto" w:fill="C6EFCE"/>
            <w:noWrap/>
            <w:vAlign w:val="center"/>
          </w:tcPr>
          <w:p w14:paraId="6EF3DC3E" w14:textId="77777777" w:rsidR="004C6421" w:rsidRDefault="009D1962">
            <w:pPr>
              <w:pStyle w:val="P68B1DB1-Normal4"/>
              <w:jc w:val="center"/>
              <w:rPr>
                <w:noProof/>
                <w:color w:val="375623"/>
              </w:rPr>
            </w:pPr>
            <w:r>
              <w:rPr>
                <w:noProof/>
              </w:rPr>
              <w:t>Przepis ustawy wskazujący na wejście w życie rozporządzeń. NIE DOT.</w:t>
            </w:r>
          </w:p>
        </w:tc>
        <w:tc>
          <w:tcPr>
            <w:tcW w:w="422" w:type="pct"/>
            <w:shd w:val="clear" w:color="auto" w:fill="C6EFCE"/>
            <w:noWrap/>
            <w:vAlign w:val="center"/>
          </w:tcPr>
          <w:p w14:paraId="1C551A7B" w14:textId="77777777" w:rsidR="004C6421" w:rsidRDefault="009D1962">
            <w:pPr>
              <w:pStyle w:val="P68B1DB1-Normal4"/>
              <w:jc w:val="center"/>
              <w:rPr>
                <w:noProof/>
              </w:rPr>
            </w:pPr>
            <w:r>
              <w:rPr>
                <w:noProof/>
              </w:rPr>
              <w:t>NIE DOT.</w:t>
            </w:r>
          </w:p>
        </w:tc>
        <w:tc>
          <w:tcPr>
            <w:tcW w:w="375" w:type="pct"/>
            <w:shd w:val="clear" w:color="auto" w:fill="C6EFCE"/>
            <w:noWrap/>
            <w:vAlign w:val="center"/>
          </w:tcPr>
          <w:p w14:paraId="07E5A027" w14:textId="77777777" w:rsidR="004C6421" w:rsidRDefault="009D1962">
            <w:pPr>
              <w:pStyle w:val="P68B1DB1-Normal4"/>
              <w:jc w:val="center"/>
              <w:rPr>
                <w:noProof/>
              </w:rPr>
            </w:pPr>
            <w:r>
              <w:rPr>
                <w:noProof/>
              </w:rPr>
              <w:t>NIE DOT.</w:t>
            </w:r>
          </w:p>
        </w:tc>
        <w:tc>
          <w:tcPr>
            <w:tcW w:w="343" w:type="pct"/>
            <w:shd w:val="clear" w:color="auto" w:fill="C6EFCE"/>
            <w:noWrap/>
            <w:vAlign w:val="center"/>
          </w:tcPr>
          <w:p w14:paraId="0F3DA5E1" w14:textId="77777777" w:rsidR="004C6421" w:rsidRDefault="009D1962">
            <w:pPr>
              <w:pStyle w:val="P68B1DB1-Normal4"/>
              <w:jc w:val="center"/>
              <w:rPr>
                <w:noProof/>
              </w:rPr>
            </w:pPr>
            <w:r>
              <w:rPr>
                <w:noProof/>
              </w:rPr>
              <w:t>NIE DOT.</w:t>
            </w:r>
          </w:p>
        </w:tc>
        <w:tc>
          <w:tcPr>
            <w:tcW w:w="286" w:type="pct"/>
            <w:shd w:val="clear" w:color="auto" w:fill="C6EFCE"/>
            <w:noWrap/>
            <w:vAlign w:val="center"/>
          </w:tcPr>
          <w:p w14:paraId="4B115492" w14:textId="5515DDFF" w:rsidR="004C6421" w:rsidRDefault="00CC179E">
            <w:pPr>
              <w:pStyle w:val="P68B1DB1-Normal4"/>
              <w:jc w:val="center"/>
              <w:rPr>
                <w:noProof/>
              </w:rPr>
            </w:pPr>
            <w:r>
              <w:rPr>
                <w:noProof/>
              </w:rPr>
              <w:t>KW. 4</w:t>
            </w:r>
          </w:p>
        </w:tc>
        <w:tc>
          <w:tcPr>
            <w:tcW w:w="238" w:type="pct"/>
            <w:shd w:val="clear" w:color="auto" w:fill="C6EFCE"/>
            <w:noWrap/>
            <w:vAlign w:val="center"/>
          </w:tcPr>
          <w:p w14:paraId="72E648D7" w14:textId="77777777" w:rsidR="004C6421" w:rsidRDefault="009D1962">
            <w:pPr>
              <w:pStyle w:val="P68B1DB1-Normal4"/>
              <w:jc w:val="center"/>
              <w:rPr>
                <w:noProof/>
              </w:rPr>
            </w:pPr>
            <w:r>
              <w:rPr>
                <w:noProof/>
              </w:rPr>
              <w:t>2023</w:t>
            </w:r>
          </w:p>
        </w:tc>
        <w:tc>
          <w:tcPr>
            <w:tcW w:w="1046" w:type="pct"/>
            <w:shd w:val="clear" w:color="auto" w:fill="C6EFCE"/>
            <w:noWrap/>
            <w:vAlign w:val="center"/>
          </w:tcPr>
          <w:p w14:paraId="07855E37" w14:textId="77777777" w:rsidR="004C6421" w:rsidRDefault="009D1962">
            <w:pPr>
              <w:pStyle w:val="P68B1DB1-Normal4"/>
              <w:rPr>
                <w:noProof/>
              </w:rPr>
            </w:pPr>
            <w:r>
              <w:rPr>
                <w:noProof/>
              </w:rPr>
              <w:t>Prawo wtórne zawiera wszelkie regulacje niezbędne do skutecznego wdrożenia i stosowania wszystkich środków dotyczących reform szkolnictwa podstawowego, średniego i wyższego:</w:t>
            </w:r>
          </w:p>
          <w:p w14:paraId="227C0C12" w14:textId="77777777" w:rsidR="004C6421" w:rsidRDefault="009D1962">
            <w:pPr>
              <w:pStyle w:val="P68B1DB1-Normal4"/>
              <w:rPr>
                <w:noProof/>
              </w:rPr>
            </w:pPr>
            <w:r>
              <w:rPr>
                <w:noProof/>
              </w:rPr>
              <w:t>— Reformy systemu szkolnictwa wyższego mające na celu poprawę wyników kształcenia (prawo podstawowe) w zakresie: a) umożliwianie uzyskania dyplomów uniwersyteckich; grupy dyplomów uniwersyteckich; C) reforma programów studiów doktoranckich;</w:t>
            </w:r>
          </w:p>
          <w:p w14:paraId="0BE7C8D6" w14:textId="77777777" w:rsidR="004C6421" w:rsidRDefault="009D1962">
            <w:pPr>
              <w:pStyle w:val="P68B1DB1-Normal4"/>
              <w:rPr>
                <w:noProof/>
              </w:rPr>
            </w:pPr>
            <w:r>
              <w:rPr>
                <w:noProof/>
              </w:rPr>
              <w:t>Dekrety ministerialne w sprawie reformy stypendiów w celu zwiększenia dostępu do szkolnictwa wyższego;</w:t>
            </w:r>
          </w:p>
          <w:p w14:paraId="5610795B" w14:textId="77777777" w:rsidR="004C6421" w:rsidRDefault="009D1962">
            <w:pPr>
              <w:pStyle w:val="P68B1DB1-Normal4"/>
              <w:rPr>
                <w:noProof/>
              </w:rPr>
            </w:pPr>
            <w:r>
              <w:rPr>
                <w:noProof/>
              </w:rPr>
              <w:t>— Reformę zawodu nauczyciela;</w:t>
            </w:r>
          </w:p>
          <w:p w14:paraId="510C7A10" w14:textId="77777777" w:rsidR="004C6421" w:rsidRDefault="009D1962">
            <w:pPr>
              <w:pStyle w:val="P68B1DB1-Normal4"/>
              <w:rPr>
                <w:noProof/>
              </w:rPr>
            </w:pPr>
            <w:r>
              <w:rPr>
                <w:noProof/>
              </w:rPr>
              <w:t>— Reformy systemu szkolnictwa podstawowego i średniego w celu poprawy wyników kształcenia;</w:t>
            </w:r>
          </w:p>
          <w:p w14:paraId="66B3A821" w14:textId="77777777" w:rsidR="004C6421" w:rsidRDefault="009D1962">
            <w:pPr>
              <w:pStyle w:val="P68B1DB1-Normal4"/>
              <w:rPr>
                <w:noProof/>
              </w:rPr>
            </w:pPr>
            <w:r>
              <w:rPr>
                <w:noProof/>
              </w:rPr>
              <w:t xml:space="preserve">— Prawodawstwo miało na celu stworzenie systemu szkoleń wysokiej jakości dla szkół. </w:t>
            </w:r>
          </w:p>
          <w:p w14:paraId="1545DE8C" w14:textId="77777777" w:rsidR="004C6421" w:rsidRDefault="004C6421">
            <w:pPr>
              <w:rPr>
                <w:rFonts w:ascii="Arial Narrow" w:hAnsi="Arial Narrow"/>
                <w:noProof/>
                <w:color w:val="006100"/>
                <w:sz w:val="20"/>
              </w:rPr>
            </w:pPr>
          </w:p>
        </w:tc>
      </w:tr>
      <w:tr w:rsidR="004C6421" w14:paraId="1D35ECA3" w14:textId="77777777">
        <w:trPr>
          <w:trHeight w:val="309"/>
        </w:trPr>
        <w:tc>
          <w:tcPr>
            <w:tcW w:w="380" w:type="pct"/>
            <w:shd w:val="clear" w:color="auto" w:fill="C6EFCE"/>
            <w:noWrap/>
            <w:vAlign w:val="center"/>
          </w:tcPr>
          <w:p w14:paraId="5F8C88B1" w14:textId="77777777" w:rsidR="004C6421" w:rsidRDefault="009D1962">
            <w:pPr>
              <w:pStyle w:val="P68B1DB1-Normal4"/>
              <w:jc w:val="center"/>
              <w:rPr>
                <w:noProof/>
              </w:rPr>
            </w:pPr>
            <w:r>
              <w:rPr>
                <w:noProof/>
              </w:rPr>
              <w:t>M4C1-10 bis</w:t>
            </w:r>
          </w:p>
        </w:tc>
        <w:tc>
          <w:tcPr>
            <w:tcW w:w="500" w:type="pct"/>
            <w:shd w:val="clear" w:color="auto" w:fill="C6EFCE"/>
            <w:noWrap/>
            <w:vAlign w:val="center"/>
          </w:tcPr>
          <w:p w14:paraId="2D64CBBD" w14:textId="77777777" w:rsidR="004C6421" w:rsidRDefault="009D1962">
            <w:pPr>
              <w:pStyle w:val="P68B1DB1-Normal4"/>
              <w:jc w:val="center"/>
              <w:rPr>
                <w:noProof/>
              </w:rPr>
            </w:pPr>
            <w:r>
              <w:rPr>
                <w:noProof/>
              </w:rPr>
              <w:t>Reforma 1.1: Reforma instytutów technicznych i zawodowych</w:t>
            </w:r>
          </w:p>
        </w:tc>
        <w:tc>
          <w:tcPr>
            <w:tcW w:w="358" w:type="pct"/>
            <w:shd w:val="clear" w:color="auto" w:fill="C6EFCE"/>
            <w:noWrap/>
            <w:vAlign w:val="center"/>
          </w:tcPr>
          <w:p w14:paraId="0EE8D88C" w14:textId="42F27247" w:rsidR="004C6421" w:rsidRDefault="00CC179E">
            <w:pPr>
              <w:pStyle w:val="P68B1DB1-Normal4"/>
              <w:jc w:val="center"/>
              <w:rPr>
                <w:noProof/>
              </w:rPr>
            </w:pPr>
            <w:r>
              <w:rPr>
                <w:noProof/>
              </w:rPr>
              <w:t>Milowy</w:t>
            </w:r>
          </w:p>
        </w:tc>
        <w:tc>
          <w:tcPr>
            <w:tcW w:w="572" w:type="pct"/>
            <w:shd w:val="clear" w:color="auto" w:fill="C6EFCE"/>
            <w:noWrap/>
            <w:vAlign w:val="center"/>
          </w:tcPr>
          <w:p w14:paraId="15C81FE5" w14:textId="77777777" w:rsidR="004C6421" w:rsidRDefault="009D1962">
            <w:pPr>
              <w:pStyle w:val="P68B1DB1-Normal4"/>
              <w:jc w:val="center"/>
              <w:rPr>
                <w:noProof/>
              </w:rPr>
            </w:pPr>
            <w:r>
              <w:rPr>
                <w:noProof/>
              </w:rPr>
              <w:t>Wejście w życie prawa wtórnego.</w:t>
            </w:r>
          </w:p>
        </w:tc>
        <w:tc>
          <w:tcPr>
            <w:tcW w:w="480" w:type="pct"/>
            <w:shd w:val="clear" w:color="auto" w:fill="C6EFCE"/>
            <w:noWrap/>
            <w:vAlign w:val="center"/>
          </w:tcPr>
          <w:p w14:paraId="397C4E09" w14:textId="77777777" w:rsidR="004C6421" w:rsidRDefault="009D1962">
            <w:pPr>
              <w:pStyle w:val="P68B1DB1-Normal4"/>
              <w:jc w:val="center"/>
              <w:rPr>
                <w:noProof/>
              </w:rPr>
            </w:pPr>
            <w:r>
              <w:rPr>
                <w:noProof/>
              </w:rPr>
              <w:t>Przepis prawa wskazujący na wejście w życie prawa wtórnego. NIE DOT.</w:t>
            </w:r>
          </w:p>
        </w:tc>
        <w:tc>
          <w:tcPr>
            <w:tcW w:w="422" w:type="pct"/>
            <w:shd w:val="clear" w:color="auto" w:fill="C6EFCE"/>
            <w:noWrap/>
            <w:vAlign w:val="center"/>
          </w:tcPr>
          <w:p w14:paraId="70CA91CC" w14:textId="77777777" w:rsidR="004C6421" w:rsidRDefault="009D1962">
            <w:pPr>
              <w:pStyle w:val="P68B1DB1-Normal4"/>
              <w:jc w:val="center"/>
              <w:rPr>
                <w:noProof/>
              </w:rPr>
            </w:pPr>
            <w:r>
              <w:rPr>
                <w:noProof/>
              </w:rPr>
              <w:t>NIE DOT.</w:t>
            </w:r>
          </w:p>
        </w:tc>
        <w:tc>
          <w:tcPr>
            <w:tcW w:w="375" w:type="pct"/>
            <w:shd w:val="clear" w:color="auto" w:fill="C6EFCE"/>
            <w:noWrap/>
            <w:vAlign w:val="center"/>
          </w:tcPr>
          <w:p w14:paraId="264839D8" w14:textId="77777777" w:rsidR="004C6421" w:rsidRDefault="009D1962">
            <w:pPr>
              <w:pStyle w:val="P68B1DB1-Normal4"/>
              <w:jc w:val="center"/>
              <w:rPr>
                <w:noProof/>
              </w:rPr>
            </w:pPr>
            <w:r>
              <w:rPr>
                <w:noProof/>
              </w:rPr>
              <w:t>NIE DOT.</w:t>
            </w:r>
          </w:p>
        </w:tc>
        <w:tc>
          <w:tcPr>
            <w:tcW w:w="343" w:type="pct"/>
            <w:shd w:val="clear" w:color="auto" w:fill="C6EFCE"/>
            <w:noWrap/>
            <w:vAlign w:val="center"/>
          </w:tcPr>
          <w:p w14:paraId="3BDFDB53" w14:textId="77777777" w:rsidR="004C6421" w:rsidRDefault="009D1962">
            <w:pPr>
              <w:pStyle w:val="P68B1DB1-Normal4"/>
              <w:jc w:val="center"/>
              <w:rPr>
                <w:noProof/>
              </w:rPr>
            </w:pPr>
            <w:r>
              <w:rPr>
                <w:noProof/>
              </w:rPr>
              <w:t>NIE DOT.</w:t>
            </w:r>
          </w:p>
        </w:tc>
        <w:tc>
          <w:tcPr>
            <w:tcW w:w="286" w:type="pct"/>
            <w:shd w:val="clear" w:color="auto" w:fill="C6EFCE"/>
            <w:noWrap/>
            <w:vAlign w:val="center"/>
          </w:tcPr>
          <w:p w14:paraId="15EDE06A" w14:textId="6A16E42F" w:rsidR="004C6421" w:rsidRDefault="00CC179E">
            <w:pPr>
              <w:pStyle w:val="P68B1DB1-Normal4"/>
              <w:jc w:val="center"/>
              <w:rPr>
                <w:noProof/>
              </w:rPr>
            </w:pPr>
            <w:r>
              <w:rPr>
                <w:noProof/>
              </w:rPr>
              <w:t xml:space="preserve">KW. 4 </w:t>
            </w:r>
          </w:p>
        </w:tc>
        <w:tc>
          <w:tcPr>
            <w:tcW w:w="238" w:type="pct"/>
            <w:shd w:val="clear" w:color="auto" w:fill="C6EFCE"/>
            <w:noWrap/>
            <w:vAlign w:val="center"/>
          </w:tcPr>
          <w:p w14:paraId="61C6ED24" w14:textId="77777777" w:rsidR="004C6421" w:rsidRDefault="009D1962">
            <w:pPr>
              <w:pStyle w:val="P68B1DB1-Normal4"/>
              <w:jc w:val="center"/>
              <w:rPr>
                <w:noProof/>
              </w:rPr>
            </w:pPr>
            <w:r>
              <w:rPr>
                <w:noProof/>
              </w:rPr>
              <w:t>2024</w:t>
            </w:r>
          </w:p>
        </w:tc>
        <w:tc>
          <w:tcPr>
            <w:tcW w:w="1046" w:type="pct"/>
            <w:shd w:val="clear" w:color="auto" w:fill="C6EFCE"/>
            <w:noWrap/>
            <w:vAlign w:val="center"/>
          </w:tcPr>
          <w:p w14:paraId="2784657B" w14:textId="77777777" w:rsidR="004C6421" w:rsidRDefault="009D1962">
            <w:pPr>
              <w:pStyle w:val="P68B1DB1-Normal4"/>
              <w:rPr>
                <w:noProof/>
              </w:rPr>
            </w:pPr>
            <w:r>
              <w:rPr>
                <w:noProof/>
              </w:rPr>
              <w:t>Weszło w życie prawodawstwo wtórne dotyczące reformy instytutów technicznych i zawodowych.</w:t>
            </w:r>
          </w:p>
        </w:tc>
      </w:tr>
      <w:tr w:rsidR="004C6421" w14:paraId="0A77FF3C" w14:textId="77777777">
        <w:trPr>
          <w:trHeight w:val="309"/>
        </w:trPr>
        <w:tc>
          <w:tcPr>
            <w:tcW w:w="380" w:type="pct"/>
            <w:shd w:val="clear" w:color="auto" w:fill="C6EFCE"/>
            <w:noWrap/>
            <w:vAlign w:val="center"/>
          </w:tcPr>
          <w:p w14:paraId="38C3F199" w14:textId="77777777" w:rsidR="004C6421" w:rsidRDefault="009D1962">
            <w:pPr>
              <w:pStyle w:val="P68B1DB1-Normal4"/>
              <w:jc w:val="center"/>
              <w:rPr>
                <w:noProof/>
              </w:rPr>
            </w:pPr>
            <w:r>
              <w:rPr>
                <w:noProof/>
              </w:rPr>
              <w:t>M4C1-11</w:t>
            </w:r>
          </w:p>
        </w:tc>
        <w:tc>
          <w:tcPr>
            <w:tcW w:w="500" w:type="pct"/>
            <w:shd w:val="clear" w:color="auto" w:fill="C6EFCE"/>
            <w:noWrap/>
            <w:vAlign w:val="center"/>
          </w:tcPr>
          <w:p w14:paraId="50183FE4" w14:textId="77777777" w:rsidR="004C6421" w:rsidRDefault="009D1962">
            <w:pPr>
              <w:pStyle w:val="P68B1DB1-Normal4"/>
              <w:jc w:val="center"/>
              <w:rPr>
                <w:noProof/>
              </w:rPr>
            </w:pPr>
            <w:r>
              <w:rPr>
                <w:noProof/>
              </w:rPr>
              <w:t>Inwestycja 1.7: Stypendia na dostęp do uczelni</w:t>
            </w:r>
          </w:p>
        </w:tc>
        <w:tc>
          <w:tcPr>
            <w:tcW w:w="358" w:type="pct"/>
            <w:shd w:val="clear" w:color="auto" w:fill="C6EFCE"/>
            <w:noWrap/>
            <w:vAlign w:val="center"/>
          </w:tcPr>
          <w:p w14:paraId="4D57E857" w14:textId="77777777" w:rsidR="004C6421" w:rsidRDefault="009D1962">
            <w:pPr>
              <w:pStyle w:val="P68B1DB1-Normal4"/>
              <w:jc w:val="center"/>
              <w:rPr>
                <w:noProof/>
              </w:rPr>
            </w:pPr>
            <w:r>
              <w:rPr>
                <w:noProof/>
              </w:rPr>
              <w:t>Cel</w:t>
            </w:r>
          </w:p>
        </w:tc>
        <w:tc>
          <w:tcPr>
            <w:tcW w:w="572" w:type="pct"/>
            <w:shd w:val="clear" w:color="auto" w:fill="C6EFCE"/>
            <w:noWrap/>
            <w:vAlign w:val="center"/>
          </w:tcPr>
          <w:p w14:paraId="40793BA1" w14:textId="77777777" w:rsidR="004C6421" w:rsidRDefault="009D1962">
            <w:pPr>
              <w:pStyle w:val="P68B1DB1-Normal4"/>
              <w:jc w:val="center"/>
              <w:rPr>
                <w:noProof/>
              </w:rPr>
            </w:pPr>
            <w:r>
              <w:rPr>
                <w:noProof/>
              </w:rPr>
              <w:t>Przyznane stypendium uniwersyteckie</w:t>
            </w:r>
          </w:p>
        </w:tc>
        <w:tc>
          <w:tcPr>
            <w:tcW w:w="480" w:type="pct"/>
            <w:shd w:val="clear" w:color="auto" w:fill="C6EFCE"/>
            <w:noWrap/>
            <w:vAlign w:val="center"/>
          </w:tcPr>
          <w:p w14:paraId="05F16A28" w14:textId="77777777" w:rsidR="004C6421" w:rsidRDefault="009D1962">
            <w:pPr>
              <w:pStyle w:val="P68B1DB1-Normal4"/>
              <w:jc w:val="center"/>
              <w:rPr>
                <w:noProof/>
              </w:rPr>
            </w:pPr>
            <w:r>
              <w:rPr>
                <w:noProof/>
              </w:rPr>
              <w:t>NIE DOT.</w:t>
            </w:r>
          </w:p>
        </w:tc>
        <w:tc>
          <w:tcPr>
            <w:tcW w:w="422" w:type="pct"/>
            <w:shd w:val="clear" w:color="auto" w:fill="C6EFCE"/>
            <w:noWrap/>
            <w:vAlign w:val="center"/>
          </w:tcPr>
          <w:p w14:paraId="19822BC4" w14:textId="77777777" w:rsidR="004C6421" w:rsidRDefault="009D1962">
            <w:pPr>
              <w:pStyle w:val="P68B1DB1-Normal4"/>
              <w:jc w:val="center"/>
              <w:rPr>
                <w:noProof/>
              </w:rPr>
            </w:pPr>
            <w:r>
              <w:rPr>
                <w:noProof/>
              </w:rPr>
              <w:t>Numer</w:t>
            </w:r>
          </w:p>
        </w:tc>
        <w:tc>
          <w:tcPr>
            <w:tcW w:w="375" w:type="pct"/>
            <w:shd w:val="clear" w:color="auto" w:fill="C6EFCE"/>
            <w:noWrap/>
            <w:vAlign w:val="center"/>
          </w:tcPr>
          <w:p w14:paraId="31D5D0A0" w14:textId="77777777" w:rsidR="004C6421" w:rsidRDefault="009D1962">
            <w:pPr>
              <w:pStyle w:val="P68B1DB1-Normal4"/>
              <w:jc w:val="center"/>
              <w:rPr>
                <w:noProof/>
              </w:rPr>
            </w:pPr>
            <w:r>
              <w:rPr>
                <w:noProof/>
              </w:rPr>
              <w:t>0</w:t>
            </w:r>
          </w:p>
        </w:tc>
        <w:tc>
          <w:tcPr>
            <w:tcW w:w="343" w:type="pct"/>
            <w:shd w:val="clear" w:color="auto" w:fill="C6EFCE"/>
            <w:noWrap/>
            <w:vAlign w:val="center"/>
          </w:tcPr>
          <w:p w14:paraId="72B15C78" w14:textId="771242B5" w:rsidR="004C6421" w:rsidRDefault="009D1962">
            <w:pPr>
              <w:jc w:val="center"/>
              <w:rPr>
                <w:rFonts w:ascii="Arial Narrow" w:hAnsi="Arial Narrow"/>
                <w:noProof/>
                <w:color w:val="006100"/>
                <w:sz w:val="20"/>
              </w:rPr>
            </w:pPr>
            <w:r>
              <w:rPr>
                <w:rFonts w:ascii="Arial Narrow" w:hAnsi="Arial Narrow"/>
                <w:noProof/>
                <w:color w:val="006100"/>
                <w:sz w:val="20"/>
              </w:rPr>
              <w:t>55</w:t>
            </w:r>
            <w:r>
              <w:rPr>
                <w:noProof/>
                <w:sz w:val="23"/>
              </w:rPr>
              <w:t xml:space="preserve"> </w:t>
            </w:r>
            <w:r>
              <w:rPr>
                <w:rFonts w:ascii="Arial Narrow" w:hAnsi="Arial Narrow"/>
                <w:noProof/>
                <w:color w:val="006100"/>
                <w:sz w:val="20"/>
              </w:rPr>
              <w:t>000</w:t>
            </w:r>
          </w:p>
        </w:tc>
        <w:tc>
          <w:tcPr>
            <w:tcW w:w="286" w:type="pct"/>
            <w:shd w:val="clear" w:color="auto" w:fill="C6EFCE"/>
            <w:noWrap/>
            <w:vAlign w:val="center"/>
          </w:tcPr>
          <w:p w14:paraId="19355956" w14:textId="0B3CC97A" w:rsidR="004C6421" w:rsidRDefault="00CC179E">
            <w:pPr>
              <w:pStyle w:val="P68B1DB1-Normal4"/>
              <w:jc w:val="center"/>
              <w:rPr>
                <w:noProof/>
              </w:rPr>
            </w:pPr>
            <w:r>
              <w:rPr>
                <w:noProof/>
              </w:rPr>
              <w:t>KW. 4</w:t>
            </w:r>
          </w:p>
        </w:tc>
        <w:tc>
          <w:tcPr>
            <w:tcW w:w="238" w:type="pct"/>
            <w:shd w:val="clear" w:color="auto" w:fill="C6EFCE"/>
            <w:noWrap/>
            <w:vAlign w:val="center"/>
          </w:tcPr>
          <w:p w14:paraId="2EB107E4" w14:textId="77777777" w:rsidR="004C6421" w:rsidRDefault="009D1962">
            <w:pPr>
              <w:pStyle w:val="P68B1DB1-Normal4"/>
              <w:jc w:val="center"/>
              <w:rPr>
                <w:noProof/>
              </w:rPr>
            </w:pPr>
            <w:r>
              <w:rPr>
                <w:noProof/>
              </w:rPr>
              <w:t>2023</w:t>
            </w:r>
          </w:p>
        </w:tc>
        <w:tc>
          <w:tcPr>
            <w:tcW w:w="1046" w:type="pct"/>
            <w:shd w:val="clear" w:color="auto" w:fill="C6EFCE"/>
            <w:noWrap/>
            <w:vAlign w:val="center"/>
          </w:tcPr>
          <w:p w14:paraId="588892E3" w14:textId="22F3033D" w:rsidR="004C6421" w:rsidRDefault="009D1962">
            <w:pPr>
              <w:rPr>
                <w:rStyle w:val="normaltextrun"/>
                <w:rFonts w:ascii="Arial Narrow" w:eastAsiaTheme="majorEastAsia" w:hAnsi="Arial Narrow"/>
                <w:noProof/>
                <w:sz w:val="20"/>
              </w:rPr>
            </w:pPr>
            <w:r>
              <w:rPr>
                <w:rFonts w:ascii="Arial Narrow" w:hAnsi="Arial Narrow"/>
                <w:noProof/>
                <w:color w:val="006100"/>
                <w:sz w:val="20"/>
              </w:rPr>
              <w:t>Co najmniej 55000</w:t>
            </w:r>
            <w:r>
              <w:rPr>
                <w:noProof/>
                <w:sz w:val="23"/>
              </w:rPr>
              <w:t xml:space="preserve"> </w:t>
            </w:r>
            <w:r>
              <w:rPr>
                <w:rFonts w:ascii="Arial Narrow" w:hAnsi="Arial Narrow"/>
                <w:noProof/>
                <w:color w:val="006100"/>
                <w:sz w:val="20"/>
              </w:rPr>
              <w:t>studentów otrzymuje stypendia finansowane wyłącznie ze środków RRF.</w:t>
            </w:r>
            <w:r>
              <w:rPr>
                <w:noProof/>
                <w:sz w:val="23"/>
              </w:rPr>
              <w:t xml:space="preserve"> </w:t>
            </w:r>
            <w:r>
              <w:rPr>
                <w:rStyle w:val="normaltextrun"/>
                <w:rFonts w:ascii="Arial Narrow" w:hAnsi="Arial Narrow"/>
                <w:noProof/>
                <w:color w:val="006100"/>
                <w:sz w:val="20"/>
                <w:shd w:val="clear" w:color="auto" w:fill="FFFFFF"/>
              </w:rPr>
              <w:t xml:space="preserve"> </w:t>
            </w:r>
          </w:p>
        </w:tc>
      </w:tr>
      <w:tr w:rsidR="004C6421" w14:paraId="3A89A5FA" w14:textId="77777777">
        <w:trPr>
          <w:trHeight w:val="309"/>
        </w:trPr>
        <w:tc>
          <w:tcPr>
            <w:tcW w:w="380" w:type="pct"/>
            <w:shd w:val="clear" w:color="auto" w:fill="C6EFCE"/>
            <w:noWrap/>
            <w:vAlign w:val="center"/>
          </w:tcPr>
          <w:p w14:paraId="3887626F" w14:textId="77777777" w:rsidR="004C6421" w:rsidRDefault="009D1962">
            <w:pPr>
              <w:pStyle w:val="P68B1DB1-Normal4"/>
              <w:jc w:val="center"/>
              <w:rPr>
                <w:noProof/>
              </w:rPr>
            </w:pPr>
            <w:r>
              <w:rPr>
                <w:noProof/>
              </w:rPr>
              <w:t>M4C1-12</w:t>
            </w:r>
          </w:p>
        </w:tc>
        <w:tc>
          <w:tcPr>
            <w:tcW w:w="500" w:type="pct"/>
            <w:shd w:val="clear" w:color="auto" w:fill="C6EFCE"/>
            <w:noWrap/>
            <w:vAlign w:val="center"/>
          </w:tcPr>
          <w:p w14:paraId="3CD81AA9" w14:textId="77777777" w:rsidR="004C6421" w:rsidRDefault="009D1962">
            <w:pPr>
              <w:pStyle w:val="P68B1DB1-Normal4"/>
              <w:jc w:val="center"/>
              <w:rPr>
                <w:noProof/>
              </w:rPr>
            </w:pPr>
            <w:r>
              <w:rPr>
                <w:noProof/>
              </w:rPr>
              <w:t>Inwestycja 4.1: Rozszerzenie liczby i możliwości kariery doktoranckich (nastawione na badania naukowe, administracja publiczna i dziedzictwo kulturowe)</w:t>
            </w:r>
          </w:p>
        </w:tc>
        <w:tc>
          <w:tcPr>
            <w:tcW w:w="358" w:type="pct"/>
            <w:shd w:val="clear" w:color="auto" w:fill="C6EFCE"/>
            <w:noWrap/>
            <w:vAlign w:val="center"/>
          </w:tcPr>
          <w:p w14:paraId="4983932B" w14:textId="77777777" w:rsidR="004C6421" w:rsidRDefault="009D1962">
            <w:pPr>
              <w:pStyle w:val="P68B1DB1-Normal4"/>
              <w:jc w:val="center"/>
              <w:rPr>
                <w:noProof/>
              </w:rPr>
            </w:pPr>
            <w:r>
              <w:rPr>
                <w:noProof/>
              </w:rPr>
              <w:t>Cel</w:t>
            </w:r>
          </w:p>
        </w:tc>
        <w:tc>
          <w:tcPr>
            <w:tcW w:w="572" w:type="pct"/>
            <w:shd w:val="clear" w:color="auto" w:fill="C6EFCE"/>
            <w:noWrap/>
            <w:vAlign w:val="center"/>
          </w:tcPr>
          <w:p w14:paraId="57B1C74A" w14:textId="77777777" w:rsidR="004C6421" w:rsidRDefault="009D1962">
            <w:pPr>
              <w:pStyle w:val="P68B1DB1-Normal4"/>
              <w:jc w:val="center"/>
              <w:rPr>
                <w:noProof/>
              </w:rPr>
            </w:pPr>
            <w:r>
              <w:rPr>
                <w:noProof/>
              </w:rPr>
              <w:t>Stypendia doktoranckie przyznawane rocznie (ponad 3 lata)</w:t>
            </w:r>
          </w:p>
        </w:tc>
        <w:tc>
          <w:tcPr>
            <w:tcW w:w="480" w:type="pct"/>
            <w:shd w:val="clear" w:color="auto" w:fill="C6EFCE"/>
            <w:noWrap/>
            <w:vAlign w:val="center"/>
          </w:tcPr>
          <w:p w14:paraId="5A374696" w14:textId="77777777" w:rsidR="004C6421" w:rsidRDefault="009D1962">
            <w:pPr>
              <w:pStyle w:val="P68B1DB1-Normal4"/>
              <w:jc w:val="center"/>
              <w:rPr>
                <w:noProof/>
              </w:rPr>
            </w:pPr>
            <w:r>
              <w:rPr>
                <w:noProof/>
              </w:rPr>
              <w:t>NIE DOT.</w:t>
            </w:r>
          </w:p>
        </w:tc>
        <w:tc>
          <w:tcPr>
            <w:tcW w:w="422" w:type="pct"/>
            <w:shd w:val="clear" w:color="auto" w:fill="C6EFCE"/>
            <w:noWrap/>
            <w:vAlign w:val="center"/>
          </w:tcPr>
          <w:p w14:paraId="159BC721" w14:textId="77777777" w:rsidR="004C6421" w:rsidRDefault="009D1962">
            <w:pPr>
              <w:pStyle w:val="P68B1DB1-Normal4"/>
              <w:jc w:val="center"/>
              <w:rPr>
                <w:noProof/>
              </w:rPr>
            </w:pPr>
            <w:r>
              <w:rPr>
                <w:noProof/>
              </w:rPr>
              <w:t>Numer</w:t>
            </w:r>
          </w:p>
        </w:tc>
        <w:tc>
          <w:tcPr>
            <w:tcW w:w="375" w:type="pct"/>
            <w:shd w:val="clear" w:color="auto" w:fill="C6EFCE"/>
            <w:noWrap/>
            <w:vAlign w:val="center"/>
          </w:tcPr>
          <w:p w14:paraId="14330047" w14:textId="77777777" w:rsidR="004C6421" w:rsidRDefault="009D1962">
            <w:pPr>
              <w:pStyle w:val="P68B1DB1-Normal4"/>
              <w:jc w:val="center"/>
              <w:rPr>
                <w:noProof/>
              </w:rPr>
            </w:pPr>
            <w:r>
              <w:rPr>
                <w:noProof/>
              </w:rPr>
              <w:t>9 000</w:t>
            </w:r>
          </w:p>
        </w:tc>
        <w:tc>
          <w:tcPr>
            <w:tcW w:w="343" w:type="pct"/>
            <w:shd w:val="clear" w:color="auto" w:fill="C6EFCE"/>
            <w:noWrap/>
            <w:vAlign w:val="center"/>
          </w:tcPr>
          <w:p w14:paraId="039E5B9E" w14:textId="77777777" w:rsidR="004C6421" w:rsidRDefault="009D1962">
            <w:pPr>
              <w:pStyle w:val="P68B1DB1-Normal4"/>
              <w:jc w:val="center"/>
              <w:rPr>
                <w:noProof/>
              </w:rPr>
            </w:pPr>
            <w:r>
              <w:rPr>
                <w:noProof/>
              </w:rPr>
              <w:t>16 200</w:t>
            </w:r>
          </w:p>
        </w:tc>
        <w:tc>
          <w:tcPr>
            <w:tcW w:w="286" w:type="pct"/>
            <w:shd w:val="clear" w:color="auto" w:fill="C6EFCE"/>
            <w:noWrap/>
            <w:vAlign w:val="center"/>
          </w:tcPr>
          <w:p w14:paraId="6D2D7C3C" w14:textId="3609FE19" w:rsidR="004C6421" w:rsidRDefault="00CC179E">
            <w:pPr>
              <w:pStyle w:val="P68B1DB1-Normal4"/>
              <w:jc w:val="center"/>
              <w:rPr>
                <w:noProof/>
              </w:rPr>
            </w:pPr>
            <w:r>
              <w:rPr>
                <w:noProof/>
              </w:rPr>
              <w:t>KW. 4</w:t>
            </w:r>
          </w:p>
        </w:tc>
        <w:tc>
          <w:tcPr>
            <w:tcW w:w="238" w:type="pct"/>
            <w:shd w:val="clear" w:color="auto" w:fill="C6EFCE"/>
            <w:noWrap/>
            <w:vAlign w:val="center"/>
          </w:tcPr>
          <w:p w14:paraId="050400B6" w14:textId="77777777" w:rsidR="004C6421" w:rsidRDefault="009D1962">
            <w:pPr>
              <w:pStyle w:val="P68B1DB1-Normal4"/>
              <w:jc w:val="center"/>
              <w:rPr>
                <w:noProof/>
              </w:rPr>
            </w:pPr>
            <w:r>
              <w:rPr>
                <w:noProof/>
              </w:rPr>
              <w:t>2024</w:t>
            </w:r>
          </w:p>
        </w:tc>
        <w:tc>
          <w:tcPr>
            <w:tcW w:w="1046" w:type="pct"/>
            <w:shd w:val="clear" w:color="auto" w:fill="C6EFCE"/>
            <w:noWrap/>
            <w:vAlign w:val="center"/>
          </w:tcPr>
          <w:p w14:paraId="059C03C9" w14:textId="77777777" w:rsidR="004C6421" w:rsidRDefault="009D1962">
            <w:pPr>
              <w:pStyle w:val="P68B1DB1-Normal4"/>
              <w:rPr>
                <w:noProof/>
              </w:rPr>
            </w:pPr>
            <w:r>
              <w:rPr>
                <w:noProof/>
              </w:rPr>
              <w:t>Co najmniej 1200 dodatkowych programów stypendiów doktoranckich przyznawanych rocznie w ciągu trzech lat); rocznie (ponad trzy lata) przyznaje się co najmniej 1000 dodatkowych programów stypendiów doktoranckich dotyczących administracji publicznej; rocznie przyznaje się co najmniej 200 nowych stypendiów doktoranckich dotyczących dziedzictwa kulturowego (ponad trzy lata).</w:t>
            </w:r>
          </w:p>
          <w:p w14:paraId="4D49FC4D" w14:textId="77777777" w:rsidR="004C6421" w:rsidRDefault="009D1962">
            <w:pPr>
              <w:pStyle w:val="P68B1DB1-Normal4"/>
              <w:rPr>
                <w:noProof/>
              </w:rPr>
            </w:pPr>
            <w:r>
              <w:rPr>
                <w:noProof/>
              </w:rPr>
              <w:t>Poziom bazowy określono jako obecną (w zaokrągleniu) liczbę studentów studiów doktoranckich rozpoczynających każdego roku program we Włoszech:</w:t>
            </w:r>
          </w:p>
          <w:p w14:paraId="2A60FE59" w14:textId="77777777" w:rsidR="004C6421" w:rsidRDefault="004C6421">
            <w:pPr>
              <w:rPr>
                <w:rFonts w:ascii="Arial Narrow" w:hAnsi="Arial Narrow"/>
                <w:noProof/>
                <w:color w:val="006100"/>
                <w:sz w:val="20"/>
              </w:rPr>
            </w:pPr>
          </w:p>
          <w:p w14:paraId="660A7725" w14:textId="77777777" w:rsidR="004C6421" w:rsidRDefault="009D1962">
            <w:pPr>
              <w:rPr>
                <w:rFonts w:ascii="Arial Narrow" w:hAnsi="Arial Narrow"/>
                <w:noProof/>
                <w:color w:val="006100"/>
                <w:sz w:val="20"/>
              </w:rPr>
            </w:pPr>
            <w:r>
              <w:rPr>
                <w:rFonts w:ascii="Arial Narrow" w:hAnsi="Arial Narrow"/>
                <w:noProof/>
                <w:color w:val="006100"/>
                <w:sz w:val="20"/>
              </w:rPr>
              <w:t xml:space="preserve">doktorat jest zaprojektowany w taki sposób, aby w większym stopniu angażować przedsiębiorstwa i pobudzać badania stosowane; </w:t>
            </w:r>
            <w:r>
              <w:rPr>
                <w:rFonts w:ascii="Arial Narrow" w:hAnsi="Arial Narrow"/>
                <w:noProof/>
              </w:rPr>
              <w:t xml:space="preserve"> </w:t>
            </w:r>
            <w:r>
              <w:rPr>
                <w:noProof/>
              </w:rPr>
              <w:t xml:space="preserve">  </w:t>
            </w:r>
            <w:r>
              <w:rPr>
                <w:noProof/>
              </w:rPr>
              <w:br/>
            </w:r>
            <w:r>
              <w:rPr>
                <w:rFonts w:ascii="Arial Narrow" w:hAnsi="Arial Narrow"/>
                <w:noProof/>
                <w:color w:val="006100"/>
                <w:sz w:val="20"/>
              </w:rPr>
              <w:t>doktorat administracji publicznej musi przestrzegać ram regulacyjnych, które mają być wdrożone we współpracy z Ministerstwem Administracji Publicznej. Doktorat z administracji publicznej może być oferowany na różnych klasach doktoranckich określonych przez CUN, Consiglio Universitario Nazionale (np. Prawo, ekonomia i statystyka, nauki polityczne i społeczne), o ile ma to na celu dalsze zakwalifikowanie kandydata do przyczyniania się do rozwoju ulepszonych systemów rządowych.</w:t>
            </w:r>
            <w:r>
              <w:rPr>
                <w:rFonts w:ascii="Arial Narrow" w:hAnsi="Arial Narrow"/>
                <w:noProof/>
              </w:rPr>
              <w:t xml:space="preserve"> </w:t>
            </w:r>
            <w:r>
              <w:rPr>
                <w:noProof/>
              </w:rPr>
              <w:t xml:space="preserve"> </w:t>
            </w:r>
            <w:r>
              <w:rPr>
                <w:noProof/>
              </w:rPr>
              <w:br/>
            </w:r>
            <w:r>
              <w:rPr>
                <w:rFonts w:ascii="Arial Narrow" w:hAnsi="Arial Narrow"/>
                <w:noProof/>
                <w:color w:val="006100"/>
                <w:sz w:val="20"/>
              </w:rPr>
              <w:t>doktoraty dziedzictwa kulturowego są zgodne z ramami, które zostaną określone w ścisłej współpracy z Ministerstwem Kultury (takimi jak Antytypy, filologia, studia literackie, historia sztuki i historia, filozofia, Pedagogia i Psychologia, określone przez CUN, Consiglio Universitario Nazionale).</w:t>
            </w:r>
          </w:p>
        </w:tc>
      </w:tr>
      <w:tr w:rsidR="004C6421" w14:paraId="298C872A" w14:textId="77777777">
        <w:trPr>
          <w:trHeight w:val="309"/>
        </w:trPr>
        <w:tc>
          <w:tcPr>
            <w:tcW w:w="380" w:type="pct"/>
            <w:shd w:val="clear" w:color="auto" w:fill="C6EFCE"/>
            <w:noWrap/>
            <w:vAlign w:val="center"/>
          </w:tcPr>
          <w:p w14:paraId="4DB13200" w14:textId="77777777" w:rsidR="004C6421" w:rsidRDefault="009D1962">
            <w:pPr>
              <w:pStyle w:val="P68B1DB1-Normal4"/>
              <w:jc w:val="center"/>
              <w:rPr>
                <w:noProof/>
              </w:rPr>
            </w:pPr>
            <w:r>
              <w:rPr>
                <w:noProof/>
              </w:rPr>
              <w:t>M4C1-13</w:t>
            </w:r>
          </w:p>
        </w:tc>
        <w:tc>
          <w:tcPr>
            <w:tcW w:w="500" w:type="pct"/>
            <w:shd w:val="clear" w:color="auto" w:fill="C6EFCE"/>
            <w:noWrap/>
            <w:vAlign w:val="center"/>
          </w:tcPr>
          <w:p w14:paraId="21D7FD19" w14:textId="77777777" w:rsidR="004C6421" w:rsidRDefault="009D1962">
            <w:pPr>
              <w:pStyle w:val="P68B1DB1-Normal4"/>
              <w:jc w:val="center"/>
              <w:rPr>
                <w:noProof/>
              </w:rPr>
            </w:pPr>
            <w:r>
              <w:rPr>
                <w:noProof/>
              </w:rPr>
              <w:t>Inwestycja 2.1: Zintegrowane cyfrowe nauczanie i szkolenie pracowników szkół w zakresie transformacji cyfrowej;</w:t>
            </w:r>
          </w:p>
        </w:tc>
        <w:tc>
          <w:tcPr>
            <w:tcW w:w="358" w:type="pct"/>
            <w:shd w:val="clear" w:color="auto" w:fill="C6EFCE"/>
            <w:noWrap/>
            <w:vAlign w:val="center"/>
          </w:tcPr>
          <w:p w14:paraId="76156C6A" w14:textId="77777777" w:rsidR="004C6421" w:rsidRDefault="009D1962">
            <w:pPr>
              <w:pStyle w:val="P68B1DB1-Normal4"/>
              <w:jc w:val="center"/>
              <w:rPr>
                <w:noProof/>
              </w:rPr>
            </w:pPr>
            <w:r>
              <w:rPr>
                <w:noProof/>
              </w:rPr>
              <w:t>Cel</w:t>
            </w:r>
          </w:p>
        </w:tc>
        <w:tc>
          <w:tcPr>
            <w:tcW w:w="572" w:type="pct"/>
            <w:shd w:val="clear" w:color="auto" w:fill="C6EFCE"/>
            <w:noWrap/>
            <w:vAlign w:val="center"/>
          </w:tcPr>
          <w:p w14:paraId="2EED1186" w14:textId="77777777" w:rsidR="004C6421" w:rsidRDefault="009D1962">
            <w:pPr>
              <w:pStyle w:val="P68B1DB1-Normal4"/>
              <w:jc w:val="center"/>
              <w:rPr>
                <w:noProof/>
              </w:rPr>
            </w:pPr>
            <w:r>
              <w:rPr>
                <w:noProof/>
              </w:rPr>
              <w:t>Szkolenie kadry kierowniczej szkół, nauczycieli i personelu administracyjnego</w:t>
            </w:r>
          </w:p>
        </w:tc>
        <w:tc>
          <w:tcPr>
            <w:tcW w:w="480" w:type="pct"/>
            <w:shd w:val="clear" w:color="auto" w:fill="C6EFCE"/>
            <w:noWrap/>
            <w:vAlign w:val="center"/>
          </w:tcPr>
          <w:p w14:paraId="57C614A0" w14:textId="77777777" w:rsidR="004C6421" w:rsidRDefault="009D1962">
            <w:pPr>
              <w:pStyle w:val="P68B1DB1-Normal4"/>
              <w:jc w:val="center"/>
              <w:rPr>
                <w:noProof/>
              </w:rPr>
            </w:pPr>
            <w:r>
              <w:rPr>
                <w:noProof/>
              </w:rPr>
              <w:t>NIE DOT.</w:t>
            </w:r>
          </w:p>
        </w:tc>
        <w:tc>
          <w:tcPr>
            <w:tcW w:w="422" w:type="pct"/>
            <w:shd w:val="clear" w:color="auto" w:fill="C6EFCE"/>
            <w:noWrap/>
            <w:vAlign w:val="center"/>
          </w:tcPr>
          <w:p w14:paraId="65121AE2" w14:textId="77777777" w:rsidR="004C6421" w:rsidRDefault="009D1962">
            <w:pPr>
              <w:pStyle w:val="P68B1DB1-Normal4"/>
              <w:jc w:val="center"/>
              <w:rPr>
                <w:noProof/>
              </w:rPr>
            </w:pPr>
            <w:r>
              <w:rPr>
                <w:noProof/>
              </w:rPr>
              <w:t>Numer</w:t>
            </w:r>
          </w:p>
        </w:tc>
        <w:tc>
          <w:tcPr>
            <w:tcW w:w="375" w:type="pct"/>
            <w:shd w:val="clear" w:color="auto" w:fill="C6EFCE"/>
            <w:noWrap/>
            <w:vAlign w:val="center"/>
          </w:tcPr>
          <w:p w14:paraId="029E4B5D" w14:textId="77777777" w:rsidR="004C6421" w:rsidRDefault="009D1962">
            <w:pPr>
              <w:pStyle w:val="P68B1DB1-Normal4"/>
              <w:jc w:val="center"/>
              <w:rPr>
                <w:noProof/>
              </w:rPr>
            </w:pPr>
            <w:r>
              <w:rPr>
                <w:noProof/>
              </w:rPr>
              <w:t>0</w:t>
            </w:r>
          </w:p>
        </w:tc>
        <w:tc>
          <w:tcPr>
            <w:tcW w:w="343" w:type="pct"/>
            <w:shd w:val="clear" w:color="auto" w:fill="C6EFCE"/>
            <w:noWrap/>
            <w:vAlign w:val="center"/>
          </w:tcPr>
          <w:p w14:paraId="0DBDDA8C" w14:textId="31CE0AD1" w:rsidR="004C6421" w:rsidRDefault="009D1962">
            <w:pPr>
              <w:jc w:val="center"/>
              <w:rPr>
                <w:rFonts w:ascii="Arial Narrow" w:hAnsi="Arial Narrow"/>
                <w:noProof/>
                <w:color w:val="006100"/>
                <w:sz w:val="20"/>
              </w:rPr>
            </w:pPr>
            <w:r>
              <w:rPr>
                <w:rFonts w:ascii="Arial Narrow" w:hAnsi="Arial Narrow"/>
                <w:noProof/>
                <w:color w:val="006100"/>
                <w:sz w:val="20"/>
              </w:rPr>
              <w:t>650</w:t>
            </w:r>
            <w:r>
              <w:rPr>
                <w:noProof/>
                <w:sz w:val="23"/>
              </w:rPr>
              <w:t xml:space="preserve"> </w:t>
            </w:r>
            <w:r>
              <w:rPr>
                <w:rFonts w:ascii="Arial Narrow" w:hAnsi="Arial Narrow"/>
                <w:noProof/>
                <w:color w:val="006100"/>
                <w:sz w:val="20"/>
              </w:rPr>
              <w:t>000</w:t>
            </w:r>
          </w:p>
        </w:tc>
        <w:tc>
          <w:tcPr>
            <w:tcW w:w="286" w:type="pct"/>
            <w:shd w:val="clear" w:color="auto" w:fill="C6EFCE"/>
            <w:noWrap/>
            <w:vAlign w:val="center"/>
          </w:tcPr>
          <w:p w14:paraId="4775E356" w14:textId="3865E870" w:rsidR="004C6421" w:rsidRDefault="00CC179E">
            <w:pPr>
              <w:pStyle w:val="P68B1DB1-Normal4"/>
              <w:jc w:val="center"/>
              <w:rPr>
                <w:noProof/>
              </w:rPr>
            </w:pPr>
            <w:r>
              <w:rPr>
                <w:noProof/>
              </w:rPr>
              <w:t>KW. 4</w:t>
            </w:r>
          </w:p>
        </w:tc>
        <w:tc>
          <w:tcPr>
            <w:tcW w:w="238" w:type="pct"/>
            <w:shd w:val="clear" w:color="auto" w:fill="C6EFCE"/>
            <w:noWrap/>
            <w:vAlign w:val="center"/>
          </w:tcPr>
          <w:p w14:paraId="109F26BF" w14:textId="77777777" w:rsidR="004C6421" w:rsidRDefault="009D1962">
            <w:pPr>
              <w:pStyle w:val="P68B1DB1-Normal4"/>
              <w:jc w:val="center"/>
              <w:rPr>
                <w:noProof/>
              </w:rPr>
            </w:pPr>
            <w:r>
              <w:rPr>
                <w:noProof/>
              </w:rPr>
              <w:t>2025</w:t>
            </w:r>
          </w:p>
        </w:tc>
        <w:tc>
          <w:tcPr>
            <w:tcW w:w="1046" w:type="pct"/>
            <w:shd w:val="clear" w:color="auto" w:fill="C6EFCE"/>
            <w:noWrap/>
            <w:vAlign w:val="center"/>
          </w:tcPr>
          <w:p w14:paraId="449E3252" w14:textId="7F0FD7A2" w:rsidR="004C6421" w:rsidRDefault="009D1962">
            <w:pPr>
              <w:rPr>
                <w:rFonts w:ascii="Arial Narrow" w:hAnsi="Arial Narrow"/>
                <w:noProof/>
                <w:color w:val="006100"/>
                <w:sz w:val="20"/>
              </w:rPr>
            </w:pPr>
            <w:r>
              <w:rPr>
                <w:rFonts w:ascii="Arial Narrow" w:hAnsi="Arial Narrow"/>
                <w:noProof/>
                <w:color w:val="006100"/>
                <w:sz w:val="20"/>
              </w:rPr>
              <w:t>Przeszkolono co najmniej 650000 kierowników szkół, nauczycieli i personelu administracyjnego</w:t>
            </w:r>
          </w:p>
          <w:p w14:paraId="03FD51D4" w14:textId="77777777" w:rsidR="004C6421" w:rsidRDefault="004C6421">
            <w:pPr>
              <w:rPr>
                <w:rFonts w:ascii="Arial Narrow" w:hAnsi="Arial Narrow"/>
                <w:noProof/>
                <w:color w:val="006100"/>
                <w:sz w:val="20"/>
              </w:rPr>
            </w:pPr>
          </w:p>
          <w:p w14:paraId="2838E3EB" w14:textId="5E0C67BB" w:rsidR="004C6421" w:rsidRDefault="009D1962">
            <w:pPr>
              <w:rPr>
                <w:rFonts w:ascii="Arial Narrow" w:hAnsi="Arial Narrow"/>
                <w:noProof/>
                <w:color w:val="006100"/>
                <w:sz w:val="20"/>
              </w:rPr>
            </w:pPr>
            <w:r>
              <w:rPr>
                <w:rFonts w:ascii="Arial Narrow" w:hAnsi="Arial Narrow"/>
                <w:noProof/>
                <w:color w:val="006100"/>
                <w:sz w:val="20"/>
              </w:rPr>
              <w:t>Zintegrowane kształcenie i szkolenie cyfrowe pracowników szkół w zakresie transformacji cyfrowej (650000</w:t>
            </w:r>
            <w:r>
              <w:rPr>
                <w:noProof/>
                <w:sz w:val="23"/>
              </w:rPr>
              <w:t xml:space="preserve"> </w:t>
            </w:r>
            <w:r>
              <w:rPr>
                <w:rFonts w:ascii="Arial Narrow" w:hAnsi="Arial Narrow"/>
                <w:noProof/>
                <w:color w:val="006100"/>
                <w:sz w:val="20"/>
              </w:rPr>
              <w:t>nauczycieli, kadry kierowniczej i personelu administracyjnego, ogólnie przeszkolonych).</w:t>
            </w:r>
          </w:p>
        </w:tc>
      </w:tr>
      <w:tr w:rsidR="004C6421" w14:paraId="378CEFFD" w14:textId="77777777">
        <w:trPr>
          <w:trHeight w:val="309"/>
        </w:trPr>
        <w:tc>
          <w:tcPr>
            <w:tcW w:w="380" w:type="pct"/>
            <w:shd w:val="clear" w:color="auto" w:fill="C6EFCE"/>
            <w:noWrap/>
            <w:vAlign w:val="center"/>
          </w:tcPr>
          <w:p w14:paraId="0F2A131A" w14:textId="77777777" w:rsidR="004C6421" w:rsidRDefault="009D1962">
            <w:pPr>
              <w:pStyle w:val="P68B1DB1-Normal4"/>
              <w:jc w:val="center"/>
              <w:rPr>
                <w:noProof/>
              </w:rPr>
            </w:pPr>
            <w:r>
              <w:rPr>
                <w:noProof/>
              </w:rPr>
              <w:t>M4C1-14</w:t>
            </w:r>
          </w:p>
          <w:p w14:paraId="5C2B92CD" w14:textId="77777777" w:rsidR="004C6421" w:rsidRDefault="004C6421">
            <w:pPr>
              <w:jc w:val="center"/>
              <w:rPr>
                <w:rFonts w:ascii="Arial Narrow" w:hAnsi="Arial Narrow"/>
                <w:noProof/>
                <w:color w:val="006100"/>
                <w:sz w:val="20"/>
              </w:rPr>
            </w:pPr>
          </w:p>
        </w:tc>
        <w:tc>
          <w:tcPr>
            <w:tcW w:w="500" w:type="pct"/>
            <w:shd w:val="clear" w:color="auto" w:fill="C6EFCE"/>
            <w:noWrap/>
            <w:vAlign w:val="center"/>
          </w:tcPr>
          <w:p w14:paraId="0EABB1D2" w14:textId="77777777" w:rsidR="004C6421" w:rsidRDefault="009D1962">
            <w:pPr>
              <w:pStyle w:val="P68B1DB1-Normal4"/>
              <w:jc w:val="center"/>
              <w:rPr>
                <w:noProof/>
              </w:rPr>
            </w:pPr>
            <w:r>
              <w:rPr>
                <w:noProof/>
              </w:rPr>
              <w:t>Reforma 2.1: Rekrutacja nauczycieli</w:t>
            </w:r>
          </w:p>
        </w:tc>
        <w:tc>
          <w:tcPr>
            <w:tcW w:w="358" w:type="pct"/>
            <w:shd w:val="clear" w:color="auto" w:fill="C6EFCE"/>
            <w:noWrap/>
            <w:vAlign w:val="center"/>
          </w:tcPr>
          <w:p w14:paraId="6BD1759E" w14:textId="77777777" w:rsidR="004C6421" w:rsidRDefault="009D1962">
            <w:pPr>
              <w:pStyle w:val="P68B1DB1-Normal4"/>
              <w:jc w:val="center"/>
              <w:rPr>
                <w:noProof/>
              </w:rPr>
            </w:pPr>
            <w:r>
              <w:rPr>
                <w:noProof/>
              </w:rPr>
              <w:t>Cel</w:t>
            </w:r>
          </w:p>
        </w:tc>
        <w:tc>
          <w:tcPr>
            <w:tcW w:w="572" w:type="pct"/>
            <w:shd w:val="clear" w:color="auto" w:fill="C6EFCE"/>
            <w:noWrap/>
            <w:vAlign w:val="center"/>
          </w:tcPr>
          <w:p w14:paraId="5D9A0E4E" w14:textId="77777777" w:rsidR="004C6421" w:rsidRDefault="009D1962">
            <w:pPr>
              <w:pStyle w:val="P68B1DB1-Normal4"/>
              <w:jc w:val="center"/>
              <w:rPr>
                <w:noProof/>
              </w:rPr>
            </w:pPr>
            <w:r>
              <w:rPr>
                <w:noProof/>
              </w:rPr>
              <w:t>Nauczyciele zatrudnieni w ramach zreformowanego systemu rekrutacji</w:t>
            </w:r>
          </w:p>
        </w:tc>
        <w:tc>
          <w:tcPr>
            <w:tcW w:w="480" w:type="pct"/>
            <w:shd w:val="clear" w:color="auto" w:fill="C6EFCE"/>
            <w:noWrap/>
            <w:vAlign w:val="center"/>
          </w:tcPr>
          <w:p w14:paraId="7A23B35A" w14:textId="77777777" w:rsidR="004C6421" w:rsidRDefault="009D1962">
            <w:pPr>
              <w:pStyle w:val="P68B1DB1-Normal4"/>
              <w:jc w:val="center"/>
              <w:rPr>
                <w:noProof/>
              </w:rPr>
            </w:pPr>
            <w:r>
              <w:rPr>
                <w:noProof/>
              </w:rPr>
              <w:t>NIE DOT.</w:t>
            </w:r>
          </w:p>
        </w:tc>
        <w:tc>
          <w:tcPr>
            <w:tcW w:w="422" w:type="pct"/>
            <w:shd w:val="clear" w:color="auto" w:fill="C6EFCE"/>
            <w:noWrap/>
            <w:vAlign w:val="center"/>
          </w:tcPr>
          <w:p w14:paraId="46A48EE9" w14:textId="77777777" w:rsidR="004C6421" w:rsidRDefault="009D1962">
            <w:pPr>
              <w:pStyle w:val="P68B1DB1-Normal4"/>
              <w:jc w:val="center"/>
              <w:rPr>
                <w:noProof/>
              </w:rPr>
            </w:pPr>
            <w:r>
              <w:rPr>
                <w:noProof/>
              </w:rPr>
              <w:t>Numer</w:t>
            </w:r>
          </w:p>
        </w:tc>
        <w:tc>
          <w:tcPr>
            <w:tcW w:w="375" w:type="pct"/>
            <w:shd w:val="clear" w:color="auto" w:fill="C6EFCE"/>
            <w:noWrap/>
            <w:vAlign w:val="center"/>
          </w:tcPr>
          <w:p w14:paraId="320B6D5E" w14:textId="77777777" w:rsidR="004C6421" w:rsidRDefault="009D1962">
            <w:pPr>
              <w:pStyle w:val="P68B1DB1-Normal4"/>
              <w:jc w:val="center"/>
              <w:rPr>
                <w:noProof/>
              </w:rPr>
            </w:pPr>
            <w:r>
              <w:rPr>
                <w:noProof/>
              </w:rPr>
              <w:t>0</w:t>
            </w:r>
          </w:p>
        </w:tc>
        <w:tc>
          <w:tcPr>
            <w:tcW w:w="343" w:type="pct"/>
            <w:shd w:val="clear" w:color="auto" w:fill="C6EFCE"/>
            <w:noWrap/>
            <w:vAlign w:val="center"/>
          </w:tcPr>
          <w:p w14:paraId="7B6F7820" w14:textId="37C53E1B" w:rsidR="004C6421" w:rsidRDefault="009D1962">
            <w:pPr>
              <w:jc w:val="center"/>
              <w:rPr>
                <w:rFonts w:ascii="Arial Narrow" w:hAnsi="Arial Narrow"/>
                <w:noProof/>
                <w:color w:val="006100"/>
                <w:sz w:val="20"/>
              </w:rPr>
            </w:pPr>
            <w:r>
              <w:rPr>
                <w:rFonts w:ascii="Arial Narrow" w:hAnsi="Arial Narrow"/>
                <w:noProof/>
                <w:color w:val="006100"/>
                <w:sz w:val="20"/>
              </w:rPr>
              <w:t>20</w:t>
            </w:r>
            <w:r>
              <w:rPr>
                <w:noProof/>
                <w:sz w:val="23"/>
              </w:rPr>
              <w:t xml:space="preserve"> </w:t>
            </w:r>
            <w:r>
              <w:rPr>
                <w:rFonts w:ascii="Arial Narrow" w:hAnsi="Arial Narrow"/>
                <w:noProof/>
                <w:color w:val="006100"/>
                <w:sz w:val="20"/>
              </w:rPr>
              <w:t>000</w:t>
            </w:r>
          </w:p>
        </w:tc>
        <w:tc>
          <w:tcPr>
            <w:tcW w:w="286" w:type="pct"/>
            <w:shd w:val="clear" w:color="auto" w:fill="C6EFCE"/>
            <w:noWrap/>
            <w:vAlign w:val="center"/>
          </w:tcPr>
          <w:p w14:paraId="7E6060AD" w14:textId="3892E4FC" w:rsidR="004C6421" w:rsidRDefault="00CC179E">
            <w:pPr>
              <w:pStyle w:val="P68B1DB1-Normal4"/>
              <w:jc w:val="center"/>
              <w:rPr>
                <w:noProof/>
              </w:rPr>
            </w:pPr>
            <w:r>
              <w:rPr>
                <w:noProof/>
              </w:rPr>
              <w:t>KW. 4</w:t>
            </w:r>
          </w:p>
        </w:tc>
        <w:tc>
          <w:tcPr>
            <w:tcW w:w="238" w:type="pct"/>
            <w:shd w:val="clear" w:color="auto" w:fill="C6EFCE"/>
            <w:noWrap/>
            <w:vAlign w:val="center"/>
          </w:tcPr>
          <w:p w14:paraId="5269D331" w14:textId="77777777" w:rsidR="004C6421" w:rsidRDefault="009D1962">
            <w:pPr>
              <w:pStyle w:val="P68B1DB1-Normal4"/>
              <w:jc w:val="center"/>
              <w:rPr>
                <w:noProof/>
              </w:rPr>
            </w:pPr>
            <w:r>
              <w:rPr>
                <w:noProof/>
              </w:rPr>
              <w:t>2024</w:t>
            </w:r>
          </w:p>
        </w:tc>
        <w:tc>
          <w:tcPr>
            <w:tcW w:w="1046" w:type="pct"/>
            <w:shd w:val="clear" w:color="auto" w:fill="C6EFCE"/>
            <w:noWrap/>
            <w:vAlign w:val="center"/>
          </w:tcPr>
          <w:p w14:paraId="40D7F2DD" w14:textId="6588E135" w:rsidR="004C6421" w:rsidRDefault="009D1962">
            <w:pPr>
              <w:rPr>
                <w:rFonts w:ascii="Arial Narrow" w:hAnsi="Arial Narrow"/>
                <w:noProof/>
                <w:color w:val="006100"/>
                <w:sz w:val="20"/>
              </w:rPr>
            </w:pPr>
            <w:r>
              <w:rPr>
                <w:rFonts w:ascii="Arial Narrow" w:hAnsi="Arial Narrow"/>
                <w:noProof/>
                <w:color w:val="006100"/>
                <w:sz w:val="20"/>
              </w:rPr>
              <w:t>Co najmniej 20000</w:t>
            </w:r>
            <w:r>
              <w:rPr>
                <w:noProof/>
                <w:sz w:val="23"/>
              </w:rPr>
              <w:t xml:space="preserve"> </w:t>
            </w:r>
            <w:r>
              <w:rPr>
                <w:rFonts w:ascii="Arial Narrow" w:hAnsi="Arial Narrow"/>
                <w:noProof/>
                <w:color w:val="006100"/>
                <w:sz w:val="20"/>
              </w:rPr>
              <w:t>nauczycieli zatrudnionych w ramach zreformowanego systemu rekrutacji</w:t>
            </w:r>
          </w:p>
        </w:tc>
      </w:tr>
      <w:tr w:rsidR="004C6421" w14:paraId="0BA556A7" w14:textId="77777777">
        <w:trPr>
          <w:trHeight w:val="309"/>
        </w:trPr>
        <w:tc>
          <w:tcPr>
            <w:tcW w:w="380" w:type="pct"/>
            <w:shd w:val="clear" w:color="auto" w:fill="C6EFCE"/>
            <w:noWrap/>
            <w:vAlign w:val="center"/>
          </w:tcPr>
          <w:p w14:paraId="34DF7F5F" w14:textId="77777777" w:rsidR="004C6421" w:rsidRDefault="009D1962">
            <w:pPr>
              <w:pStyle w:val="P68B1DB1-Normal4"/>
              <w:jc w:val="center"/>
              <w:rPr>
                <w:noProof/>
              </w:rPr>
            </w:pPr>
            <w:r>
              <w:rPr>
                <w:noProof/>
              </w:rPr>
              <w:t>M4C1-14 bis</w:t>
            </w:r>
          </w:p>
        </w:tc>
        <w:tc>
          <w:tcPr>
            <w:tcW w:w="500" w:type="pct"/>
            <w:shd w:val="clear" w:color="auto" w:fill="C6EFCE"/>
            <w:noWrap/>
            <w:vAlign w:val="center"/>
          </w:tcPr>
          <w:p w14:paraId="7D263DC5" w14:textId="77777777" w:rsidR="004C6421" w:rsidRDefault="009D1962">
            <w:pPr>
              <w:pStyle w:val="P68B1DB1-Normal4"/>
              <w:jc w:val="center"/>
              <w:rPr>
                <w:noProof/>
              </w:rPr>
            </w:pPr>
            <w:r>
              <w:rPr>
                <w:noProof/>
              </w:rPr>
              <w:t xml:space="preserve">Reforma 2.1: Rekrutacja nauczycieli  </w:t>
            </w:r>
          </w:p>
        </w:tc>
        <w:tc>
          <w:tcPr>
            <w:tcW w:w="358" w:type="pct"/>
            <w:shd w:val="clear" w:color="auto" w:fill="C6EFCE"/>
            <w:noWrap/>
            <w:vAlign w:val="center"/>
          </w:tcPr>
          <w:p w14:paraId="3F1C9BBD" w14:textId="77777777" w:rsidR="004C6421" w:rsidRDefault="009D1962">
            <w:pPr>
              <w:pStyle w:val="P68B1DB1-Normal4"/>
              <w:jc w:val="center"/>
              <w:rPr>
                <w:noProof/>
              </w:rPr>
            </w:pPr>
            <w:r>
              <w:rPr>
                <w:noProof/>
              </w:rPr>
              <w:t xml:space="preserve">Cel </w:t>
            </w:r>
          </w:p>
        </w:tc>
        <w:tc>
          <w:tcPr>
            <w:tcW w:w="572" w:type="pct"/>
            <w:shd w:val="clear" w:color="auto" w:fill="C6EFCE"/>
            <w:noWrap/>
            <w:vAlign w:val="center"/>
          </w:tcPr>
          <w:p w14:paraId="478F6E29" w14:textId="77777777" w:rsidR="004C6421" w:rsidRDefault="009D1962">
            <w:pPr>
              <w:pStyle w:val="P68B1DB1-Normal4"/>
              <w:jc w:val="center"/>
              <w:rPr>
                <w:noProof/>
              </w:rPr>
            </w:pPr>
            <w:r>
              <w:rPr>
                <w:noProof/>
              </w:rPr>
              <w:t>Nauczyciele zatrudnieni w ramach zreformowanego systemu rekrutacji</w:t>
            </w:r>
          </w:p>
        </w:tc>
        <w:tc>
          <w:tcPr>
            <w:tcW w:w="480" w:type="pct"/>
            <w:shd w:val="clear" w:color="auto" w:fill="C6EFCE"/>
            <w:noWrap/>
            <w:vAlign w:val="center"/>
          </w:tcPr>
          <w:p w14:paraId="64820631" w14:textId="77777777" w:rsidR="004C6421" w:rsidRDefault="009D1962">
            <w:pPr>
              <w:pStyle w:val="P68B1DB1-Normal4"/>
              <w:jc w:val="center"/>
              <w:rPr>
                <w:noProof/>
              </w:rPr>
            </w:pPr>
            <w:r>
              <w:rPr>
                <w:noProof/>
              </w:rPr>
              <w:t xml:space="preserve">NIE DOT. </w:t>
            </w:r>
          </w:p>
        </w:tc>
        <w:tc>
          <w:tcPr>
            <w:tcW w:w="422" w:type="pct"/>
            <w:shd w:val="clear" w:color="auto" w:fill="C6EFCE"/>
            <w:noWrap/>
            <w:vAlign w:val="center"/>
          </w:tcPr>
          <w:p w14:paraId="6B3463D5" w14:textId="77777777" w:rsidR="004C6421" w:rsidRDefault="009D1962">
            <w:pPr>
              <w:pStyle w:val="P68B1DB1-Normal4"/>
              <w:jc w:val="center"/>
              <w:rPr>
                <w:noProof/>
              </w:rPr>
            </w:pPr>
            <w:r>
              <w:rPr>
                <w:noProof/>
              </w:rPr>
              <w:t xml:space="preserve">Numer </w:t>
            </w:r>
          </w:p>
        </w:tc>
        <w:tc>
          <w:tcPr>
            <w:tcW w:w="375" w:type="pct"/>
            <w:shd w:val="clear" w:color="auto" w:fill="C6EFCE"/>
            <w:noWrap/>
            <w:vAlign w:val="center"/>
          </w:tcPr>
          <w:p w14:paraId="53E6E102" w14:textId="77777777" w:rsidR="004C6421" w:rsidRDefault="009D1962">
            <w:pPr>
              <w:pStyle w:val="P68B1DB1-Normal4"/>
              <w:jc w:val="center"/>
              <w:rPr>
                <w:noProof/>
              </w:rPr>
            </w:pPr>
            <w:r>
              <w:rPr>
                <w:noProof/>
              </w:rPr>
              <w:t xml:space="preserve">0 </w:t>
            </w:r>
          </w:p>
        </w:tc>
        <w:tc>
          <w:tcPr>
            <w:tcW w:w="343" w:type="pct"/>
            <w:shd w:val="clear" w:color="auto" w:fill="C6EFCE"/>
            <w:noWrap/>
            <w:vAlign w:val="center"/>
          </w:tcPr>
          <w:p w14:paraId="5B52E2AA" w14:textId="1E23E2E2" w:rsidR="004C6421" w:rsidRDefault="009D1962">
            <w:pPr>
              <w:jc w:val="center"/>
              <w:rPr>
                <w:rFonts w:ascii="Arial Narrow" w:hAnsi="Arial Narrow"/>
                <w:noProof/>
                <w:color w:val="006100"/>
                <w:sz w:val="20"/>
              </w:rPr>
            </w:pPr>
            <w:r>
              <w:rPr>
                <w:rFonts w:ascii="Arial Narrow" w:hAnsi="Arial Narrow"/>
                <w:noProof/>
                <w:color w:val="006100"/>
                <w:sz w:val="20"/>
              </w:rPr>
              <w:t>20</w:t>
            </w:r>
            <w:r>
              <w:rPr>
                <w:noProof/>
                <w:sz w:val="23"/>
              </w:rPr>
              <w:t xml:space="preserve"> </w:t>
            </w:r>
            <w:r>
              <w:rPr>
                <w:rFonts w:ascii="Arial Narrow" w:hAnsi="Arial Narrow"/>
                <w:noProof/>
                <w:color w:val="006100"/>
                <w:sz w:val="20"/>
              </w:rPr>
              <w:t>000</w:t>
            </w:r>
          </w:p>
        </w:tc>
        <w:tc>
          <w:tcPr>
            <w:tcW w:w="286" w:type="pct"/>
            <w:shd w:val="clear" w:color="auto" w:fill="C6EFCE"/>
            <w:noWrap/>
            <w:vAlign w:val="center"/>
          </w:tcPr>
          <w:p w14:paraId="15CE84E7" w14:textId="77777777" w:rsidR="004C6421" w:rsidRDefault="009D1962">
            <w:pPr>
              <w:pStyle w:val="P68B1DB1-Normal4"/>
              <w:jc w:val="center"/>
              <w:rPr>
                <w:noProof/>
              </w:rPr>
            </w:pPr>
            <w:r>
              <w:rPr>
                <w:noProof/>
              </w:rPr>
              <w:t>III KW.</w:t>
            </w:r>
          </w:p>
        </w:tc>
        <w:tc>
          <w:tcPr>
            <w:tcW w:w="238" w:type="pct"/>
            <w:shd w:val="clear" w:color="auto" w:fill="C6EFCE"/>
            <w:noWrap/>
            <w:vAlign w:val="center"/>
          </w:tcPr>
          <w:p w14:paraId="2ECD5009" w14:textId="77777777" w:rsidR="004C6421" w:rsidRDefault="009D1962">
            <w:pPr>
              <w:pStyle w:val="P68B1DB1-Normal4"/>
              <w:jc w:val="center"/>
              <w:rPr>
                <w:noProof/>
              </w:rPr>
            </w:pPr>
            <w:r>
              <w:rPr>
                <w:noProof/>
              </w:rPr>
              <w:t xml:space="preserve">2025 </w:t>
            </w:r>
          </w:p>
        </w:tc>
        <w:tc>
          <w:tcPr>
            <w:tcW w:w="1046" w:type="pct"/>
            <w:shd w:val="clear" w:color="auto" w:fill="C6EFCE"/>
            <w:noWrap/>
            <w:vAlign w:val="center"/>
          </w:tcPr>
          <w:p w14:paraId="15843300" w14:textId="3AC91C8C" w:rsidR="004C6421" w:rsidRDefault="009D1962">
            <w:pPr>
              <w:rPr>
                <w:rFonts w:ascii="Arial Narrow" w:hAnsi="Arial Narrow"/>
                <w:noProof/>
                <w:color w:val="006100"/>
                <w:sz w:val="20"/>
              </w:rPr>
            </w:pPr>
            <w:r>
              <w:rPr>
                <w:rFonts w:ascii="Arial Narrow" w:hAnsi="Arial Narrow"/>
                <w:noProof/>
                <w:color w:val="006100"/>
                <w:sz w:val="20"/>
              </w:rPr>
              <w:t>Co najmniej 20000</w:t>
            </w:r>
            <w:r>
              <w:rPr>
                <w:noProof/>
                <w:sz w:val="23"/>
              </w:rPr>
              <w:t xml:space="preserve"> </w:t>
            </w:r>
            <w:r>
              <w:rPr>
                <w:rFonts w:ascii="Arial Narrow" w:hAnsi="Arial Narrow"/>
                <w:noProof/>
                <w:color w:val="006100"/>
                <w:sz w:val="20"/>
              </w:rPr>
              <w:t>nauczycieli zatrudnionych w ramach zreformowanego systemu rekrutacji</w:t>
            </w:r>
          </w:p>
        </w:tc>
      </w:tr>
      <w:tr w:rsidR="004C6421" w14:paraId="486B34A0" w14:textId="77777777">
        <w:trPr>
          <w:trHeight w:val="309"/>
        </w:trPr>
        <w:tc>
          <w:tcPr>
            <w:tcW w:w="380" w:type="pct"/>
            <w:shd w:val="clear" w:color="auto" w:fill="C6EFCE"/>
            <w:noWrap/>
            <w:vAlign w:val="center"/>
          </w:tcPr>
          <w:p w14:paraId="60F9FB5D" w14:textId="77777777" w:rsidR="004C6421" w:rsidRDefault="009D1962">
            <w:pPr>
              <w:pStyle w:val="P68B1DB1-Normal4"/>
              <w:jc w:val="center"/>
              <w:rPr>
                <w:noProof/>
              </w:rPr>
            </w:pPr>
            <w:r>
              <w:rPr>
                <w:noProof/>
              </w:rPr>
              <w:t>M4C1-14ter</w:t>
            </w:r>
          </w:p>
        </w:tc>
        <w:tc>
          <w:tcPr>
            <w:tcW w:w="500" w:type="pct"/>
            <w:shd w:val="clear" w:color="auto" w:fill="C6EFCE"/>
            <w:noWrap/>
            <w:vAlign w:val="center"/>
          </w:tcPr>
          <w:p w14:paraId="712D0F8D" w14:textId="77777777" w:rsidR="004C6421" w:rsidRDefault="009D1962">
            <w:pPr>
              <w:pStyle w:val="P68B1DB1-Normal4"/>
              <w:jc w:val="center"/>
              <w:rPr>
                <w:noProof/>
              </w:rPr>
            </w:pPr>
            <w:r>
              <w:rPr>
                <w:noProof/>
              </w:rPr>
              <w:t>Reforma 2.1: Rekrutacja nauczycieli</w:t>
            </w:r>
          </w:p>
        </w:tc>
        <w:tc>
          <w:tcPr>
            <w:tcW w:w="358" w:type="pct"/>
            <w:shd w:val="clear" w:color="auto" w:fill="C6EFCE"/>
            <w:noWrap/>
            <w:vAlign w:val="center"/>
          </w:tcPr>
          <w:p w14:paraId="68BA7C39" w14:textId="77777777" w:rsidR="004C6421" w:rsidRDefault="009D1962">
            <w:pPr>
              <w:pStyle w:val="P68B1DB1-Normal4"/>
              <w:jc w:val="center"/>
              <w:rPr>
                <w:noProof/>
              </w:rPr>
            </w:pPr>
            <w:r>
              <w:rPr>
                <w:noProof/>
              </w:rPr>
              <w:t>Cel</w:t>
            </w:r>
          </w:p>
        </w:tc>
        <w:tc>
          <w:tcPr>
            <w:tcW w:w="572" w:type="pct"/>
            <w:shd w:val="clear" w:color="auto" w:fill="C6EFCE"/>
            <w:noWrap/>
            <w:vAlign w:val="center"/>
          </w:tcPr>
          <w:p w14:paraId="553C750A" w14:textId="77777777" w:rsidR="004C6421" w:rsidRDefault="009D1962">
            <w:pPr>
              <w:pStyle w:val="P68B1DB1-Normal4"/>
              <w:jc w:val="center"/>
              <w:rPr>
                <w:noProof/>
              </w:rPr>
            </w:pPr>
            <w:r>
              <w:rPr>
                <w:noProof/>
              </w:rPr>
              <w:t>Kandydaci, którzy pomyślnie przeszli konkurs publiczny na nauczyciele po zreformowanym systemie rekrutacji.</w:t>
            </w:r>
          </w:p>
        </w:tc>
        <w:tc>
          <w:tcPr>
            <w:tcW w:w="480" w:type="pct"/>
            <w:shd w:val="clear" w:color="auto" w:fill="C6EFCE"/>
            <w:noWrap/>
            <w:vAlign w:val="center"/>
          </w:tcPr>
          <w:p w14:paraId="0B62F4C6" w14:textId="77777777" w:rsidR="004C6421" w:rsidRDefault="009D1962">
            <w:pPr>
              <w:pStyle w:val="P68B1DB1-Normal4"/>
              <w:jc w:val="center"/>
              <w:rPr>
                <w:noProof/>
              </w:rPr>
            </w:pPr>
            <w:r>
              <w:rPr>
                <w:noProof/>
              </w:rPr>
              <w:t xml:space="preserve">NIE DOT. </w:t>
            </w:r>
          </w:p>
        </w:tc>
        <w:tc>
          <w:tcPr>
            <w:tcW w:w="422" w:type="pct"/>
            <w:shd w:val="clear" w:color="auto" w:fill="C6EFCE"/>
            <w:noWrap/>
            <w:vAlign w:val="center"/>
          </w:tcPr>
          <w:p w14:paraId="6E55183C" w14:textId="77777777" w:rsidR="004C6421" w:rsidRDefault="009D1962">
            <w:pPr>
              <w:pStyle w:val="P68B1DB1-Normal4"/>
              <w:jc w:val="center"/>
              <w:rPr>
                <w:noProof/>
              </w:rPr>
            </w:pPr>
            <w:r>
              <w:rPr>
                <w:noProof/>
              </w:rPr>
              <w:t>Numer</w:t>
            </w:r>
          </w:p>
        </w:tc>
        <w:tc>
          <w:tcPr>
            <w:tcW w:w="375" w:type="pct"/>
            <w:shd w:val="clear" w:color="auto" w:fill="C6EFCE"/>
            <w:noWrap/>
            <w:vAlign w:val="center"/>
          </w:tcPr>
          <w:p w14:paraId="518F9A80" w14:textId="77777777" w:rsidR="004C6421" w:rsidRDefault="009D1962">
            <w:pPr>
              <w:pStyle w:val="P68B1DB1-Normal4"/>
              <w:jc w:val="center"/>
              <w:rPr>
                <w:noProof/>
              </w:rPr>
            </w:pPr>
            <w:r>
              <w:rPr>
                <w:noProof/>
              </w:rPr>
              <w:t>0</w:t>
            </w:r>
          </w:p>
        </w:tc>
        <w:tc>
          <w:tcPr>
            <w:tcW w:w="343" w:type="pct"/>
            <w:shd w:val="clear" w:color="auto" w:fill="C6EFCE"/>
            <w:noWrap/>
            <w:vAlign w:val="center"/>
          </w:tcPr>
          <w:p w14:paraId="0D26FF23" w14:textId="2C352BF2" w:rsidR="004C6421" w:rsidRDefault="009D1962">
            <w:pPr>
              <w:jc w:val="center"/>
              <w:rPr>
                <w:rFonts w:ascii="Arial Narrow" w:hAnsi="Arial Narrow"/>
                <w:noProof/>
                <w:color w:val="006100"/>
                <w:sz w:val="20"/>
              </w:rPr>
            </w:pPr>
            <w:r>
              <w:rPr>
                <w:rFonts w:ascii="Arial Narrow" w:hAnsi="Arial Narrow"/>
                <w:noProof/>
                <w:color w:val="006100"/>
                <w:sz w:val="20"/>
              </w:rPr>
              <w:t>30</w:t>
            </w:r>
            <w:r>
              <w:rPr>
                <w:noProof/>
                <w:sz w:val="23"/>
              </w:rPr>
              <w:t xml:space="preserve"> </w:t>
            </w:r>
            <w:r>
              <w:rPr>
                <w:rFonts w:ascii="Arial Narrow" w:hAnsi="Arial Narrow"/>
                <w:noProof/>
                <w:color w:val="006100"/>
                <w:sz w:val="20"/>
              </w:rPr>
              <w:t>000</w:t>
            </w:r>
          </w:p>
        </w:tc>
        <w:tc>
          <w:tcPr>
            <w:tcW w:w="286" w:type="pct"/>
            <w:shd w:val="clear" w:color="auto" w:fill="C6EFCE"/>
            <w:noWrap/>
            <w:vAlign w:val="center"/>
          </w:tcPr>
          <w:p w14:paraId="2C16A501" w14:textId="77777777" w:rsidR="004C6421" w:rsidRDefault="009D1962">
            <w:pPr>
              <w:pStyle w:val="P68B1DB1-Normal4"/>
              <w:jc w:val="center"/>
              <w:rPr>
                <w:noProof/>
              </w:rPr>
            </w:pPr>
            <w:r>
              <w:rPr>
                <w:noProof/>
              </w:rPr>
              <w:t xml:space="preserve">II KW. </w:t>
            </w:r>
          </w:p>
        </w:tc>
        <w:tc>
          <w:tcPr>
            <w:tcW w:w="238" w:type="pct"/>
            <w:shd w:val="clear" w:color="auto" w:fill="C6EFCE"/>
            <w:noWrap/>
            <w:vAlign w:val="center"/>
          </w:tcPr>
          <w:p w14:paraId="7BC4CF2E" w14:textId="77777777" w:rsidR="004C6421" w:rsidRDefault="009D1962">
            <w:pPr>
              <w:pStyle w:val="P68B1DB1-Normal4"/>
              <w:jc w:val="center"/>
              <w:rPr>
                <w:noProof/>
              </w:rPr>
            </w:pPr>
            <w:r>
              <w:rPr>
                <w:noProof/>
              </w:rPr>
              <w:t>2026</w:t>
            </w:r>
          </w:p>
        </w:tc>
        <w:tc>
          <w:tcPr>
            <w:tcW w:w="1046" w:type="pct"/>
            <w:shd w:val="clear" w:color="auto" w:fill="C6EFCE"/>
            <w:noWrap/>
            <w:vAlign w:val="center"/>
          </w:tcPr>
          <w:p w14:paraId="484D2447" w14:textId="27C9C320" w:rsidR="004C6421" w:rsidRDefault="009D1962">
            <w:pPr>
              <w:rPr>
                <w:rFonts w:ascii="Arial Narrow" w:hAnsi="Arial Narrow"/>
                <w:noProof/>
                <w:color w:val="006100"/>
                <w:sz w:val="20"/>
              </w:rPr>
            </w:pPr>
            <w:r>
              <w:rPr>
                <w:rFonts w:ascii="Arial Narrow" w:hAnsi="Arial Narrow"/>
                <w:noProof/>
                <w:color w:val="006100"/>
                <w:sz w:val="20"/>
              </w:rPr>
              <w:t>Po zreformowanym systemie rekrutacji co najmniej 30000</w:t>
            </w:r>
            <w:r>
              <w:rPr>
                <w:noProof/>
                <w:sz w:val="23"/>
              </w:rPr>
              <w:t xml:space="preserve"> </w:t>
            </w:r>
            <w:r>
              <w:rPr>
                <w:rFonts w:ascii="Arial Narrow" w:hAnsi="Arial Narrow"/>
                <w:noProof/>
                <w:color w:val="006100"/>
                <w:sz w:val="20"/>
              </w:rPr>
              <w:t xml:space="preserve">kandydatów pomyślnie przeszło konkurs publiczny na nauczyciele.  </w:t>
            </w:r>
          </w:p>
          <w:p w14:paraId="52758857" w14:textId="77777777" w:rsidR="004C6421" w:rsidRDefault="004C6421">
            <w:pPr>
              <w:rPr>
                <w:rFonts w:ascii="Arial Narrow" w:hAnsi="Arial Narrow"/>
                <w:noProof/>
                <w:color w:val="006100"/>
                <w:sz w:val="20"/>
              </w:rPr>
            </w:pPr>
          </w:p>
          <w:p w14:paraId="01FC5590" w14:textId="77777777" w:rsidR="004C6421" w:rsidRDefault="009D1962">
            <w:pPr>
              <w:pStyle w:val="P68B1DB1-Normal4"/>
              <w:rPr>
                <w:noProof/>
              </w:rPr>
            </w:pPr>
            <w:r>
              <w:rPr>
                <w:noProof/>
              </w:rPr>
              <w:t>Wszyscy laureaci muszą przejść 60 ECTS w ramach procesu wstępnej kwalifikacji przed uczestnictwem w konkursie publicznym.</w:t>
            </w:r>
          </w:p>
        </w:tc>
      </w:tr>
      <w:tr w:rsidR="004C6421" w14:paraId="325763F0" w14:textId="77777777">
        <w:trPr>
          <w:trHeight w:val="309"/>
        </w:trPr>
        <w:tc>
          <w:tcPr>
            <w:tcW w:w="380" w:type="pct"/>
            <w:shd w:val="clear" w:color="auto" w:fill="C6EFCE"/>
            <w:noWrap/>
            <w:vAlign w:val="center"/>
          </w:tcPr>
          <w:p w14:paraId="53CECA9F" w14:textId="77777777" w:rsidR="004C6421" w:rsidRDefault="009D1962">
            <w:pPr>
              <w:pStyle w:val="P68B1DB1-Normal4"/>
              <w:jc w:val="center"/>
              <w:rPr>
                <w:noProof/>
              </w:rPr>
            </w:pPr>
            <w:r>
              <w:rPr>
                <w:noProof/>
              </w:rPr>
              <w:t>M4C1-15</w:t>
            </w:r>
          </w:p>
        </w:tc>
        <w:tc>
          <w:tcPr>
            <w:tcW w:w="500" w:type="pct"/>
            <w:shd w:val="clear" w:color="auto" w:fill="C6EFCE"/>
            <w:noWrap/>
            <w:vAlign w:val="center"/>
          </w:tcPr>
          <w:p w14:paraId="3F402734" w14:textId="77777777" w:rsidR="004C6421" w:rsidRDefault="009D1962">
            <w:pPr>
              <w:pStyle w:val="P68B1DB1-Normal4"/>
              <w:jc w:val="center"/>
              <w:rPr>
                <w:noProof/>
              </w:rPr>
            </w:pPr>
            <w:r>
              <w:rPr>
                <w:noProof/>
              </w:rPr>
              <w:t>Inwestycja 1.7: Stypendia na dostęp do uczelni</w:t>
            </w:r>
          </w:p>
        </w:tc>
        <w:tc>
          <w:tcPr>
            <w:tcW w:w="358" w:type="pct"/>
            <w:shd w:val="clear" w:color="auto" w:fill="C6EFCE"/>
            <w:noWrap/>
            <w:vAlign w:val="center"/>
          </w:tcPr>
          <w:p w14:paraId="1B2CCFE2" w14:textId="77777777" w:rsidR="004C6421" w:rsidRDefault="009D1962">
            <w:pPr>
              <w:pStyle w:val="P68B1DB1-Normal4"/>
              <w:rPr>
                <w:noProof/>
              </w:rPr>
            </w:pPr>
            <w:r>
              <w:rPr>
                <w:noProof/>
              </w:rPr>
              <w:t>Cel</w:t>
            </w:r>
          </w:p>
        </w:tc>
        <w:tc>
          <w:tcPr>
            <w:tcW w:w="572" w:type="pct"/>
            <w:shd w:val="clear" w:color="auto" w:fill="C6EFCE"/>
            <w:noWrap/>
            <w:vAlign w:val="center"/>
          </w:tcPr>
          <w:p w14:paraId="212FCA59" w14:textId="77777777" w:rsidR="004C6421" w:rsidRDefault="009D1962">
            <w:pPr>
              <w:pStyle w:val="P68B1DB1-Normal4"/>
              <w:jc w:val="center"/>
              <w:rPr>
                <w:noProof/>
              </w:rPr>
            </w:pPr>
            <w:r>
              <w:rPr>
                <w:noProof/>
              </w:rPr>
              <w:t>Przyznane stypendia na dostęp do uczelni</w:t>
            </w:r>
          </w:p>
        </w:tc>
        <w:tc>
          <w:tcPr>
            <w:tcW w:w="480" w:type="pct"/>
            <w:shd w:val="clear" w:color="auto" w:fill="C6EFCE"/>
            <w:noWrap/>
            <w:vAlign w:val="center"/>
          </w:tcPr>
          <w:p w14:paraId="4172897B" w14:textId="77777777" w:rsidR="004C6421" w:rsidRDefault="009D1962">
            <w:pPr>
              <w:pStyle w:val="P68B1DB1-Normal4"/>
              <w:jc w:val="center"/>
              <w:rPr>
                <w:noProof/>
              </w:rPr>
            </w:pPr>
            <w:r>
              <w:rPr>
                <w:noProof/>
              </w:rPr>
              <w:t>NIE DOT.</w:t>
            </w:r>
          </w:p>
        </w:tc>
        <w:tc>
          <w:tcPr>
            <w:tcW w:w="422" w:type="pct"/>
            <w:shd w:val="clear" w:color="auto" w:fill="C6EFCE"/>
            <w:noWrap/>
            <w:vAlign w:val="center"/>
          </w:tcPr>
          <w:p w14:paraId="621102A8" w14:textId="77777777" w:rsidR="004C6421" w:rsidRDefault="009D1962">
            <w:pPr>
              <w:pStyle w:val="P68B1DB1-Normal4"/>
              <w:jc w:val="center"/>
              <w:rPr>
                <w:noProof/>
              </w:rPr>
            </w:pPr>
            <w:r>
              <w:rPr>
                <w:noProof/>
              </w:rPr>
              <w:t>Numer</w:t>
            </w:r>
          </w:p>
        </w:tc>
        <w:tc>
          <w:tcPr>
            <w:tcW w:w="375" w:type="pct"/>
            <w:shd w:val="clear" w:color="auto" w:fill="C6EFCE"/>
            <w:noWrap/>
            <w:vAlign w:val="center"/>
          </w:tcPr>
          <w:p w14:paraId="419FD21B" w14:textId="77777777" w:rsidR="004C6421" w:rsidRDefault="009D1962">
            <w:pPr>
              <w:pStyle w:val="P68B1DB1-Normal4"/>
              <w:jc w:val="center"/>
              <w:rPr>
                <w:noProof/>
              </w:rPr>
            </w:pPr>
            <w:r>
              <w:rPr>
                <w:noProof/>
              </w:rPr>
              <w:t>0</w:t>
            </w:r>
          </w:p>
        </w:tc>
        <w:tc>
          <w:tcPr>
            <w:tcW w:w="343" w:type="pct"/>
            <w:shd w:val="clear" w:color="auto" w:fill="C6EFCE"/>
            <w:noWrap/>
            <w:vAlign w:val="center"/>
          </w:tcPr>
          <w:p w14:paraId="2B4C1EF1" w14:textId="7255526D" w:rsidR="004C6421" w:rsidRDefault="009D1962">
            <w:pPr>
              <w:jc w:val="center"/>
              <w:rPr>
                <w:rFonts w:ascii="Arial Narrow" w:hAnsi="Arial Narrow"/>
                <w:noProof/>
                <w:color w:val="006100"/>
                <w:sz w:val="20"/>
              </w:rPr>
            </w:pPr>
            <w:r>
              <w:rPr>
                <w:rFonts w:ascii="Arial Narrow" w:hAnsi="Arial Narrow"/>
                <w:noProof/>
                <w:color w:val="006100"/>
                <w:sz w:val="20"/>
              </w:rPr>
              <w:t>55</w:t>
            </w:r>
            <w:r>
              <w:rPr>
                <w:noProof/>
                <w:sz w:val="23"/>
              </w:rPr>
              <w:t xml:space="preserve"> </w:t>
            </w:r>
            <w:r>
              <w:rPr>
                <w:rFonts w:ascii="Arial Narrow" w:hAnsi="Arial Narrow"/>
                <w:noProof/>
                <w:color w:val="006100"/>
                <w:sz w:val="20"/>
              </w:rPr>
              <w:t>000</w:t>
            </w:r>
          </w:p>
        </w:tc>
        <w:tc>
          <w:tcPr>
            <w:tcW w:w="286" w:type="pct"/>
            <w:shd w:val="clear" w:color="auto" w:fill="C6EFCE"/>
            <w:noWrap/>
            <w:vAlign w:val="center"/>
          </w:tcPr>
          <w:p w14:paraId="224BC1D1" w14:textId="76675848" w:rsidR="004C6421" w:rsidRDefault="00CC179E">
            <w:pPr>
              <w:pStyle w:val="P68B1DB1-Normal4"/>
              <w:jc w:val="center"/>
              <w:rPr>
                <w:noProof/>
              </w:rPr>
            </w:pPr>
            <w:r>
              <w:rPr>
                <w:noProof/>
              </w:rPr>
              <w:t>KW. 4</w:t>
            </w:r>
          </w:p>
        </w:tc>
        <w:tc>
          <w:tcPr>
            <w:tcW w:w="238" w:type="pct"/>
            <w:shd w:val="clear" w:color="auto" w:fill="C6EFCE"/>
            <w:noWrap/>
            <w:vAlign w:val="center"/>
          </w:tcPr>
          <w:p w14:paraId="4F574697" w14:textId="77777777" w:rsidR="004C6421" w:rsidRDefault="009D1962">
            <w:pPr>
              <w:pStyle w:val="P68B1DB1-Normal4"/>
              <w:rPr>
                <w:noProof/>
              </w:rPr>
            </w:pPr>
            <w:r>
              <w:rPr>
                <w:noProof/>
              </w:rPr>
              <w:t>2024</w:t>
            </w:r>
          </w:p>
        </w:tc>
        <w:tc>
          <w:tcPr>
            <w:tcW w:w="1046" w:type="pct"/>
            <w:shd w:val="clear" w:color="auto" w:fill="C6EFCE"/>
            <w:noWrap/>
            <w:vAlign w:val="center"/>
          </w:tcPr>
          <w:p w14:paraId="623BFCA0" w14:textId="412BB9B2" w:rsidR="004C6421" w:rsidRDefault="009D1962">
            <w:pPr>
              <w:rPr>
                <w:rFonts w:ascii="Arial Narrow" w:hAnsi="Arial Narrow"/>
                <w:noProof/>
                <w:color w:val="006100"/>
                <w:sz w:val="20"/>
              </w:rPr>
            </w:pPr>
            <w:r>
              <w:rPr>
                <w:rFonts w:ascii="Arial Narrow" w:hAnsi="Arial Narrow"/>
                <w:noProof/>
                <w:color w:val="006100"/>
                <w:sz w:val="20"/>
              </w:rPr>
              <w:t>Co najmniej 55000</w:t>
            </w:r>
            <w:r>
              <w:rPr>
                <w:noProof/>
                <w:sz w:val="23"/>
              </w:rPr>
              <w:t xml:space="preserve"> </w:t>
            </w:r>
            <w:r>
              <w:rPr>
                <w:rFonts w:ascii="Arial Narrow" w:hAnsi="Arial Narrow"/>
                <w:noProof/>
                <w:color w:val="006100"/>
                <w:sz w:val="20"/>
              </w:rPr>
              <w:t>studentów otrzymuje stypendia finansowane wyłącznie ze środków RRF.</w:t>
            </w:r>
          </w:p>
        </w:tc>
      </w:tr>
      <w:tr w:rsidR="004C6421" w14:paraId="786C862E" w14:textId="77777777">
        <w:trPr>
          <w:trHeight w:val="309"/>
        </w:trPr>
        <w:tc>
          <w:tcPr>
            <w:tcW w:w="380" w:type="pct"/>
            <w:shd w:val="clear" w:color="auto" w:fill="C6EFCE"/>
            <w:noWrap/>
            <w:vAlign w:val="center"/>
          </w:tcPr>
          <w:p w14:paraId="5DA1B18C" w14:textId="77777777" w:rsidR="004C6421" w:rsidRDefault="009D1962">
            <w:pPr>
              <w:pStyle w:val="P68B1DB1-Normal4"/>
              <w:jc w:val="center"/>
              <w:rPr>
                <w:noProof/>
              </w:rPr>
            </w:pPr>
            <w:r>
              <w:rPr>
                <w:noProof/>
              </w:rPr>
              <w:t>M4C1-15 bis</w:t>
            </w:r>
          </w:p>
        </w:tc>
        <w:tc>
          <w:tcPr>
            <w:tcW w:w="500" w:type="pct"/>
            <w:shd w:val="clear" w:color="auto" w:fill="C6EFCE"/>
            <w:noWrap/>
            <w:vAlign w:val="center"/>
          </w:tcPr>
          <w:p w14:paraId="1F252D04" w14:textId="77777777" w:rsidR="004C6421" w:rsidRDefault="009D1962">
            <w:pPr>
              <w:pStyle w:val="P68B1DB1-Normal4"/>
              <w:jc w:val="center"/>
              <w:rPr>
                <w:noProof/>
              </w:rPr>
            </w:pPr>
            <w:r>
              <w:rPr>
                <w:noProof/>
              </w:rPr>
              <w:t>Inwestycja 1.7: Stypendia na dostęp do uczelni</w:t>
            </w:r>
          </w:p>
        </w:tc>
        <w:tc>
          <w:tcPr>
            <w:tcW w:w="358" w:type="pct"/>
            <w:shd w:val="clear" w:color="auto" w:fill="C6EFCE"/>
            <w:noWrap/>
            <w:vAlign w:val="center"/>
          </w:tcPr>
          <w:p w14:paraId="703CAE2B" w14:textId="77777777" w:rsidR="004C6421" w:rsidRDefault="009D1962">
            <w:pPr>
              <w:pStyle w:val="P68B1DB1-Normal4"/>
              <w:jc w:val="center"/>
              <w:rPr>
                <w:noProof/>
              </w:rPr>
            </w:pPr>
            <w:r>
              <w:rPr>
                <w:noProof/>
              </w:rPr>
              <w:t>Cel</w:t>
            </w:r>
          </w:p>
        </w:tc>
        <w:tc>
          <w:tcPr>
            <w:tcW w:w="572" w:type="pct"/>
            <w:shd w:val="clear" w:color="auto" w:fill="C6EFCE"/>
            <w:noWrap/>
            <w:vAlign w:val="center"/>
          </w:tcPr>
          <w:p w14:paraId="62F29EE8" w14:textId="77777777" w:rsidR="004C6421" w:rsidRDefault="009D1962">
            <w:pPr>
              <w:pStyle w:val="P68B1DB1-Normal4"/>
              <w:jc w:val="center"/>
              <w:rPr>
                <w:noProof/>
              </w:rPr>
            </w:pPr>
            <w:r>
              <w:rPr>
                <w:noProof/>
              </w:rPr>
              <w:t>Przyznane stypendia na dostęp do uczelni</w:t>
            </w:r>
          </w:p>
        </w:tc>
        <w:tc>
          <w:tcPr>
            <w:tcW w:w="480" w:type="pct"/>
            <w:shd w:val="clear" w:color="auto" w:fill="C6EFCE"/>
            <w:noWrap/>
            <w:vAlign w:val="center"/>
          </w:tcPr>
          <w:p w14:paraId="10C70AB8" w14:textId="77777777" w:rsidR="004C6421" w:rsidRDefault="009D1962">
            <w:pPr>
              <w:pStyle w:val="P68B1DB1-Normal4"/>
              <w:jc w:val="center"/>
              <w:rPr>
                <w:noProof/>
              </w:rPr>
            </w:pPr>
            <w:r>
              <w:rPr>
                <w:noProof/>
              </w:rPr>
              <w:t>NIE DOT.</w:t>
            </w:r>
          </w:p>
        </w:tc>
        <w:tc>
          <w:tcPr>
            <w:tcW w:w="422" w:type="pct"/>
            <w:shd w:val="clear" w:color="auto" w:fill="C6EFCE"/>
            <w:noWrap/>
            <w:vAlign w:val="center"/>
          </w:tcPr>
          <w:p w14:paraId="3EF2DF8E" w14:textId="77777777" w:rsidR="004C6421" w:rsidRDefault="009D1962">
            <w:pPr>
              <w:pStyle w:val="P68B1DB1-Normal4"/>
              <w:jc w:val="center"/>
              <w:rPr>
                <w:noProof/>
              </w:rPr>
            </w:pPr>
            <w:r>
              <w:rPr>
                <w:noProof/>
              </w:rPr>
              <w:t>Numer</w:t>
            </w:r>
          </w:p>
        </w:tc>
        <w:tc>
          <w:tcPr>
            <w:tcW w:w="375" w:type="pct"/>
            <w:shd w:val="clear" w:color="auto" w:fill="C6EFCE"/>
            <w:noWrap/>
            <w:vAlign w:val="center"/>
          </w:tcPr>
          <w:p w14:paraId="06771299" w14:textId="77777777" w:rsidR="004C6421" w:rsidRDefault="009D1962">
            <w:pPr>
              <w:pStyle w:val="P68B1DB1-Normal4"/>
              <w:jc w:val="center"/>
              <w:rPr>
                <w:noProof/>
              </w:rPr>
            </w:pPr>
            <w:r>
              <w:rPr>
                <w:noProof/>
              </w:rPr>
              <w:t>0</w:t>
            </w:r>
          </w:p>
        </w:tc>
        <w:tc>
          <w:tcPr>
            <w:tcW w:w="343" w:type="pct"/>
            <w:shd w:val="clear" w:color="auto" w:fill="C6EFCE"/>
            <w:noWrap/>
            <w:vAlign w:val="center"/>
          </w:tcPr>
          <w:p w14:paraId="21111A0D" w14:textId="3E7D5E4A" w:rsidR="004C6421" w:rsidRDefault="009D1962">
            <w:pPr>
              <w:jc w:val="center"/>
              <w:rPr>
                <w:rFonts w:ascii="Arial Narrow" w:hAnsi="Arial Narrow"/>
                <w:noProof/>
                <w:color w:val="006100"/>
                <w:sz w:val="20"/>
              </w:rPr>
            </w:pPr>
            <w:r>
              <w:rPr>
                <w:rFonts w:ascii="Arial Narrow" w:hAnsi="Arial Narrow"/>
                <w:noProof/>
                <w:color w:val="006100"/>
                <w:sz w:val="20"/>
              </w:rPr>
              <w:t>55</w:t>
            </w:r>
            <w:r>
              <w:rPr>
                <w:noProof/>
                <w:sz w:val="23"/>
              </w:rPr>
              <w:t xml:space="preserve"> </w:t>
            </w:r>
            <w:r>
              <w:rPr>
                <w:rFonts w:ascii="Arial Narrow" w:hAnsi="Arial Narrow"/>
                <w:noProof/>
                <w:color w:val="006100"/>
                <w:sz w:val="20"/>
              </w:rPr>
              <w:t>000</w:t>
            </w:r>
          </w:p>
        </w:tc>
        <w:tc>
          <w:tcPr>
            <w:tcW w:w="286" w:type="pct"/>
            <w:shd w:val="clear" w:color="auto" w:fill="C6EFCE"/>
            <w:noWrap/>
            <w:vAlign w:val="center"/>
          </w:tcPr>
          <w:p w14:paraId="28212D7B" w14:textId="75B2BFF5" w:rsidR="004C6421" w:rsidRDefault="00CC179E">
            <w:pPr>
              <w:pStyle w:val="P68B1DB1-Normal4"/>
              <w:jc w:val="center"/>
              <w:rPr>
                <w:noProof/>
              </w:rPr>
            </w:pPr>
            <w:r>
              <w:rPr>
                <w:noProof/>
              </w:rPr>
              <w:t>KW. 4</w:t>
            </w:r>
          </w:p>
        </w:tc>
        <w:tc>
          <w:tcPr>
            <w:tcW w:w="238" w:type="pct"/>
            <w:shd w:val="clear" w:color="auto" w:fill="C6EFCE"/>
            <w:noWrap/>
            <w:vAlign w:val="center"/>
          </w:tcPr>
          <w:p w14:paraId="1BDA8979" w14:textId="77777777" w:rsidR="004C6421" w:rsidRDefault="009D1962">
            <w:pPr>
              <w:pStyle w:val="P68B1DB1-Normal4"/>
              <w:jc w:val="center"/>
              <w:rPr>
                <w:noProof/>
              </w:rPr>
            </w:pPr>
            <w:r>
              <w:rPr>
                <w:noProof/>
              </w:rPr>
              <w:t>2025</w:t>
            </w:r>
          </w:p>
        </w:tc>
        <w:tc>
          <w:tcPr>
            <w:tcW w:w="1046" w:type="pct"/>
            <w:shd w:val="clear" w:color="auto" w:fill="C6EFCE"/>
            <w:noWrap/>
            <w:vAlign w:val="center"/>
          </w:tcPr>
          <w:p w14:paraId="29D8ACDE" w14:textId="5259FDBD" w:rsidR="004C6421" w:rsidRDefault="009D1962">
            <w:pPr>
              <w:rPr>
                <w:rFonts w:ascii="Arial Narrow" w:hAnsi="Arial Narrow"/>
                <w:noProof/>
                <w:color w:val="006100"/>
                <w:sz w:val="20"/>
              </w:rPr>
            </w:pPr>
            <w:r>
              <w:rPr>
                <w:rFonts w:ascii="Arial Narrow" w:hAnsi="Arial Narrow"/>
                <w:noProof/>
                <w:color w:val="006100"/>
                <w:sz w:val="20"/>
              </w:rPr>
              <w:t>Co najmniej 55000</w:t>
            </w:r>
            <w:r>
              <w:rPr>
                <w:noProof/>
                <w:sz w:val="23"/>
              </w:rPr>
              <w:t xml:space="preserve"> </w:t>
            </w:r>
            <w:r>
              <w:rPr>
                <w:rFonts w:ascii="Arial Narrow" w:hAnsi="Arial Narrow"/>
                <w:noProof/>
                <w:color w:val="006100"/>
                <w:sz w:val="20"/>
              </w:rPr>
              <w:t>studentów otrzymuje stypendia finansowane wyłącznie ze środków RRF.</w:t>
            </w:r>
          </w:p>
        </w:tc>
      </w:tr>
      <w:tr w:rsidR="004C6421" w14:paraId="7F859542" w14:textId="77777777">
        <w:trPr>
          <w:trHeight w:val="309"/>
        </w:trPr>
        <w:tc>
          <w:tcPr>
            <w:tcW w:w="380" w:type="pct"/>
            <w:shd w:val="clear" w:color="auto" w:fill="C6EFCE"/>
            <w:noWrap/>
            <w:vAlign w:val="center"/>
          </w:tcPr>
          <w:p w14:paraId="76648220" w14:textId="77777777" w:rsidR="004C6421" w:rsidRDefault="009D1962">
            <w:pPr>
              <w:pStyle w:val="P68B1DB1-Normal4"/>
              <w:jc w:val="center"/>
              <w:rPr>
                <w:noProof/>
              </w:rPr>
            </w:pPr>
            <w:r>
              <w:rPr>
                <w:noProof/>
              </w:rPr>
              <w:t>M4C1-16</w:t>
            </w:r>
          </w:p>
        </w:tc>
        <w:tc>
          <w:tcPr>
            <w:tcW w:w="500" w:type="pct"/>
            <w:shd w:val="clear" w:color="auto" w:fill="C6EFCE"/>
            <w:noWrap/>
            <w:vAlign w:val="center"/>
          </w:tcPr>
          <w:p w14:paraId="08E109BA" w14:textId="77777777" w:rsidR="004C6421" w:rsidRDefault="009D1962">
            <w:pPr>
              <w:pStyle w:val="P68B1DB1-Normal4"/>
              <w:jc w:val="center"/>
              <w:rPr>
                <w:noProof/>
              </w:rPr>
            </w:pPr>
            <w:r>
              <w:rPr>
                <w:noProof/>
              </w:rPr>
              <w:t>Inwestycja 3.1: Nowe umiejętności i nowe języki</w:t>
            </w:r>
          </w:p>
        </w:tc>
        <w:tc>
          <w:tcPr>
            <w:tcW w:w="358" w:type="pct"/>
            <w:shd w:val="clear" w:color="auto" w:fill="C6EFCE"/>
            <w:noWrap/>
            <w:vAlign w:val="center"/>
          </w:tcPr>
          <w:p w14:paraId="3C3EE10A" w14:textId="77777777" w:rsidR="004C6421" w:rsidRDefault="009D1962">
            <w:pPr>
              <w:pStyle w:val="P68B1DB1-Normal4"/>
              <w:jc w:val="center"/>
              <w:rPr>
                <w:noProof/>
              </w:rPr>
            </w:pPr>
            <w:r>
              <w:rPr>
                <w:noProof/>
              </w:rPr>
              <w:t>Cel</w:t>
            </w:r>
          </w:p>
        </w:tc>
        <w:tc>
          <w:tcPr>
            <w:tcW w:w="572" w:type="pct"/>
            <w:shd w:val="clear" w:color="auto" w:fill="C6EFCE"/>
            <w:noWrap/>
            <w:vAlign w:val="center"/>
          </w:tcPr>
          <w:p w14:paraId="534C0683" w14:textId="77777777" w:rsidR="004C6421" w:rsidRDefault="009D1962">
            <w:pPr>
              <w:pStyle w:val="P68B1DB1-Normal4"/>
              <w:jc w:val="center"/>
              <w:rPr>
                <w:noProof/>
              </w:rPr>
            </w:pPr>
            <w:r>
              <w:rPr>
                <w:noProof/>
              </w:rPr>
              <w:t>Szkoły, które uruchomiły projekty poradnictwa w dziedzinie nauk ścisłych, technologii, inżynierii i matematyki w latach 2024/25</w:t>
            </w:r>
          </w:p>
          <w:p w14:paraId="26A2AD2D" w14:textId="77777777" w:rsidR="004C6421" w:rsidRDefault="004C6421">
            <w:pPr>
              <w:jc w:val="center"/>
              <w:rPr>
                <w:rFonts w:ascii="Arial Narrow" w:hAnsi="Arial Narrow"/>
                <w:noProof/>
                <w:color w:val="006100"/>
                <w:sz w:val="20"/>
              </w:rPr>
            </w:pPr>
          </w:p>
          <w:p w14:paraId="49DA6C2B" w14:textId="77777777" w:rsidR="004C6421" w:rsidRDefault="004C6421">
            <w:pPr>
              <w:jc w:val="center"/>
              <w:rPr>
                <w:rFonts w:ascii="Arial Narrow" w:hAnsi="Arial Narrow"/>
                <w:noProof/>
                <w:color w:val="006100"/>
                <w:sz w:val="20"/>
              </w:rPr>
            </w:pPr>
          </w:p>
        </w:tc>
        <w:tc>
          <w:tcPr>
            <w:tcW w:w="480" w:type="pct"/>
            <w:shd w:val="clear" w:color="auto" w:fill="C6EFCE"/>
            <w:noWrap/>
            <w:vAlign w:val="center"/>
          </w:tcPr>
          <w:p w14:paraId="5B7478C6" w14:textId="77777777" w:rsidR="004C6421" w:rsidRDefault="009D1962">
            <w:pPr>
              <w:pStyle w:val="P68B1DB1-Normal4"/>
              <w:jc w:val="center"/>
              <w:rPr>
                <w:noProof/>
              </w:rPr>
            </w:pPr>
            <w:r>
              <w:rPr>
                <w:noProof/>
              </w:rPr>
              <w:t>NIE DOT.</w:t>
            </w:r>
          </w:p>
        </w:tc>
        <w:tc>
          <w:tcPr>
            <w:tcW w:w="422" w:type="pct"/>
            <w:shd w:val="clear" w:color="auto" w:fill="C6EFCE"/>
            <w:noWrap/>
            <w:vAlign w:val="center"/>
          </w:tcPr>
          <w:p w14:paraId="1E4A24E4" w14:textId="77777777" w:rsidR="004C6421" w:rsidRDefault="009D1962">
            <w:pPr>
              <w:pStyle w:val="P68B1DB1-Normal4"/>
              <w:jc w:val="center"/>
              <w:rPr>
                <w:noProof/>
              </w:rPr>
            </w:pPr>
            <w:r>
              <w:rPr>
                <w:noProof/>
              </w:rPr>
              <w:t>Numer</w:t>
            </w:r>
          </w:p>
        </w:tc>
        <w:tc>
          <w:tcPr>
            <w:tcW w:w="375" w:type="pct"/>
            <w:shd w:val="clear" w:color="auto" w:fill="C6EFCE"/>
            <w:noWrap/>
            <w:vAlign w:val="center"/>
          </w:tcPr>
          <w:p w14:paraId="1D75F3F4" w14:textId="77777777" w:rsidR="004C6421" w:rsidRDefault="009D1962">
            <w:pPr>
              <w:pStyle w:val="P68B1DB1-Normal4"/>
              <w:jc w:val="center"/>
              <w:rPr>
                <w:noProof/>
              </w:rPr>
            </w:pPr>
            <w:r>
              <w:rPr>
                <w:noProof/>
              </w:rPr>
              <w:t>0</w:t>
            </w:r>
          </w:p>
        </w:tc>
        <w:tc>
          <w:tcPr>
            <w:tcW w:w="343" w:type="pct"/>
            <w:shd w:val="clear" w:color="auto" w:fill="C6EFCE"/>
            <w:noWrap/>
            <w:vAlign w:val="center"/>
          </w:tcPr>
          <w:p w14:paraId="511CA929" w14:textId="435211BB" w:rsidR="004C6421" w:rsidRDefault="009D1962">
            <w:pPr>
              <w:jc w:val="center"/>
              <w:rPr>
                <w:rFonts w:ascii="Arial Narrow" w:hAnsi="Arial Narrow"/>
                <w:noProof/>
                <w:color w:val="006100"/>
                <w:sz w:val="20"/>
              </w:rPr>
            </w:pPr>
            <w:r>
              <w:rPr>
                <w:rFonts w:ascii="Arial Narrow" w:hAnsi="Arial Narrow"/>
                <w:noProof/>
                <w:color w:val="006100"/>
                <w:sz w:val="20"/>
              </w:rPr>
              <w:t>8</w:t>
            </w:r>
            <w:r>
              <w:rPr>
                <w:noProof/>
                <w:sz w:val="23"/>
              </w:rPr>
              <w:t xml:space="preserve"> </w:t>
            </w:r>
            <w:r>
              <w:rPr>
                <w:rFonts w:ascii="Arial Narrow" w:hAnsi="Arial Narrow"/>
                <w:noProof/>
                <w:color w:val="006100"/>
                <w:sz w:val="20"/>
              </w:rPr>
              <w:t>000</w:t>
            </w:r>
          </w:p>
        </w:tc>
        <w:tc>
          <w:tcPr>
            <w:tcW w:w="286" w:type="pct"/>
            <w:shd w:val="clear" w:color="auto" w:fill="C6EFCE"/>
            <w:noWrap/>
            <w:vAlign w:val="center"/>
          </w:tcPr>
          <w:p w14:paraId="53927BB6" w14:textId="77777777" w:rsidR="004C6421" w:rsidRDefault="009D1962">
            <w:pPr>
              <w:pStyle w:val="P68B1DB1-Normal4"/>
              <w:jc w:val="center"/>
              <w:rPr>
                <w:noProof/>
              </w:rPr>
            </w:pPr>
            <w:r>
              <w:rPr>
                <w:noProof/>
              </w:rPr>
              <w:t>II KW.</w:t>
            </w:r>
          </w:p>
        </w:tc>
        <w:tc>
          <w:tcPr>
            <w:tcW w:w="238" w:type="pct"/>
            <w:shd w:val="clear" w:color="auto" w:fill="C6EFCE"/>
            <w:noWrap/>
            <w:vAlign w:val="center"/>
          </w:tcPr>
          <w:p w14:paraId="35A0CB96" w14:textId="77777777" w:rsidR="004C6421" w:rsidRDefault="009D1962">
            <w:pPr>
              <w:pStyle w:val="P68B1DB1-Normal4"/>
              <w:jc w:val="center"/>
              <w:rPr>
                <w:noProof/>
              </w:rPr>
            </w:pPr>
            <w:r>
              <w:rPr>
                <w:noProof/>
              </w:rPr>
              <w:t>2025</w:t>
            </w:r>
          </w:p>
        </w:tc>
        <w:tc>
          <w:tcPr>
            <w:tcW w:w="1046" w:type="pct"/>
            <w:shd w:val="clear" w:color="auto" w:fill="C6EFCE"/>
            <w:noWrap/>
            <w:vAlign w:val="center"/>
          </w:tcPr>
          <w:p w14:paraId="74AF047E" w14:textId="75209C6E" w:rsidR="004C6421" w:rsidRDefault="009D1962">
            <w:pPr>
              <w:rPr>
                <w:rFonts w:ascii="Arial Narrow" w:hAnsi="Arial Narrow"/>
                <w:noProof/>
                <w:color w:val="006100"/>
                <w:sz w:val="20"/>
              </w:rPr>
            </w:pPr>
            <w:r>
              <w:rPr>
                <w:rFonts w:ascii="Arial Narrow" w:hAnsi="Arial Narrow"/>
                <w:noProof/>
                <w:color w:val="006100"/>
                <w:sz w:val="20"/>
              </w:rPr>
              <w:t>Co najmniej 8000</w:t>
            </w:r>
            <w:r>
              <w:rPr>
                <w:noProof/>
                <w:sz w:val="23"/>
              </w:rPr>
              <w:t xml:space="preserve"> </w:t>
            </w:r>
            <w:r>
              <w:rPr>
                <w:rFonts w:ascii="Arial Narrow" w:hAnsi="Arial Narrow"/>
                <w:noProof/>
                <w:color w:val="006100"/>
                <w:sz w:val="20"/>
              </w:rPr>
              <w:t>szkół, które uruchomiły projekty poradnictwa w dziedzinie nauk ścisłych, technologii, inżynierii i matematyki.</w:t>
            </w:r>
          </w:p>
          <w:p w14:paraId="794C4F27" w14:textId="77777777" w:rsidR="004C6421" w:rsidRDefault="009D1962">
            <w:pPr>
              <w:pStyle w:val="P68B1DB1-Normal4"/>
              <w:rPr>
                <w:noProof/>
              </w:rPr>
            </w:pPr>
            <w:r>
              <w:rPr>
                <w:noProof/>
              </w:rPr>
              <w:t>Projekty mają na celu rozwój i cyfryzację krajowej platformy cyfrowej STEM, której celem jest pełna realizacja programu, monitorowanie i rozpowszechnianie informacji i danych (zdezagregowanych według płci), począwszy od przedszkoli i szkół podstawowych, aż po pierwszą i drugą szkołę średnią, po instytuty techniczne i zawodowe oraz uniwersytety.</w:t>
            </w:r>
          </w:p>
        </w:tc>
      </w:tr>
      <w:tr w:rsidR="004C6421" w14:paraId="5A8E862E" w14:textId="77777777">
        <w:trPr>
          <w:trHeight w:val="309"/>
        </w:trPr>
        <w:tc>
          <w:tcPr>
            <w:tcW w:w="380" w:type="pct"/>
            <w:shd w:val="clear" w:color="auto" w:fill="C6EFCE"/>
            <w:noWrap/>
            <w:vAlign w:val="center"/>
          </w:tcPr>
          <w:p w14:paraId="42BBFC30" w14:textId="77777777" w:rsidR="004C6421" w:rsidRDefault="009D1962">
            <w:pPr>
              <w:pStyle w:val="P68B1DB1-Normal4"/>
              <w:jc w:val="center"/>
              <w:rPr>
                <w:noProof/>
              </w:rPr>
            </w:pPr>
            <w:r>
              <w:rPr>
                <w:noProof/>
              </w:rPr>
              <w:t>M4C1-17</w:t>
            </w:r>
          </w:p>
        </w:tc>
        <w:tc>
          <w:tcPr>
            <w:tcW w:w="500" w:type="pct"/>
            <w:shd w:val="clear" w:color="auto" w:fill="C6EFCE"/>
            <w:noWrap/>
            <w:vAlign w:val="center"/>
          </w:tcPr>
          <w:p w14:paraId="40C696FA" w14:textId="77777777" w:rsidR="004C6421" w:rsidRDefault="009D1962">
            <w:pPr>
              <w:pStyle w:val="P68B1DB1-Normal4"/>
              <w:jc w:val="center"/>
              <w:rPr>
                <w:noProof/>
              </w:rPr>
            </w:pPr>
            <w:r>
              <w:rPr>
                <w:noProof/>
              </w:rPr>
              <w:t>Inwestycja 3.1: Nowe umiejętności i nowe języki</w:t>
            </w:r>
          </w:p>
        </w:tc>
        <w:tc>
          <w:tcPr>
            <w:tcW w:w="358" w:type="pct"/>
            <w:shd w:val="clear" w:color="auto" w:fill="C6EFCE"/>
            <w:noWrap/>
            <w:vAlign w:val="center"/>
          </w:tcPr>
          <w:p w14:paraId="1D9AD0FC" w14:textId="77777777" w:rsidR="004C6421" w:rsidRDefault="009D1962">
            <w:pPr>
              <w:pStyle w:val="P68B1DB1-Normal4"/>
              <w:jc w:val="center"/>
              <w:rPr>
                <w:noProof/>
              </w:rPr>
            </w:pPr>
            <w:r>
              <w:rPr>
                <w:noProof/>
              </w:rPr>
              <w:t>Cel</w:t>
            </w:r>
          </w:p>
        </w:tc>
        <w:tc>
          <w:tcPr>
            <w:tcW w:w="572" w:type="pct"/>
            <w:shd w:val="clear" w:color="auto" w:fill="C6EFCE"/>
            <w:noWrap/>
            <w:vAlign w:val="center"/>
          </w:tcPr>
          <w:p w14:paraId="5750170E" w14:textId="77777777" w:rsidR="004C6421" w:rsidRDefault="009D1962">
            <w:pPr>
              <w:pStyle w:val="P68B1DB1-Normal4"/>
              <w:jc w:val="center"/>
              <w:rPr>
                <w:noProof/>
              </w:rPr>
            </w:pPr>
            <w:r>
              <w:rPr>
                <w:noProof/>
              </w:rPr>
              <w:t>Coroczne kursy językowe i metodologiczne oferowane nauczycielom</w:t>
            </w:r>
          </w:p>
        </w:tc>
        <w:tc>
          <w:tcPr>
            <w:tcW w:w="480" w:type="pct"/>
            <w:shd w:val="clear" w:color="auto" w:fill="C6EFCE"/>
            <w:noWrap/>
            <w:vAlign w:val="center"/>
          </w:tcPr>
          <w:p w14:paraId="3691672D" w14:textId="77777777" w:rsidR="004C6421" w:rsidRDefault="009D1962">
            <w:pPr>
              <w:pStyle w:val="P68B1DB1-Normal4"/>
              <w:jc w:val="center"/>
              <w:rPr>
                <w:noProof/>
              </w:rPr>
            </w:pPr>
            <w:r>
              <w:rPr>
                <w:noProof/>
              </w:rPr>
              <w:t>NIE DOT.</w:t>
            </w:r>
          </w:p>
        </w:tc>
        <w:tc>
          <w:tcPr>
            <w:tcW w:w="422" w:type="pct"/>
            <w:shd w:val="clear" w:color="auto" w:fill="C6EFCE"/>
            <w:noWrap/>
            <w:vAlign w:val="center"/>
          </w:tcPr>
          <w:p w14:paraId="03300331" w14:textId="77777777" w:rsidR="004C6421" w:rsidRDefault="009D1962">
            <w:pPr>
              <w:pStyle w:val="P68B1DB1-Normal4"/>
              <w:jc w:val="center"/>
              <w:rPr>
                <w:noProof/>
              </w:rPr>
            </w:pPr>
            <w:r>
              <w:rPr>
                <w:noProof/>
              </w:rPr>
              <w:t>Numer</w:t>
            </w:r>
          </w:p>
        </w:tc>
        <w:tc>
          <w:tcPr>
            <w:tcW w:w="375" w:type="pct"/>
            <w:shd w:val="clear" w:color="auto" w:fill="C6EFCE"/>
            <w:noWrap/>
            <w:vAlign w:val="center"/>
          </w:tcPr>
          <w:p w14:paraId="63F71A1C" w14:textId="77777777" w:rsidR="004C6421" w:rsidRDefault="009D1962">
            <w:pPr>
              <w:pStyle w:val="P68B1DB1-Normal4"/>
              <w:jc w:val="center"/>
              <w:rPr>
                <w:noProof/>
              </w:rPr>
            </w:pPr>
            <w:r>
              <w:rPr>
                <w:noProof/>
              </w:rPr>
              <w:t>0</w:t>
            </w:r>
          </w:p>
        </w:tc>
        <w:tc>
          <w:tcPr>
            <w:tcW w:w="343" w:type="pct"/>
            <w:shd w:val="clear" w:color="auto" w:fill="C6EFCE"/>
            <w:noWrap/>
            <w:vAlign w:val="center"/>
          </w:tcPr>
          <w:p w14:paraId="19B17D91" w14:textId="29B84983" w:rsidR="004C6421" w:rsidRDefault="009D1962">
            <w:pPr>
              <w:jc w:val="center"/>
              <w:rPr>
                <w:rFonts w:ascii="Arial Narrow" w:hAnsi="Arial Narrow"/>
                <w:noProof/>
                <w:color w:val="006100"/>
                <w:sz w:val="20"/>
              </w:rPr>
            </w:pPr>
            <w:r>
              <w:rPr>
                <w:rFonts w:ascii="Arial Narrow" w:hAnsi="Arial Narrow"/>
                <w:noProof/>
                <w:color w:val="006100"/>
                <w:sz w:val="20"/>
              </w:rPr>
              <w:t>1</w:t>
            </w:r>
            <w:r>
              <w:rPr>
                <w:noProof/>
                <w:sz w:val="23"/>
              </w:rPr>
              <w:t xml:space="preserve"> </w:t>
            </w:r>
            <w:r>
              <w:rPr>
                <w:rFonts w:ascii="Arial Narrow" w:hAnsi="Arial Narrow"/>
                <w:noProof/>
                <w:color w:val="006100"/>
                <w:sz w:val="20"/>
              </w:rPr>
              <w:t>000</w:t>
            </w:r>
          </w:p>
        </w:tc>
        <w:tc>
          <w:tcPr>
            <w:tcW w:w="286" w:type="pct"/>
            <w:shd w:val="clear" w:color="auto" w:fill="C6EFCE"/>
            <w:noWrap/>
            <w:vAlign w:val="center"/>
          </w:tcPr>
          <w:p w14:paraId="492AE28A" w14:textId="77777777" w:rsidR="004C6421" w:rsidRDefault="009D1962">
            <w:pPr>
              <w:pStyle w:val="P68B1DB1-Normal4"/>
              <w:jc w:val="center"/>
              <w:rPr>
                <w:noProof/>
              </w:rPr>
            </w:pPr>
            <w:r>
              <w:rPr>
                <w:noProof/>
              </w:rPr>
              <w:t>II KW.</w:t>
            </w:r>
          </w:p>
        </w:tc>
        <w:tc>
          <w:tcPr>
            <w:tcW w:w="238" w:type="pct"/>
            <w:shd w:val="clear" w:color="auto" w:fill="C6EFCE"/>
            <w:noWrap/>
            <w:vAlign w:val="center"/>
          </w:tcPr>
          <w:p w14:paraId="0D41B130" w14:textId="77777777" w:rsidR="004C6421" w:rsidRDefault="009D1962">
            <w:pPr>
              <w:pStyle w:val="P68B1DB1-Normal4"/>
              <w:jc w:val="center"/>
              <w:rPr>
                <w:noProof/>
              </w:rPr>
            </w:pPr>
            <w:r>
              <w:rPr>
                <w:noProof/>
              </w:rPr>
              <w:t>2025</w:t>
            </w:r>
          </w:p>
        </w:tc>
        <w:tc>
          <w:tcPr>
            <w:tcW w:w="1046" w:type="pct"/>
            <w:shd w:val="clear" w:color="auto" w:fill="C6EFCE"/>
            <w:noWrap/>
            <w:vAlign w:val="center"/>
          </w:tcPr>
          <w:p w14:paraId="2C3724E1" w14:textId="2CDF6B48" w:rsidR="004C6421" w:rsidRDefault="009D1962">
            <w:pPr>
              <w:rPr>
                <w:rFonts w:ascii="Arial Narrow" w:hAnsi="Arial Narrow"/>
                <w:noProof/>
                <w:color w:val="006100"/>
                <w:sz w:val="20"/>
              </w:rPr>
            </w:pPr>
            <w:r>
              <w:rPr>
                <w:rFonts w:ascii="Arial Narrow" w:hAnsi="Arial Narrow"/>
                <w:noProof/>
                <w:color w:val="006100"/>
                <w:sz w:val="20"/>
              </w:rPr>
              <w:t>Co najmniej 1000</w:t>
            </w:r>
            <w:r>
              <w:rPr>
                <w:noProof/>
                <w:sz w:val="23"/>
              </w:rPr>
              <w:t xml:space="preserve"> </w:t>
            </w:r>
            <w:r>
              <w:rPr>
                <w:rFonts w:ascii="Arial Narrow" w:hAnsi="Arial Narrow"/>
                <w:noProof/>
                <w:color w:val="006100"/>
                <w:sz w:val="20"/>
              </w:rPr>
              <w:t xml:space="preserve"> kursów językowych i metodologicznych oferowanych wszystkim nauczycielom</w:t>
            </w:r>
          </w:p>
        </w:tc>
      </w:tr>
      <w:tr w:rsidR="004C6421" w14:paraId="08FC70FF" w14:textId="77777777">
        <w:trPr>
          <w:trHeight w:val="309"/>
        </w:trPr>
        <w:tc>
          <w:tcPr>
            <w:tcW w:w="380" w:type="pct"/>
            <w:shd w:val="clear" w:color="auto" w:fill="C6EFCE"/>
            <w:noWrap/>
            <w:vAlign w:val="center"/>
          </w:tcPr>
          <w:p w14:paraId="28BE86A0" w14:textId="77777777" w:rsidR="004C6421" w:rsidRDefault="009D1962">
            <w:pPr>
              <w:pStyle w:val="P68B1DB1-Normal4"/>
              <w:jc w:val="center"/>
              <w:rPr>
                <w:noProof/>
              </w:rPr>
            </w:pPr>
            <w:r>
              <w:rPr>
                <w:noProof/>
              </w:rPr>
              <w:t>M4C1-18</w:t>
            </w:r>
          </w:p>
        </w:tc>
        <w:tc>
          <w:tcPr>
            <w:tcW w:w="500" w:type="pct"/>
            <w:shd w:val="clear" w:color="auto" w:fill="C6EFCE"/>
            <w:noWrap/>
            <w:vAlign w:val="center"/>
          </w:tcPr>
          <w:p w14:paraId="303F81E4" w14:textId="77777777" w:rsidR="004C6421" w:rsidRDefault="009D1962">
            <w:pPr>
              <w:pStyle w:val="P68B1DB1-Normal4"/>
              <w:jc w:val="center"/>
              <w:rPr>
                <w:noProof/>
              </w:rPr>
            </w:pPr>
            <w:r>
              <w:rPr>
                <w:noProof/>
              </w:rPr>
              <w:t>Inwestycje 1.1: Plan dotyczący żłobków i przedszkoli oraz usług wczesnej edukacji i opieki nad dzieckiem</w:t>
            </w:r>
          </w:p>
        </w:tc>
        <w:tc>
          <w:tcPr>
            <w:tcW w:w="358" w:type="pct"/>
            <w:shd w:val="clear" w:color="auto" w:fill="C6EFCE"/>
            <w:noWrap/>
            <w:vAlign w:val="center"/>
          </w:tcPr>
          <w:p w14:paraId="0F66D289" w14:textId="77777777" w:rsidR="004C6421" w:rsidRDefault="009D1962">
            <w:pPr>
              <w:pStyle w:val="P68B1DB1-Normal4"/>
              <w:jc w:val="center"/>
              <w:rPr>
                <w:noProof/>
              </w:rPr>
            </w:pPr>
            <w:r>
              <w:rPr>
                <w:noProof/>
              </w:rPr>
              <w:t>Cel</w:t>
            </w:r>
          </w:p>
        </w:tc>
        <w:tc>
          <w:tcPr>
            <w:tcW w:w="572" w:type="pct"/>
            <w:shd w:val="clear" w:color="auto" w:fill="C6EFCE"/>
            <w:noWrap/>
            <w:vAlign w:val="center"/>
          </w:tcPr>
          <w:p w14:paraId="76A788EA" w14:textId="77777777" w:rsidR="004C6421" w:rsidRDefault="009D1962">
            <w:pPr>
              <w:pStyle w:val="P68B1DB1-Normal4"/>
              <w:jc w:val="center"/>
              <w:rPr>
                <w:noProof/>
              </w:rPr>
            </w:pPr>
            <w:r>
              <w:rPr>
                <w:noProof/>
              </w:rPr>
              <w:t>Nowe miejsca dla usług edukacyjnych i usług wczesnej opieki nad dzieckiem (od zera do 6 lat)</w:t>
            </w:r>
          </w:p>
        </w:tc>
        <w:tc>
          <w:tcPr>
            <w:tcW w:w="480" w:type="pct"/>
            <w:shd w:val="clear" w:color="auto" w:fill="C6EFCE"/>
            <w:noWrap/>
            <w:vAlign w:val="center"/>
          </w:tcPr>
          <w:p w14:paraId="143C6D39" w14:textId="77777777" w:rsidR="004C6421" w:rsidRDefault="009D1962">
            <w:pPr>
              <w:pStyle w:val="P68B1DB1-Normal4"/>
              <w:jc w:val="center"/>
              <w:rPr>
                <w:noProof/>
              </w:rPr>
            </w:pPr>
            <w:r>
              <w:rPr>
                <w:noProof/>
              </w:rPr>
              <w:t>NIE DOT.</w:t>
            </w:r>
          </w:p>
        </w:tc>
        <w:tc>
          <w:tcPr>
            <w:tcW w:w="422" w:type="pct"/>
            <w:shd w:val="clear" w:color="auto" w:fill="C6EFCE"/>
            <w:noWrap/>
            <w:vAlign w:val="center"/>
          </w:tcPr>
          <w:p w14:paraId="6D36F30E" w14:textId="77777777" w:rsidR="004C6421" w:rsidRDefault="009D1962">
            <w:pPr>
              <w:pStyle w:val="P68B1DB1-Normal4"/>
              <w:jc w:val="center"/>
              <w:rPr>
                <w:noProof/>
              </w:rPr>
            </w:pPr>
            <w:r>
              <w:rPr>
                <w:noProof/>
              </w:rPr>
              <w:t>Numer</w:t>
            </w:r>
          </w:p>
        </w:tc>
        <w:tc>
          <w:tcPr>
            <w:tcW w:w="375" w:type="pct"/>
            <w:shd w:val="clear" w:color="auto" w:fill="C6EFCE"/>
            <w:noWrap/>
            <w:vAlign w:val="center"/>
          </w:tcPr>
          <w:p w14:paraId="701747A2" w14:textId="77777777" w:rsidR="004C6421" w:rsidRDefault="009D1962">
            <w:pPr>
              <w:pStyle w:val="P68B1DB1-Normal4"/>
              <w:jc w:val="center"/>
              <w:rPr>
                <w:noProof/>
              </w:rPr>
            </w:pPr>
            <w:r>
              <w:rPr>
                <w:noProof/>
              </w:rPr>
              <w:t>0</w:t>
            </w:r>
          </w:p>
        </w:tc>
        <w:tc>
          <w:tcPr>
            <w:tcW w:w="343" w:type="pct"/>
            <w:shd w:val="clear" w:color="auto" w:fill="C6EFCE"/>
            <w:noWrap/>
            <w:vAlign w:val="center"/>
          </w:tcPr>
          <w:p w14:paraId="48241341" w14:textId="0A2AA288" w:rsidR="004C6421" w:rsidRDefault="009D1962">
            <w:pPr>
              <w:rPr>
                <w:rFonts w:ascii="Arial Narrow" w:hAnsi="Arial Narrow"/>
                <w:noProof/>
                <w:color w:val="006100"/>
                <w:sz w:val="20"/>
              </w:rPr>
            </w:pPr>
            <w:r>
              <w:rPr>
                <w:rFonts w:ascii="Arial Narrow" w:hAnsi="Arial Narrow"/>
                <w:noProof/>
                <w:color w:val="006100"/>
                <w:sz w:val="20"/>
              </w:rPr>
              <w:t>150</w:t>
            </w:r>
            <w:r>
              <w:rPr>
                <w:noProof/>
                <w:sz w:val="23"/>
              </w:rPr>
              <w:t xml:space="preserve"> </w:t>
            </w:r>
            <w:r>
              <w:rPr>
                <w:rFonts w:ascii="Arial Narrow" w:hAnsi="Arial Narrow"/>
                <w:noProof/>
                <w:color w:val="006100"/>
                <w:sz w:val="20"/>
              </w:rPr>
              <w:t>480</w:t>
            </w:r>
          </w:p>
        </w:tc>
        <w:tc>
          <w:tcPr>
            <w:tcW w:w="286" w:type="pct"/>
            <w:shd w:val="clear" w:color="auto" w:fill="C6EFCE"/>
            <w:noWrap/>
            <w:vAlign w:val="center"/>
          </w:tcPr>
          <w:p w14:paraId="2B0372C4" w14:textId="77777777" w:rsidR="004C6421" w:rsidRDefault="009D1962">
            <w:pPr>
              <w:pStyle w:val="P68B1DB1-Normal4"/>
              <w:jc w:val="center"/>
              <w:rPr>
                <w:noProof/>
              </w:rPr>
            </w:pPr>
            <w:r>
              <w:rPr>
                <w:noProof/>
              </w:rPr>
              <w:t>II KW.</w:t>
            </w:r>
          </w:p>
        </w:tc>
        <w:tc>
          <w:tcPr>
            <w:tcW w:w="238" w:type="pct"/>
            <w:shd w:val="clear" w:color="auto" w:fill="C6EFCE"/>
            <w:noWrap/>
            <w:vAlign w:val="center"/>
          </w:tcPr>
          <w:p w14:paraId="3E568DFD" w14:textId="77777777" w:rsidR="004C6421" w:rsidRDefault="009D1962">
            <w:pPr>
              <w:pStyle w:val="P68B1DB1-Normal4"/>
              <w:jc w:val="center"/>
              <w:rPr>
                <w:noProof/>
              </w:rPr>
            </w:pPr>
            <w:r>
              <w:rPr>
                <w:noProof/>
              </w:rPr>
              <w:t>2026</w:t>
            </w:r>
          </w:p>
        </w:tc>
        <w:tc>
          <w:tcPr>
            <w:tcW w:w="1046" w:type="pct"/>
            <w:shd w:val="clear" w:color="auto" w:fill="C6EFCE"/>
            <w:noWrap/>
            <w:vAlign w:val="center"/>
          </w:tcPr>
          <w:p w14:paraId="1991F303" w14:textId="4F3BC42B" w:rsidR="004C6421" w:rsidRDefault="009D1962">
            <w:pPr>
              <w:rPr>
                <w:rFonts w:ascii="Arial Narrow" w:hAnsi="Arial Narrow"/>
                <w:noProof/>
                <w:color w:val="006100"/>
                <w:sz w:val="20"/>
              </w:rPr>
            </w:pPr>
            <w:r>
              <w:rPr>
                <w:rFonts w:ascii="Arial Narrow" w:hAnsi="Arial Narrow"/>
                <w:noProof/>
                <w:color w:val="006100"/>
                <w:sz w:val="20"/>
              </w:rPr>
              <w:t>Co najmniej 150480</w:t>
            </w:r>
            <w:r>
              <w:rPr>
                <w:noProof/>
                <w:sz w:val="23"/>
              </w:rPr>
              <w:t xml:space="preserve"> </w:t>
            </w:r>
            <w:r>
              <w:rPr>
                <w:rFonts w:ascii="Arial Narrow" w:hAnsi="Arial Narrow"/>
                <w:noProof/>
                <w:color w:val="006100"/>
                <w:sz w:val="20"/>
              </w:rPr>
              <w:t>nowych miejsc dla usług edukacyjnych i usług wczesnej opieki nad dzieckiem (od zera do sześciu lat).</w:t>
            </w:r>
          </w:p>
          <w:p w14:paraId="0F24743D" w14:textId="77777777" w:rsidR="004C6421" w:rsidRDefault="004C6421">
            <w:pPr>
              <w:rPr>
                <w:rFonts w:ascii="Arial Narrow" w:hAnsi="Arial Narrow"/>
                <w:noProof/>
                <w:color w:val="006100"/>
                <w:sz w:val="20"/>
              </w:rPr>
            </w:pPr>
          </w:p>
          <w:p w14:paraId="048BF9D7" w14:textId="77777777" w:rsidR="004C6421" w:rsidRDefault="009D1962">
            <w:pPr>
              <w:pStyle w:val="P68B1DB1-Normal4"/>
              <w:rPr>
                <w:noProof/>
              </w:rPr>
            </w:pPr>
            <w:r>
              <w:rPr>
                <w:noProof/>
              </w:rPr>
              <w:t>Celem planu budowy i przebudowy przedszkoli jest zwiększenie liczby dostępnych miejsc i zwiększenie liczby placówek edukacyjnych w wieku od zera do sześciu lat.</w:t>
            </w:r>
          </w:p>
        </w:tc>
      </w:tr>
      <w:tr w:rsidR="004C6421" w14:paraId="68749F56" w14:textId="77777777">
        <w:trPr>
          <w:trHeight w:val="309"/>
        </w:trPr>
        <w:tc>
          <w:tcPr>
            <w:tcW w:w="380" w:type="pct"/>
            <w:shd w:val="clear" w:color="auto" w:fill="C6EFCE"/>
            <w:noWrap/>
            <w:vAlign w:val="center"/>
          </w:tcPr>
          <w:p w14:paraId="5787897A" w14:textId="77777777" w:rsidR="004C6421" w:rsidRDefault="009D1962">
            <w:pPr>
              <w:pStyle w:val="P68B1DB1-Normal4"/>
              <w:jc w:val="center"/>
              <w:rPr>
                <w:noProof/>
              </w:rPr>
            </w:pPr>
            <w:r>
              <w:rPr>
                <w:noProof/>
              </w:rPr>
              <w:t>M4C1-19</w:t>
            </w:r>
          </w:p>
        </w:tc>
        <w:tc>
          <w:tcPr>
            <w:tcW w:w="500" w:type="pct"/>
            <w:shd w:val="clear" w:color="auto" w:fill="C6EFCE"/>
            <w:noWrap/>
            <w:vAlign w:val="center"/>
          </w:tcPr>
          <w:p w14:paraId="05B1F8EC" w14:textId="77777777" w:rsidR="004C6421" w:rsidRDefault="009D1962">
            <w:pPr>
              <w:pStyle w:val="P68B1DB1-Normal4"/>
              <w:jc w:val="center"/>
              <w:rPr>
                <w:noProof/>
              </w:rPr>
            </w:pPr>
            <w:r>
              <w:rPr>
                <w:noProof/>
              </w:rPr>
              <w:t>Inwestycje 3.2: Szkoła 4.0: innowacyjne szkoły, okablowanie, nowe klasy i warsztaty</w:t>
            </w:r>
          </w:p>
        </w:tc>
        <w:tc>
          <w:tcPr>
            <w:tcW w:w="358" w:type="pct"/>
            <w:shd w:val="clear" w:color="auto" w:fill="C6EFCE"/>
            <w:noWrap/>
            <w:vAlign w:val="center"/>
          </w:tcPr>
          <w:p w14:paraId="17A722EB" w14:textId="77777777" w:rsidR="004C6421" w:rsidRDefault="009D1962">
            <w:pPr>
              <w:pStyle w:val="P68B1DB1-Normal4"/>
              <w:jc w:val="center"/>
              <w:rPr>
                <w:noProof/>
              </w:rPr>
            </w:pPr>
            <w:r>
              <w:rPr>
                <w:noProof/>
              </w:rPr>
              <w:t>Cel</w:t>
            </w:r>
          </w:p>
        </w:tc>
        <w:tc>
          <w:tcPr>
            <w:tcW w:w="572" w:type="pct"/>
            <w:shd w:val="clear" w:color="auto" w:fill="C6EFCE"/>
            <w:noWrap/>
            <w:vAlign w:val="center"/>
          </w:tcPr>
          <w:p w14:paraId="01F35928" w14:textId="77777777" w:rsidR="004C6421" w:rsidRDefault="009D1962">
            <w:pPr>
              <w:pStyle w:val="P68B1DB1-Normal4"/>
              <w:jc w:val="center"/>
              <w:rPr>
                <w:noProof/>
              </w:rPr>
            </w:pPr>
            <w:r>
              <w:rPr>
                <w:noProof/>
              </w:rPr>
              <w:t>Dzięki szkole 4.0 klasy przekształcane są w innowacyjne środowiska edukacyjne.</w:t>
            </w:r>
          </w:p>
        </w:tc>
        <w:tc>
          <w:tcPr>
            <w:tcW w:w="480" w:type="pct"/>
            <w:shd w:val="clear" w:color="auto" w:fill="C6EFCE"/>
            <w:noWrap/>
            <w:vAlign w:val="center"/>
          </w:tcPr>
          <w:p w14:paraId="6FB00774" w14:textId="77777777" w:rsidR="004C6421" w:rsidRDefault="009D1962">
            <w:pPr>
              <w:pStyle w:val="P68B1DB1-Normal4"/>
              <w:jc w:val="center"/>
              <w:rPr>
                <w:noProof/>
              </w:rPr>
            </w:pPr>
            <w:r>
              <w:rPr>
                <w:noProof/>
              </w:rPr>
              <w:t>NIE DOT.</w:t>
            </w:r>
          </w:p>
        </w:tc>
        <w:tc>
          <w:tcPr>
            <w:tcW w:w="422" w:type="pct"/>
            <w:shd w:val="clear" w:color="auto" w:fill="C6EFCE"/>
            <w:noWrap/>
            <w:vAlign w:val="center"/>
          </w:tcPr>
          <w:p w14:paraId="4F1AE8A0" w14:textId="77777777" w:rsidR="004C6421" w:rsidRDefault="009D1962">
            <w:pPr>
              <w:pStyle w:val="P68B1DB1-Normal4"/>
              <w:jc w:val="center"/>
              <w:rPr>
                <w:noProof/>
              </w:rPr>
            </w:pPr>
            <w:r>
              <w:rPr>
                <w:noProof/>
              </w:rPr>
              <w:t>Numer</w:t>
            </w:r>
          </w:p>
        </w:tc>
        <w:tc>
          <w:tcPr>
            <w:tcW w:w="375" w:type="pct"/>
            <w:shd w:val="clear" w:color="auto" w:fill="C6EFCE"/>
            <w:noWrap/>
            <w:vAlign w:val="center"/>
          </w:tcPr>
          <w:p w14:paraId="565B19DD" w14:textId="77777777" w:rsidR="004C6421" w:rsidRDefault="009D1962">
            <w:pPr>
              <w:pStyle w:val="P68B1DB1-Normal4"/>
              <w:jc w:val="center"/>
              <w:rPr>
                <w:noProof/>
              </w:rPr>
            </w:pPr>
            <w:r>
              <w:rPr>
                <w:noProof/>
              </w:rPr>
              <w:t>0</w:t>
            </w:r>
          </w:p>
        </w:tc>
        <w:tc>
          <w:tcPr>
            <w:tcW w:w="343" w:type="pct"/>
            <w:shd w:val="clear" w:color="auto" w:fill="C6EFCE"/>
            <w:noWrap/>
            <w:vAlign w:val="center"/>
          </w:tcPr>
          <w:p w14:paraId="7FFC2805" w14:textId="4A80ACAB" w:rsidR="004C6421" w:rsidRDefault="009D1962">
            <w:pPr>
              <w:jc w:val="center"/>
              <w:rPr>
                <w:rFonts w:ascii="Arial Narrow" w:hAnsi="Arial Narrow"/>
                <w:noProof/>
                <w:color w:val="006100"/>
                <w:sz w:val="20"/>
              </w:rPr>
            </w:pPr>
            <w:r>
              <w:rPr>
                <w:rFonts w:ascii="Arial Narrow" w:hAnsi="Arial Narrow"/>
                <w:noProof/>
                <w:color w:val="006100"/>
                <w:sz w:val="20"/>
              </w:rPr>
              <w:t>100</w:t>
            </w:r>
            <w:r>
              <w:rPr>
                <w:noProof/>
                <w:sz w:val="23"/>
              </w:rPr>
              <w:t xml:space="preserve"> </w:t>
            </w:r>
            <w:r>
              <w:rPr>
                <w:rFonts w:ascii="Arial Narrow" w:hAnsi="Arial Narrow"/>
                <w:noProof/>
                <w:color w:val="006100"/>
                <w:sz w:val="20"/>
              </w:rPr>
              <w:t>000</w:t>
            </w:r>
          </w:p>
        </w:tc>
        <w:tc>
          <w:tcPr>
            <w:tcW w:w="286" w:type="pct"/>
            <w:shd w:val="clear" w:color="auto" w:fill="C6EFCE"/>
            <w:noWrap/>
            <w:vAlign w:val="center"/>
          </w:tcPr>
          <w:p w14:paraId="079847DF" w14:textId="657B194E" w:rsidR="004C6421" w:rsidRDefault="00CC179E">
            <w:pPr>
              <w:pStyle w:val="P68B1DB1-Normal4"/>
              <w:jc w:val="center"/>
              <w:rPr>
                <w:noProof/>
              </w:rPr>
            </w:pPr>
            <w:r>
              <w:rPr>
                <w:noProof/>
              </w:rPr>
              <w:t>KW. 4</w:t>
            </w:r>
          </w:p>
        </w:tc>
        <w:tc>
          <w:tcPr>
            <w:tcW w:w="238" w:type="pct"/>
            <w:shd w:val="clear" w:color="auto" w:fill="C6EFCE"/>
            <w:noWrap/>
            <w:vAlign w:val="center"/>
          </w:tcPr>
          <w:p w14:paraId="7809F9D2" w14:textId="77777777" w:rsidR="004C6421" w:rsidRDefault="009D1962">
            <w:pPr>
              <w:pStyle w:val="P68B1DB1-Normal4"/>
              <w:jc w:val="center"/>
              <w:rPr>
                <w:noProof/>
              </w:rPr>
            </w:pPr>
            <w:r>
              <w:rPr>
                <w:noProof/>
              </w:rPr>
              <w:t>2025</w:t>
            </w:r>
          </w:p>
        </w:tc>
        <w:tc>
          <w:tcPr>
            <w:tcW w:w="1046" w:type="pct"/>
            <w:shd w:val="clear" w:color="auto" w:fill="C6EFCE"/>
            <w:noWrap/>
            <w:vAlign w:val="center"/>
          </w:tcPr>
          <w:p w14:paraId="31C1D5E4" w14:textId="77777777" w:rsidR="004C6421" w:rsidRDefault="009D1962">
            <w:pPr>
              <w:pStyle w:val="P68B1DB1-Normal4"/>
              <w:rPr>
                <w:noProof/>
              </w:rPr>
            </w:pPr>
            <w:r>
              <w:rPr>
                <w:noProof/>
              </w:rPr>
              <w:t>Liczba sal lekcyjnych przekształconych w innowacyjne środowiska edukacyjne w plan „Szkoła 4.0”.</w:t>
            </w:r>
          </w:p>
          <w:p w14:paraId="7437552E" w14:textId="77777777" w:rsidR="004C6421" w:rsidRDefault="004C6421">
            <w:pPr>
              <w:rPr>
                <w:rFonts w:ascii="Arial Narrow" w:hAnsi="Arial Narrow"/>
                <w:noProof/>
                <w:color w:val="006100"/>
                <w:sz w:val="20"/>
              </w:rPr>
            </w:pPr>
          </w:p>
          <w:p w14:paraId="09CBBF40" w14:textId="77777777" w:rsidR="004C6421" w:rsidRDefault="009D1962">
            <w:pPr>
              <w:pStyle w:val="P68B1DB1-Normal4"/>
              <w:rPr>
                <w:noProof/>
              </w:rPr>
            </w:pPr>
            <w:r>
              <w:rPr>
                <w:noProof/>
              </w:rPr>
              <w:t>Działanie ma przekształcić przestrzenie szkolne wykorzystywane w tradycyjnych klasach w innowacyjne, adaptacyjne i elastyczne środowiska edukacyjne, połączone i zintegrowane z technologiami cyfrowymi, łącznie fizycznie i wirtualnie. Inwestycja ma na celu włączenie wszystkich najbardziej innowacyjnych technologii nauczania (takich jak urządzenia do kodowania i robotyki, urządzeń rzeczywistości wirtualnej i zaawansowanych urządzeń cyfrowych do nauczania sprzyjającego włączeniu społecznemu) w co najmniej 100000 klas w szkołach podstawowych i średnich wykorzystywanych do nauczania.</w:t>
            </w:r>
          </w:p>
        </w:tc>
      </w:tr>
      <w:tr w:rsidR="004C6421" w14:paraId="475C598C" w14:textId="77777777">
        <w:trPr>
          <w:trHeight w:val="309"/>
        </w:trPr>
        <w:tc>
          <w:tcPr>
            <w:tcW w:w="380" w:type="pct"/>
            <w:shd w:val="clear" w:color="auto" w:fill="C6EFCE"/>
            <w:noWrap/>
            <w:vAlign w:val="center"/>
          </w:tcPr>
          <w:p w14:paraId="5D11A312" w14:textId="77777777" w:rsidR="004C6421" w:rsidRDefault="009D1962">
            <w:pPr>
              <w:pStyle w:val="P68B1DB1-Normal4"/>
              <w:jc w:val="center"/>
              <w:rPr>
                <w:noProof/>
              </w:rPr>
            </w:pPr>
            <w:r>
              <w:rPr>
                <w:noProof/>
              </w:rPr>
              <w:t>M4C1-20</w:t>
            </w:r>
          </w:p>
        </w:tc>
        <w:tc>
          <w:tcPr>
            <w:tcW w:w="500" w:type="pct"/>
            <w:shd w:val="clear" w:color="auto" w:fill="C6EFCE"/>
            <w:noWrap/>
            <w:vAlign w:val="center"/>
          </w:tcPr>
          <w:p w14:paraId="08A9DAE9" w14:textId="77777777" w:rsidR="004C6421" w:rsidRDefault="009D1962">
            <w:pPr>
              <w:pStyle w:val="P68B1DB1-Normal4"/>
              <w:jc w:val="center"/>
              <w:rPr>
                <w:noProof/>
              </w:rPr>
            </w:pPr>
            <w:r>
              <w:rPr>
                <w:noProof/>
              </w:rPr>
              <w:t>Inwestycja 1.5: Rozwój systemu szkolnictwa wyższego szkolenia zawodowego (ITS)</w:t>
            </w:r>
          </w:p>
        </w:tc>
        <w:tc>
          <w:tcPr>
            <w:tcW w:w="358" w:type="pct"/>
            <w:shd w:val="clear" w:color="auto" w:fill="C6EFCE"/>
            <w:noWrap/>
            <w:vAlign w:val="center"/>
          </w:tcPr>
          <w:p w14:paraId="773FC94C" w14:textId="77777777" w:rsidR="004C6421" w:rsidRDefault="009D1962">
            <w:pPr>
              <w:pStyle w:val="P68B1DB1-Normal4"/>
              <w:jc w:val="center"/>
              <w:rPr>
                <w:noProof/>
              </w:rPr>
            </w:pPr>
            <w:r>
              <w:rPr>
                <w:noProof/>
              </w:rPr>
              <w:t>Cel</w:t>
            </w:r>
          </w:p>
        </w:tc>
        <w:tc>
          <w:tcPr>
            <w:tcW w:w="572" w:type="pct"/>
            <w:shd w:val="clear" w:color="auto" w:fill="C6EFCE"/>
            <w:noWrap/>
            <w:vAlign w:val="center"/>
          </w:tcPr>
          <w:p w14:paraId="651A72B3" w14:textId="77777777" w:rsidR="004C6421" w:rsidRDefault="009D1962">
            <w:pPr>
              <w:pStyle w:val="P68B1DB1-Normal4"/>
              <w:jc w:val="center"/>
              <w:rPr>
                <w:noProof/>
              </w:rPr>
            </w:pPr>
            <w:r>
              <w:rPr>
                <w:noProof/>
              </w:rPr>
              <w:t>Liczba studentów przyjętych do systemu szkolenia zawodowego (ITS)</w:t>
            </w:r>
          </w:p>
        </w:tc>
        <w:tc>
          <w:tcPr>
            <w:tcW w:w="480" w:type="pct"/>
            <w:shd w:val="clear" w:color="auto" w:fill="C6EFCE"/>
            <w:noWrap/>
            <w:vAlign w:val="center"/>
          </w:tcPr>
          <w:p w14:paraId="42AF343D" w14:textId="77777777" w:rsidR="004C6421" w:rsidRDefault="009D1962">
            <w:pPr>
              <w:pStyle w:val="P68B1DB1-Normal4"/>
              <w:jc w:val="center"/>
              <w:rPr>
                <w:noProof/>
              </w:rPr>
            </w:pPr>
            <w:r>
              <w:rPr>
                <w:noProof/>
              </w:rPr>
              <w:t>NIE DOT.</w:t>
            </w:r>
          </w:p>
        </w:tc>
        <w:tc>
          <w:tcPr>
            <w:tcW w:w="422" w:type="pct"/>
            <w:shd w:val="clear" w:color="auto" w:fill="C6EFCE"/>
            <w:noWrap/>
            <w:vAlign w:val="center"/>
          </w:tcPr>
          <w:p w14:paraId="5673E1A0" w14:textId="77777777" w:rsidR="004C6421" w:rsidRDefault="009D1962">
            <w:pPr>
              <w:pStyle w:val="P68B1DB1-Normal4"/>
              <w:jc w:val="center"/>
              <w:rPr>
                <w:noProof/>
              </w:rPr>
            </w:pPr>
            <w:r>
              <w:rPr>
                <w:noProof/>
              </w:rPr>
              <w:t>Numer</w:t>
            </w:r>
          </w:p>
        </w:tc>
        <w:tc>
          <w:tcPr>
            <w:tcW w:w="375" w:type="pct"/>
            <w:shd w:val="clear" w:color="auto" w:fill="C6EFCE"/>
            <w:noWrap/>
            <w:vAlign w:val="center"/>
          </w:tcPr>
          <w:p w14:paraId="36A38C52" w14:textId="7DBAABD7" w:rsidR="004C6421" w:rsidRDefault="009D1962">
            <w:pPr>
              <w:jc w:val="center"/>
              <w:rPr>
                <w:rFonts w:ascii="Arial Narrow" w:hAnsi="Arial Narrow"/>
                <w:noProof/>
                <w:color w:val="006100"/>
                <w:sz w:val="20"/>
              </w:rPr>
            </w:pPr>
            <w:r>
              <w:rPr>
                <w:rFonts w:ascii="Arial Narrow" w:hAnsi="Arial Narrow"/>
                <w:noProof/>
                <w:color w:val="006100"/>
                <w:sz w:val="20"/>
              </w:rPr>
              <w:t>11</w:t>
            </w:r>
            <w:r>
              <w:rPr>
                <w:noProof/>
                <w:sz w:val="23"/>
              </w:rPr>
              <w:t xml:space="preserve"> </w:t>
            </w:r>
            <w:r>
              <w:rPr>
                <w:rFonts w:ascii="Arial Narrow" w:hAnsi="Arial Narrow"/>
                <w:noProof/>
                <w:color w:val="006100"/>
                <w:sz w:val="20"/>
              </w:rPr>
              <w:t>000</w:t>
            </w:r>
          </w:p>
        </w:tc>
        <w:tc>
          <w:tcPr>
            <w:tcW w:w="343" w:type="pct"/>
            <w:shd w:val="clear" w:color="auto" w:fill="C6EFCE"/>
            <w:noWrap/>
            <w:vAlign w:val="center"/>
          </w:tcPr>
          <w:p w14:paraId="3B4AED6C" w14:textId="77777777" w:rsidR="004C6421" w:rsidRDefault="009D1962">
            <w:pPr>
              <w:pStyle w:val="P68B1DB1-Normal4"/>
              <w:jc w:val="center"/>
              <w:rPr>
                <w:noProof/>
              </w:rPr>
            </w:pPr>
            <w:r>
              <w:rPr>
                <w:noProof/>
              </w:rPr>
              <w:t>22 000</w:t>
            </w:r>
          </w:p>
        </w:tc>
        <w:tc>
          <w:tcPr>
            <w:tcW w:w="286" w:type="pct"/>
            <w:shd w:val="clear" w:color="auto" w:fill="C6EFCE"/>
            <w:noWrap/>
            <w:vAlign w:val="center"/>
          </w:tcPr>
          <w:p w14:paraId="44831496" w14:textId="3E86B68E" w:rsidR="004C6421" w:rsidRDefault="00CC179E">
            <w:pPr>
              <w:pStyle w:val="P68B1DB1-Normal4"/>
              <w:jc w:val="center"/>
              <w:rPr>
                <w:noProof/>
              </w:rPr>
            </w:pPr>
            <w:r>
              <w:rPr>
                <w:noProof/>
              </w:rPr>
              <w:t>KW. 4</w:t>
            </w:r>
          </w:p>
        </w:tc>
        <w:tc>
          <w:tcPr>
            <w:tcW w:w="238" w:type="pct"/>
            <w:shd w:val="clear" w:color="auto" w:fill="C6EFCE"/>
            <w:noWrap/>
            <w:vAlign w:val="center"/>
          </w:tcPr>
          <w:p w14:paraId="73B99BDA" w14:textId="77777777" w:rsidR="004C6421" w:rsidRDefault="009D1962">
            <w:pPr>
              <w:pStyle w:val="P68B1DB1-Normal4"/>
              <w:jc w:val="center"/>
              <w:rPr>
                <w:noProof/>
              </w:rPr>
            </w:pPr>
            <w:r>
              <w:rPr>
                <w:noProof/>
              </w:rPr>
              <w:t>2025</w:t>
            </w:r>
          </w:p>
        </w:tc>
        <w:tc>
          <w:tcPr>
            <w:tcW w:w="1046" w:type="pct"/>
            <w:shd w:val="clear" w:color="auto" w:fill="C6EFCE"/>
            <w:noWrap/>
            <w:vAlign w:val="center"/>
          </w:tcPr>
          <w:p w14:paraId="329CE079" w14:textId="77777777" w:rsidR="004C6421" w:rsidRDefault="009D1962">
            <w:pPr>
              <w:pStyle w:val="P68B1DB1-Normal4"/>
              <w:rPr>
                <w:noProof/>
              </w:rPr>
            </w:pPr>
            <w:r>
              <w:rPr>
                <w:noProof/>
              </w:rPr>
              <w:t>Wzrost liczby studentów uczęszczających do systemu kształcenia zawodowego rocznie (100 %).</w:t>
            </w:r>
          </w:p>
        </w:tc>
      </w:tr>
      <w:tr w:rsidR="004C6421" w14:paraId="39A0525C" w14:textId="77777777">
        <w:trPr>
          <w:trHeight w:val="309"/>
        </w:trPr>
        <w:tc>
          <w:tcPr>
            <w:tcW w:w="380" w:type="pct"/>
            <w:shd w:val="clear" w:color="auto" w:fill="C6EFCE"/>
            <w:noWrap/>
            <w:vAlign w:val="center"/>
          </w:tcPr>
          <w:p w14:paraId="3CE436A9" w14:textId="77777777" w:rsidR="004C6421" w:rsidRDefault="009D1962">
            <w:pPr>
              <w:pStyle w:val="P68B1DB1-Normal4"/>
              <w:jc w:val="center"/>
              <w:rPr>
                <w:noProof/>
              </w:rPr>
            </w:pPr>
            <w:r>
              <w:rPr>
                <w:noProof/>
              </w:rPr>
              <w:t>M4C1-20 bis</w:t>
            </w:r>
          </w:p>
        </w:tc>
        <w:tc>
          <w:tcPr>
            <w:tcW w:w="500" w:type="pct"/>
            <w:shd w:val="clear" w:color="auto" w:fill="C6EFCE"/>
            <w:noWrap/>
            <w:vAlign w:val="center"/>
          </w:tcPr>
          <w:p w14:paraId="1A11D354" w14:textId="77777777" w:rsidR="004C6421" w:rsidRDefault="009D1962">
            <w:pPr>
              <w:pStyle w:val="P68B1DB1-Normal4"/>
              <w:jc w:val="center"/>
              <w:rPr>
                <w:noProof/>
              </w:rPr>
            </w:pPr>
            <w:r>
              <w:rPr>
                <w:noProof/>
              </w:rPr>
              <w:t>Inwestycja 1.5: Rozwój systemu szkolnictwa wyższego szkolenia zawodowego (ITS)</w:t>
            </w:r>
          </w:p>
        </w:tc>
        <w:tc>
          <w:tcPr>
            <w:tcW w:w="358" w:type="pct"/>
            <w:shd w:val="clear" w:color="auto" w:fill="C6EFCE"/>
            <w:noWrap/>
            <w:vAlign w:val="center"/>
          </w:tcPr>
          <w:p w14:paraId="38E50081" w14:textId="51162AAB" w:rsidR="004C6421" w:rsidRDefault="00CC179E">
            <w:pPr>
              <w:pStyle w:val="P68B1DB1-Normal4"/>
              <w:jc w:val="center"/>
              <w:rPr>
                <w:noProof/>
              </w:rPr>
            </w:pPr>
            <w:r>
              <w:rPr>
                <w:noProof/>
              </w:rPr>
              <w:t>Milowy</w:t>
            </w:r>
          </w:p>
        </w:tc>
        <w:tc>
          <w:tcPr>
            <w:tcW w:w="572" w:type="pct"/>
            <w:shd w:val="clear" w:color="auto" w:fill="C6EFCE"/>
            <w:noWrap/>
            <w:vAlign w:val="center"/>
          </w:tcPr>
          <w:p w14:paraId="4451172D" w14:textId="77777777" w:rsidR="004C6421" w:rsidRDefault="009D1962">
            <w:pPr>
              <w:pStyle w:val="P68B1DB1-Normal4"/>
              <w:jc w:val="center"/>
              <w:rPr>
                <w:noProof/>
              </w:rPr>
            </w:pPr>
            <w:r>
              <w:rPr>
                <w:noProof/>
              </w:rPr>
              <w:t xml:space="preserve">Wdrożenie nowego krajowego systemu monitorowania </w:t>
            </w:r>
          </w:p>
        </w:tc>
        <w:tc>
          <w:tcPr>
            <w:tcW w:w="480" w:type="pct"/>
            <w:shd w:val="clear" w:color="auto" w:fill="C6EFCE"/>
            <w:noWrap/>
            <w:vAlign w:val="center"/>
          </w:tcPr>
          <w:p w14:paraId="75F2E9AB" w14:textId="77777777" w:rsidR="004C6421" w:rsidRDefault="009D1962">
            <w:pPr>
              <w:pStyle w:val="P68B1DB1-Normal4"/>
              <w:jc w:val="center"/>
              <w:rPr>
                <w:noProof/>
              </w:rPr>
            </w:pPr>
            <w:r>
              <w:rPr>
                <w:noProof/>
              </w:rPr>
              <w:t xml:space="preserve">Uruchomienie nowego systemu monitorowania ITS </w:t>
            </w:r>
          </w:p>
        </w:tc>
        <w:tc>
          <w:tcPr>
            <w:tcW w:w="422" w:type="pct"/>
            <w:shd w:val="clear" w:color="auto" w:fill="C6EFCE"/>
            <w:noWrap/>
            <w:vAlign w:val="center"/>
          </w:tcPr>
          <w:p w14:paraId="02FB3A8A" w14:textId="77777777" w:rsidR="004C6421" w:rsidRDefault="009D1962">
            <w:pPr>
              <w:pStyle w:val="P68B1DB1-Normal4"/>
              <w:jc w:val="center"/>
              <w:rPr>
                <w:noProof/>
              </w:rPr>
            </w:pPr>
            <w:r>
              <w:rPr>
                <w:noProof/>
              </w:rPr>
              <w:t>NIE DOT.</w:t>
            </w:r>
          </w:p>
        </w:tc>
        <w:tc>
          <w:tcPr>
            <w:tcW w:w="375" w:type="pct"/>
            <w:shd w:val="clear" w:color="auto" w:fill="C6EFCE"/>
            <w:noWrap/>
            <w:vAlign w:val="center"/>
          </w:tcPr>
          <w:p w14:paraId="7B016585" w14:textId="77777777" w:rsidR="004C6421" w:rsidRDefault="009D1962">
            <w:pPr>
              <w:pStyle w:val="P68B1DB1-Normal4"/>
              <w:jc w:val="center"/>
              <w:rPr>
                <w:noProof/>
              </w:rPr>
            </w:pPr>
            <w:r>
              <w:rPr>
                <w:noProof/>
              </w:rPr>
              <w:t>NIE DOT.</w:t>
            </w:r>
          </w:p>
        </w:tc>
        <w:tc>
          <w:tcPr>
            <w:tcW w:w="343" w:type="pct"/>
            <w:shd w:val="clear" w:color="auto" w:fill="C6EFCE"/>
            <w:noWrap/>
            <w:vAlign w:val="center"/>
          </w:tcPr>
          <w:p w14:paraId="7FA091A8" w14:textId="77777777" w:rsidR="004C6421" w:rsidRDefault="009D1962">
            <w:pPr>
              <w:pStyle w:val="P68B1DB1-Normal4"/>
              <w:jc w:val="center"/>
              <w:rPr>
                <w:noProof/>
              </w:rPr>
            </w:pPr>
            <w:r>
              <w:rPr>
                <w:noProof/>
              </w:rPr>
              <w:t>NIE DOT.</w:t>
            </w:r>
          </w:p>
        </w:tc>
        <w:tc>
          <w:tcPr>
            <w:tcW w:w="286" w:type="pct"/>
            <w:shd w:val="clear" w:color="auto" w:fill="C6EFCE"/>
            <w:noWrap/>
            <w:vAlign w:val="center"/>
          </w:tcPr>
          <w:p w14:paraId="4E00D1FE" w14:textId="5A6FCE17" w:rsidR="004C6421" w:rsidRDefault="00CC179E">
            <w:pPr>
              <w:pStyle w:val="P68B1DB1-Normal4"/>
              <w:jc w:val="center"/>
              <w:rPr>
                <w:noProof/>
              </w:rPr>
            </w:pPr>
            <w:r>
              <w:rPr>
                <w:noProof/>
              </w:rPr>
              <w:t>KW. 4</w:t>
            </w:r>
          </w:p>
        </w:tc>
        <w:tc>
          <w:tcPr>
            <w:tcW w:w="238" w:type="pct"/>
            <w:shd w:val="clear" w:color="auto" w:fill="C6EFCE"/>
            <w:noWrap/>
            <w:vAlign w:val="center"/>
          </w:tcPr>
          <w:p w14:paraId="1084CFC6" w14:textId="77777777" w:rsidR="004C6421" w:rsidRDefault="009D1962">
            <w:pPr>
              <w:pStyle w:val="P68B1DB1-Normal4"/>
              <w:jc w:val="center"/>
              <w:rPr>
                <w:noProof/>
              </w:rPr>
            </w:pPr>
            <w:r>
              <w:rPr>
                <w:noProof/>
              </w:rPr>
              <w:t>2025</w:t>
            </w:r>
          </w:p>
        </w:tc>
        <w:tc>
          <w:tcPr>
            <w:tcW w:w="1046" w:type="pct"/>
            <w:shd w:val="clear" w:color="auto" w:fill="C6EFCE"/>
            <w:noWrap/>
            <w:vAlign w:val="center"/>
          </w:tcPr>
          <w:p w14:paraId="522391E1" w14:textId="77777777" w:rsidR="004C6421" w:rsidRDefault="009D1962">
            <w:pPr>
              <w:pStyle w:val="P68B1DB1-Normal4"/>
              <w:jc w:val="both"/>
              <w:rPr>
                <w:rFonts w:eastAsiaTheme="minorEastAsia" w:cstheme="minorBidi"/>
                <w:noProof/>
              </w:rPr>
            </w:pPr>
            <w:r>
              <w:rPr>
                <w:noProof/>
              </w:rPr>
              <w:t>Nowy krajowy system monitorowania wyników osiągniętych dzięki kursom ITS w pełni wdrożonym i operacyjnym.</w:t>
            </w:r>
          </w:p>
        </w:tc>
      </w:tr>
      <w:tr w:rsidR="004C6421" w14:paraId="72D5B859" w14:textId="77777777">
        <w:trPr>
          <w:trHeight w:val="309"/>
        </w:trPr>
        <w:tc>
          <w:tcPr>
            <w:tcW w:w="380" w:type="pct"/>
            <w:shd w:val="clear" w:color="auto" w:fill="C6EFCE"/>
            <w:noWrap/>
            <w:vAlign w:val="center"/>
          </w:tcPr>
          <w:p w14:paraId="5684634B" w14:textId="77777777" w:rsidR="004C6421" w:rsidRDefault="009D1962">
            <w:pPr>
              <w:pStyle w:val="P68B1DB1-Normal4"/>
              <w:jc w:val="center"/>
              <w:rPr>
                <w:noProof/>
              </w:rPr>
            </w:pPr>
            <w:r>
              <w:rPr>
                <w:noProof/>
              </w:rPr>
              <w:t>M4C1-21</w:t>
            </w:r>
          </w:p>
        </w:tc>
        <w:tc>
          <w:tcPr>
            <w:tcW w:w="500" w:type="pct"/>
            <w:shd w:val="clear" w:color="auto" w:fill="C6EFCE"/>
            <w:noWrap/>
            <w:vAlign w:val="center"/>
          </w:tcPr>
          <w:p w14:paraId="2FE22637" w14:textId="77777777" w:rsidR="004C6421" w:rsidRDefault="009D1962">
            <w:pPr>
              <w:pStyle w:val="P68B1DB1-Normal4"/>
              <w:jc w:val="center"/>
              <w:rPr>
                <w:noProof/>
              </w:rPr>
            </w:pPr>
            <w:r>
              <w:rPr>
                <w:noProof/>
              </w:rPr>
              <w:t>Inwestycje 1.2: Plan przedłużenia pełnego wymiaru czasu pracy</w:t>
            </w:r>
          </w:p>
        </w:tc>
        <w:tc>
          <w:tcPr>
            <w:tcW w:w="358" w:type="pct"/>
            <w:shd w:val="clear" w:color="auto" w:fill="C6EFCE"/>
            <w:noWrap/>
            <w:vAlign w:val="center"/>
          </w:tcPr>
          <w:p w14:paraId="11E0CA06" w14:textId="77777777" w:rsidR="004C6421" w:rsidRDefault="009D1962">
            <w:pPr>
              <w:pStyle w:val="P68B1DB1-Normal4"/>
              <w:jc w:val="center"/>
              <w:rPr>
                <w:noProof/>
              </w:rPr>
            </w:pPr>
            <w:r>
              <w:rPr>
                <w:noProof/>
              </w:rPr>
              <w:t>Cel</w:t>
            </w:r>
          </w:p>
        </w:tc>
        <w:tc>
          <w:tcPr>
            <w:tcW w:w="572" w:type="pct"/>
            <w:shd w:val="clear" w:color="auto" w:fill="C6EFCE"/>
            <w:noWrap/>
            <w:vAlign w:val="center"/>
          </w:tcPr>
          <w:p w14:paraId="77B30AF0" w14:textId="77777777" w:rsidR="004C6421" w:rsidRDefault="009D1962">
            <w:pPr>
              <w:pStyle w:val="P68B1DB1-Normal4"/>
              <w:jc w:val="center"/>
              <w:rPr>
                <w:noProof/>
                <w:color w:val="375623"/>
              </w:rPr>
            </w:pPr>
            <w:r>
              <w:rPr>
                <w:noProof/>
              </w:rPr>
              <w:t>Struktury przyjmujące uczniów po zakończeniu nauki szkolnej</w:t>
            </w:r>
          </w:p>
        </w:tc>
        <w:tc>
          <w:tcPr>
            <w:tcW w:w="480" w:type="pct"/>
            <w:shd w:val="clear" w:color="auto" w:fill="C6EFCE"/>
            <w:noWrap/>
            <w:vAlign w:val="center"/>
          </w:tcPr>
          <w:p w14:paraId="2AB79352" w14:textId="77777777" w:rsidR="004C6421" w:rsidRDefault="009D1962">
            <w:pPr>
              <w:pStyle w:val="P68B1DB1-Normal4"/>
              <w:jc w:val="center"/>
              <w:rPr>
                <w:noProof/>
              </w:rPr>
            </w:pPr>
            <w:r>
              <w:rPr>
                <w:noProof/>
              </w:rPr>
              <w:t>NIE DOT.</w:t>
            </w:r>
          </w:p>
        </w:tc>
        <w:tc>
          <w:tcPr>
            <w:tcW w:w="422" w:type="pct"/>
            <w:shd w:val="clear" w:color="auto" w:fill="C6EFCE"/>
            <w:noWrap/>
            <w:vAlign w:val="center"/>
          </w:tcPr>
          <w:p w14:paraId="5F9B8DA0" w14:textId="77777777" w:rsidR="004C6421" w:rsidRDefault="009D1962">
            <w:pPr>
              <w:pStyle w:val="P68B1DB1-Normal4"/>
              <w:jc w:val="center"/>
              <w:rPr>
                <w:noProof/>
              </w:rPr>
            </w:pPr>
            <w:r>
              <w:rPr>
                <w:noProof/>
              </w:rPr>
              <w:t>Numer</w:t>
            </w:r>
          </w:p>
        </w:tc>
        <w:tc>
          <w:tcPr>
            <w:tcW w:w="375" w:type="pct"/>
            <w:shd w:val="clear" w:color="auto" w:fill="C6EFCE"/>
            <w:noWrap/>
            <w:vAlign w:val="center"/>
          </w:tcPr>
          <w:p w14:paraId="6D950EFC" w14:textId="77777777" w:rsidR="004C6421" w:rsidRDefault="009D1962">
            <w:pPr>
              <w:pStyle w:val="P68B1DB1-Normal4"/>
              <w:jc w:val="center"/>
              <w:rPr>
                <w:noProof/>
              </w:rPr>
            </w:pPr>
            <w:r>
              <w:rPr>
                <w:noProof/>
              </w:rPr>
              <w:t>0</w:t>
            </w:r>
          </w:p>
        </w:tc>
        <w:tc>
          <w:tcPr>
            <w:tcW w:w="343" w:type="pct"/>
            <w:shd w:val="clear" w:color="auto" w:fill="C6EFCE"/>
            <w:noWrap/>
            <w:vAlign w:val="center"/>
          </w:tcPr>
          <w:p w14:paraId="0A6CCDEA" w14:textId="4E20DDF6" w:rsidR="004C6421" w:rsidRDefault="009D1962">
            <w:pPr>
              <w:jc w:val="center"/>
              <w:rPr>
                <w:rFonts w:ascii="Arial Narrow" w:hAnsi="Arial Narrow"/>
                <w:noProof/>
                <w:color w:val="006100"/>
                <w:sz w:val="20"/>
              </w:rPr>
            </w:pPr>
            <w:r>
              <w:rPr>
                <w:rFonts w:ascii="Arial Narrow" w:hAnsi="Arial Narrow"/>
                <w:noProof/>
                <w:color w:val="006100"/>
                <w:sz w:val="20"/>
              </w:rPr>
              <w:t>1</w:t>
            </w:r>
            <w:r>
              <w:rPr>
                <w:noProof/>
                <w:sz w:val="23"/>
              </w:rPr>
              <w:t xml:space="preserve"> </w:t>
            </w:r>
            <w:r>
              <w:rPr>
                <w:rFonts w:ascii="Arial Narrow" w:hAnsi="Arial Narrow"/>
                <w:noProof/>
                <w:color w:val="006100"/>
                <w:sz w:val="20"/>
              </w:rPr>
              <w:t>000</w:t>
            </w:r>
          </w:p>
        </w:tc>
        <w:tc>
          <w:tcPr>
            <w:tcW w:w="286" w:type="pct"/>
            <w:shd w:val="clear" w:color="auto" w:fill="C6EFCE"/>
            <w:noWrap/>
            <w:vAlign w:val="center"/>
          </w:tcPr>
          <w:p w14:paraId="0B2440EF" w14:textId="77777777" w:rsidR="004C6421" w:rsidRDefault="009D1962">
            <w:pPr>
              <w:pStyle w:val="P68B1DB1-Normal4"/>
              <w:jc w:val="center"/>
              <w:rPr>
                <w:noProof/>
              </w:rPr>
            </w:pPr>
            <w:r>
              <w:rPr>
                <w:noProof/>
              </w:rPr>
              <w:t>II KW.</w:t>
            </w:r>
          </w:p>
        </w:tc>
        <w:tc>
          <w:tcPr>
            <w:tcW w:w="238" w:type="pct"/>
            <w:shd w:val="clear" w:color="auto" w:fill="C6EFCE"/>
            <w:noWrap/>
            <w:vAlign w:val="center"/>
          </w:tcPr>
          <w:p w14:paraId="08DBC9C6" w14:textId="77777777" w:rsidR="004C6421" w:rsidRDefault="009D1962">
            <w:pPr>
              <w:pStyle w:val="P68B1DB1-Normal4"/>
              <w:jc w:val="center"/>
              <w:rPr>
                <w:noProof/>
              </w:rPr>
            </w:pPr>
            <w:r>
              <w:rPr>
                <w:noProof/>
              </w:rPr>
              <w:t>2026</w:t>
            </w:r>
          </w:p>
        </w:tc>
        <w:tc>
          <w:tcPr>
            <w:tcW w:w="1046" w:type="pct"/>
            <w:shd w:val="clear" w:color="auto" w:fill="C6EFCE"/>
            <w:noWrap/>
            <w:vAlign w:val="center"/>
          </w:tcPr>
          <w:p w14:paraId="72D86633" w14:textId="59BDD483" w:rsidR="004C6421" w:rsidRDefault="009D1962">
            <w:pPr>
              <w:rPr>
                <w:rFonts w:ascii="Arial Narrow" w:hAnsi="Arial Narrow"/>
                <w:noProof/>
                <w:sz w:val="20"/>
              </w:rPr>
            </w:pPr>
            <w:r>
              <w:rPr>
                <w:rFonts w:ascii="Arial Narrow" w:hAnsi="Arial Narrow"/>
                <w:noProof/>
                <w:color w:val="006100"/>
                <w:sz w:val="20"/>
              </w:rPr>
              <w:t xml:space="preserve">Zbudowano lub zmodernizowanoco najmniej 1000 obiektów w celu ułatwienia wydłużenia czasu szkolnego i otwarcia szkół poza godziny szkolne. </w:t>
            </w:r>
          </w:p>
        </w:tc>
      </w:tr>
      <w:tr w:rsidR="004C6421" w14:paraId="7B08DB90" w14:textId="77777777">
        <w:trPr>
          <w:trHeight w:val="309"/>
        </w:trPr>
        <w:tc>
          <w:tcPr>
            <w:tcW w:w="380" w:type="pct"/>
            <w:shd w:val="clear" w:color="auto" w:fill="C6EFCE"/>
            <w:noWrap/>
            <w:vAlign w:val="center"/>
          </w:tcPr>
          <w:p w14:paraId="0C0E180F" w14:textId="77777777" w:rsidR="004C6421" w:rsidRDefault="009D1962">
            <w:pPr>
              <w:pStyle w:val="P68B1DB1-Normal4"/>
              <w:jc w:val="center"/>
              <w:rPr>
                <w:noProof/>
              </w:rPr>
            </w:pPr>
            <w:r>
              <w:rPr>
                <w:noProof/>
              </w:rPr>
              <w:t>M4C1-22</w:t>
            </w:r>
          </w:p>
        </w:tc>
        <w:tc>
          <w:tcPr>
            <w:tcW w:w="500" w:type="pct"/>
            <w:shd w:val="clear" w:color="auto" w:fill="C6EFCE"/>
            <w:noWrap/>
            <w:vAlign w:val="center"/>
          </w:tcPr>
          <w:p w14:paraId="13BDB651" w14:textId="77777777" w:rsidR="004C6421" w:rsidRDefault="009D1962">
            <w:pPr>
              <w:pStyle w:val="P68B1DB1-Normal4"/>
              <w:jc w:val="center"/>
              <w:rPr>
                <w:noProof/>
              </w:rPr>
            </w:pPr>
            <w:r>
              <w:rPr>
                <w:noProof/>
              </w:rPr>
              <w:t>Inwestycja 1.3: Plan poprawy infrastruktury sportowej w szkołach</w:t>
            </w:r>
          </w:p>
        </w:tc>
        <w:tc>
          <w:tcPr>
            <w:tcW w:w="358" w:type="pct"/>
            <w:shd w:val="clear" w:color="auto" w:fill="C6EFCE"/>
            <w:noWrap/>
            <w:vAlign w:val="center"/>
          </w:tcPr>
          <w:p w14:paraId="7008041C" w14:textId="77777777" w:rsidR="004C6421" w:rsidRDefault="009D1962">
            <w:pPr>
              <w:pStyle w:val="P68B1DB1-Normal4"/>
              <w:jc w:val="center"/>
              <w:rPr>
                <w:noProof/>
              </w:rPr>
            </w:pPr>
            <w:r>
              <w:rPr>
                <w:noProof/>
              </w:rPr>
              <w:t>Cel</w:t>
            </w:r>
          </w:p>
        </w:tc>
        <w:tc>
          <w:tcPr>
            <w:tcW w:w="572" w:type="pct"/>
            <w:shd w:val="clear" w:color="auto" w:fill="C6EFCE"/>
            <w:noWrap/>
            <w:vAlign w:val="center"/>
          </w:tcPr>
          <w:p w14:paraId="7E929955" w14:textId="77777777" w:rsidR="004C6421" w:rsidRDefault="009D1962">
            <w:pPr>
              <w:pStyle w:val="P68B1DB1-Normal4"/>
              <w:jc w:val="center"/>
              <w:rPr>
                <w:noProof/>
              </w:rPr>
            </w:pPr>
            <w:r>
              <w:rPr>
                <w:noProof/>
              </w:rPr>
              <w:t>SQM wybudowana lub odnowiona jako siłownia lub obiekty sportowe</w:t>
            </w:r>
          </w:p>
        </w:tc>
        <w:tc>
          <w:tcPr>
            <w:tcW w:w="480" w:type="pct"/>
            <w:shd w:val="clear" w:color="auto" w:fill="C6EFCE"/>
            <w:noWrap/>
            <w:vAlign w:val="center"/>
          </w:tcPr>
          <w:p w14:paraId="59115920" w14:textId="77777777" w:rsidR="004C6421" w:rsidRDefault="009D1962">
            <w:pPr>
              <w:pStyle w:val="P68B1DB1-Normal4"/>
              <w:jc w:val="center"/>
              <w:rPr>
                <w:noProof/>
              </w:rPr>
            </w:pPr>
            <w:r>
              <w:rPr>
                <w:noProof/>
              </w:rPr>
              <w:t>NIE DOT.</w:t>
            </w:r>
          </w:p>
        </w:tc>
        <w:tc>
          <w:tcPr>
            <w:tcW w:w="422" w:type="pct"/>
            <w:shd w:val="clear" w:color="auto" w:fill="C6EFCE"/>
            <w:noWrap/>
            <w:vAlign w:val="center"/>
          </w:tcPr>
          <w:p w14:paraId="0994F539" w14:textId="77777777" w:rsidR="004C6421" w:rsidRDefault="009D1962">
            <w:pPr>
              <w:pStyle w:val="P68B1DB1-Normal4"/>
              <w:jc w:val="center"/>
              <w:rPr>
                <w:noProof/>
              </w:rPr>
            </w:pPr>
            <w:r>
              <w:rPr>
                <w:noProof/>
              </w:rPr>
              <w:t>Numer</w:t>
            </w:r>
          </w:p>
        </w:tc>
        <w:tc>
          <w:tcPr>
            <w:tcW w:w="375" w:type="pct"/>
            <w:shd w:val="clear" w:color="auto" w:fill="C6EFCE"/>
            <w:noWrap/>
            <w:vAlign w:val="center"/>
          </w:tcPr>
          <w:p w14:paraId="329041F5" w14:textId="77777777" w:rsidR="004C6421" w:rsidRDefault="009D1962">
            <w:pPr>
              <w:pStyle w:val="P68B1DB1-Normal4"/>
              <w:jc w:val="center"/>
              <w:rPr>
                <w:noProof/>
              </w:rPr>
            </w:pPr>
            <w:r>
              <w:rPr>
                <w:noProof/>
              </w:rPr>
              <w:t>0</w:t>
            </w:r>
          </w:p>
        </w:tc>
        <w:tc>
          <w:tcPr>
            <w:tcW w:w="343" w:type="pct"/>
            <w:shd w:val="clear" w:color="auto" w:fill="C6EFCE"/>
            <w:noWrap/>
            <w:vAlign w:val="center"/>
          </w:tcPr>
          <w:p w14:paraId="633F1AF6" w14:textId="74FCA82B" w:rsidR="004C6421" w:rsidRDefault="009D1962">
            <w:pPr>
              <w:jc w:val="center"/>
              <w:rPr>
                <w:rFonts w:ascii="Arial Narrow" w:hAnsi="Arial Narrow"/>
                <w:noProof/>
                <w:color w:val="006100"/>
                <w:sz w:val="20"/>
              </w:rPr>
            </w:pPr>
            <w:r>
              <w:rPr>
                <w:rFonts w:ascii="Arial Narrow" w:hAnsi="Arial Narrow"/>
                <w:noProof/>
                <w:color w:val="006100"/>
                <w:sz w:val="20"/>
              </w:rPr>
              <w:t>230</w:t>
            </w:r>
            <w:r>
              <w:rPr>
                <w:noProof/>
                <w:sz w:val="23"/>
              </w:rPr>
              <w:t xml:space="preserve"> </w:t>
            </w:r>
            <w:r>
              <w:rPr>
                <w:rFonts w:ascii="Arial Narrow" w:hAnsi="Arial Narrow"/>
                <w:noProof/>
                <w:color w:val="006100"/>
                <w:sz w:val="20"/>
              </w:rPr>
              <w:t>400</w:t>
            </w:r>
          </w:p>
        </w:tc>
        <w:tc>
          <w:tcPr>
            <w:tcW w:w="286" w:type="pct"/>
            <w:shd w:val="clear" w:color="auto" w:fill="C6EFCE"/>
            <w:noWrap/>
            <w:vAlign w:val="center"/>
          </w:tcPr>
          <w:p w14:paraId="06FA29BC" w14:textId="77777777" w:rsidR="004C6421" w:rsidRDefault="009D1962">
            <w:pPr>
              <w:pStyle w:val="P68B1DB1-Normal4"/>
              <w:jc w:val="center"/>
              <w:rPr>
                <w:noProof/>
              </w:rPr>
            </w:pPr>
            <w:r>
              <w:rPr>
                <w:noProof/>
              </w:rPr>
              <w:t>II KW.</w:t>
            </w:r>
          </w:p>
        </w:tc>
        <w:tc>
          <w:tcPr>
            <w:tcW w:w="238" w:type="pct"/>
            <w:shd w:val="clear" w:color="auto" w:fill="C6EFCE"/>
            <w:noWrap/>
            <w:vAlign w:val="center"/>
          </w:tcPr>
          <w:p w14:paraId="461FC705" w14:textId="77777777" w:rsidR="004C6421" w:rsidRDefault="009D1962">
            <w:pPr>
              <w:pStyle w:val="P68B1DB1-Normal4"/>
              <w:jc w:val="center"/>
              <w:rPr>
                <w:noProof/>
              </w:rPr>
            </w:pPr>
            <w:r>
              <w:rPr>
                <w:noProof/>
              </w:rPr>
              <w:t>2026</w:t>
            </w:r>
          </w:p>
        </w:tc>
        <w:tc>
          <w:tcPr>
            <w:tcW w:w="1046" w:type="pct"/>
            <w:shd w:val="clear" w:color="auto" w:fill="C6EFCE"/>
            <w:noWrap/>
            <w:vAlign w:val="center"/>
          </w:tcPr>
          <w:p w14:paraId="4C22EDB9" w14:textId="32F45C05" w:rsidR="004C6421" w:rsidRDefault="009D1962">
            <w:pPr>
              <w:pStyle w:val="P68B1DB1-Normal4"/>
              <w:rPr>
                <w:noProof/>
              </w:rPr>
            </w:pPr>
            <w:r>
              <w:rPr>
                <w:noProof/>
              </w:rPr>
              <w:t>Co najmniej 230400 Sqm wybudowano lub wyremontowano w celu wykorzystania jako siłownie lub obiekty sportowe do użytku szkolnego.</w:t>
            </w:r>
          </w:p>
          <w:p w14:paraId="7306A30D" w14:textId="77777777" w:rsidR="004C6421" w:rsidRDefault="004C6421">
            <w:pPr>
              <w:rPr>
                <w:rFonts w:ascii="Arial Narrow" w:hAnsi="Arial Narrow"/>
                <w:noProof/>
                <w:color w:val="006100"/>
                <w:sz w:val="20"/>
              </w:rPr>
            </w:pPr>
          </w:p>
          <w:p w14:paraId="60AA298C" w14:textId="7FA0A634" w:rsidR="004C6421" w:rsidRDefault="004C6421">
            <w:pPr>
              <w:rPr>
                <w:rFonts w:ascii="Arial Narrow" w:hAnsi="Arial Narrow"/>
                <w:noProof/>
                <w:color w:val="006100"/>
                <w:sz w:val="20"/>
              </w:rPr>
            </w:pPr>
          </w:p>
        </w:tc>
      </w:tr>
      <w:tr w:rsidR="004C6421" w14:paraId="4AB26BC0" w14:textId="77777777">
        <w:trPr>
          <w:trHeight w:val="309"/>
        </w:trPr>
        <w:tc>
          <w:tcPr>
            <w:tcW w:w="380" w:type="pct"/>
            <w:shd w:val="clear" w:color="auto" w:fill="C6EFCE"/>
            <w:noWrap/>
            <w:vAlign w:val="center"/>
            <w:hideMark/>
          </w:tcPr>
          <w:p w14:paraId="1DDC1F3F" w14:textId="77777777" w:rsidR="004C6421" w:rsidRDefault="009D1962">
            <w:pPr>
              <w:pStyle w:val="P68B1DB1-Normal4"/>
              <w:jc w:val="center"/>
              <w:rPr>
                <w:noProof/>
              </w:rPr>
            </w:pPr>
            <w:r>
              <w:rPr>
                <w:noProof/>
              </w:rPr>
              <w:t>M4C1-23</w:t>
            </w:r>
          </w:p>
        </w:tc>
        <w:tc>
          <w:tcPr>
            <w:tcW w:w="500" w:type="pct"/>
            <w:shd w:val="clear" w:color="auto" w:fill="C6EFCE"/>
            <w:noWrap/>
            <w:vAlign w:val="center"/>
            <w:hideMark/>
          </w:tcPr>
          <w:p w14:paraId="20A77826" w14:textId="77777777" w:rsidR="004C6421" w:rsidRDefault="009D1962">
            <w:pPr>
              <w:pStyle w:val="P68B1DB1-Normal4"/>
              <w:jc w:val="center"/>
              <w:rPr>
                <w:noProof/>
              </w:rPr>
            </w:pPr>
            <w:r>
              <w:rPr>
                <w:noProof/>
              </w:rPr>
              <w:t>Inwestycja 3.4: Nauczanie i zaawansowane umiejętności uniwersyteckie</w:t>
            </w:r>
          </w:p>
        </w:tc>
        <w:tc>
          <w:tcPr>
            <w:tcW w:w="358" w:type="pct"/>
            <w:shd w:val="clear" w:color="auto" w:fill="C6EFCE"/>
            <w:noWrap/>
            <w:vAlign w:val="center"/>
            <w:hideMark/>
          </w:tcPr>
          <w:p w14:paraId="53B90F7D" w14:textId="77777777" w:rsidR="004C6421" w:rsidRDefault="009D1962">
            <w:pPr>
              <w:pStyle w:val="P68B1DB1-Normal4"/>
              <w:jc w:val="center"/>
              <w:rPr>
                <w:noProof/>
              </w:rPr>
            </w:pPr>
            <w:r>
              <w:rPr>
                <w:noProof/>
              </w:rPr>
              <w:t>Cel</w:t>
            </w:r>
          </w:p>
        </w:tc>
        <w:tc>
          <w:tcPr>
            <w:tcW w:w="572" w:type="pct"/>
            <w:shd w:val="clear" w:color="auto" w:fill="C6EFCE"/>
            <w:noWrap/>
            <w:vAlign w:val="center"/>
            <w:hideMark/>
          </w:tcPr>
          <w:p w14:paraId="7D940566" w14:textId="77777777" w:rsidR="004C6421" w:rsidRDefault="009D1962">
            <w:pPr>
              <w:pStyle w:val="P68B1DB1-Normal4"/>
              <w:jc w:val="center"/>
              <w:rPr>
                <w:noProof/>
              </w:rPr>
            </w:pPr>
            <w:r>
              <w:rPr>
                <w:noProof/>
              </w:rPr>
              <w:t>Nowe doktoraty przyznawane w ciągu trzech lat w ramach programów poświęconych transformacji cyfrowej i ekologicznej</w:t>
            </w:r>
          </w:p>
        </w:tc>
        <w:tc>
          <w:tcPr>
            <w:tcW w:w="480" w:type="pct"/>
            <w:shd w:val="clear" w:color="auto" w:fill="C6EFCE"/>
            <w:noWrap/>
            <w:vAlign w:val="center"/>
            <w:hideMark/>
          </w:tcPr>
          <w:p w14:paraId="32A015D6" w14:textId="77777777" w:rsidR="004C6421" w:rsidRDefault="009D1962">
            <w:pPr>
              <w:pStyle w:val="P68B1DB1-Normal4"/>
              <w:jc w:val="center"/>
              <w:rPr>
                <w:noProof/>
              </w:rPr>
            </w:pPr>
            <w:r>
              <w:rPr>
                <w:noProof/>
              </w:rPr>
              <w:t>NIE DOT.</w:t>
            </w:r>
          </w:p>
        </w:tc>
        <w:tc>
          <w:tcPr>
            <w:tcW w:w="422" w:type="pct"/>
            <w:shd w:val="clear" w:color="auto" w:fill="C6EFCE"/>
            <w:noWrap/>
            <w:vAlign w:val="center"/>
            <w:hideMark/>
          </w:tcPr>
          <w:p w14:paraId="42728F47" w14:textId="77777777" w:rsidR="004C6421" w:rsidRDefault="009D1962">
            <w:pPr>
              <w:pStyle w:val="P68B1DB1-Normal4"/>
              <w:jc w:val="center"/>
              <w:rPr>
                <w:noProof/>
              </w:rPr>
            </w:pPr>
            <w:r>
              <w:rPr>
                <w:noProof/>
              </w:rPr>
              <w:t>Numer</w:t>
            </w:r>
          </w:p>
        </w:tc>
        <w:tc>
          <w:tcPr>
            <w:tcW w:w="375" w:type="pct"/>
            <w:shd w:val="clear" w:color="auto" w:fill="C6EFCE"/>
            <w:noWrap/>
            <w:vAlign w:val="center"/>
            <w:hideMark/>
          </w:tcPr>
          <w:p w14:paraId="3FEF7D25" w14:textId="77777777" w:rsidR="004C6421" w:rsidRDefault="009D1962">
            <w:pPr>
              <w:pStyle w:val="P68B1DB1-Normal4"/>
              <w:jc w:val="center"/>
              <w:rPr>
                <w:noProof/>
              </w:rPr>
            </w:pPr>
            <w:r>
              <w:rPr>
                <w:noProof/>
              </w:rPr>
              <w:t>0</w:t>
            </w:r>
          </w:p>
        </w:tc>
        <w:tc>
          <w:tcPr>
            <w:tcW w:w="343" w:type="pct"/>
            <w:shd w:val="clear" w:color="auto" w:fill="C6EFCE"/>
            <w:noWrap/>
            <w:vAlign w:val="center"/>
            <w:hideMark/>
          </w:tcPr>
          <w:p w14:paraId="61A0D2ED" w14:textId="77777777" w:rsidR="004C6421" w:rsidRDefault="009D1962">
            <w:pPr>
              <w:pStyle w:val="P68B1DB1-Normal4"/>
              <w:jc w:val="center"/>
              <w:rPr>
                <w:noProof/>
              </w:rPr>
            </w:pPr>
            <w:r>
              <w:rPr>
                <w:noProof/>
              </w:rPr>
              <w:t>500</w:t>
            </w:r>
          </w:p>
        </w:tc>
        <w:tc>
          <w:tcPr>
            <w:tcW w:w="286" w:type="pct"/>
            <w:shd w:val="clear" w:color="auto" w:fill="C6EFCE"/>
            <w:noWrap/>
            <w:vAlign w:val="center"/>
            <w:hideMark/>
          </w:tcPr>
          <w:p w14:paraId="71C8A9CF" w14:textId="77777777" w:rsidR="004C6421" w:rsidRDefault="009D1962">
            <w:pPr>
              <w:pStyle w:val="P68B1DB1-Normal4"/>
              <w:jc w:val="center"/>
              <w:rPr>
                <w:noProof/>
              </w:rPr>
            </w:pPr>
            <w:r>
              <w:rPr>
                <w:noProof/>
              </w:rPr>
              <w:t>II KW.</w:t>
            </w:r>
          </w:p>
        </w:tc>
        <w:tc>
          <w:tcPr>
            <w:tcW w:w="238" w:type="pct"/>
            <w:shd w:val="clear" w:color="auto" w:fill="C6EFCE"/>
            <w:noWrap/>
            <w:vAlign w:val="center"/>
            <w:hideMark/>
          </w:tcPr>
          <w:p w14:paraId="3A2750A0" w14:textId="77777777" w:rsidR="004C6421" w:rsidRDefault="009D1962">
            <w:pPr>
              <w:pStyle w:val="P68B1DB1-Normal4"/>
              <w:jc w:val="center"/>
              <w:rPr>
                <w:noProof/>
              </w:rPr>
            </w:pPr>
            <w:r>
              <w:rPr>
                <w:noProof/>
              </w:rPr>
              <w:t>2026</w:t>
            </w:r>
          </w:p>
        </w:tc>
        <w:tc>
          <w:tcPr>
            <w:tcW w:w="1046" w:type="pct"/>
            <w:shd w:val="clear" w:color="auto" w:fill="C6EFCE"/>
            <w:noWrap/>
            <w:vAlign w:val="center"/>
            <w:hideMark/>
          </w:tcPr>
          <w:p w14:paraId="114CEFA8" w14:textId="77777777" w:rsidR="004C6421" w:rsidRDefault="009D1962">
            <w:pPr>
              <w:pStyle w:val="P68B1DB1-Normal4"/>
              <w:rPr>
                <w:noProof/>
              </w:rPr>
            </w:pPr>
            <w:r>
              <w:rPr>
                <w:noProof/>
              </w:rPr>
              <w:t>Co najmniej 500 nowych doktorantów przyznawanych w ciągu trzech lat w ramach programów poświęconych transformacji cyfrowej i ekologicznej</w:t>
            </w:r>
          </w:p>
          <w:p w14:paraId="4F92B83A" w14:textId="77777777" w:rsidR="004C6421" w:rsidRDefault="009D1962">
            <w:pPr>
              <w:pStyle w:val="P68B1DB1-Normal4"/>
              <w:rPr>
                <w:rFonts w:eastAsia="Calibri"/>
                <w:noProof/>
              </w:rPr>
            </w:pPr>
            <w:r>
              <w:rPr>
                <w:noProof/>
              </w:rPr>
              <w:t>Projekt ma na celu zakwalifikowanie i wprowadzenie innowacyjnych ścieżek uniwersyteckich (i doktoranckich) poprzez: digitalizacja; „kultura innowacji”; umiędzynarodowienie.</w:t>
            </w:r>
          </w:p>
        </w:tc>
      </w:tr>
      <w:tr w:rsidR="004C6421" w14:paraId="398AFBB0" w14:textId="77777777">
        <w:trPr>
          <w:trHeight w:val="309"/>
        </w:trPr>
        <w:tc>
          <w:tcPr>
            <w:tcW w:w="380" w:type="pct"/>
            <w:shd w:val="clear" w:color="auto" w:fill="C6EFCE"/>
            <w:noWrap/>
            <w:vAlign w:val="center"/>
            <w:hideMark/>
          </w:tcPr>
          <w:p w14:paraId="39DC870E" w14:textId="77777777" w:rsidR="004C6421" w:rsidRDefault="009D1962">
            <w:pPr>
              <w:pStyle w:val="P68B1DB1-Normal4"/>
              <w:jc w:val="center"/>
              <w:rPr>
                <w:noProof/>
              </w:rPr>
            </w:pPr>
            <w:r>
              <w:rPr>
                <w:noProof/>
              </w:rPr>
              <w:t>M4C1-23 bis</w:t>
            </w:r>
          </w:p>
        </w:tc>
        <w:tc>
          <w:tcPr>
            <w:tcW w:w="500" w:type="pct"/>
            <w:shd w:val="clear" w:color="auto" w:fill="C6EFCE"/>
            <w:noWrap/>
            <w:vAlign w:val="center"/>
            <w:hideMark/>
          </w:tcPr>
          <w:p w14:paraId="5C3609E9" w14:textId="77777777" w:rsidR="004C6421" w:rsidRDefault="009D1962">
            <w:pPr>
              <w:pStyle w:val="P68B1DB1-Normal4"/>
              <w:jc w:val="center"/>
              <w:rPr>
                <w:noProof/>
              </w:rPr>
            </w:pPr>
            <w:r>
              <w:rPr>
                <w:noProof/>
              </w:rPr>
              <w:t>Inwestycja 3.4: Nauczanie i zaawansowane umiejętności uniwersyteckie</w:t>
            </w:r>
          </w:p>
        </w:tc>
        <w:tc>
          <w:tcPr>
            <w:tcW w:w="358" w:type="pct"/>
            <w:shd w:val="clear" w:color="auto" w:fill="C6EFCE"/>
            <w:noWrap/>
            <w:vAlign w:val="center"/>
            <w:hideMark/>
          </w:tcPr>
          <w:p w14:paraId="20272A14" w14:textId="0E423EBF" w:rsidR="004C6421" w:rsidRDefault="00CC179E">
            <w:pPr>
              <w:pStyle w:val="P68B1DB1-Normal4"/>
              <w:jc w:val="center"/>
              <w:rPr>
                <w:noProof/>
              </w:rPr>
            </w:pPr>
            <w:r>
              <w:rPr>
                <w:noProof/>
              </w:rPr>
              <w:t>Milowy</w:t>
            </w:r>
          </w:p>
        </w:tc>
        <w:tc>
          <w:tcPr>
            <w:tcW w:w="572" w:type="pct"/>
            <w:shd w:val="clear" w:color="auto" w:fill="C6EFCE"/>
            <w:noWrap/>
            <w:vAlign w:val="center"/>
            <w:hideMark/>
          </w:tcPr>
          <w:p w14:paraId="19861377" w14:textId="77777777" w:rsidR="004C6421" w:rsidRDefault="009D1962">
            <w:pPr>
              <w:pStyle w:val="P68B1DB1-Normal4"/>
              <w:jc w:val="center"/>
              <w:rPr>
                <w:noProof/>
              </w:rPr>
            </w:pPr>
            <w:r>
              <w:rPr>
                <w:noProof/>
              </w:rPr>
              <w:t>Zakończenie realizacji poddziałań „Nauczanie i zaawansowane umiejętności uniwersyteckie”</w:t>
            </w:r>
          </w:p>
        </w:tc>
        <w:tc>
          <w:tcPr>
            <w:tcW w:w="480" w:type="pct"/>
            <w:shd w:val="clear" w:color="auto" w:fill="C6EFCE"/>
            <w:noWrap/>
            <w:vAlign w:val="center"/>
            <w:hideMark/>
          </w:tcPr>
          <w:p w14:paraId="47A579AC" w14:textId="77777777" w:rsidR="004C6421" w:rsidRDefault="009D1962">
            <w:pPr>
              <w:pStyle w:val="P68B1DB1-Normal4"/>
              <w:jc w:val="center"/>
              <w:rPr>
                <w:noProof/>
              </w:rPr>
            </w:pPr>
            <w:r>
              <w:rPr>
                <w:noProof/>
              </w:rPr>
              <w:t>Realizowane są poddziałania dotyczące nauczania i zaawansowanych umiejętności uniwersyteckich.</w:t>
            </w:r>
          </w:p>
        </w:tc>
        <w:tc>
          <w:tcPr>
            <w:tcW w:w="422" w:type="pct"/>
            <w:shd w:val="clear" w:color="auto" w:fill="C6EFCE"/>
            <w:noWrap/>
            <w:vAlign w:val="center"/>
            <w:hideMark/>
          </w:tcPr>
          <w:p w14:paraId="3239933A" w14:textId="77777777" w:rsidR="004C6421" w:rsidRDefault="009D1962">
            <w:pPr>
              <w:pStyle w:val="P68B1DB1-Normal4"/>
              <w:jc w:val="center"/>
              <w:rPr>
                <w:noProof/>
              </w:rPr>
            </w:pPr>
            <w:r>
              <w:rPr>
                <w:noProof/>
              </w:rPr>
              <w:t>NIE DOT.</w:t>
            </w:r>
          </w:p>
        </w:tc>
        <w:tc>
          <w:tcPr>
            <w:tcW w:w="375" w:type="pct"/>
            <w:shd w:val="clear" w:color="auto" w:fill="C6EFCE"/>
            <w:noWrap/>
            <w:vAlign w:val="center"/>
            <w:hideMark/>
          </w:tcPr>
          <w:p w14:paraId="65D1E671" w14:textId="77777777" w:rsidR="004C6421" w:rsidRDefault="009D1962">
            <w:pPr>
              <w:pStyle w:val="P68B1DB1-Normal4"/>
              <w:jc w:val="center"/>
              <w:rPr>
                <w:noProof/>
              </w:rPr>
            </w:pPr>
            <w:r>
              <w:rPr>
                <w:noProof/>
              </w:rPr>
              <w:t>NIE DOT.</w:t>
            </w:r>
          </w:p>
        </w:tc>
        <w:tc>
          <w:tcPr>
            <w:tcW w:w="343" w:type="pct"/>
            <w:shd w:val="clear" w:color="auto" w:fill="C6EFCE"/>
            <w:noWrap/>
            <w:vAlign w:val="center"/>
            <w:hideMark/>
          </w:tcPr>
          <w:p w14:paraId="40827D1B" w14:textId="77777777" w:rsidR="004C6421" w:rsidRDefault="009D1962">
            <w:pPr>
              <w:pStyle w:val="P68B1DB1-Normal4"/>
              <w:jc w:val="center"/>
              <w:rPr>
                <w:noProof/>
              </w:rPr>
            </w:pPr>
            <w:r>
              <w:rPr>
                <w:noProof/>
              </w:rPr>
              <w:t>NIE DOT.</w:t>
            </w:r>
          </w:p>
        </w:tc>
        <w:tc>
          <w:tcPr>
            <w:tcW w:w="286" w:type="pct"/>
            <w:shd w:val="clear" w:color="auto" w:fill="C6EFCE"/>
            <w:noWrap/>
            <w:vAlign w:val="center"/>
            <w:hideMark/>
          </w:tcPr>
          <w:p w14:paraId="6906388B" w14:textId="77777777" w:rsidR="004C6421" w:rsidRDefault="009D1962">
            <w:pPr>
              <w:pStyle w:val="P68B1DB1-Normal4"/>
              <w:jc w:val="center"/>
              <w:rPr>
                <w:noProof/>
              </w:rPr>
            </w:pPr>
            <w:r>
              <w:rPr>
                <w:noProof/>
              </w:rPr>
              <w:t>II KW.</w:t>
            </w:r>
          </w:p>
        </w:tc>
        <w:tc>
          <w:tcPr>
            <w:tcW w:w="238" w:type="pct"/>
            <w:shd w:val="clear" w:color="auto" w:fill="C6EFCE"/>
            <w:noWrap/>
            <w:vAlign w:val="center"/>
            <w:hideMark/>
          </w:tcPr>
          <w:p w14:paraId="2EB40E21" w14:textId="77777777" w:rsidR="004C6421" w:rsidRDefault="009D1962">
            <w:pPr>
              <w:pStyle w:val="P68B1DB1-Normal4"/>
              <w:jc w:val="center"/>
              <w:rPr>
                <w:noProof/>
              </w:rPr>
            </w:pPr>
            <w:r>
              <w:rPr>
                <w:noProof/>
              </w:rPr>
              <w:t>2026</w:t>
            </w:r>
          </w:p>
        </w:tc>
        <w:tc>
          <w:tcPr>
            <w:tcW w:w="1046" w:type="pct"/>
            <w:shd w:val="clear" w:color="auto" w:fill="C6EFCE"/>
            <w:noWrap/>
            <w:vAlign w:val="center"/>
            <w:hideMark/>
          </w:tcPr>
          <w:p w14:paraId="4C8ED577" w14:textId="77777777" w:rsidR="004C6421" w:rsidRDefault="009D1962">
            <w:pPr>
              <w:pStyle w:val="P68B1DB1-Normal4"/>
              <w:rPr>
                <w:noProof/>
              </w:rPr>
            </w:pPr>
            <w:r>
              <w:rPr>
                <w:noProof/>
              </w:rPr>
              <w:t xml:space="preserve">Realizowane są poddziałania dotyczące nauczania i zaawansowanych umiejętności uniwersyteckich. </w:t>
            </w:r>
          </w:p>
          <w:p w14:paraId="1EA00907" w14:textId="77777777" w:rsidR="004C6421" w:rsidRDefault="004C6421">
            <w:pPr>
              <w:rPr>
                <w:rFonts w:ascii="Arial Narrow" w:hAnsi="Arial Narrow"/>
                <w:noProof/>
                <w:color w:val="006100"/>
                <w:sz w:val="20"/>
              </w:rPr>
            </w:pPr>
          </w:p>
          <w:p w14:paraId="7C87205D" w14:textId="77777777" w:rsidR="004C6421" w:rsidRDefault="009D1962">
            <w:pPr>
              <w:pStyle w:val="P68B1DB1-Normal4"/>
              <w:rPr>
                <w:noProof/>
              </w:rPr>
            </w:pPr>
            <w:r>
              <w:rPr>
                <w:noProof/>
              </w:rPr>
              <w:t xml:space="preserve">Poddziałania obejmują: </w:t>
            </w:r>
          </w:p>
          <w:p w14:paraId="66F19348" w14:textId="77777777" w:rsidR="004C6421" w:rsidRDefault="009D1962">
            <w:pPr>
              <w:pStyle w:val="P68B1DB1-ListParagraph5"/>
              <w:numPr>
                <w:ilvl w:val="0"/>
                <w:numId w:val="61"/>
              </w:numPr>
              <w:spacing w:before="0" w:after="0"/>
              <w:jc w:val="left"/>
              <w:rPr>
                <w:noProof/>
              </w:rPr>
            </w:pPr>
            <w:r>
              <w:rPr>
                <w:noProof/>
              </w:rPr>
              <w:t>Ustanowienie trzech centrów edukacji cyfrowej (DEH);</w:t>
            </w:r>
          </w:p>
          <w:p w14:paraId="5CAC28F7" w14:textId="77777777" w:rsidR="004C6421" w:rsidRDefault="009D1962">
            <w:pPr>
              <w:pStyle w:val="P68B1DB1-ListParagraph5"/>
              <w:numPr>
                <w:ilvl w:val="0"/>
                <w:numId w:val="61"/>
              </w:numPr>
              <w:spacing w:before="0" w:after="0"/>
              <w:jc w:val="left"/>
              <w:rPr>
                <w:noProof/>
              </w:rPr>
            </w:pPr>
            <w:r>
              <w:rPr>
                <w:noProof/>
              </w:rPr>
              <w:t>Aktywacja trzech sieci szkół wyższych;</w:t>
            </w:r>
          </w:p>
          <w:p w14:paraId="53AC7694" w14:textId="77777777" w:rsidR="004C6421" w:rsidRDefault="009D1962">
            <w:pPr>
              <w:pStyle w:val="P68B1DB1-ListParagraph5"/>
              <w:numPr>
                <w:ilvl w:val="0"/>
                <w:numId w:val="61"/>
              </w:numPr>
              <w:spacing w:before="0" w:after="0"/>
              <w:jc w:val="left"/>
              <w:rPr>
                <w:noProof/>
              </w:rPr>
            </w:pPr>
            <w:r>
              <w:rPr>
                <w:noProof/>
              </w:rPr>
              <w:t>Realizacja dziesięciu transnarodowych inicjatyw edukacyjnych – TNE;</w:t>
            </w:r>
          </w:p>
          <w:p w14:paraId="1A4DE65B" w14:textId="77777777" w:rsidR="004C6421" w:rsidRDefault="009D1962">
            <w:pPr>
              <w:pStyle w:val="P68B1DB1-ListParagraph5"/>
              <w:numPr>
                <w:ilvl w:val="0"/>
                <w:numId w:val="61"/>
              </w:numPr>
              <w:spacing w:before="0" w:after="0"/>
              <w:jc w:val="left"/>
              <w:rPr>
                <w:noProof/>
              </w:rPr>
            </w:pPr>
            <w:r>
              <w:rPr>
                <w:noProof/>
              </w:rPr>
              <w:t>Realizacja 15 projektów w zakresie umiędzynarodowienia instytucji szkolnictwa wyższego artystycznego i muzycznego (AFAM).</w:t>
            </w:r>
          </w:p>
        </w:tc>
      </w:tr>
      <w:tr w:rsidR="004C6421" w14:paraId="114B5328" w14:textId="77777777">
        <w:trPr>
          <w:trHeight w:val="309"/>
        </w:trPr>
        <w:tc>
          <w:tcPr>
            <w:tcW w:w="380" w:type="pct"/>
            <w:shd w:val="clear" w:color="auto" w:fill="C6EFCE"/>
            <w:noWrap/>
            <w:vAlign w:val="center"/>
          </w:tcPr>
          <w:p w14:paraId="23E6657B" w14:textId="77777777" w:rsidR="004C6421" w:rsidRDefault="009D1962">
            <w:pPr>
              <w:pStyle w:val="P68B1DB1-Normal4"/>
              <w:jc w:val="center"/>
              <w:rPr>
                <w:noProof/>
              </w:rPr>
            </w:pPr>
            <w:r>
              <w:rPr>
                <w:noProof/>
              </w:rPr>
              <w:t>M4C1-24</w:t>
            </w:r>
          </w:p>
        </w:tc>
        <w:tc>
          <w:tcPr>
            <w:tcW w:w="500" w:type="pct"/>
            <w:shd w:val="clear" w:color="auto" w:fill="C6EFCE"/>
            <w:noWrap/>
            <w:vAlign w:val="center"/>
          </w:tcPr>
          <w:p w14:paraId="58CFF1A7" w14:textId="77777777" w:rsidR="004C6421" w:rsidRDefault="009D1962">
            <w:pPr>
              <w:pStyle w:val="P68B1DB1-Normal4"/>
              <w:jc w:val="center"/>
              <w:rPr>
                <w:noProof/>
              </w:rPr>
            </w:pPr>
            <w:r>
              <w:rPr>
                <w:noProof/>
              </w:rPr>
              <w:t>Inwestycja 1.6: Aktywna orientacja w przechodzeniu ze szkoły do szkół wyższych.</w:t>
            </w:r>
          </w:p>
        </w:tc>
        <w:tc>
          <w:tcPr>
            <w:tcW w:w="358" w:type="pct"/>
            <w:shd w:val="clear" w:color="auto" w:fill="C6EFCE"/>
            <w:noWrap/>
            <w:vAlign w:val="center"/>
          </w:tcPr>
          <w:p w14:paraId="3C7688EE" w14:textId="77777777" w:rsidR="004C6421" w:rsidRDefault="009D1962">
            <w:pPr>
              <w:pStyle w:val="P68B1DB1-Normal4"/>
              <w:jc w:val="center"/>
              <w:rPr>
                <w:noProof/>
              </w:rPr>
            </w:pPr>
            <w:r>
              <w:rPr>
                <w:noProof/>
              </w:rPr>
              <w:t>Cel</w:t>
            </w:r>
          </w:p>
        </w:tc>
        <w:tc>
          <w:tcPr>
            <w:tcW w:w="572" w:type="pct"/>
            <w:shd w:val="clear" w:color="auto" w:fill="C6EFCE"/>
            <w:noWrap/>
            <w:vAlign w:val="center"/>
          </w:tcPr>
          <w:p w14:paraId="2A6FF691" w14:textId="77777777" w:rsidR="004C6421" w:rsidRDefault="009D1962">
            <w:pPr>
              <w:pStyle w:val="P68B1DB1-Normal4"/>
              <w:jc w:val="center"/>
              <w:rPr>
                <w:noProof/>
              </w:rPr>
            </w:pPr>
            <w:r>
              <w:rPr>
                <w:noProof/>
              </w:rPr>
              <w:t>Uczniowie, którzy wzięli udział w kursach przejściowych</w:t>
            </w:r>
          </w:p>
        </w:tc>
        <w:tc>
          <w:tcPr>
            <w:tcW w:w="480" w:type="pct"/>
            <w:shd w:val="clear" w:color="auto" w:fill="C6EFCE"/>
            <w:noWrap/>
            <w:vAlign w:val="center"/>
          </w:tcPr>
          <w:p w14:paraId="2452E5EE" w14:textId="77777777" w:rsidR="004C6421" w:rsidRDefault="009D1962">
            <w:pPr>
              <w:pStyle w:val="P68B1DB1-Normal4"/>
              <w:jc w:val="center"/>
              <w:rPr>
                <w:noProof/>
              </w:rPr>
            </w:pPr>
            <w:r>
              <w:rPr>
                <w:noProof/>
              </w:rPr>
              <w:t>NIE DOT.</w:t>
            </w:r>
          </w:p>
        </w:tc>
        <w:tc>
          <w:tcPr>
            <w:tcW w:w="422" w:type="pct"/>
            <w:shd w:val="clear" w:color="auto" w:fill="C6EFCE"/>
            <w:noWrap/>
            <w:vAlign w:val="center"/>
          </w:tcPr>
          <w:p w14:paraId="1B4B995B" w14:textId="77777777" w:rsidR="004C6421" w:rsidRDefault="009D1962">
            <w:pPr>
              <w:pStyle w:val="P68B1DB1-Normal4"/>
              <w:jc w:val="center"/>
              <w:rPr>
                <w:noProof/>
              </w:rPr>
            </w:pPr>
            <w:r>
              <w:rPr>
                <w:noProof/>
              </w:rPr>
              <w:t>Numer</w:t>
            </w:r>
          </w:p>
        </w:tc>
        <w:tc>
          <w:tcPr>
            <w:tcW w:w="375" w:type="pct"/>
            <w:shd w:val="clear" w:color="auto" w:fill="C6EFCE"/>
            <w:noWrap/>
            <w:vAlign w:val="center"/>
          </w:tcPr>
          <w:p w14:paraId="3E46ECE2" w14:textId="77777777" w:rsidR="004C6421" w:rsidRDefault="009D1962">
            <w:pPr>
              <w:pStyle w:val="P68B1DB1-Normal4"/>
              <w:jc w:val="center"/>
              <w:rPr>
                <w:noProof/>
              </w:rPr>
            </w:pPr>
            <w:r>
              <w:rPr>
                <w:noProof/>
              </w:rPr>
              <w:t>0</w:t>
            </w:r>
          </w:p>
        </w:tc>
        <w:tc>
          <w:tcPr>
            <w:tcW w:w="343" w:type="pct"/>
            <w:shd w:val="clear" w:color="auto" w:fill="C6EFCE"/>
            <w:noWrap/>
            <w:vAlign w:val="center"/>
          </w:tcPr>
          <w:p w14:paraId="41FA761D" w14:textId="77777777" w:rsidR="004C6421" w:rsidRDefault="009D1962">
            <w:pPr>
              <w:pStyle w:val="P68B1DB1-Normal4"/>
              <w:jc w:val="center"/>
              <w:rPr>
                <w:noProof/>
              </w:rPr>
            </w:pPr>
            <w:r>
              <w:rPr>
                <w:noProof/>
              </w:rPr>
              <w:t>1 000 000</w:t>
            </w:r>
          </w:p>
        </w:tc>
        <w:tc>
          <w:tcPr>
            <w:tcW w:w="286" w:type="pct"/>
            <w:shd w:val="clear" w:color="auto" w:fill="C6EFCE"/>
            <w:noWrap/>
            <w:vAlign w:val="center"/>
          </w:tcPr>
          <w:p w14:paraId="40921279" w14:textId="77777777" w:rsidR="004C6421" w:rsidRDefault="009D1962">
            <w:pPr>
              <w:pStyle w:val="P68B1DB1-Normal4"/>
              <w:jc w:val="center"/>
              <w:rPr>
                <w:noProof/>
              </w:rPr>
            </w:pPr>
            <w:r>
              <w:rPr>
                <w:noProof/>
              </w:rPr>
              <w:t>II KW.</w:t>
            </w:r>
          </w:p>
        </w:tc>
        <w:tc>
          <w:tcPr>
            <w:tcW w:w="238" w:type="pct"/>
            <w:shd w:val="clear" w:color="auto" w:fill="C6EFCE"/>
            <w:noWrap/>
            <w:vAlign w:val="center"/>
          </w:tcPr>
          <w:p w14:paraId="3EDB80ED" w14:textId="77777777" w:rsidR="004C6421" w:rsidRDefault="009D1962">
            <w:pPr>
              <w:pStyle w:val="P68B1DB1-Normal4"/>
              <w:jc w:val="center"/>
              <w:rPr>
                <w:noProof/>
              </w:rPr>
            </w:pPr>
            <w:r>
              <w:rPr>
                <w:noProof/>
              </w:rPr>
              <w:t>2026</w:t>
            </w:r>
          </w:p>
        </w:tc>
        <w:tc>
          <w:tcPr>
            <w:tcW w:w="1046" w:type="pct"/>
            <w:shd w:val="clear" w:color="auto" w:fill="C6EFCE"/>
            <w:noWrap/>
            <w:vAlign w:val="center"/>
          </w:tcPr>
          <w:p w14:paraId="05EDDD31" w14:textId="77777777" w:rsidR="004C6421" w:rsidRDefault="009D1962">
            <w:pPr>
              <w:pStyle w:val="P68B1DB1-Normal4"/>
              <w:jc w:val="center"/>
              <w:rPr>
                <w:noProof/>
              </w:rPr>
            </w:pPr>
            <w:r>
              <w:rPr>
                <w:noProof/>
              </w:rPr>
              <w:t xml:space="preserve">Co najmniej 1000000 uczniów szkół średnich II stopnia wzięło udział w jednym kursie przejściowym między szkołami wyższymi.  </w:t>
            </w:r>
          </w:p>
        </w:tc>
      </w:tr>
      <w:tr w:rsidR="004C6421" w14:paraId="1C352119" w14:textId="77777777">
        <w:trPr>
          <w:trHeight w:val="309"/>
        </w:trPr>
        <w:tc>
          <w:tcPr>
            <w:tcW w:w="380" w:type="pct"/>
            <w:shd w:val="clear" w:color="auto" w:fill="C6EFCE"/>
            <w:noWrap/>
            <w:vAlign w:val="center"/>
          </w:tcPr>
          <w:p w14:paraId="11C1DB68" w14:textId="77777777" w:rsidR="004C6421" w:rsidRDefault="009D1962">
            <w:pPr>
              <w:pStyle w:val="P68B1DB1-Normal4"/>
              <w:jc w:val="center"/>
              <w:rPr>
                <w:noProof/>
              </w:rPr>
            </w:pPr>
            <w:r>
              <w:rPr>
                <w:noProof/>
              </w:rPr>
              <w:t>M4C1-25</w:t>
            </w:r>
          </w:p>
        </w:tc>
        <w:tc>
          <w:tcPr>
            <w:tcW w:w="500" w:type="pct"/>
            <w:shd w:val="clear" w:color="auto" w:fill="C6EFCE"/>
            <w:noWrap/>
            <w:vAlign w:val="center"/>
          </w:tcPr>
          <w:p w14:paraId="550AEF42" w14:textId="77777777" w:rsidR="004C6421" w:rsidRDefault="009D1962">
            <w:pPr>
              <w:pStyle w:val="P68B1DB1-Normal4"/>
              <w:jc w:val="center"/>
              <w:rPr>
                <w:noProof/>
              </w:rPr>
            </w:pPr>
            <w:r>
              <w:rPr>
                <w:noProof/>
              </w:rPr>
              <w:t>Inwestycje 1.4: Nadzwyczajne działanie mające na celu zmniejszenie różnic terytorialnych w pierwszym i drugim cyklu szkoły średniej oraz rozwiązanie problemu przedwczesnego kończenia nauki</w:t>
            </w:r>
          </w:p>
        </w:tc>
        <w:tc>
          <w:tcPr>
            <w:tcW w:w="358" w:type="pct"/>
            <w:shd w:val="clear" w:color="auto" w:fill="C6EFCE"/>
            <w:noWrap/>
            <w:vAlign w:val="center"/>
          </w:tcPr>
          <w:p w14:paraId="1F89A5F3" w14:textId="77777777" w:rsidR="004C6421" w:rsidRDefault="009D1962">
            <w:pPr>
              <w:pStyle w:val="P68B1DB1-Normal4"/>
              <w:jc w:val="center"/>
              <w:rPr>
                <w:noProof/>
              </w:rPr>
            </w:pPr>
            <w:r>
              <w:rPr>
                <w:noProof/>
              </w:rPr>
              <w:t>Cel</w:t>
            </w:r>
          </w:p>
        </w:tc>
        <w:tc>
          <w:tcPr>
            <w:tcW w:w="572" w:type="pct"/>
            <w:shd w:val="clear" w:color="auto" w:fill="C6EFCE"/>
            <w:noWrap/>
            <w:vAlign w:val="center"/>
          </w:tcPr>
          <w:p w14:paraId="7EB00F20" w14:textId="77777777" w:rsidR="004C6421" w:rsidRDefault="009D1962">
            <w:pPr>
              <w:pStyle w:val="P68B1DB1-Normal4"/>
              <w:jc w:val="center"/>
              <w:rPr>
                <w:noProof/>
              </w:rPr>
            </w:pPr>
            <w:r>
              <w:rPr>
                <w:noProof/>
              </w:rPr>
              <w:t>Różnica pod względem odsetka osób przedwcześnie kończących naukę w szkolnictwie średnim</w:t>
            </w:r>
          </w:p>
        </w:tc>
        <w:tc>
          <w:tcPr>
            <w:tcW w:w="480" w:type="pct"/>
            <w:shd w:val="clear" w:color="auto" w:fill="C6EFCE"/>
            <w:noWrap/>
            <w:vAlign w:val="center"/>
          </w:tcPr>
          <w:p w14:paraId="43413323" w14:textId="77777777" w:rsidR="004C6421" w:rsidRDefault="009D1962">
            <w:pPr>
              <w:pStyle w:val="P68B1DB1-Normal4"/>
              <w:jc w:val="center"/>
              <w:rPr>
                <w:noProof/>
              </w:rPr>
            </w:pPr>
            <w:r>
              <w:rPr>
                <w:noProof/>
              </w:rPr>
              <w:t>NIE DOT.</w:t>
            </w:r>
          </w:p>
        </w:tc>
        <w:tc>
          <w:tcPr>
            <w:tcW w:w="422" w:type="pct"/>
            <w:shd w:val="clear" w:color="auto" w:fill="C6EFCE"/>
            <w:noWrap/>
            <w:vAlign w:val="center"/>
          </w:tcPr>
          <w:p w14:paraId="3753B0F0" w14:textId="77777777" w:rsidR="004C6421" w:rsidRDefault="009D1962">
            <w:pPr>
              <w:pStyle w:val="P68B1DB1-Normal4"/>
              <w:jc w:val="center"/>
              <w:rPr>
                <w:noProof/>
              </w:rPr>
            </w:pPr>
            <w:r>
              <w:rPr>
                <w:noProof/>
              </w:rPr>
              <w:t>Procent</w:t>
            </w:r>
          </w:p>
        </w:tc>
        <w:tc>
          <w:tcPr>
            <w:tcW w:w="375" w:type="pct"/>
            <w:shd w:val="clear" w:color="auto" w:fill="C6EFCE"/>
            <w:noWrap/>
            <w:vAlign w:val="center"/>
          </w:tcPr>
          <w:p w14:paraId="20B7BE42" w14:textId="77777777" w:rsidR="004C6421" w:rsidRDefault="009D1962">
            <w:pPr>
              <w:pStyle w:val="P68B1DB1-Normal4"/>
              <w:jc w:val="center"/>
              <w:rPr>
                <w:noProof/>
              </w:rPr>
            </w:pPr>
            <w:r>
              <w:rPr>
                <w:noProof/>
              </w:rPr>
              <w:t>13,5</w:t>
            </w:r>
          </w:p>
        </w:tc>
        <w:tc>
          <w:tcPr>
            <w:tcW w:w="343" w:type="pct"/>
            <w:shd w:val="clear" w:color="auto" w:fill="C6EFCE"/>
            <w:noWrap/>
            <w:vAlign w:val="center"/>
          </w:tcPr>
          <w:p w14:paraId="440AA000" w14:textId="77777777" w:rsidR="004C6421" w:rsidRDefault="009D1962">
            <w:pPr>
              <w:pStyle w:val="P68B1DB1-Normal4"/>
              <w:jc w:val="center"/>
              <w:rPr>
                <w:noProof/>
              </w:rPr>
            </w:pPr>
            <w:r>
              <w:rPr>
                <w:noProof/>
              </w:rPr>
              <w:t>10,2</w:t>
            </w:r>
          </w:p>
        </w:tc>
        <w:tc>
          <w:tcPr>
            <w:tcW w:w="286" w:type="pct"/>
            <w:shd w:val="clear" w:color="auto" w:fill="C6EFCE"/>
            <w:noWrap/>
            <w:vAlign w:val="center"/>
          </w:tcPr>
          <w:p w14:paraId="66A8F86A" w14:textId="77777777" w:rsidR="004C6421" w:rsidRDefault="009D1962">
            <w:pPr>
              <w:pStyle w:val="P68B1DB1-Normal4"/>
              <w:jc w:val="center"/>
              <w:rPr>
                <w:noProof/>
              </w:rPr>
            </w:pPr>
            <w:r>
              <w:rPr>
                <w:noProof/>
              </w:rPr>
              <w:t>II KW.</w:t>
            </w:r>
          </w:p>
        </w:tc>
        <w:tc>
          <w:tcPr>
            <w:tcW w:w="238" w:type="pct"/>
            <w:shd w:val="clear" w:color="auto" w:fill="C6EFCE"/>
            <w:noWrap/>
            <w:vAlign w:val="center"/>
          </w:tcPr>
          <w:p w14:paraId="7B4EE13B" w14:textId="77777777" w:rsidR="004C6421" w:rsidRDefault="009D1962">
            <w:pPr>
              <w:pStyle w:val="P68B1DB1-Normal4"/>
              <w:jc w:val="center"/>
              <w:rPr>
                <w:noProof/>
              </w:rPr>
            </w:pPr>
            <w:r>
              <w:rPr>
                <w:noProof/>
              </w:rPr>
              <w:t>2026</w:t>
            </w:r>
          </w:p>
        </w:tc>
        <w:tc>
          <w:tcPr>
            <w:tcW w:w="1046" w:type="pct"/>
            <w:shd w:val="clear" w:color="auto" w:fill="C6EFCE"/>
            <w:noWrap/>
            <w:vAlign w:val="center"/>
          </w:tcPr>
          <w:p w14:paraId="1C2395C3" w14:textId="77777777" w:rsidR="004C6421" w:rsidRDefault="009D1962">
            <w:pPr>
              <w:pStyle w:val="P68B1DB1-Normal4"/>
              <w:rPr>
                <w:noProof/>
              </w:rPr>
            </w:pPr>
            <w:r>
              <w:rPr>
                <w:noProof/>
              </w:rPr>
              <w:t>Zmniejszenie różnic pod względem odsetka osób przedwcześnie kończących naukę w szkolnictwie średnim, tak aby osiągnąć średnią UE w 2019 r. (10,2 %).</w:t>
            </w:r>
          </w:p>
        </w:tc>
      </w:tr>
      <w:tr w:rsidR="004C6421" w14:paraId="4C82E9EC" w14:textId="77777777">
        <w:trPr>
          <w:trHeight w:val="309"/>
        </w:trPr>
        <w:tc>
          <w:tcPr>
            <w:tcW w:w="380" w:type="pct"/>
            <w:shd w:val="clear" w:color="auto" w:fill="C6EFCE"/>
            <w:noWrap/>
            <w:vAlign w:val="center"/>
          </w:tcPr>
          <w:p w14:paraId="3D438BF5" w14:textId="77777777" w:rsidR="004C6421" w:rsidRDefault="009D1962">
            <w:pPr>
              <w:pStyle w:val="P68B1DB1-Normal4"/>
              <w:jc w:val="center"/>
              <w:rPr>
                <w:noProof/>
              </w:rPr>
            </w:pPr>
            <w:r>
              <w:rPr>
                <w:noProof/>
              </w:rPr>
              <w:t>M4C1-26</w:t>
            </w:r>
          </w:p>
        </w:tc>
        <w:tc>
          <w:tcPr>
            <w:tcW w:w="500" w:type="pct"/>
            <w:shd w:val="clear" w:color="auto" w:fill="C6EFCE"/>
            <w:noWrap/>
            <w:vAlign w:val="center"/>
          </w:tcPr>
          <w:p w14:paraId="635D019B" w14:textId="77777777" w:rsidR="004C6421" w:rsidRDefault="009D1962">
            <w:pPr>
              <w:pStyle w:val="P68B1DB1-Normal4"/>
              <w:jc w:val="center"/>
              <w:rPr>
                <w:noProof/>
              </w:rPr>
            </w:pPr>
            <w:r>
              <w:rPr>
                <w:noProof/>
              </w:rPr>
              <w:t>Inwestycja 3.3: Bezpieczeństwo budynków szkolnych i plan rehabilitacji strukturalnej</w:t>
            </w:r>
          </w:p>
        </w:tc>
        <w:tc>
          <w:tcPr>
            <w:tcW w:w="358" w:type="pct"/>
            <w:shd w:val="clear" w:color="auto" w:fill="C6EFCE"/>
            <w:noWrap/>
            <w:vAlign w:val="center"/>
          </w:tcPr>
          <w:p w14:paraId="02137BB7" w14:textId="77777777" w:rsidR="004C6421" w:rsidRDefault="009D1962">
            <w:pPr>
              <w:pStyle w:val="P68B1DB1-Normal4"/>
              <w:jc w:val="center"/>
              <w:rPr>
                <w:noProof/>
              </w:rPr>
            </w:pPr>
            <w:r>
              <w:rPr>
                <w:noProof/>
              </w:rPr>
              <w:t>Cel</w:t>
            </w:r>
          </w:p>
        </w:tc>
        <w:tc>
          <w:tcPr>
            <w:tcW w:w="572" w:type="pct"/>
            <w:shd w:val="clear" w:color="auto" w:fill="C6EFCE"/>
            <w:noWrap/>
            <w:vAlign w:val="center"/>
          </w:tcPr>
          <w:p w14:paraId="407DDE3E" w14:textId="77777777" w:rsidR="004C6421" w:rsidRDefault="009D1962">
            <w:pPr>
              <w:pStyle w:val="P68B1DB1-Normal4"/>
              <w:jc w:val="center"/>
              <w:rPr>
                <w:noProof/>
              </w:rPr>
            </w:pPr>
            <w:r>
              <w:rPr>
                <w:noProof/>
              </w:rPr>
              <w:t>M2 budynków szkolnych poddanych renowacji</w:t>
            </w:r>
          </w:p>
        </w:tc>
        <w:tc>
          <w:tcPr>
            <w:tcW w:w="480" w:type="pct"/>
            <w:shd w:val="clear" w:color="auto" w:fill="C6EFCE"/>
            <w:noWrap/>
            <w:vAlign w:val="center"/>
          </w:tcPr>
          <w:p w14:paraId="37C3C44C" w14:textId="77777777" w:rsidR="004C6421" w:rsidRDefault="009D1962">
            <w:pPr>
              <w:pStyle w:val="P68B1DB1-Normal4"/>
              <w:jc w:val="center"/>
              <w:rPr>
                <w:noProof/>
              </w:rPr>
            </w:pPr>
            <w:r>
              <w:rPr>
                <w:noProof/>
              </w:rPr>
              <w:t>NIE DOT.</w:t>
            </w:r>
          </w:p>
        </w:tc>
        <w:tc>
          <w:tcPr>
            <w:tcW w:w="422" w:type="pct"/>
            <w:shd w:val="clear" w:color="auto" w:fill="C6EFCE"/>
            <w:noWrap/>
            <w:vAlign w:val="center"/>
          </w:tcPr>
          <w:p w14:paraId="6C4E64EF" w14:textId="77777777" w:rsidR="004C6421" w:rsidRDefault="009D1962">
            <w:pPr>
              <w:pStyle w:val="P68B1DB1-Normal4"/>
              <w:jc w:val="center"/>
              <w:rPr>
                <w:noProof/>
              </w:rPr>
            </w:pPr>
            <w:r>
              <w:rPr>
                <w:noProof/>
              </w:rPr>
              <w:t>Numer</w:t>
            </w:r>
          </w:p>
        </w:tc>
        <w:tc>
          <w:tcPr>
            <w:tcW w:w="375" w:type="pct"/>
            <w:shd w:val="clear" w:color="auto" w:fill="C6EFCE"/>
            <w:noWrap/>
            <w:vAlign w:val="center"/>
          </w:tcPr>
          <w:p w14:paraId="1683100D" w14:textId="77777777" w:rsidR="004C6421" w:rsidRDefault="009D1962">
            <w:pPr>
              <w:pStyle w:val="P68B1DB1-Normal4"/>
              <w:jc w:val="center"/>
              <w:rPr>
                <w:noProof/>
              </w:rPr>
            </w:pPr>
            <w:r>
              <w:rPr>
                <w:noProof/>
              </w:rPr>
              <w:t>0</w:t>
            </w:r>
          </w:p>
        </w:tc>
        <w:tc>
          <w:tcPr>
            <w:tcW w:w="343" w:type="pct"/>
            <w:shd w:val="clear" w:color="auto" w:fill="C6EFCE"/>
            <w:noWrap/>
            <w:vAlign w:val="center"/>
          </w:tcPr>
          <w:p w14:paraId="3D0B7380" w14:textId="4AEB550E" w:rsidR="004C6421" w:rsidRDefault="009D1962">
            <w:pPr>
              <w:jc w:val="center"/>
              <w:rPr>
                <w:rFonts w:ascii="Arial Narrow" w:hAnsi="Arial Narrow"/>
                <w:noProof/>
                <w:color w:val="006100"/>
                <w:sz w:val="20"/>
              </w:rPr>
            </w:pPr>
            <w:r>
              <w:rPr>
                <w:rFonts w:ascii="Arial Narrow" w:hAnsi="Arial Narrow"/>
                <w:noProof/>
                <w:color w:val="006100"/>
                <w:sz w:val="20"/>
              </w:rPr>
              <w:t>2</w:t>
            </w:r>
            <w:r>
              <w:rPr>
                <w:noProof/>
                <w:sz w:val="23"/>
              </w:rPr>
              <w:t xml:space="preserve"> </w:t>
            </w:r>
            <w:r>
              <w:rPr>
                <w:rFonts w:ascii="Arial Narrow" w:hAnsi="Arial Narrow"/>
                <w:noProof/>
                <w:color w:val="006100"/>
                <w:sz w:val="20"/>
              </w:rPr>
              <w:t>600</w:t>
            </w:r>
            <w:r>
              <w:rPr>
                <w:noProof/>
                <w:sz w:val="23"/>
              </w:rPr>
              <w:t xml:space="preserve"> </w:t>
            </w:r>
            <w:r>
              <w:rPr>
                <w:rFonts w:ascii="Arial Narrow" w:hAnsi="Arial Narrow"/>
                <w:noProof/>
                <w:color w:val="006100"/>
                <w:sz w:val="20"/>
              </w:rPr>
              <w:t>000</w:t>
            </w:r>
          </w:p>
        </w:tc>
        <w:tc>
          <w:tcPr>
            <w:tcW w:w="286" w:type="pct"/>
            <w:shd w:val="clear" w:color="auto" w:fill="C6EFCE"/>
            <w:noWrap/>
            <w:vAlign w:val="center"/>
          </w:tcPr>
          <w:p w14:paraId="7B5AD8DA" w14:textId="77777777" w:rsidR="004C6421" w:rsidRDefault="009D1962">
            <w:pPr>
              <w:pStyle w:val="P68B1DB1-Normal4"/>
              <w:jc w:val="center"/>
              <w:rPr>
                <w:noProof/>
              </w:rPr>
            </w:pPr>
            <w:r>
              <w:rPr>
                <w:noProof/>
              </w:rPr>
              <w:t>II KW.</w:t>
            </w:r>
          </w:p>
        </w:tc>
        <w:tc>
          <w:tcPr>
            <w:tcW w:w="238" w:type="pct"/>
            <w:shd w:val="clear" w:color="auto" w:fill="C6EFCE"/>
            <w:noWrap/>
            <w:vAlign w:val="center"/>
          </w:tcPr>
          <w:p w14:paraId="673E1DDA" w14:textId="77777777" w:rsidR="004C6421" w:rsidRDefault="009D1962">
            <w:pPr>
              <w:pStyle w:val="P68B1DB1-Normal4"/>
              <w:jc w:val="center"/>
              <w:rPr>
                <w:noProof/>
              </w:rPr>
            </w:pPr>
            <w:r>
              <w:rPr>
                <w:noProof/>
              </w:rPr>
              <w:t>2026</w:t>
            </w:r>
          </w:p>
        </w:tc>
        <w:tc>
          <w:tcPr>
            <w:tcW w:w="1046" w:type="pct"/>
            <w:shd w:val="clear" w:color="auto" w:fill="C6EFCE"/>
            <w:noWrap/>
            <w:vAlign w:val="center"/>
          </w:tcPr>
          <w:p w14:paraId="550C1B5F" w14:textId="7262EBD5" w:rsidR="004C6421" w:rsidRDefault="009D1962">
            <w:pPr>
              <w:rPr>
                <w:rFonts w:ascii="Arial Narrow" w:hAnsi="Arial Narrow"/>
                <w:noProof/>
                <w:color w:val="006100"/>
                <w:sz w:val="20"/>
              </w:rPr>
            </w:pPr>
            <w:r>
              <w:rPr>
                <w:rFonts w:ascii="Arial Narrow" w:hAnsi="Arial Narrow"/>
                <w:noProof/>
                <w:color w:val="006100"/>
                <w:sz w:val="20"/>
              </w:rPr>
              <w:t>Renowacja lub renowacja budynków szkolnych wynosi co najmniej 2600000 m². Oczekuje się, że dzięki planowi przebudowy strukturalnej i energetycznej budynków szkolnych zostanie przebudowana całkowita powierzchnia</w:t>
            </w:r>
            <w:r>
              <w:rPr>
                <w:noProof/>
                <w:sz w:val="23"/>
              </w:rPr>
              <w:t xml:space="preserve"> </w:t>
            </w:r>
            <w:r>
              <w:rPr>
                <w:rFonts w:ascii="Arial Narrow" w:hAnsi="Arial Narrow"/>
                <w:noProof/>
                <w:color w:val="006100"/>
                <w:sz w:val="20"/>
              </w:rPr>
              <w:t>2600000</w:t>
            </w:r>
            <w:r>
              <w:rPr>
                <w:noProof/>
                <w:sz w:val="23"/>
              </w:rPr>
              <w:t xml:space="preserve"> </w:t>
            </w:r>
            <w:r>
              <w:rPr>
                <w:rFonts w:ascii="Arial Narrow" w:hAnsi="Arial Narrow"/>
                <w:noProof/>
                <w:color w:val="006100"/>
                <w:sz w:val="20"/>
              </w:rPr>
              <w:t>Sqm.</w:t>
            </w:r>
          </w:p>
        </w:tc>
      </w:tr>
    </w:tbl>
    <w:p w14:paraId="5554D77A" w14:textId="77777777" w:rsidR="004C6421" w:rsidRDefault="004C6421">
      <w:pPr>
        <w:tabs>
          <w:tab w:val="left" w:pos="3045"/>
        </w:tabs>
        <w:spacing w:before="120" w:after="120"/>
        <w:jc w:val="both"/>
        <w:rPr>
          <w:b/>
          <w:noProof/>
          <w:u w:val="single"/>
        </w:rPr>
        <w:sectPr w:rsidR="004C6421" w:rsidSect="00797973">
          <w:headerReference w:type="even" r:id="rId260"/>
          <w:headerReference w:type="default" r:id="rId261"/>
          <w:footerReference w:type="even" r:id="rId262"/>
          <w:footerReference w:type="default" r:id="rId263"/>
          <w:headerReference w:type="first" r:id="rId264"/>
          <w:footerReference w:type="first" r:id="rId265"/>
          <w:pgSz w:w="16839" w:h="11907" w:orient="landscape"/>
          <w:pgMar w:top="1134" w:right="1134" w:bottom="1134" w:left="1134" w:header="567" w:footer="567" w:gutter="0"/>
          <w:cols w:space="720"/>
          <w:docGrid w:linePitch="360"/>
        </w:sectPr>
      </w:pPr>
    </w:p>
    <w:p w14:paraId="32DB4DDF" w14:textId="77777777" w:rsidR="004C6421" w:rsidRDefault="009D1962">
      <w:pPr>
        <w:pStyle w:val="Heading3"/>
        <w:numPr>
          <w:ilvl w:val="0"/>
          <w:numId w:val="0"/>
        </w:numPr>
        <w:ind w:left="850" w:hanging="850"/>
        <w:rPr>
          <w:rFonts w:ascii="Segoe UI" w:hAnsi="Segoe UI" w:cs="Segoe UI"/>
          <w:i w:val="0"/>
          <w:noProof/>
          <w:sz w:val="18"/>
        </w:rPr>
      </w:pPr>
      <w:r>
        <w:rPr>
          <w:rStyle w:val="normaltextrun"/>
          <w:b/>
          <w:noProof/>
          <w:u w:val="single"/>
        </w:rPr>
        <w:t>J.3. Opis reform i inwestycji związanych z pożyczką</w:t>
      </w:r>
      <w:r>
        <w:rPr>
          <w:rStyle w:val="eop"/>
          <w:noProof/>
        </w:rPr>
        <w:t xml:space="preserve"> </w:t>
      </w:r>
    </w:p>
    <w:p w14:paraId="224722BB" w14:textId="77777777" w:rsidR="004C6421" w:rsidRDefault="009D1962">
      <w:pPr>
        <w:pStyle w:val="paragraph"/>
        <w:spacing w:before="0" w:beforeAutospacing="0" w:after="0" w:afterAutospacing="0"/>
        <w:jc w:val="both"/>
        <w:textAlignment w:val="baseline"/>
        <w:rPr>
          <w:rStyle w:val="normaltextrun"/>
          <w:rFonts w:ascii="Segoe UI" w:hAnsi="Segoe UI" w:cs="Segoe UI"/>
          <w:noProof/>
          <w:sz w:val="18"/>
        </w:rPr>
      </w:pPr>
      <w:r>
        <w:rPr>
          <w:rStyle w:val="eop"/>
          <w:noProof/>
        </w:rPr>
        <w:t xml:space="preserve"> </w:t>
      </w:r>
    </w:p>
    <w:p w14:paraId="1E0C14AF" w14:textId="77777777" w:rsidR="004C6421" w:rsidRDefault="009D1962">
      <w:pPr>
        <w:pStyle w:val="paragraph"/>
        <w:spacing w:before="0" w:beforeAutospacing="0" w:after="0" w:afterAutospacing="0"/>
        <w:jc w:val="both"/>
        <w:textAlignment w:val="baseline"/>
        <w:rPr>
          <w:rFonts w:ascii="Segoe UI" w:hAnsi="Segoe UI" w:cs="Segoe UI"/>
          <w:noProof/>
          <w:sz w:val="18"/>
        </w:rPr>
      </w:pPr>
      <w:r>
        <w:rPr>
          <w:rStyle w:val="normaltextrun"/>
          <w:b/>
          <w:noProof/>
        </w:rPr>
        <w:t xml:space="preserve">Reforma 1.7: Reforma przepisów dotyczących mieszkalnictwa dla studentów i inwestycje w mieszkalnictwo studenckie </w:t>
      </w:r>
      <w:r>
        <w:rPr>
          <w:rStyle w:val="eop"/>
          <w:noProof/>
        </w:rPr>
        <w:t xml:space="preserve"> </w:t>
      </w:r>
    </w:p>
    <w:p w14:paraId="5082529E" w14:textId="77777777" w:rsidR="004C6421" w:rsidRDefault="004C6421">
      <w:pPr>
        <w:pStyle w:val="paragraph"/>
        <w:spacing w:before="0" w:beforeAutospacing="0" w:after="0" w:afterAutospacing="0"/>
        <w:jc w:val="both"/>
        <w:textAlignment w:val="baseline"/>
        <w:rPr>
          <w:rStyle w:val="normaltextrun"/>
          <w:noProof/>
          <w:sz w:val="22"/>
        </w:rPr>
      </w:pPr>
    </w:p>
    <w:p w14:paraId="32A85775" w14:textId="77777777" w:rsidR="004C6421" w:rsidRDefault="009D1962">
      <w:pPr>
        <w:pStyle w:val="paragraph"/>
        <w:spacing w:before="0" w:beforeAutospacing="0" w:after="120" w:afterAutospacing="0"/>
        <w:jc w:val="both"/>
        <w:textAlignment w:val="baseline"/>
        <w:rPr>
          <w:rFonts w:ascii="Segoe UI" w:hAnsi="Segoe UI" w:cs="Segoe UI"/>
          <w:noProof/>
        </w:rPr>
      </w:pPr>
      <w:r>
        <w:rPr>
          <w:rStyle w:val="normaltextrun"/>
          <w:noProof/>
        </w:rPr>
        <w:t xml:space="preserve">Celem reformy jest zachęcenie podmiotów prywatnych i publicznych do tworzenia obiektów noclegowych dla studentów, przy czym Ministerstwo Uniwersytetów i Badań Naukowych wnosi wkład w część dochodów z najmu przez pierwsze trzy lata funkcjonowania struktur. Celem jest zwiększenie do 2026 r. dostępnych miejsc dla studentów.  </w:t>
      </w:r>
    </w:p>
    <w:p w14:paraId="7F2FF818" w14:textId="17A67B19" w:rsidR="004C6421" w:rsidRDefault="009D1962">
      <w:pPr>
        <w:pStyle w:val="paragraph"/>
        <w:spacing w:before="0" w:beforeAutospacing="0" w:after="120" w:afterAutospacing="0"/>
        <w:jc w:val="both"/>
        <w:textAlignment w:val="baseline"/>
        <w:rPr>
          <w:rFonts w:ascii="Segoe UI" w:hAnsi="Segoe UI" w:cs="Segoe UI"/>
          <w:noProof/>
        </w:rPr>
      </w:pPr>
      <w:r>
        <w:rPr>
          <w:rStyle w:val="normaltextrun"/>
          <w:noProof/>
        </w:rPr>
        <w:t xml:space="preserve">Planowana inwestycja ma na celu zwiększenie liczby 60000 miejsc do spania, a tym samym znaczne zmniejszenie różnicy między Włochami a średnią UE w odniesieniu do odsetka studentów korzystających z lokali mieszkalnych. Jego celem jest zapewnienie powszechnego dostępu do mieszkań, tak aby rozsądna liczba uczniów mogła sobie pozwolić na zaawansowane kształcenie w preferowanym obszarze i miejscu niezależnie od ich statusu społeczno-ekonomicznego. W tym celu 30 % nowych miejsc jest zarezerwowane dla studentów znajdujących się w trudnej sytuacji społeczno-ekonomicznej określonych przez tzw. organizacje „Diritto allo Studio” (prawo do studiów).   </w:t>
      </w:r>
    </w:p>
    <w:p w14:paraId="6E4DB3B1" w14:textId="77777777" w:rsidR="004C6421" w:rsidRDefault="009D1962">
      <w:pPr>
        <w:pStyle w:val="paragraph"/>
        <w:spacing w:before="0" w:beforeAutospacing="0" w:after="120" w:afterAutospacing="0"/>
        <w:jc w:val="both"/>
        <w:textAlignment w:val="baseline"/>
        <w:rPr>
          <w:rFonts w:ascii="Segoe UI" w:hAnsi="Segoe UI" w:cs="Segoe UI"/>
          <w:noProof/>
        </w:rPr>
      </w:pPr>
      <w:r>
        <w:rPr>
          <w:rStyle w:val="normaltextrun"/>
          <w:noProof/>
        </w:rPr>
        <w:t xml:space="preserve">Opłata za wynajem dla studentów szkół wyższych jest ustalana na poziomie co najmniej 15 % niższym niż lokalne ceny rynkowe. </w:t>
      </w:r>
    </w:p>
    <w:p w14:paraId="35F37A9F" w14:textId="77777777" w:rsidR="004C6421" w:rsidRDefault="009D1962">
      <w:pPr>
        <w:pStyle w:val="paragraph"/>
        <w:spacing w:before="0" w:beforeAutospacing="0" w:after="120" w:afterAutospacing="0"/>
        <w:jc w:val="both"/>
        <w:textAlignment w:val="baseline"/>
        <w:rPr>
          <w:rFonts w:ascii="Segoe UI" w:hAnsi="Segoe UI" w:cs="Segoe UI"/>
          <w:noProof/>
        </w:rPr>
      </w:pPr>
      <w:r>
        <w:rPr>
          <w:rStyle w:val="normaltextrun"/>
          <w:noProof/>
        </w:rPr>
        <w:t xml:space="preserve">Inwestycja nie obejmuje zakupu kotłów gazu ziemnego.  </w:t>
      </w:r>
    </w:p>
    <w:p w14:paraId="58B40033" w14:textId="77777777" w:rsidR="004C6421" w:rsidRDefault="009D1962">
      <w:pPr>
        <w:pStyle w:val="paragraph"/>
        <w:spacing w:before="0" w:beforeAutospacing="0" w:after="120" w:afterAutospacing="0"/>
        <w:jc w:val="both"/>
        <w:textAlignment w:val="baseline"/>
        <w:rPr>
          <w:rFonts w:ascii="Segoe UI" w:hAnsi="Segoe UI" w:cs="Segoe UI"/>
          <w:noProof/>
        </w:rPr>
      </w:pPr>
      <w:r>
        <w:rPr>
          <w:rStyle w:val="normaltextrun"/>
          <w:noProof/>
        </w:rPr>
        <w:t xml:space="preserve">Mieszkań już wykorzystywanych do celów zakwaterowania studentów przed ogłoszeniem odnośnego zaproszenia do składania projektów nie można uwzględniać w wartościach docelowych. Aby osiągnąć ostateczny cel utworzenia łóżek, zaproszenia do składania projektów zostaną ogłoszone w latach 2021–2025. </w:t>
      </w:r>
    </w:p>
    <w:p w14:paraId="0C788796" w14:textId="77777777" w:rsidR="004C6421" w:rsidRDefault="009D1962">
      <w:pPr>
        <w:pStyle w:val="Heading3"/>
        <w:numPr>
          <w:ilvl w:val="0"/>
          <w:numId w:val="0"/>
        </w:numPr>
        <w:ind w:left="850" w:hanging="850"/>
        <w:rPr>
          <w:rFonts w:ascii="Segoe UI" w:hAnsi="Segoe UI" w:cs="Segoe UI"/>
          <w:i w:val="0"/>
          <w:noProof/>
          <w:sz w:val="18"/>
        </w:rPr>
      </w:pPr>
      <w:r>
        <w:rPr>
          <w:rStyle w:val="normaltextrun"/>
          <w:b/>
          <w:noProof/>
          <w:u w:val="single"/>
        </w:rPr>
        <w:t>J.4. Cele pośrednie, wartości docelowe, wskaźniki i harmonogram monitorowania i realizacji pożyczki</w:t>
      </w:r>
      <w:r>
        <w:rPr>
          <w:rStyle w:val="eop"/>
          <w:noProof/>
        </w:rPr>
        <w:t xml:space="preserve"> </w:t>
      </w:r>
    </w:p>
    <w:p w14:paraId="06F63DEB" w14:textId="77777777" w:rsidR="004C6421" w:rsidRDefault="004C6421">
      <w:pPr>
        <w:spacing w:before="120" w:after="120"/>
        <w:ind w:left="709"/>
        <w:contextualSpacing/>
        <w:jc w:val="both"/>
        <w:rPr>
          <w:noProof/>
        </w:rPr>
        <w:sectPr w:rsidR="004C6421" w:rsidSect="00797973">
          <w:headerReference w:type="even" r:id="rId266"/>
          <w:headerReference w:type="default" r:id="rId267"/>
          <w:footerReference w:type="even" r:id="rId268"/>
          <w:footerReference w:type="default" r:id="rId269"/>
          <w:headerReference w:type="first" r:id="rId270"/>
          <w:footerReference w:type="first" r:id="rId271"/>
          <w:pgSz w:w="11907" w:h="16839"/>
          <w:pgMar w:top="1134" w:right="1134" w:bottom="1134" w:left="1134" w:header="567" w:footer="567" w:gutter="0"/>
          <w:cols w:space="720"/>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133"/>
        <w:gridCol w:w="1418"/>
        <w:gridCol w:w="1702"/>
        <w:gridCol w:w="1690"/>
        <w:gridCol w:w="1148"/>
        <w:gridCol w:w="1133"/>
        <w:gridCol w:w="848"/>
        <w:gridCol w:w="900"/>
        <w:gridCol w:w="710"/>
        <w:gridCol w:w="3264"/>
      </w:tblGrid>
      <w:tr w:rsidR="004C6421" w14:paraId="57C48730" w14:textId="77777777">
        <w:trPr>
          <w:trHeight w:val="939"/>
          <w:tblHeader/>
          <w:jc w:val="center"/>
        </w:trPr>
        <w:tc>
          <w:tcPr>
            <w:tcW w:w="445" w:type="pct"/>
            <w:vMerge w:val="restart"/>
            <w:shd w:val="clear" w:color="auto" w:fill="BDD7EE"/>
            <w:vAlign w:val="center"/>
            <w:hideMark/>
          </w:tcPr>
          <w:p w14:paraId="2FB20B3B" w14:textId="77777777" w:rsidR="004C6421" w:rsidRDefault="009D1962">
            <w:pPr>
              <w:pStyle w:val="P68B1DB1-Normal3"/>
              <w:jc w:val="center"/>
              <w:rPr>
                <w:noProof/>
              </w:rPr>
            </w:pPr>
            <w:r>
              <w:rPr>
                <w:noProof/>
              </w:rPr>
              <w:t>Numer porządkowy</w:t>
            </w:r>
          </w:p>
        </w:tc>
        <w:tc>
          <w:tcPr>
            <w:tcW w:w="370" w:type="pct"/>
            <w:vMerge w:val="restart"/>
            <w:shd w:val="clear" w:color="auto" w:fill="BDD7EE"/>
            <w:vAlign w:val="center"/>
            <w:hideMark/>
          </w:tcPr>
          <w:p w14:paraId="5C65AC60" w14:textId="77777777" w:rsidR="004C6421" w:rsidRDefault="009D1962">
            <w:pPr>
              <w:pStyle w:val="P68B1DB1-Normal3"/>
              <w:jc w:val="center"/>
              <w:rPr>
                <w:noProof/>
              </w:rPr>
            </w:pPr>
            <w:r>
              <w:rPr>
                <w:noProof/>
              </w:rPr>
              <w:t>Powiązane działanie (reforma lub inwestycja)</w:t>
            </w:r>
          </w:p>
        </w:tc>
        <w:tc>
          <w:tcPr>
            <w:tcW w:w="463" w:type="pct"/>
            <w:vMerge w:val="restart"/>
            <w:shd w:val="clear" w:color="auto" w:fill="BDD7EE"/>
            <w:vAlign w:val="center"/>
            <w:hideMark/>
          </w:tcPr>
          <w:p w14:paraId="4392C5D4" w14:textId="77777777" w:rsidR="004C6421" w:rsidRDefault="009D1962">
            <w:pPr>
              <w:pStyle w:val="P68B1DB1-Normal3"/>
              <w:jc w:val="center"/>
              <w:rPr>
                <w:noProof/>
              </w:rPr>
            </w:pPr>
            <w:r>
              <w:rPr>
                <w:noProof/>
              </w:rPr>
              <w:t>Kamień milowy/wartość docelowa</w:t>
            </w:r>
          </w:p>
        </w:tc>
        <w:tc>
          <w:tcPr>
            <w:tcW w:w="556" w:type="pct"/>
            <w:vMerge w:val="restart"/>
            <w:shd w:val="clear" w:color="auto" w:fill="BDD7EE"/>
            <w:vAlign w:val="center"/>
            <w:hideMark/>
          </w:tcPr>
          <w:p w14:paraId="70BC1F85" w14:textId="77777777" w:rsidR="004C6421" w:rsidRDefault="009D1962">
            <w:pPr>
              <w:pStyle w:val="P68B1DB1-Normal3"/>
              <w:jc w:val="center"/>
              <w:rPr>
                <w:noProof/>
              </w:rPr>
            </w:pPr>
            <w:r>
              <w:rPr>
                <w:noProof/>
              </w:rPr>
              <w:t>Nazwa</w:t>
            </w:r>
          </w:p>
        </w:tc>
        <w:tc>
          <w:tcPr>
            <w:tcW w:w="552" w:type="pct"/>
            <w:vMerge w:val="restart"/>
            <w:shd w:val="clear" w:color="auto" w:fill="BDD7EE"/>
            <w:vAlign w:val="center"/>
            <w:hideMark/>
          </w:tcPr>
          <w:p w14:paraId="7C12126C" w14:textId="77777777" w:rsidR="004C6421" w:rsidRDefault="009D1962">
            <w:pPr>
              <w:jc w:val="center"/>
              <w:rPr>
                <w:rFonts w:ascii="Arial Narrow" w:hAnsi="Arial Narrow"/>
                <w:b/>
                <w:noProof/>
                <w:sz w:val="20"/>
              </w:rPr>
            </w:pPr>
            <w:r>
              <w:rPr>
                <w:rFonts w:ascii="Arial Narrow" w:hAnsi="Arial Narrow"/>
                <w:b/>
                <w:noProof/>
                <w:sz w:val="20"/>
              </w:rPr>
              <w:t xml:space="preserve">Wskaźniki jakościowe </w:t>
            </w:r>
            <w:r>
              <w:rPr>
                <w:rFonts w:ascii="Arial Narrow" w:hAnsi="Arial Narrow"/>
                <w:noProof/>
              </w:rPr>
              <w:t xml:space="preserve"> </w:t>
            </w:r>
            <w:r>
              <w:rPr>
                <w:noProof/>
              </w:rPr>
              <w:t xml:space="preserve">  </w:t>
            </w:r>
            <w:r>
              <w:rPr>
                <w:noProof/>
              </w:rPr>
              <w:br/>
            </w:r>
            <w:r>
              <w:rPr>
                <w:rFonts w:ascii="Arial Narrow" w:hAnsi="Arial Narrow"/>
                <w:b/>
                <w:noProof/>
                <w:sz w:val="20"/>
              </w:rPr>
              <w:t>(dla kamieni milowych)</w:t>
            </w:r>
          </w:p>
        </w:tc>
        <w:tc>
          <w:tcPr>
            <w:tcW w:w="1022" w:type="pct"/>
            <w:gridSpan w:val="3"/>
            <w:shd w:val="clear" w:color="auto" w:fill="BDD7EE"/>
            <w:vAlign w:val="center"/>
            <w:hideMark/>
          </w:tcPr>
          <w:p w14:paraId="5C59A2A8" w14:textId="77777777" w:rsidR="004C6421" w:rsidRDefault="009D1962">
            <w:pPr>
              <w:jc w:val="center"/>
              <w:rPr>
                <w:rFonts w:ascii="Arial Narrow" w:hAnsi="Arial Narrow"/>
                <w:b/>
                <w:noProof/>
                <w:sz w:val="20"/>
              </w:rPr>
            </w:pPr>
            <w:r>
              <w:rPr>
                <w:rFonts w:ascii="Arial Narrow" w:hAnsi="Arial Narrow"/>
                <w:b/>
                <w:noProof/>
                <w:sz w:val="20"/>
              </w:rPr>
              <w:t xml:space="preserve">Wskaźniki ilościowe </w:t>
            </w:r>
            <w:r>
              <w:rPr>
                <w:rFonts w:ascii="Arial Narrow" w:hAnsi="Arial Narrow"/>
                <w:noProof/>
              </w:rPr>
              <w:t xml:space="preserve"> </w:t>
            </w:r>
            <w:r>
              <w:rPr>
                <w:noProof/>
              </w:rPr>
              <w:t xml:space="preserve">  </w:t>
            </w:r>
            <w:r>
              <w:rPr>
                <w:noProof/>
              </w:rPr>
              <w:br/>
            </w:r>
            <w:r>
              <w:rPr>
                <w:rFonts w:ascii="Arial Narrow" w:hAnsi="Arial Narrow"/>
                <w:b/>
                <w:noProof/>
                <w:sz w:val="20"/>
              </w:rPr>
              <w:t>(dla wartości docelowych)</w:t>
            </w:r>
          </w:p>
        </w:tc>
        <w:tc>
          <w:tcPr>
            <w:tcW w:w="526" w:type="pct"/>
            <w:gridSpan w:val="2"/>
            <w:shd w:val="clear" w:color="auto" w:fill="BDD7EE"/>
            <w:vAlign w:val="center"/>
            <w:hideMark/>
          </w:tcPr>
          <w:p w14:paraId="75C1F6BF" w14:textId="77777777" w:rsidR="004C6421" w:rsidRDefault="009D1962">
            <w:pPr>
              <w:pStyle w:val="P68B1DB1-Normal3"/>
              <w:jc w:val="center"/>
              <w:rPr>
                <w:noProof/>
              </w:rPr>
            </w:pPr>
            <w:r>
              <w:rPr>
                <w:noProof/>
              </w:rPr>
              <w:t>Orientacyjny harmonogram zakończenia działania</w:t>
            </w:r>
          </w:p>
        </w:tc>
        <w:tc>
          <w:tcPr>
            <w:tcW w:w="1066" w:type="pct"/>
            <w:vMerge w:val="restart"/>
            <w:shd w:val="clear" w:color="auto" w:fill="BDD7EE"/>
            <w:vAlign w:val="center"/>
            <w:hideMark/>
          </w:tcPr>
          <w:p w14:paraId="2D23F6EC" w14:textId="77777777" w:rsidR="004C6421" w:rsidRDefault="009D1962">
            <w:pPr>
              <w:pStyle w:val="P68B1DB1-Normal3"/>
              <w:jc w:val="center"/>
              <w:rPr>
                <w:noProof/>
              </w:rPr>
            </w:pPr>
            <w:r>
              <w:rPr>
                <w:noProof/>
              </w:rPr>
              <w:t>Opis każdego kamienia milowego i każdej wartości docelowej</w:t>
            </w:r>
          </w:p>
        </w:tc>
      </w:tr>
      <w:tr w:rsidR="004C6421" w14:paraId="75B7446E" w14:textId="77777777">
        <w:trPr>
          <w:trHeight w:val="1027"/>
          <w:jc w:val="center"/>
        </w:trPr>
        <w:tc>
          <w:tcPr>
            <w:tcW w:w="445" w:type="pct"/>
            <w:vMerge/>
            <w:vAlign w:val="center"/>
            <w:hideMark/>
          </w:tcPr>
          <w:p w14:paraId="298312E8" w14:textId="77777777" w:rsidR="004C6421" w:rsidRDefault="004C6421">
            <w:pPr>
              <w:jc w:val="center"/>
              <w:rPr>
                <w:rFonts w:ascii="Arial Narrow" w:hAnsi="Arial Narrow"/>
                <w:b/>
                <w:noProof/>
                <w:sz w:val="20"/>
              </w:rPr>
            </w:pPr>
          </w:p>
        </w:tc>
        <w:tc>
          <w:tcPr>
            <w:tcW w:w="370" w:type="pct"/>
            <w:vMerge/>
            <w:vAlign w:val="center"/>
            <w:hideMark/>
          </w:tcPr>
          <w:p w14:paraId="24791949" w14:textId="77777777" w:rsidR="004C6421" w:rsidRDefault="004C6421">
            <w:pPr>
              <w:jc w:val="center"/>
              <w:rPr>
                <w:rFonts w:ascii="Arial Narrow" w:hAnsi="Arial Narrow"/>
                <w:b/>
                <w:noProof/>
                <w:sz w:val="20"/>
              </w:rPr>
            </w:pPr>
          </w:p>
        </w:tc>
        <w:tc>
          <w:tcPr>
            <w:tcW w:w="463" w:type="pct"/>
            <w:vMerge/>
            <w:vAlign w:val="center"/>
            <w:hideMark/>
          </w:tcPr>
          <w:p w14:paraId="54CBD88A" w14:textId="77777777" w:rsidR="004C6421" w:rsidRDefault="004C6421">
            <w:pPr>
              <w:jc w:val="center"/>
              <w:rPr>
                <w:rFonts w:ascii="Arial Narrow" w:hAnsi="Arial Narrow"/>
                <w:b/>
                <w:noProof/>
                <w:sz w:val="20"/>
              </w:rPr>
            </w:pPr>
          </w:p>
        </w:tc>
        <w:tc>
          <w:tcPr>
            <w:tcW w:w="556" w:type="pct"/>
            <w:vMerge/>
            <w:vAlign w:val="center"/>
            <w:hideMark/>
          </w:tcPr>
          <w:p w14:paraId="2B3F09DD" w14:textId="77777777" w:rsidR="004C6421" w:rsidRDefault="004C6421">
            <w:pPr>
              <w:jc w:val="center"/>
              <w:rPr>
                <w:rFonts w:ascii="Arial Narrow" w:hAnsi="Arial Narrow"/>
                <w:b/>
                <w:noProof/>
                <w:sz w:val="20"/>
              </w:rPr>
            </w:pPr>
          </w:p>
        </w:tc>
        <w:tc>
          <w:tcPr>
            <w:tcW w:w="552" w:type="pct"/>
            <w:vMerge/>
            <w:vAlign w:val="center"/>
            <w:hideMark/>
          </w:tcPr>
          <w:p w14:paraId="2C6A340F" w14:textId="77777777" w:rsidR="004C6421" w:rsidRDefault="004C6421">
            <w:pPr>
              <w:jc w:val="center"/>
              <w:rPr>
                <w:rFonts w:ascii="Arial Narrow" w:hAnsi="Arial Narrow"/>
                <w:b/>
                <w:noProof/>
                <w:sz w:val="20"/>
              </w:rPr>
            </w:pPr>
          </w:p>
        </w:tc>
        <w:tc>
          <w:tcPr>
            <w:tcW w:w="375" w:type="pct"/>
            <w:shd w:val="clear" w:color="auto" w:fill="BDD7EE"/>
            <w:vAlign w:val="center"/>
            <w:hideMark/>
          </w:tcPr>
          <w:p w14:paraId="015BF5F3" w14:textId="77777777" w:rsidR="004C6421" w:rsidRDefault="009D1962">
            <w:pPr>
              <w:pStyle w:val="P68B1DB1-Normal3"/>
              <w:jc w:val="center"/>
              <w:rPr>
                <w:noProof/>
              </w:rPr>
            </w:pPr>
            <w:r>
              <w:rPr>
                <w:noProof/>
              </w:rPr>
              <w:t>Jednostka miary</w:t>
            </w:r>
          </w:p>
        </w:tc>
        <w:tc>
          <w:tcPr>
            <w:tcW w:w="370" w:type="pct"/>
            <w:shd w:val="clear" w:color="auto" w:fill="BDD7EE"/>
            <w:vAlign w:val="center"/>
            <w:hideMark/>
          </w:tcPr>
          <w:p w14:paraId="3FF71E3B" w14:textId="77777777" w:rsidR="004C6421" w:rsidRDefault="009D1962">
            <w:pPr>
              <w:pStyle w:val="P68B1DB1-Normal3"/>
              <w:jc w:val="center"/>
              <w:rPr>
                <w:noProof/>
              </w:rPr>
            </w:pPr>
            <w:r>
              <w:rPr>
                <w:noProof/>
              </w:rPr>
              <w:t>Bazowy</w:t>
            </w:r>
          </w:p>
        </w:tc>
        <w:tc>
          <w:tcPr>
            <w:tcW w:w="277" w:type="pct"/>
            <w:shd w:val="clear" w:color="auto" w:fill="BDD7EE"/>
            <w:vAlign w:val="center"/>
            <w:hideMark/>
          </w:tcPr>
          <w:p w14:paraId="064F84B2" w14:textId="77777777" w:rsidR="004C6421" w:rsidRDefault="009D1962">
            <w:pPr>
              <w:pStyle w:val="P68B1DB1-Normal3"/>
              <w:jc w:val="center"/>
              <w:rPr>
                <w:noProof/>
              </w:rPr>
            </w:pPr>
            <w:r>
              <w:rPr>
                <w:noProof/>
              </w:rPr>
              <w:t>Cel</w:t>
            </w:r>
          </w:p>
        </w:tc>
        <w:tc>
          <w:tcPr>
            <w:tcW w:w="294" w:type="pct"/>
            <w:shd w:val="clear" w:color="auto" w:fill="BDD7EE"/>
            <w:vAlign w:val="center"/>
            <w:hideMark/>
          </w:tcPr>
          <w:p w14:paraId="33A255A4" w14:textId="77777777" w:rsidR="004C6421" w:rsidRDefault="009D1962">
            <w:pPr>
              <w:pStyle w:val="P68B1DB1-Normal3"/>
              <w:jc w:val="center"/>
              <w:rPr>
                <w:noProof/>
              </w:rPr>
            </w:pPr>
            <w:r>
              <w:rPr>
                <w:noProof/>
              </w:rPr>
              <w:t>Kwartał</w:t>
            </w:r>
          </w:p>
        </w:tc>
        <w:tc>
          <w:tcPr>
            <w:tcW w:w="232" w:type="pct"/>
            <w:shd w:val="clear" w:color="auto" w:fill="BDD7EE"/>
            <w:vAlign w:val="center"/>
            <w:hideMark/>
          </w:tcPr>
          <w:p w14:paraId="75BC3829" w14:textId="77777777" w:rsidR="004C6421" w:rsidRDefault="009D1962">
            <w:pPr>
              <w:pStyle w:val="P68B1DB1-Normal3"/>
              <w:jc w:val="center"/>
              <w:rPr>
                <w:noProof/>
              </w:rPr>
            </w:pPr>
            <w:r>
              <w:rPr>
                <w:noProof/>
              </w:rPr>
              <w:t>Rok</w:t>
            </w:r>
          </w:p>
        </w:tc>
        <w:tc>
          <w:tcPr>
            <w:tcW w:w="1066" w:type="pct"/>
            <w:vMerge/>
            <w:vAlign w:val="center"/>
            <w:hideMark/>
          </w:tcPr>
          <w:p w14:paraId="50C376F4" w14:textId="77777777" w:rsidR="004C6421" w:rsidRDefault="004C6421">
            <w:pPr>
              <w:rPr>
                <w:rFonts w:ascii="Arial Narrow" w:hAnsi="Arial Narrow"/>
                <w:b/>
                <w:noProof/>
                <w:sz w:val="20"/>
              </w:rPr>
            </w:pPr>
          </w:p>
        </w:tc>
      </w:tr>
      <w:tr w:rsidR="004C6421" w14:paraId="1A9330F9" w14:textId="77777777">
        <w:trPr>
          <w:trHeight w:val="313"/>
          <w:jc w:val="center"/>
        </w:trPr>
        <w:tc>
          <w:tcPr>
            <w:tcW w:w="445" w:type="pct"/>
            <w:shd w:val="clear" w:color="auto" w:fill="C6EFCE"/>
            <w:noWrap/>
            <w:vAlign w:val="center"/>
            <w:hideMark/>
          </w:tcPr>
          <w:p w14:paraId="12C92F58" w14:textId="77777777" w:rsidR="004C6421" w:rsidRDefault="009D1962">
            <w:pPr>
              <w:pStyle w:val="P68B1DB1-Normal4"/>
              <w:jc w:val="center"/>
              <w:rPr>
                <w:noProof/>
              </w:rPr>
            </w:pPr>
            <w:r>
              <w:rPr>
                <w:noProof/>
              </w:rPr>
              <w:t>M4C1-27</w:t>
            </w:r>
          </w:p>
        </w:tc>
        <w:tc>
          <w:tcPr>
            <w:tcW w:w="370" w:type="pct"/>
            <w:shd w:val="clear" w:color="auto" w:fill="C6EFCE"/>
            <w:noWrap/>
            <w:vAlign w:val="center"/>
          </w:tcPr>
          <w:p w14:paraId="4B29EE5A" w14:textId="77777777" w:rsidR="004C6421" w:rsidRDefault="009D1962">
            <w:pPr>
              <w:pStyle w:val="P68B1DB1-Normal4"/>
              <w:jc w:val="center"/>
              <w:rPr>
                <w:noProof/>
              </w:rPr>
            </w:pPr>
            <w:r>
              <w:rPr>
                <w:noProof/>
              </w:rPr>
              <w:t>Reforma 1.7: Reforma przepisów dotyczących mieszkalnictwa dla studentów i inwestycje w mieszkalnictwo studenckie</w:t>
            </w:r>
          </w:p>
        </w:tc>
        <w:tc>
          <w:tcPr>
            <w:tcW w:w="463" w:type="pct"/>
            <w:shd w:val="clear" w:color="auto" w:fill="C6EFCE"/>
            <w:noWrap/>
            <w:vAlign w:val="center"/>
            <w:hideMark/>
          </w:tcPr>
          <w:p w14:paraId="22A9D30E" w14:textId="51E2C884" w:rsidR="004C6421" w:rsidRDefault="00CC179E">
            <w:pPr>
              <w:pStyle w:val="P68B1DB1-Normal4"/>
              <w:jc w:val="center"/>
              <w:rPr>
                <w:noProof/>
              </w:rPr>
            </w:pPr>
            <w:r>
              <w:rPr>
                <w:noProof/>
              </w:rPr>
              <w:t>Milowy</w:t>
            </w:r>
          </w:p>
        </w:tc>
        <w:tc>
          <w:tcPr>
            <w:tcW w:w="556" w:type="pct"/>
            <w:shd w:val="clear" w:color="auto" w:fill="C6EFCE"/>
            <w:noWrap/>
            <w:vAlign w:val="center"/>
          </w:tcPr>
          <w:p w14:paraId="68128A30" w14:textId="77777777" w:rsidR="004C6421" w:rsidRDefault="009D1962">
            <w:pPr>
              <w:pStyle w:val="P68B1DB1-Normal4"/>
              <w:jc w:val="center"/>
              <w:rPr>
                <w:noProof/>
              </w:rPr>
            </w:pPr>
            <w:r>
              <w:rPr>
                <w:noProof/>
              </w:rPr>
              <w:t>Wejście w życie przepisów zmieniających obecne przepisy dotyczące mieszkań studenckich.</w:t>
            </w:r>
          </w:p>
        </w:tc>
        <w:tc>
          <w:tcPr>
            <w:tcW w:w="552" w:type="pct"/>
            <w:shd w:val="clear" w:color="auto" w:fill="C6EFCE"/>
            <w:noWrap/>
            <w:vAlign w:val="center"/>
            <w:hideMark/>
          </w:tcPr>
          <w:p w14:paraId="2A4C45EE" w14:textId="77777777" w:rsidR="004C6421" w:rsidRDefault="009D1962">
            <w:pPr>
              <w:pStyle w:val="P68B1DB1-Normal4"/>
              <w:jc w:val="center"/>
              <w:rPr>
                <w:noProof/>
              </w:rPr>
            </w:pPr>
            <w:r>
              <w:rPr>
                <w:noProof/>
              </w:rPr>
              <w:t>Przepis ustawy wskazujący na wejście w życie ustawy. NIE DOT.</w:t>
            </w:r>
          </w:p>
        </w:tc>
        <w:tc>
          <w:tcPr>
            <w:tcW w:w="375" w:type="pct"/>
            <w:shd w:val="clear" w:color="auto" w:fill="C6EFCE"/>
            <w:noWrap/>
            <w:vAlign w:val="center"/>
            <w:hideMark/>
          </w:tcPr>
          <w:p w14:paraId="4B2383EB" w14:textId="77777777" w:rsidR="004C6421" w:rsidRDefault="009D1962">
            <w:pPr>
              <w:pStyle w:val="P68B1DB1-Normal4"/>
              <w:jc w:val="center"/>
              <w:rPr>
                <w:noProof/>
              </w:rPr>
            </w:pPr>
            <w:r>
              <w:rPr>
                <w:noProof/>
              </w:rPr>
              <w:t>NIE DOT.</w:t>
            </w:r>
          </w:p>
        </w:tc>
        <w:tc>
          <w:tcPr>
            <w:tcW w:w="370" w:type="pct"/>
            <w:shd w:val="clear" w:color="auto" w:fill="C6EFCE"/>
            <w:noWrap/>
            <w:vAlign w:val="center"/>
          </w:tcPr>
          <w:p w14:paraId="2C889AA6" w14:textId="77777777" w:rsidR="004C6421" w:rsidRDefault="009D1962">
            <w:pPr>
              <w:pStyle w:val="P68B1DB1-Normal4"/>
              <w:jc w:val="center"/>
              <w:rPr>
                <w:noProof/>
              </w:rPr>
            </w:pPr>
            <w:r>
              <w:rPr>
                <w:noProof/>
              </w:rPr>
              <w:t>NIE DOT.</w:t>
            </w:r>
          </w:p>
        </w:tc>
        <w:tc>
          <w:tcPr>
            <w:tcW w:w="277" w:type="pct"/>
            <w:shd w:val="clear" w:color="auto" w:fill="C6EFCE"/>
            <w:noWrap/>
            <w:vAlign w:val="center"/>
          </w:tcPr>
          <w:p w14:paraId="0FA1A8B3" w14:textId="77777777" w:rsidR="004C6421" w:rsidRDefault="009D1962">
            <w:pPr>
              <w:pStyle w:val="P68B1DB1-Normal4"/>
              <w:jc w:val="center"/>
              <w:rPr>
                <w:noProof/>
              </w:rPr>
            </w:pPr>
            <w:r>
              <w:rPr>
                <w:noProof/>
              </w:rPr>
              <w:t>NIE DOT.</w:t>
            </w:r>
          </w:p>
        </w:tc>
        <w:tc>
          <w:tcPr>
            <w:tcW w:w="294" w:type="pct"/>
            <w:shd w:val="clear" w:color="auto" w:fill="C6EFCE"/>
            <w:noWrap/>
            <w:vAlign w:val="center"/>
            <w:hideMark/>
          </w:tcPr>
          <w:p w14:paraId="47D19F10" w14:textId="043363DF" w:rsidR="004C6421" w:rsidRDefault="00CC179E">
            <w:pPr>
              <w:pStyle w:val="P68B1DB1-Normal4"/>
              <w:jc w:val="center"/>
              <w:rPr>
                <w:noProof/>
              </w:rPr>
            </w:pPr>
            <w:r>
              <w:rPr>
                <w:noProof/>
              </w:rPr>
              <w:t>KW. 4</w:t>
            </w:r>
          </w:p>
        </w:tc>
        <w:tc>
          <w:tcPr>
            <w:tcW w:w="232" w:type="pct"/>
            <w:shd w:val="clear" w:color="auto" w:fill="C6EFCE"/>
            <w:noWrap/>
            <w:vAlign w:val="center"/>
            <w:hideMark/>
          </w:tcPr>
          <w:p w14:paraId="4FCFFFF4" w14:textId="77777777" w:rsidR="004C6421" w:rsidRDefault="009D1962">
            <w:pPr>
              <w:pStyle w:val="P68B1DB1-Normal4"/>
              <w:jc w:val="center"/>
              <w:rPr>
                <w:noProof/>
              </w:rPr>
            </w:pPr>
            <w:r>
              <w:rPr>
                <w:noProof/>
              </w:rPr>
              <w:t>2021</w:t>
            </w:r>
          </w:p>
        </w:tc>
        <w:tc>
          <w:tcPr>
            <w:tcW w:w="1066" w:type="pct"/>
            <w:shd w:val="clear" w:color="auto" w:fill="C6EFCE"/>
            <w:noWrap/>
            <w:vAlign w:val="center"/>
            <w:hideMark/>
          </w:tcPr>
          <w:p w14:paraId="799B16FE" w14:textId="77777777" w:rsidR="004C6421" w:rsidRDefault="009D1962">
            <w:pPr>
              <w:rPr>
                <w:rFonts w:ascii="Arial Narrow" w:hAnsi="Arial Narrow"/>
                <w:noProof/>
                <w:color w:val="006100"/>
                <w:sz w:val="20"/>
              </w:rPr>
            </w:pPr>
            <w:r>
              <w:rPr>
                <w:rFonts w:ascii="Arial Narrow" w:hAnsi="Arial Narrow"/>
                <w:noProof/>
                <w:color w:val="006100"/>
                <w:sz w:val="20"/>
              </w:rPr>
              <w:t>Zmienione przepisy:</w:t>
            </w:r>
            <w:r>
              <w:rPr>
                <w:rFonts w:ascii="Arial Narrow" w:hAnsi="Arial Narrow"/>
                <w:noProof/>
              </w:rPr>
              <w:t xml:space="preserve"> </w:t>
            </w:r>
            <w:r>
              <w:rPr>
                <w:noProof/>
              </w:rPr>
              <w:t xml:space="preserve">  </w:t>
            </w:r>
            <w:r>
              <w:rPr>
                <w:noProof/>
              </w:rPr>
              <w:br/>
            </w:r>
            <w:r>
              <w:rPr>
                <w:rFonts w:ascii="Arial Narrow" w:hAnsi="Arial Narrow"/>
                <w:noProof/>
                <w:color w:val="006100"/>
                <w:sz w:val="20"/>
              </w:rPr>
              <w:t>Zmiana obowiązujących przepisów dotyczących mieszkalnictwa studenckiego (ustawa 338/2000 i dekret ustawodawczy 68/2012) w celu:</w:t>
            </w:r>
          </w:p>
          <w:p w14:paraId="4DCE08EE" w14:textId="77777777" w:rsidR="004C6421" w:rsidRDefault="009D1962">
            <w:pPr>
              <w:pStyle w:val="P68B1DB1-Normal4"/>
              <w:rPr>
                <w:noProof/>
              </w:rPr>
            </w:pPr>
            <w:r>
              <w:rPr>
                <w:noProof/>
              </w:rPr>
              <w:t>(1). Wspieranie restrukturyzacji i renowacji obiektów zamiast nowych budynków niezagospodarowanych (z większym odsetkiem zabudowy, obecnie wynoszącym 50 %), przy czym przedstawione projekty powinny spełniać najwyższe standardy środowiskowe;</w:t>
            </w:r>
          </w:p>
          <w:p w14:paraId="743979A2" w14:textId="77777777" w:rsidR="004C6421" w:rsidRDefault="004C6421">
            <w:pPr>
              <w:rPr>
                <w:rFonts w:ascii="Arial Narrow" w:hAnsi="Arial Narrow"/>
                <w:noProof/>
                <w:color w:val="006100"/>
                <w:sz w:val="20"/>
              </w:rPr>
            </w:pPr>
          </w:p>
          <w:p w14:paraId="5BFC40A0" w14:textId="77777777" w:rsidR="004C6421" w:rsidRDefault="009D1962">
            <w:pPr>
              <w:pStyle w:val="P68B1DB1-Normal4"/>
              <w:rPr>
                <w:noProof/>
              </w:rPr>
            </w:pPr>
            <w:r>
              <w:rPr>
                <w:noProof/>
              </w:rPr>
              <w:t>(2). Uproszczenie, również dzięki cyfryzacji, prezentacji i wyboru projektów, a tym samym harmonogramu realizacji;</w:t>
            </w:r>
          </w:p>
          <w:p w14:paraId="77480EDE" w14:textId="77777777" w:rsidR="004C6421" w:rsidRDefault="004C6421">
            <w:pPr>
              <w:rPr>
                <w:rFonts w:ascii="Arial Narrow" w:hAnsi="Arial Narrow"/>
                <w:noProof/>
                <w:color w:val="006100"/>
                <w:sz w:val="20"/>
              </w:rPr>
            </w:pPr>
          </w:p>
          <w:p w14:paraId="226F4533" w14:textId="77777777" w:rsidR="004C6421" w:rsidRDefault="009D1962">
            <w:pPr>
              <w:pStyle w:val="P68B1DB1-Normal4"/>
              <w:rPr>
                <w:noProof/>
              </w:rPr>
            </w:pPr>
            <w:r>
              <w:rPr>
                <w:noProof/>
              </w:rPr>
              <w:t>(3)Ustanowienie na mocy ustawy o odstępstwie od kryteriów określonych w ustawie nr 338/2000 w odniesieniu do odsetka współfinansowania, które może zostać przyznane.</w:t>
            </w:r>
          </w:p>
          <w:p w14:paraId="21BE7465" w14:textId="77777777" w:rsidR="004C6421" w:rsidRDefault="004C6421">
            <w:pPr>
              <w:rPr>
                <w:rFonts w:ascii="Arial Narrow" w:hAnsi="Arial Narrow"/>
                <w:noProof/>
                <w:color w:val="006100"/>
                <w:sz w:val="20"/>
              </w:rPr>
            </w:pPr>
          </w:p>
          <w:p w14:paraId="22840961" w14:textId="77777777" w:rsidR="004C6421" w:rsidRDefault="009D1962">
            <w:pPr>
              <w:pStyle w:val="P68B1DB1-Normal4"/>
              <w:rPr>
                <w:noProof/>
              </w:rPr>
            </w:pPr>
            <w:r>
              <w:rPr>
                <w:noProof/>
              </w:rPr>
              <w:t>Reforma zostanie wdrożona poprzez wprowadzenie do włoskich ram regulacyjnych dotyczących finansowania mieszkalnictwa studenckiego następujących istotnych zmian:</w:t>
            </w:r>
          </w:p>
          <w:p w14:paraId="3E689B0A" w14:textId="77777777" w:rsidR="004C6421" w:rsidRDefault="009D1962">
            <w:pPr>
              <w:pStyle w:val="P68B1DB1-Normal4"/>
              <w:rPr>
                <w:noProof/>
              </w:rPr>
            </w:pPr>
            <w:r>
              <w:rPr>
                <w:noProof/>
              </w:rPr>
              <w:t>1. Otwarcie udziału w finansowaniu również dla inwestorów prywatnych (zgodnie z programem opisanym we wdrażaniu), a także umożliwienie partnerstw publiczno-prywatnych, w których uczelnia wykorzysta dostępne środki finansowe w celu wsparcia równowagi finansowej inwestycji w nieruchomości w mieszkalnictwo studenckie;</w:t>
            </w:r>
          </w:p>
          <w:p w14:paraId="4E10AF71" w14:textId="77777777" w:rsidR="004C6421" w:rsidRDefault="009D1962">
            <w:pPr>
              <w:pStyle w:val="P68B1DB1-Normal4"/>
              <w:rPr>
                <w:noProof/>
              </w:rPr>
            </w:pPr>
            <w:r>
              <w:rPr>
                <w:noProof/>
              </w:rPr>
              <w:t>2. Zapewnienie długoterminowej stabilności inwestycji prywatnych poprzez zagwarantowanie zmiany systemu opodatkowania z systemu stosowanego w odniesieniu do usług hotelowych na system mający zastosowanie do mieszkalnictwa socjalnego, poprzez ograniczenie korzystania z nowych lokali mieszkalnych dla studentów w trakcie Roku Akademickiego, przy jednoczesnym umożliwieniu korzystania ze struktur, gdy nie są one potrzebne do gościnności studenckiej. To z kolei przyczyni się do zapewnienia nowej gamy zakwaterowania po przystępnych cenach;</w:t>
            </w:r>
          </w:p>
          <w:p w14:paraId="71274F99" w14:textId="77777777" w:rsidR="004C6421" w:rsidRDefault="009D1962">
            <w:pPr>
              <w:pStyle w:val="P68B1DB1-Normal4"/>
              <w:rPr>
                <w:noProof/>
              </w:rPr>
            </w:pPr>
            <w:r>
              <w:rPr>
                <w:noProof/>
              </w:rPr>
              <w:t>3. Uzależnienie finansowania oraz dodatkowych ulg podatkowych (np. równego traktowania z mieszkalnictwem socjalnym) od wykorzystania nowych lokali mieszkalnych dla studentów w ogólnym horyzoncie inwestycyjnym oraz zgodności z ustaloną górną granicą czynszów pobieranych od studentów nawet po wygaśnięciu specjalnych programów finansowania, które przyczyniają się do uruchomienia inwestycji przez podmioty prywatne;</w:t>
            </w:r>
          </w:p>
          <w:p w14:paraId="0C25A0B7" w14:textId="77777777" w:rsidR="004C6421" w:rsidRDefault="009D1962">
            <w:pPr>
              <w:pStyle w:val="P68B1DB1-Normal4"/>
              <w:rPr>
                <w:noProof/>
              </w:rPr>
            </w:pPr>
            <w:r>
              <w:rPr>
                <w:noProof/>
              </w:rPr>
              <w:t>4. Ponowne określenie norm dotyczących zakwaterowania dla studentów poprzez ponowne określenie wymogów prawnych dotyczących wspólnej przestrzeni dostępnej w budynkach na ucznia w zamian za lepiej wyposażone (pojedyncze) pomieszczenia.</w:t>
            </w:r>
          </w:p>
        </w:tc>
      </w:tr>
      <w:tr w:rsidR="004C6421" w14:paraId="78ABC773" w14:textId="77777777">
        <w:trPr>
          <w:trHeight w:val="313"/>
          <w:jc w:val="center"/>
        </w:trPr>
        <w:tc>
          <w:tcPr>
            <w:tcW w:w="445" w:type="pct"/>
            <w:shd w:val="clear" w:color="auto" w:fill="C6EFCE"/>
            <w:noWrap/>
            <w:vAlign w:val="center"/>
            <w:hideMark/>
          </w:tcPr>
          <w:p w14:paraId="1BCA858B" w14:textId="77777777" w:rsidR="004C6421" w:rsidRDefault="009D1962">
            <w:pPr>
              <w:pStyle w:val="P68B1DB1-Normal4"/>
              <w:jc w:val="center"/>
              <w:rPr>
                <w:noProof/>
              </w:rPr>
            </w:pPr>
            <w:r>
              <w:rPr>
                <w:noProof/>
              </w:rPr>
              <w:t>M4C1-28</w:t>
            </w:r>
          </w:p>
        </w:tc>
        <w:tc>
          <w:tcPr>
            <w:tcW w:w="370" w:type="pct"/>
            <w:shd w:val="clear" w:color="auto" w:fill="C6EFCE"/>
            <w:noWrap/>
            <w:vAlign w:val="center"/>
            <w:hideMark/>
          </w:tcPr>
          <w:p w14:paraId="4371EB1B" w14:textId="77777777" w:rsidR="004C6421" w:rsidRDefault="009D1962">
            <w:pPr>
              <w:pStyle w:val="P68B1DB1-Normal4"/>
              <w:jc w:val="center"/>
              <w:rPr>
                <w:noProof/>
              </w:rPr>
            </w:pPr>
            <w:r>
              <w:rPr>
                <w:noProof/>
              </w:rPr>
              <w:t>Reforma 1.7: Reforma przepisów dotyczących mieszkalnictwa dla studentów i inwestycje w mieszkalnictwo studenckie</w:t>
            </w:r>
          </w:p>
        </w:tc>
        <w:tc>
          <w:tcPr>
            <w:tcW w:w="463" w:type="pct"/>
            <w:shd w:val="clear" w:color="auto" w:fill="C6EFCE"/>
            <w:noWrap/>
            <w:vAlign w:val="center"/>
            <w:hideMark/>
          </w:tcPr>
          <w:p w14:paraId="04553AD6" w14:textId="428B156A" w:rsidR="004C6421" w:rsidRDefault="00CC179E">
            <w:pPr>
              <w:pStyle w:val="P68B1DB1-Normal4"/>
              <w:jc w:val="center"/>
              <w:rPr>
                <w:noProof/>
              </w:rPr>
            </w:pPr>
            <w:r>
              <w:rPr>
                <w:noProof/>
              </w:rPr>
              <w:t>Milowy</w:t>
            </w:r>
          </w:p>
        </w:tc>
        <w:tc>
          <w:tcPr>
            <w:tcW w:w="556" w:type="pct"/>
            <w:shd w:val="clear" w:color="auto" w:fill="C6EFCE"/>
            <w:noWrap/>
            <w:vAlign w:val="center"/>
            <w:hideMark/>
          </w:tcPr>
          <w:p w14:paraId="54BED6EB" w14:textId="77777777" w:rsidR="004C6421" w:rsidRDefault="009D1962">
            <w:pPr>
              <w:pStyle w:val="P68B1DB1-Normal4"/>
              <w:jc w:val="center"/>
              <w:rPr>
                <w:noProof/>
              </w:rPr>
            </w:pPr>
            <w:r>
              <w:rPr>
                <w:noProof/>
              </w:rPr>
              <w:t xml:space="preserve"> Udzielenie wstępnych zamówień publicznych na stworzenie dodatkowych miejsc noclegowych (łóżek)”;</w:t>
            </w:r>
          </w:p>
        </w:tc>
        <w:tc>
          <w:tcPr>
            <w:tcW w:w="552" w:type="pct"/>
            <w:shd w:val="clear" w:color="auto" w:fill="C6EFCE"/>
            <w:noWrap/>
            <w:vAlign w:val="center"/>
            <w:hideMark/>
          </w:tcPr>
          <w:p w14:paraId="3847D189" w14:textId="77777777" w:rsidR="004C6421" w:rsidRDefault="009D1962">
            <w:pPr>
              <w:pStyle w:val="P68B1DB1-Normal4"/>
              <w:jc w:val="center"/>
              <w:rPr>
                <w:noProof/>
              </w:rPr>
            </w:pPr>
            <w:r>
              <w:rPr>
                <w:noProof/>
              </w:rPr>
              <w:t xml:space="preserve"> Publikacja informacji o udzieleniu zamówienia na stronie internetowej Ministerstwa</w:t>
            </w:r>
          </w:p>
        </w:tc>
        <w:tc>
          <w:tcPr>
            <w:tcW w:w="375" w:type="pct"/>
            <w:shd w:val="clear" w:color="auto" w:fill="C6EFCE"/>
            <w:noWrap/>
            <w:vAlign w:val="center"/>
            <w:hideMark/>
          </w:tcPr>
          <w:p w14:paraId="363E3848" w14:textId="77777777" w:rsidR="004C6421" w:rsidRDefault="009D1962">
            <w:pPr>
              <w:pStyle w:val="P68B1DB1-Normal4"/>
              <w:jc w:val="center"/>
              <w:rPr>
                <w:noProof/>
              </w:rPr>
            </w:pPr>
            <w:r>
              <w:rPr>
                <w:noProof/>
              </w:rPr>
              <w:t>NIE DOT.</w:t>
            </w:r>
          </w:p>
        </w:tc>
        <w:tc>
          <w:tcPr>
            <w:tcW w:w="370" w:type="pct"/>
            <w:shd w:val="clear" w:color="auto" w:fill="C6EFCE"/>
            <w:noWrap/>
            <w:vAlign w:val="center"/>
            <w:hideMark/>
          </w:tcPr>
          <w:p w14:paraId="0C01EEE3" w14:textId="77777777" w:rsidR="004C6421" w:rsidRDefault="009D1962">
            <w:pPr>
              <w:pStyle w:val="P68B1DB1-Normal4"/>
              <w:jc w:val="center"/>
              <w:rPr>
                <w:noProof/>
              </w:rPr>
            </w:pPr>
            <w:r>
              <w:rPr>
                <w:noProof/>
              </w:rPr>
              <w:t>NIE DOT.</w:t>
            </w:r>
          </w:p>
        </w:tc>
        <w:tc>
          <w:tcPr>
            <w:tcW w:w="277" w:type="pct"/>
            <w:shd w:val="clear" w:color="auto" w:fill="C6EFCE"/>
            <w:noWrap/>
            <w:vAlign w:val="center"/>
            <w:hideMark/>
          </w:tcPr>
          <w:p w14:paraId="41362DF1" w14:textId="77777777" w:rsidR="004C6421" w:rsidRDefault="009D1962">
            <w:pPr>
              <w:pStyle w:val="P68B1DB1-Normal4"/>
              <w:jc w:val="center"/>
              <w:rPr>
                <w:noProof/>
              </w:rPr>
            </w:pPr>
            <w:r>
              <w:rPr>
                <w:noProof/>
              </w:rPr>
              <w:t>NIE DOT.</w:t>
            </w:r>
          </w:p>
        </w:tc>
        <w:tc>
          <w:tcPr>
            <w:tcW w:w="294" w:type="pct"/>
            <w:shd w:val="clear" w:color="auto" w:fill="C6EFCE"/>
            <w:noWrap/>
            <w:vAlign w:val="center"/>
            <w:hideMark/>
          </w:tcPr>
          <w:p w14:paraId="568D4839" w14:textId="77777777" w:rsidR="004C6421" w:rsidRDefault="009D1962">
            <w:pPr>
              <w:pStyle w:val="P68B1DB1-Normal4"/>
              <w:jc w:val="center"/>
              <w:rPr>
                <w:noProof/>
              </w:rPr>
            </w:pPr>
            <w:r>
              <w:rPr>
                <w:noProof/>
              </w:rPr>
              <w:t>II KW.</w:t>
            </w:r>
          </w:p>
        </w:tc>
        <w:tc>
          <w:tcPr>
            <w:tcW w:w="232" w:type="pct"/>
            <w:shd w:val="clear" w:color="auto" w:fill="C6EFCE"/>
            <w:noWrap/>
            <w:vAlign w:val="center"/>
            <w:hideMark/>
          </w:tcPr>
          <w:p w14:paraId="05188C1A" w14:textId="77777777" w:rsidR="004C6421" w:rsidRDefault="009D1962">
            <w:pPr>
              <w:pStyle w:val="P68B1DB1-Normal4"/>
              <w:jc w:val="center"/>
              <w:rPr>
                <w:noProof/>
              </w:rPr>
            </w:pPr>
            <w:r>
              <w:rPr>
                <w:noProof/>
              </w:rPr>
              <w:t>2023</w:t>
            </w:r>
          </w:p>
        </w:tc>
        <w:tc>
          <w:tcPr>
            <w:tcW w:w="1066" w:type="pct"/>
            <w:shd w:val="clear" w:color="auto" w:fill="C6EFCE"/>
            <w:noWrap/>
            <w:vAlign w:val="center"/>
            <w:hideMark/>
          </w:tcPr>
          <w:p w14:paraId="19C3694F" w14:textId="77777777" w:rsidR="004C6421" w:rsidRDefault="009D1962">
            <w:pPr>
              <w:pStyle w:val="P68B1DB1-Normal4"/>
              <w:rPr>
                <w:noProof/>
              </w:rPr>
            </w:pPr>
            <w:r>
              <w:rPr>
                <w:noProof/>
              </w:rPr>
              <w:t>Udzielanie początkowych zamówień na utworzenie dodatkowych miejsc noclegowych (łóżek)”;</w:t>
            </w:r>
          </w:p>
        </w:tc>
      </w:tr>
      <w:tr w:rsidR="004C6421" w14:paraId="1B655425" w14:textId="77777777">
        <w:trPr>
          <w:trHeight w:val="313"/>
          <w:jc w:val="center"/>
        </w:trPr>
        <w:tc>
          <w:tcPr>
            <w:tcW w:w="445" w:type="pct"/>
            <w:shd w:val="clear" w:color="auto" w:fill="C6EFCE"/>
            <w:noWrap/>
            <w:vAlign w:val="center"/>
            <w:hideMark/>
          </w:tcPr>
          <w:p w14:paraId="710F791E" w14:textId="77777777" w:rsidR="004C6421" w:rsidRDefault="009D1962">
            <w:pPr>
              <w:pStyle w:val="P68B1DB1-Normal4"/>
              <w:jc w:val="center"/>
              <w:rPr>
                <w:noProof/>
              </w:rPr>
            </w:pPr>
            <w:r>
              <w:rPr>
                <w:noProof/>
              </w:rPr>
              <w:t>M4C1-29</w:t>
            </w:r>
          </w:p>
        </w:tc>
        <w:tc>
          <w:tcPr>
            <w:tcW w:w="370" w:type="pct"/>
            <w:shd w:val="clear" w:color="auto" w:fill="C6EFCE"/>
            <w:noWrap/>
            <w:vAlign w:val="center"/>
            <w:hideMark/>
          </w:tcPr>
          <w:p w14:paraId="79A654ED" w14:textId="77777777" w:rsidR="004C6421" w:rsidRDefault="009D1962">
            <w:pPr>
              <w:pStyle w:val="P68B1DB1-Normal4"/>
              <w:jc w:val="center"/>
              <w:rPr>
                <w:noProof/>
              </w:rPr>
            </w:pPr>
            <w:r>
              <w:rPr>
                <w:noProof/>
              </w:rPr>
              <w:t>Reforma 1.7: Reforma przepisów dotyczących mieszkalnictwa dla studentów i inwestycje w mieszkalnictwo studenckie</w:t>
            </w:r>
          </w:p>
        </w:tc>
        <w:tc>
          <w:tcPr>
            <w:tcW w:w="463" w:type="pct"/>
            <w:shd w:val="clear" w:color="auto" w:fill="C6EFCE"/>
            <w:noWrap/>
            <w:vAlign w:val="center"/>
            <w:hideMark/>
          </w:tcPr>
          <w:p w14:paraId="7D1510FD" w14:textId="6CC14E35" w:rsidR="004C6421" w:rsidRDefault="00CC179E">
            <w:pPr>
              <w:pStyle w:val="P68B1DB1-Normal4"/>
              <w:jc w:val="center"/>
              <w:rPr>
                <w:noProof/>
              </w:rPr>
            </w:pPr>
            <w:r>
              <w:rPr>
                <w:noProof/>
              </w:rPr>
              <w:t>Milowy</w:t>
            </w:r>
          </w:p>
        </w:tc>
        <w:tc>
          <w:tcPr>
            <w:tcW w:w="556" w:type="pct"/>
            <w:shd w:val="clear" w:color="auto" w:fill="C6EFCE"/>
            <w:noWrap/>
            <w:vAlign w:val="center"/>
            <w:hideMark/>
          </w:tcPr>
          <w:p w14:paraId="2C39B4B8" w14:textId="77777777" w:rsidR="004C6421" w:rsidRDefault="009D1962">
            <w:pPr>
              <w:pStyle w:val="P68B1DB1-Normal4"/>
              <w:jc w:val="center"/>
              <w:rPr>
                <w:noProof/>
              </w:rPr>
            </w:pPr>
            <w:r>
              <w:rPr>
                <w:noProof/>
              </w:rPr>
              <w:t>Wejście w życie reformy przepisów dotyczących mieszkalnictwa studenckiego.</w:t>
            </w:r>
          </w:p>
        </w:tc>
        <w:tc>
          <w:tcPr>
            <w:tcW w:w="552" w:type="pct"/>
            <w:shd w:val="clear" w:color="auto" w:fill="C6EFCE"/>
            <w:noWrap/>
            <w:vAlign w:val="center"/>
            <w:hideMark/>
          </w:tcPr>
          <w:p w14:paraId="3CD6C598" w14:textId="77777777" w:rsidR="004C6421" w:rsidRDefault="009D1962">
            <w:pPr>
              <w:pStyle w:val="P68B1DB1-Normal4"/>
              <w:jc w:val="center"/>
              <w:rPr>
                <w:noProof/>
              </w:rPr>
            </w:pPr>
            <w:r>
              <w:rPr>
                <w:noProof/>
              </w:rPr>
              <w:t>Przepis ustawy wskazujący na wejście w życie reformy. NIE DOT.</w:t>
            </w:r>
          </w:p>
        </w:tc>
        <w:tc>
          <w:tcPr>
            <w:tcW w:w="375" w:type="pct"/>
            <w:shd w:val="clear" w:color="auto" w:fill="C6EFCE"/>
            <w:noWrap/>
            <w:vAlign w:val="center"/>
            <w:hideMark/>
          </w:tcPr>
          <w:p w14:paraId="16672E64" w14:textId="77777777" w:rsidR="004C6421" w:rsidRDefault="009D1962">
            <w:pPr>
              <w:pStyle w:val="P68B1DB1-Normal4"/>
              <w:jc w:val="center"/>
              <w:rPr>
                <w:noProof/>
              </w:rPr>
            </w:pPr>
            <w:r>
              <w:rPr>
                <w:noProof/>
              </w:rPr>
              <w:t>NIE DOT.</w:t>
            </w:r>
          </w:p>
        </w:tc>
        <w:tc>
          <w:tcPr>
            <w:tcW w:w="370" w:type="pct"/>
            <w:shd w:val="clear" w:color="auto" w:fill="C6EFCE"/>
            <w:noWrap/>
            <w:vAlign w:val="center"/>
            <w:hideMark/>
          </w:tcPr>
          <w:p w14:paraId="0F6B6176" w14:textId="77777777" w:rsidR="004C6421" w:rsidRDefault="009D1962">
            <w:pPr>
              <w:pStyle w:val="P68B1DB1-Normal4"/>
              <w:jc w:val="center"/>
              <w:rPr>
                <w:noProof/>
              </w:rPr>
            </w:pPr>
            <w:r>
              <w:rPr>
                <w:noProof/>
              </w:rPr>
              <w:t>NIE DOT.</w:t>
            </w:r>
          </w:p>
        </w:tc>
        <w:tc>
          <w:tcPr>
            <w:tcW w:w="277" w:type="pct"/>
            <w:shd w:val="clear" w:color="auto" w:fill="C6EFCE"/>
            <w:noWrap/>
            <w:vAlign w:val="center"/>
            <w:hideMark/>
          </w:tcPr>
          <w:p w14:paraId="2586A903" w14:textId="77777777" w:rsidR="004C6421" w:rsidRDefault="009D1962">
            <w:pPr>
              <w:pStyle w:val="P68B1DB1-Normal4"/>
              <w:jc w:val="center"/>
              <w:rPr>
                <w:noProof/>
              </w:rPr>
            </w:pPr>
            <w:r>
              <w:rPr>
                <w:noProof/>
              </w:rPr>
              <w:t>NIE DOT.</w:t>
            </w:r>
          </w:p>
        </w:tc>
        <w:tc>
          <w:tcPr>
            <w:tcW w:w="294" w:type="pct"/>
            <w:shd w:val="clear" w:color="auto" w:fill="C6EFCE"/>
            <w:noWrap/>
            <w:vAlign w:val="center"/>
            <w:hideMark/>
          </w:tcPr>
          <w:p w14:paraId="3A0E93F5" w14:textId="4EE24B21" w:rsidR="004C6421" w:rsidRDefault="00CC179E">
            <w:pPr>
              <w:pStyle w:val="P68B1DB1-Normal4"/>
              <w:jc w:val="center"/>
              <w:rPr>
                <w:noProof/>
              </w:rPr>
            </w:pPr>
            <w:r>
              <w:rPr>
                <w:noProof/>
              </w:rPr>
              <w:t>KW. 4</w:t>
            </w:r>
          </w:p>
        </w:tc>
        <w:tc>
          <w:tcPr>
            <w:tcW w:w="232" w:type="pct"/>
            <w:shd w:val="clear" w:color="auto" w:fill="C6EFCE"/>
            <w:noWrap/>
            <w:vAlign w:val="center"/>
            <w:hideMark/>
          </w:tcPr>
          <w:p w14:paraId="5C4EFCDD" w14:textId="77777777" w:rsidR="004C6421" w:rsidRDefault="009D1962">
            <w:pPr>
              <w:pStyle w:val="P68B1DB1-Normal4"/>
              <w:jc w:val="center"/>
              <w:rPr>
                <w:noProof/>
              </w:rPr>
            </w:pPr>
            <w:r>
              <w:rPr>
                <w:noProof/>
              </w:rPr>
              <w:t>2022</w:t>
            </w:r>
          </w:p>
        </w:tc>
        <w:tc>
          <w:tcPr>
            <w:tcW w:w="1066" w:type="pct"/>
            <w:shd w:val="clear" w:color="auto" w:fill="C6EFCE"/>
            <w:noWrap/>
            <w:vAlign w:val="center"/>
            <w:hideMark/>
          </w:tcPr>
          <w:p w14:paraId="5D478279" w14:textId="77777777" w:rsidR="004C6421" w:rsidRDefault="009D1962">
            <w:pPr>
              <w:pStyle w:val="P68B1DB1-Normal4"/>
              <w:rPr>
                <w:noProof/>
              </w:rPr>
            </w:pPr>
            <w:r>
              <w:rPr>
                <w:noProof/>
              </w:rPr>
              <w:t>Reforma obejmuje: 1) otwarcie udziału w finansowaniu również dla inwestorów prywatnych, a także umożliwienie partnerstw publiczno-prywatnych, w których uniwersytet wykorzysta dostępne środki w celu wspierania równowagi finansowej w inwestycjach w nieruchomości w mieszkalnictwo studenckie; (2). Zapewnienie długoterminowej stabilności inwestycji prywatnych poprzez zagwarantowanie zmiany systemu opodatkowania z systemu stosowanego do usług hotelowych na system mający zastosowanie do mieszkalnictwa socjalnego, poprzez ograniczenie korzystania z nowych lokali mieszkalnych dla studentów podczas Roku Akademickiego, przy jednoczesnym umożliwieniu korzystania ze struktur, gdy nie są one potrzebne do gościnności studenckiej; (3). Uzależnienie finansowania oraz dodatkowych ulg podatkowych (takich jak równe traktowanie z mieszkalnictwem socjalnym) od wykorzystania nowych lokali mieszkalnych dla studentów w całym horyzoncie inwestycyjnym oraz zgodności z ustaloną górną granicą czynszów pobieranych od studentów nawet po wygaśnięciu specjalnych programów finansowania, które przyczyniają się do uruchomienia inwestycji przez podmioty prywatne; (4). Ponowne określenie norm dotyczących zakwaterowania dla studentów poprzez ponowne określenie wymogów prawnych dotyczących wspólnej przestrzeni dostępnej w budynkach na ucznia w zamian za lepiej wyposażone (pojedyncze) pomieszczenia.</w:t>
            </w:r>
          </w:p>
        </w:tc>
      </w:tr>
      <w:tr w:rsidR="004C6421" w14:paraId="5DAE5A60" w14:textId="77777777">
        <w:trPr>
          <w:trHeight w:val="313"/>
          <w:jc w:val="center"/>
        </w:trPr>
        <w:tc>
          <w:tcPr>
            <w:tcW w:w="445" w:type="pct"/>
            <w:shd w:val="clear" w:color="auto" w:fill="C6EFCE"/>
            <w:noWrap/>
            <w:vAlign w:val="center"/>
            <w:hideMark/>
          </w:tcPr>
          <w:p w14:paraId="1959D068" w14:textId="77777777" w:rsidR="004C6421" w:rsidRDefault="009D1962">
            <w:pPr>
              <w:pStyle w:val="P68B1DB1-Normal4"/>
              <w:jc w:val="center"/>
              <w:rPr>
                <w:noProof/>
              </w:rPr>
            </w:pPr>
            <w:r>
              <w:rPr>
                <w:noProof/>
              </w:rPr>
              <w:t>M4C1-30</w:t>
            </w:r>
          </w:p>
        </w:tc>
        <w:tc>
          <w:tcPr>
            <w:tcW w:w="370" w:type="pct"/>
            <w:shd w:val="clear" w:color="auto" w:fill="C6EFCE"/>
            <w:noWrap/>
            <w:vAlign w:val="center"/>
            <w:hideMark/>
          </w:tcPr>
          <w:p w14:paraId="259CEBC4" w14:textId="77777777" w:rsidR="004C6421" w:rsidRDefault="009D1962">
            <w:pPr>
              <w:pStyle w:val="P68B1DB1-Normal4"/>
              <w:jc w:val="center"/>
              <w:rPr>
                <w:noProof/>
              </w:rPr>
            </w:pPr>
            <w:r>
              <w:rPr>
                <w:noProof/>
              </w:rPr>
              <w:t>Reforma 1.7: Reforma przepisów dotyczących mieszkalnictwa dla studentów i inwestycje w mieszkalnictwo studenckie</w:t>
            </w:r>
          </w:p>
        </w:tc>
        <w:tc>
          <w:tcPr>
            <w:tcW w:w="463" w:type="pct"/>
            <w:shd w:val="clear" w:color="auto" w:fill="C6EFCE"/>
            <w:noWrap/>
            <w:vAlign w:val="center"/>
            <w:hideMark/>
          </w:tcPr>
          <w:p w14:paraId="100D8AB5" w14:textId="77777777" w:rsidR="004C6421" w:rsidRDefault="009D1962">
            <w:pPr>
              <w:pStyle w:val="P68B1DB1-Normal4"/>
              <w:jc w:val="center"/>
              <w:rPr>
                <w:noProof/>
              </w:rPr>
            </w:pPr>
            <w:r>
              <w:rPr>
                <w:noProof/>
              </w:rPr>
              <w:t>Cel</w:t>
            </w:r>
          </w:p>
        </w:tc>
        <w:tc>
          <w:tcPr>
            <w:tcW w:w="556" w:type="pct"/>
            <w:shd w:val="clear" w:color="auto" w:fill="C6EFCE"/>
            <w:noWrap/>
            <w:vAlign w:val="center"/>
            <w:hideMark/>
          </w:tcPr>
          <w:p w14:paraId="728F06AF" w14:textId="77777777" w:rsidR="004C6421" w:rsidRDefault="009D1962">
            <w:pPr>
              <w:pStyle w:val="P68B1DB1-Normal4"/>
              <w:jc w:val="center"/>
              <w:rPr>
                <w:noProof/>
              </w:rPr>
            </w:pPr>
            <w:r>
              <w:rPr>
                <w:noProof/>
              </w:rPr>
              <w:t>Utworzone lokale noclegowe dla studentów zgodnie z odpowiednimi przepisami</w:t>
            </w:r>
          </w:p>
        </w:tc>
        <w:tc>
          <w:tcPr>
            <w:tcW w:w="552" w:type="pct"/>
            <w:shd w:val="clear" w:color="auto" w:fill="C6EFCE"/>
            <w:noWrap/>
            <w:vAlign w:val="center"/>
            <w:hideMark/>
          </w:tcPr>
          <w:p w14:paraId="74006BF8" w14:textId="77777777" w:rsidR="004C6421" w:rsidRDefault="009D1962">
            <w:pPr>
              <w:pStyle w:val="P68B1DB1-Normal4"/>
              <w:jc w:val="center"/>
              <w:rPr>
                <w:noProof/>
              </w:rPr>
            </w:pPr>
            <w:r>
              <w:rPr>
                <w:noProof/>
              </w:rPr>
              <w:t>NIE DOT.</w:t>
            </w:r>
          </w:p>
        </w:tc>
        <w:tc>
          <w:tcPr>
            <w:tcW w:w="375" w:type="pct"/>
            <w:shd w:val="clear" w:color="auto" w:fill="C6EFCE"/>
            <w:noWrap/>
            <w:vAlign w:val="center"/>
            <w:hideMark/>
          </w:tcPr>
          <w:p w14:paraId="4F3B07CC" w14:textId="77777777" w:rsidR="004C6421" w:rsidRDefault="009D1962">
            <w:pPr>
              <w:pStyle w:val="P68B1DB1-Normal4"/>
              <w:jc w:val="center"/>
              <w:rPr>
                <w:noProof/>
              </w:rPr>
            </w:pPr>
            <w:r>
              <w:rPr>
                <w:noProof/>
              </w:rPr>
              <w:t>Numer</w:t>
            </w:r>
          </w:p>
        </w:tc>
        <w:tc>
          <w:tcPr>
            <w:tcW w:w="370" w:type="pct"/>
            <w:shd w:val="clear" w:color="auto" w:fill="C6EFCE"/>
            <w:noWrap/>
            <w:vAlign w:val="center"/>
            <w:hideMark/>
          </w:tcPr>
          <w:p w14:paraId="26A6FCF2" w14:textId="77777777" w:rsidR="004C6421" w:rsidRDefault="009D1962">
            <w:pPr>
              <w:pStyle w:val="P68B1DB1-Normal4"/>
              <w:jc w:val="center"/>
              <w:rPr>
                <w:noProof/>
              </w:rPr>
            </w:pPr>
            <w:r>
              <w:rPr>
                <w:noProof/>
              </w:rPr>
              <w:t>0</w:t>
            </w:r>
          </w:p>
        </w:tc>
        <w:tc>
          <w:tcPr>
            <w:tcW w:w="277" w:type="pct"/>
            <w:shd w:val="clear" w:color="auto" w:fill="C6EFCE"/>
            <w:noWrap/>
            <w:vAlign w:val="center"/>
            <w:hideMark/>
          </w:tcPr>
          <w:p w14:paraId="6F428F9A" w14:textId="27072BB6" w:rsidR="004C6421" w:rsidRDefault="009D1962">
            <w:pPr>
              <w:jc w:val="center"/>
              <w:rPr>
                <w:rFonts w:ascii="Arial Narrow" w:hAnsi="Arial Narrow"/>
                <w:noProof/>
                <w:color w:val="006100"/>
                <w:sz w:val="20"/>
              </w:rPr>
            </w:pPr>
            <w:r>
              <w:rPr>
                <w:rFonts w:ascii="Arial Narrow" w:hAnsi="Arial Narrow"/>
                <w:noProof/>
                <w:color w:val="006100"/>
                <w:sz w:val="20"/>
              </w:rPr>
              <w:t>60</w:t>
            </w:r>
            <w:r>
              <w:rPr>
                <w:noProof/>
                <w:sz w:val="23"/>
              </w:rPr>
              <w:t xml:space="preserve"> </w:t>
            </w:r>
            <w:r>
              <w:rPr>
                <w:rFonts w:ascii="Arial Narrow" w:hAnsi="Arial Narrow"/>
                <w:noProof/>
                <w:color w:val="006100"/>
                <w:sz w:val="20"/>
              </w:rPr>
              <w:t>000</w:t>
            </w:r>
          </w:p>
        </w:tc>
        <w:tc>
          <w:tcPr>
            <w:tcW w:w="294" w:type="pct"/>
            <w:shd w:val="clear" w:color="auto" w:fill="C6EFCE"/>
            <w:noWrap/>
            <w:vAlign w:val="center"/>
            <w:hideMark/>
          </w:tcPr>
          <w:p w14:paraId="678BEFEB" w14:textId="77777777" w:rsidR="004C6421" w:rsidRDefault="009D1962">
            <w:pPr>
              <w:pStyle w:val="P68B1DB1-Normal4"/>
              <w:jc w:val="center"/>
              <w:rPr>
                <w:noProof/>
              </w:rPr>
            </w:pPr>
            <w:r>
              <w:rPr>
                <w:noProof/>
              </w:rPr>
              <w:t>II KW.</w:t>
            </w:r>
          </w:p>
        </w:tc>
        <w:tc>
          <w:tcPr>
            <w:tcW w:w="232" w:type="pct"/>
            <w:shd w:val="clear" w:color="auto" w:fill="C6EFCE"/>
            <w:noWrap/>
            <w:vAlign w:val="center"/>
            <w:hideMark/>
          </w:tcPr>
          <w:p w14:paraId="7E7FF6A4" w14:textId="77777777" w:rsidR="004C6421" w:rsidRDefault="009D1962">
            <w:pPr>
              <w:pStyle w:val="P68B1DB1-Normal4"/>
              <w:jc w:val="center"/>
              <w:rPr>
                <w:noProof/>
              </w:rPr>
            </w:pPr>
            <w:r>
              <w:rPr>
                <w:noProof/>
              </w:rPr>
              <w:t>2026</w:t>
            </w:r>
          </w:p>
        </w:tc>
        <w:tc>
          <w:tcPr>
            <w:tcW w:w="1066" w:type="pct"/>
            <w:shd w:val="clear" w:color="auto" w:fill="C6EFCE"/>
            <w:noWrap/>
            <w:vAlign w:val="center"/>
            <w:hideMark/>
          </w:tcPr>
          <w:p w14:paraId="0E25DD7A" w14:textId="24334FB6" w:rsidR="004C6421" w:rsidRDefault="009D1962">
            <w:pPr>
              <w:pStyle w:val="paragraph"/>
              <w:spacing w:before="0" w:beforeAutospacing="0" w:after="0" w:afterAutospacing="0"/>
              <w:textAlignment w:val="baseline"/>
              <w:rPr>
                <w:rFonts w:ascii="Arial Narrow" w:hAnsi="Arial Narrow" w:cs="Segoe UI"/>
                <w:noProof/>
                <w:sz w:val="20"/>
              </w:rPr>
            </w:pPr>
            <w:r>
              <w:rPr>
                <w:rStyle w:val="normaltextrun"/>
                <w:rFonts w:ascii="Arial Narrow" w:hAnsi="Arial Narrow"/>
                <w:noProof/>
                <w:color w:val="006100"/>
                <w:sz w:val="20"/>
              </w:rPr>
              <w:t>Co najmniej 60000</w:t>
            </w:r>
            <w:r>
              <w:rPr>
                <w:noProof/>
                <w:sz w:val="23"/>
              </w:rPr>
              <w:t xml:space="preserve"> </w:t>
            </w:r>
            <w:r>
              <w:rPr>
                <w:rStyle w:val="normaltextrun"/>
                <w:rFonts w:ascii="Arial Narrow" w:hAnsi="Arial Narrow"/>
                <w:noProof/>
                <w:color w:val="006100"/>
                <w:sz w:val="20"/>
              </w:rPr>
              <w:t xml:space="preserve">dodatkowych pomieszczeń noclegowych (łóżek) utworzonych zgodnie z odpowiednimi przepisami, w tym ustawą nr 338/2000 zmienioną w sierpniu 2022 r. oraz nowym systemem legislacyjnym przyjętym w ramach kamienia milowego M4C1-29, Reforma 1.7: Reforma przepisów dotyczących mieszkalnictwa dla studentów i inwestycje w mieszkalnictwo studenckie </w:t>
            </w:r>
          </w:p>
        </w:tc>
      </w:tr>
    </w:tbl>
    <w:p w14:paraId="04CDF28A" w14:textId="77777777" w:rsidR="004C6421" w:rsidRDefault="004C6421">
      <w:pPr>
        <w:spacing w:before="120" w:after="120"/>
        <w:ind w:left="709"/>
        <w:jc w:val="both"/>
        <w:rPr>
          <w:b/>
          <w:noProof/>
        </w:rPr>
        <w:sectPr w:rsidR="004C6421" w:rsidSect="00797973">
          <w:headerReference w:type="even" r:id="rId272"/>
          <w:headerReference w:type="default" r:id="rId273"/>
          <w:footerReference w:type="even" r:id="rId274"/>
          <w:footerReference w:type="default" r:id="rId275"/>
          <w:headerReference w:type="first" r:id="rId276"/>
          <w:footerReference w:type="first" r:id="rId277"/>
          <w:pgSz w:w="16839" w:h="11907" w:orient="landscape"/>
          <w:pgMar w:top="1134" w:right="1134" w:bottom="1134" w:left="1134" w:header="567" w:footer="567" w:gutter="0"/>
          <w:cols w:space="720"/>
          <w:docGrid w:linePitch="360"/>
        </w:sectPr>
      </w:pPr>
    </w:p>
    <w:p w14:paraId="6BDE4D8E" w14:textId="77777777" w:rsidR="004C6421" w:rsidRDefault="009D1962">
      <w:pPr>
        <w:pStyle w:val="Heading2"/>
        <w:numPr>
          <w:ilvl w:val="0"/>
          <w:numId w:val="0"/>
        </w:numPr>
        <w:rPr>
          <w:noProof/>
        </w:rPr>
      </w:pPr>
      <w:r>
        <w:rPr>
          <w:noProof/>
        </w:rPr>
        <w:t xml:space="preserve">K. ZADANIE 4 – KOMPONENT 2: </w:t>
      </w:r>
      <w:r>
        <w:rPr>
          <w:noProof/>
          <w:u w:val="single"/>
        </w:rPr>
        <w:t>Od badań naukowych do przedsiębiorstw</w:t>
      </w:r>
    </w:p>
    <w:p w14:paraId="4A522DFB" w14:textId="77777777" w:rsidR="004C6421" w:rsidRDefault="009D1962">
      <w:pPr>
        <w:spacing w:before="120" w:after="120"/>
        <w:jc w:val="both"/>
        <w:rPr>
          <w:rFonts w:eastAsia="Calibri"/>
          <w:noProof/>
        </w:rPr>
      </w:pPr>
      <w:r>
        <w:rPr>
          <w:noProof/>
        </w:rPr>
        <w:t>Ten element włoskiego planu odbudowy i zwiększania odporności ma na celu wspieranie inwestycji w badania naukowe i innowacje, promowanie innowacji i rozpowszechniania technologii, wzmacnianie umiejętności oraz wspieranie przejścia na gospodarkę opartą na wiedzy. Zapewnia on wsparcie na rzecz publicznego systemu badań naukowych, umiejętności i mobilności naukowców, a także współpracy publiczno-prywatnej na szczeblu krajowym i unijnym. Opiera się on na trzech głównych filarach:  poprawa bazy naukowej; silne powiązania między przedsiębiorstwami a nauką (transfer wiedzy i technologii; (III) wspieranie innowacji w przedsiębiorstwach (zwłaszcza MŚP, przedsiębiorstw typu start-up).</w:t>
      </w:r>
    </w:p>
    <w:p w14:paraId="4DBAD784" w14:textId="77777777" w:rsidR="004C6421" w:rsidRDefault="009D1962">
      <w:pPr>
        <w:spacing w:before="120" w:after="120"/>
        <w:jc w:val="both"/>
        <w:rPr>
          <w:noProof/>
        </w:rPr>
      </w:pPr>
      <w:r>
        <w:rPr>
          <w:noProof/>
        </w:rPr>
        <w:t xml:space="preserve">Inwestycje i reformy w ramach tego komponentu przyczyniają się do realizacji zaleceń dla poszczególnych krajów skierowanych do Włoch w latach 2020 i 2019 dotyczących potrzeby „koncentrowania polityki gospodarczej związanej z inwestycjami na badaniach naukowych i innowacjach oraz na jakości infrastruktury” (zalecenie dla poszczególnych krajów 3, 2019 r.), „promowanie inwestycji prywatnych w celu wspierania ożywienia gospodarczego” (zalecenie dla poszczególnych krajów nr 3, 2020), „koncentrowanie inwestycji na transformacji ekologicznej i cyfrowej, w szczególności na badania naukowe i innowacje” (zalecenie dla poszczególnych krajów nr 3, 2020). </w:t>
      </w:r>
    </w:p>
    <w:p w14:paraId="13EABAEC" w14:textId="77777777" w:rsidR="004C6421" w:rsidRDefault="009D1962">
      <w:pPr>
        <w:pStyle w:val="Heading3"/>
        <w:numPr>
          <w:ilvl w:val="0"/>
          <w:numId w:val="0"/>
        </w:numPr>
        <w:ind w:left="850" w:hanging="850"/>
        <w:rPr>
          <w:b/>
          <w:i w:val="0"/>
          <w:noProof/>
          <w:u w:val="single"/>
        </w:rPr>
      </w:pPr>
      <w:r>
        <w:rPr>
          <w:b/>
          <w:i w:val="0"/>
          <w:noProof/>
          <w:u w:val="single"/>
        </w:rPr>
        <w:t xml:space="preserve">K.1. </w:t>
      </w:r>
      <w:r>
        <w:rPr>
          <w:noProof/>
        </w:rPr>
        <w:t xml:space="preserve"> </w:t>
      </w:r>
      <w:r>
        <w:rPr>
          <w:b/>
          <w:i w:val="0"/>
          <w:noProof/>
          <w:u w:val="single"/>
        </w:rPr>
        <w:t>Opis reform i inwestycji, które mają być finansowane z bezzwrotnego wsparcia finansowego</w:t>
      </w:r>
    </w:p>
    <w:p w14:paraId="2F11ACA7" w14:textId="77777777" w:rsidR="004C6421" w:rsidRDefault="009D1962">
      <w:pPr>
        <w:pStyle w:val="P68B1DB1-Normal2"/>
        <w:spacing w:before="120" w:after="120"/>
        <w:jc w:val="both"/>
        <w:rPr>
          <w:noProof/>
        </w:rPr>
      </w:pPr>
      <w:r>
        <w:rPr>
          <w:noProof/>
        </w:rPr>
        <w:t>Inwestycje 1.2: Finansowanie projektów przedstawianych przez młodych naukowców</w:t>
      </w:r>
    </w:p>
    <w:p w14:paraId="54194FFE" w14:textId="77777777" w:rsidR="004C6421" w:rsidRDefault="009D1962">
      <w:pPr>
        <w:spacing w:after="120"/>
        <w:jc w:val="both"/>
        <w:rPr>
          <w:noProof/>
        </w:rPr>
      </w:pPr>
      <w:r>
        <w:rPr>
          <w:noProof/>
        </w:rPr>
        <w:t>Celem inwestycji jest zapewnienie młodym naukowcom nowych możliwości utrzymania ich we Włoszech. Środek wspiera działalność badawczą co najmniej 850 młodych naukowców, na wzór programów takich jak Europejska Rada ds. Badań Naukowych (ERBN) i stypendia indywidualne „Maria Skłodowska-Curie” (MSCA-IF), pieczęć doskonałości i międzynarodowych naukowców podoktorskich, aby umożliwić im zdobycie wstępnego doświadczenia w zakresie odpowiedzialności za badania. Część wkładu przyznanego naukowcom ERBN przeznacza się na rekrutację co najmniej jednego naukowca niebędącego naukowcem odbywającym staż pracy.</w:t>
      </w:r>
    </w:p>
    <w:p w14:paraId="6A1EAE7E" w14:textId="77777777" w:rsidR="004C6421" w:rsidRDefault="009D1962">
      <w:pPr>
        <w:spacing w:after="120"/>
        <w:jc w:val="both"/>
        <w:rPr>
          <w:rFonts w:eastAsia="Calibri"/>
          <w:noProof/>
        </w:rPr>
      </w:pPr>
      <w:r>
        <w:rPr>
          <w:noProof/>
        </w:rPr>
        <w:t>Aby zapewnić zgodność środka z wytycznymi technicznymi zasady „nie czyń poważnych szkód” (2021/C58/01), kryteria kwalifikowalności zawarte w zakresie wymagań i obowiązków w odniesieniu do przyszłych zaproszeń do składania projektów wykluczają następujący wykaz działań: (i) działalności związanej z paliwami kopalnymi, w tym wykorzystania niższego szczebla</w:t>
      </w:r>
      <w:r>
        <w:rPr>
          <w:rStyle w:val="FootnoteReference"/>
          <w:noProof/>
        </w:rPr>
        <w:footnoteReference w:id="67"/>
      </w:r>
      <w:r>
        <w:rPr>
          <w:noProof/>
        </w:rPr>
        <w:t>; (II) działania w ramach unijnego systemu handlu uprawnieniami do emisji (ETS) prowadzące do osiągnięcia prognozowanych emisji gazów cieplarnianych, które nie są niższe niż odpowiednie wskaźniki referencyjne</w:t>
      </w:r>
      <w:r>
        <w:rPr>
          <w:rStyle w:val="FootnoteReference"/>
          <w:noProof/>
        </w:rPr>
        <w:footnoteReference w:id="68"/>
      </w:r>
      <w:r>
        <w:rPr>
          <w:noProof/>
        </w:rPr>
        <w:t>; (III) działania związane ze składowiskami odpadów, spalarniami</w:t>
      </w:r>
      <w:r>
        <w:rPr>
          <w:rStyle w:val="FootnoteReference"/>
          <w:noProof/>
        </w:rPr>
        <w:footnoteReference w:id="69"/>
      </w:r>
      <w:r>
        <w:rPr>
          <w:noProof/>
        </w:rPr>
        <w:t xml:space="preserve"> i zakładami mechaniczno-biologicznego przetwarzania odpadów</w:t>
      </w:r>
      <w:r>
        <w:rPr>
          <w:rStyle w:val="FootnoteReference"/>
          <w:noProof/>
        </w:rPr>
        <w:footnoteReference w:id="70"/>
      </w:r>
      <w:r>
        <w:rPr>
          <w:noProof/>
        </w:rPr>
        <w:t>; oraz (iv) działań, w przypadku których długoterminowe unieszkodliwianie odpadów może szkodzić środowisku naturalnemu. Ponadto w zakresie wymagań i obowiązków wymaga się, aby do wyboru kwalifikowały się wyłącznie działania zgodne z odpowiednimi przepisami unijnymi i krajowymi w zakresie ochrony środowiska.</w:t>
      </w:r>
    </w:p>
    <w:p w14:paraId="36191534" w14:textId="77777777" w:rsidR="004C6421" w:rsidRDefault="004C6421">
      <w:pPr>
        <w:spacing w:before="120" w:after="120"/>
        <w:jc w:val="both"/>
        <w:rPr>
          <w:rFonts w:eastAsia="Calibri"/>
          <w:noProof/>
        </w:rPr>
      </w:pPr>
    </w:p>
    <w:p w14:paraId="7B4F4846" w14:textId="77777777" w:rsidR="004C6421" w:rsidRDefault="009D1962">
      <w:pPr>
        <w:pStyle w:val="P68B1DB1-Normal2"/>
        <w:spacing w:before="120" w:after="120" w:line="257" w:lineRule="auto"/>
        <w:ind w:left="-680" w:firstLine="709"/>
        <w:jc w:val="both"/>
        <w:rPr>
          <w:i/>
          <w:noProof/>
          <w:u w:val="single"/>
        </w:rPr>
      </w:pPr>
      <w:r>
        <w:rPr>
          <w:noProof/>
        </w:rPr>
        <w:t>Inwestycja 2.2a: Umowy w sprawie innowacji</w:t>
      </w:r>
    </w:p>
    <w:p w14:paraId="2B94A436" w14:textId="77777777" w:rsidR="004C6421" w:rsidRDefault="009D1962">
      <w:pPr>
        <w:jc w:val="both"/>
        <w:rPr>
          <w:noProof/>
        </w:rPr>
      </w:pPr>
      <w:r>
        <w:rPr>
          <w:noProof/>
        </w:rPr>
        <w:t xml:space="preserve">Inwestycja ma na celu finansowanie projektów w zakresie badań naukowych, rozwoju i innowacji (tzw. „umowy w sprawie innowacji”) w celu wspierania tworzenia nowych produktów, procesów lub usług lub ulepszania istniejących produktów, procesów lub usług poprzez rozwój kluczowych technologii prorozwojowych w obszarach spójnych z II filarem programu „Horyzont Europa”, zgodnie z rozporządzeniem (UE) 2021/695. </w:t>
      </w:r>
    </w:p>
    <w:p w14:paraId="006C6BFC" w14:textId="77777777" w:rsidR="004C6421" w:rsidRDefault="004C6421">
      <w:pPr>
        <w:jc w:val="both"/>
        <w:rPr>
          <w:noProof/>
        </w:rPr>
      </w:pPr>
    </w:p>
    <w:p w14:paraId="5A775725" w14:textId="77777777" w:rsidR="004C6421" w:rsidRDefault="009D1962">
      <w:pPr>
        <w:jc w:val="both"/>
        <w:rPr>
          <w:noProof/>
        </w:rPr>
      </w:pPr>
      <w:r>
        <w:rPr>
          <w:noProof/>
        </w:rPr>
        <w:t xml:space="preserve">Beneficjentami projektu są przedsiębiorstwa, stowarzyszenia przedsiębiorstw lub organizacje badawcze, które realizują umowę w sprawie innowacji w jednym z następujących obszarów interwencji: </w:t>
      </w:r>
    </w:p>
    <w:p w14:paraId="2F5713EA" w14:textId="77777777" w:rsidR="004C6421" w:rsidRDefault="009D1962">
      <w:pPr>
        <w:pStyle w:val="ListParagraph"/>
        <w:numPr>
          <w:ilvl w:val="0"/>
          <w:numId w:val="142"/>
        </w:numPr>
        <w:rPr>
          <w:noProof/>
        </w:rPr>
      </w:pPr>
      <w:r>
        <w:rPr>
          <w:noProof/>
        </w:rPr>
        <w:t xml:space="preserve">technologie produkcyjne; </w:t>
      </w:r>
    </w:p>
    <w:p w14:paraId="3AA3C569" w14:textId="77777777" w:rsidR="004C6421" w:rsidRDefault="009D1962">
      <w:pPr>
        <w:pStyle w:val="ListParagraph"/>
        <w:numPr>
          <w:ilvl w:val="0"/>
          <w:numId w:val="142"/>
        </w:numPr>
        <w:rPr>
          <w:noProof/>
        </w:rPr>
      </w:pPr>
      <w:r>
        <w:rPr>
          <w:noProof/>
        </w:rPr>
        <w:t>główne technologie cyfrowe, w tym technologie kwantowe;</w:t>
      </w:r>
    </w:p>
    <w:p w14:paraId="37D918F9" w14:textId="77777777" w:rsidR="004C6421" w:rsidRDefault="009D1962">
      <w:pPr>
        <w:pStyle w:val="ListParagraph"/>
        <w:numPr>
          <w:ilvl w:val="0"/>
          <w:numId w:val="142"/>
        </w:numPr>
        <w:rPr>
          <w:noProof/>
        </w:rPr>
      </w:pPr>
      <w:r>
        <w:rPr>
          <w:noProof/>
        </w:rPr>
        <w:t xml:space="preserve">nowe technologie prorozwojowe; </w:t>
      </w:r>
    </w:p>
    <w:p w14:paraId="1E9FDB68" w14:textId="77777777" w:rsidR="004C6421" w:rsidRDefault="009D1962">
      <w:pPr>
        <w:pStyle w:val="ListParagraph"/>
        <w:numPr>
          <w:ilvl w:val="0"/>
          <w:numId w:val="142"/>
        </w:numPr>
        <w:rPr>
          <w:noProof/>
        </w:rPr>
      </w:pPr>
      <w:r>
        <w:rPr>
          <w:noProof/>
        </w:rPr>
        <w:t>materiały zaawansowane;</w:t>
      </w:r>
    </w:p>
    <w:p w14:paraId="75B0DB2D" w14:textId="77777777" w:rsidR="004C6421" w:rsidRDefault="009D1962">
      <w:pPr>
        <w:pStyle w:val="ListParagraph"/>
        <w:numPr>
          <w:ilvl w:val="0"/>
          <w:numId w:val="142"/>
        </w:numPr>
        <w:rPr>
          <w:noProof/>
        </w:rPr>
      </w:pPr>
      <w:r>
        <w:rPr>
          <w:noProof/>
        </w:rPr>
        <w:t xml:space="preserve">sztuczna inteligencja i robotyka; </w:t>
      </w:r>
    </w:p>
    <w:p w14:paraId="1CD5489B" w14:textId="77777777" w:rsidR="004C6421" w:rsidRDefault="009D1962">
      <w:pPr>
        <w:pStyle w:val="ListParagraph"/>
        <w:numPr>
          <w:ilvl w:val="0"/>
          <w:numId w:val="142"/>
        </w:numPr>
        <w:rPr>
          <w:noProof/>
        </w:rPr>
      </w:pPr>
      <w:r>
        <w:rPr>
          <w:noProof/>
        </w:rPr>
        <w:t xml:space="preserve">gałęzie przemysłu o obiegu zamkniętym; </w:t>
      </w:r>
    </w:p>
    <w:p w14:paraId="3D4F3481" w14:textId="77777777" w:rsidR="004C6421" w:rsidRDefault="009D1962">
      <w:pPr>
        <w:pStyle w:val="ListParagraph"/>
        <w:numPr>
          <w:ilvl w:val="0"/>
          <w:numId w:val="142"/>
        </w:numPr>
        <w:rPr>
          <w:noProof/>
        </w:rPr>
      </w:pPr>
      <w:r>
        <w:rPr>
          <w:noProof/>
        </w:rPr>
        <w:t xml:space="preserve">niskoemisyjne i ekologiczne sektory przemysłu; </w:t>
      </w:r>
    </w:p>
    <w:p w14:paraId="229E1CAB" w14:textId="77777777" w:rsidR="004C6421" w:rsidRDefault="009D1962">
      <w:pPr>
        <w:pStyle w:val="ListParagraph"/>
        <w:numPr>
          <w:ilvl w:val="0"/>
          <w:numId w:val="142"/>
        </w:numPr>
        <w:rPr>
          <w:noProof/>
        </w:rPr>
      </w:pPr>
      <w:r>
        <w:rPr>
          <w:noProof/>
        </w:rPr>
        <w:t>choroby niezakaźne i rzadkie;</w:t>
      </w:r>
    </w:p>
    <w:p w14:paraId="26BEA3DD" w14:textId="77777777" w:rsidR="004C6421" w:rsidRDefault="009D1962">
      <w:pPr>
        <w:pStyle w:val="ListParagraph"/>
        <w:numPr>
          <w:ilvl w:val="0"/>
          <w:numId w:val="142"/>
        </w:numPr>
        <w:rPr>
          <w:noProof/>
        </w:rPr>
      </w:pPr>
      <w:r>
        <w:rPr>
          <w:noProof/>
        </w:rPr>
        <w:t xml:space="preserve">choroby zakaźne, w tym choroby związane z ubóstwem i choroby zaniedbane; </w:t>
      </w:r>
    </w:p>
    <w:p w14:paraId="7AA123A8" w14:textId="77777777" w:rsidR="004C6421" w:rsidRDefault="009D1962">
      <w:pPr>
        <w:pStyle w:val="ListParagraph"/>
        <w:numPr>
          <w:ilvl w:val="0"/>
          <w:numId w:val="142"/>
        </w:numPr>
        <w:rPr>
          <w:noProof/>
        </w:rPr>
      </w:pPr>
      <w:r>
        <w:rPr>
          <w:noProof/>
        </w:rPr>
        <w:t>narzędzia, technologie i rozwiązania cyfrowe dotyczące zdrowia i opieki, w tym medycyny personalizowanej;</w:t>
      </w:r>
    </w:p>
    <w:p w14:paraId="12E1E416" w14:textId="77777777" w:rsidR="004C6421" w:rsidRDefault="009D1962">
      <w:pPr>
        <w:pStyle w:val="ListParagraph"/>
        <w:numPr>
          <w:ilvl w:val="0"/>
          <w:numId w:val="142"/>
        </w:numPr>
        <w:rPr>
          <w:noProof/>
        </w:rPr>
      </w:pPr>
      <w:r>
        <w:rPr>
          <w:noProof/>
        </w:rPr>
        <w:t>zakłady przemysłowe w transformacji energetycznej;</w:t>
      </w:r>
    </w:p>
    <w:p w14:paraId="7EF7E3CC" w14:textId="77777777" w:rsidR="004C6421" w:rsidRDefault="009D1962">
      <w:pPr>
        <w:pStyle w:val="ListParagraph"/>
        <w:numPr>
          <w:ilvl w:val="0"/>
          <w:numId w:val="142"/>
        </w:numPr>
        <w:rPr>
          <w:noProof/>
        </w:rPr>
      </w:pPr>
      <w:r>
        <w:rPr>
          <w:noProof/>
        </w:rPr>
        <w:t>konkurencyjność przemysłowa w transporcie;</w:t>
      </w:r>
    </w:p>
    <w:p w14:paraId="06EB1814" w14:textId="77777777" w:rsidR="004C6421" w:rsidRDefault="009D1962">
      <w:pPr>
        <w:pStyle w:val="ListParagraph"/>
        <w:numPr>
          <w:ilvl w:val="0"/>
          <w:numId w:val="142"/>
        </w:numPr>
        <w:rPr>
          <w:noProof/>
        </w:rPr>
      </w:pPr>
      <w:r>
        <w:rPr>
          <w:noProof/>
        </w:rPr>
        <w:t>transport i mobilność, które są ekologiczne, bezpieczne i dostępne;</w:t>
      </w:r>
    </w:p>
    <w:p w14:paraId="04075A43" w14:textId="77777777" w:rsidR="004C6421" w:rsidRDefault="009D1962">
      <w:pPr>
        <w:pStyle w:val="ListParagraph"/>
        <w:numPr>
          <w:ilvl w:val="0"/>
          <w:numId w:val="142"/>
        </w:numPr>
        <w:rPr>
          <w:noProof/>
        </w:rPr>
      </w:pPr>
      <w:r>
        <w:rPr>
          <w:noProof/>
        </w:rPr>
        <w:t xml:space="preserve">inteligentna mobilność; </w:t>
      </w:r>
    </w:p>
    <w:p w14:paraId="291E6926" w14:textId="77777777" w:rsidR="004C6421" w:rsidRDefault="009D1962">
      <w:pPr>
        <w:pStyle w:val="ListParagraph"/>
        <w:numPr>
          <w:ilvl w:val="0"/>
          <w:numId w:val="142"/>
        </w:numPr>
        <w:rPr>
          <w:noProof/>
        </w:rPr>
      </w:pPr>
      <w:r>
        <w:rPr>
          <w:noProof/>
        </w:rPr>
        <w:t>magazynowanie energii;</w:t>
      </w:r>
    </w:p>
    <w:p w14:paraId="0EB4A21C" w14:textId="77777777" w:rsidR="004C6421" w:rsidRDefault="009D1962">
      <w:pPr>
        <w:pStyle w:val="ListParagraph"/>
        <w:numPr>
          <w:ilvl w:val="0"/>
          <w:numId w:val="142"/>
        </w:numPr>
        <w:rPr>
          <w:noProof/>
        </w:rPr>
      </w:pPr>
      <w:r>
        <w:rPr>
          <w:noProof/>
        </w:rPr>
        <w:t>systemy żywnościowe;</w:t>
      </w:r>
    </w:p>
    <w:p w14:paraId="42BBD4B4" w14:textId="77777777" w:rsidR="004C6421" w:rsidRDefault="009D1962">
      <w:pPr>
        <w:pStyle w:val="ListParagraph"/>
        <w:numPr>
          <w:ilvl w:val="0"/>
          <w:numId w:val="142"/>
        </w:numPr>
        <w:rPr>
          <w:noProof/>
        </w:rPr>
      </w:pPr>
      <w:r>
        <w:rPr>
          <w:noProof/>
        </w:rPr>
        <w:t>systemy innowacji biotechnologicznych w biogospodarce Unii;</w:t>
      </w:r>
    </w:p>
    <w:p w14:paraId="3ADBD0A3" w14:textId="77777777" w:rsidR="004C6421" w:rsidRDefault="009D1962">
      <w:pPr>
        <w:pStyle w:val="ListParagraph"/>
        <w:numPr>
          <w:ilvl w:val="0"/>
          <w:numId w:val="142"/>
        </w:numPr>
        <w:rPr>
          <w:noProof/>
        </w:rPr>
      </w:pPr>
      <w:r>
        <w:rPr>
          <w:noProof/>
        </w:rPr>
        <w:t>systemy o obiegu zamkniętym.</w:t>
      </w:r>
    </w:p>
    <w:p w14:paraId="1DDFCF7D" w14:textId="77777777" w:rsidR="004C6421" w:rsidRDefault="004C6421">
      <w:pPr>
        <w:rPr>
          <w:noProof/>
        </w:rPr>
      </w:pPr>
    </w:p>
    <w:p w14:paraId="2E27B2D2" w14:textId="77777777" w:rsidR="004C6421" w:rsidRDefault="009D1962">
      <w:pPr>
        <w:spacing w:after="120"/>
        <w:jc w:val="both"/>
        <w:rPr>
          <w:noProof/>
        </w:rPr>
      </w:pPr>
      <w:r>
        <w:rPr>
          <w:noProof/>
        </w:rPr>
        <w:t>W celu zapewnienia zgodności środka z wytycznymi technicznymi dotyczącymi zasady „nie czyń poważnych szkód” (2021/C58/01) wybrane projekty wykluczają następujący wykaz działań: (i) działalności i aktywów związanych z paliwami kopalnymi, w tym wykorzystania niższego szczebla</w:t>
      </w:r>
      <w:r>
        <w:rPr>
          <w:rStyle w:val="FootnoteReference"/>
          <w:noProof/>
        </w:rPr>
        <w:footnoteReference w:id="71"/>
      </w:r>
      <w:r>
        <w:rPr>
          <w:noProof/>
        </w:rPr>
        <w:t>; (II) działania w ramach unijnego systemu handlu uprawnieniami do emisji (ETS) prowadzące do osiągnięcia prognozowanych emisji gazów cieplarnianych, które nie są niższe niż odpowiednie wskaźniki referencyjne</w:t>
      </w:r>
      <w:r>
        <w:rPr>
          <w:rStyle w:val="FootnoteReference"/>
          <w:noProof/>
        </w:rPr>
        <w:footnoteReference w:id="72"/>
      </w:r>
      <w:r>
        <w:rPr>
          <w:noProof/>
        </w:rPr>
        <w:t>; (III) działalność i aktywa związane ze składowiskami odpadów, spalarniami</w:t>
      </w:r>
      <w:r>
        <w:rPr>
          <w:rStyle w:val="FootnoteReference"/>
          <w:noProof/>
        </w:rPr>
        <w:footnoteReference w:id="73"/>
      </w:r>
      <w:r>
        <w:rPr>
          <w:noProof/>
        </w:rPr>
        <w:t xml:space="preserve"> i zakładami mechaniczno-biologicznego przetwarzania odpadów</w:t>
      </w:r>
      <w:r>
        <w:rPr>
          <w:rStyle w:val="FootnoteReference"/>
          <w:noProof/>
        </w:rPr>
        <w:footnoteReference w:id="74"/>
      </w:r>
      <w:r>
        <w:rPr>
          <w:noProof/>
        </w:rPr>
        <w:t>. Wybrane projekty muszą być zgodne z odpowiednimi unijnymi i krajowymi przepisami w zakresie ochrony środowiska.</w:t>
      </w:r>
    </w:p>
    <w:p w14:paraId="4403F5E9" w14:textId="77777777" w:rsidR="004C6421" w:rsidRDefault="004C6421">
      <w:pPr>
        <w:jc w:val="both"/>
        <w:rPr>
          <w:noProof/>
        </w:rPr>
      </w:pPr>
    </w:p>
    <w:p w14:paraId="66FDBA64" w14:textId="77777777" w:rsidR="004C6421" w:rsidRDefault="009D1962">
      <w:pPr>
        <w:pStyle w:val="P68B1DB1-Normal2"/>
        <w:spacing w:before="120" w:after="120"/>
        <w:jc w:val="both"/>
        <w:rPr>
          <w:rFonts w:eastAsia="Calibri"/>
          <w:noProof/>
        </w:rPr>
      </w:pPr>
      <w:r>
        <w:rPr>
          <w:noProof/>
        </w:rPr>
        <w:t>Inwestycja 3.3: Wprowadzenie innowacyjnych doktoratów odpowiadających potrzebom przedsiębiorstw w zakresie innowacji i wspierających zatrudnianie naukowców przez przedsiębiorstwa</w:t>
      </w:r>
    </w:p>
    <w:p w14:paraId="2EE48ADC" w14:textId="77777777" w:rsidR="004C6421" w:rsidRDefault="009D1962">
      <w:pPr>
        <w:spacing w:before="120" w:after="120"/>
        <w:jc w:val="both"/>
        <w:rPr>
          <w:rFonts w:eastAsiaTheme="minorEastAsia"/>
          <w:noProof/>
        </w:rPr>
      </w:pPr>
      <w:r>
        <w:rPr>
          <w:noProof/>
        </w:rPr>
        <w:t>Celem środka jest poprawa umiejętności na wysokim poziomie, w szczególności w obszarach kluczowych technologii wspomagających, poprzez:</w:t>
      </w:r>
    </w:p>
    <w:p w14:paraId="10AFEF6B" w14:textId="77777777" w:rsidR="004C6421" w:rsidRDefault="009D1962">
      <w:pPr>
        <w:pStyle w:val="ListParagraph"/>
        <w:numPr>
          <w:ilvl w:val="0"/>
          <w:numId w:val="59"/>
        </w:numPr>
        <w:spacing w:line="288" w:lineRule="auto"/>
        <w:rPr>
          <w:rFonts w:eastAsiaTheme="minorEastAsia"/>
          <w:noProof/>
        </w:rPr>
      </w:pPr>
      <w:r>
        <w:rPr>
          <w:noProof/>
        </w:rPr>
        <w:t>Ustanowienie specjalnych programów doktoranckich z udziałem i udziałem przedsiębiorstw;</w:t>
      </w:r>
    </w:p>
    <w:p w14:paraId="48809903" w14:textId="77777777" w:rsidR="004C6421" w:rsidRDefault="009D1962">
      <w:pPr>
        <w:pStyle w:val="ListParagraph"/>
        <w:numPr>
          <w:ilvl w:val="0"/>
          <w:numId w:val="59"/>
        </w:numPr>
        <w:spacing w:line="288" w:lineRule="auto"/>
        <w:rPr>
          <w:rFonts w:eastAsiaTheme="minorEastAsia"/>
          <w:noProof/>
        </w:rPr>
      </w:pPr>
      <w:r>
        <w:rPr>
          <w:noProof/>
        </w:rPr>
        <w:t>Zachęty dla przedsiębiorstw do zatrudniania naukowców.</w:t>
      </w:r>
    </w:p>
    <w:p w14:paraId="087AEA53" w14:textId="77777777" w:rsidR="004C6421" w:rsidRDefault="009D1962">
      <w:pPr>
        <w:spacing w:before="120" w:after="120"/>
        <w:jc w:val="both"/>
        <w:rPr>
          <w:noProof/>
        </w:rPr>
      </w:pPr>
      <w:r>
        <w:rPr>
          <w:noProof/>
        </w:rPr>
        <w:t>W szczególności środek, wdrożony przez MUR – Ministerstwo Szkolnictwa Wyższego i Badań Naukowych – przewiduje przyznanie w ciągu 3 lat łącznie 6000 stypendiów doktoranckich, z prywatnym współfinansowaniem i zachętami dla przedsiębiorstw do zatrudniania naukowców.</w:t>
      </w:r>
    </w:p>
    <w:p w14:paraId="6E7C2AA5" w14:textId="77777777" w:rsidR="004C6421" w:rsidRDefault="009D1962">
      <w:pPr>
        <w:pStyle w:val="P68B1DB1-Normal2"/>
        <w:spacing w:before="120" w:after="120" w:line="288" w:lineRule="auto"/>
        <w:jc w:val="both"/>
        <w:rPr>
          <w:rFonts w:eastAsiaTheme="minorEastAsia"/>
          <w:noProof/>
        </w:rPr>
      </w:pPr>
      <w:r>
        <w:rPr>
          <w:noProof/>
        </w:rPr>
        <w:t>Reforma 1.1: Wdrażanie środków wspierających badania naukowe i innowacje w celu promowania uproszczenia i mobilności</w:t>
      </w:r>
    </w:p>
    <w:p w14:paraId="2C7CFA7F" w14:textId="77777777" w:rsidR="004C6421" w:rsidRDefault="009D1962">
      <w:pPr>
        <w:spacing w:before="120" w:after="120"/>
        <w:jc w:val="both"/>
        <w:rPr>
          <w:noProof/>
        </w:rPr>
      </w:pPr>
      <w:r>
        <w:rPr>
          <w:noProof/>
        </w:rPr>
        <w:t>Reforma jest realizowana przez Ministerstwo Uniwersytetów i Badań Naukowych (MUR) oraz Ministerstwo Rozwoju Gospodarczego (MiSE) poprzez utworzenie międzyresortowej rady sterującej i wydanie dwóch dekretów ministerialnych: zwiększenie i wspieranie mobilności (poprzez zachęty) osób o wysokich kwalifikacjach (takich jak: badacze i kadra kierownicza) między uniwersytetami, infrastrukturami badawczymi i przedsiębiorstwami oraz (ii) uproszczenie zarządzania funduszami badawczymi, (iii) zreformowanie ścieżki kariery naukowców w celu położenia większego nacisku na działalność badawczą. Reforma przekształci się w bardziej systemowe podejście do działań badawczo-rozwojowych, wykraczające poza obecną logikę realokacji zasobów poprzez sprzyjanie podejściu opartemu na podziale zasobów, i koncentruje się na uproszczeniu biurokracji w zarządzaniu funduszami przeznaczonymi na publiczno-prywatne działania badawcze, przynosząc znaczące skutki dzięki unikaniu rozproszenia i fragmentacji priorytetów, również przy wsparciu pierwszego komponentu misji. Publiczne instytucje badawcze odgrywają kluczową rolę zarówno jako liderzy projektów w zakresie partnerstw, kampanii krajowych i ekosystemów terytorialnych, jak i jako potencjalni uczestnicy zaproszeń do składania wniosków dotyczących funduszu PNR i Funduszu Infrastrukturalnego.</w:t>
      </w:r>
    </w:p>
    <w:p w14:paraId="51A2AC08" w14:textId="77777777" w:rsidR="004C6421" w:rsidRDefault="009D1962">
      <w:pPr>
        <w:pStyle w:val="Heading3"/>
        <w:numPr>
          <w:ilvl w:val="0"/>
          <w:numId w:val="0"/>
        </w:numPr>
        <w:ind w:left="850" w:hanging="850"/>
        <w:rPr>
          <w:b/>
          <w:i w:val="0"/>
          <w:noProof/>
          <w:u w:val="single"/>
        </w:rPr>
        <w:sectPr w:rsidR="004C6421" w:rsidSect="00797973">
          <w:headerReference w:type="even" r:id="rId278"/>
          <w:headerReference w:type="default" r:id="rId279"/>
          <w:footerReference w:type="even" r:id="rId280"/>
          <w:footerReference w:type="default" r:id="rId281"/>
          <w:headerReference w:type="first" r:id="rId282"/>
          <w:footerReference w:type="first" r:id="rId283"/>
          <w:pgSz w:w="11907" w:h="16839"/>
          <w:pgMar w:top="1440" w:right="1440" w:bottom="1440" w:left="1440" w:header="567" w:footer="567" w:gutter="0"/>
          <w:cols w:space="720"/>
          <w:docGrid w:linePitch="360"/>
        </w:sectPr>
      </w:pPr>
      <w:r>
        <w:rPr>
          <w:b/>
          <w:i w:val="0"/>
          <w:noProof/>
          <w:u w:val="single"/>
        </w:rPr>
        <w:t xml:space="preserve">K.2. </w:t>
      </w:r>
      <w:r>
        <w:rPr>
          <w:noProof/>
        </w:rPr>
        <w:t xml:space="preserve"> </w:t>
      </w:r>
      <w:r>
        <w:rPr>
          <w:b/>
          <w:i w:val="0"/>
          <w:noProof/>
          <w:u w:val="single"/>
        </w:rPr>
        <w:t>Kamienie milowe, wartości docelowe, wskaźniki i harmonogram monitorowania i realizacji na potrzeby bezzwrotnego wsparcia finansowego</w:t>
      </w:r>
    </w:p>
    <w:p w14:paraId="68AE9D33" w14:textId="77777777" w:rsidR="004C6421" w:rsidRDefault="004C6421">
      <w:pPr>
        <w:spacing w:before="120" w:after="120"/>
        <w:jc w:val="both"/>
        <w:rPr>
          <w:noProof/>
        </w:rPr>
      </w:pPr>
    </w:p>
    <w:tbl>
      <w:tblPr>
        <w:tblW w:w="51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596"/>
        <w:gridCol w:w="1438"/>
        <w:gridCol w:w="1362"/>
        <w:gridCol w:w="1607"/>
        <w:gridCol w:w="1028"/>
        <w:gridCol w:w="991"/>
        <w:gridCol w:w="792"/>
        <w:gridCol w:w="979"/>
        <w:gridCol w:w="673"/>
        <w:gridCol w:w="2977"/>
      </w:tblGrid>
      <w:tr w:rsidR="004C6421" w14:paraId="20628FBA" w14:textId="77777777">
        <w:trPr>
          <w:trHeight w:val="927"/>
          <w:tblHeader/>
          <w:jc w:val="center"/>
        </w:trPr>
        <w:tc>
          <w:tcPr>
            <w:tcW w:w="1503" w:type="dxa"/>
            <w:vMerge w:val="restart"/>
            <w:shd w:val="clear" w:color="auto" w:fill="BDD7EE"/>
            <w:vAlign w:val="center"/>
            <w:hideMark/>
          </w:tcPr>
          <w:p w14:paraId="0DD195C2" w14:textId="77777777" w:rsidR="004C6421" w:rsidRDefault="009D1962">
            <w:pPr>
              <w:pStyle w:val="P68B1DB1-Normal3"/>
              <w:jc w:val="center"/>
              <w:rPr>
                <w:noProof/>
              </w:rPr>
            </w:pPr>
            <w:r>
              <w:rPr>
                <w:noProof/>
              </w:rPr>
              <w:t>Numer porządkowy</w:t>
            </w:r>
          </w:p>
        </w:tc>
        <w:tc>
          <w:tcPr>
            <w:tcW w:w="1596" w:type="dxa"/>
            <w:vMerge w:val="restart"/>
            <w:shd w:val="clear" w:color="auto" w:fill="BDD7EE"/>
            <w:vAlign w:val="center"/>
            <w:hideMark/>
          </w:tcPr>
          <w:p w14:paraId="3C6AD9FE" w14:textId="77777777" w:rsidR="004C6421" w:rsidRDefault="009D1962">
            <w:pPr>
              <w:pStyle w:val="P68B1DB1-Normal3"/>
              <w:jc w:val="center"/>
              <w:rPr>
                <w:noProof/>
              </w:rPr>
            </w:pPr>
            <w:r>
              <w:rPr>
                <w:noProof/>
              </w:rPr>
              <w:t>Powiązane działanie (reforma lub inwestycja)</w:t>
            </w:r>
          </w:p>
        </w:tc>
        <w:tc>
          <w:tcPr>
            <w:tcW w:w="1416" w:type="dxa"/>
            <w:vMerge w:val="restart"/>
            <w:shd w:val="clear" w:color="auto" w:fill="BDD7EE"/>
            <w:vAlign w:val="center"/>
            <w:hideMark/>
          </w:tcPr>
          <w:p w14:paraId="6A39A6AF" w14:textId="77777777" w:rsidR="004C6421" w:rsidRDefault="009D1962">
            <w:pPr>
              <w:pStyle w:val="P68B1DB1-Normal3"/>
              <w:jc w:val="center"/>
              <w:rPr>
                <w:noProof/>
              </w:rPr>
            </w:pPr>
            <w:r>
              <w:rPr>
                <w:noProof/>
              </w:rPr>
              <w:t>Kamień milowy/wartość docelowa</w:t>
            </w:r>
          </w:p>
        </w:tc>
        <w:tc>
          <w:tcPr>
            <w:tcW w:w="1362" w:type="dxa"/>
            <w:vMerge w:val="restart"/>
            <w:shd w:val="clear" w:color="auto" w:fill="BDD7EE"/>
            <w:vAlign w:val="center"/>
            <w:hideMark/>
          </w:tcPr>
          <w:p w14:paraId="40BC775E" w14:textId="77777777" w:rsidR="004C6421" w:rsidRDefault="009D1962">
            <w:pPr>
              <w:pStyle w:val="P68B1DB1-Normal3"/>
              <w:jc w:val="center"/>
              <w:rPr>
                <w:noProof/>
              </w:rPr>
            </w:pPr>
            <w:r>
              <w:rPr>
                <w:noProof/>
              </w:rPr>
              <w:t>Nazwa</w:t>
            </w:r>
          </w:p>
        </w:tc>
        <w:tc>
          <w:tcPr>
            <w:tcW w:w="1607" w:type="dxa"/>
            <w:vMerge w:val="restart"/>
            <w:shd w:val="clear" w:color="auto" w:fill="BDD7EE"/>
            <w:vAlign w:val="center"/>
            <w:hideMark/>
          </w:tcPr>
          <w:p w14:paraId="193C2B4A" w14:textId="77777777" w:rsidR="004C6421" w:rsidRDefault="009D1962">
            <w:pPr>
              <w:jc w:val="center"/>
              <w:rPr>
                <w:rFonts w:ascii="Arial Narrow" w:hAnsi="Arial Narrow"/>
                <w:b/>
                <w:noProof/>
                <w:sz w:val="20"/>
              </w:rPr>
            </w:pPr>
            <w:r>
              <w:rPr>
                <w:rFonts w:ascii="Arial Narrow" w:hAnsi="Arial Narrow"/>
                <w:b/>
                <w:noProof/>
                <w:sz w:val="20"/>
              </w:rPr>
              <w:t xml:space="preserve">Wskaźniki jakościowe </w:t>
            </w:r>
            <w:r>
              <w:rPr>
                <w:rFonts w:ascii="Arial Narrow" w:hAnsi="Arial Narrow"/>
                <w:noProof/>
              </w:rPr>
              <w:t xml:space="preserve"> </w:t>
            </w:r>
            <w:r>
              <w:rPr>
                <w:noProof/>
              </w:rPr>
              <w:t xml:space="preserve">  </w:t>
            </w:r>
            <w:r>
              <w:rPr>
                <w:noProof/>
              </w:rPr>
              <w:br/>
            </w:r>
            <w:r>
              <w:rPr>
                <w:rFonts w:ascii="Arial Narrow" w:hAnsi="Arial Narrow"/>
                <w:b/>
                <w:noProof/>
                <w:sz w:val="20"/>
              </w:rPr>
              <w:t>(dla kamieni milowych)</w:t>
            </w:r>
          </w:p>
        </w:tc>
        <w:tc>
          <w:tcPr>
            <w:tcW w:w="2791" w:type="dxa"/>
            <w:gridSpan w:val="3"/>
            <w:shd w:val="clear" w:color="auto" w:fill="BDD7EE"/>
            <w:vAlign w:val="center"/>
            <w:hideMark/>
          </w:tcPr>
          <w:p w14:paraId="34557D11" w14:textId="77777777" w:rsidR="004C6421" w:rsidRDefault="009D1962">
            <w:pPr>
              <w:jc w:val="center"/>
              <w:rPr>
                <w:rFonts w:ascii="Arial Narrow" w:hAnsi="Arial Narrow"/>
                <w:b/>
                <w:noProof/>
                <w:sz w:val="20"/>
              </w:rPr>
            </w:pPr>
            <w:r>
              <w:rPr>
                <w:rFonts w:ascii="Arial Narrow" w:hAnsi="Arial Narrow"/>
                <w:b/>
                <w:noProof/>
                <w:sz w:val="20"/>
              </w:rPr>
              <w:t xml:space="preserve">Wskaźniki ilościowe </w:t>
            </w:r>
            <w:r>
              <w:rPr>
                <w:rFonts w:ascii="Arial Narrow" w:hAnsi="Arial Narrow"/>
                <w:noProof/>
              </w:rPr>
              <w:t xml:space="preserve"> </w:t>
            </w:r>
            <w:r>
              <w:rPr>
                <w:noProof/>
              </w:rPr>
              <w:t xml:space="preserve">  </w:t>
            </w:r>
            <w:r>
              <w:rPr>
                <w:noProof/>
              </w:rPr>
              <w:br/>
            </w:r>
            <w:r>
              <w:rPr>
                <w:rFonts w:ascii="Arial Narrow" w:hAnsi="Arial Narrow"/>
                <w:b/>
                <w:noProof/>
                <w:sz w:val="20"/>
              </w:rPr>
              <w:t>(dla wartości docelowych)</w:t>
            </w:r>
          </w:p>
        </w:tc>
        <w:tc>
          <w:tcPr>
            <w:tcW w:w="1652" w:type="dxa"/>
            <w:gridSpan w:val="2"/>
            <w:shd w:val="clear" w:color="auto" w:fill="BDD7EE"/>
            <w:vAlign w:val="center"/>
            <w:hideMark/>
          </w:tcPr>
          <w:p w14:paraId="4EABBE15" w14:textId="77777777" w:rsidR="004C6421" w:rsidRDefault="009D1962">
            <w:pPr>
              <w:pStyle w:val="P68B1DB1-Normal3"/>
              <w:jc w:val="center"/>
              <w:rPr>
                <w:noProof/>
              </w:rPr>
            </w:pPr>
            <w:r>
              <w:rPr>
                <w:noProof/>
              </w:rPr>
              <w:t>Orientacyjny harmonogram zakończenia działania</w:t>
            </w:r>
          </w:p>
        </w:tc>
        <w:tc>
          <w:tcPr>
            <w:tcW w:w="2977" w:type="dxa"/>
            <w:vMerge w:val="restart"/>
            <w:shd w:val="clear" w:color="auto" w:fill="BDD7EE"/>
            <w:vAlign w:val="center"/>
            <w:hideMark/>
          </w:tcPr>
          <w:p w14:paraId="2DA7FB5B" w14:textId="77777777" w:rsidR="004C6421" w:rsidRDefault="009D1962">
            <w:pPr>
              <w:pStyle w:val="P68B1DB1-Normal3"/>
              <w:jc w:val="center"/>
              <w:rPr>
                <w:noProof/>
              </w:rPr>
            </w:pPr>
            <w:r>
              <w:rPr>
                <w:noProof/>
              </w:rPr>
              <w:t>Opis każdego kamienia milowego i każdej wartości docelowej</w:t>
            </w:r>
          </w:p>
        </w:tc>
      </w:tr>
      <w:tr w:rsidR="004C6421" w14:paraId="6A9E7B1A" w14:textId="77777777">
        <w:trPr>
          <w:trHeight w:val="802"/>
          <w:jc w:val="center"/>
        </w:trPr>
        <w:tc>
          <w:tcPr>
            <w:tcW w:w="1503" w:type="dxa"/>
            <w:vMerge/>
            <w:vAlign w:val="center"/>
            <w:hideMark/>
          </w:tcPr>
          <w:p w14:paraId="003098DB" w14:textId="77777777" w:rsidR="004C6421" w:rsidRDefault="004C6421">
            <w:pPr>
              <w:jc w:val="center"/>
              <w:rPr>
                <w:rFonts w:ascii="Arial Narrow" w:hAnsi="Arial Narrow"/>
                <w:b/>
                <w:noProof/>
                <w:sz w:val="20"/>
              </w:rPr>
            </w:pPr>
          </w:p>
        </w:tc>
        <w:tc>
          <w:tcPr>
            <w:tcW w:w="1596" w:type="dxa"/>
            <w:vMerge/>
            <w:vAlign w:val="center"/>
            <w:hideMark/>
          </w:tcPr>
          <w:p w14:paraId="6364CB92" w14:textId="77777777" w:rsidR="004C6421" w:rsidRDefault="004C6421">
            <w:pPr>
              <w:jc w:val="center"/>
              <w:rPr>
                <w:rFonts w:ascii="Arial Narrow" w:hAnsi="Arial Narrow"/>
                <w:b/>
                <w:noProof/>
                <w:sz w:val="20"/>
              </w:rPr>
            </w:pPr>
          </w:p>
        </w:tc>
        <w:tc>
          <w:tcPr>
            <w:tcW w:w="1416" w:type="dxa"/>
            <w:vMerge/>
            <w:vAlign w:val="center"/>
            <w:hideMark/>
          </w:tcPr>
          <w:p w14:paraId="2CE27ADB" w14:textId="77777777" w:rsidR="004C6421" w:rsidRDefault="004C6421">
            <w:pPr>
              <w:jc w:val="center"/>
              <w:rPr>
                <w:rFonts w:ascii="Arial Narrow" w:hAnsi="Arial Narrow"/>
                <w:b/>
                <w:noProof/>
                <w:sz w:val="20"/>
              </w:rPr>
            </w:pPr>
          </w:p>
        </w:tc>
        <w:tc>
          <w:tcPr>
            <w:tcW w:w="1362" w:type="dxa"/>
            <w:vMerge/>
            <w:vAlign w:val="center"/>
            <w:hideMark/>
          </w:tcPr>
          <w:p w14:paraId="078FEB1E" w14:textId="77777777" w:rsidR="004C6421" w:rsidRDefault="004C6421">
            <w:pPr>
              <w:jc w:val="center"/>
              <w:rPr>
                <w:rFonts w:ascii="Arial Narrow" w:hAnsi="Arial Narrow"/>
                <w:b/>
                <w:noProof/>
                <w:sz w:val="20"/>
              </w:rPr>
            </w:pPr>
          </w:p>
        </w:tc>
        <w:tc>
          <w:tcPr>
            <w:tcW w:w="1607" w:type="dxa"/>
            <w:vMerge/>
            <w:vAlign w:val="center"/>
            <w:hideMark/>
          </w:tcPr>
          <w:p w14:paraId="373BA348" w14:textId="77777777" w:rsidR="004C6421" w:rsidRDefault="004C6421">
            <w:pPr>
              <w:jc w:val="center"/>
              <w:rPr>
                <w:rFonts w:ascii="Arial Narrow" w:hAnsi="Arial Narrow"/>
                <w:b/>
                <w:noProof/>
                <w:sz w:val="20"/>
              </w:rPr>
            </w:pPr>
          </w:p>
        </w:tc>
        <w:tc>
          <w:tcPr>
            <w:tcW w:w="1008" w:type="dxa"/>
            <w:shd w:val="clear" w:color="auto" w:fill="BDD7EE"/>
            <w:vAlign w:val="center"/>
            <w:hideMark/>
          </w:tcPr>
          <w:p w14:paraId="05F3E2A4" w14:textId="77777777" w:rsidR="004C6421" w:rsidRDefault="009D1962">
            <w:pPr>
              <w:pStyle w:val="P68B1DB1-Normal3"/>
              <w:jc w:val="center"/>
              <w:rPr>
                <w:noProof/>
              </w:rPr>
            </w:pPr>
            <w:r>
              <w:rPr>
                <w:noProof/>
              </w:rPr>
              <w:t>Jednostka miary</w:t>
            </w:r>
          </w:p>
        </w:tc>
        <w:tc>
          <w:tcPr>
            <w:tcW w:w="991" w:type="dxa"/>
            <w:shd w:val="clear" w:color="auto" w:fill="BDD7EE"/>
            <w:vAlign w:val="center"/>
            <w:hideMark/>
          </w:tcPr>
          <w:p w14:paraId="784A6D1D" w14:textId="77777777" w:rsidR="004C6421" w:rsidRDefault="009D1962">
            <w:pPr>
              <w:pStyle w:val="P68B1DB1-Normal3"/>
              <w:jc w:val="center"/>
              <w:rPr>
                <w:noProof/>
              </w:rPr>
            </w:pPr>
            <w:r>
              <w:rPr>
                <w:noProof/>
              </w:rPr>
              <w:t>Bazowy</w:t>
            </w:r>
          </w:p>
        </w:tc>
        <w:tc>
          <w:tcPr>
            <w:tcW w:w="792" w:type="dxa"/>
            <w:shd w:val="clear" w:color="auto" w:fill="BDD7EE"/>
            <w:vAlign w:val="center"/>
            <w:hideMark/>
          </w:tcPr>
          <w:p w14:paraId="5A48F2EF" w14:textId="77777777" w:rsidR="004C6421" w:rsidRDefault="009D1962">
            <w:pPr>
              <w:pStyle w:val="P68B1DB1-Normal3"/>
              <w:jc w:val="center"/>
              <w:rPr>
                <w:noProof/>
              </w:rPr>
            </w:pPr>
            <w:r>
              <w:rPr>
                <w:noProof/>
              </w:rPr>
              <w:t>Cel</w:t>
            </w:r>
          </w:p>
        </w:tc>
        <w:tc>
          <w:tcPr>
            <w:tcW w:w="979" w:type="dxa"/>
            <w:shd w:val="clear" w:color="auto" w:fill="BDD7EE"/>
            <w:vAlign w:val="center"/>
            <w:hideMark/>
          </w:tcPr>
          <w:p w14:paraId="3B9CAF57" w14:textId="77777777" w:rsidR="004C6421" w:rsidRDefault="009D1962">
            <w:pPr>
              <w:pStyle w:val="P68B1DB1-Normal3"/>
              <w:jc w:val="center"/>
              <w:rPr>
                <w:noProof/>
              </w:rPr>
            </w:pPr>
            <w:r>
              <w:rPr>
                <w:noProof/>
              </w:rPr>
              <w:t>Kwartał</w:t>
            </w:r>
          </w:p>
        </w:tc>
        <w:tc>
          <w:tcPr>
            <w:tcW w:w="673" w:type="dxa"/>
            <w:shd w:val="clear" w:color="auto" w:fill="BDD7EE"/>
            <w:vAlign w:val="center"/>
            <w:hideMark/>
          </w:tcPr>
          <w:p w14:paraId="04FF6165" w14:textId="77777777" w:rsidR="004C6421" w:rsidRDefault="009D1962">
            <w:pPr>
              <w:pStyle w:val="P68B1DB1-Normal3"/>
              <w:jc w:val="center"/>
              <w:rPr>
                <w:noProof/>
              </w:rPr>
            </w:pPr>
            <w:r>
              <w:rPr>
                <w:noProof/>
              </w:rPr>
              <w:t>Rok</w:t>
            </w:r>
          </w:p>
        </w:tc>
        <w:tc>
          <w:tcPr>
            <w:tcW w:w="2977" w:type="dxa"/>
            <w:vMerge/>
            <w:vAlign w:val="center"/>
            <w:hideMark/>
          </w:tcPr>
          <w:p w14:paraId="5448096D" w14:textId="77777777" w:rsidR="004C6421" w:rsidRDefault="004C6421">
            <w:pPr>
              <w:rPr>
                <w:rFonts w:ascii="Arial Narrow" w:hAnsi="Arial Narrow"/>
                <w:b/>
                <w:noProof/>
                <w:sz w:val="20"/>
              </w:rPr>
            </w:pPr>
          </w:p>
        </w:tc>
      </w:tr>
      <w:tr w:rsidR="004C6421" w14:paraId="1AD3554B" w14:textId="77777777">
        <w:trPr>
          <w:trHeight w:val="1065"/>
          <w:jc w:val="center"/>
        </w:trPr>
        <w:tc>
          <w:tcPr>
            <w:tcW w:w="1503" w:type="dxa"/>
            <w:shd w:val="clear" w:color="auto" w:fill="C6EFCE"/>
            <w:noWrap/>
            <w:vAlign w:val="center"/>
            <w:hideMark/>
          </w:tcPr>
          <w:p w14:paraId="5CE592D9" w14:textId="77777777" w:rsidR="004C6421" w:rsidRDefault="009D1962">
            <w:pPr>
              <w:pStyle w:val="P68B1DB1-Normal4"/>
              <w:jc w:val="center"/>
              <w:rPr>
                <w:noProof/>
              </w:rPr>
            </w:pPr>
            <w:r>
              <w:rPr>
                <w:noProof/>
              </w:rPr>
              <w:t>M4C2-1</w:t>
            </w:r>
          </w:p>
        </w:tc>
        <w:tc>
          <w:tcPr>
            <w:tcW w:w="1596" w:type="dxa"/>
            <w:shd w:val="clear" w:color="auto" w:fill="C6EFCE"/>
            <w:noWrap/>
            <w:vAlign w:val="center"/>
            <w:hideMark/>
          </w:tcPr>
          <w:p w14:paraId="6E3F7914" w14:textId="77777777" w:rsidR="004C6421" w:rsidRDefault="009D1962">
            <w:pPr>
              <w:pStyle w:val="P68B1DB1-Normal4"/>
              <w:jc w:val="center"/>
              <w:rPr>
                <w:noProof/>
              </w:rPr>
            </w:pPr>
            <w:r>
              <w:rPr>
                <w:noProof/>
              </w:rPr>
              <w:t xml:space="preserve"> Inwestycje 1.2: Finansowanie projektów przedstawianych przez młodych naukowców</w:t>
            </w:r>
          </w:p>
        </w:tc>
        <w:tc>
          <w:tcPr>
            <w:tcW w:w="1416" w:type="dxa"/>
            <w:shd w:val="clear" w:color="auto" w:fill="C6EFCE"/>
            <w:noWrap/>
            <w:vAlign w:val="center"/>
            <w:hideMark/>
          </w:tcPr>
          <w:p w14:paraId="1414E3D6" w14:textId="77777777" w:rsidR="004C6421" w:rsidRDefault="009D1962">
            <w:pPr>
              <w:pStyle w:val="P68B1DB1-Normal4"/>
              <w:jc w:val="center"/>
              <w:rPr>
                <w:noProof/>
              </w:rPr>
            </w:pPr>
            <w:r>
              <w:rPr>
                <w:noProof/>
              </w:rPr>
              <w:t>Cel</w:t>
            </w:r>
          </w:p>
        </w:tc>
        <w:tc>
          <w:tcPr>
            <w:tcW w:w="1362" w:type="dxa"/>
            <w:shd w:val="clear" w:color="auto" w:fill="C6EFCE"/>
            <w:noWrap/>
            <w:vAlign w:val="center"/>
            <w:hideMark/>
          </w:tcPr>
          <w:p w14:paraId="00754E0E" w14:textId="77777777" w:rsidR="004C6421" w:rsidRDefault="009D1962">
            <w:pPr>
              <w:pStyle w:val="P68B1DB1-Normal4"/>
              <w:jc w:val="center"/>
              <w:rPr>
                <w:rFonts w:eastAsia="Calibri"/>
                <w:noProof/>
              </w:rPr>
            </w:pPr>
            <w:r>
              <w:rPr>
                <w:noProof/>
              </w:rPr>
              <w:t>Liczba studentów, którym przyznano stypendium badawcze</w:t>
            </w:r>
          </w:p>
        </w:tc>
        <w:tc>
          <w:tcPr>
            <w:tcW w:w="1607" w:type="dxa"/>
            <w:shd w:val="clear" w:color="auto" w:fill="C6EFCE"/>
            <w:noWrap/>
            <w:vAlign w:val="center"/>
            <w:hideMark/>
          </w:tcPr>
          <w:p w14:paraId="2F40233D" w14:textId="77777777" w:rsidR="004C6421" w:rsidRDefault="009D1962">
            <w:pPr>
              <w:pStyle w:val="P68B1DB1-Normal4"/>
              <w:jc w:val="center"/>
              <w:rPr>
                <w:noProof/>
              </w:rPr>
            </w:pPr>
            <w:r>
              <w:rPr>
                <w:noProof/>
              </w:rPr>
              <w:t>NIE DOT.</w:t>
            </w:r>
          </w:p>
        </w:tc>
        <w:tc>
          <w:tcPr>
            <w:tcW w:w="1008" w:type="dxa"/>
            <w:shd w:val="clear" w:color="auto" w:fill="C6EFCE"/>
            <w:noWrap/>
            <w:vAlign w:val="center"/>
            <w:hideMark/>
          </w:tcPr>
          <w:p w14:paraId="4A949ED2" w14:textId="77777777" w:rsidR="004C6421" w:rsidRDefault="009D1962">
            <w:pPr>
              <w:pStyle w:val="P68B1DB1-Normal4"/>
              <w:jc w:val="center"/>
              <w:rPr>
                <w:noProof/>
              </w:rPr>
            </w:pPr>
            <w:r>
              <w:rPr>
                <w:noProof/>
              </w:rPr>
              <w:t>Numer</w:t>
            </w:r>
          </w:p>
        </w:tc>
        <w:tc>
          <w:tcPr>
            <w:tcW w:w="991" w:type="dxa"/>
            <w:shd w:val="clear" w:color="auto" w:fill="C6EFCE"/>
            <w:noWrap/>
            <w:vAlign w:val="center"/>
            <w:hideMark/>
          </w:tcPr>
          <w:p w14:paraId="429DC474" w14:textId="77777777" w:rsidR="004C6421" w:rsidRDefault="009D1962">
            <w:pPr>
              <w:pStyle w:val="P68B1DB1-Normal4"/>
              <w:jc w:val="center"/>
              <w:rPr>
                <w:noProof/>
              </w:rPr>
            </w:pPr>
            <w:r>
              <w:rPr>
                <w:noProof/>
              </w:rPr>
              <w:t>50</w:t>
            </w:r>
          </w:p>
        </w:tc>
        <w:tc>
          <w:tcPr>
            <w:tcW w:w="792" w:type="dxa"/>
            <w:shd w:val="clear" w:color="auto" w:fill="C6EFCE"/>
            <w:noWrap/>
            <w:vAlign w:val="center"/>
            <w:hideMark/>
          </w:tcPr>
          <w:p w14:paraId="39867659" w14:textId="77777777" w:rsidR="004C6421" w:rsidRDefault="009D1962">
            <w:pPr>
              <w:pStyle w:val="P68B1DB1-Normal4"/>
              <w:jc w:val="center"/>
              <w:rPr>
                <w:noProof/>
              </w:rPr>
            </w:pPr>
            <w:r>
              <w:rPr>
                <w:noProof/>
              </w:rPr>
              <w:t>300</w:t>
            </w:r>
          </w:p>
        </w:tc>
        <w:tc>
          <w:tcPr>
            <w:tcW w:w="979" w:type="dxa"/>
            <w:shd w:val="clear" w:color="auto" w:fill="C6EFCE"/>
            <w:noWrap/>
            <w:vAlign w:val="center"/>
            <w:hideMark/>
          </w:tcPr>
          <w:p w14:paraId="767716DC" w14:textId="336AD6BD" w:rsidR="004C6421" w:rsidRDefault="00CC179E">
            <w:pPr>
              <w:pStyle w:val="P68B1DB1-Normal4"/>
              <w:jc w:val="center"/>
              <w:rPr>
                <w:noProof/>
              </w:rPr>
            </w:pPr>
            <w:r>
              <w:rPr>
                <w:noProof/>
              </w:rPr>
              <w:t>KW. 4</w:t>
            </w:r>
          </w:p>
        </w:tc>
        <w:tc>
          <w:tcPr>
            <w:tcW w:w="673" w:type="dxa"/>
            <w:shd w:val="clear" w:color="auto" w:fill="C6EFCE"/>
            <w:noWrap/>
            <w:vAlign w:val="center"/>
            <w:hideMark/>
          </w:tcPr>
          <w:p w14:paraId="51B4F0A7" w14:textId="77777777" w:rsidR="004C6421" w:rsidRDefault="009D1962">
            <w:pPr>
              <w:pStyle w:val="P68B1DB1-Normal4"/>
              <w:jc w:val="center"/>
              <w:rPr>
                <w:noProof/>
              </w:rPr>
            </w:pPr>
            <w:r>
              <w:rPr>
                <w:noProof/>
              </w:rPr>
              <w:t>2022</w:t>
            </w:r>
          </w:p>
        </w:tc>
        <w:tc>
          <w:tcPr>
            <w:tcW w:w="2977" w:type="dxa"/>
            <w:shd w:val="clear" w:color="auto" w:fill="C6EFCE"/>
            <w:noWrap/>
            <w:vAlign w:val="center"/>
            <w:hideMark/>
          </w:tcPr>
          <w:p w14:paraId="258124E4" w14:textId="77777777" w:rsidR="004C6421" w:rsidRDefault="009D1962">
            <w:pPr>
              <w:pStyle w:val="P68B1DB1-Normal4"/>
              <w:rPr>
                <w:noProof/>
              </w:rPr>
            </w:pPr>
            <w:r>
              <w:rPr>
                <w:noProof/>
              </w:rPr>
              <w:t>Przyznanie studentom co najmniej 300 stypendiów badawczych. Procedura wyboru do celów udzielenia zamówienia obejmuje kryteria kwalifikowalności, które zapewniają zgodność wybranych projektów z wytycznymi technicznymi dotyczącymi zasady „nie czyń poważnych szkód” (2021/C58/01) poprzez wykorzystanie listy wykluczenia oraz wymóg zgodności z odpowiednimi unijnymi i krajowymi przepisami w zakresie ochrony środowiska.</w:t>
            </w:r>
          </w:p>
          <w:p w14:paraId="6670F9B8" w14:textId="77777777" w:rsidR="004C6421" w:rsidRDefault="004C6421">
            <w:pPr>
              <w:rPr>
                <w:rFonts w:ascii="Arial Narrow" w:hAnsi="Arial Narrow"/>
                <w:noProof/>
                <w:color w:val="006100"/>
                <w:sz w:val="20"/>
              </w:rPr>
            </w:pPr>
          </w:p>
          <w:p w14:paraId="1728FF35" w14:textId="77777777" w:rsidR="004C6421" w:rsidRDefault="009D1962">
            <w:pPr>
              <w:pStyle w:val="P68B1DB1-Normal4"/>
              <w:rPr>
                <w:noProof/>
              </w:rPr>
            </w:pPr>
            <w:r>
              <w:rPr>
                <w:noProof/>
              </w:rPr>
              <w:t>Zadowalająca realizacja celu będzie również uwzględniać fakt, że zakontraktowano co najmniej 300 młodych naukowców.</w:t>
            </w:r>
          </w:p>
        </w:tc>
      </w:tr>
      <w:tr w:rsidR="004C6421" w14:paraId="411B31DB" w14:textId="77777777">
        <w:trPr>
          <w:trHeight w:val="1065"/>
          <w:jc w:val="center"/>
        </w:trPr>
        <w:tc>
          <w:tcPr>
            <w:tcW w:w="1503" w:type="dxa"/>
            <w:shd w:val="clear" w:color="auto" w:fill="C6EFCE"/>
            <w:noWrap/>
            <w:vAlign w:val="center"/>
            <w:hideMark/>
          </w:tcPr>
          <w:p w14:paraId="387BEB33" w14:textId="77777777" w:rsidR="004C6421" w:rsidRDefault="009D1962">
            <w:pPr>
              <w:pStyle w:val="P68B1DB1-Normal4"/>
              <w:jc w:val="center"/>
              <w:rPr>
                <w:rFonts w:eastAsia="Calibri"/>
                <w:noProof/>
              </w:rPr>
            </w:pPr>
            <w:r>
              <w:rPr>
                <w:noProof/>
              </w:rPr>
              <w:t>M4C2-1 bis</w:t>
            </w:r>
          </w:p>
        </w:tc>
        <w:tc>
          <w:tcPr>
            <w:tcW w:w="1596" w:type="dxa"/>
            <w:shd w:val="clear" w:color="auto" w:fill="C6EFCE"/>
            <w:noWrap/>
            <w:vAlign w:val="center"/>
            <w:hideMark/>
          </w:tcPr>
          <w:p w14:paraId="04FACBE9" w14:textId="77777777" w:rsidR="004C6421" w:rsidRDefault="009D1962">
            <w:pPr>
              <w:pStyle w:val="P68B1DB1-Normal4"/>
              <w:jc w:val="center"/>
              <w:rPr>
                <w:noProof/>
              </w:rPr>
            </w:pPr>
            <w:r>
              <w:rPr>
                <w:noProof/>
              </w:rPr>
              <w:t>Inwestycje 1.2: Finansowanie projektów przedstawianych przez młodych naukowców</w:t>
            </w:r>
          </w:p>
          <w:p w14:paraId="246D6EF5" w14:textId="77777777" w:rsidR="004C6421" w:rsidRDefault="004C6421">
            <w:pPr>
              <w:jc w:val="center"/>
              <w:rPr>
                <w:rFonts w:ascii="Arial Narrow" w:hAnsi="Arial Narrow"/>
                <w:noProof/>
                <w:color w:val="006100"/>
                <w:sz w:val="20"/>
              </w:rPr>
            </w:pPr>
          </w:p>
        </w:tc>
        <w:tc>
          <w:tcPr>
            <w:tcW w:w="1416" w:type="dxa"/>
            <w:shd w:val="clear" w:color="auto" w:fill="C6EFCE"/>
            <w:noWrap/>
            <w:vAlign w:val="center"/>
            <w:hideMark/>
          </w:tcPr>
          <w:p w14:paraId="15466128" w14:textId="77777777" w:rsidR="004C6421" w:rsidRDefault="009D1962">
            <w:pPr>
              <w:pStyle w:val="P68B1DB1-Normal4"/>
              <w:jc w:val="center"/>
              <w:rPr>
                <w:noProof/>
              </w:rPr>
            </w:pPr>
            <w:r>
              <w:rPr>
                <w:noProof/>
              </w:rPr>
              <w:t>Cel</w:t>
            </w:r>
          </w:p>
        </w:tc>
        <w:tc>
          <w:tcPr>
            <w:tcW w:w="1362" w:type="dxa"/>
            <w:shd w:val="clear" w:color="auto" w:fill="C6EFCE"/>
            <w:noWrap/>
            <w:vAlign w:val="center"/>
            <w:hideMark/>
          </w:tcPr>
          <w:p w14:paraId="4809FF31" w14:textId="77777777" w:rsidR="004C6421" w:rsidRDefault="009D1962">
            <w:pPr>
              <w:pStyle w:val="P68B1DB1-Normal4"/>
              <w:jc w:val="center"/>
              <w:rPr>
                <w:rFonts w:eastAsia="Calibri"/>
                <w:noProof/>
              </w:rPr>
            </w:pPr>
            <w:r>
              <w:rPr>
                <w:noProof/>
              </w:rPr>
              <w:t>Liczba studentów, którym przyznano stypendium badawcze</w:t>
            </w:r>
          </w:p>
          <w:p w14:paraId="428FD577" w14:textId="77777777" w:rsidR="004C6421" w:rsidRDefault="004C6421">
            <w:pPr>
              <w:jc w:val="center"/>
              <w:rPr>
                <w:rFonts w:ascii="Arial Narrow" w:eastAsia="Calibri" w:hAnsi="Arial Narrow"/>
                <w:noProof/>
                <w:color w:val="006100"/>
                <w:sz w:val="20"/>
              </w:rPr>
            </w:pPr>
          </w:p>
        </w:tc>
        <w:tc>
          <w:tcPr>
            <w:tcW w:w="1607" w:type="dxa"/>
            <w:shd w:val="clear" w:color="auto" w:fill="C6EFCE"/>
            <w:noWrap/>
            <w:vAlign w:val="center"/>
            <w:hideMark/>
          </w:tcPr>
          <w:p w14:paraId="22FD07D4" w14:textId="77777777" w:rsidR="004C6421" w:rsidRDefault="009D1962">
            <w:pPr>
              <w:pStyle w:val="P68B1DB1-Normal4"/>
              <w:jc w:val="center"/>
              <w:rPr>
                <w:noProof/>
              </w:rPr>
            </w:pPr>
            <w:r>
              <w:rPr>
                <w:noProof/>
              </w:rPr>
              <w:t>NIE DOT.</w:t>
            </w:r>
          </w:p>
        </w:tc>
        <w:tc>
          <w:tcPr>
            <w:tcW w:w="1008" w:type="dxa"/>
            <w:shd w:val="clear" w:color="auto" w:fill="C6EFCE"/>
            <w:noWrap/>
            <w:vAlign w:val="center"/>
            <w:hideMark/>
          </w:tcPr>
          <w:p w14:paraId="6022226F" w14:textId="77777777" w:rsidR="004C6421" w:rsidRDefault="009D1962">
            <w:pPr>
              <w:pStyle w:val="P68B1DB1-Normal4"/>
              <w:jc w:val="center"/>
              <w:rPr>
                <w:noProof/>
              </w:rPr>
            </w:pPr>
            <w:r>
              <w:rPr>
                <w:noProof/>
              </w:rPr>
              <w:t>Numer</w:t>
            </w:r>
          </w:p>
        </w:tc>
        <w:tc>
          <w:tcPr>
            <w:tcW w:w="991" w:type="dxa"/>
            <w:shd w:val="clear" w:color="auto" w:fill="C6EFCE"/>
            <w:noWrap/>
            <w:vAlign w:val="center"/>
            <w:hideMark/>
          </w:tcPr>
          <w:p w14:paraId="188FF509" w14:textId="77777777" w:rsidR="004C6421" w:rsidRDefault="009D1962">
            <w:pPr>
              <w:pStyle w:val="P68B1DB1-Normal4"/>
              <w:jc w:val="center"/>
              <w:rPr>
                <w:noProof/>
              </w:rPr>
            </w:pPr>
            <w:r>
              <w:rPr>
                <w:noProof/>
              </w:rPr>
              <w:t>300</w:t>
            </w:r>
          </w:p>
        </w:tc>
        <w:tc>
          <w:tcPr>
            <w:tcW w:w="792" w:type="dxa"/>
            <w:shd w:val="clear" w:color="auto" w:fill="C6EFCE"/>
            <w:noWrap/>
            <w:vAlign w:val="center"/>
            <w:hideMark/>
          </w:tcPr>
          <w:p w14:paraId="65B825A5" w14:textId="77777777" w:rsidR="004C6421" w:rsidRDefault="009D1962">
            <w:pPr>
              <w:pStyle w:val="P68B1DB1-Normal4"/>
              <w:jc w:val="center"/>
              <w:rPr>
                <w:noProof/>
              </w:rPr>
            </w:pPr>
            <w:r>
              <w:rPr>
                <w:noProof/>
              </w:rPr>
              <w:t>850</w:t>
            </w:r>
          </w:p>
        </w:tc>
        <w:tc>
          <w:tcPr>
            <w:tcW w:w="979" w:type="dxa"/>
            <w:shd w:val="clear" w:color="auto" w:fill="C6EFCE"/>
            <w:noWrap/>
            <w:vAlign w:val="center"/>
            <w:hideMark/>
          </w:tcPr>
          <w:p w14:paraId="648920CD" w14:textId="77777777" w:rsidR="004C6421" w:rsidRDefault="009D1962">
            <w:pPr>
              <w:pStyle w:val="P68B1DB1-Normal4"/>
              <w:jc w:val="center"/>
              <w:rPr>
                <w:noProof/>
              </w:rPr>
            </w:pPr>
            <w:r>
              <w:rPr>
                <w:noProof/>
              </w:rPr>
              <w:t>II KW.</w:t>
            </w:r>
          </w:p>
        </w:tc>
        <w:tc>
          <w:tcPr>
            <w:tcW w:w="673" w:type="dxa"/>
            <w:shd w:val="clear" w:color="auto" w:fill="C6EFCE"/>
            <w:noWrap/>
            <w:vAlign w:val="center"/>
            <w:hideMark/>
          </w:tcPr>
          <w:p w14:paraId="7BBC4DF5" w14:textId="77777777" w:rsidR="004C6421" w:rsidRDefault="009D1962">
            <w:pPr>
              <w:pStyle w:val="P68B1DB1-Normal4"/>
              <w:jc w:val="center"/>
              <w:rPr>
                <w:noProof/>
              </w:rPr>
            </w:pPr>
            <w:r>
              <w:rPr>
                <w:noProof/>
              </w:rPr>
              <w:t>2025</w:t>
            </w:r>
          </w:p>
        </w:tc>
        <w:tc>
          <w:tcPr>
            <w:tcW w:w="2977" w:type="dxa"/>
            <w:shd w:val="clear" w:color="auto" w:fill="C6EFCE"/>
            <w:noWrap/>
            <w:vAlign w:val="center"/>
            <w:hideMark/>
          </w:tcPr>
          <w:p w14:paraId="0207A904" w14:textId="77777777" w:rsidR="004C6421" w:rsidRDefault="009D1962">
            <w:pPr>
              <w:pStyle w:val="P68B1DB1-Normal4"/>
              <w:rPr>
                <w:noProof/>
              </w:rPr>
            </w:pPr>
            <w:r>
              <w:rPr>
                <w:noProof/>
              </w:rPr>
              <w:t>Przyznanie studentom co najmniej 850 stypendiów badawczych. Procedura wyboru dotycząca przyznawania dotacji na badania obejmuje kryteria kwalifikowalności, które zapewniają zgodność wybranych projektów z wytycznymi technicznymi dotyczącymi zasady „nie czyń poważnych szkód” (2021/C58/01) poprzez wykorzystanie listy wykluczenia oraz wymóg zgodności z odpowiednimi unijnymi i krajowymi przepisami w zakresie ochrony środowiska.</w:t>
            </w:r>
          </w:p>
          <w:p w14:paraId="7AEBBF6A" w14:textId="77777777" w:rsidR="004C6421" w:rsidRDefault="009D1962">
            <w:pPr>
              <w:pStyle w:val="P68B1DB1-Normal4"/>
              <w:rPr>
                <w:noProof/>
              </w:rPr>
            </w:pPr>
            <w:r>
              <w:rPr>
                <w:noProof/>
              </w:rPr>
              <w:t>Zadowalająca realizacja celu uwzględnia również fakt, że zakontraktowano co najmniej 850 młodych naukowców.</w:t>
            </w:r>
          </w:p>
        </w:tc>
      </w:tr>
      <w:tr w:rsidR="004C6421" w14:paraId="61EA47B1" w14:textId="77777777">
        <w:trPr>
          <w:trHeight w:val="309"/>
          <w:jc w:val="center"/>
        </w:trPr>
        <w:tc>
          <w:tcPr>
            <w:tcW w:w="1503" w:type="dxa"/>
            <w:shd w:val="clear" w:color="auto" w:fill="C6EFCE"/>
            <w:noWrap/>
            <w:vAlign w:val="center"/>
          </w:tcPr>
          <w:p w14:paraId="4B548223" w14:textId="77777777" w:rsidR="004C6421" w:rsidRDefault="009D1962">
            <w:pPr>
              <w:pStyle w:val="P68B1DB1-Normal4"/>
              <w:jc w:val="center"/>
              <w:rPr>
                <w:noProof/>
              </w:rPr>
            </w:pPr>
            <w:r>
              <w:rPr>
                <w:noProof/>
              </w:rPr>
              <w:t>M4C2-2bis</w:t>
            </w:r>
          </w:p>
        </w:tc>
        <w:tc>
          <w:tcPr>
            <w:tcW w:w="1596" w:type="dxa"/>
            <w:shd w:val="clear" w:color="auto" w:fill="C6EFCE"/>
            <w:noWrap/>
            <w:vAlign w:val="center"/>
          </w:tcPr>
          <w:p w14:paraId="041161EB" w14:textId="77777777" w:rsidR="004C6421" w:rsidRDefault="009D1962">
            <w:pPr>
              <w:pStyle w:val="P68B1DB1-Normal4"/>
              <w:jc w:val="center"/>
              <w:rPr>
                <w:noProof/>
              </w:rPr>
            </w:pPr>
            <w:r>
              <w:rPr>
                <w:noProof/>
              </w:rPr>
              <w:t>Inwestycja 2.2 bis: Umowy w sprawie innowacji</w:t>
            </w:r>
          </w:p>
        </w:tc>
        <w:tc>
          <w:tcPr>
            <w:tcW w:w="1416" w:type="dxa"/>
            <w:shd w:val="clear" w:color="auto" w:fill="C6EFCE"/>
            <w:noWrap/>
            <w:vAlign w:val="center"/>
          </w:tcPr>
          <w:p w14:paraId="29E628BF" w14:textId="77777777" w:rsidR="004C6421" w:rsidRDefault="009D1962">
            <w:pPr>
              <w:pStyle w:val="P68B1DB1-Normal4"/>
              <w:jc w:val="center"/>
              <w:rPr>
                <w:noProof/>
              </w:rPr>
            </w:pPr>
            <w:r>
              <w:rPr>
                <w:noProof/>
              </w:rPr>
              <w:t>Cel</w:t>
            </w:r>
          </w:p>
        </w:tc>
        <w:tc>
          <w:tcPr>
            <w:tcW w:w="1362" w:type="dxa"/>
            <w:shd w:val="clear" w:color="auto" w:fill="C6EFCE"/>
            <w:noWrap/>
            <w:vAlign w:val="center"/>
          </w:tcPr>
          <w:p w14:paraId="7DB5FFF3" w14:textId="77777777" w:rsidR="004C6421" w:rsidRDefault="009D1962">
            <w:pPr>
              <w:pStyle w:val="P68B1DB1-Normal4"/>
              <w:jc w:val="center"/>
              <w:rPr>
                <w:noProof/>
              </w:rPr>
            </w:pPr>
            <w:r>
              <w:rPr>
                <w:noProof/>
              </w:rPr>
              <w:t xml:space="preserve">Ukończone umowy w sprawie innowacji </w:t>
            </w:r>
          </w:p>
        </w:tc>
        <w:tc>
          <w:tcPr>
            <w:tcW w:w="1607" w:type="dxa"/>
            <w:shd w:val="clear" w:color="auto" w:fill="C6EFCE"/>
            <w:noWrap/>
            <w:vAlign w:val="center"/>
          </w:tcPr>
          <w:p w14:paraId="4A2901F1" w14:textId="77777777" w:rsidR="004C6421" w:rsidRDefault="009D1962">
            <w:pPr>
              <w:pStyle w:val="P68B1DB1-Normal4"/>
              <w:jc w:val="center"/>
              <w:rPr>
                <w:noProof/>
              </w:rPr>
            </w:pPr>
            <w:r>
              <w:rPr>
                <w:noProof/>
              </w:rPr>
              <w:t>NIE DOT.</w:t>
            </w:r>
          </w:p>
        </w:tc>
        <w:tc>
          <w:tcPr>
            <w:tcW w:w="1008" w:type="dxa"/>
            <w:shd w:val="clear" w:color="auto" w:fill="C6EFCE"/>
            <w:noWrap/>
            <w:vAlign w:val="center"/>
          </w:tcPr>
          <w:p w14:paraId="223C4D59" w14:textId="77777777" w:rsidR="004C6421" w:rsidRDefault="009D1962">
            <w:pPr>
              <w:pStyle w:val="P68B1DB1-Normal4"/>
              <w:jc w:val="center"/>
              <w:rPr>
                <w:noProof/>
              </w:rPr>
            </w:pPr>
            <w:r>
              <w:rPr>
                <w:noProof/>
              </w:rPr>
              <w:t>Numer</w:t>
            </w:r>
          </w:p>
        </w:tc>
        <w:tc>
          <w:tcPr>
            <w:tcW w:w="991" w:type="dxa"/>
            <w:shd w:val="clear" w:color="auto" w:fill="C6EFCE"/>
            <w:noWrap/>
            <w:vAlign w:val="center"/>
          </w:tcPr>
          <w:p w14:paraId="7E701E27" w14:textId="77777777" w:rsidR="004C6421" w:rsidRDefault="009D1962">
            <w:pPr>
              <w:pStyle w:val="P68B1DB1-Normal4"/>
              <w:jc w:val="center"/>
              <w:rPr>
                <w:noProof/>
              </w:rPr>
            </w:pPr>
            <w:r>
              <w:rPr>
                <w:noProof/>
              </w:rPr>
              <w:t>0</w:t>
            </w:r>
          </w:p>
        </w:tc>
        <w:tc>
          <w:tcPr>
            <w:tcW w:w="792" w:type="dxa"/>
            <w:shd w:val="clear" w:color="auto" w:fill="C6EFCE"/>
            <w:noWrap/>
            <w:vAlign w:val="center"/>
          </w:tcPr>
          <w:p w14:paraId="2E41C1AB" w14:textId="77777777" w:rsidR="004C6421" w:rsidRDefault="009D1962">
            <w:pPr>
              <w:pStyle w:val="P68B1DB1-Normal4"/>
              <w:jc w:val="center"/>
              <w:rPr>
                <w:noProof/>
              </w:rPr>
            </w:pPr>
            <w:r>
              <w:rPr>
                <w:noProof/>
              </w:rPr>
              <w:t>32</w:t>
            </w:r>
          </w:p>
        </w:tc>
        <w:tc>
          <w:tcPr>
            <w:tcW w:w="979" w:type="dxa"/>
            <w:shd w:val="clear" w:color="auto" w:fill="C6EFCE"/>
            <w:noWrap/>
            <w:vAlign w:val="center"/>
          </w:tcPr>
          <w:p w14:paraId="2BAF8E92" w14:textId="24BCDA51" w:rsidR="004C6421" w:rsidRDefault="00CC179E">
            <w:pPr>
              <w:pStyle w:val="P68B1DB1-Normal4"/>
              <w:jc w:val="center"/>
              <w:rPr>
                <w:noProof/>
              </w:rPr>
            </w:pPr>
            <w:r>
              <w:rPr>
                <w:noProof/>
              </w:rPr>
              <w:t>KW. 4</w:t>
            </w:r>
          </w:p>
        </w:tc>
        <w:tc>
          <w:tcPr>
            <w:tcW w:w="673" w:type="dxa"/>
            <w:shd w:val="clear" w:color="auto" w:fill="C6EFCE"/>
            <w:noWrap/>
            <w:vAlign w:val="center"/>
          </w:tcPr>
          <w:p w14:paraId="08FD3B87" w14:textId="77777777" w:rsidR="004C6421" w:rsidRDefault="009D1962">
            <w:pPr>
              <w:pStyle w:val="P68B1DB1-Normal4"/>
              <w:jc w:val="center"/>
              <w:rPr>
                <w:noProof/>
              </w:rPr>
            </w:pPr>
            <w:r>
              <w:rPr>
                <w:noProof/>
              </w:rPr>
              <w:t>2025</w:t>
            </w:r>
          </w:p>
        </w:tc>
        <w:tc>
          <w:tcPr>
            <w:tcW w:w="2977" w:type="dxa"/>
            <w:shd w:val="clear" w:color="auto" w:fill="C6EFCE"/>
            <w:noWrap/>
            <w:vAlign w:val="center"/>
          </w:tcPr>
          <w:p w14:paraId="75E15E44" w14:textId="77777777" w:rsidR="004C6421" w:rsidRDefault="009D1962">
            <w:pPr>
              <w:pStyle w:val="P68B1DB1-Normal4"/>
              <w:rPr>
                <w:noProof/>
              </w:rPr>
            </w:pPr>
            <w:r>
              <w:rPr>
                <w:noProof/>
              </w:rPr>
              <w:t>Ukończenie co najmniej 32 umów w sprawie innowacji.</w:t>
            </w:r>
          </w:p>
        </w:tc>
      </w:tr>
      <w:tr w:rsidR="004C6421" w14:paraId="47A81683" w14:textId="77777777">
        <w:trPr>
          <w:trHeight w:val="309"/>
          <w:jc w:val="center"/>
        </w:trPr>
        <w:tc>
          <w:tcPr>
            <w:tcW w:w="1503" w:type="dxa"/>
            <w:shd w:val="clear" w:color="auto" w:fill="C6EFCE"/>
            <w:noWrap/>
            <w:vAlign w:val="center"/>
            <w:hideMark/>
          </w:tcPr>
          <w:p w14:paraId="73CD4E34" w14:textId="77777777" w:rsidR="004C6421" w:rsidRDefault="009D1962">
            <w:pPr>
              <w:pStyle w:val="P68B1DB1-Normal4"/>
              <w:jc w:val="center"/>
              <w:rPr>
                <w:noProof/>
              </w:rPr>
            </w:pPr>
            <w:r>
              <w:rPr>
                <w:noProof/>
              </w:rPr>
              <w:t>M4C2-3</w:t>
            </w:r>
          </w:p>
        </w:tc>
        <w:tc>
          <w:tcPr>
            <w:tcW w:w="1596" w:type="dxa"/>
            <w:shd w:val="clear" w:color="auto" w:fill="C6EFCE"/>
            <w:noWrap/>
            <w:vAlign w:val="center"/>
            <w:hideMark/>
          </w:tcPr>
          <w:p w14:paraId="263E193A" w14:textId="77777777" w:rsidR="004C6421" w:rsidRDefault="009D1962">
            <w:pPr>
              <w:pStyle w:val="P68B1DB1-Normal4"/>
              <w:jc w:val="center"/>
              <w:rPr>
                <w:rFonts w:eastAsia="Calibri"/>
                <w:noProof/>
              </w:rPr>
            </w:pPr>
            <w:r>
              <w:rPr>
                <w:noProof/>
              </w:rPr>
              <w:t>Inwestycja 3.3: Wprowadzenie innowacyjnych doktoratów odpowiadających potrzebom przedsiębiorstw w zakresie innowacji i wspierających zatrudnianie naukowców przez przedsiębiorstwa</w:t>
            </w:r>
          </w:p>
        </w:tc>
        <w:tc>
          <w:tcPr>
            <w:tcW w:w="1416" w:type="dxa"/>
            <w:shd w:val="clear" w:color="auto" w:fill="C6EFCE"/>
            <w:noWrap/>
            <w:vAlign w:val="center"/>
            <w:hideMark/>
          </w:tcPr>
          <w:p w14:paraId="375A951F" w14:textId="77777777" w:rsidR="004C6421" w:rsidRDefault="009D1962">
            <w:pPr>
              <w:pStyle w:val="P68B1DB1-Normal4"/>
              <w:jc w:val="center"/>
              <w:rPr>
                <w:noProof/>
              </w:rPr>
            </w:pPr>
            <w:r>
              <w:rPr>
                <w:noProof/>
              </w:rPr>
              <w:t>Cel</w:t>
            </w:r>
          </w:p>
        </w:tc>
        <w:tc>
          <w:tcPr>
            <w:tcW w:w="1362" w:type="dxa"/>
            <w:shd w:val="clear" w:color="auto" w:fill="C6EFCE"/>
            <w:noWrap/>
            <w:vAlign w:val="center"/>
            <w:hideMark/>
          </w:tcPr>
          <w:p w14:paraId="291791F1" w14:textId="77777777" w:rsidR="004C6421" w:rsidRDefault="009D1962">
            <w:pPr>
              <w:pStyle w:val="P68B1DB1-Normal4"/>
              <w:jc w:val="center"/>
              <w:rPr>
                <w:noProof/>
              </w:rPr>
            </w:pPr>
            <w:r>
              <w:rPr>
                <w:noProof/>
              </w:rPr>
              <w:t>Liczba innowacyjnych stypendiów doktoranckich</w:t>
            </w:r>
          </w:p>
        </w:tc>
        <w:tc>
          <w:tcPr>
            <w:tcW w:w="1607" w:type="dxa"/>
            <w:shd w:val="clear" w:color="auto" w:fill="C6EFCE"/>
            <w:noWrap/>
            <w:vAlign w:val="center"/>
            <w:hideMark/>
          </w:tcPr>
          <w:p w14:paraId="08468F90" w14:textId="77777777" w:rsidR="004C6421" w:rsidRDefault="009D1962">
            <w:pPr>
              <w:pStyle w:val="P68B1DB1-Normal4"/>
              <w:jc w:val="center"/>
              <w:rPr>
                <w:noProof/>
              </w:rPr>
            </w:pPr>
            <w:r>
              <w:rPr>
                <w:noProof/>
              </w:rPr>
              <w:t>NIE DOT.</w:t>
            </w:r>
          </w:p>
        </w:tc>
        <w:tc>
          <w:tcPr>
            <w:tcW w:w="1008" w:type="dxa"/>
            <w:shd w:val="clear" w:color="auto" w:fill="C6EFCE"/>
            <w:noWrap/>
            <w:vAlign w:val="center"/>
            <w:hideMark/>
          </w:tcPr>
          <w:p w14:paraId="15FE45F5" w14:textId="77777777" w:rsidR="004C6421" w:rsidRDefault="009D1962">
            <w:pPr>
              <w:pStyle w:val="P68B1DB1-Normal4"/>
              <w:jc w:val="center"/>
              <w:rPr>
                <w:rFonts w:eastAsia="Calibri"/>
                <w:noProof/>
              </w:rPr>
            </w:pPr>
            <w:r>
              <w:rPr>
                <w:noProof/>
              </w:rPr>
              <w:t>Numer</w:t>
            </w:r>
          </w:p>
        </w:tc>
        <w:tc>
          <w:tcPr>
            <w:tcW w:w="991" w:type="dxa"/>
            <w:shd w:val="clear" w:color="auto" w:fill="C6EFCE"/>
            <w:noWrap/>
            <w:vAlign w:val="center"/>
            <w:hideMark/>
          </w:tcPr>
          <w:p w14:paraId="56CE75C9" w14:textId="77777777" w:rsidR="004C6421" w:rsidRDefault="009D1962">
            <w:pPr>
              <w:pStyle w:val="P68B1DB1-Normal4"/>
              <w:jc w:val="center"/>
              <w:rPr>
                <w:noProof/>
              </w:rPr>
            </w:pPr>
            <w:r>
              <w:rPr>
                <w:noProof/>
              </w:rPr>
              <w:t>0</w:t>
            </w:r>
          </w:p>
        </w:tc>
        <w:tc>
          <w:tcPr>
            <w:tcW w:w="792" w:type="dxa"/>
            <w:shd w:val="clear" w:color="auto" w:fill="C6EFCE"/>
            <w:noWrap/>
            <w:vAlign w:val="center"/>
            <w:hideMark/>
          </w:tcPr>
          <w:p w14:paraId="4989792F" w14:textId="7288EC3A" w:rsidR="004C6421" w:rsidRDefault="009D1962">
            <w:pPr>
              <w:jc w:val="center"/>
              <w:rPr>
                <w:rFonts w:ascii="Arial Narrow" w:hAnsi="Arial Narrow"/>
                <w:noProof/>
                <w:color w:val="006100"/>
                <w:sz w:val="20"/>
              </w:rPr>
            </w:pPr>
            <w:r>
              <w:rPr>
                <w:rFonts w:ascii="Arial Narrow" w:hAnsi="Arial Narrow"/>
                <w:noProof/>
                <w:color w:val="006100"/>
                <w:sz w:val="20"/>
              </w:rPr>
              <w:t>6</w:t>
            </w:r>
            <w:r>
              <w:rPr>
                <w:noProof/>
                <w:sz w:val="23"/>
              </w:rPr>
              <w:t xml:space="preserve"> </w:t>
            </w:r>
            <w:r>
              <w:rPr>
                <w:rFonts w:ascii="Arial Narrow" w:hAnsi="Arial Narrow"/>
                <w:noProof/>
                <w:color w:val="006100"/>
                <w:sz w:val="20"/>
              </w:rPr>
              <w:t>000</w:t>
            </w:r>
          </w:p>
        </w:tc>
        <w:tc>
          <w:tcPr>
            <w:tcW w:w="979" w:type="dxa"/>
            <w:shd w:val="clear" w:color="auto" w:fill="C6EFCE"/>
            <w:noWrap/>
            <w:vAlign w:val="center"/>
            <w:hideMark/>
          </w:tcPr>
          <w:p w14:paraId="39FADFC2" w14:textId="7C101E1A" w:rsidR="004C6421" w:rsidRDefault="00CC179E">
            <w:pPr>
              <w:pStyle w:val="P68B1DB1-Normal4"/>
              <w:jc w:val="center"/>
              <w:rPr>
                <w:noProof/>
              </w:rPr>
            </w:pPr>
            <w:r>
              <w:rPr>
                <w:noProof/>
              </w:rPr>
              <w:t>KW. 4</w:t>
            </w:r>
          </w:p>
        </w:tc>
        <w:tc>
          <w:tcPr>
            <w:tcW w:w="673" w:type="dxa"/>
            <w:shd w:val="clear" w:color="auto" w:fill="C6EFCE"/>
            <w:noWrap/>
            <w:vAlign w:val="center"/>
            <w:hideMark/>
          </w:tcPr>
          <w:p w14:paraId="6866ED97" w14:textId="77777777" w:rsidR="004C6421" w:rsidRDefault="009D1962">
            <w:pPr>
              <w:pStyle w:val="P68B1DB1-Normal4"/>
              <w:jc w:val="center"/>
              <w:rPr>
                <w:noProof/>
              </w:rPr>
            </w:pPr>
            <w:r>
              <w:rPr>
                <w:noProof/>
              </w:rPr>
              <w:t>2024</w:t>
            </w:r>
          </w:p>
        </w:tc>
        <w:tc>
          <w:tcPr>
            <w:tcW w:w="2977" w:type="dxa"/>
            <w:shd w:val="clear" w:color="auto" w:fill="C6EFCE"/>
            <w:noWrap/>
            <w:vAlign w:val="center"/>
            <w:hideMark/>
          </w:tcPr>
          <w:p w14:paraId="4FB5AB12" w14:textId="6E1298F6" w:rsidR="004C6421" w:rsidRDefault="009D1962">
            <w:pPr>
              <w:rPr>
                <w:rFonts w:ascii="Arial Narrow" w:hAnsi="Arial Narrow"/>
                <w:noProof/>
                <w:color w:val="006100"/>
                <w:sz w:val="20"/>
              </w:rPr>
            </w:pPr>
            <w:r>
              <w:rPr>
                <w:rFonts w:ascii="Arial Narrow" w:hAnsi="Arial Narrow"/>
                <w:noProof/>
                <w:color w:val="006100"/>
                <w:sz w:val="20"/>
              </w:rPr>
              <w:t>Przyznanie co najmniej 6000</w:t>
            </w:r>
            <w:r>
              <w:rPr>
                <w:noProof/>
                <w:sz w:val="23"/>
              </w:rPr>
              <w:t xml:space="preserve"> </w:t>
            </w:r>
            <w:r>
              <w:rPr>
                <w:rFonts w:ascii="Arial Narrow" w:hAnsi="Arial Narrow"/>
                <w:noProof/>
                <w:color w:val="006100"/>
                <w:sz w:val="20"/>
              </w:rPr>
              <w:t>stypendiów doktoranckich.</w:t>
            </w:r>
          </w:p>
          <w:p w14:paraId="0770BCFD" w14:textId="77777777" w:rsidR="004C6421" w:rsidRDefault="009D1962">
            <w:pPr>
              <w:pStyle w:val="P68B1DB1-Normal4"/>
              <w:rPr>
                <w:noProof/>
              </w:rPr>
            </w:pPr>
            <w:r>
              <w:rPr>
                <w:noProof/>
              </w:rPr>
              <w:t>Kluczowe wymogi dotyczące identyfikacji innowacyjnych doktorantów obejmują:</w:t>
            </w:r>
          </w:p>
          <w:p w14:paraId="0B0EFB86" w14:textId="77777777" w:rsidR="004C6421" w:rsidRDefault="009D1962">
            <w:pPr>
              <w:pStyle w:val="P68B1DB1-Normal4"/>
              <w:rPr>
                <w:noProof/>
              </w:rPr>
            </w:pPr>
            <w:r>
              <w:rPr>
                <w:noProof/>
              </w:rPr>
              <w:t>obejmować obszary dyscyplinarne i tematyczne zgodne z potrzebami rynku pracy regionów uczestniczących w programie pod względem wysoko wykwalifikowanych osób;</w:t>
            </w:r>
          </w:p>
          <w:p w14:paraId="58D3ED57" w14:textId="77777777" w:rsidR="004C6421" w:rsidRDefault="009D1962">
            <w:pPr>
              <w:pStyle w:val="P68B1DB1-Normal4"/>
              <w:rPr>
                <w:noProof/>
              </w:rPr>
            </w:pPr>
            <w:r>
              <w:rPr>
                <w:noProof/>
              </w:rPr>
              <w:t>b) ich łączny czas trwania wynosi 3 lata;</w:t>
            </w:r>
          </w:p>
          <w:p w14:paraId="5544FC25" w14:textId="77777777" w:rsidR="004C6421" w:rsidRDefault="009D1962">
            <w:pPr>
              <w:pStyle w:val="P68B1DB1-Normal4"/>
              <w:rPr>
                <w:noProof/>
              </w:rPr>
            </w:pPr>
            <w:r>
              <w:rPr>
                <w:noProof/>
              </w:rPr>
              <w:t>zapewnienie realizacji całego kursu doktoranckiego, szkoleniowego, badawczego i oceniającego w siedzibie administracyjnej i operacyjnej uniwersytetu będącego beneficjentem, znajdującej się w regionach docelowych programu, bez uszczerbku dla okresów studiów i badań w przedsiębiorstwie i za granicą, zaplanowanych zgodnie z działaniami szkoleniowymi i badawczymi przewidzianymi w biurach podmiotu proponującego;</w:t>
            </w:r>
          </w:p>
          <w:p w14:paraId="5289F39A" w14:textId="77777777" w:rsidR="004C6421" w:rsidRDefault="009D1962">
            <w:pPr>
              <w:pStyle w:val="P68B1DB1-Normal4"/>
              <w:rPr>
                <w:noProof/>
              </w:rPr>
            </w:pPr>
            <w:r>
              <w:rPr>
                <w:noProof/>
              </w:rPr>
              <w:t>d) przewiduje okresy studiów i badań w przedsiębiorstwie od co najmniej sześciu (6) miesięcy do maksymalnie osiemnastu (18) miesięcy;</w:t>
            </w:r>
          </w:p>
          <w:p w14:paraId="115344D2" w14:textId="77777777" w:rsidR="004C6421" w:rsidRDefault="009D1962">
            <w:pPr>
              <w:pStyle w:val="P68B1DB1-Normal4"/>
              <w:rPr>
                <w:noProof/>
              </w:rPr>
            </w:pPr>
            <w:r>
              <w:rPr>
                <w:noProof/>
              </w:rPr>
              <w:t>e) przewiduje okresy studiów i badań za granicą od co najmniej sześciu (6) miesięcy do maksymalnie osiemnastu (18) miesięcy;</w:t>
            </w:r>
          </w:p>
          <w:p w14:paraId="4283F904" w14:textId="77777777" w:rsidR="004C6421" w:rsidRDefault="009D1962">
            <w:pPr>
              <w:pStyle w:val="P68B1DB1-Normal4"/>
              <w:rPr>
                <w:noProof/>
              </w:rPr>
            </w:pPr>
            <w:r>
              <w:rPr>
                <w:noProof/>
              </w:rPr>
              <w:t>zapewnienie, aby doktorant mógł korzystać z wykwalifikowanych i specjalnych struktur operacyjnych i naukowych, zgodnie z prawem, do celów studiów i badań, w tym (jeżeli jest to istotne dla rodzaju kursu) laboratoriów naukowych, bibliotek, baz danych itp.;</w:t>
            </w:r>
          </w:p>
          <w:p w14:paraId="5BF4E84A" w14:textId="77777777" w:rsidR="004C6421" w:rsidRDefault="009D1962">
            <w:pPr>
              <w:pStyle w:val="P68B1DB1-Normal4"/>
              <w:rPr>
                <w:noProof/>
              </w:rPr>
            </w:pPr>
            <w:r>
              <w:rPr>
                <w:noProof/>
              </w:rPr>
              <w:t>zapewnienie realizacji działań dydaktycznych na rzecz doskonalenia językowego i informatycznego, zarządzania badaniami i wiedzy na temat europejskich i międzynarodowych systemów badawczych, poprawy wyników badań i własności intelektualnej;</w:t>
            </w:r>
          </w:p>
          <w:p w14:paraId="5D8056EB" w14:textId="77777777" w:rsidR="004C6421" w:rsidRDefault="009D1962">
            <w:pPr>
              <w:pStyle w:val="P68B1DB1-Normal4"/>
              <w:rPr>
                <w:noProof/>
              </w:rPr>
            </w:pPr>
            <w:r>
              <w:rPr>
                <w:noProof/>
              </w:rPr>
              <w:t>zapewnienie zaangażowania przedsiębiorstw w określanie kursu szkoleniowego również w kontekście szerszej współpracy z Uniwersytetem;</w:t>
            </w:r>
          </w:p>
          <w:p w14:paraId="1F934EC3" w14:textId="77777777" w:rsidR="004C6421" w:rsidRDefault="009D1962">
            <w:pPr>
              <w:pStyle w:val="P68B1DB1-Normal4"/>
              <w:rPr>
                <w:noProof/>
              </w:rPr>
            </w:pPr>
            <w:r>
              <w:rPr>
                <w:noProof/>
              </w:rPr>
              <w:t>zapewnienie zgodności z zasadami horyzontalnymi (zrównoważoność środowiskowa; zrównoważonego rozwoju; równych szans i niedyskryminacji; dostępność dla osób niepełnosprawnych).</w:t>
            </w:r>
          </w:p>
          <w:p w14:paraId="71415D10" w14:textId="77777777" w:rsidR="004C6421" w:rsidRDefault="004C6421">
            <w:pPr>
              <w:rPr>
                <w:rFonts w:ascii="Arial Narrow" w:hAnsi="Arial Narrow"/>
                <w:noProof/>
                <w:color w:val="006100"/>
                <w:sz w:val="20"/>
              </w:rPr>
            </w:pPr>
          </w:p>
          <w:p w14:paraId="739C20ED" w14:textId="77777777" w:rsidR="004C6421" w:rsidRDefault="009D1962">
            <w:pPr>
              <w:pStyle w:val="P68B1DB1-Normal4"/>
              <w:rPr>
                <w:noProof/>
              </w:rPr>
            </w:pPr>
            <w:r>
              <w:rPr>
                <w:noProof/>
              </w:rPr>
              <w:t>Procedura wyboru obejmuje kryteria kwalifikowalności, które zapewniają zgodność wybranych projektów z wytycznymi technicznymi dotyczącymi zasady „nie czyń poważnych szkód” (2021/C58/01) poprzez wykorzystanie listy wykluczenia oraz wymóg zgodności z odpowiednimi unijnymi i krajowymi przepisami w zakresie ochrony środowiska.</w:t>
            </w:r>
          </w:p>
        </w:tc>
      </w:tr>
      <w:tr w:rsidR="004C6421" w14:paraId="15A0DEF7" w14:textId="77777777">
        <w:trPr>
          <w:trHeight w:val="309"/>
          <w:jc w:val="center"/>
        </w:trPr>
        <w:tc>
          <w:tcPr>
            <w:tcW w:w="1503" w:type="dxa"/>
            <w:shd w:val="clear" w:color="auto" w:fill="C6EFCE"/>
            <w:noWrap/>
            <w:vAlign w:val="center"/>
            <w:hideMark/>
          </w:tcPr>
          <w:p w14:paraId="16748785" w14:textId="77777777" w:rsidR="004C6421" w:rsidRDefault="009D1962">
            <w:pPr>
              <w:pStyle w:val="P68B1DB1-Normal4"/>
              <w:jc w:val="center"/>
              <w:rPr>
                <w:noProof/>
              </w:rPr>
            </w:pPr>
            <w:r>
              <w:rPr>
                <w:noProof/>
              </w:rPr>
              <w:t>M4C2-4</w:t>
            </w:r>
          </w:p>
        </w:tc>
        <w:tc>
          <w:tcPr>
            <w:tcW w:w="1596" w:type="dxa"/>
            <w:shd w:val="clear" w:color="auto" w:fill="C6EFCE"/>
            <w:noWrap/>
            <w:vAlign w:val="center"/>
            <w:hideMark/>
          </w:tcPr>
          <w:p w14:paraId="0F7FAA53" w14:textId="77777777" w:rsidR="004C6421" w:rsidRDefault="009D1962">
            <w:pPr>
              <w:pStyle w:val="P68B1DB1-Normal4"/>
              <w:jc w:val="center"/>
              <w:rPr>
                <w:noProof/>
              </w:rPr>
            </w:pPr>
            <w:r>
              <w:rPr>
                <w:noProof/>
              </w:rPr>
              <w:t>Reforma 1.1: Wdrażanie środków wspierających badania i rozwój w celu promowania uproszczenia i mobilności</w:t>
            </w:r>
          </w:p>
        </w:tc>
        <w:tc>
          <w:tcPr>
            <w:tcW w:w="1416" w:type="dxa"/>
            <w:shd w:val="clear" w:color="auto" w:fill="C6EFCE"/>
            <w:noWrap/>
            <w:vAlign w:val="center"/>
            <w:hideMark/>
          </w:tcPr>
          <w:p w14:paraId="2FB5DDB0" w14:textId="115FD2FE" w:rsidR="004C6421" w:rsidRDefault="00CC179E">
            <w:pPr>
              <w:pStyle w:val="P68B1DB1-Normal4"/>
              <w:jc w:val="center"/>
              <w:rPr>
                <w:noProof/>
              </w:rPr>
            </w:pPr>
            <w:r>
              <w:rPr>
                <w:noProof/>
              </w:rPr>
              <w:t>Milowy</w:t>
            </w:r>
          </w:p>
        </w:tc>
        <w:tc>
          <w:tcPr>
            <w:tcW w:w="1362" w:type="dxa"/>
            <w:shd w:val="clear" w:color="auto" w:fill="C6EFCE"/>
            <w:noWrap/>
            <w:vAlign w:val="center"/>
            <w:hideMark/>
          </w:tcPr>
          <w:p w14:paraId="6F0670DE" w14:textId="77777777" w:rsidR="004C6421" w:rsidRDefault="009D1962">
            <w:pPr>
              <w:pStyle w:val="P68B1DB1-Normal4"/>
              <w:jc w:val="center"/>
              <w:rPr>
                <w:noProof/>
              </w:rPr>
            </w:pPr>
            <w:r>
              <w:rPr>
                <w:noProof/>
              </w:rPr>
              <w:t>Wejście w życie dekretów ministerialnych w sprawie uproszczenia badań i rozwoju oraz mobilności związanych ze zwykłym funduszem finansowym.</w:t>
            </w:r>
          </w:p>
        </w:tc>
        <w:tc>
          <w:tcPr>
            <w:tcW w:w="1607" w:type="dxa"/>
            <w:shd w:val="clear" w:color="auto" w:fill="C6EFCE"/>
            <w:noWrap/>
            <w:vAlign w:val="center"/>
            <w:hideMark/>
          </w:tcPr>
          <w:p w14:paraId="6524DCDF" w14:textId="77777777" w:rsidR="004C6421" w:rsidRDefault="009D1962">
            <w:pPr>
              <w:pStyle w:val="P68B1DB1-Normal4"/>
              <w:jc w:val="center"/>
              <w:rPr>
                <w:noProof/>
              </w:rPr>
            </w:pPr>
            <w:r>
              <w:rPr>
                <w:noProof/>
              </w:rPr>
              <w:t>Przepis w dekrecie wskazujący na wejście w życie ustawy NIE DOT.</w:t>
            </w:r>
          </w:p>
        </w:tc>
        <w:tc>
          <w:tcPr>
            <w:tcW w:w="1008" w:type="dxa"/>
            <w:shd w:val="clear" w:color="auto" w:fill="C6EFCE"/>
            <w:noWrap/>
            <w:vAlign w:val="center"/>
            <w:hideMark/>
          </w:tcPr>
          <w:p w14:paraId="523A4A53" w14:textId="77777777" w:rsidR="004C6421" w:rsidRDefault="009D1962">
            <w:pPr>
              <w:pStyle w:val="P68B1DB1-Normal4"/>
              <w:jc w:val="center"/>
              <w:rPr>
                <w:noProof/>
              </w:rPr>
            </w:pPr>
            <w:r>
              <w:rPr>
                <w:noProof/>
              </w:rPr>
              <w:t>NIE DOT.</w:t>
            </w:r>
          </w:p>
        </w:tc>
        <w:tc>
          <w:tcPr>
            <w:tcW w:w="991" w:type="dxa"/>
            <w:shd w:val="clear" w:color="auto" w:fill="C6EFCE"/>
            <w:noWrap/>
            <w:vAlign w:val="center"/>
            <w:hideMark/>
          </w:tcPr>
          <w:p w14:paraId="214240E6" w14:textId="77777777" w:rsidR="004C6421" w:rsidRDefault="009D1962">
            <w:pPr>
              <w:pStyle w:val="P68B1DB1-Normal4"/>
              <w:jc w:val="center"/>
              <w:rPr>
                <w:noProof/>
              </w:rPr>
            </w:pPr>
            <w:r>
              <w:rPr>
                <w:noProof/>
              </w:rPr>
              <w:t>NIE DOT.</w:t>
            </w:r>
          </w:p>
        </w:tc>
        <w:tc>
          <w:tcPr>
            <w:tcW w:w="792" w:type="dxa"/>
            <w:shd w:val="clear" w:color="auto" w:fill="C6EFCE"/>
            <w:noWrap/>
            <w:vAlign w:val="center"/>
            <w:hideMark/>
          </w:tcPr>
          <w:p w14:paraId="05C07CDE" w14:textId="77777777" w:rsidR="004C6421" w:rsidRDefault="004C6421">
            <w:pPr>
              <w:jc w:val="center"/>
              <w:rPr>
                <w:rFonts w:ascii="Arial Narrow" w:hAnsi="Arial Narrow"/>
                <w:noProof/>
                <w:color w:val="006100"/>
                <w:sz w:val="20"/>
              </w:rPr>
            </w:pPr>
          </w:p>
        </w:tc>
        <w:tc>
          <w:tcPr>
            <w:tcW w:w="979" w:type="dxa"/>
            <w:shd w:val="clear" w:color="auto" w:fill="C6EFCE"/>
            <w:noWrap/>
            <w:vAlign w:val="center"/>
            <w:hideMark/>
          </w:tcPr>
          <w:p w14:paraId="448304CC" w14:textId="77777777" w:rsidR="004C6421" w:rsidRDefault="009D1962">
            <w:pPr>
              <w:pStyle w:val="P68B1DB1-Normal4"/>
              <w:jc w:val="center"/>
              <w:rPr>
                <w:noProof/>
              </w:rPr>
            </w:pPr>
            <w:r>
              <w:rPr>
                <w:noProof/>
              </w:rPr>
              <w:t>II KW.</w:t>
            </w:r>
          </w:p>
        </w:tc>
        <w:tc>
          <w:tcPr>
            <w:tcW w:w="673" w:type="dxa"/>
            <w:shd w:val="clear" w:color="auto" w:fill="C6EFCE"/>
            <w:noWrap/>
            <w:vAlign w:val="center"/>
            <w:hideMark/>
          </w:tcPr>
          <w:p w14:paraId="715BF021" w14:textId="77777777" w:rsidR="004C6421" w:rsidRDefault="009D1962">
            <w:pPr>
              <w:pStyle w:val="P68B1DB1-Normal4"/>
              <w:jc w:val="center"/>
              <w:rPr>
                <w:noProof/>
              </w:rPr>
            </w:pPr>
            <w:r>
              <w:rPr>
                <w:noProof/>
              </w:rPr>
              <w:t>2022</w:t>
            </w:r>
          </w:p>
        </w:tc>
        <w:tc>
          <w:tcPr>
            <w:tcW w:w="2977" w:type="dxa"/>
            <w:shd w:val="clear" w:color="auto" w:fill="C6EFCE"/>
            <w:noWrap/>
            <w:vAlign w:val="center"/>
            <w:hideMark/>
          </w:tcPr>
          <w:p w14:paraId="6F182303" w14:textId="77777777" w:rsidR="004C6421" w:rsidRDefault="009D1962">
            <w:pPr>
              <w:pStyle w:val="P68B1DB1-Normal4"/>
              <w:rPr>
                <w:noProof/>
              </w:rPr>
            </w:pPr>
            <w:r>
              <w:rPr>
                <w:noProof/>
              </w:rPr>
              <w:t>Dekrety ministerialne zawierają następujące kluczowe elementy:</w:t>
            </w:r>
          </w:p>
          <w:p w14:paraId="0C042234" w14:textId="77777777" w:rsidR="004C6421" w:rsidRDefault="009D1962">
            <w:pPr>
              <w:pStyle w:val="P68B1DB1-Normal4"/>
              <w:rPr>
                <w:noProof/>
              </w:rPr>
            </w:pPr>
            <w:r>
              <w:rPr>
                <w:noProof/>
              </w:rPr>
              <w:t>przejście na bardziej systemowe podejście do działań badawczo-rozwojowych za pomocą nowego uproszczonego modelu mającego na celu wywarcie znaczącego wpływu poprzez unikanie rozproszenia i fragmentacji priorytetów; zreformowanie prawodawstwa w celu zwiększenia mobilności wybitnych postaci (takich jak naukowcy i kadra kierownicza) między uniwersytetami, infrastrukturami badawczymi i przedsiębiorstwami; uproszczenie zarządzania funduszami; zreformowanie ścieżki kariery naukowców w celu położenia większego nacisku na działalność badawczą.</w:t>
            </w:r>
          </w:p>
        </w:tc>
      </w:tr>
    </w:tbl>
    <w:p w14:paraId="57965470" w14:textId="77777777" w:rsidR="004C6421" w:rsidRDefault="004C6421">
      <w:pPr>
        <w:spacing w:before="120" w:after="120"/>
        <w:ind w:left="709"/>
        <w:jc w:val="both"/>
        <w:rPr>
          <w:noProof/>
        </w:rPr>
        <w:sectPr w:rsidR="004C6421" w:rsidSect="00797973">
          <w:headerReference w:type="even" r:id="rId284"/>
          <w:headerReference w:type="default" r:id="rId285"/>
          <w:footerReference w:type="even" r:id="rId286"/>
          <w:footerReference w:type="default" r:id="rId287"/>
          <w:headerReference w:type="first" r:id="rId288"/>
          <w:footerReference w:type="first" r:id="rId289"/>
          <w:pgSz w:w="16839" w:h="11907" w:orient="landscape"/>
          <w:pgMar w:top="1134" w:right="1134" w:bottom="1134" w:left="1134" w:header="567" w:footer="567" w:gutter="0"/>
          <w:cols w:space="720"/>
          <w:docGrid w:linePitch="360"/>
        </w:sectPr>
      </w:pPr>
    </w:p>
    <w:p w14:paraId="3D323B0F" w14:textId="77777777" w:rsidR="004C6421" w:rsidRDefault="009D1962">
      <w:pPr>
        <w:pStyle w:val="Heading3"/>
        <w:numPr>
          <w:ilvl w:val="0"/>
          <w:numId w:val="0"/>
        </w:numPr>
        <w:ind w:left="850" w:hanging="850"/>
        <w:rPr>
          <w:b/>
          <w:i w:val="0"/>
          <w:noProof/>
          <w:color w:val="4472C4" w:themeColor="accent1"/>
          <w:u w:val="single"/>
        </w:rPr>
      </w:pPr>
      <w:r>
        <w:rPr>
          <w:b/>
          <w:i w:val="0"/>
          <w:noProof/>
          <w:u w:val="single"/>
        </w:rPr>
        <w:t xml:space="preserve">K.3. </w:t>
      </w:r>
      <w:r>
        <w:rPr>
          <w:noProof/>
        </w:rPr>
        <w:t xml:space="preserve"> </w:t>
      </w:r>
      <w:r>
        <w:rPr>
          <w:b/>
          <w:i w:val="0"/>
          <w:noProof/>
          <w:u w:val="single"/>
        </w:rPr>
        <w:t xml:space="preserve">Opis reform i inwestycji związanych z pożyczką </w:t>
      </w:r>
    </w:p>
    <w:p w14:paraId="4B107747" w14:textId="77777777" w:rsidR="004C6421" w:rsidRDefault="009D1962">
      <w:pPr>
        <w:pStyle w:val="P68B1DB1-Normal17"/>
        <w:spacing w:before="120" w:after="120"/>
        <w:jc w:val="both"/>
        <w:rPr>
          <w:rFonts w:eastAsia="Calibri"/>
          <w:noProof/>
        </w:rPr>
      </w:pPr>
      <w:r>
        <w:rPr>
          <w:noProof/>
        </w:rPr>
        <w:t>Inwestycje 1.1: Projekty badawcze o istotnym znaczeniu narodowym (PRIN)</w:t>
      </w:r>
    </w:p>
    <w:p w14:paraId="51BCCDE9" w14:textId="77777777" w:rsidR="004C6421" w:rsidRDefault="009D1962">
      <w:pPr>
        <w:pStyle w:val="P68B1DB1-Normal11"/>
        <w:spacing w:before="120" w:after="120"/>
        <w:jc w:val="both"/>
        <w:rPr>
          <w:rFonts w:eastAsia="Calibri"/>
          <w:noProof/>
        </w:rPr>
      </w:pPr>
      <w:r>
        <w:rPr>
          <w:noProof/>
        </w:rPr>
        <w:t>Środek ten polega na finansowaniu projektów badawczych o dużym znaczeniu narodowym (PRIN). Projekty trwają co najmniej dwa lata i wymagają współpracy jednostek badawczych należących do uniwersytetów i instytucji badawczych. Projekty finansowane są wybierane przez Ministerstwo Uniwersytetów i Badań Naukowych na podstawie jakości profilu naukowego osób odpowiedzialnych, a także oryginalności, adekwatności metodologicznej, wpływu i wykonalności projektu badawczego. Ten rodzaj działalności stymuluje rozwój opartych na badaniach naukowych inicjatyw ukierunkowanych na badania pionierskie oraz silniejszą interakcję między uniwersytetami a instytucjami badawczymi.</w:t>
      </w:r>
    </w:p>
    <w:p w14:paraId="53344BCB" w14:textId="42100759" w:rsidR="004C6421" w:rsidRDefault="009D1962">
      <w:pPr>
        <w:spacing w:before="120" w:after="120"/>
        <w:jc w:val="both"/>
        <w:rPr>
          <w:rFonts w:eastAsia="Calibri"/>
          <w:noProof/>
          <w:color w:val="000000" w:themeColor="text1"/>
        </w:rPr>
      </w:pPr>
      <w:r>
        <w:rPr>
          <w:noProof/>
          <w:color w:val="000000" w:themeColor="text1"/>
        </w:rPr>
        <w:t>Oczekuje się, że inwestycja sfinansuje do 2026 r.</w:t>
      </w:r>
      <w:r>
        <w:rPr>
          <w:noProof/>
          <w:sz w:val="23"/>
        </w:rPr>
        <w:t xml:space="preserve"> </w:t>
      </w:r>
      <w:r>
        <w:rPr>
          <w:noProof/>
          <w:color w:val="000000" w:themeColor="text1"/>
        </w:rPr>
        <w:t>5350 projektów.</w:t>
      </w:r>
    </w:p>
    <w:p w14:paraId="184C9705" w14:textId="77777777" w:rsidR="004C6421" w:rsidRDefault="009D1962">
      <w:pPr>
        <w:spacing w:before="120" w:after="120"/>
        <w:jc w:val="both"/>
        <w:rPr>
          <w:rFonts w:eastAsia="Calibri"/>
          <w:noProof/>
          <w:color w:val="000000" w:themeColor="text1"/>
        </w:rPr>
      </w:pPr>
      <w:r>
        <w:rPr>
          <w:noProof/>
          <w:color w:val="000000" w:themeColor="text1"/>
        </w:rPr>
        <w:t>Aby zapewnić zgodność środka z wytycznymi technicznymi zasady „nie czyń poważnych szkód” (2021/C58/01), kryteria kwalifikowalności zawarte w zakresie wymagań i obowiązków w odniesieniu do przyszłych zaproszeń do składania projektów wykluczają następujący wykaz działań: (i) działalności związanej z paliwami kopalnymi, w tym wykorzystania niższego szczebla</w:t>
      </w:r>
      <w:r>
        <w:rPr>
          <w:rStyle w:val="FootnoteReference"/>
          <w:rFonts w:eastAsia="Calibri"/>
          <w:noProof/>
          <w:color w:val="000000" w:themeColor="text1"/>
        </w:rPr>
        <w:footnoteReference w:id="75"/>
      </w:r>
      <w:r>
        <w:rPr>
          <w:noProof/>
          <w:color w:val="000000" w:themeColor="text1"/>
        </w:rPr>
        <w:t>; (II) działania w ramach unijnego systemu handlu uprawnieniami do emisji (ETS) prowadzące do osiągnięcia prognozowanych emisji gazów cieplarnianych, które nie są niższe niż odpowiednie wskaźniki referencyjne</w:t>
      </w:r>
      <w:r>
        <w:rPr>
          <w:rStyle w:val="FootnoteReference"/>
          <w:rFonts w:eastAsia="Calibri"/>
          <w:noProof/>
          <w:color w:val="000000" w:themeColor="text1"/>
        </w:rPr>
        <w:footnoteReference w:id="76"/>
      </w:r>
      <w:r>
        <w:rPr>
          <w:noProof/>
          <w:color w:val="000000" w:themeColor="text1"/>
        </w:rPr>
        <w:t>; (III) działania związane ze składowiskami odpadów, spalarniami</w:t>
      </w:r>
      <w:r>
        <w:rPr>
          <w:rStyle w:val="FootnoteReference"/>
          <w:rFonts w:eastAsia="Calibri"/>
          <w:noProof/>
          <w:color w:val="000000" w:themeColor="text1"/>
        </w:rPr>
        <w:footnoteReference w:id="77"/>
      </w:r>
      <w:r>
        <w:rPr>
          <w:noProof/>
        </w:rPr>
        <w:t xml:space="preserve"> </w:t>
      </w:r>
      <w:r>
        <w:rPr>
          <w:noProof/>
          <w:color w:val="000000" w:themeColor="text1"/>
        </w:rPr>
        <w:t>i zakładami mechaniczno-biologicznego przetwarzania odpadów</w:t>
      </w:r>
      <w:r>
        <w:rPr>
          <w:rStyle w:val="FootnoteReference"/>
          <w:rFonts w:eastAsia="Calibri"/>
          <w:noProof/>
          <w:color w:val="000000" w:themeColor="text1"/>
        </w:rPr>
        <w:footnoteReference w:id="78"/>
      </w:r>
      <w:r>
        <w:rPr>
          <w:noProof/>
          <w:color w:val="000000" w:themeColor="text1"/>
        </w:rPr>
        <w:t>; oraz (iv) działań, w przypadku których długoterminowe unieszkodliwianie odpadów może szkodzić środowisku naturalnemu. Ponadto w zakresie wymagań i obowiązków wymaga się, aby do wyboru kwalifikowały się wyłącznie działania zgodne z odpowiednimi przepisami unijnymi i krajowymi w zakresie ochrony środowiska.</w:t>
      </w:r>
    </w:p>
    <w:p w14:paraId="4D4A6059" w14:textId="77777777" w:rsidR="004C6421" w:rsidRDefault="009D1962">
      <w:pPr>
        <w:pStyle w:val="paragraph"/>
        <w:spacing w:before="120" w:beforeAutospacing="0" w:after="120" w:afterAutospacing="0"/>
        <w:jc w:val="both"/>
        <w:textAlignment w:val="baseline"/>
        <w:rPr>
          <w:rStyle w:val="eop"/>
          <w:rFonts w:eastAsiaTheme="majorEastAsia"/>
          <w:b/>
          <w:noProof/>
          <w:color w:val="000000" w:themeColor="text1"/>
          <w:shd w:val="clear" w:color="auto" w:fill="FFFFFF"/>
        </w:rPr>
      </w:pPr>
      <w:r>
        <w:rPr>
          <w:rStyle w:val="normaltextrun"/>
          <w:b/>
          <w:noProof/>
          <w:color w:val="000000" w:themeColor="text1"/>
          <w:shd w:val="clear" w:color="auto" w:fill="FFFFFF"/>
        </w:rPr>
        <w:t>Inwestycja 1.3: Partnerstwa rozszerzone na uniwersytety, ośrodki badawcze, przedsiębiorstwa i finansowanie podstawowych projektów badawczych</w:t>
      </w:r>
    </w:p>
    <w:p w14:paraId="395F25C0" w14:textId="77777777" w:rsidR="004C6421" w:rsidRDefault="009D1962">
      <w:pPr>
        <w:spacing w:before="120" w:after="120"/>
        <w:jc w:val="both"/>
        <w:rPr>
          <w:rFonts w:eastAsia="Calibri"/>
          <w:noProof/>
          <w:color w:val="000000" w:themeColor="text1"/>
        </w:rPr>
      </w:pPr>
      <w:r>
        <w:rPr>
          <w:noProof/>
          <w:color w:val="000000" w:themeColor="text1"/>
        </w:rPr>
        <w:t>W porównaniu z innymi krajami europejskimi szczególnie krytyczny wydaje się niski poziom produkcji patentów i firm odpryskowych we włoskim systemie badawczym i uniwersyteckim</w:t>
      </w:r>
      <w:r>
        <w:rPr>
          <w:rStyle w:val="FootnoteReference"/>
          <w:rFonts w:eastAsia="Calibri"/>
          <w:noProof/>
          <w:color w:val="000000" w:themeColor="text1"/>
        </w:rPr>
        <w:footnoteReference w:id="79"/>
      </w:r>
      <w:r>
        <w:rPr>
          <w:noProof/>
        </w:rPr>
        <w:t>.</w:t>
      </w:r>
      <w:r>
        <w:rPr>
          <w:noProof/>
          <w:color w:val="000000" w:themeColor="text1"/>
        </w:rPr>
        <w:t xml:space="preserve"> Wynika to z pewnych wyzwań strukturalnych, takich jak dominująca rola małych i średnich przedsiębiorstw w gospodarce krajowej, duże dysproporcje regionalne pod względem dochodów i wydajności oraz niska zdolność uniwersytetów do nawiązywania kontaktów z przedsiębiorstwami. </w:t>
      </w:r>
    </w:p>
    <w:p w14:paraId="1238146A" w14:textId="77777777" w:rsidR="004C6421" w:rsidRDefault="009D1962">
      <w:pPr>
        <w:pStyle w:val="P68B1DB1-Normal11"/>
        <w:spacing w:before="120" w:after="120"/>
        <w:jc w:val="both"/>
        <w:rPr>
          <w:rFonts w:eastAsia="Calibri"/>
          <w:noProof/>
        </w:rPr>
      </w:pPr>
      <w:r>
        <w:rPr>
          <w:noProof/>
        </w:rPr>
        <w:t xml:space="preserve">Inwestycja ma na celu sfinansowanie co najmniej 14 głównych podstawowych programów badawczych prowadzonych przez szeroko zakrojone sieci podmiotów publicznych i prywatnych. Inwestycja jest dostosowana do jednego z celów PNR, jakim jest promowanie pozytywnych zmian poprzez wykorzystanie badań podstawowych. W odniesieniu do każdego programu przeprowadza się specjalne procesy zaangażowania zainteresowanych stron w celu zaangażowania obywateli, a także ułatwiania transferu technologii i wiedzy na terytoria, przedsiębiorstwa i organy administracji publicznej. </w:t>
      </w:r>
    </w:p>
    <w:p w14:paraId="0C73DBEF" w14:textId="77777777" w:rsidR="004C6421" w:rsidRDefault="009D1962">
      <w:pPr>
        <w:pStyle w:val="P68B1DB1-Normal11"/>
        <w:spacing w:before="120" w:after="120"/>
        <w:jc w:val="both"/>
        <w:rPr>
          <w:rFonts w:eastAsia="Calibri"/>
          <w:noProof/>
        </w:rPr>
      </w:pPr>
      <w:r>
        <w:rPr>
          <w:noProof/>
        </w:rPr>
        <w:t>Oczekuje się, że inwestycja wzmocni krajowe łańcuchy technologiczne i zwiększy ich udział w strategicznych europejskich i globalnych łańcuchach wartości. Możliwe są następujące przykłady: mobilność zgodna z zasadami zrównoważonego rozwoju (zrównoważone baterie, materiały, logistyka itp.), alternatywne źródła energii, nadprzewodniki, monitorowanie zmiany klimatu i zapobieganie jej, gospodarka o obiegu zamkniętym w przemyśle mody, symbioza przemysłowa, ekoprojektowanie i projektowanie na rzecz zrównoważonego rozwoju, gospodarowanie odpadami, recykling i upcykling, różnorodność biologiczna, ekologiczne procesy produkcji, pojazdy autonomiczne, szczepionki, bioreaktory, nowe surowce, gospodarka wodna i ochrona zasobów wodnych dziedzictwo kulturowe.  Oczekuje się, że każdy program będzie promować agregację małych i średnich przedsiębiorstw wokół dużych podmiotów prywatnych i publicznych ośrodków badawczych oraz zachęcać do wspólnych i uzupełniających się działań badawczych. Projekty badawczo-rozwojowe obejmują inwestycje zarówno w kapitał ludzki, jak i w rozwój badań podstawowych dla uniwersytetów, ośrodków badawczych i przedsiębiorstw. </w:t>
      </w:r>
    </w:p>
    <w:p w14:paraId="53C926DB" w14:textId="77777777" w:rsidR="004C6421" w:rsidRDefault="009D1962">
      <w:pPr>
        <w:spacing w:before="120" w:after="120"/>
        <w:jc w:val="both"/>
        <w:rPr>
          <w:rFonts w:eastAsia="Calibri"/>
          <w:noProof/>
          <w:color w:val="000000" w:themeColor="text1"/>
        </w:rPr>
      </w:pPr>
      <w:r>
        <w:rPr>
          <w:noProof/>
          <w:color w:val="000000" w:themeColor="text1"/>
        </w:rPr>
        <w:t>Aby zapewnić zgodność środka z wytycznymi technicznymi dotyczącymi zasady „nie czyń poważnych szkód” (2021/C58/01), kryteria kwalifikowalności zawarte w zakresie wymagań i obowiązków dla przyszłych zaproszeń do składania wniosków dotyczących programów wykluczają następujący wykaz działań: (i) działalności związanej z paliwami kopalnymi, w tym wykorzystania niższego szczebla</w:t>
      </w:r>
      <w:r>
        <w:rPr>
          <w:rStyle w:val="FootnoteReference"/>
          <w:rFonts w:eastAsia="Calibri"/>
          <w:noProof/>
          <w:color w:val="000000" w:themeColor="text1"/>
        </w:rPr>
        <w:footnoteReference w:id="80"/>
      </w:r>
      <w:r>
        <w:rPr>
          <w:noProof/>
          <w:color w:val="000000" w:themeColor="text1"/>
        </w:rPr>
        <w:t>; (II) działania w ramach unijnego systemu handlu uprawnieniami do emisji (ETS) prowadzące do osiągnięcia prognozowanych emisji gazów cieplarnianych, które nie są niższe niż odpowiednie wskaźniki referencyjne</w:t>
      </w:r>
      <w:r>
        <w:rPr>
          <w:rStyle w:val="FootnoteReference"/>
          <w:rFonts w:eastAsia="Calibri"/>
          <w:noProof/>
          <w:color w:val="000000" w:themeColor="text1"/>
        </w:rPr>
        <w:footnoteReference w:id="81"/>
      </w:r>
      <w:r>
        <w:rPr>
          <w:noProof/>
          <w:color w:val="000000" w:themeColor="text1"/>
        </w:rPr>
        <w:t>; (III) działania związane ze składowiskami odpadów, spalarniami</w:t>
      </w:r>
      <w:r>
        <w:rPr>
          <w:rStyle w:val="FootnoteReference"/>
          <w:rFonts w:eastAsia="Calibri"/>
          <w:noProof/>
          <w:color w:val="000000" w:themeColor="text1"/>
        </w:rPr>
        <w:footnoteReference w:id="82"/>
      </w:r>
      <w:r>
        <w:rPr>
          <w:noProof/>
          <w:color w:val="000000" w:themeColor="text1"/>
        </w:rPr>
        <w:t xml:space="preserve"> i zakładami mechaniczno-biologicznego przetwarzania odpadów</w:t>
      </w:r>
      <w:r>
        <w:rPr>
          <w:rStyle w:val="FootnoteReference"/>
          <w:rFonts w:eastAsia="Calibri"/>
          <w:noProof/>
          <w:color w:val="000000" w:themeColor="text1"/>
        </w:rPr>
        <w:footnoteReference w:id="83"/>
      </w:r>
      <w:r>
        <w:rPr>
          <w:noProof/>
          <w:color w:val="000000" w:themeColor="text1"/>
        </w:rPr>
        <w:t>; oraz (iv) działań, w przypadku których długoterminowe unieszkodliwianie odpadów może szkodzić środowisku naturalnemu. Ponadto w zakresie wymagań i obowiązków wymaga się, aby do wyboru kwalifikowały się wyłącznie działania zgodne z odpowiednimi przepisami unijnymi i krajowymi w zakresie ochrony środowiska. </w:t>
      </w:r>
    </w:p>
    <w:p w14:paraId="66E480E3" w14:textId="77777777" w:rsidR="004C6421" w:rsidRDefault="009D1962">
      <w:pPr>
        <w:pStyle w:val="P68B1DB1-Normal17"/>
        <w:spacing w:before="120" w:after="120"/>
        <w:jc w:val="both"/>
        <w:rPr>
          <w:rFonts w:eastAsia="Calibri"/>
          <w:noProof/>
        </w:rPr>
      </w:pPr>
      <w:r>
        <w:rPr>
          <w:noProof/>
        </w:rPr>
        <w:t>Inwestycje 1.4: Wzmocnienie struktur badawczych i wspieranie tworzenia „krajowych liderów badań i rozwoju” w zakresie niektórych kluczowych technologii prorozwojowych</w:t>
      </w:r>
    </w:p>
    <w:p w14:paraId="673182CB" w14:textId="77777777" w:rsidR="004C6421" w:rsidRDefault="009D1962">
      <w:pPr>
        <w:pStyle w:val="P68B1DB1-Normal11"/>
        <w:spacing w:before="120" w:after="120"/>
        <w:jc w:val="both"/>
        <w:rPr>
          <w:rFonts w:eastAsia="Calibri"/>
          <w:noProof/>
        </w:rPr>
      </w:pPr>
      <w:r>
        <w:rPr>
          <w:noProof/>
        </w:rPr>
        <w:t>Środek ten ma na celu finansowanie utworzenia co najmniej pięciu krajowych ośrodków badawczych, wybranych w drodze procedur konkurencyjnych, zdolnych do osiągnięcia krytycznego progu zdolności w zakresie badań naukowych i innowacji dzięki współpracy uniwersytetów, ośrodków badawczych i przedsiębiorstw. Wyboru dokonuje się na podstawie konkurencyjnych zaproszeń do składania wniosków, w których mogą uczestniczyć konsorcja krajowe kierowane przez lidera koordynującego, również z uwzględnieniem poprzedniego mapowania.</w:t>
      </w:r>
    </w:p>
    <w:p w14:paraId="71738906" w14:textId="77777777" w:rsidR="004C6421" w:rsidRDefault="009D1962">
      <w:pPr>
        <w:pStyle w:val="P68B1DB1-Normal11"/>
        <w:spacing w:before="120" w:after="120"/>
        <w:jc w:val="both"/>
        <w:rPr>
          <w:rFonts w:eastAsia="Calibri"/>
          <w:noProof/>
        </w:rPr>
      </w:pPr>
      <w:r>
        <w:rPr>
          <w:noProof/>
        </w:rPr>
        <w:t>Kluczowymi elementami każdego krajowego ośrodka są: tworzenie i odnawianie odpowiednich obiektów badawczych b) zaangażowanie podmiotów prywatnych we wdrażanie i realizację projektów badawczych, c) wsparcie dla przedsiębiorstw typu start-up i przedsiębiorstw typu spin-off. Wyboru należy dokonać w drodze specjalnych zaproszeń, z których pierwsze zostanie ogłoszone do początku 2022 r. Wyboru między wnioskami o dopuszczenie do udziału w zaproszeniach dokonuje się w sposób podobny do przyjętego przez Europejską Radę ds. Innowacji.</w:t>
      </w:r>
    </w:p>
    <w:p w14:paraId="785C9EDE" w14:textId="77777777" w:rsidR="004C6421" w:rsidRDefault="009D1962">
      <w:pPr>
        <w:spacing w:before="120" w:after="120"/>
        <w:jc w:val="both"/>
        <w:rPr>
          <w:rFonts w:eastAsia="Calibri"/>
          <w:noProof/>
          <w:color w:val="000000" w:themeColor="text1"/>
        </w:rPr>
      </w:pPr>
      <w:r>
        <w:rPr>
          <w:noProof/>
          <w:color w:val="000000" w:themeColor="text1"/>
        </w:rPr>
        <w:t>Aby zapewnić zgodność środka z wytycznymi technicznymi zasady „nie czyń poważnych szkód” (2021/C58/01), kryteria kwalifikowalności zawarte w zakresie wymagań i obowiązków w odniesieniu do przyszłych zaproszeń do składania projektów wykluczają następujący wykaz działań: (i) działalności związanej z paliwami kopalnymi, w tym wykorzystania niższego szczebla</w:t>
      </w:r>
      <w:r>
        <w:rPr>
          <w:rStyle w:val="FootnoteReference"/>
          <w:noProof/>
          <w:color w:val="000000" w:themeColor="text1"/>
        </w:rPr>
        <w:footnoteReference w:id="84"/>
      </w:r>
      <w:r>
        <w:rPr>
          <w:noProof/>
          <w:color w:val="000000" w:themeColor="text1"/>
        </w:rPr>
        <w:t>; (II) działania w ramach unijnego systemu handlu uprawnieniami do emisji (ETS) prowadzące do osiągnięcia prognozowanych emisji gazów cieplarnianych, które nie są niższe niż odpowiednie wskaźniki referencyjne</w:t>
      </w:r>
      <w:r>
        <w:rPr>
          <w:rStyle w:val="FootnoteReference"/>
          <w:noProof/>
          <w:color w:val="000000" w:themeColor="text1"/>
        </w:rPr>
        <w:footnoteReference w:id="85"/>
      </w:r>
      <w:r>
        <w:rPr>
          <w:noProof/>
          <w:color w:val="000000" w:themeColor="text1"/>
        </w:rPr>
        <w:t>; (III) działania związane ze składowiskami odpadów, spalarniami</w:t>
      </w:r>
      <w:r>
        <w:rPr>
          <w:rStyle w:val="FootnoteReference"/>
          <w:noProof/>
          <w:color w:val="000000" w:themeColor="text1"/>
        </w:rPr>
        <w:footnoteReference w:id="86"/>
      </w:r>
      <w:r>
        <w:rPr>
          <w:noProof/>
          <w:color w:val="000000" w:themeColor="text1"/>
        </w:rPr>
        <w:t xml:space="preserve"> i zakładami mechaniczno-biologicznego przetwarzania odpadów</w:t>
      </w:r>
      <w:r>
        <w:rPr>
          <w:rStyle w:val="FootnoteReference"/>
          <w:noProof/>
          <w:color w:val="000000" w:themeColor="text1"/>
        </w:rPr>
        <w:footnoteReference w:id="87"/>
      </w:r>
      <w:r>
        <w:rPr>
          <w:noProof/>
          <w:color w:val="000000" w:themeColor="text1"/>
        </w:rPr>
        <w:t>; oraz (iv) działań, w przypadku których długoterminowe unieszkodliwianie odpadów może szkodzić środowisku naturalnemu. Ponadto w zakresie wymagań i obowiązków wymaga się, aby do wyboru kwalifikowały się wyłącznie działania zgodne z odpowiednimi przepisami unijnymi i krajowymi w zakresie ochrony środowiska.</w:t>
      </w:r>
    </w:p>
    <w:p w14:paraId="144795E0" w14:textId="77777777" w:rsidR="004C6421" w:rsidRDefault="009D1962">
      <w:pPr>
        <w:pStyle w:val="P68B1DB1-Normal17"/>
        <w:spacing w:before="120" w:after="120"/>
        <w:jc w:val="both"/>
        <w:rPr>
          <w:rFonts w:eastAsia="Calibri"/>
          <w:noProof/>
        </w:rPr>
      </w:pPr>
      <w:r>
        <w:rPr>
          <w:noProof/>
        </w:rPr>
        <w:t xml:space="preserve">Inwestycja 1.5: Ustanowienie i wzmocnienie „ekosystemów innowacji na rzecz zrównoważonego rozwoju”, budowanie „terytorialnych liderów badań i rozwoju”. </w:t>
      </w:r>
    </w:p>
    <w:p w14:paraId="194D6328" w14:textId="77777777" w:rsidR="004C6421" w:rsidRDefault="009D1962">
      <w:pPr>
        <w:pStyle w:val="P68B1DB1-Normal11"/>
        <w:spacing w:before="120" w:after="120"/>
        <w:jc w:val="both"/>
        <w:rPr>
          <w:rFonts w:eastAsia="Calibri"/>
          <w:noProof/>
        </w:rPr>
      </w:pPr>
      <w:r>
        <w:rPr>
          <w:noProof/>
        </w:rPr>
        <w:t>W ramach środka wdrożonego przez MUR do 2026 r. zostanie sfinansowana co najmniej 10 „terytorialnych prób badań naukowych i innowacji” (istniejących lub nowych), które wybiera się na podstawie szczególnych procedur konkurencyjnych, ze szczególnym uwzględnieniem zdolności do promowania projektów w zakresie zrównoważonego rozwoju społecznego. Każdy projekt musi zawierać następujące elementy:a) innowacyjne działania szkoleniowe prowadzone w synergii przez uniwersytety i przedsiębiorstwa i mające na celu zmniejszenie niedopasowania umiejętności wymaganych przez przedsiębiorstwa do umiejętności oferowanych przez uniwersytety, a także doktoraty przemysłowe;b) działania badawcze lub infrastruktury badawcze prowadzone wspólnie przez uniwersytety i przedsiębiorstwa, w szczególności MŚP, działające na danym terytorium;c) wsparcie dla przedsiębiorstw typu start-up;d) zaangażowanie społeczności lokalnych w kwestie innowacji i zrównoważonego rozwoju.</w:t>
      </w:r>
    </w:p>
    <w:p w14:paraId="48E1B286" w14:textId="77777777" w:rsidR="004C6421" w:rsidRDefault="009D1962">
      <w:pPr>
        <w:pStyle w:val="P68B1DB1-Normal11"/>
        <w:spacing w:before="120" w:after="120"/>
        <w:jc w:val="both"/>
        <w:rPr>
          <w:rFonts w:eastAsia="Calibri"/>
          <w:noProof/>
        </w:rPr>
      </w:pPr>
      <w:r>
        <w:rPr>
          <w:noProof/>
        </w:rPr>
        <w:t>Projekty, które mają być finansowane, są wybierane na podstawie następujących kryteriów: jakość naukowa i techniczna oraz jej spójność z orientacją terytorialną; rzeczywistą zdolność do stymulowania zdolności innowacyjnych przedsiębiorstw, w szczególności MŚP; zdolność do nawiązywania stosunków krajowych i międzynarodowych z głównymi instytucjami badawczymi i wiodącymi przedsiębiorstwami; (IV) skuteczna zdolność do angażowania społeczności lokalnych.</w:t>
      </w:r>
    </w:p>
    <w:p w14:paraId="158A92FA" w14:textId="77777777" w:rsidR="004C6421" w:rsidRDefault="009D1962">
      <w:pPr>
        <w:spacing w:before="120" w:after="120"/>
        <w:jc w:val="both"/>
        <w:rPr>
          <w:rFonts w:eastAsiaTheme="minorEastAsia"/>
          <w:noProof/>
        </w:rPr>
      </w:pPr>
      <w:r>
        <w:rPr>
          <w:noProof/>
        </w:rPr>
        <w:t>Aby zapewnić zgodność środka z wytycznymi technicznymi zasady „nie czyń poważnych szkód” (2021/C58/01), kryteria kwalifikowalności zawarte w zakresie wymagań i obowiązków w odniesieniu do przyszłych zaproszeń do składania projektów wykluczają następujący wykaz działań: (i) działalności związanej z paliwami kopalnymi, w tym wykorzystania niższego szczebla</w:t>
      </w:r>
      <w:r>
        <w:rPr>
          <w:rStyle w:val="FootnoteReference"/>
          <w:noProof/>
        </w:rPr>
        <w:footnoteReference w:id="88"/>
      </w:r>
      <w:r>
        <w:rPr>
          <w:noProof/>
        </w:rPr>
        <w:t>; (II) działania w ramach unijnego systemu handlu uprawnieniami do emisji (ETS) prowadzące do osiągnięcia prognozowanych emisji gazów cieplarnianych, które nie są niższe niż odpowiednie wskaźniki referencyjne</w:t>
      </w:r>
      <w:r>
        <w:rPr>
          <w:rStyle w:val="FootnoteReference"/>
          <w:noProof/>
        </w:rPr>
        <w:footnoteReference w:id="89"/>
      </w:r>
      <w:r>
        <w:rPr>
          <w:noProof/>
        </w:rPr>
        <w:t>; (III) działania związane ze składowiskami odpadów, spalarniami</w:t>
      </w:r>
      <w:r>
        <w:rPr>
          <w:rStyle w:val="FootnoteReference"/>
          <w:noProof/>
        </w:rPr>
        <w:footnoteReference w:id="90"/>
      </w:r>
      <w:r>
        <w:rPr>
          <w:noProof/>
        </w:rPr>
        <w:t xml:space="preserve"> i zakładami mechaniczno-biologicznego przetwarzania odpadów</w:t>
      </w:r>
      <w:r>
        <w:rPr>
          <w:rStyle w:val="FootnoteReference"/>
          <w:noProof/>
        </w:rPr>
        <w:footnoteReference w:id="91"/>
      </w:r>
      <w:r>
        <w:rPr>
          <w:noProof/>
        </w:rPr>
        <w:t>; oraz (iv) działań, w przypadku których długoterminowe unieszkodliwianie odpadów może szkodzić środowisku naturalnemu. Ponadto w zakresie wymagań i obowiązków wymaga się, aby do wyboru kwalifikowały się wyłącznie działania zgodne z odpowiednimi przepisami unijnymi i krajowymi w zakresie ochrony środowiska.</w:t>
      </w:r>
    </w:p>
    <w:p w14:paraId="00354190" w14:textId="77777777" w:rsidR="004C6421" w:rsidRDefault="009D1962">
      <w:pPr>
        <w:pStyle w:val="P68B1DB1-Normal2"/>
        <w:spacing w:before="120" w:after="120"/>
        <w:jc w:val="both"/>
        <w:rPr>
          <w:rFonts w:eastAsia="Calibri"/>
          <w:noProof/>
        </w:rPr>
      </w:pPr>
      <w:r>
        <w:rPr>
          <w:noProof/>
        </w:rPr>
        <w:t>Inwestycja 2.1: Ważny projekt stanowiący przedmiot wspólnego europejskiego zainteresowania (IPCEI)</w:t>
      </w:r>
    </w:p>
    <w:p w14:paraId="1620E265" w14:textId="77777777" w:rsidR="004C6421" w:rsidRDefault="009D1962">
      <w:pPr>
        <w:spacing w:before="120" w:after="120" w:line="288" w:lineRule="auto"/>
        <w:jc w:val="both"/>
        <w:rPr>
          <w:rFonts w:eastAsiaTheme="minorEastAsia"/>
          <w:noProof/>
        </w:rPr>
      </w:pPr>
      <w:r>
        <w:rPr>
          <w:noProof/>
        </w:rPr>
        <w:t>Celem środka jest uzupełnienie obecnego funduszu IPCEI, o którym mowa w art. 1 ust. 232 ustawy budżetowej na 2020 r., o dodatkowe zasoby.</w:t>
      </w:r>
    </w:p>
    <w:p w14:paraId="0699EF33" w14:textId="77777777" w:rsidR="004C6421" w:rsidRDefault="009D1962">
      <w:pPr>
        <w:spacing w:before="120" w:after="120"/>
        <w:jc w:val="both"/>
        <w:rPr>
          <w:rFonts w:eastAsia="Calibri"/>
          <w:noProof/>
        </w:rPr>
      </w:pPr>
      <w:r>
        <w:rPr>
          <w:noProof/>
        </w:rPr>
        <w:t>Aby zapewnić zgodność środka z wytycznymi technicznymi zasady „nie czyń poważnych szkód” (2021/C58/01), kryteria kwalifikowalności zawarte w zakresie wymagań i obowiązków w odniesieniu do przyszłych zaproszeń do składania projektów wykluczają następujący wykaz działań: (i) działalności związanej z paliwami kopalnymi, w tym wykorzystania niższego szczebla</w:t>
      </w:r>
      <w:r>
        <w:rPr>
          <w:rStyle w:val="FootnoteReference"/>
          <w:noProof/>
        </w:rPr>
        <w:footnoteReference w:id="92"/>
      </w:r>
      <w:r>
        <w:rPr>
          <w:noProof/>
        </w:rPr>
        <w:t>; (II) działania w ramach unijnego systemu handlu uprawnieniami do emisji (ETS) prowadzące do osiągnięcia prognozowanych emisji gazów cieplarnianych, które nie są niższe niż odpowiednie wskaźniki referencyjne</w:t>
      </w:r>
      <w:r>
        <w:rPr>
          <w:rStyle w:val="FootnoteReference"/>
          <w:noProof/>
        </w:rPr>
        <w:footnoteReference w:id="93"/>
      </w:r>
      <w:r>
        <w:rPr>
          <w:noProof/>
        </w:rPr>
        <w:t>; (III) działania związane ze składowiskami odpadów, spalarniami</w:t>
      </w:r>
      <w:r>
        <w:rPr>
          <w:rStyle w:val="FootnoteReference"/>
          <w:noProof/>
        </w:rPr>
        <w:footnoteReference w:id="94"/>
      </w:r>
      <w:r>
        <w:rPr>
          <w:noProof/>
        </w:rPr>
        <w:t xml:space="preserve"> i zakładami mechaniczno-biologicznego przetwarzania odpadów</w:t>
      </w:r>
      <w:r>
        <w:rPr>
          <w:rStyle w:val="FootnoteReference"/>
          <w:noProof/>
        </w:rPr>
        <w:footnoteReference w:id="95"/>
      </w:r>
      <w:r>
        <w:rPr>
          <w:noProof/>
        </w:rPr>
        <w:t>; oraz (iv) działań, w przypadku których długoterminowe unieszkodliwianie odpadów może szkodzić środowisku naturalnemu. Ponadto w zakresie wymagań i obowiązków wymaga się, aby do wyboru kwalifikowały się wyłącznie działania zgodne z odpowiednimi przepisami unijnymi i krajowymi w zakresie ochrony środowiska.</w:t>
      </w:r>
    </w:p>
    <w:p w14:paraId="5A7A2357" w14:textId="77777777" w:rsidR="004C6421" w:rsidRDefault="009D1962">
      <w:pPr>
        <w:pStyle w:val="P68B1DB1-Normal2"/>
        <w:spacing w:before="120" w:after="120"/>
        <w:jc w:val="both"/>
        <w:rPr>
          <w:rFonts w:eastAsia="Calibri"/>
          <w:noProof/>
        </w:rPr>
      </w:pPr>
      <w:r>
        <w:rPr>
          <w:noProof/>
        </w:rPr>
        <w:t>Inwestycja 2.3: Wzmocnienie i sektorowe/terytorialne rozszerzenie ośrodków transferu technologii według segmentów przemysłu</w:t>
      </w:r>
    </w:p>
    <w:p w14:paraId="1AAAAC43" w14:textId="77777777" w:rsidR="004C6421" w:rsidRDefault="009D1962">
      <w:pPr>
        <w:spacing w:before="120" w:after="120"/>
        <w:jc w:val="both"/>
        <w:rPr>
          <w:rFonts w:eastAsia="Calibri"/>
          <w:noProof/>
        </w:rPr>
      </w:pPr>
      <w:r>
        <w:rPr>
          <w:noProof/>
        </w:rPr>
        <w:t xml:space="preserve">Celem środka, wdrożonego przez Ministerstwo Przedsiębiorstw i Made we Włoszech, jest wspieranie, w tym poprzez proces reorganizacji i racjonalizacji, sieci pięćdziesięciu centrów (centrów kompetencji, europejskiego centrum innowacji cyfrowych, pieczęci doskonałości, instrumentu testowo-doświadczalnego, krajowych ośrodków innowacji cyfrowych) odpowiedzialnych za opracowywanie projektów, świadczenie zaawansowanych usług technologicznych na rzecz przedsiębiorstw oraz innowacyjnych i kwalifikujących się usług transferu technologii. Celem procesu upraszczania i racjonalizacji ośrodków, do których dąży środek, jest zwiększenie zaawansowanych usług technologicznych dla przedsiębiorstw poprzez skupienie się na najnowocześniejszych technologiach produkcyjnych i specjalizacjach. </w:t>
      </w:r>
    </w:p>
    <w:p w14:paraId="209F425C" w14:textId="77777777" w:rsidR="004C6421" w:rsidRDefault="009D1962">
      <w:pPr>
        <w:spacing w:before="120" w:after="120"/>
        <w:jc w:val="both"/>
        <w:rPr>
          <w:rFonts w:eastAsia="Calibri"/>
          <w:noProof/>
        </w:rPr>
      </w:pPr>
      <w:r>
        <w:rPr>
          <w:noProof/>
        </w:rPr>
        <w:t>Usługi świadczone przez ośrodki obejmują: ocena cyfrowa, (ii) test przed inwestycją, (iii) szkolenie; dostęp do finansowania; wsparcie finansowe i operacyjne na rzecz rozwoju projektów innowacyjnych (poziom gotowości technologicznej (TRL) wyższy niż 5); pośrednictwo technologiczne; oraz vii) podnoszenie świadomości na szczeblu lokalnym.</w:t>
      </w:r>
    </w:p>
    <w:p w14:paraId="18C189DB" w14:textId="77777777" w:rsidR="004C6421" w:rsidRDefault="009D1962">
      <w:pPr>
        <w:spacing w:before="120" w:after="120"/>
        <w:jc w:val="both"/>
        <w:rPr>
          <w:rFonts w:eastAsia="Calibri"/>
          <w:noProof/>
        </w:rPr>
      </w:pPr>
      <w:r>
        <w:rPr>
          <w:noProof/>
        </w:rPr>
        <w:t>EDIH i TEF mogą otrzymywać finansowanie z innych funduszy UE, w tym z programu „Cyfrowa Europa”, na prowadzenie swoich działań</w:t>
      </w:r>
      <w:r>
        <w:rPr>
          <w:noProof/>
          <w:color w:val="D13438"/>
          <w:u w:val="single"/>
        </w:rPr>
        <w:t>.</w:t>
      </w:r>
      <w:r>
        <w:rPr>
          <w:noProof/>
        </w:rPr>
        <w:t xml:space="preserve"> </w:t>
      </w:r>
    </w:p>
    <w:p w14:paraId="53D26682" w14:textId="77777777" w:rsidR="004C6421" w:rsidRDefault="009D1962">
      <w:pPr>
        <w:spacing w:before="120" w:after="120"/>
        <w:jc w:val="both"/>
        <w:rPr>
          <w:rFonts w:eastAsia="Calibri"/>
          <w:noProof/>
        </w:rPr>
      </w:pPr>
      <w:r>
        <w:rPr>
          <w:noProof/>
        </w:rPr>
        <w:t>Inwestycja składa się z dwóch linii interwencji:</w:t>
      </w:r>
    </w:p>
    <w:p w14:paraId="49B35BCC" w14:textId="77777777" w:rsidR="004C6421" w:rsidRDefault="009D1962">
      <w:pPr>
        <w:spacing w:before="120" w:after="120"/>
        <w:jc w:val="both"/>
        <w:rPr>
          <w:rFonts w:eastAsia="Calibri"/>
          <w:noProof/>
        </w:rPr>
      </w:pPr>
      <w:r>
        <w:rPr>
          <w:noProof/>
        </w:rPr>
        <w:t xml:space="preserve">W ramach pierwszej linii z RRF finansuje się wyłącznie 35 ośrodków, bez wsparcia z innych źródeł UE. </w:t>
      </w:r>
    </w:p>
    <w:p w14:paraId="00D58165" w14:textId="77777777" w:rsidR="004C6421" w:rsidRDefault="009D1962">
      <w:pPr>
        <w:spacing w:before="120" w:after="120"/>
        <w:jc w:val="both"/>
        <w:rPr>
          <w:rFonts w:eastAsia="Calibri"/>
          <w:noProof/>
        </w:rPr>
      </w:pPr>
      <w:r>
        <w:rPr>
          <w:noProof/>
          <w:color w:val="000000" w:themeColor="text1"/>
        </w:rPr>
        <w:t xml:space="preserve">W ramach drugiej linii z </w:t>
      </w:r>
      <w:r>
        <w:rPr>
          <w:noProof/>
        </w:rPr>
        <w:t xml:space="preserve">RRF finansuje się część 13 </w:t>
      </w:r>
      <w:r>
        <w:rPr>
          <w:noProof/>
          <w:color w:val="000000" w:themeColor="text1"/>
        </w:rPr>
        <w:t xml:space="preserve">europejskich centrów innowacji cyfrowych (EDIH) </w:t>
      </w:r>
      <w:r>
        <w:rPr>
          <w:noProof/>
        </w:rPr>
        <w:t xml:space="preserve">oraz dwa </w:t>
      </w:r>
      <w:r>
        <w:rPr>
          <w:noProof/>
          <w:color w:val="000000" w:themeColor="text1"/>
        </w:rPr>
        <w:t>ośrodki testowo-doświadczalne (TEF)</w:t>
      </w:r>
      <w:r>
        <w:rPr>
          <w:noProof/>
        </w:rPr>
        <w:t xml:space="preserve">, przy czym druga część kosztów pochodzi z programu „Cyfrowa Europa”. W szczególności </w:t>
      </w:r>
      <w:r>
        <w:rPr>
          <w:noProof/>
          <w:color w:val="000000" w:themeColor="text1"/>
        </w:rPr>
        <w:t xml:space="preserve">funkcjonowanie 13 </w:t>
      </w:r>
      <w:r>
        <w:rPr>
          <w:noProof/>
        </w:rPr>
        <w:t xml:space="preserve">EDIH </w:t>
      </w:r>
      <w:r>
        <w:rPr>
          <w:noProof/>
          <w:color w:val="000000" w:themeColor="text1"/>
        </w:rPr>
        <w:t>i dwóch TEF finansowanych z RRF i programu „Cyfrowa Europa” zostanie podzielone na pakiety robocze</w:t>
      </w:r>
      <w:r>
        <w:rPr>
          <w:rStyle w:val="FootnoteReference"/>
          <w:noProof/>
          <w:color w:val="000000" w:themeColor="text1"/>
        </w:rPr>
        <w:footnoteReference w:id="96"/>
      </w:r>
      <w:r>
        <w:rPr>
          <w:noProof/>
          <w:color w:val="000000" w:themeColor="text1"/>
        </w:rPr>
        <w:t>. Wsparcie w ramach RRF nie może dotyczyć pakietów prac, na które EDIH i TEF otrzymują wsparcie w ramach programu „Cyfrowa Europa”.</w:t>
      </w:r>
    </w:p>
    <w:p w14:paraId="19D1C2D4" w14:textId="77777777" w:rsidR="004C6421" w:rsidRDefault="009D1962">
      <w:pPr>
        <w:pStyle w:val="P68B1DB1-Normal11"/>
        <w:spacing w:before="120" w:after="120"/>
        <w:jc w:val="both"/>
        <w:rPr>
          <w:noProof/>
        </w:rPr>
      </w:pPr>
      <w:r>
        <w:rPr>
          <w:noProof/>
        </w:rPr>
        <w:t>Aby zapewnić zgodność środka z wytycznymi technicznymi zasady „nie czyń poważnych szkód” (2021/C58/01), kryteria kwalifikowalności zawarte w zakresie wymagań i obowiązków w odniesieniu do przyszłych zaproszeń do składania projektów wykluczają następujący wykaz działań: (i) działalności związanej z paliwami kopalnymi, w tym wykorzystania niższego szczebla</w:t>
      </w:r>
      <w:r>
        <w:rPr>
          <w:noProof/>
        </w:rPr>
        <w:footnoteReference w:id="97"/>
      </w:r>
      <w:r>
        <w:rPr>
          <w:noProof/>
        </w:rPr>
        <w:t>; (II) działania w ramach unijnego systemu handlu uprawnieniami do emisji (ETS) prowadzące do osiągnięcia prognozowanych emisji gazów cieplarnianych, które nie są niższe niż odpowiednie wskaźniki referencyjne</w:t>
      </w:r>
      <w:r>
        <w:rPr>
          <w:noProof/>
        </w:rPr>
        <w:footnoteReference w:id="98"/>
      </w:r>
      <w:r>
        <w:rPr>
          <w:noProof/>
        </w:rPr>
        <w:t>; (III) działania związane ze składowiskami odpadów, spalarniami</w:t>
      </w:r>
      <w:r>
        <w:rPr>
          <w:noProof/>
        </w:rPr>
        <w:footnoteReference w:id="99"/>
      </w:r>
      <w:r>
        <w:rPr>
          <w:noProof/>
        </w:rPr>
        <w:t xml:space="preserve"> i zakładami mechaniczno-biologicznego przetwarzania odpadów</w:t>
      </w:r>
      <w:r>
        <w:rPr>
          <w:noProof/>
        </w:rPr>
        <w:footnoteReference w:id="100"/>
      </w:r>
      <w:r>
        <w:rPr>
          <w:noProof/>
        </w:rPr>
        <w:t>; oraz (iv) działań, w przypadku których długoterminowe unieszkodliwianie odpadów może szkodzić środowisku naturalnemu. Zakres uprawnień wymaga ponadto, aby można było wybierać wyłącznie działania zgodne z odpowiednimi przepisami unijnymi i krajowymi w zakresie ochrony środowiska.</w:t>
      </w:r>
    </w:p>
    <w:p w14:paraId="1F2C0F44" w14:textId="77777777" w:rsidR="004C6421" w:rsidRDefault="009D1962">
      <w:pPr>
        <w:pStyle w:val="P68B1DB1-Normal2"/>
        <w:spacing w:before="120" w:after="120" w:line="288" w:lineRule="auto"/>
        <w:jc w:val="both"/>
        <w:rPr>
          <w:rFonts w:eastAsia="Calibri"/>
          <w:noProof/>
        </w:rPr>
      </w:pPr>
      <w:r>
        <w:rPr>
          <w:noProof/>
        </w:rPr>
        <w:t>Inwestycja 3.1: Fundusz na rzecz budowy zintegrowanego systemu infrastruktury badawczej i innowacyjnej</w:t>
      </w:r>
    </w:p>
    <w:p w14:paraId="78527748" w14:textId="77777777" w:rsidR="004C6421" w:rsidRDefault="009D1962">
      <w:pPr>
        <w:spacing w:before="120" w:after="120"/>
        <w:jc w:val="both"/>
        <w:rPr>
          <w:rFonts w:eastAsia="Calibri"/>
          <w:noProof/>
        </w:rPr>
      </w:pPr>
      <w:r>
        <w:rPr>
          <w:noProof/>
        </w:rPr>
        <w:t>Celem funduszu jest ułatwienie osmozy między wiedzą naukową wytworzoną w ramach wysokiej jakości infrastruktur badawczych a sektorem gospodarki, wspierając innowacje. W tym celu środek, wdrożony przez MUR – Ministerstwo Uniwersytetów i Badań Naukowych – wspiera tworzenie infrastruktury badawczej i innowacyjnej łączącej przemysł i środowisko akademickie. Fundusz na rzecz infrastruktury budowlanej i badawczej wspiera tworzenie lub wzmacnianie, na zasadach konkurencyjnych, infrastruktur badawczych o znaczeniu europejskim i specjalnych infrastruktur innowacyjnych, promując łączenie inwestycji publicznych i prywatnych.</w:t>
      </w:r>
    </w:p>
    <w:p w14:paraId="0EB709F8" w14:textId="77777777" w:rsidR="004C6421" w:rsidRDefault="009D1962">
      <w:pPr>
        <w:spacing w:before="120" w:after="120"/>
        <w:jc w:val="both"/>
        <w:rPr>
          <w:rFonts w:eastAsia="Calibri"/>
          <w:noProof/>
        </w:rPr>
      </w:pPr>
      <w:r>
        <w:rPr>
          <w:noProof/>
        </w:rPr>
        <w:t>W szczególności w ramach środka finansuje się co najmniej 30 projektów infrastrukturalnych (istniejących lub nowo finansowanych) z udziałem zarządcy badań w odniesieniu do każdej infrastruktury.</w:t>
      </w:r>
    </w:p>
    <w:p w14:paraId="1F063441" w14:textId="77777777" w:rsidR="004C6421" w:rsidRDefault="009D1962">
      <w:pPr>
        <w:spacing w:before="120" w:after="120"/>
        <w:jc w:val="both"/>
        <w:rPr>
          <w:noProof/>
          <w:color w:val="000000" w:themeColor="text1"/>
        </w:rPr>
      </w:pPr>
      <w:r>
        <w:rPr>
          <w:noProof/>
        </w:rPr>
        <w:t>Aby zapewnić zgodność środka z wytycznymi technicznymi zasady „nie czyń poważnych szkód” (2021/C58/01), kryteria kwalifikowalności zawarte w zakresie wymagań i obowiązków w odniesieniu do przyszłych zaproszeń do składania projektów wykluczają następujący wykaz działań: (i) działalności związanej z paliwami kopalnymi, w tym wykorzystania niższego szczebla</w:t>
      </w:r>
      <w:r>
        <w:rPr>
          <w:rStyle w:val="FootnoteReference"/>
          <w:noProof/>
        </w:rPr>
        <w:footnoteReference w:id="101"/>
      </w:r>
      <w:r>
        <w:rPr>
          <w:noProof/>
        </w:rPr>
        <w:t>; (II) działania w ramach unijnego systemu handlu uprawnieniami do emisji (ETS) prowadzące do osiągnięcia prognozowanych emisji gazów cieplarnianych, które nie są niższe niż odpowiednie wskaźniki referencyjne</w:t>
      </w:r>
      <w:r>
        <w:rPr>
          <w:rStyle w:val="FootnoteReference"/>
          <w:noProof/>
        </w:rPr>
        <w:footnoteReference w:id="102"/>
      </w:r>
      <w:r>
        <w:rPr>
          <w:noProof/>
        </w:rPr>
        <w:t>; (III) działania związane ze składowiskami odpadów, spalarniami</w:t>
      </w:r>
      <w:r>
        <w:rPr>
          <w:rStyle w:val="FootnoteReference"/>
          <w:noProof/>
        </w:rPr>
        <w:footnoteReference w:id="103"/>
      </w:r>
      <w:r>
        <w:rPr>
          <w:noProof/>
        </w:rPr>
        <w:t xml:space="preserve"> i zakładami mechaniczno-biologicznego przetwarzania odpadów</w:t>
      </w:r>
      <w:r>
        <w:rPr>
          <w:rStyle w:val="FootnoteReference"/>
          <w:noProof/>
        </w:rPr>
        <w:footnoteReference w:id="104"/>
      </w:r>
      <w:r>
        <w:rPr>
          <w:noProof/>
        </w:rPr>
        <w:t>; oraz (iv) działań, w przypadku których długoterminowe unieszkodliwianie odpadów może szkodzić środowisku naturalnemu. Ponadto w zakresie wymagań i obowiązków wymaga się, aby do wyboru kwalifikowały się wyłącznie działania zgodne z odpowiednimi przepisami unijnymi i krajowymi w zakresie ochrony środowiska.</w:t>
      </w:r>
    </w:p>
    <w:p w14:paraId="4C0F6E31" w14:textId="77777777" w:rsidR="004C6421" w:rsidRDefault="009D1962">
      <w:pPr>
        <w:pStyle w:val="P68B1DB1-Normal9"/>
        <w:spacing w:after="120"/>
        <w:jc w:val="both"/>
        <w:rPr>
          <w:noProof/>
        </w:rPr>
      </w:pPr>
      <w:r>
        <w:rPr>
          <w:noProof/>
        </w:rPr>
        <w:t>Inwestycje 3.2: Finansowanie przedsiębiorstw typu start-up, Fundusz na rzecz Transformacji Cyfrowej</w:t>
      </w:r>
    </w:p>
    <w:p w14:paraId="070319B5" w14:textId="77777777" w:rsidR="004C6421" w:rsidRDefault="009D1962">
      <w:pPr>
        <w:spacing w:after="120"/>
        <w:jc w:val="both"/>
        <w:rPr>
          <w:noProof/>
        </w:rPr>
      </w:pPr>
      <w:r>
        <w:rPr>
          <w:noProof/>
        </w:rPr>
        <w:t xml:space="preserve">Środek ten polega na inwestycji publicznej w instrument – Fundusz na rzecz Transformacji Cyfrowej – w celu zachęcania do inwestycji prywatnych, poprawy dostępu do finansowania we włoskim ekosystemie cyfrowych przedsiębiorstw typu start-up oraz rozwoju rynku kapitału wysokiego ryzyka w tym sektorze. Instrument działa poprzez bezpośrednie lub pośrednie udzielanie wsparcia kapitałowego </w:t>
      </w:r>
      <w:r>
        <w:rPr>
          <w:noProof/>
          <w:color w:val="000000" w:themeColor="text1"/>
        </w:rPr>
        <w:t>lub quasi-kapitałowego</w:t>
      </w:r>
      <w:r>
        <w:rPr>
          <w:noProof/>
        </w:rPr>
        <w:t>. W szczególności w przypadku inwestycji bezpośrednich DTF prowadzi działalność, zapewniając przedsiębiorstwom typu start-up wsparcie kapitałowe lub quasi-kapitałowe (takie jak obligacje zamienne); w przypadku inwestycji pośrednich SGR działa poprzez finansowanie funduszy osób trzecich (AFI – alternatywny fundusz inwestycyjny), które działają poprzez dostarczanie instrumentów kapitałowych lub quasi-kapitałowych, dłużnych lub quasi-dłużnych. Na podstawie inwestycji w ramach RRF instrument ma początkowo zapewnić finansowanie w wysokości co najmniej 400 000 000 EUR.</w:t>
      </w:r>
    </w:p>
    <w:p w14:paraId="1CFDE84F" w14:textId="77777777" w:rsidR="004C6421" w:rsidRDefault="009D1962">
      <w:pPr>
        <w:spacing w:after="120"/>
        <w:jc w:val="both"/>
        <w:rPr>
          <w:noProof/>
        </w:rPr>
      </w:pPr>
      <w:r>
        <w:rPr>
          <w:noProof/>
        </w:rPr>
        <w:t>Instrumentem zarządza CDP Venture Capital SGR jako partner wykonawczy. DTF trwa 15 lat, aby dopasować czas trwania środków finansowych osób trzecich, i inwestuje w następujące linie produktów:</w:t>
      </w:r>
    </w:p>
    <w:p w14:paraId="53C5D0FA" w14:textId="77777777" w:rsidR="004C6421" w:rsidRDefault="009D1962">
      <w:pPr>
        <w:pStyle w:val="ListParagraph"/>
        <w:numPr>
          <w:ilvl w:val="0"/>
          <w:numId w:val="57"/>
        </w:numPr>
        <w:spacing w:before="0"/>
        <w:contextualSpacing w:val="0"/>
        <w:rPr>
          <w:noProof/>
        </w:rPr>
      </w:pPr>
      <w:r>
        <w:rPr>
          <w:noProof/>
        </w:rPr>
        <w:t>Wsparcie kapitałowe lub quasi-kapitałowe dla cyfrowych przedsiębiorstw typu start-up (w sposób bezpośredni);</w:t>
      </w:r>
    </w:p>
    <w:p w14:paraId="66EEDC16" w14:textId="77777777" w:rsidR="004C6421" w:rsidRDefault="009D1962">
      <w:pPr>
        <w:pStyle w:val="ListParagraph"/>
        <w:numPr>
          <w:ilvl w:val="0"/>
          <w:numId w:val="57"/>
        </w:numPr>
        <w:spacing w:before="0"/>
        <w:contextualSpacing w:val="0"/>
        <w:rPr>
          <w:noProof/>
        </w:rPr>
      </w:pPr>
      <w:r>
        <w:rPr>
          <w:noProof/>
        </w:rPr>
        <w:t>Wsparcie kapitałowe lub quasi-kapitałowe dla kapitału wysokiego ryzyka/funduszy private equity (w sposób pośredni);</w:t>
      </w:r>
    </w:p>
    <w:p w14:paraId="747E2CF4" w14:textId="77777777" w:rsidR="004C6421" w:rsidRDefault="009D1962">
      <w:pPr>
        <w:pStyle w:val="ListParagraph"/>
        <w:numPr>
          <w:ilvl w:val="0"/>
          <w:numId w:val="57"/>
        </w:numPr>
        <w:spacing w:before="0"/>
        <w:contextualSpacing w:val="0"/>
        <w:rPr>
          <w:noProof/>
        </w:rPr>
      </w:pPr>
      <w:r>
        <w:rPr>
          <w:noProof/>
        </w:rPr>
        <w:t>Wsparcie w formie kapitału własnego, quasi-kapitałowe finansowanie programów inkubacji/przyspieszenia.</w:t>
      </w:r>
    </w:p>
    <w:p w14:paraId="278F7B3D" w14:textId="77777777" w:rsidR="004C6421" w:rsidRDefault="009D1962">
      <w:pPr>
        <w:spacing w:after="120"/>
        <w:jc w:val="both"/>
        <w:rPr>
          <w:noProof/>
        </w:rPr>
      </w:pPr>
      <w:r>
        <w:rPr>
          <w:noProof/>
        </w:rPr>
        <w:t>MIMIT i SGR zmieniają rzeczywistą umowę wykonawczą („</w:t>
      </w:r>
      <w:r>
        <w:rPr>
          <w:i/>
          <w:noProof/>
        </w:rPr>
        <w:t>Accordo Finanziario</w:t>
      </w:r>
      <w:r>
        <w:rPr>
          <w:noProof/>
        </w:rPr>
        <w:t>”) i zasady DTF w celu uwzględnienia następujących postanowień:</w:t>
      </w:r>
    </w:p>
    <w:p w14:paraId="46778A88" w14:textId="77777777" w:rsidR="004C6421" w:rsidRDefault="009D1962">
      <w:pPr>
        <w:pStyle w:val="LegalNumPar"/>
        <w:numPr>
          <w:ilvl w:val="0"/>
          <w:numId w:val="37"/>
        </w:numPr>
        <w:spacing w:after="120" w:line="240" w:lineRule="auto"/>
        <w:jc w:val="both"/>
        <w:rPr>
          <w:rFonts w:ascii="Times New Roman" w:eastAsia="Times New Roman" w:hAnsi="Times New Roman" w:cs="Times New Roman"/>
          <w:noProof/>
          <w:sz w:val="24"/>
        </w:rPr>
      </w:pPr>
      <w:r>
        <w:rPr>
          <w:rFonts w:ascii="Times New Roman" w:hAnsi="Times New Roman"/>
          <w:noProof/>
          <w:sz w:val="24"/>
        </w:rPr>
        <w:t>Opis procesu decyzyjnego w ramach Instrumentu: Ostateczną decyzję inwestycyjną Instrumentu podejmuje zarząd lub inny odpowiedni równoważny organ zarządzający i zatwierdza większością głosów członków niezależnych od rządu</w:t>
      </w:r>
      <w:r>
        <w:rPr>
          <w:rStyle w:val="FootnoteReference"/>
          <w:noProof/>
        </w:rPr>
        <w:footnoteReference w:id="105"/>
      </w:r>
      <w:r>
        <w:rPr>
          <w:rFonts w:ascii="Times New Roman" w:hAnsi="Times New Roman"/>
          <w:noProof/>
          <w:sz w:val="24"/>
        </w:rPr>
        <w:t>.</w:t>
      </w:r>
    </w:p>
    <w:p w14:paraId="730A6629" w14:textId="77777777" w:rsidR="004C6421" w:rsidRDefault="009D1962">
      <w:pPr>
        <w:pStyle w:val="P68B1DB1-LegalNumPar19"/>
        <w:spacing w:after="120" w:line="240" w:lineRule="auto"/>
        <w:jc w:val="both"/>
        <w:rPr>
          <w:rFonts w:cs="Times New Roman"/>
          <w:noProof/>
        </w:rPr>
      </w:pPr>
      <w:r>
        <w:rPr>
          <w:noProof/>
        </w:rPr>
        <w:t>Kluczowe wymogi powiązanej polityki inwestycyjnej,</w:t>
      </w:r>
      <w:r>
        <w:rPr>
          <w:b/>
          <w:noProof/>
        </w:rPr>
        <w:t xml:space="preserve"> </w:t>
      </w:r>
      <w:r>
        <w:rPr>
          <w:noProof/>
        </w:rPr>
        <w:t>które obejmują:</w:t>
      </w:r>
    </w:p>
    <w:p w14:paraId="70FE1C2B" w14:textId="77777777" w:rsidR="004C6421" w:rsidRDefault="009D1962">
      <w:pPr>
        <w:pStyle w:val="P68B1DB1-LegalNumPar220"/>
        <w:spacing w:after="120" w:line="240" w:lineRule="auto"/>
        <w:jc w:val="both"/>
        <w:rPr>
          <w:rFonts w:cs="Times New Roman"/>
          <w:noProof/>
        </w:rPr>
      </w:pPr>
      <w:r>
        <w:rPr>
          <w:noProof/>
        </w:rPr>
        <w:t xml:space="preserve">Opis produktów finansowych i kwalifikujących się beneficjentów końcowych. </w:t>
      </w:r>
    </w:p>
    <w:p w14:paraId="5F8B7F67" w14:textId="77777777" w:rsidR="004C6421" w:rsidRDefault="009D1962">
      <w:pPr>
        <w:pStyle w:val="P68B1DB1-LegalNumPar220"/>
        <w:spacing w:after="120" w:line="240" w:lineRule="auto"/>
        <w:jc w:val="both"/>
        <w:rPr>
          <w:rFonts w:cs="Times New Roman"/>
          <w:noProof/>
        </w:rPr>
      </w:pPr>
      <w:r>
        <w:rPr>
          <w:noProof/>
        </w:rPr>
        <w:t>Wymóg, aby wszystkie wspierane inwestycje były ekonomicznie opłacalne</w:t>
      </w:r>
      <w:r>
        <w:rPr>
          <w:b/>
          <w:noProof/>
        </w:rPr>
        <w:t>.</w:t>
      </w:r>
    </w:p>
    <w:p w14:paraId="05A36DE9" w14:textId="77777777" w:rsidR="004C6421" w:rsidRDefault="009D1962">
      <w:pPr>
        <w:pStyle w:val="P68B1DB1-LegalNumPar220"/>
        <w:numPr>
          <w:ilvl w:val="0"/>
          <w:numId w:val="0"/>
        </w:numPr>
        <w:spacing w:after="120" w:line="240" w:lineRule="auto"/>
        <w:jc w:val="both"/>
        <w:rPr>
          <w:rFonts w:eastAsia="Times New Roman" w:cs="Times New Roman"/>
          <w:noProof/>
        </w:rPr>
      </w:pPr>
      <w:r>
        <w:rPr>
          <w:noProof/>
        </w:rPr>
        <w:t>Wymóg zgodności z zasadą „nie czyń poważnych szkód” (DNSH) zgodnie z wytycznymi technicznymi dotyczącymi zasady DNSH (2021/C58/01). W szczególności w przypadku ogólnego wsparcia dla przedsiębiorstw typu start-up polityka inwestycyjna wyklucza przedsiębiorstwa, które</w:t>
      </w:r>
      <w:r>
        <w:rPr>
          <w:noProof/>
        </w:rPr>
        <w:footnoteReference w:id="106"/>
      </w:r>
      <w:r>
        <w:rPr>
          <w:noProof/>
        </w:rPr>
        <w:t xml:space="preserve"> w znacznym stopniu koncentrują się na następujących sektorach: (i) produkcja energii z paliw kopalnych i działalność pokrewna</w:t>
      </w:r>
      <w:r>
        <w:rPr>
          <w:noProof/>
        </w:rPr>
        <w:footnoteReference w:id="107"/>
      </w:r>
      <w:r>
        <w:rPr>
          <w:noProof/>
        </w:rPr>
        <w:t>; (II) energochłonne lub wysokoemisyjne gałęzie przemysłu emitujące CO2</w:t>
      </w:r>
      <w:r>
        <w:rPr>
          <w:noProof/>
        </w:rPr>
        <w:footnoteReference w:id="108"/>
      </w:r>
      <w:r>
        <w:rPr>
          <w:noProof/>
        </w:rPr>
        <w:t>; (III) produkcja, wynajem lub sprzedaż pojazdów zanieczyszczających środowisko</w:t>
      </w:r>
      <w:r>
        <w:rPr>
          <w:noProof/>
        </w:rPr>
        <w:footnoteReference w:id="109"/>
      </w:r>
      <w:r>
        <w:rPr>
          <w:noProof/>
        </w:rPr>
        <w:t>; (IV) zbieranie, przetwarzanie i unieszkodliwianie odpadów</w:t>
      </w:r>
      <w:r>
        <w:rPr>
          <w:noProof/>
        </w:rPr>
        <w:footnoteReference w:id="110"/>
      </w:r>
      <w:r>
        <w:rPr>
          <w:noProof/>
        </w:rPr>
        <w:t>, (v) przetwarzanie paliwa jądrowego, produkcja energii jądrowej. Ponadto polityka inwestycyjna wymaga zgodności</w:t>
      </w:r>
      <w:r>
        <w:rPr>
          <w:b/>
          <w:noProof/>
        </w:rPr>
        <w:t xml:space="preserve"> </w:t>
      </w:r>
      <w:r>
        <w:rPr>
          <w:noProof/>
        </w:rPr>
        <w:t>z odpowiednimi unijnymi i krajowymi przepisami w zakresie ochrony środowiska beneficjentów końcowych Instrumentu.</w:t>
      </w:r>
    </w:p>
    <w:p w14:paraId="69BC2ECD" w14:textId="77777777" w:rsidR="004C6421" w:rsidRDefault="009D1962">
      <w:pPr>
        <w:pStyle w:val="P68B1DB1-LegalNumPar220"/>
        <w:spacing w:after="120" w:line="240" w:lineRule="auto"/>
        <w:jc w:val="both"/>
        <w:rPr>
          <w:rFonts w:cs="Times New Roman"/>
          <w:noProof/>
        </w:rPr>
      </w:pPr>
      <w:r>
        <w:rPr>
          <w:noProof/>
        </w:rPr>
        <w:t>Wymóg, zgodnie z którym beneficjenci końcowi Instrumentu nie mogą otrzymywać wsparcia z innych instrumentów unijnych w celu pokrycia tych samych kosztów.</w:t>
      </w:r>
    </w:p>
    <w:p w14:paraId="735C6049" w14:textId="77777777" w:rsidR="004C6421" w:rsidRDefault="009D1962">
      <w:pPr>
        <w:pStyle w:val="P68B1DB1-LegalNumPar19"/>
        <w:spacing w:after="120" w:line="240" w:lineRule="auto"/>
        <w:jc w:val="both"/>
        <w:rPr>
          <w:rFonts w:cs="Times New Roman"/>
          <w:noProof/>
        </w:rPr>
      </w:pPr>
      <w:r>
        <w:rPr>
          <w:noProof/>
        </w:rPr>
        <w:t>Kwotę objętą umową wykonawczą, strukturę opłat dla partnera wykonawczego oraz wymóg reinwestowania wszelkich środków powracających zgodnie z polityką inwestycyjną instrumentu.</w:t>
      </w:r>
    </w:p>
    <w:p w14:paraId="39E6CD5A" w14:textId="77777777" w:rsidR="004C6421" w:rsidRDefault="009D1962">
      <w:pPr>
        <w:pStyle w:val="P68B1DB1-LegalNumPar19"/>
        <w:spacing w:after="120" w:line="240" w:lineRule="auto"/>
        <w:jc w:val="both"/>
        <w:rPr>
          <w:rFonts w:cs="Times New Roman"/>
          <w:noProof/>
        </w:rPr>
      </w:pPr>
      <w:r>
        <w:rPr>
          <w:noProof/>
        </w:rPr>
        <w:t>Wymogi w zakresie monitorowania, audytu i kontroli, w tym:</w:t>
      </w:r>
    </w:p>
    <w:p w14:paraId="6660C0D9" w14:textId="77777777" w:rsidR="004C6421" w:rsidRDefault="009D1962">
      <w:pPr>
        <w:numPr>
          <w:ilvl w:val="0"/>
          <w:numId w:val="58"/>
        </w:numPr>
        <w:spacing w:after="120"/>
        <w:jc w:val="both"/>
        <w:rPr>
          <w:noProof/>
        </w:rPr>
      </w:pPr>
      <w:r>
        <w:rPr>
          <w:noProof/>
        </w:rPr>
        <w:t>Opis stosowanego przez partnera wykonawczego systemu monitorowania służącego do sprawozdawczości na temat uruchomionych inwestycji.</w:t>
      </w:r>
    </w:p>
    <w:p w14:paraId="28D325CA" w14:textId="77777777" w:rsidR="004C6421" w:rsidRDefault="009D1962">
      <w:pPr>
        <w:numPr>
          <w:ilvl w:val="0"/>
          <w:numId w:val="58"/>
        </w:numPr>
        <w:spacing w:after="120"/>
        <w:jc w:val="both"/>
        <w:rPr>
          <w:noProof/>
        </w:rPr>
      </w:pPr>
      <w:r>
        <w:rPr>
          <w:noProof/>
        </w:rPr>
        <w:t xml:space="preserve">Opis procedur partnera wykonawczego, które zapewniają zapobieganie nadużyciom finansowym, korupcji i konfliktom interesów oraz ich wykrywanie i korygowanie. </w:t>
      </w:r>
    </w:p>
    <w:p w14:paraId="475D91DF" w14:textId="77777777" w:rsidR="004C6421" w:rsidRDefault="009D1962">
      <w:pPr>
        <w:numPr>
          <w:ilvl w:val="0"/>
          <w:numId w:val="58"/>
        </w:numPr>
        <w:spacing w:after="120"/>
        <w:jc w:val="both"/>
        <w:rPr>
          <w:noProof/>
        </w:rPr>
      </w:pPr>
      <w:r>
        <w:rPr>
          <w:noProof/>
        </w:rPr>
        <w:t>Obowiązek weryfikacji kwalifikowalności każdej operacji zgodnie z wymogami określonymi w umowie wykonawczej przed zobowiązaniem się do finansowania danej operacji.</w:t>
      </w:r>
    </w:p>
    <w:p w14:paraId="6BB1E988" w14:textId="77777777" w:rsidR="004C6421" w:rsidRDefault="009D1962">
      <w:pPr>
        <w:numPr>
          <w:ilvl w:val="0"/>
          <w:numId w:val="58"/>
        </w:numPr>
        <w:spacing w:after="120"/>
        <w:jc w:val="both"/>
        <w:rPr>
          <w:noProof/>
        </w:rPr>
      </w:pPr>
      <w:r>
        <w:rPr>
          <w:noProof/>
        </w:rPr>
        <w:t xml:space="preserve">Obowiązek przeprowadzania opartych na analizie ryzyka audytów ex post zgodnie z planem audytu SGR. Audyty te mają na celu sprawdzenie (i) skuteczności systemów kontroli, w tym wykrywania nadużyć finansowych, korupcji i konfliktu interesów; zgodność z zasadą „nie czyń poważnych szkód”, zasadami pomocy państwa oraz (iii) wymóg, aby beneficjenci końcowi Instrumentu nie otrzymywali wsparcia z innych instrumentów unijnych w celu pokrycia tych samych kosztów. W ramach audytów sprawdza się również legalność transakcji oraz przestrzeganie warunków mających zastosowanie umów wykonawczych i umów o finansowaniu. </w:t>
      </w:r>
    </w:p>
    <w:p w14:paraId="2358F839" w14:textId="77777777" w:rsidR="004C6421" w:rsidRDefault="009D1962">
      <w:pPr>
        <w:numPr>
          <w:ilvl w:val="0"/>
          <w:numId w:val="31"/>
        </w:numPr>
        <w:spacing w:after="120"/>
        <w:ind w:left="720" w:hanging="360"/>
        <w:jc w:val="both"/>
        <w:rPr>
          <w:noProof/>
        </w:rPr>
      </w:pPr>
      <w:r>
        <w:rPr>
          <w:b/>
          <w:noProof/>
        </w:rPr>
        <w:t>Wymogi dotyczące wyboru kapitału podwyższonego ryzyka/ funduszy dłużnych: Fundusz na rzecz Transformacji Cyfrowej</w:t>
      </w:r>
      <w:r>
        <w:rPr>
          <w:noProof/>
        </w:rPr>
        <w:t xml:space="preserve">wybiera pośredników finansowych w sposób otwarty, przejrzysty i niedyskryminujący, zgodnie z obecną praktyką, między innymi poprzez publikowanie wszystkich wymogów i formularzy wniosków zarówno na stronie internetowej SGR, jak i na stronie internetowej MIMIT. Kontrole dotyczące braku konfliktu interesów w odniesieniu do pośredników finansowych przeprowadza się i przeprowadza </w:t>
      </w:r>
      <w:r>
        <w:rPr>
          <w:i/>
          <w:noProof/>
        </w:rPr>
        <w:t>ex ante w</w:t>
      </w:r>
      <w:r>
        <w:rPr>
          <w:noProof/>
        </w:rPr>
        <w:t xml:space="preserve"> odniesieniu do wszystkich zaangażowanych podmiotów finansowych. Brak konfliktu interesów zawsze odnosi się do „beneficjenta końcowego” Instrumentu.</w:t>
      </w:r>
    </w:p>
    <w:p w14:paraId="27377940" w14:textId="77777777" w:rsidR="004C6421" w:rsidRDefault="009D1962">
      <w:pPr>
        <w:numPr>
          <w:ilvl w:val="0"/>
          <w:numId w:val="31"/>
        </w:numPr>
        <w:spacing w:after="120"/>
        <w:ind w:left="720" w:hanging="360"/>
        <w:jc w:val="both"/>
        <w:rPr>
          <w:noProof/>
        </w:rPr>
      </w:pPr>
      <w:r>
        <w:rPr>
          <w:b/>
          <w:noProof/>
        </w:rPr>
        <w:t>Wymóg podpisania umów o finansowaniu</w:t>
      </w:r>
      <w:r>
        <w:rPr>
          <w:noProof/>
        </w:rPr>
        <w:t xml:space="preserve">: Fundusz na rzecz Transformacji Cyfrowej podpisuje umowy o finansowaniu z pośrednikami finansowymi zgodnie z kluczowymi wymogami, które obejmują wszystkie wymogi, w ramach których działa DTF, w tym: </w:t>
      </w:r>
    </w:p>
    <w:p w14:paraId="16335E39" w14:textId="77777777" w:rsidR="004C6421" w:rsidRDefault="009D1962">
      <w:pPr>
        <w:numPr>
          <w:ilvl w:val="0"/>
          <w:numId w:val="56"/>
        </w:numPr>
        <w:spacing w:after="120"/>
        <w:jc w:val="both"/>
        <w:rPr>
          <w:noProof/>
        </w:rPr>
      </w:pPr>
      <w:r>
        <w:rPr>
          <w:noProof/>
        </w:rPr>
        <w:t xml:space="preserve">Obowiązek pośrednika finansowego do podejmowania decyzji zgodnie </w:t>
      </w:r>
      <w:r>
        <w:rPr>
          <w:i/>
          <w:noProof/>
        </w:rPr>
        <w:t>mutatis mutandis</w:t>
      </w:r>
      <w:r>
        <w:rPr>
          <w:noProof/>
        </w:rPr>
        <w:t xml:space="preserve"> z wymogami dotyczącymi podejmowania decyzji i polityki inwestycyjnej określonymi wyżej, w tym dotyczącymi przestrzegania zasady „nie czyń poważnych szkód”.</w:t>
      </w:r>
    </w:p>
    <w:p w14:paraId="4BB27F9B" w14:textId="77777777" w:rsidR="004C6421" w:rsidRDefault="009D1962">
      <w:pPr>
        <w:numPr>
          <w:ilvl w:val="0"/>
          <w:numId w:val="56"/>
        </w:numPr>
        <w:spacing w:after="120"/>
        <w:jc w:val="both"/>
        <w:rPr>
          <w:noProof/>
        </w:rPr>
      </w:pPr>
      <w:r>
        <w:rPr>
          <w:noProof/>
        </w:rPr>
        <w:t xml:space="preserve">Opis ram monitorowania oraz audytu i kontroli, które pośrednik finansowy wprowadza, które </w:t>
      </w:r>
      <w:r>
        <w:rPr>
          <w:i/>
          <w:noProof/>
        </w:rPr>
        <w:t>odpowiednio</w:t>
      </w:r>
      <w:r>
        <w:rPr>
          <w:noProof/>
        </w:rPr>
        <w:t xml:space="preserve"> podlegają wszystkim wymogom w zakresie monitorowania, audytu i kontroli określonym powyżej. </w:t>
      </w:r>
    </w:p>
    <w:p w14:paraId="19D6416A" w14:textId="77777777" w:rsidR="004C6421" w:rsidRDefault="009D1962">
      <w:pPr>
        <w:spacing w:before="120" w:after="120"/>
        <w:jc w:val="both"/>
        <w:rPr>
          <w:noProof/>
        </w:rPr>
      </w:pPr>
      <w:r>
        <w:rPr>
          <w:noProof/>
        </w:rPr>
        <w:t>Wdrożenie środka należy zakończyć do dnia 31 sierpnia 2026 r.</w:t>
      </w:r>
    </w:p>
    <w:p w14:paraId="4B984CC2" w14:textId="77777777" w:rsidR="004C6421" w:rsidRDefault="009D1962">
      <w:pPr>
        <w:pStyle w:val="Heading3"/>
        <w:numPr>
          <w:ilvl w:val="0"/>
          <w:numId w:val="0"/>
        </w:numPr>
        <w:ind w:left="850" w:hanging="850"/>
        <w:rPr>
          <w:b/>
          <w:i w:val="0"/>
          <w:noProof/>
          <w:u w:val="single"/>
        </w:rPr>
      </w:pPr>
      <w:r>
        <w:rPr>
          <w:b/>
          <w:i w:val="0"/>
          <w:noProof/>
          <w:u w:val="single"/>
        </w:rPr>
        <w:t xml:space="preserve">K.4. </w:t>
      </w:r>
      <w:r>
        <w:rPr>
          <w:noProof/>
        </w:rPr>
        <w:t xml:space="preserve"> </w:t>
      </w:r>
      <w:r>
        <w:rPr>
          <w:b/>
          <w:i w:val="0"/>
          <w:noProof/>
          <w:u w:val="single"/>
        </w:rPr>
        <w:t xml:space="preserve">Cele pośrednie, wartości docelowe, wskaźniki i harmonogram monitorowania i realizacji pożyczki </w:t>
      </w:r>
    </w:p>
    <w:p w14:paraId="2CC592BB" w14:textId="77777777" w:rsidR="004C6421" w:rsidRDefault="004C6421">
      <w:pPr>
        <w:spacing w:before="120" w:after="120"/>
        <w:ind w:left="709"/>
        <w:contextualSpacing/>
        <w:jc w:val="both"/>
        <w:rPr>
          <w:noProof/>
        </w:rPr>
        <w:sectPr w:rsidR="004C6421" w:rsidSect="00797973">
          <w:headerReference w:type="even" r:id="rId290"/>
          <w:headerReference w:type="default" r:id="rId291"/>
          <w:footerReference w:type="even" r:id="rId292"/>
          <w:footerReference w:type="default" r:id="rId293"/>
          <w:headerReference w:type="first" r:id="rId294"/>
          <w:footerReference w:type="first" r:id="rId295"/>
          <w:pgSz w:w="11907" w:h="16839"/>
          <w:pgMar w:top="1134" w:right="1134" w:bottom="1134" w:left="1134" w:header="567" w:footer="567" w:gutter="0"/>
          <w:cols w:space="720"/>
          <w:docGrid w:linePitch="360"/>
        </w:sectPr>
      </w:pPr>
    </w:p>
    <w:tbl>
      <w:tblPr>
        <w:tblW w:w="543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419"/>
        <w:gridCol w:w="1132"/>
        <w:gridCol w:w="1418"/>
        <w:gridCol w:w="1275"/>
        <w:gridCol w:w="1134"/>
        <w:gridCol w:w="993"/>
        <w:gridCol w:w="1275"/>
        <w:gridCol w:w="993"/>
        <w:gridCol w:w="708"/>
        <w:gridCol w:w="3686"/>
      </w:tblGrid>
      <w:tr w:rsidR="004C6421" w14:paraId="3C1C1C96" w14:textId="77777777">
        <w:trPr>
          <w:trHeight w:val="939"/>
          <w:tblHeader/>
        </w:trPr>
        <w:tc>
          <w:tcPr>
            <w:tcW w:w="1135" w:type="dxa"/>
            <w:vMerge w:val="restart"/>
            <w:shd w:val="clear" w:color="auto" w:fill="BDD7EE"/>
            <w:vAlign w:val="center"/>
            <w:hideMark/>
          </w:tcPr>
          <w:p w14:paraId="329AEB1F" w14:textId="77777777" w:rsidR="004C6421" w:rsidRDefault="009D1962">
            <w:pPr>
              <w:pStyle w:val="P68B1DB1-Normal3"/>
              <w:jc w:val="center"/>
              <w:rPr>
                <w:noProof/>
              </w:rPr>
            </w:pPr>
            <w:r>
              <w:rPr>
                <w:noProof/>
              </w:rPr>
              <w:t>Numer porządkowy</w:t>
            </w:r>
          </w:p>
        </w:tc>
        <w:tc>
          <w:tcPr>
            <w:tcW w:w="1419" w:type="dxa"/>
            <w:vMerge w:val="restart"/>
            <w:shd w:val="clear" w:color="auto" w:fill="BDD7EE"/>
            <w:vAlign w:val="center"/>
            <w:hideMark/>
          </w:tcPr>
          <w:p w14:paraId="7C3AE045" w14:textId="77777777" w:rsidR="004C6421" w:rsidRDefault="009D1962">
            <w:pPr>
              <w:pStyle w:val="P68B1DB1-Normal3"/>
              <w:jc w:val="center"/>
              <w:rPr>
                <w:noProof/>
              </w:rPr>
            </w:pPr>
            <w:r>
              <w:rPr>
                <w:noProof/>
              </w:rPr>
              <w:t>Powiązane działanie (reforma lub inwestycja)</w:t>
            </w:r>
          </w:p>
        </w:tc>
        <w:tc>
          <w:tcPr>
            <w:tcW w:w="1132" w:type="dxa"/>
            <w:vMerge w:val="restart"/>
            <w:shd w:val="clear" w:color="auto" w:fill="BDD7EE"/>
            <w:vAlign w:val="center"/>
            <w:hideMark/>
          </w:tcPr>
          <w:p w14:paraId="79BAB95D" w14:textId="77777777" w:rsidR="004C6421" w:rsidRDefault="009D1962">
            <w:pPr>
              <w:pStyle w:val="P68B1DB1-Normal3"/>
              <w:jc w:val="center"/>
              <w:rPr>
                <w:noProof/>
              </w:rPr>
            </w:pPr>
            <w:r>
              <w:rPr>
                <w:noProof/>
              </w:rPr>
              <w:t>Kamień milowy/wartość docelowa</w:t>
            </w:r>
          </w:p>
        </w:tc>
        <w:tc>
          <w:tcPr>
            <w:tcW w:w="1418" w:type="dxa"/>
            <w:vMerge w:val="restart"/>
            <w:shd w:val="clear" w:color="auto" w:fill="BDD7EE"/>
            <w:vAlign w:val="center"/>
            <w:hideMark/>
          </w:tcPr>
          <w:p w14:paraId="0B662032" w14:textId="77777777" w:rsidR="004C6421" w:rsidRDefault="009D1962">
            <w:pPr>
              <w:pStyle w:val="P68B1DB1-Normal3"/>
              <w:jc w:val="center"/>
              <w:rPr>
                <w:noProof/>
              </w:rPr>
            </w:pPr>
            <w:r>
              <w:rPr>
                <w:noProof/>
              </w:rPr>
              <w:t>Nazwa</w:t>
            </w:r>
          </w:p>
        </w:tc>
        <w:tc>
          <w:tcPr>
            <w:tcW w:w="1275" w:type="dxa"/>
            <w:vMerge w:val="restart"/>
            <w:shd w:val="clear" w:color="auto" w:fill="BDD7EE"/>
            <w:vAlign w:val="center"/>
            <w:hideMark/>
          </w:tcPr>
          <w:p w14:paraId="67EDD7EF" w14:textId="77777777" w:rsidR="004C6421" w:rsidRDefault="009D1962">
            <w:pPr>
              <w:jc w:val="center"/>
              <w:rPr>
                <w:rFonts w:ascii="Arial Narrow" w:hAnsi="Arial Narrow"/>
                <w:b/>
                <w:noProof/>
                <w:sz w:val="20"/>
              </w:rPr>
            </w:pPr>
            <w:r>
              <w:rPr>
                <w:rFonts w:ascii="Arial Narrow" w:hAnsi="Arial Narrow"/>
                <w:b/>
                <w:noProof/>
                <w:sz w:val="20"/>
              </w:rPr>
              <w:t xml:space="preserve">Wskaźniki jakościowe </w:t>
            </w:r>
            <w:r>
              <w:rPr>
                <w:rFonts w:ascii="Arial Narrow" w:hAnsi="Arial Narrow"/>
                <w:noProof/>
              </w:rPr>
              <w:t xml:space="preserve"> </w:t>
            </w:r>
            <w:r>
              <w:rPr>
                <w:noProof/>
              </w:rPr>
              <w:t xml:space="preserve">  </w:t>
            </w:r>
            <w:r>
              <w:rPr>
                <w:noProof/>
              </w:rPr>
              <w:br/>
            </w:r>
            <w:r>
              <w:rPr>
                <w:rFonts w:ascii="Arial Narrow" w:hAnsi="Arial Narrow"/>
                <w:b/>
                <w:noProof/>
                <w:sz w:val="20"/>
              </w:rPr>
              <w:t>(dla kamieni milowych)</w:t>
            </w:r>
          </w:p>
        </w:tc>
        <w:tc>
          <w:tcPr>
            <w:tcW w:w="3402" w:type="dxa"/>
            <w:gridSpan w:val="3"/>
            <w:shd w:val="clear" w:color="auto" w:fill="BDD7EE"/>
            <w:vAlign w:val="center"/>
            <w:hideMark/>
          </w:tcPr>
          <w:p w14:paraId="2A81C763" w14:textId="77777777" w:rsidR="004C6421" w:rsidRDefault="009D1962">
            <w:pPr>
              <w:jc w:val="center"/>
              <w:rPr>
                <w:rFonts w:ascii="Arial Narrow" w:hAnsi="Arial Narrow"/>
                <w:b/>
                <w:noProof/>
                <w:sz w:val="20"/>
              </w:rPr>
            </w:pPr>
            <w:r>
              <w:rPr>
                <w:rFonts w:ascii="Arial Narrow" w:hAnsi="Arial Narrow"/>
                <w:b/>
                <w:noProof/>
                <w:sz w:val="20"/>
              </w:rPr>
              <w:t xml:space="preserve">Wskaźniki ilościowe </w:t>
            </w:r>
            <w:r>
              <w:rPr>
                <w:rFonts w:ascii="Arial Narrow" w:hAnsi="Arial Narrow"/>
                <w:noProof/>
              </w:rPr>
              <w:t xml:space="preserve"> </w:t>
            </w:r>
            <w:r>
              <w:rPr>
                <w:noProof/>
              </w:rPr>
              <w:t xml:space="preserve">  </w:t>
            </w:r>
            <w:r>
              <w:rPr>
                <w:noProof/>
              </w:rPr>
              <w:br/>
            </w:r>
            <w:r>
              <w:rPr>
                <w:rFonts w:ascii="Arial Narrow" w:hAnsi="Arial Narrow"/>
                <w:b/>
                <w:noProof/>
                <w:sz w:val="20"/>
              </w:rPr>
              <w:t>(dla wartości docelowych)</w:t>
            </w:r>
          </w:p>
        </w:tc>
        <w:tc>
          <w:tcPr>
            <w:tcW w:w="1701" w:type="dxa"/>
            <w:gridSpan w:val="2"/>
            <w:shd w:val="clear" w:color="auto" w:fill="BDD7EE"/>
            <w:vAlign w:val="center"/>
            <w:hideMark/>
          </w:tcPr>
          <w:p w14:paraId="4FCAF974" w14:textId="77777777" w:rsidR="004C6421" w:rsidRDefault="009D1962">
            <w:pPr>
              <w:pStyle w:val="P68B1DB1-Normal3"/>
              <w:jc w:val="center"/>
              <w:rPr>
                <w:noProof/>
              </w:rPr>
            </w:pPr>
            <w:r>
              <w:rPr>
                <w:noProof/>
              </w:rPr>
              <w:t>Orientacyjny harmonogram zakończenia działania</w:t>
            </w:r>
          </w:p>
        </w:tc>
        <w:tc>
          <w:tcPr>
            <w:tcW w:w="3686" w:type="dxa"/>
            <w:vMerge w:val="restart"/>
            <w:shd w:val="clear" w:color="auto" w:fill="BDD7EE"/>
            <w:vAlign w:val="center"/>
            <w:hideMark/>
          </w:tcPr>
          <w:p w14:paraId="38D0C4D6" w14:textId="77777777" w:rsidR="004C6421" w:rsidRDefault="009D1962">
            <w:pPr>
              <w:pStyle w:val="P68B1DB1-Normal3"/>
              <w:jc w:val="center"/>
              <w:rPr>
                <w:noProof/>
              </w:rPr>
            </w:pPr>
            <w:r>
              <w:rPr>
                <w:noProof/>
              </w:rPr>
              <w:t>Opis każdego kamienia milowego i każdej wartości docelowej</w:t>
            </w:r>
          </w:p>
        </w:tc>
      </w:tr>
      <w:tr w:rsidR="004C6421" w14:paraId="4BD0F8D4" w14:textId="77777777">
        <w:trPr>
          <w:trHeight w:val="741"/>
        </w:trPr>
        <w:tc>
          <w:tcPr>
            <w:tcW w:w="1135" w:type="dxa"/>
            <w:vMerge/>
            <w:vAlign w:val="center"/>
            <w:hideMark/>
          </w:tcPr>
          <w:p w14:paraId="1D816DFA" w14:textId="77777777" w:rsidR="004C6421" w:rsidRDefault="004C6421">
            <w:pPr>
              <w:jc w:val="center"/>
              <w:rPr>
                <w:rFonts w:ascii="Arial Narrow" w:hAnsi="Arial Narrow"/>
                <w:b/>
                <w:noProof/>
                <w:sz w:val="20"/>
              </w:rPr>
            </w:pPr>
          </w:p>
        </w:tc>
        <w:tc>
          <w:tcPr>
            <w:tcW w:w="1419" w:type="dxa"/>
            <w:vMerge/>
            <w:vAlign w:val="center"/>
            <w:hideMark/>
          </w:tcPr>
          <w:p w14:paraId="0964CE3D" w14:textId="77777777" w:rsidR="004C6421" w:rsidRDefault="004C6421">
            <w:pPr>
              <w:jc w:val="center"/>
              <w:rPr>
                <w:rFonts w:ascii="Arial Narrow" w:hAnsi="Arial Narrow"/>
                <w:b/>
                <w:noProof/>
                <w:sz w:val="20"/>
              </w:rPr>
            </w:pPr>
          </w:p>
        </w:tc>
        <w:tc>
          <w:tcPr>
            <w:tcW w:w="1132" w:type="dxa"/>
            <w:vMerge/>
            <w:vAlign w:val="center"/>
            <w:hideMark/>
          </w:tcPr>
          <w:p w14:paraId="7B48B965" w14:textId="77777777" w:rsidR="004C6421" w:rsidRDefault="004C6421">
            <w:pPr>
              <w:jc w:val="center"/>
              <w:rPr>
                <w:rFonts w:ascii="Arial Narrow" w:hAnsi="Arial Narrow"/>
                <w:b/>
                <w:noProof/>
                <w:sz w:val="20"/>
              </w:rPr>
            </w:pPr>
          </w:p>
        </w:tc>
        <w:tc>
          <w:tcPr>
            <w:tcW w:w="1418" w:type="dxa"/>
            <w:vMerge/>
            <w:vAlign w:val="center"/>
            <w:hideMark/>
          </w:tcPr>
          <w:p w14:paraId="2FFD6395" w14:textId="77777777" w:rsidR="004C6421" w:rsidRDefault="004C6421">
            <w:pPr>
              <w:jc w:val="center"/>
              <w:rPr>
                <w:rFonts w:ascii="Arial Narrow" w:hAnsi="Arial Narrow"/>
                <w:b/>
                <w:noProof/>
                <w:sz w:val="20"/>
              </w:rPr>
            </w:pPr>
          </w:p>
        </w:tc>
        <w:tc>
          <w:tcPr>
            <w:tcW w:w="1275" w:type="dxa"/>
            <w:vMerge/>
            <w:vAlign w:val="center"/>
            <w:hideMark/>
          </w:tcPr>
          <w:p w14:paraId="26E229C4" w14:textId="77777777" w:rsidR="004C6421" w:rsidRDefault="004C6421">
            <w:pPr>
              <w:jc w:val="center"/>
              <w:rPr>
                <w:rFonts w:ascii="Arial Narrow" w:hAnsi="Arial Narrow"/>
                <w:b/>
                <w:noProof/>
                <w:sz w:val="20"/>
              </w:rPr>
            </w:pPr>
          </w:p>
        </w:tc>
        <w:tc>
          <w:tcPr>
            <w:tcW w:w="1134" w:type="dxa"/>
            <w:shd w:val="clear" w:color="auto" w:fill="BDD7EE"/>
            <w:vAlign w:val="center"/>
            <w:hideMark/>
          </w:tcPr>
          <w:p w14:paraId="4D69077D" w14:textId="77777777" w:rsidR="004C6421" w:rsidRDefault="009D1962">
            <w:pPr>
              <w:pStyle w:val="P68B1DB1-Normal3"/>
              <w:jc w:val="center"/>
              <w:rPr>
                <w:noProof/>
              </w:rPr>
            </w:pPr>
            <w:r>
              <w:rPr>
                <w:noProof/>
              </w:rPr>
              <w:t>Jednostka miary</w:t>
            </w:r>
          </w:p>
        </w:tc>
        <w:tc>
          <w:tcPr>
            <w:tcW w:w="993" w:type="dxa"/>
            <w:shd w:val="clear" w:color="auto" w:fill="BDD7EE"/>
            <w:vAlign w:val="center"/>
            <w:hideMark/>
          </w:tcPr>
          <w:p w14:paraId="51512498" w14:textId="77777777" w:rsidR="004C6421" w:rsidRDefault="009D1962">
            <w:pPr>
              <w:pStyle w:val="P68B1DB1-Normal3"/>
              <w:jc w:val="center"/>
              <w:rPr>
                <w:noProof/>
              </w:rPr>
            </w:pPr>
            <w:r>
              <w:rPr>
                <w:noProof/>
              </w:rPr>
              <w:t>Bazowy</w:t>
            </w:r>
          </w:p>
        </w:tc>
        <w:tc>
          <w:tcPr>
            <w:tcW w:w="1275" w:type="dxa"/>
            <w:shd w:val="clear" w:color="auto" w:fill="BDD7EE"/>
            <w:vAlign w:val="center"/>
            <w:hideMark/>
          </w:tcPr>
          <w:p w14:paraId="30F5C16C" w14:textId="77777777" w:rsidR="004C6421" w:rsidRDefault="009D1962">
            <w:pPr>
              <w:pStyle w:val="P68B1DB1-Normal3"/>
              <w:jc w:val="center"/>
              <w:rPr>
                <w:noProof/>
              </w:rPr>
            </w:pPr>
            <w:r>
              <w:rPr>
                <w:noProof/>
              </w:rPr>
              <w:t>Cel</w:t>
            </w:r>
          </w:p>
        </w:tc>
        <w:tc>
          <w:tcPr>
            <w:tcW w:w="993" w:type="dxa"/>
            <w:shd w:val="clear" w:color="auto" w:fill="BDD7EE"/>
            <w:vAlign w:val="center"/>
            <w:hideMark/>
          </w:tcPr>
          <w:p w14:paraId="5F0A1CC8" w14:textId="77777777" w:rsidR="004C6421" w:rsidRDefault="009D1962">
            <w:pPr>
              <w:pStyle w:val="P68B1DB1-Normal3"/>
              <w:jc w:val="center"/>
              <w:rPr>
                <w:noProof/>
              </w:rPr>
            </w:pPr>
            <w:r>
              <w:rPr>
                <w:noProof/>
              </w:rPr>
              <w:t>Kwartał</w:t>
            </w:r>
          </w:p>
        </w:tc>
        <w:tc>
          <w:tcPr>
            <w:tcW w:w="708" w:type="dxa"/>
            <w:shd w:val="clear" w:color="auto" w:fill="BDD7EE"/>
            <w:vAlign w:val="center"/>
            <w:hideMark/>
          </w:tcPr>
          <w:p w14:paraId="21FF089D" w14:textId="77777777" w:rsidR="004C6421" w:rsidRDefault="009D1962">
            <w:pPr>
              <w:pStyle w:val="P68B1DB1-Normal3"/>
              <w:jc w:val="center"/>
              <w:rPr>
                <w:noProof/>
              </w:rPr>
            </w:pPr>
            <w:r>
              <w:rPr>
                <w:noProof/>
              </w:rPr>
              <w:t>Rok</w:t>
            </w:r>
          </w:p>
        </w:tc>
        <w:tc>
          <w:tcPr>
            <w:tcW w:w="3686" w:type="dxa"/>
            <w:vMerge/>
            <w:vAlign w:val="center"/>
            <w:hideMark/>
          </w:tcPr>
          <w:p w14:paraId="4FFA2E59" w14:textId="77777777" w:rsidR="004C6421" w:rsidRDefault="004C6421">
            <w:pPr>
              <w:rPr>
                <w:rFonts w:ascii="Arial Narrow" w:hAnsi="Arial Narrow"/>
                <w:b/>
                <w:noProof/>
                <w:sz w:val="20"/>
              </w:rPr>
            </w:pPr>
          </w:p>
        </w:tc>
      </w:tr>
      <w:tr w:rsidR="004C6421" w14:paraId="717994D9" w14:textId="77777777">
        <w:trPr>
          <w:trHeight w:val="1740"/>
        </w:trPr>
        <w:tc>
          <w:tcPr>
            <w:tcW w:w="1135" w:type="dxa"/>
            <w:shd w:val="clear" w:color="auto" w:fill="C6EFCE"/>
            <w:noWrap/>
            <w:vAlign w:val="center"/>
            <w:hideMark/>
          </w:tcPr>
          <w:p w14:paraId="2AE6B775" w14:textId="77777777" w:rsidR="004C6421" w:rsidRDefault="009D1962">
            <w:pPr>
              <w:pStyle w:val="P68B1DB1-Normal4"/>
              <w:jc w:val="center"/>
              <w:rPr>
                <w:noProof/>
              </w:rPr>
            </w:pPr>
            <w:r>
              <w:rPr>
                <w:noProof/>
              </w:rPr>
              <w:t>M4C2-5</w:t>
            </w:r>
          </w:p>
          <w:p w14:paraId="7018C031" w14:textId="77777777" w:rsidR="004C6421" w:rsidRDefault="004C6421">
            <w:pPr>
              <w:jc w:val="center"/>
              <w:rPr>
                <w:rFonts w:ascii="Arial Narrow" w:hAnsi="Arial Narrow"/>
                <w:noProof/>
                <w:color w:val="006100"/>
                <w:sz w:val="20"/>
              </w:rPr>
            </w:pPr>
          </w:p>
        </w:tc>
        <w:tc>
          <w:tcPr>
            <w:tcW w:w="1419" w:type="dxa"/>
            <w:shd w:val="clear" w:color="auto" w:fill="C6EFCE"/>
            <w:noWrap/>
            <w:vAlign w:val="center"/>
          </w:tcPr>
          <w:p w14:paraId="00921CF4" w14:textId="77777777" w:rsidR="004C6421" w:rsidRDefault="009D1962">
            <w:pPr>
              <w:pStyle w:val="P68B1DB1-Normal4"/>
              <w:jc w:val="center"/>
              <w:rPr>
                <w:noProof/>
              </w:rPr>
            </w:pPr>
            <w:r>
              <w:rPr>
                <w:noProof/>
              </w:rPr>
              <w:t>Inwestycje 1.1: Projekty badawcze o istotnym znaczeniu narodowym (PRIN)</w:t>
            </w:r>
          </w:p>
        </w:tc>
        <w:tc>
          <w:tcPr>
            <w:tcW w:w="1132" w:type="dxa"/>
            <w:shd w:val="clear" w:color="auto" w:fill="C6EFCE"/>
            <w:noWrap/>
            <w:vAlign w:val="center"/>
            <w:hideMark/>
          </w:tcPr>
          <w:p w14:paraId="006D6794" w14:textId="77777777" w:rsidR="004C6421" w:rsidRDefault="009D1962">
            <w:pPr>
              <w:pStyle w:val="P68B1DB1-Normal4"/>
              <w:jc w:val="center"/>
              <w:rPr>
                <w:noProof/>
              </w:rPr>
            </w:pPr>
            <w:r>
              <w:rPr>
                <w:noProof/>
              </w:rPr>
              <w:t>Cel</w:t>
            </w:r>
          </w:p>
        </w:tc>
        <w:tc>
          <w:tcPr>
            <w:tcW w:w="1418" w:type="dxa"/>
            <w:shd w:val="clear" w:color="auto" w:fill="C6EFCE"/>
            <w:noWrap/>
            <w:vAlign w:val="center"/>
          </w:tcPr>
          <w:p w14:paraId="002B4F52" w14:textId="77777777" w:rsidR="004C6421" w:rsidRDefault="009D1962">
            <w:pPr>
              <w:pStyle w:val="P68B1DB1-Normal4"/>
              <w:jc w:val="center"/>
              <w:rPr>
                <w:noProof/>
              </w:rPr>
            </w:pPr>
            <w:r>
              <w:rPr>
                <w:noProof/>
              </w:rPr>
              <w:t>Liczba projektów badawczych, na które udzielono dotacji</w:t>
            </w:r>
          </w:p>
        </w:tc>
        <w:tc>
          <w:tcPr>
            <w:tcW w:w="1275" w:type="dxa"/>
            <w:shd w:val="clear" w:color="auto" w:fill="C6EFCE"/>
            <w:noWrap/>
            <w:vAlign w:val="center"/>
            <w:hideMark/>
          </w:tcPr>
          <w:p w14:paraId="188E9E65" w14:textId="77777777" w:rsidR="004C6421" w:rsidRDefault="009D1962">
            <w:pPr>
              <w:pStyle w:val="P68B1DB1-Normal4"/>
              <w:jc w:val="center"/>
              <w:rPr>
                <w:noProof/>
              </w:rPr>
            </w:pPr>
            <w:r>
              <w:rPr>
                <w:noProof/>
              </w:rPr>
              <w:t>NIE DOT.</w:t>
            </w:r>
          </w:p>
        </w:tc>
        <w:tc>
          <w:tcPr>
            <w:tcW w:w="1134" w:type="dxa"/>
            <w:shd w:val="clear" w:color="auto" w:fill="C6EFCE"/>
            <w:noWrap/>
            <w:vAlign w:val="center"/>
            <w:hideMark/>
          </w:tcPr>
          <w:p w14:paraId="325F4A3A" w14:textId="77777777" w:rsidR="004C6421" w:rsidRDefault="009D1962">
            <w:pPr>
              <w:pStyle w:val="P68B1DB1-Normal4"/>
              <w:jc w:val="center"/>
              <w:rPr>
                <w:noProof/>
              </w:rPr>
            </w:pPr>
            <w:r>
              <w:rPr>
                <w:noProof/>
              </w:rPr>
              <w:t>Numer</w:t>
            </w:r>
          </w:p>
        </w:tc>
        <w:tc>
          <w:tcPr>
            <w:tcW w:w="993" w:type="dxa"/>
            <w:shd w:val="clear" w:color="auto" w:fill="C6EFCE"/>
            <w:noWrap/>
            <w:vAlign w:val="center"/>
          </w:tcPr>
          <w:p w14:paraId="0CAF5A68" w14:textId="77777777" w:rsidR="004C6421" w:rsidRDefault="009D1962">
            <w:pPr>
              <w:pStyle w:val="P68B1DB1-Normal4"/>
              <w:jc w:val="center"/>
              <w:rPr>
                <w:noProof/>
              </w:rPr>
            </w:pPr>
            <w:r>
              <w:rPr>
                <w:noProof/>
              </w:rPr>
              <w:t>0</w:t>
            </w:r>
          </w:p>
        </w:tc>
        <w:tc>
          <w:tcPr>
            <w:tcW w:w="1275" w:type="dxa"/>
            <w:shd w:val="clear" w:color="auto" w:fill="C6EFCE"/>
            <w:noWrap/>
            <w:vAlign w:val="center"/>
          </w:tcPr>
          <w:p w14:paraId="3E2BF843" w14:textId="412A132B" w:rsidR="004C6421" w:rsidRDefault="009D1962">
            <w:pPr>
              <w:jc w:val="center"/>
              <w:rPr>
                <w:rFonts w:ascii="Arial Narrow" w:hAnsi="Arial Narrow"/>
                <w:noProof/>
                <w:color w:val="006100"/>
                <w:sz w:val="20"/>
              </w:rPr>
            </w:pPr>
            <w:r>
              <w:rPr>
                <w:rFonts w:ascii="Arial Narrow" w:hAnsi="Arial Narrow"/>
                <w:noProof/>
                <w:color w:val="006100"/>
                <w:sz w:val="20"/>
              </w:rPr>
              <w:t>3</w:t>
            </w:r>
            <w:r>
              <w:rPr>
                <w:noProof/>
                <w:sz w:val="23"/>
              </w:rPr>
              <w:t xml:space="preserve"> </w:t>
            </w:r>
            <w:r>
              <w:rPr>
                <w:rFonts w:ascii="Arial Narrow" w:hAnsi="Arial Narrow"/>
                <w:noProof/>
                <w:color w:val="006100"/>
                <w:sz w:val="20"/>
              </w:rPr>
              <w:t>150</w:t>
            </w:r>
          </w:p>
        </w:tc>
        <w:tc>
          <w:tcPr>
            <w:tcW w:w="993" w:type="dxa"/>
            <w:shd w:val="clear" w:color="auto" w:fill="C6EFCE"/>
            <w:noWrap/>
            <w:vAlign w:val="center"/>
            <w:hideMark/>
          </w:tcPr>
          <w:p w14:paraId="37DFE9D2" w14:textId="1B33D9E3" w:rsidR="004C6421" w:rsidRDefault="00CC179E">
            <w:pPr>
              <w:pStyle w:val="P68B1DB1-Normal4"/>
              <w:jc w:val="center"/>
              <w:rPr>
                <w:noProof/>
              </w:rPr>
            </w:pPr>
            <w:r>
              <w:rPr>
                <w:noProof/>
              </w:rPr>
              <w:t>KW. 4</w:t>
            </w:r>
          </w:p>
        </w:tc>
        <w:tc>
          <w:tcPr>
            <w:tcW w:w="708" w:type="dxa"/>
            <w:shd w:val="clear" w:color="auto" w:fill="C6EFCE"/>
            <w:noWrap/>
            <w:vAlign w:val="center"/>
            <w:hideMark/>
          </w:tcPr>
          <w:p w14:paraId="241A0212" w14:textId="77777777" w:rsidR="004C6421" w:rsidRDefault="009D1962">
            <w:pPr>
              <w:pStyle w:val="P68B1DB1-Normal4"/>
              <w:jc w:val="center"/>
              <w:rPr>
                <w:noProof/>
              </w:rPr>
            </w:pPr>
            <w:r>
              <w:rPr>
                <w:noProof/>
              </w:rPr>
              <w:t>2023</w:t>
            </w:r>
          </w:p>
        </w:tc>
        <w:tc>
          <w:tcPr>
            <w:tcW w:w="3686" w:type="dxa"/>
            <w:shd w:val="clear" w:color="auto" w:fill="C6EFCE"/>
            <w:noWrap/>
            <w:vAlign w:val="center"/>
            <w:hideMark/>
          </w:tcPr>
          <w:p w14:paraId="14CE2BC8" w14:textId="3F8C491F" w:rsidR="004C6421" w:rsidRDefault="009D1962">
            <w:pPr>
              <w:rPr>
                <w:rFonts w:ascii="Arial Narrow" w:hAnsi="Arial Narrow"/>
                <w:noProof/>
                <w:color w:val="006100"/>
                <w:sz w:val="20"/>
              </w:rPr>
            </w:pPr>
            <w:r>
              <w:rPr>
                <w:rFonts w:ascii="Arial Narrow" w:hAnsi="Arial Narrow"/>
                <w:noProof/>
                <w:color w:val="006100"/>
                <w:sz w:val="20"/>
              </w:rPr>
              <w:t>Co najmniej 3150 projektów</w:t>
            </w:r>
            <w:r>
              <w:rPr>
                <w:noProof/>
                <w:sz w:val="23"/>
              </w:rPr>
              <w:t xml:space="preserve"> </w:t>
            </w:r>
            <w:r>
              <w:rPr>
                <w:rFonts w:ascii="Arial Narrow" w:hAnsi="Arial Narrow"/>
                <w:noProof/>
                <w:color w:val="006100"/>
                <w:sz w:val="20"/>
              </w:rPr>
              <w:t xml:space="preserve">badawczych </w:t>
            </w:r>
            <w:r>
              <w:rPr>
                <w:rFonts w:ascii="Arial Narrow" w:hAnsi="Arial Narrow"/>
                <w:i/>
                <w:noProof/>
                <w:color w:val="006100"/>
                <w:sz w:val="20"/>
              </w:rPr>
              <w:t>Progetti di Ricerca di Interesse Nazionale</w:t>
            </w:r>
            <w:r>
              <w:rPr>
                <w:rFonts w:ascii="Arial Narrow" w:hAnsi="Arial Narrow"/>
                <w:noProof/>
                <w:color w:val="006100"/>
                <w:sz w:val="20"/>
              </w:rPr>
              <w:t xml:space="preserve">. </w:t>
            </w:r>
          </w:p>
          <w:p w14:paraId="447256D2" w14:textId="77777777" w:rsidR="004C6421" w:rsidRDefault="009D1962">
            <w:pPr>
              <w:pStyle w:val="P68B1DB1-Normal4"/>
              <w:rPr>
                <w:noProof/>
              </w:rPr>
            </w:pPr>
            <w:r>
              <w:rPr>
                <w:noProof/>
              </w:rPr>
              <w:t>Udzielanie zamówień na projekty wybrane w ramach konkurencyjnych zaproszeń do składania wniosków odbywa się zgodnie z wytycznymi technicznymi dotyczącymi zasady „nie czyń poważnych szkód” (2021/C58/01) poprzez wykorzystanie listy wykluczenia oraz wymóg zgodności z odpowiednimi unijnymi i krajowymi przepisami w zakresie ochrony środowiska.</w:t>
            </w:r>
          </w:p>
        </w:tc>
      </w:tr>
      <w:tr w:rsidR="004C6421" w14:paraId="48F745D3" w14:textId="77777777">
        <w:trPr>
          <w:trHeight w:val="313"/>
        </w:trPr>
        <w:tc>
          <w:tcPr>
            <w:tcW w:w="1135" w:type="dxa"/>
            <w:shd w:val="clear" w:color="auto" w:fill="C6EFCE"/>
            <w:noWrap/>
            <w:vAlign w:val="center"/>
            <w:hideMark/>
          </w:tcPr>
          <w:p w14:paraId="60502B83" w14:textId="77777777" w:rsidR="004C6421" w:rsidRDefault="009D1962">
            <w:pPr>
              <w:pStyle w:val="P68B1DB1-Normal4"/>
              <w:jc w:val="center"/>
              <w:rPr>
                <w:noProof/>
              </w:rPr>
            </w:pPr>
            <w:r>
              <w:rPr>
                <w:noProof/>
              </w:rPr>
              <w:t>M4C2-6</w:t>
            </w:r>
          </w:p>
        </w:tc>
        <w:tc>
          <w:tcPr>
            <w:tcW w:w="1419" w:type="dxa"/>
            <w:shd w:val="clear" w:color="auto" w:fill="C6EFCE"/>
            <w:noWrap/>
            <w:vAlign w:val="center"/>
          </w:tcPr>
          <w:p w14:paraId="7EA222F8" w14:textId="77777777" w:rsidR="004C6421" w:rsidRDefault="009D1962">
            <w:pPr>
              <w:pStyle w:val="P68B1DB1-Normal4"/>
              <w:jc w:val="center"/>
              <w:rPr>
                <w:noProof/>
              </w:rPr>
            </w:pPr>
            <w:r>
              <w:rPr>
                <w:noProof/>
              </w:rPr>
              <w:t>Inwestycje 1.1: Projekty badawcze o istotnym znaczeniu narodowym (PRIN)</w:t>
            </w:r>
          </w:p>
        </w:tc>
        <w:tc>
          <w:tcPr>
            <w:tcW w:w="1132" w:type="dxa"/>
            <w:shd w:val="clear" w:color="auto" w:fill="C6EFCE"/>
            <w:noWrap/>
            <w:vAlign w:val="center"/>
            <w:hideMark/>
          </w:tcPr>
          <w:p w14:paraId="2D2470E4" w14:textId="77777777" w:rsidR="004C6421" w:rsidRDefault="009D1962">
            <w:pPr>
              <w:pStyle w:val="P68B1DB1-Normal4"/>
              <w:jc w:val="center"/>
              <w:rPr>
                <w:noProof/>
              </w:rPr>
            </w:pPr>
            <w:r>
              <w:rPr>
                <w:noProof/>
              </w:rPr>
              <w:t>Cel</w:t>
            </w:r>
          </w:p>
        </w:tc>
        <w:tc>
          <w:tcPr>
            <w:tcW w:w="1418" w:type="dxa"/>
            <w:shd w:val="clear" w:color="auto" w:fill="C6EFCE"/>
            <w:noWrap/>
            <w:vAlign w:val="center"/>
          </w:tcPr>
          <w:p w14:paraId="6A0BAAC6" w14:textId="77777777" w:rsidR="004C6421" w:rsidRDefault="009D1962">
            <w:pPr>
              <w:pStyle w:val="P68B1DB1-Normal4"/>
              <w:jc w:val="center"/>
              <w:rPr>
                <w:noProof/>
              </w:rPr>
            </w:pPr>
            <w:r>
              <w:rPr>
                <w:noProof/>
              </w:rPr>
              <w:t>Liczba projektów badawczych, na które udzielono dotacji</w:t>
            </w:r>
          </w:p>
        </w:tc>
        <w:tc>
          <w:tcPr>
            <w:tcW w:w="1275" w:type="dxa"/>
            <w:shd w:val="clear" w:color="auto" w:fill="C6EFCE"/>
            <w:noWrap/>
            <w:vAlign w:val="center"/>
            <w:hideMark/>
          </w:tcPr>
          <w:p w14:paraId="5CA366DD" w14:textId="77777777" w:rsidR="004C6421" w:rsidRDefault="009D1962">
            <w:pPr>
              <w:pStyle w:val="P68B1DB1-Normal4"/>
              <w:jc w:val="center"/>
              <w:rPr>
                <w:noProof/>
              </w:rPr>
            </w:pPr>
            <w:r>
              <w:rPr>
                <w:noProof/>
              </w:rPr>
              <w:t>NIE DOT.</w:t>
            </w:r>
          </w:p>
        </w:tc>
        <w:tc>
          <w:tcPr>
            <w:tcW w:w="1134" w:type="dxa"/>
            <w:shd w:val="clear" w:color="auto" w:fill="C6EFCE"/>
            <w:noWrap/>
            <w:vAlign w:val="center"/>
            <w:hideMark/>
          </w:tcPr>
          <w:p w14:paraId="03AE0C92" w14:textId="77777777" w:rsidR="004C6421" w:rsidRDefault="009D1962">
            <w:pPr>
              <w:pStyle w:val="P68B1DB1-Normal4"/>
              <w:jc w:val="center"/>
              <w:rPr>
                <w:noProof/>
              </w:rPr>
            </w:pPr>
            <w:r>
              <w:rPr>
                <w:noProof/>
              </w:rPr>
              <w:t>Numer</w:t>
            </w:r>
          </w:p>
        </w:tc>
        <w:tc>
          <w:tcPr>
            <w:tcW w:w="993" w:type="dxa"/>
            <w:shd w:val="clear" w:color="auto" w:fill="C6EFCE"/>
            <w:noWrap/>
            <w:vAlign w:val="center"/>
          </w:tcPr>
          <w:p w14:paraId="4725002D" w14:textId="00AAC8B4" w:rsidR="004C6421" w:rsidRDefault="009D1962">
            <w:pPr>
              <w:jc w:val="center"/>
              <w:rPr>
                <w:rFonts w:ascii="Arial Narrow" w:hAnsi="Arial Narrow"/>
                <w:noProof/>
                <w:color w:val="006100"/>
                <w:sz w:val="20"/>
              </w:rPr>
            </w:pPr>
            <w:r>
              <w:rPr>
                <w:rFonts w:ascii="Arial Narrow" w:hAnsi="Arial Narrow"/>
                <w:noProof/>
                <w:color w:val="006100"/>
                <w:sz w:val="20"/>
              </w:rPr>
              <w:t>3</w:t>
            </w:r>
            <w:r>
              <w:rPr>
                <w:noProof/>
                <w:sz w:val="23"/>
              </w:rPr>
              <w:t xml:space="preserve"> </w:t>
            </w:r>
            <w:r>
              <w:rPr>
                <w:rFonts w:ascii="Arial Narrow" w:hAnsi="Arial Narrow"/>
                <w:noProof/>
                <w:color w:val="006100"/>
                <w:sz w:val="20"/>
              </w:rPr>
              <w:t>150</w:t>
            </w:r>
          </w:p>
        </w:tc>
        <w:tc>
          <w:tcPr>
            <w:tcW w:w="1275" w:type="dxa"/>
            <w:shd w:val="clear" w:color="auto" w:fill="C6EFCE"/>
            <w:noWrap/>
            <w:vAlign w:val="center"/>
          </w:tcPr>
          <w:p w14:paraId="71848E98" w14:textId="3563E9C4" w:rsidR="004C6421" w:rsidRDefault="009D1962">
            <w:pPr>
              <w:jc w:val="center"/>
              <w:rPr>
                <w:rFonts w:ascii="Arial Narrow" w:hAnsi="Arial Narrow"/>
                <w:noProof/>
                <w:color w:val="006100"/>
                <w:sz w:val="20"/>
              </w:rPr>
            </w:pPr>
            <w:r>
              <w:rPr>
                <w:rFonts w:ascii="Arial Narrow" w:hAnsi="Arial Narrow"/>
                <w:noProof/>
                <w:color w:val="006100"/>
                <w:sz w:val="20"/>
              </w:rPr>
              <w:t>5</w:t>
            </w:r>
            <w:r>
              <w:rPr>
                <w:noProof/>
                <w:sz w:val="23"/>
              </w:rPr>
              <w:t xml:space="preserve"> </w:t>
            </w:r>
            <w:r>
              <w:rPr>
                <w:rFonts w:ascii="Arial Narrow" w:hAnsi="Arial Narrow"/>
                <w:noProof/>
                <w:color w:val="006100"/>
                <w:sz w:val="20"/>
              </w:rPr>
              <w:t>350</w:t>
            </w:r>
          </w:p>
        </w:tc>
        <w:tc>
          <w:tcPr>
            <w:tcW w:w="993" w:type="dxa"/>
            <w:shd w:val="clear" w:color="auto" w:fill="C6EFCE"/>
            <w:noWrap/>
            <w:vAlign w:val="center"/>
            <w:hideMark/>
          </w:tcPr>
          <w:p w14:paraId="055F4BAB" w14:textId="77777777" w:rsidR="004C6421" w:rsidRDefault="009D1962">
            <w:pPr>
              <w:pStyle w:val="P68B1DB1-Normal4"/>
              <w:jc w:val="center"/>
              <w:rPr>
                <w:noProof/>
              </w:rPr>
            </w:pPr>
            <w:r>
              <w:rPr>
                <w:noProof/>
              </w:rPr>
              <w:t>II KW.</w:t>
            </w:r>
          </w:p>
        </w:tc>
        <w:tc>
          <w:tcPr>
            <w:tcW w:w="708" w:type="dxa"/>
            <w:shd w:val="clear" w:color="auto" w:fill="C6EFCE"/>
            <w:noWrap/>
            <w:vAlign w:val="center"/>
            <w:hideMark/>
          </w:tcPr>
          <w:p w14:paraId="33E688B5" w14:textId="77777777" w:rsidR="004C6421" w:rsidRDefault="009D1962">
            <w:pPr>
              <w:pStyle w:val="P68B1DB1-Normal4"/>
              <w:jc w:val="center"/>
              <w:rPr>
                <w:noProof/>
              </w:rPr>
            </w:pPr>
            <w:r>
              <w:rPr>
                <w:noProof/>
              </w:rPr>
              <w:t>2025</w:t>
            </w:r>
          </w:p>
        </w:tc>
        <w:tc>
          <w:tcPr>
            <w:tcW w:w="3686" w:type="dxa"/>
            <w:shd w:val="clear" w:color="auto" w:fill="C6EFCE"/>
            <w:noWrap/>
            <w:vAlign w:val="center"/>
            <w:hideMark/>
          </w:tcPr>
          <w:p w14:paraId="2E175A54" w14:textId="77C8E5AF" w:rsidR="004C6421" w:rsidRDefault="009D1962">
            <w:pPr>
              <w:rPr>
                <w:rFonts w:ascii="Arial Narrow" w:hAnsi="Arial Narrow"/>
                <w:noProof/>
                <w:color w:val="006100"/>
                <w:sz w:val="20"/>
              </w:rPr>
            </w:pPr>
            <w:r>
              <w:rPr>
                <w:rFonts w:ascii="Arial Narrow" w:hAnsi="Arial Narrow"/>
                <w:noProof/>
                <w:color w:val="006100"/>
                <w:sz w:val="20"/>
              </w:rPr>
              <w:t>Co najmniej 5350</w:t>
            </w:r>
            <w:r>
              <w:rPr>
                <w:noProof/>
                <w:sz w:val="23"/>
              </w:rPr>
              <w:t xml:space="preserve"> </w:t>
            </w:r>
            <w:r>
              <w:rPr>
                <w:rFonts w:ascii="Arial Narrow" w:hAnsi="Arial Narrow"/>
                <w:noProof/>
                <w:color w:val="006100"/>
                <w:sz w:val="20"/>
              </w:rPr>
              <w:t>projektów badawczych Progetti di Ricerca di Interesse Nazionale.</w:t>
            </w:r>
          </w:p>
          <w:p w14:paraId="50F1026F" w14:textId="77777777" w:rsidR="004C6421" w:rsidRDefault="009D1962">
            <w:pPr>
              <w:pStyle w:val="P68B1DB1-Normal4"/>
              <w:rPr>
                <w:noProof/>
              </w:rPr>
            </w:pPr>
            <w:r>
              <w:rPr>
                <w:noProof/>
              </w:rPr>
              <w:t>Udzielanie zamówień na projekty wybrane w ramach konkurencyjnych zaproszeń do składania wniosków odbywa się zgodnie z wytycznymi technicznymi dotyczącymi zasady „nie czyń poważnych szkód” (2021/C58/01) poprzez wykorzystanie listy wykluczenia oraz wymóg zgodności z odpowiednimi unijnymi i krajowymi przepisami w zakresie ochrony środowiska.</w:t>
            </w:r>
          </w:p>
        </w:tc>
      </w:tr>
      <w:tr w:rsidR="004C6421" w14:paraId="5A76EF32" w14:textId="77777777">
        <w:trPr>
          <w:trHeight w:val="313"/>
        </w:trPr>
        <w:tc>
          <w:tcPr>
            <w:tcW w:w="1135" w:type="dxa"/>
            <w:shd w:val="clear" w:color="auto" w:fill="C6EFCE"/>
            <w:noWrap/>
            <w:vAlign w:val="center"/>
            <w:hideMark/>
          </w:tcPr>
          <w:p w14:paraId="513E7FE6" w14:textId="77777777" w:rsidR="004C6421" w:rsidRDefault="009D1962">
            <w:pPr>
              <w:pStyle w:val="P68B1DB1-Normal4"/>
              <w:jc w:val="center"/>
              <w:rPr>
                <w:noProof/>
              </w:rPr>
            </w:pPr>
            <w:r>
              <w:rPr>
                <w:noProof/>
              </w:rPr>
              <w:t>M4C2-7</w:t>
            </w:r>
          </w:p>
        </w:tc>
        <w:tc>
          <w:tcPr>
            <w:tcW w:w="1419" w:type="dxa"/>
            <w:shd w:val="clear" w:color="auto" w:fill="C6EFCE"/>
            <w:noWrap/>
            <w:vAlign w:val="center"/>
            <w:hideMark/>
          </w:tcPr>
          <w:p w14:paraId="65BD88FF" w14:textId="77777777" w:rsidR="004C6421" w:rsidRDefault="009D1962">
            <w:pPr>
              <w:pStyle w:val="P68B1DB1-Normal4"/>
              <w:jc w:val="center"/>
              <w:rPr>
                <w:noProof/>
              </w:rPr>
            </w:pPr>
            <w:r>
              <w:rPr>
                <w:noProof/>
              </w:rPr>
              <w:t>Inwestycje 1.1: Projekty badawcze o istotnym znaczeniu narodowym (PRIN)</w:t>
            </w:r>
          </w:p>
        </w:tc>
        <w:tc>
          <w:tcPr>
            <w:tcW w:w="1132" w:type="dxa"/>
            <w:shd w:val="clear" w:color="auto" w:fill="C6EFCE"/>
            <w:noWrap/>
            <w:vAlign w:val="center"/>
            <w:hideMark/>
          </w:tcPr>
          <w:p w14:paraId="333D94CD" w14:textId="77777777" w:rsidR="004C6421" w:rsidRDefault="009D1962">
            <w:pPr>
              <w:pStyle w:val="P68B1DB1-Normal4"/>
              <w:jc w:val="center"/>
              <w:rPr>
                <w:noProof/>
              </w:rPr>
            </w:pPr>
            <w:r>
              <w:rPr>
                <w:noProof/>
              </w:rPr>
              <w:t>Cel</w:t>
            </w:r>
          </w:p>
        </w:tc>
        <w:tc>
          <w:tcPr>
            <w:tcW w:w="1418" w:type="dxa"/>
            <w:shd w:val="clear" w:color="auto" w:fill="C6EFCE"/>
            <w:noWrap/>
            <w:vAlign w:val="center"/>
            <w:hideMark/>
          </w:tcPr>
          <w:p w14:paraId="5C82411B" w14:textId="77777777" w:rsidR="004C6421" w:rsidRDefault="009D1962">
            <w:pPr>
              <w:pStyle w:val="P68B1DB1-Normal4"/>
              <w:jc w:val="center"/>
              <w:rPr>
                <w:noProof/>
              </w:rPr>
            </w:pPr>
            <w:r>
              <w:rPr>
                <w:noProof/>
              </w:rPr>
              <w:t>Liczba zatrudnionych naukowców zatrudnionych na czas określony</w:t>
            </w:r>
          </w:p>
        </w:tc>
        <w:tc>
          <w:tcPr>
            <w:tcW w:w="1275" w:type="dxa"/>
            <w:shd w:val="clear" w:color="auto" w:fill="C6EFCE"/>
            <w:noWrap/>
            <w:vAlign w:val="center"/>
            <w:hideMark/>
          </w:tcPr>
          <w:p w14:paraId="0C089156" w14:textId="77777777" w:rsidR="004C6421" w:rsidRDefault="009D1962">
            <w:pPr>
              <w:pStyle w:val="P68B1DB1-Normal4"/>
              <w:jc w:val="center"/>
              <w:rPr>
                <w:noProof/>
              </w:rPr>
            </w:pPr>
            <w:r>
              <w:rPr>
                <w:noProof/>
              </w:rPr>
              <w:t>NIE DOT.</w:t>
            </w:r>
          </w:p>
        </w:tc>
        <w:tc>
          <w:tcPr>
            <w:tcW w:w="1134" w:type="dxa"/>
            <w:shd w:val="clear" w:color="auto" w:fill="C6EFCE"/>
            <w:noWrap/>
            <w:vAlign w:val="center"/>
            <w:hideMark/>
          </w:tcPr>
          <w:p w14:paraId="3FBC52A1" w14:textId="77777777" w:rsidR="004C6421" w:rsidRDefault="009D1962">
            <w:pPr>
              <w:pStyle w:val="P68B1DB1-Normal4"/>
              <w:jc w:val="center"/>
              <w:rPr>
                <w:noProof/>
              </w:rPr>
            </w:pPr>
            <w:r>
              <w:rPr>
                <w:noProof/>
              </w:rPr>
              <w:t>Numer</w:t>
            </w:r>
          </w:p>
        </w:tc>
        <w:tc>
          <w:tcPr>
            <w:tcW w:w="993" w:type="dxa"/>
            <w:shd w:val="clear" w:color="auto" w:fill="C6EFCE"/>
            <w:noWrap/>
            <w:vAlign w:val="center"/>
            <w:hideMark/>
          </w:tcPr>
          <w:p w14:paraId="36BAC1C8" w14:textId="77777777" w:rsidR="004C6421" w:rsidRDefault="009D1962">
            <w:pPr>
              <w:pStyle w:val="P68B1DB1-Normal4"/>
              <w:jc w:val="center"/>
              <w:rPr>
                <w:noProof/>
              </w:rPr>
            </w:pPr>
            <w:r>
              <w:rPr>
                <w:noProof/>
              </w:rPr>
              <w:t>0</w:t>
            </w:r>
          </w:p>
        </w:tc>
        <w:tc>
          <w:tcPr>
            <w:tcW w:w="1275" w:type="dxa"/>
            <w:shd w:val="clear" w:color="auto" w:fill="C6EFCE"/>
            <w:noWrap/>
            <w:vAlign w:val="center"/>
            <w:hideMark/>
          </w:tcPr>
          <w:p w14:paraId="35A8E096" w14:textId="77777777" w:rsidR="004C6421" w:rsidRDefault="009D1962">
            <w:pPr>
              <w:pStyle w:val="P68B1DB1-Normal4"/>
              <w:jc w:val="center"/>
              <w:rPr>
                <w:noProof/>
              </w:rPr>
            </w:pPr>
            <w:r>
              <w:rPr>
                <w:noProof/>
              </w:rPr>
              <w:t>900</w:t>
            </w:r>
          </w:p>
        </w:tc>
        <w:tc>
          <w:tcPr>
            <w:tcW w:w="993" w:type="dxa"/>
            <w:shd w:val="clear" w:color="auto" w:fill="C6EFCE"/>
            <w:noWrap/>
            <w:vAlign w:val="center"/>
            <w:hideMark/>
          </w:tcPr>
          <w:p w14:paraId="2ABCA68C" w14:textId="77777777" w:rsidR="004C6421" w:rsidRDefault="009D1962">
            <w:pPr>
              <w:pStyle w:val="P68B1DB1-Normal4"/>
              <w:jc w:val="center"/>
              <w:rPr>
                <w:noProof/>
              </w:rPr>
            </w:pPr>
            <w:r>
              <w:rPr>
                <w:noProof/>
              </w:rPr>
              <w:t>II KW.</w:t>
            </w:r>
          </w:p>
        </w:tc>
        <w:tc>
          <w:tcPr>
            <w:tcW w:w="708" w:type="dxa"/>
            <w:shd w:val="clear" w:color="auto" w:fill="C6EFCE"/>
            <w:noWrap/>
            <w:vAlign w:val="center"/>
            <w:hideMark/>
          </w:tcPr>
          <w:p w14:paraId="224E0A59" w14:textId="77777777" w:rsidR="004C6421" w:rsidRDefault="009D1962">
            <w:pPr>
              <w:pStyle w:val="P68B1DB1-Normal4"/>
              <w:jc w:val="center"/>
              <w:rPr>
                <w:noProof/>
              </w:rPr>
            </w:pPr>
            <w:r>
              <w:rPr>
                <w:noProof/>
              </w:rPr>
              <w:t>2025</w:t>
            </w:r>
          </w:p>
        </w:tc>
        <w:tc>
          <w:tcPr>
            <w:tcW w:w="3686" w:type="dxa"/>
            <w:shd w:val="clear" w:color="auto" w:fill="C6EFCE"/>
            <w:noWrap/>
            <w:vAlign w:val="center"/>
            <w:hideMark/>
          </w:tcPr>
          <w:p w14:paraId="26EFC8BB" w14:textId="77777777" w:rsidR="004C6421" w:rsidRDefault="009D1962">
            <w:pPr>
              <w:pStyle w:val="P68B1DB1-Normal4"/>
              <w:spacing w:after="120"/>
              <w:rPr>
                <w:noProof/>
              </w:rPr>
            </w:pPr>
            <w:r>
              <w:rPr>
                <w:noProof/>
              </w:rPr>
              <w:t>Zatrudnia się co najmniej 900 nowych naukowców zatrudnionych na czas określony.</w:t>
            </w:r>
          </w:p>
          <w:p w14:paraId="57F483F3" w14:textId="77777777" w:rsidR="004C6421" w:rsidRDefault="009D1962">
            <w:pPr>
              <w:pStyle w:val="P68B1DB1-Normal4"/>
              <w:spacing w:after="120"/>
              <w:rPr>
                <w:noProof/>
              </w:rPr>
            </w:pPr>
            <w:r>
              <w:rPr>
                <w:noProof/>
              </w:rPr>
              <w:t>Zatrudnieni naukowcy koncentrują się na priorytetach spójnych z sześcioma klastrami europejskiego programu ramowego w zakresie badań naukowych i innowacji 2021–2027: zdrowie; kultura humanistyczna, kreatywność, przemiany społeczne, społeczeństwo integracji; III) zabezpieczenie systemów społecznych; technologie cyfrowe, przemysł, przemysł lotniczy i kosmonautyczny; klimat, energia, mobilność zgodna z zasadami zrównoważonego rozwoju; produkty spożywcze, bioekonomia, różnorodność biologiczna, rolnictwo, środowisko.</w:t>
            </w:r>
          </w:p>
        </w:tc>
      </w:tr>
      <w:tr w:rsidR="004C6421" w14:paraId="0DE045BB" w14:textId="77777777">
        <w:trPr>
          <w:trHeight w:val="1278"/>
        </w:trPr>
        <w:tc>
          <w:tcPr>
            <w:tcW w:w="1135" w:type="dxa"/>
            <w:shd w:val="clear" w:color="auto" w:fill="C6EFCE"/>
            <w:noWrap/>
            <w:vAlign w:val="center"/>
            <w:hideMark/>
          </w:tcPr>
          <w:p w14:paraId="1FC33CEA" w14:textId="77777777" w:rsidR="004C6421" w:rsidRDefault="009D1962">
            <w:pPr>
              <w:pStyle w:val="P68B1DB1-Normal4"/>
              <w:jc w:val="center"/>
              <w:rPr>
                <w:noProof/>
              </w:rPr>
            </w:pPr>
            <w:r>
              <w:rPr>
                <w:noProof/>
              </w:rPr>
              <w:t>M4C2-8</w:t>
            </w:r>
          </w:p>
        </w:tc>
        <w:tc>
          <w:tcPr>
            <w:tcW w:w="1419" w:type="dxa"/>
            <w:shd w:val="clear" w:color="auto" w:fill="C6EFCE"/>
            <w:noWrap/>
            <w:vAlign w:val="center"/>
            <w:hideMark/>
          </w:tcPr>
          <w:p w14:paraId="20049821" w14:textId="77777777" w:rsidR="004C6421" w:rsidRDefault="009D1962">
            <w:pPr>
              <w:pStyle w:val="P68B1DB1-Normal4"/>
              <w:jc w:val="center"/>
              <w:rPr>
                <w:noProof/>
              </w:rPr>
            </w:pPr>
            <w:r>
              <w:rPr>
                <w:noProof/>
              </w:rPr>
              <w:t>Inwestycja 1.3: Partnerstwa rozszerzone na uniwersytety, ośrodki badawcze, przedsiębiorstwa i finansowanie podstawowych projektów badawczych</w:t>
            </w:r>
          </w:p>
        </w:tc>
        <w:tc>
          <w:tcPr>
            <w:tcW w:w="1132" w:type="dxa"/>
            <w:shd w:val="clear" w:color="auto" w:fill="C6EFCE"/>
            <w:noWrap/>
            <w:vAlign w:val="center"/>
            <w:hideMark/>
          </w:tcPr>
          <w:p w14:paraId="6B4CE986" w14:textId="77777777" w:rsidR="004C6421" w:rsidRDefault="009D1962">
            <w:pPr>
              <w:pStyle w:val="P68B1DB1-Normal4"/>
              <w:jc w:val="center"/>
              <w:rPr>
                <w:noProof/>
              </w:rPr>
            </w:pPr>
            <w:r>
              <w:rPr>
                <w:noProof/>
              </w:rPr>
              <w:t>Cel</w:t>
            </w:r>
          </w:p>
        </w:tc>
        <w:tc>
          <w:tcPr>
            <w:tcW w:w="1418" w:type="dxa"/>
            <w:shd w:val="clear" w:color="auto" w:fill="C6EFCE"/>
            <w:noWrap/>
            <w:vAlign w:val="center"/>
            <w:hideMark/>
          </w:tcPr>
          <w:p w14:paraId="00A7BB16" w14:textId="77777777" w:rsidR="004C6421" w:rsidRDefault="009D1962">
            <w:pPr>
              <w:pStyle w:val="P68B1DB1-Normal4"/>
              <w:jc w:val="center"/>
              <w:rPr>
                <w:noProof/>
              </w:rPr>
            </w:pPr>
            <w:r>
              <w:rPr>
                <w:noProof/>
              </w:rPr>
              <w:t>Liczba naukowców zatrudnionych na czas określony w ramach przewidywanych partnerstw w zakresie badań podstawowych podpisanych między instytutami badawczymi a prywatnymi przedsiębiorstwami</w:t>
            </w:r>
          </w:p>
        </w:tc>
        <w:tc>
          <w:tcPr>
            <w:tcW w:w="1275" w:type="dxa"/>
            <w:shd w:val="clear" w:color="auto" w:fill="C6EFCE"/>
            <w:noWrap/>
            <w:vAlign w:val="center"/>
            <w:hideMark/>
          </w:tcPr>
          <w:p w14:paraId="3DC0E2C8" w14:textId="77777777" w:rsidR="004C6421" w:rsidRDefault="009D1962">
            <w:pPr>
              <w:pStyle w:val="P68B1DB1-Normal4"/>
              <w:jc w:val="center"/>
              <w:rPr>
                <w:noProof/>
              </w:rPr>
            </w:pPr>
            <w:r>
              <w:rPr>
                <w:noProof/>
              </w:rPr>
              <w:t>NIE DOT.</w:t>
            </w:r>
          </w:p>
        </w:tc>
        <w:tc>
          <w:tcPr>
            <w:tcW w:w="1134" w:type="dxa"/>
            <w:shd w:val="clear" w:color="auto" w:fill="C6EFCE"/>
            <w:noWrap/>
            <w:vAlign w:val="center"/>
            <w:hideMark/>
          </w:tcPr>
          <w:p w14:paraId="2BC8D771" w14:textId="77777777" w:rsidR="004C6421" w:rsidRDefault="009D1962">
            <w:pPr>
              <w:pStyle w:val="P68B1DB1-Normal4"/>
              <w:jc w:val="center"/>
              <w:rPr>
                <w:noProof/>
              </w:rPr>
            </w:pPr>
            <w:r>
              <w:rPr>
                <w:noProof/>
              </w:rPr>
              <w:t>Numer</w:t>
            </w:r>
          </w:p>
        </w:tc>
        <w:tc>
          <w:tcPr>
            <w:tcW w:w="993" w:type="dxa"/>
            <w:shd w:val="clear" w:color="auto" w:fill="C6EFCE"/>
            <w:noWrap/>
            <w:vAlign w:val="center"/>
            <w:hideMark/>
          </w:tcPr>
          <w:p w14:paraId="52FDE59D" w14:textId="77777777" w:rsidR="004C6421" w:rsidRDefault="009D1962">
            <w:pPr>
              <w:pStyle w:val="P68B1DB1-Normal4"/>
              <w:jc w:val="center"/>
              <w:rPr>
                <w:noProof/>
              </w:rPr>
            </w:pPr>
            <w:r>
              <w:rPr>
                <w:noProof/>
              </w:rPr>
              <w:t>0</w:t>
            </w:r>
          </w:p>
        </w:tc>
        <w:tc>
          <w:tcPr>
            <w:tcW w:w="1275" w:type="dxa"/>
            <w:shd w:val="clear" w:color="auto" w:fill="C6EFCE"/>
            <w:noWrap/>
            <w:vAlign w:val="center"/>
            <w:hideMark/>
          </w:tcPr>
          <w:p w14:paraId="715E9086" w14:textId="2FA51CE9" w:rsidR="004C6421" w:rsidRDefault="009D1962">
            <w:pPr>
              <w:jc w:val="center"/>
              <w:rPr>
                <w:rFonts w:ascii="Arial Narrow" w:hAnsi="Arial Narrow"/>
                <w:noProof/>
                <w:color w:val="006100"/>
                <w:sz w:val="20"/>
              </w:rPr>
            </w:pPr>
            <w:r>
              <w:rPr>
                <w:rFonts w:ascii="Arial Narrow" w:hAnsi="Arial Narrow"/>
                <w:noProof/>
                <w:color w:val="006100"/>
                <w:sz w:val="20"/>
              </w:rPr>
              <w:t>1</w:t>
            </w:r>
            <w:r>
              <w:rPr>
                <w:noProof/>
                <w:sz w:val="23"/>
              </w:rPr>
              <w:t xml:space="preserve"> </w:t>
            </w:r>
            <w:r>
              <w:rPr>
                <w:rFonts w:ascii="Arial Narrow" w:hAnsi="Arial Narrow"/>
                <w:noProof/>
                <w:color w:val="006100"/>
                <w:sz w:val="20"/>
              </w:rPr>
              <w:t>400</w:t>
            </w:r>
          </w:p>
        </w:tc>
        <w:tc>
          <w:tcPr>
            <w:tcW w:w="993" w:type="dxa"/>
            <w:shd w:val="clear" w:color="auto" w:fill="C6EFCE"/>
            <w:noWrap/>
            <w:vAlign w:val="center"/>
            <w:hideMark/>
          </w:tcPr>
          <w:p w14:paraId="53DB5260" w14:textId="77777777" w:rsidR="004C6421" w:rsidRDefault="009D1962">
            <w:pPr>
              <w:pStyle w:val="P68B1DB1-Normal4"/>
              <w:jc w:val="center"/>
              <w:rPr>
                <w:noProof/>
              </w:rPr>
            </w:pPr>
            <w:r>
              <w:rPr>
                <w:noProof/>
              </w:rPr>
              <w:t>II KW.</w:t>
            </w:r>
          </w:p>
        </w:tc>
        <w:tc>
          <w:tcPr>
            <w:tcW w:w="708" w:type="dxa"/>
            <w:shd w:val="clear" w:color="auto" w:fill="C6EFCE"/>
            <w:noWrap/>
            <w:vAlign w:val="center"/>
            <w:hideMark/>
          </w:tcPr>
          <w:p w14:paraId="1FF403B8" w14:textId="77777777" w:rsidR="004C6421" w:rsidRDefault="009D1962">
            <w:pPr>
              <w:pStyle w:val="P68B1DB1-Normal4"/>
              <w:jc w:val="center"/>
              <w:rPr>
                <w:noProof/>
              </w:rPr>
            </w:pPr>
            <w:r>
              <w:rPr>
                <w:noProof/>
              </w:rPr>
              <w:t>2025</w:t>
            </w:r>
          </w:p>
        </w:tc>
        <w:tc>
          <w:tcPr>
            <w:tcW w:w="3686" w:type="dxa"/>
            <w:shd w:val="clear" w:color="auto" w:fill="C6EFCE"/>
            <w:noWrap/>
            <w:vAlign w:val="center"/>
            <w:hideMark/>
          </w:tcPr>
          <w:p w14:paraId="6F3F7153" w14:textId="77777777" w:rsidR="004C6421" w:rsidRDefault="009D1962">
            <w:pPr>
              <w:pStyle w:val="P68B1DB1-Normal4"/>
              <w:spacing w:after="120"/>
              <w:rPr>
                <w:noProof/>
              </w:rPr>
            </w:pPr>
            <w:r>
              <w:rPr>
                <w:noProof/>
              </w:rPr>
              <w:t xml:space="preserve">Co najmniej 100 nowych naukowców zatrudnionych jest na czas określony dla każdego z planowanych partnerstw w zakresie badań podstawowych podpisanych między instytutami badawczymi a prywatnymi przedsiębiorstwami (1.3). </w:t>
            </w:r>
          </w:p>
          <w:p w14:paraId="6FEB61EE" w14:textId="77777777" w:rsidR="004C6421" w:rsidRDefault="009D1962">
            <w:pPr>
              <w:pStyle w:val="P68B1DB1-Normal4"/>
              <w:spacing w:after="120"/>
              <w:rPr>
                <w:noProof/>
              </w:rPr>
            </w:pPr>
            <w:r>
              <w:rPr>
                <w:noProof/>
              </w:rPr>
              <w:t xml:space="preserve">Między instytutami badawczymi a przedsiębiorstwami prywatnymi podpisuje się co najmniej 14 partnerstw w zakresie badań podstawowych. </w:t>
            </w:r>
          </w:p>
          <w:p w14:paraId="3418CD24" w14:textId="77777777" w:rsidR="004C6421" w:rsidRDefault="009D1962">
            <w:pPr>
              <w:pStyle w:val="P68B1DB1-Normal4"/>
              <w:spacing w:after="120"/>
              <w:rPr>
                <w:noProof/>
              </w:rPr>
            </w:pPr>
            <w:r>
              <w:rPr>
                <w:noProof/>
              </w:rPr>
              <w:t>Zadowalające osiągnięcie celu zależy od odsetka umów na czas określony udzielanych kobietom naukowcom: co najmniej 40 %.</w:t>
            </w:r>
          </w:p>
          <w:p w14:paraId="3682A449" w14:textId="77777777" w:rsidR="004C6421" w:rsidRDefault="009D1962">
            <w:pPr>
              <w:pStyle w:val="P68B1DB1-Normal4"/>
              <w:spacing w:after="120"/>
              <w:rPr>
                <w:noProof/>
              </w:rPr>
            </w:pPr>
            <w:r>
              <w:rPr>
                <w:noProof/>
              </w:rPr>
              <w:t>Projekty są wybierane na podstawie kryteriów konkurencji, w tym i) zgodności z celami i priorytetami PNR (Piano Nazionale di Ricerca); zaangażowanie zainteresowanych stron w celu połączenia poziomu gotowości technologicznej -TRL z poziomem gotowości społecznej -SRL;</w:t>
            </w:r>
          </w:p>
          <w:p w14:paraId="4CE565ED" w14:textId="77777777" w:rsidR="004C6421" w:rsidRDefault="009D1962">
            <w:pPr>
              <w:pStyle w:val="P68B1DB1-Normal4"/>
              <w:spacing w:after="120"/>
              <w:rPr>
                <w:noProof/>
              </w:rPr>
            </w:pPr>
            <w:r>
              <w:rPr>
                <w:noProof/>
              </w:rPr>
              <w:t>Ponadto należy określić szczegółowe kryteria wyboru w celu zapewnienia (i) równowagi zaangażowanych terytoriów (poprzez wspieranie zaangażowania podmiotów z różnych regionów i różnych stref kraju, w tym z Południa i Wysp), ii) zaangażowania zarówno dużych, jak i małych i średnich przedsiębiorstw (MŚP), ze szczególnym uwzględnieniem przedsiębiorstw młodszych (mniej niż pięć lat od ich założenia) i innowacyjnych.</w:t>
            </w:r>
          </w:p>
          <w:p w14:paraId="17841409" w14:textId="77777777" w:rsidR="004C6421" w:rsidRDefault="009D1962">
            <w:pPr>
              <w:pStyle w:val="P68B1DB1-paragraph18"/>
              <w:spacing w:before="0" w:beforeAutospacing="0" w:after="120" w:afterAutospacing="0"/>
              <w:textAlignment w:val="baseline"/>
              <w:rPr>
                <w:noProof/>
              </w:rPr>
            </w:pPr>
            <w:r>
              <w:rPr>
                <w:noProof/>
              </w:rPr>
              <w:t>Zaproszenie do składania wniosków w sprawie programów oraz procedura wyboru obejmują:</w:t>
            </w:r>
          </w:p>
          <w:p w14:paraId="41015611" w14:textId="77777777" w:rsidR="004C6421" w:rsidRDefault="009D1962">
            <w:pPr>
              <w:pStyle w:val="P68B1DB1-paragraph18"/>
              <w:spacing w:before="0" w:beforeAutospacing="0" w:after="120" w:afterAutospacing="0"/>
              <w:textAlignment w:val="baseline"/>
              <w:rPr>
                <w:noProof/>
              </w:rPr>
            </w:pPr>
            <w:r>
              <w:rPr>
                <w:noProof/>
              </w:rPr>
              <w:t>kryteria kwalifikowalności, które zapewniają zgodność wybranych projektów z wytycznymi technicznymi dotyczącymi zasady „nie czyń poważnych szkód” (2021/C58/01) poprzez wykorzystanie listy wykluczenia i wymóg zgodności z odpowiednimi unijnymi i krajowymi przepisami w zakresie ochrony środowiska.</w:t>
            </w:r>
          </w:p>
          <w:p w14:paraId="6B4F97E0" w14:textId="77777777" w:rsidR="004C6421" w:rsidRDefault="009D1962">
            <w:pPr>
              <w:pStyle w:val="P68B1DB1-paragraph18"/>
              <w:spacing w:before="0" w:beforeAutospacing="0" w:after="120" w:afterAutospacing="0"/>
              <w:textAlignment w:val="baseline"/>
              <w:rPr>
                <w:noProof/>
              </w:rPr>
            </w:pPr>
            <w:r>
              <w:rPr>
                <w:noProof/>
              </w:rPr>
              <w:t>b) Zobowiązanie, że wkład inwestycji w działania na rzecz klimatu zgodnie z metodyką określoną w załączniku VI do rozporządzenia (UE) 2021/241 musi stanowić co najmniej 42 % łącznych kosztów inwestycji wspieranej z RRF.</w:t>
            </w:r>
          </w:p>
          <w:p w14:paraId="67825413" w14:textId="77777777" w:rsidR="004C6421" w:rsidRDefault="009D1962">
            <w:pPr>
              <w:pStyle w:val="P68B1DB1-paragraph18"/>
              <w:spacing w:before="0" w:beforeAutospacing="0" w:after="120" w:afterAutospacing="0"/>
              <w:textAlignment w:val="baseline"/>
              <w:rPr>
                <w:noProof/>
              </w:rPr>
            </w:pPr>
            <w:r>
              <w:rPr>
                <w:noProof/>
              </w:rPr>
              <w:t>C) Zobowiązanie do składania sprawozdań z realizacji środka w połowie okresu obowiązywania programu i zakończenia programu.</w:t>
            </w:r>
          </w:p>
        </w:tc>
      </w:tr>
      <w:tr w:rsidR="004C6421" w14:paraId="6991E156" w14:textId="77777777">
        <w:trPr>
          <w:trHeight w:val="313"/>
        </w:trPr>
        <w:tc>
          <w:tcPr>
            <w:tcW w:w="1135" w:type="dxa"/>
            <w:shd w:val="clear" w:color="auto" w:fill="C6EFCE"/>
            <w:noWrap/>
            <w:vAlign w:val="center"/>
            <w:hideMark/>
          </w:tcPr>
          <w:p w14:paraId="6FDFCED4" w14:textId="77777777" w:rsidR="004C6421" w:rsidRDefault="009D1962">
            <w:pPr>
              <w:pStyle w:val="P68B1DB1-Normal4"/>
              <w:jc w:val="center"/>
              <w:rPr>
                <w:noProof/>
              </w:rPr>
            </w:pPr>
            <w:r>
              <w:rPr>
                <w:noProof/>
              </w:rPr>
              <w:t>M4C2-9</w:t>
            </w:r>
          </w:p>
        </w:tc>
        <w:tc>
          <w:tcPr>
            <w:tcW w:w="1419" w:type="dxa"/>
            <w:shd w:val="clear" w:color="auto" w:fill="C6EFCE"/>
            <w:noWrap/>
            <w:vAlign w:val="center"/>
            <w:hideMark/>
          </w:tcPr>
          <w:p w14:paraId="780E882F" w14:textId="77777777" w:rsidR="004C6421" w:rsidRDefault="009D1962">
            <w:pPr>
              <w:pStyle w:val="P68B1DB1-Normal4"/>
              <w:jc w:val="center"/>
              <w:rPr>
                <w:noProof/>
              </w:rPr>
            </w:pPr>
            <w:r>
              <w:rPr>
                <w:noProof/>
              </w:rPr>
              <w:t>Inwestycje 1.4: Wzmocnienie struktur badawczych i wspieranie tworzenia „krajowych liderów badań i rozwoju” w zakresie niektórych kluczowych technologii prorozwojowych</w:t>
            </w:r>
          </w:p>
        </w:tc>
        <w:tc>
          <w:tcPr>
            <w:tcW w:w="1132" w:type="dxa"/>
            <w:shd w:val="clear" w:color="auto" w:fill="C6EFCE"/>
            <w:noWrap/>
            <w:vAlign w:val="center"/>
            <w:hideMark/>
          </w:tcPr>
          <w:p w14:paraId="608B65F0" w14:textId="77777777" w:rsidR="004C6421" w:rsidRDefault="009D1962">
            <w:pPr>
              <w:pStyle w:val="P68B1DB1-Normal4"/>
              <w:jc w:val="center"/>
              <w:rPr>
                <w:noProof/>
              </w:rPr>
            </w:pPr>
            <w:r>
              <w:rPr>
                <w:noProof/>
              </w:rPr>
              <w:t>Cel</w:t>
            </w:r>
          </w:p>
        </w:tc>
        <w:tc>
          <w:tcPr>
            <w:tcW w:w="1418" w:type="dxa"/>
            <w:shd w:val="clear" w:color="auto" w:fill="C6EFCE"/>
            <w:noWrap/>
            <w:vAlign w:val="center"/>
            <w:hideMark/>
          </w:tcPr>
          <w:p w14:paraId="5ED2938F" w14:textId="77777777" w:rsidR="004C6421" w:rsidRDefault="004C6421">
            <w:pPr>
              <w:jc w:val="center"/>
              <w:rPr>
                <w:rFonts w:ascii="Arial Narrow" w:hAnsi="Arial Narrow"/>
                <w:noProof/>
                <w:color w:val="006100"/>
                <w:sz w:val="20"/>
              </w:rPr>
            </w:pPr>
          </w:p>
          <w:p w14:paraId="4F73B9F4" w14:textId="77777777" w:rsidR="004C6421" w:rsidRDefault="009D1962">
            <w:pPr>
              <w:pStyle w:val="P68B1DB1-Normal4"/>
              <w:jc w:val="center"/>
              <w:rPr>
                <w:noProof/>
              </w:rPr>
            </w:pPr>
            <w:r>
              <w:rPr>
                <w:noProof/>
              </w:rPr>
              <w:t>Ośrodki krajowe są operacyjne i działania realizowane przez ośrodki krajowe w zakresie kluczowych technologii prorozwojowych</w:t>
            </w:r>
          </w:p>
        </w:tc>
        <w:tc>
          <w:tcPr>
            <w:tcW w:w="1275" w:type="dxa"/>
            <w:shd w:val="clear" w:color="auto" w:fill="C6EFCE"/>
            <w:noWrap/>
            <w:vAlign w:val="center"/>
            <w:hideMark/>
          </w:tcPr>
          <w:p w14:paraId="25B199C9" w14:textId="77777777" w:rsidR="004C6421" w:rsidRDefault="009D1962">
            <w:pPr>
              <w:pStyle w:val="P68B1DB1-Normal4"/>
              <w:jc w:val="center"/>
              <w:rPr>
                <w:noProof/>
              </w:rPr>
            </w:pPr>
            <w:r>
              <w:rPr>
                <w:noProof/>
              </w:rPr>
              <w:t>NIE DOT.</w:t>
            </w:r>
          </w:p>
        </w:tc>
        <w:tc>
          <w:tcPr>
            <w:tcW w:w="1134" w:type="dxa"/>
            <w:shd w:val="clear" w:color="auto" w:fill="C6EFCE"/>
            <w:noWrap/>
            <w:vAlign w:val="center"/>
            <w:hideMark/>
          </w:tcPr>
          <w:p w14:paraId="29658D30" w14:textId="77777777" w:rsidR="004C6421" w:rsidRDefault="009D1962">
            <w:pPr>
              <w:pStyle w:val="P68B1DB1-Normal4"/>
              <w:jc w:val="center"/>
              <w:rPr>
                <w:noProof/>
              </w:rPr>
            </w:pPr>
            <w:r>
              <w:rPr>
                <w:noProof/>
              </w:rPr>
              <w:t>Numer</w:t>
            </w:r>
          </w:p>
        </w:tc>
        <w:tc>
          <w:tcPr>
            <w:tcW w:w="993" w:type="dxa"/>
            <w:shd w:val="clear" w:color="auto" w:fill="C6EFCE"/>
            <w:noWrap/>
            <w:vAlign w:val="center"/>
            <w:hideMark/>
          </w:tcPr>
          <w:p w14:paraId="37E623C2" w14:textId="77777777" w:rsidR="004C6421" w:rsidRDefault="009D1962">
            <w:pPr>
              <w:pStyle w:val="P68B1DB1-Normal4"/>
              <w:jc w:val="center"/>
              <w:rPr>
                <w:noProof/>
              </w:rPr>
            </w:pPr>
            <w:r>
              <w:rPr>
                <w:noProof/>
              </w:rPr>
              <w:t>0</w:t>
            </w:r>
          </w:p>
        </w:tc>
        <w:tc>
          <w:tcPr>
            <w:tcW w:w="1275" w:type="dxa"/>
            <w:shd w:val="clear" w:color="auto" w:fill="C6EFCE"/>
            <w:noWrap/>
            <w:vAlign w:val="center"/>
            <w:hideMark/>
          </w:tcPr>
          <w:p w14:paraId="12F6A198" w14:textId="77777777" w:rsidR="004C6421" w:rsidRDefault="009D1962">
            <w:pPr>
              <w:pStyle w:val="P68B1DB1-Normal4"/>
              <w:jc w:val="center"/>
              <w:rPr>
                <w:noProof/>
              </w:rPr>
            </w:pPr>
            <w:r>
              <w:rPr>
                <w:noProof/>
              </w:rPr>
              <w:t>5</w:t>
            </w:r>
          </w:p>
        </w:tc>
        <w:tc>
          <w:tcPr>
            <w:tcW w:w="993" w:type="dxa"/>
            <w:shd w:val="clear" w:color="auto" w:fill="C6EFCE"/>
            <w:noWrap/>
            <w:vAlign w:val="center"/>
            <w:hideMark/>
          </w:tcPr>
          <w:p w14:paraId="1AA20F13" w14:textId="77777777" w:rsidR="004C6421" w:rsidRDefault="009D1962">
            <w:pPr>
              <w:pStyle w:val="P68B1DB1-Normal4"/>
              <w:jc w:val="center"/>
              <w:rPr>
                <w:noProof/>
              </w:rPr>
            </w:pPr>
            <w:r>
              <w:rPr>
                <w:noProof/>
              </w:rPr>
              <w:t>II KW.</w:t>
            </w:r>
          </w:p>
        </w:tc>
        <w:tc>
          <w:tcPr>
            <w:tcW w:w="708" w:type="dxa"/>
            <w:shd w:val="clear" w:color="auto" w:fill="C6EFCE"/>
            <w:noWrap/>
            <w:vAlign w:val="center"/>
            <w:hideMark/>
          </w:tcPr>
          <w:p w14:paraId="562910FC" w14:textId="77777777" w:rsidR="004C6421" w:rsidRDefault="009D1962">
            <w:pPr>
              <w:pStyle w:val="P68B1DB1-Normal4"/>
              <w:jc w:val="center"/>
              <w:rPr>
                <w:noProof/>
              </w:rPr>
            </w:pPr>
            <w:r>
              <w:rPr>
                <w:noProof/>
              </w:rPr>
              <w:t>2026</w:t>
            </w:r>
          </w:p>
        </w:tc>
        <w:tc>
          <w:tcPr>
            <w:tcW w:w="3686" w:type="dxa"/>
            <w:shd w:val="clear" w:color="auto" w:fill="C6EFCE"/>
            <w:noWrap/>
            <w:vAlign w:val="center"/>
            <w:hideMark/>
          </w:tcPr>
          <w:p w14:paraId="007D7F86" w14:textId="77777777" w:rsidR="004C6421" w:rsidRDefault="009D1962">
            <w:pPr>
              <w:pStyle w:val="P68B1DB1-Normal4"/>
              <w:ind w:left="30" w:hanging="30"/>
              <w:jc w:val="both"/>
              <w:rPr>
                <w:noProof/>
              </w:rPr>
            </w:pPr>
            <w:r>
              <w:rPr>
                <w:noProof/>
              </w:rPr>
              <w:t xml:space="preserve">Ośrodki krajowe, którym udzielono zamówień i które oceniono pod kątem kamienia milowego M4C2-19 działają i zakończyły działania określone w odpowiednim zaproszeniu do składania projektów. </w:t>
            </w:r>
          </w:p>
        </w:tc>
      </w:tr>
      <w:tr w:rsidR="004C6421" w14:paraId="31FD862F" w14:textId="77777777">
        <w:trPr>
          <w:trHeight w:val="313"/>
        </w:trPr>
        <w:tc>
          <w:tcPr>
            <w:tcW w:w="1135" w:type="dxa"/>
            <w:shd w:val="clear" w:color="auto" w:fill="C6EFCE"/>
            <w:noWrap/>
            <w:vAlign w:val="center"/>
            <w:hideMark/>
          </w:tcPr>
          <w:p w14:paraId="1C7EA026" w14:textId="77777777" w:rsidR="004C6421" w:rsidRDefault="009D1962">
            <w:pPr>
              <w:pStyle w:val="P68B1DB1-Normal4"/>
              <w:jc w:val="center"/>
              <w:rPr>
                <w:noProof/>
              </w:rPr>
            </w:pPr>
            <w:r>
              <w:rPr>
                <w:noProof/>
              </w:rPr>
              <w:t>M4C2-10</w:t>
            </w:r>
          </w:p>
        </w:tc>
        <w:tc>
          <w:tcPr>
            <w:tcW w:w="1419" w:type="dxa"/>
            <w:shd w:val="clear" w:color="auto" w:fill="C6EFCE"/>
            <w:noWrap/>
            <w:vAlign w:val="center"/>
            <w:hideMark/>
          </w:tcPr>
          <w:p w14:paraId="40D29311" w14:textId="77777777" w:rsidR="004C6421" w:rsidRDefault="009D1962">
            <w:pPr>
              <w:pStyle w:val="P68B1DB1-Normal4"/>
              <w:jc w:val="center"/>
              <w:rPr>
                <w:noProof/>
              </w:rPr>
            </w:pPr>
            <w:r>
              <w:rPr>
                <w:noProof/>
              </w:rPr>
              <w:t>Inwestycja 2.1: PROJEKT IPCEI</w:t>
            </w:r>
          </w:p>
        </w:tc>
        <w:tc>
          <w:tcPr>
            <w:tcW w:w="1132" w:type="dxa"/>
            <w:shd w:val="clear" w:color="auto" w:fill="C6EFCE"/>
            <w:noWrap/>
            <w:vAlign w:val="center"/>
            <w:hideMark/>
          </w:tcPr>
          <w:p w14:paraId="6960D508" w14:textId="2F3A9D80" w:rsidR="004C6421" w:rsidRDefault="00CC179E">
            <w:pPr>
              <w:pStyle w:val="P68B1DB1-Normal4"/>
              <w:jc w:val="center"/>
              <w:rPr>
                <w:noProof/>
              </w:rPr>
            </w:pPr>
            <w:r>
              <w:rPr>
                <w:noProof/>
              </w:rPr>
              <w:t>Milowy</w:t>
            </w:r>
          </w:p>
        </w:tc>
        <w:tc>
          <w:tcPr>
            <w:tcW w:w="1418" w:type="dxa"/>
            <w:shd w:val="clear" w:color="auto" w:fill="C6EFCE"/>
            <w:noWrap/>
            <w:vAlign w:val="center"/>
            <w:hideMark/>
          </w:tcPr>
          <w:p w14:paraId="42D9764A" w14:textId="77777777" w:rsidR="004C6421" w:rsidRDefault="009D1962">
            <w:pPr>
              <w:pStyle w:val="P68B1DB1-Normal4"/>
              <w:jc w:val="center"/>
              <w:rPr>
                <w:noProof/>
              </w:rPr>
            </w:pPr>
            <w:r>
              <w:rPr>
                <w:noProof/>
              </w:rPr>
              <w:t>Ogłoszenie zaproszenia do wyrażenia zainteresowania w celu identyfikacji projektów krajowych, w tym projektów dotyczących mikroelektroniki IPCEI</w:t>
            </w:r>
          </w:p>
        </w:tc>
        <w:tc>
          <w:tcPr>
            <w:tcW w:w="1275" w:type="dxa"/>
            <w:shd w:val="clear" w:color="auto" w:fill="C6EFCE"/>
            <w:noWrap/>
            <w:vAlign w:val="center"/>
            <w:hideMark/>
          </w:tcPr>
          <w:p w14:paraId="2B9BBB51" w14:textId="77777777" w:rsidR="004C6421" w:rsidRDefault="009D1962">
            <w:pPr>
              <w:pStyle w:val="P68B1DB1-Normal4"/>
              <w:jc w:val="center"/>
              <w:rPr>
                <w:noProof/>
              </w:rPr>
            </w:pPr>
            <w:r>
              <w:rPr>
                <w:noProof/>
              </w:rPr>
              <w:t>Zaproszenie do wyrażenia zainteresowania zostaje opublikowane.</w:t>
            </w:r>
          </w:p>
        </w:tc>
        <w:tc>
          <w:tcPr>
            <w:tcW w:w="1134" w:type="dxa"/>
            <w:shd w:val="clear" w:color="auto" w:fill="C6EFCE"/>
            <w:noWrap/>
            <w:vAlign w:val="center"/>
            <w:hideMark/>
          </w:tcPr>
          <w:p w14:paraId="106DE261" w14:textId="77777777" w:rsidR="004C6421" w:rsidRDefault="009D1962">
            <w:pPr>
              <w:pStyle w:val="P68B1DB1-Normal4"/>
              <w:jc w:val="center"/>
              <w:rPr>
                <w:noProof/>
              </w:rPr>
            </w:pPr>
            <w:r>
              <w:rPr>
                <w:noProof/>
              </w:rPr>
              <w:t>NIE DOT.</w:t>
            </w:r>
          </w:p>
        </w:tc>
        <w:tc>
          <w:tcPr>
            <w:tcW w:w="993" w:type="dxa"/>
            <w:shd w:val="clear" w:color="auto" w:fill="C6EFCE"/>
            <w:noWrap/>
            <w:vAlign w:val="center"/>
            <w:hideMark/>
          </w:tcPr>
          <w:p w14:paraId="62924F72" w14:textId="77777777" w:rsidR="004C6421" w:rsidRDefault="009D1962">
            <w:pPr>
              <w:pStyle w:val="P68B1DB1-Normal4"/>
              <w:jc w:val="center"/>
              <w:rPr>
                <w:noProof/>
              </w:rPr>
            </w:pPr>
            <w:r>
              <w:rPr>
                <w:noProof/>
              </w:rPr>
              <w:t>NIE DOT.</w:t>
            </w:r>
          </w:p>
        </w:tc>
        <w:tc>
          <w:tcPr>
            <w:tcW w:w="1275" w:type="dxa"/>
            <w:shd w:val="clear" w:color="auto" w:fill="C6EFCE"/>
            <w:noWrap/>
            <w:vAlign w:val="center"/>
            <w:hideMark/>
          </w:tcPr>
          <w:p w14:paraId="21FEA8B3" w14:textId="77777777" w:rsidR="004C6421" w:rsidRDefault="009D1962">
            <w:pPr>
              <w:pStyle w:val="P68B1DB1-Normal4"/>
              <w:jc w:val="center"/>
              <w:rPr>
                <w:noProof/>
              </w:rPr>
            </w:pPr>
            <w:r>
              <w:rPr>
                <w:noProof/>
              </w:rPr>
              <w:t>NIE DOT.</w:t>
            </w:r>
          </w:p>
        </w:tc>
        <w:tc>
          <w:tcPr>
            <w:tcW w:w="993" w:type="dxa"/>
            <w:shd w:val="clear" w:color="auto" w:fill="C6EFCE"/>
            <w:noWrap/>
            <w:vAlign w:val="center"/>
            <w:hideMark/>
          </w:tcPr>
          <w:p w14:paraId="419A9E2A" w14:textId="77777777" w:rsidR="004C6421" w:rsidRDefault="009D1962">
            <w:pPr>
              <w:pStyle w:val="P68B1DB1-Normal4"/>
              <w:jc w:val="center"/>
              <w:rPr>
                <w:noProof/>
              </w:rPr>
            </w:pPr>
            <w:r>
              <w:rPr>
                <w:noProof/>
              </w:rPr>
              <w:t>II KW.</w:t>
            </w:r>
          </w:p>
        </w:tc>
        <w:tc>
          <w:tcPr>
            <w:tcW w:w="708" w:type="dxa"/>
            <w:shd w:val="clear" w:color="auto" w:fill="C6EFCE"/>
            <w:noWrap/>
            <w:vAlign w:val="center"/>
            <w:hideMark/>
          </w:tcPr>
          <w:p w14:paraId="63B28181" w14:textId="77777777" w:rsidR="004C6421" w:rsidRDefault="009D1962">
            <w:pPr>
              <w:pStyle w:val="P68B1DB1-Normal4"/>
              <w:jc w:val="center"/>
              <w:rPr>
                <w:noProof/>
              </w:rPr>
            </w:pPr>
            <w:r>
              <w:rPr>
                <w:noProof/>
              </w:rPr>
              <w:t>2021</w:t>
            </w:r>
          </w:p>
        </w:tc>
        <w:tc>
          <w:tcPr>
            <w:tcW w:w="3686" w:type="dxa"/>
            <w:shd w:val="clear" w:color="auto" w:fill="C6EFCE"/>
            <w:noWrap/>
            <w:vAlign w:val="center"/>
            <w:hideMark/>
          </w:tcPr>
          <w:p w14:paraId="521F204F" w14:textId="77777777" w:rsidR="004C6421" w:rsidRDefault="009D1962">
            <w:pPr>
              <w:pStyle w:val="P68B1DB1-Normal4"/>
              <w:rPr>
                <w:noProof/>
              </w:rPr>
            </w:pPr>
            <w:r>
              <w:rPr>
                <w:noProof/>
              </w:rPr>
              <w:t>Oczekuje się, że projekty IPCEI, które będą wspierane, zostaną zaktualizowane w zależności od rzeczywistego etapu zaawansowania krajowych procedur IPCEI będących obecnie w toku oraz etapu zaawansowania procedury zgłaszania pomocy państwa.</w:t>
            </w:r>
          </w:p>
          <w:p w14:paraId="0F274680" w14:textId="77777777" w:rsidR="004C6421" w:rsidRDefault="009D1962">
            <w:pPr>
              <w:pStyle w:val="P68B1DB1-Normal4"/>
              <w:rPr>
                <w:noProof/>
              </w:rPr>
            </w:pPr>
            <w:r>
              <w:rPr>
                <w:noProof/>
              </w:rPr>
              <w:t>Wybrane projekty IPCEI uwzględniają konkretne innowacyjne sektory przemysłu zgodnie z już określonymi europejskimi łańcuchami wartości.</w:t>
            </w:r>
          </w:p>
          <w:p w14:paraId="70C86122" w14:textId="77777777" w:rsidR="004C6421" w:rsidRDefault="009D1962">
            <w:pPr>
              <w:pStyle w:val="P68B1DB1-Normal4"/>
              <w:rPr>
                <w:noProof/>
              </w:rPr>
            </w:pPr>
            <w:r>
              <w:rPr>
                <w:noProof/>
              </w:rPr>
              <w:t>Interwencja ta obejmuje zarówno już zatwierdzone projekty IPCEI, jak i przyszłe, takie jak chmura, opieka zdrowotna, materiały rzędowe i cyberbezpieczeństwo.</w:t>
            </w:r>
          </w:p>
          <w:p w14:paraId="52433DE0" w14:textId="77777777" w:rsidR="004C6421" w:rsidRDefault="009D1962">
            <w:pPr>
              <w:pStyle w:val="P68B1DB1-Normal4"/>
              <w:spacing w:before="120" w:after="120"/>
              <w:rPr>
                <w:noProof/>
              </w:rPr>
            </w:pPr>
            <w:r>
              <w:rPr>
                <w:noProof/>
              </w:rPr>
              <w:t>Warunki zaproszenia obejmują:</w:t>
            </w:r>
          </w:p>
          <w:p w14:paraId="78A9A332" w14:textId="77777777" w:rsidR="004C6421" w:rsidRDefault="009D1962">
            <w:pPr>
              <w:pStyle w:val="P68B1DB1-paragraph18"/>
              <w:spacing w:before="0" w:beforeAutospacing="0" w:after="0" w:afterAutospacing="0"/>
              <w:textAlignment w:val="baseline"/>
              <w:rPr>
                <w:noProof/>
              </w:rPr>
            </w:pPr>
            <w:r>
              <w:rPr>
                <w:noProof/>
              </w:rPr>
              <w:t>kryteria kwalifikowalności, które zapewniają zgodność wybranych projektów z wytycznymi technicznymi dotyczącymi zasady „nie czyń poważnych szkód” (2021/C58/01) poprzez wykorzystanie listy wykluczenia i wymóg zgodności z odpowiednimi unijnymi i krajowymi przepisami w zakresie ochrony środowiska.</w:t>
            </w:r>
          </w:p>
          <w:p w14:paraId="1EE6B9CA" w14:textId="77777777" w:rsidR="004C6421" w:rsidRDefault="009D1962">
            <w:pPr>
              <w:pStyle w:val="P68B1DB1-paragraph18"/>
              <w:spacing w:before="0" w:beforeAutospacing="0" w:after="0" w:afterAutospacing="0"/>
              <w:textAlignment w:val="baseline"/>
              <w:rPr>
                <w:noProof/>
              </w:rPr>
            </w:pPr>
            <w:r>
              <w:rPr>
                <w:noProof/>
              </w:rPr>
              <w:t>b) Zobowiązanie, że wkład inwestycji w działania na rzecz klimatu zgodnie z metodyką określoną w załączniku VI do rozporządzenia (UE) 2021/241 musi stanowić co najmniej 40 % łącznych kosztów inwestycji wspieranej z RRF.</w:t>
            </w:r>
          </w:p>
          <w:p w14:paraId="14724158" w14:textId="77777777" w:rsidR="004C6421" w:rsidRDefault="009D1962">
            <w:pPr>
              <w:pStyle w:val="P68B1DB1-paragraph18"/>
              <w:spacing w:before="0" w:beforeAutospacing="0" w:after="0" w:afterAutospacing="0"/>
              <w:textAlignment w:val="baseline"/>
              <w:rPr>
                <w:noProof/>
              </w:rPr>
            </w:pPr>
            <w:r>
              <w:rPr>
                <w:noProof/>
              </w:rPr>
              <w:t>C) Zobowiązanie, że wkład inwestycji w gospodarkę cyfrową zgodnie z metodyką określoną w załączniku VII do rozporządzenia (UE) 2021/241 musi stanowić co najmniej 60 % łącznych kosztów inwestycji wspieranej z RRF.</w:t>
            </w:r>
          </w:p>
          <w:p w14:paraId="7E4180F7" w14:textId="77777777" w:rsidR="004C6421" w:rsidRDefault="009D1962">
            <w:pPr>
              <w:pStyle w:val="P68B1DB1-paragraph18"/>
              <w:spacing w:before="0" w:beforeAutospacing="0" w:after="0" w:afterAutospacing="0"/>
              <w:textAlignment w:val="baseline"/>
              <w:rPr>
                <w:noProof/>
              </w:rPr>
            </w:pPr>
            <w:r>
              <w:rPr>
                <w:noProof/>
              </w:rPr>
              <w:t>zobowiązanie do składania sprawozdań z realizacji środka w połowie okresu trwania programu i po jego zakończeniu.</w:t>
            </w:r>
          </w:p>
        </w:tc>
      </w:tr>
      <w:tr w:rsidR="004C6421" w14:paraId="5DE66B82" w14:textId="77777777">
        <w:trPr>
          <w:trHeight w:val="313"/>
        </w:trPr>
        <w:tc>
          <w:tcPr>
            <w:tcW w:w="1135" w:type="dxa"/>
            <w:shd w:val="clear" w:color="auto" w:fill="C6EFCE"/>
            <w:noWrap/>
            <w:vAlign w:val="center"/>
            <w:hideMark/>
          </w:tcPr>
          <w:p w14:paraId="661175B0" w14:textId="77777777" w:rsidR="004C6421" w:rsidRDefault="009D1962">
            <w:pPr>
              <w:pStyle w:val="P68B1DB1-Normal4"/>
              <w:jc w:val="center"/>
              <w:rPr>
                <w:noProof/>
              </w:rPr>
            </w:pPr>
            <w:r>
              <w:rPr>
                <w:noProof/>
              </w:rPr>
              <w:t>M4C2-11</w:t>
            </w:r>
          </w:p>
        </w:tc>
        <w:tc>
          <w:tcPr>
            <w:tcW w:w="1419" w:type="dxa"/>
            <w:shd w:val="clear" w:color="auto" w:fill="C6EFCE"/>
            <w:noWrap/>
            <w:vAlign w:val="center"/>
            <w:hideMark/>
          </w:tcPr>
          <w:p w14:paraId="46DCDF1E" w14:textId="77777777" w:rsidR="004C6421" w:rsidRDefault="009D1962">
            <w:pPr>
              <w:pStyle w:val="P68B1DB1-Normal4"/>
              <w:jc w:val="center"/>
              <w:rPr>
                <w:noProof/>
              </w:rPr>
            </w:pPr>
            <w:r>
              <w:rPr>
                <w:noProof/>
              </w:rPr>
              <w:t>Inwestycja 2.1: PROJEKT IPCEI</w:t>
            </w:r>
          </w:p>
        </w:tc>
        <w:tc>
          <w:tcPr>
            <w:tcW w:w="1132" w:type="dxa"/>
            <w:shd w:val="clear" w:color="auto" w:fill="C6EFCE"/>
            <w:noWrap/>
            <w:vAlign w:val="center"/>
            <w:hideMark/>
          </w:tcPr>
          <w:p w14:paraId="2268573E" w14:textId="76B90EA3" w:rsidR="004C6421" w:rsidRDefault="00CC179E">
            <w:pPr>
              <w:pStyle w:val="P68B1DB1-Normal4"/>
              <w:jc w:val="center"/>
              <w:rPr>
                <w:noProof/>
              </w:rPr>
            </w:pPr>
            <w:r>
              <w:rPr>
                <w:noProof/>
              </w:rPr>
              <w:t>Milowy</w:t>
            </w:r>
          </w:p>
        </w:tc>
        <w:tc>
          <w:tcPr>
            <w:tcW w:w="1418" w:type="dxa"/>
            <w:shd w:val="clear" w:color="auto" w:fill="C6EFCE"/>
            <w:noWrap/>
            <w:vAlign w:val="center"/>
            <w:hideMark/>
          </w:tcPr>
          <w:p w14:paraId="17E7BB18" w14:textId="77777777" w:rsidR="004C6421" w:rsidRDefault="009D1962">
            <w:pPr>
              <w:pStyle w:val="P68B1DB1-Normal4"/>
              <w:jc w:val="center"/>
              <w:rPr>
                <w:noProof/>
              </w:rPr>
            </w:pPr>
            <w:r>
              <w:rPr>
                <w:noProof/>
              </w:rPr>
              <w:t>Wejście w życie krajowego aktu prawnego przyznającego środki finansowe niezbędne do zapewnienia wsparcia uczestnikom projektu.</w:t>
            </w:r>
          </w:p>
        </w:tc>
        <w:tc>
          <w:tcPr>
            <w:tcW w:w="1275" w:type="dxa"/>
            <w:shd w:val="clear" w:color="auto" w:fill="C6EFCE"/>
            <w:noWrap/>
            <w:vAlign w:val="center"/>
            <w:hideMark/>
          </w:tcPr>
          <w:p w14:paraId="30014BD4" w14:textId="77777777" w:rsidR="004C6421" w:rsidRDefault="009D1962">
            <w:pPr>
              <w:pStyle w:val="P68B1DB1-Normal4"/>
              <w:jc w:val="center"/>
              <w:rPr>
                <w:noProof/>
              </w:rPr>
            </w:pPr>
            <w:r>
              <w:rPr>
                <w:noProof/>
              </w:rPr>
              <w:t>Przepis krajowego aktu prawnego wskazujący na wejście w życie ustawy NIE DOT.</w:t>
            </w:r>
          </w:p>
        </w:tc>
        <w:tc>
          <w:tcPr>
            <w:tcW w:w="1134" w:type="dxa"/>
            <w:shd w:val="clear" w:color="auto" w:fill="C6EFCE"/>
            <w:noWrap/>
            <w:vAlign w:val="center"/>
            <w:hideMark/>
          </w:tcPr>
          <w:p w14:paraId="3CC6E220" w14:textId="77777777" w:rsidR="004C6421" w:rsidRDefault="009D1962">
            <w:pPr>
              <w:pStyle w:val="P68B1DB1-Normal4"/>
              <w:jc w:val="center"/>
              <w:rPr>
                <w:noProof/>
              </w:rPr>
            </w:pPr>
            <w:r>
              <w:rPr>
                <w:noProof/>
              </w:rPr>
              <w:t>NIE DOT.</w:t>
            </w:r>
          </w:p>
        </w:tc>
        <w:tc>
          <w:tcPr>
            <w:tcW w:w="993" w:type="dxa"/>
            <w:shd w:val="clear" w:color="auto" w:fill="C6EFCE"/>
            <w:noWrap/>
            <w:vAlign w:val="center"/>
            <w:hideMark/>
          </w:tcPr>
          <w:p w14:paraId="34DDC4DC" w14:textId="77777777" w:rsidR="004C6421" w:rsidRDefault="009D1962">
            <w:pPr>
              <w:pStyle w:val="P68B1DB1-Normal4"/>
              <w:jc w:val="center"/>
              <w:rPr>
                <w:noProof/>
              </w:rPr>
            </w:pPr>
            <w:r>
              <w:rPr>
                <w:noProof/>
              </w:rPr>
              <w:t>NIE DOT.</w:t>
            </w:r>
          </w:p>
        </w:tc>
        <w:tc>
          <w:tcPr>
            <w:tcW w:w="1275" w:type="dxa"/>
            <w:shd w:val="clear" w:color="auto" w:fill="C6EFCE"/>
            <w:noWrap/>
            <w:vAlign w:val="center"/>
            <w:hideMark/>
          </w:tcPr>
          <w:p w14:paraId="3AD60097" w14:textId="77777777" w:rsidR="004C6421" w:rsidRDefault="009D1962">
            <w:pPr>
              <w:pStyle w:val="P68B1DB1-Normal4"/>
              <w:jc w:val="center"/>
              <w:rPr>
                <w:noProof/>
              </w:rPr>
            </w:pPr>
            <w:r>
              <w:rPr>
                <w:noProof/>
              </w:rPr>
              <w:t>NIE DOT.</w:t>
            </w:r>
          </w:p>
        </w:tc>
        <w:tc>
          <w:tcPr>
            <w:tcW w:w="993" w:type="dxa"/>
            <w:shd w:val="clear" w:color="auto" w:fill="C6EFCE"/>
            <w:noWrap/>
            <w:vAlign w:val="center"/>
            <w:hideMark/>
          </w:tcPr>
          <w:p w14:paraId="3EE18470" w14:textId="77777777" w:rsidR="004C6421" w:rsidRDefault="009D1962">
            <w:pPr>
              <w:pStyle w:val="P68B1DB1-Normal4"/>
              <w:jc w:val="center"/>
              <w:rPr>
                <w:noProof/>
              </w:rPr>
            </w:pPr>
            <w:r>
              <w:rPr>
                <w:noProof/>
              </w:rPr>
              <w:t>II KW.</w:t>
            </w:r>
          </w:p>
        </w:tc>
        <w:tc>
          <w:tcPr>
            <w:tcW w:w="708" w:type="dxa"/>
            <w:shd w:val="clear" w:color="auto" w:fill="C6EFCE"/>
            <w:noWrap/>
            <w:vAlign w:val="center"/>
            <w:hideMark/>
          </w:tcPr>
          <w:p w14:paraId="6CA27F85" w14:textId="77777777" w:rsidR="004C6421" w:rsidRDefault="009D1962">
            <w:pPr>
              <w:pStyle w:val="P68B1DB1-Normal4"/>
              <w:jc w:val="center"/>
              <w:rPr>
                <w:noProof/>
              </w:rPr>
            </w:pPr>
            <w:r>
              <w:rPr>
                <w:noProof/>
              </w:rPr>
              <w:t>2022</w:t>
            </w:r>
          </w:p>
        </w:tc>
        <w:tc>
          <w:tcPr>
            <w:tcW w:w="3686" w:type="dxa"/>
            <w:shd w:val="clear" w:color="auto" w:fill="C6EFCE"/>
            <w:noWrap/>
            <w:vAlign w:val="center"/>
            <w:hideMark/>
          </w:tcPr>
          <w:p w14:paraId="3103126B" w14:textId="77777777" w:rsidR="004C6421" w:rsidRDefault="009D1962">
            <w:pPr>
              <w:pStyle w:val="P68B1DB1-Normal4"/>
              <w:rPr>
                <w:noProof/>
              </w:rPr>
            </w:pPr>
            <w:r>
              <w:rPr>
                <w:noProof/>
              </w:rPr>
              <w:t>Krajowa ustawa prawna określa procedury i terminy składania projektów, a także wymogi dostępu potencjalnych beneficjentów.</w:t>
            </w:r>
          </w:p>
        </w:tc>
      </w:tr>
      <w:tr w:rsidR="004C6421" w14:paraId="06F3412C" w14:textId="77777777">
        <w:trPr>
          <w:trHeight w:val="313"/>
        </w:trPr>
        <w:tc>
          <w:tcPr>
            <w:tcW w:w="1135" w:type="dxa"/>
            <w:shd w:val="clear" w:color="auto" w:fill="C6EFCE"/>
            <w:noWrap/>
            <w:vAlign w:val="center"/>
            <w:hideMark/>
          </w:tcPr>
          <w:p w14:paraId="6BB755DB" w14:textId="77777777" w:rsidR="004C6421" w:rsidRDefault="009D1962">
            <w:pPr>
              <w:pStyle w:val="P68B1DB1-Normal4"/>
              <w:jc w:val="center"/>
              <w:rPr>
                <w:noProof/>
              </w:rPr>
            </w:pPr>
            <w:r>
              <w:rPr>
                <w:noProof/>
              </w:rPr>
              <w:t>M4C2-12</w:t>
            </w:r>
          </w:p>
        </w:tc>
        <w:tc>
          <w:tcPr>
            <w:tcW w:w="1419" w:type="dxa"/>
            <w:shd w:val="clear" w:color="auto" w:fill="C6EFCE"/>
            <w:noWrap/>
            <w:vAlign w:val="center"/>
            <w:hideMark/>
          </w:tcPr>
          <w:p w14:paraId="7365A785" w14:textId="77777777" w:rsidR="004C6421" w:rsidRDefault="009D1962">
            <w:pPr>
              <w:pStyle w:val="P68B1DB1-Normal4"/>
              <w:jc w:val="center"/>
              <w:rPr>
                <w:noProof/>
              </w:rPr>
            </w:pPr>
            <w:r>
              <w:rPr>
                <w:noProof/>
              </w:rPr>
              <w:t>Inwestycja 2.1: PROJEKT IPCEI</w:t>
            </w:r>
          </w:p>
        </w:tc>
        <w:tc>
          <w:tcPr>
            <w:tcW w:w="1132" w:type="dxa"/>
            <w:shd w:val="clear" w:color="auto" w:fill="C6EFCE"/>
            <w:noWrap/>
            <w:vAlign w:val="center"/>
            <w:hideMark/>
          </w:tcPr>
          <w:p w14:paraId="1DD887FD" w14:textId="34738CEF" w:rsidR="004C6421" w:rsidRDefault="00CC179E">
            <w:pPr>
              <w:pStyle w:val="P68B1DB1-Normal4"/>
              <w:jc w:val="center"/>
              <w:rPr>
                <w:noProof/>
              </w:rPr>
            </w:pPr>
            <w:r>
              <w:rPr>
                <w:noProof/>
              </w:rPr>
              <w:t>Milowy</w:t>
            </w:r>
          </w:p>
        </w:tc>
        <w:tc>
          <w:tcPr>
            <w:tcW w:w="1418" w:type="dxa"/>
            <w:shd w:val="clear" w:color="auto" w:fill="C6EFCE"/>
            <w:noWrap/>
            <w:vAlign w:val="center"/>
            <w:hideMark/>
          </w:tcPr>
          <w:p w14:paraId="16E5B354" w14:textId="77777777" w:rsidR="004C6421" w:rsidRDefault="009D1962">
            <w:pPr>
              <w:pStyle w:val="P68B1DB1-Normal4"/>
              <w:jc w:val="center"/>
              <w:rPr>
                <w:noProof/>
              </w:rPr>
            </w:pPr>
            <w:r>
              <w:rPr>
                <w:noProof/>
              </w:rPr>
              <w:t>Lista uczestników projektów IPCEI została sfinalizowana do 30 czerwca 2023 r.</w:t>
            </w:r>
          </w:p>
        </w:tc>
        <w:tc>
          <w:tcPr>
            <w:tcW w:w="1275" w:type="dxa"/>
            <w:shd w:val="clear" w:color="auto" w:fill="C6EFCE"/>
            <w:noWrap/>
            <w:vAlign w:val="center"/>
            <w:hideMark/>
          </w:tcPr>
          <w:p w14:paraId="051D5CC2" w14:textId="77777777" w:rsidR="004C6421" w:rsidRDefault="009D1962">
            <w:pPr>
              <w:pStyle w:val="P68B1DB1-Normal4"/>
              <w:jc w:val="center"/>
              <w:rPr>
                <w:noProof/>
              </w:rPr>
            </w:pPr>
            <w:r>
              <w:rPr>
                <w:noProof/>
              </w:rPr>
              <w:t>Publikacja listy uczestników NIE DOT.</w:t>
            </w:r>
          </w:p>
        </w:tc>
        <w:tc>
          <w:tcPr>
            <w:tcW w:w="1134" w:type="dxa"/>
            <w:shd w:val="clear" w:color="auto" w:fill="C6EFCE"/>
            <w:noWrap/>
            <w:vAlign w:val="center"/>
            <w:hideMark/>
          </w:tcPr>
          <w:p w14:paraId="527C3DA4" w14:textId="77777777" w:rsidR="004C6421" w:rsidRDefault="009D1962">
            <w:pPr>
              <w:pStyle w:val="P68B1DB1-Normal4"/>
              <w:jc w:val="center"/>
              <w:rPr>
                <w:noProof/>
              </w:rPr>
            </w:pPr>
            <w:r>
              <w:rPr>
                <w:noProof/>
              </w:rPr>
              <w:t>NIE DOT.</w:t>
            </w:r>
          </w:p>
        </w:tc>
        <w:tc>
          <w:tcPr>
            <w:tcW w:w="993" w:type="dxa"/>
            <w:shd w:val="clear" w:color="auto" w:fill="C6EFCE"/>
            <w:noWrap/>
            <w:vAlign w:val="center"/>
            <w:hideMark/>
          </w:tcPr>
          <w:p w14:paraId="03559B24" w14:textId="77777777" w:rsidR="004C6421" w:rsidRDefault="009D1962">
            <w:pPr>
              <w:pStyle w:val="P68B1DB1-Normal4"/>
              <w:jc w:val="center"/>
              <w:rPr>
                <w:noProof/>
              </w:rPr>
            </w:pPr>
            <w:r>
              <w:rPr>
                <w:noProof/>
              </w:rPr>
              <w:t>NIE DOT.</w:t>
            </w:r>
          </w:p>
        </w:tc>
        <w:tc>
          <w:tcPr>
            <w:tcW w:w="1275" w:type="dxa"/>
            <w:shd w:val="clear" w:color="auto" w:fill="C6EFCE"/>
            <w:noWrap/>
            <w:vAlign w:val="center"/>
            <w:hideMark/>
          </w:tcPr>
          <w:p w14:paraId="062D7066" w14:textId="77777777" w:rsidR="004C6421" w:rsidRDefault="009D1962">
            <w:pPr>
              <w:pStyle w:val="P68B1DB1-Normal4"/>
              <w:jc w:val="center"/>
              <w:rPr>
                <w:noProof/>
              </w:rPr>
            </w:pPr>
            <w:r>
              <w:rPr>
                <w:noProof/>
              </w:rPr>
              <w:t>NIE DOT.</w:t>
            </w:r>
          </w:p>
        </w:tc>
        <w:tc>
          <w:tcPr>
            <w:tcW w:w="993" w:type="dxa"/>
            <w:shd w:val="clear" w:color="auto" w:fill="C6EFCE"/>
            <w:noWrap/>
            <w:vAlign w:val="center"/>
            <w:hideMark/>
          </w:tcPr>
          <w:p w14:paraId="183DB500" w14:textId="77777777" w:rsidR="004C6421" w:rsidRDefault="009D1962">
            <w:pPr>
              <w:pStyle w:val="P68B1DB1-Normal4"/>
              <w:jc w:val="center"/>
              <w:rPr>
                <w:noProof/>
              </w:rPr>
            </w:pPr>
            <w:r>
              <w:rPr>
                <w:noProof/>
              </w:rPr>
              <w:t>II KW.</w:t>
            </w:r>
          </w:p>
        </w:tc>
        <w:tc>
          <w:tcPr>
            <w:tcW w:w="708" w:type="dxa"/>
            <w:shd w:val="clear" w:color="auto" w:fill="C6EFCE"/>
            <w:noWrap/>
            <w:vAlign w:val="center"/>
            <w:hideMark/>
          </w:tcPr>
          <w:p w14:paraId="12558078" w14:textId="77777777" w:rsidR="004C6421" w:rsidRDefault="009D1962">
            <w:pPr>
              <w:pStyle w:val="P68B1DB1-Normal4"/>
              <w:jc w:val="center"/>
              <w:rPr>
                <w:noProof/>
              </w:rPr>
            </w:pPr>
            <w:r>
              <w:rPr>
                <w:noProof/>
              </w:rPr>
              <w:t>2023</w:t>
            </w:r>
          </w:p>
        </w:tc>
        <w:tc>
          <w:tcPr>
            <w:tcW w:w="3686" w:type="dxa"/>
            <w:shd w:val="clear" w:color="auto" w:fill="C6EFCE"/>
            <w:noWrap/>
            <w:vAlign w:val="center"/>
            <w:hideMark/>
          </w:tcPr>
          <w:p w14:paraId="752E294C" w14:textId="77777777" w:rsidR="004C6421" w:rsidRDefault="009D1962">
            <w:pPr>
              <w:pStyle w:val="P68B1DB1-Normal4"/>
              <w:rPr>
                <w:noProof/>
              </w:rPr>
            </w:pPr>
            <w:r>
              <w:rPr>
                <w:noProof/>
              </w:rPr>
              <w:t>Wykaz obejmuje dopuszczonych uczestników uczestniczących w projektach IPCEI, po przeprowadzeniu weryfikacji i ocen przedstawionych projektów, które należy przeprowadzić zgodnie z wytycznymi technicznymi zasady „nie czyń poważnych szkód” (2021/C58/01) poprzez wykorzystanie wykazu wykluczenia oraz wymóg zgodności z odpowiednimi unijnymi i krajowymi wymogami środowiskowymi.</w:t>
            </w:r>
          </w:p>
        </w:tc>
      </w:tr>
      <w:tr w:rsidR="004C6421" w14:paraId="06A97F56" w14:textId="77777777">
        <w:trPr>
          <w:trHeight w:val="313"/>
        </w:trPr>
        <w:tc>
          <w:tcPr>
            <w:tcW w:w="1135" w:type="dxa"/>
            <w:shd w:val="clear" w:color="auto" w:fill="C6EFCE"/>
            <w:noWrap/>
            <w:vAlign w:val="center"/>
            <w:hideMark/>
          </w:tcPr>
          <w:p w14:paraId="3D17F280" w14:textId="77777777" w:rsidR="004C6421" w:rsidRDefault="009D1962">
            <w:pPr>
              <w:pStyle w:val="P68B1DB1-Normal4"/>
              <w:jc w:val="center"/>
              <w:rPr>
                <w:noProof/>
              </w:rPr>
            </w:pPr>
            <w:r>
              <w:rPr>
                <w:noProof/>
              </w:rPr>
              <w:t>M4C2-13</w:t>
            </w:r>
          </w:p>
        </w:tc>
        <w:tc>
          <w:tcPr>
            <w:tcW w:w="1419" w:type="dxa"/>
            <w:shd w:val="clear" w:color="auto" w:fill="C6EFCE"/>
            <w:noWrap/>
            <w:vAlign w:val="center"/>
            <w:hideMark/>
          </w:tcPr>
          <w:p w14:paraId="5ABEF735" w14:textId="77777777" w:rsidR="004C6421" w:rsidRDefault="009D1962">
            <w:pPr>
              <w:pStyle w:val="P68B1DB1-Normal4"/>
              <w:jc w:val="center"/>
              <w:rPr>
                <w:noProof/>
              </w:rPr>
            </w:pPr>
            <w:r>
              <w:rPr>
                <w:noProof/>
              </w:rPr>
              <w:t>Inwestycja 2.3: Wzmocnienie i sektorowe/terytorialne rozszerzenie ośrodków transferu technologii według segmentów przemysłu</w:t>
            </w:r>
          </w:p>
        </w:tc>
        <w:tc>
          <w:tcPr>
            <w:tcW w:w="1132" w:type="dxa"/>
            <w:shd w:val="clear" w:color="auto" w:fill="C6EFCE"/>
            <w:noWrap/>
            <w:vAlign w:val="center"/>
            <w:hideMark/>
          </w:tcPr>
          <w:p w14:paraId="6B1E9CDE" w14:textId="77777777" w:rsidR="004C6421" w:rsidRDefault="009D1962">
            <w:pPr>
              <w:pStyle w:val="P68B1DB1-Normal4"/>
              <w:jc w:val="center"/>
              <w:rPr>
                <w:noProof/>
              </w:rPr>
            </w:pPr>
            <w:r>
              <w:rPr>
                <w:noProof/>
              </w:rPr>
              <w:t>Cel</w:t>
            </w:r>
          </w:p>
        </w:tc>
        <w:tc>
          <w:tcPr>
            <w:tcW w:w="1418" w:type="dxa"/>
            <w:shd w:val="clear" w:color="auto" w:fill="C6EFCE"/>
            <w:noWrap/>
            <w:vAlign w:val="center"/>
            <w:hideMark/>
          </w:tcPr>
          <w:p w14:paraId="1074F114" w14:textId="77777777" w:rsidR="004C6421" w:rsidRDefault="009D1962">
            <w:pPr>
              <w:pStyle w:val="P68B1DB1-Normal4"/>
              <w:jc w:val="center"/>
              <w:rPr>
                <w:noProof/>
              </w:rPr>
            </w:pPr>
            <w:r>
              <w:rPr>
                <w:noProof/>
              </w:rPr>
              <w:t>Liczba nowych centrów, które mają zostać utworzone</w:t>
            </w:r>
          </w:p>
        </w:tc>
        <w:tc>
          <w:tcPr>
            <w:tcW w:w="1275" w:type="dxa"/>
            <w:shd w:val="clear" w:color="auto" w:fill="C6EFCE"/>
            <w:noWrap/>
            <w:vAlign w:val="center"/>
            <w:hideMark/>
          </w:tcPr>
          <w:p w14:paraId="71514CA0" w14:textId="77777777" w:rsidR="004C6421" w:rsidRDefault="009D1962">
            <w:pPr>
              <w:pStyle w:val="P68B1DB1-Normal4"/>
              <w:jc w:val="center"/>
              <w:rPr>
                <w:noProof/>
              </w:rPr>
            </w:pPr>
            <w:r>
              <w:rPr>
                <w:noProof/>
              </w:rPr>
              <w:t>NIE DOT.</w:t>
            </w:r>
          </w:p>
        </w:tc>
        <w:tc>
          <w:tcPr>
            <w:tcW w:w="1134" w:type="dxa"/>
            <w:shd w:val="clear" w:color="auto" w:fill="C6EFCE"/>
            <w:noWrap/>
            <w:vAlign w:val="center"/>
            <w:hideMark/>
          </w:tcPr>
          <w:p w14:paraId="56F59773" w14:textId="77777777" w:rsidR="004C6421" w:rsidRDefault="009D1962">
            <w:pPr>
              <w:pStyle w:val="P68B1DB1-Normal4"/>
              <w:jc w:val="center"/>
              <w:rPr>
                <w:noProof/>
              </w:rPr>
            </w:pPr>
            <w:r>
              <w:rPr>
                <w:noProof/>
              </w:rPr>
              <w:t>Numer</w:t>
            </w:r>
          </w:p>
        </w:tc>
        <w:tc>
          <w:tcPr>
            <w:tcW w:w="993" w:type="dxa"/>
            <w:shd w:val="clear" w:color="auto" w:fill="C6EFCE"/>
            <w:noWrap/>
            <w:vAlign w:val="center"/>
            <w:hideMark/>
          </w:tcPr>
          <w:p w14:paraId="26C00466" w14:textId="77777777" w:rsidR="004C6421" w:rsidRDefault="009D1962">
            <w:pPr>
              <w:pStyle w:val="P68B1DB1-Normal4"/>
              <w:jc w:val="center"/>
              <w:rPr>
                <w:noProof/>
              </w:rPr>
            </w:pPr>
            <w:r>
              <w:rPr>
                <w:noProof/>
              </w:rPr>
              <w:t>8</w:t>
            </w:r>
          </w:p>
        </w:tc>
        <w:tc>
          <w:tcPr>
            <w:tcW w:w="1275" w:type="dxa"/>
            <w:shd w:val="clear" w:color="auto" w:fill="C6EFCE"/>
            <w:noWrap/>
            <w:vAlign w:val="center"/>
            <w:hideMark/>
          </w:tcPr>
          <w:p w14:paraId="2F758CEE" w14:textId="77777777" w:rsidR="004C6421" w:rsidRDefault="009D1962">
            <w:pPr>
              <w:pStyle w:val="P68B1DB1-Normal4"/>
              <w:jc w:val="center"/>
              <w:rPr>
                <w:noProof/>
              </w:rPr>
            </w:pPr>
            <w:r>
              <w:rPr>
                <w:noProof/>
              </w:rPr>
              <w:t>35</w:t>
            </w:r>
          </w:p>
        </w:tc>
        <w:tc>
          <w:tcPr>
            <w:tcW w:w="993" w:type="dxa"/>
            <w:shd w:val="clear" w:color="auto" w:fill="C6EFCE"/>
            <w:noWrap/>
            <w:vAlign w:val="center"/>
            <w:hideMark/>
          </w:tcPr>
          <w:p w14:paraId="4BAC5210" w14:textId="4FF28145" w:rsidR="004C6421" w:rsidRDefault="00CC179E">
            <w:pPr>
              <w:pStyle w:val="P68B1DB1-Normal4"/>
              <w:jc w:val="center"/>
              <w:rPr>
                <w:noProof/>
              </w:rPr>
            </w:pPr>
            <w:r>
              <w:rPr>
                <w:noProof/>
              </w:rPr>
              <w:t>KW. 4</w:t>
            </w:r>
          </w:p>
        </w:tc>
        <w:tc>
          <w:tcPr>
            <w:tcW w:w="708" w:type="dxa"/>
            <w:shd w:val="clear" w:color="auto" w:fill="C6EFCE"/>
            <w:noWrap/>
            <w:vAlign w:val="center"/>
            <w:hideMark/>
          </w:tcPr>
          <w:p w14:paraId="2CD51438" w14:textId="77777777" w:rsidR="004C6421" w:rsidRDefault="009D1962">
            <w:pPr>
              <w:pStyle w:val="P68B1DB1-Normal4"/>
              <w:jc w:val="center"/>
              <w:rPr>
                <w:noProof/>
              </w:rPr>
            </w:pPr>
            <w:r>
              <w:rPr>
                <w:noProof/>
              </w:rPr>
              <w:t>2025</w:t>
            </w:r>
          </w:p>
        </w:tc>
        <w:tc>
          <w:tcPr>
            <w:tcW w:w="3686" w:type="dxa"/>
            <w:shd w:val="clear" w:color="auto" w:fill="C6EFCE"/>
            <w:noWrap/>
            <w:vAlign w:val="center"/>
            <w:hideMark/>
          </w:tcPr>
          <w:p w14:paraId="05756B1C" w14:textId="77777777" w:rsidR="004C6421" w:rsidRDefault="009D1962">
            <w:pPr>
              <w:pStyle w:val="P68B1DB1-Normal4"/>
              <w:rPr>
                <w:noProof/>
              </w:rPr>
            </w:pPr>
            <w:r>
              <w:rPr>
                <w:noProof/>
              </w:rPr>
              <w:t xml:space="preserve">Uruchomienie 27 nowych węzłów w ramach pierwszej linii interwencji środka.  </w:t>
            </w:r>
          </w:p>
          <w:p w14:paraId="049ABE95" w14:textId="77777777" w:rsidR="004C6421" w:rsidRDefault="009D1962">
            <w:pPr>
              <w:pStyle w:val="P68B1DB1-Normal4"/>
              <w:rPr>
                <w:noProof/>
              </w:rPr>
            </w:pPr>
            <w:r>
              <w:rPr>
                <w:noProof/>
              </w:rPr>
              <w:t>Cel koncentruje się na trzech rodzajach centrów:</w:t>
            </w:r>
          </w:p>
          <w:p w14:paraId="3F8E1074" w14:textId="77777777" w:rsidR="004C6421" w:rsidRDefault="009D1962">
            <w:pPr>
              <w:pStyle w:val="P68B1DB1-ListParagraph5"/>
              <w:numPr>
                <w:ilvl w:val="0"/>
                <w:numId w:val="55"/>
              </w:numPr>
              <w:jc w:val="left"/>
              <w:rPr>
                <w:noProof/>
              </w:rPr>
            </w:pPr>
            <w:r>
              <w:rPr>
                <w:noProof/>
              </w:rPr>
              <w:t>Centra kompetencji</w:t>
            </w:r>
          </w:p>
          <w:p w14:paraId="481A0011" w14:textId="77777777" w:rsidR="004C6421" w:rsidRDefault="009D1962">
            <w:pPr>
              <w:pStyle w:val="P68B1DB1-ListParagraph5"/>
              <w:numPr>
                <w:ilvl w:val="0"/>
                <w:numId w:val="55"/>
              </w:numPr>
              <w:jc w:val="left"/>
              <w:rPr>
                <w:noProof/>
              </w:rPr>
            </w:pPr>
            <w:r>
              <w:rPr>
                <w:noProof/>
              </w:rPr>
              <w:t>Pieczęć doskonałości</w:t>
            </w:r>
          </w:p>
          <w:p w14:paraId="2881626C" w14:textId="77777777" w:rsidR="004C6421" w:rsidRDefault="009D1962">
            <w:pPr>
              <w:pStyle w:val="P68B1DB1-ListParagraph5"/>
              <w:numPr>
                <w:ilvl w:val="0"/>
                <w:numId w:val="55"/>
              </w:numPr>
              <w:jc w:val="left"/>
              <w:rPr>
                <w:noProof/>
              </w:rPr>
            </w:pPr>
            <w:r>
              <w:rPr>
                <w:noProof/>
              </w:rPr>
              <w:t>Sieć lokalnych ośrodków innowacji.</w:t>
            </w:r>
          </w:p>
        </w:tc>
      </w:tr>
      <w:tr w:rsidR="004C6421" w14:paraId="1BCD4D6E" w14:textId="77777777">
        <w:trPr>
          <w:trHeight w:val="313"/>
        </w:trPr>
        <w:tc>
          <w:tcPr>
            <w:tcW w:w="1135" w:type="dxa"/>
            <w:shd w:val="clear" w:color="auto" w:fill="C6EFCE"/>
            <w:noWrap/>
            <w:vAlign w:val="center"/>
            <w:hideMark/>
          </w:tcPr>
          <w:p w14:paraId="2F86BF44" w14:textId="77777777" w:rsidR="004C6421" w:rsidRDefault="009D1962">
            <w:pPr>
              <w:pStyle w:val="P68B1DB1-Normal4"/>
              <w:jc w:val="center"/>
              <w:rPr>
                <w:noProof/>
              </w:rPr>
            </w:pPr>
            <w:r>
              <w:rPr>
                <w:noProof/>
              </w:rPr>
              <w:t>M4C2-14</w:t>
            </w:r>
          </w:p>
        </w:tc>
        <w:tc>
          <w:tcPr>
            <w:tcW w:w="1419" w:type="dxa"/>
            <w:shd w:val="clear" w:color="auto" w:fill="C6EFCE"/>
            <w:noWrap/>
            <w:vAlign w:val="center"/>
            <w:hideMark/>
          </w:tcPr>
          <w:p w14:paraId="5F644FF2" w14:textId="77777777" w:rsidR="004C6421" w:rsidRDefault="009D1962">
            <w:pPr>
              <w:pStyle w:val="P68B1DB1-Normal4"/>
              <w:jc w:val="center"/>
              <w:rPr>
                <w:noProof/>
              </w:rPr>
            </w:pPr>
            <w:r>
              <w:rPr>
                <w:noProof/>
              </w:rPr>
              <w:t>Inwestycja 2.3: Wzmocnienie i sektorowe/terytorialne rozszerzenie ośrodków transferu technologii według segmentów przemysłu</w:t>
            </w:r>
          </w:p>
        </w:tc>
        <w:tc>
          <w:tcPr>
            <w:tcW w:w="1132" w:type="dxa"/>
            <w:shd w:val="clear" w:color="auto" w:fill="C6EFCE"/>
            <w:noWrap/>
            <w:vAlign w:val="center"/>
            <w:hideMark/>
          </w:tcPr>
          <w:p w14:paraId="265BD241" w14:textId="77777777" w:rsidR="004C6421" w:rsidRDefault="009D1962">
            <w:pPr>
              <w:pStyle w:val="P68B1DB1-Normal4"/>
              <w:jc w:val="center"/>
              <w:rPr>
                <w:noProof/>
              </w:rPr>
            </w:pPr>
            <w:r>
              <w:rPr>
                <w:noProof/>
              </w:rPr>
              <w:t>Cel</w:t>
            </w:r>
          </w:p>
        </w:tc>
        <w:tc>
          <w:tcPr>
            <w:tcW w:w="1418" w:type="dxa"/>
            <w:shd w:val="clear" w:color="auto" w:fill="C6EFCE"/>
            <w:noWrap/>
            <w:vAlign w:val="center"/>
            <w:hideMark/>
          </w:tcPr>
          <w:p w14:paraId="2B9DCB33" w14:textId="77777777" w:rsidR="004C6421" w:rsidRDefault="009D1962">
            <w:pPr>
              <w:pStyle w:val="P68B1DB1-Normal4"/>
              <w:jc w:val="center"/>
              <w:rPr>
                <w:noProof/>
              </w:rPr>
            </w:pPr>
            <w:r>
              <w:rPr>
                <w:noProof/>
              </w:rPr>
              <w:t>Wypłata wartości finansowej w wysokości 307 000 000 EUR</w:t>
            </w:r>
          </w:p>
        </w:tc>
        <w:tc>
          <w:tcPr>
            <w:tcW w:w="1275" w:type="dxa"/>
            <w:shd w:val="clear" w:color="auto" w:fill="C6EFCE"/>
            <w:noWrap/>
            <w:vAlign w:val="center"/>
            <w:hideMark/>
          </w:tcPr>
          <w:p w14:paraId="5F893738" w14:textId="77777777" w:rsidR="004C6421" w:rsidRDefault="009D1962">
            <w:pPr>
              <w:pStyle w:val="P68B1DB1-Normal4"/>
              <w:jc w:val="center"/>
              <w:rPr>
                <w:noProof/>
              </w:rPr>
            </w:pPr>
            <w:r>
              <w:rPr>
                <w:noProof/>
              </w:rPr>
              <w:t>NIE DOT.</w:t>
            </w:r>
          </w:p>
        </w:tc>
        <w:tc>
          <w:tcPr>
            <w:tcW w:w="1134" w:type="dxa"/>
            <w:shd w:val="clear" w:color="auto" w:fill="C6EFCE"/>
            <w:noWrap/>
            <w:vAlign w:val="center"/>
            <w:hideMark/>
          </w:tcPr>
          <w:p w14:paraId="2E185B6D" w14:textId="77777777" w:rsidR="004C6421" w:rsidRDefault="009D1962">
            <w:pPr>
              <w:pStyle w:val="P68B1DB1-Normal4"/>
              <w:jc w:val="center"/>
              <w:rPr>
                <w:noProof/>
              </w:rPr>
            </w:pPr>
            <w:r>
              <w:rPr>
                <w:noProof/>
              </w:rPr>
              <w:t>EUR</w:t>
            </w:r>
          </w:p>
        </w:tc>
        <w:tc>
          <w:tcPr>
            <w:tcW w:w="993" w:type="dxa"/>
            <w:shd w:val="clear" w:color="auto" w:fill="C6EFCE"/>
            <w:noWrap/>
            <w:vAlign w:val="center"/>
            <w:hideMark/>
          </w:tcPr>
          <w:p w14:paraId="777836A4" w14:textId="77777777" w:rsidR="004C6421" w:rsidRDefault="009D1962">
            <w:pPr>
              <w:pStyle w:val="P68B1DB1-Normal4"/>
              <w:jc w:val="center"/>
              <w:rPr>
                <w:noProof/>
              </w:rPr>
            </w:pPr>
            <w:r>
              <w:rPr>
                <w:noProof/>
              </w:rPr>
              <w:t>0</w:t>
            </w:r>
          </w:p>
        </w:tc>
        <w:tc>
          <w:tcPr>
            <w:tcW w:w="1275" w:type="dxa"/>
            <w:shd w:val="clear" w:color="auto" w:fill="C6EFCE"/>
            <w:noWrap/>
            <w:vAlign w:val="center"/>
            <w:hideMark/>
          </w:tcPr>
          <w:p w14:paraId="59D52DCF" w14:textId="4E61DB75" w:rsidR="004C6421" w:rsidRDefault="009D1962">
            <w:pPr>
              <w:jc w:val="center"/>
              <w:rPr>
                <w:rFonts w:ascii="Arial Narrow" w:hAnsi="Arial Narrow"/>
                <w:noProof/>
                <w:color w:val="006100"/>
                <w:sz w:val="20"/>
              </w:rPr>
            </w:pPr>
            <w:r>
              <w:rPr>
                <w:rFonts w:ascii="Arial Narrow" w:hAnsi="Arial Narrow"/>
                <w:noProof/>
                <w:color w:val="006100"/>
                <w:sz w:val="20"/>
              </w:rPr>
              <w:t>307</w:t>
            </w:r>
            <w:r>
              <w:rPr>
                <w:noProof/>
                <w:sz w:val="23"/>
              </w:rPr>
              <w:t xml:space="preserve"> </w:t>
            </w:r>
            <w:r>
              <w:rPr>
                <w:rFonts w:ascii="Arial Narrow" w:hAnsi="Arial Narrow"/>
                <w:noProof/>
                <w:color w:val="006100"/>
                <w:sz w:val="20"/>
              </w:rPr>
              <w:t>000</w:t>
            </w:r>
            <w:r>
              <w:rPr>
                <w:noProof/>
                <w:sz w:val="23"/>
              </w:rPr>
              <w:t xml:space="preserve"> </w:t>
            </w:r>
            <w:r>
              <w:rPr>
                <w:rFonts w:ascii="Arial Narrow" w:hAnsi="Arial Narrow"/>
                <w:noProof/>
                <w:color w:val="006100"/>
                <w:sz w:val="20"/>
              </w:rPr>
              <w:t>000</w:t>
            </w:r>
          </w:p>
        </w:tc>
        <w:tc>
          <w:tcPr>
            <w:tcW w:w="993" w:type="dxa"/>
            <w:shd w:val="clear" w:color="auto" w:fill="C6EFCE"/>
            <w:noWrap/>
            <w:vAlign w:val="center"/>
            <w:hideMark/>
          </w:tcPr>
          <w:p w14:paraId="624B3E55" w14:textId="77777777" w:rsidR="004C6421" w:rsidRDefault="009D1962">
            <w:pPr>
              <w:pStyle w:val="P68B1DB1-Normal4"/>
              <w:jc w:val="center"/>
              <w:rPr>
                <w:noProof/>
              </w:rPr>
            </w:pPr>
            <w:r>
              <w:rPr>
                <w:noProof/>
              </w:rPr>
              <w:t>II KW.</w:t>
            </w:r>
          </w:p>
        </w:tc>
        <w:tc>
          <w:tcPr>
            <w:tcW w:w="708" w:type="dxa"/>
            <w:shd w:val="clear" w:color="auto" w:fill="C6EFCE"/>
            <w:noWrap/>
            <w:vAlign w:val="center"/>
            <w:hideMark/>
          </w:tcPr>
          <w:p w14:paraId="7BA31E70" w14:textId="77777777" w:rsidR="004C6421" w:rsidRDefault="009D1962">
            <w:pPr>
              <w:pStyle w:val="P68B1DB1-Normal4"/>
              <w:jc w:val="center"/>
              <w:rPr>
                <w:noProof/>
              </w:rPr>
            </w:pPr>
            <w:r>
              <w:rPr>
                <w:noProof/>
              </w:rPr>
              <w:t>2026</w:t>
            </w:r>
          </w:p>
        </w:tc>
        <w:tc>
          <w:tcPr>
            <w:tcW w:w="3686" w:type="dxa"/>
            <w:shd w:val="clear" w:color="auto" w:fill="C6EFCE"/>
            <w:noWrap/>
            <w:vAlign w:val="center"/>
            <w:hideMark/>
          </w:tcPr>
          <w:p w14:paraId="3BD3AD8B" w14:textId="77777777" w:rsidR="004C6421" w:rsidRDefault="009D1962">
            <w:pPr>
              <w:pStyle w:val="P68B1DB1-Normal6"/>
              <w:jc w:val="both"/>
              <w:rPr>
                <w:rFonts w:eastAsia="Calibri"/>
                <w:noProof/>
              </w:rPr>
            </w:pPr>
            <w:r>
              <w:rPr>
                <w:noProof/>
              </w:rPr>
              <w:t xml:space="preserve">W ramach pierwszej linii interwencji w ramach środka wypłaca się 307 000 000 EUR na rzecz centrów transferu technologii w celu wzmocnienia sieci krajowej i świadczenia usług na rzecz przedsiębiorstw.  </w:t>
            </w:r>
          </w:p>
          <w:p w14:paraId="42B574E7" w14:textId="77777777" w:rsidR="004C6421" w:rsidRDefault="009D1962">
            <w:pPr>
              <w:pStyle w:val="P68B1DB1-Normal4"/>
              <w:spacing w:before="120" w:after="120"/>
              <w:rPr>
                <w:noProof/>
              </w:rPr>
            </w:pPr>
            <w:r>
              <w:rPr>
                <w:noProof/>
              </w:rPr>
              <w:t>Usługi, które mają być świadczone, obejmują:</w:t>
            </w:r>
          </w:p>
          <w:p w14:paraId="46529FBA" w14:textId="77777777" w:rsidR="004C6421" w:rsidRDefault="009D1962">
            <w:pPr>
              <w:pStyle w:val="P68B1DB1-ListParagraph5"/>
              <w:numPr>
                <w:ilvl w:val="0"/>
                <w:numId w:val="54"/>
              </w:numPr>
              <w:jc w:val="left"/>
              <w:rPr>
                <w:noProof/>
              </w:rPr>
            </w:pPr>
            <w:r>
              <w:rPr>
                <w:noProof/>
              </w:rPr>
              <w:t xml:space="preserve">ocena cyfrowa,ii) test przed inwestycją, iii) szkolenie; </w:t>
            </w:r>
          </w:p>
          <w:p w14:paraId="6AC68C4B" w14:textId="77777777" w:rsidR="004C6421" w:rsidRDefault="009D1962">
            <w:pPr>
              <w:pStyle w:val="P68B1DB1-ListParagraph5"/>
              <w:numPr>
                <w:ilvl w:val="0"/>
                <w:numId w:val="54"/>
              </w:numPr>
              <w:jc w:val="left"/>
              <w:rPr>
                <w:noProof/>
              </w:rPr>
            </w:pPr>
            <w:r>
              <w:rPr>
                <w:noProof/>
              </w:rPr>
              <w:t>dostęp do finansowania;</w:t>
            </w:r>
          </w:p>
          <w:p w14:paraId="5E00FE66" w14:textId="77777777" w:rsidR="004C6421" w:rsidRDefault="009D1962">
            <w:pPr>
              <w:pStyle w:val="P68B1DB1-ListParagraph5"/>
              <w:numPr>
                <w:ilvl w:val="0"/>
                <w:numId w:val="54"/>
              </w:numPr>
              <w:jc w:val="left"/>
              <w:rPr>
                <w:noProof/>
              </w:rPr>
            </w:pPr>
            <w:r>
              <w:rPr>
                <w:noProof/>
              </w:rPr>
              <w:t xml:space="preserve">wsparcie finansowe i operacyjne na rzecz rozwoju projektów innowacyjnych (TRL więcej niż 5); </w:t>
            </w:r>
          </w:p>
          <w:p w14:paraId="672C7149" w14:textId="77777777" w:rsidR="004C6421" w:rsidRDefault="009D1962">
            <w:pPr>
              <w:pStyle w:val="P68B1DB1-ListParagraph5"/>
              <w:numPr>
                <w:ilvl w:val="0"/>
                <w:numId w:val="54"/>
              </w:numPr>
              <w:jc w:val="left"/>
              <w:rPr>
                <w:noProof/>
              </w:rPr>
            </w:pPr>
            <w:r>
              <w:rPr>
                <w:noProof/>
              </w:rPr>
              <w:t xml:space="preserve">VI) pośrednictwo technologiczne </w:t>
            </w:r>
          </w:p>
          <w:p w14:paraId="2F02DC61" w14:textId="77777777" w:rsidR="004C6421" w:rsidRDefault="009D1962">
            <w:pPr>
              <w:pStyle w:val="P68B1DB1-ListParagraph5"/>
              <w:numPr>
                <w:ilvl w:val="0"/>
                <w:numId w:val="54"/>
              </w:numPr>
              <w:jc w:val="left"/>
              <w:rPr>
                <w:noProof/>
              </w:rPr>
            </w:pPr>
            <w:r>
              <w:rPr>
                <w:noProof/>
              </w:rPr>
              <w:t>VII) podnoszenie świadomości na szczeblu lokalnym.</w:t>
            </w:r>
          </w:p>
        </w:tc>
      </w:tr>
      <w:tr w:rsidR="004C6421" w14:paraId="32DB1DEF" w14:textId="77777777">
        <w:trPr>
          <w:trHeight w:val="313"/>
        </w:trPr>
        <w:tc>
          <w:tcPr>
            <w:tcW w:w="1135" w:type="dxa"/>
            <w:shd w:val="clear" w:color="auto" w:fill="C6EFCE"/>
            <w:noWrap/>
            <w:vAlign w:val="center"/>
            <w:hideMark/>
          </w:tcPr>
          <w:p w14:paraId="2E2046C9" w14:textId="77777777" w:rsidR="004C6421" w:rsidRDefault="009D1962">
            <w:pPr>
              <w:pStyle w:val="P68B1DB1-Normal4"/>
              <w:jc w:val="center"/>
              <w:rPr>
                <w:noProof/>
              </w:rPr>
            </w:pPr>
            <w:r>
              <w:rPr>
                <w:noProof/>
              </w:rPr>
              <w:t>M4C2-15</w:t>
            </w:r>
          </w:p>
        </w:tc>
        <w:tc>
          <w:tcPr>
            <w:tcW w:w="1419" w:type="dxa"/>
            <w:shd w:val="clear" w:color="auto" w:fill="C6EFCE"/>
            <w:noWrap/>
            <w:vAlign w:val="center"/>
            <w:hideMark/>
          </w:tcPr>
          <w:p w14:paraId="27484DFC" w14:textId="77777777" w:rsidR="004C6421" w:rsidRDefault="009D1962">
            <w:pPr>
              <w:pStyle w:val="P68B1DB1-Normal4"/>
              <w:jc w:val="center"/>
              <w:rPr>
                <w:noProof/>
              </w:rPr>
            </w:pPr>
            <w:r>
              <w:rPr>
                <w:noProof/>
              </w:rPr>
              <w:t>Inwestycja 2.3: Wzmocnienie i sektorowe/terytorialne rozszerzenie ośrodków transferu technologii według segmentów przemysłu</w:t>
            </w:r>
          </w:p>
        </w:tc>
        <w:tc>
          <w:tcPr>
            <w:tcW w:w="1132" w:type="dxa"/>
            <w:shd w:val="clear" w:color="auto" w:fill="C6EFCE"/>
            <w:noWrap/>
            <w:vAlign w:val="center"/>
            <w:hideMark/>
          </w:tcPr>
          <w:p w14:paraId="1BE48288" w14:textId="77777777" w:rsidR="004C6421" w:rsidRDefault="009D1962">
            <w:pPr>
              <w:pStyle w:val="P68B1DB1-Normal4"/>
              <w:jc w:val="center"/>
              <w:rPr>
                <w:noProof/>
              </w:rPr>
            </w:pPr>
            <w:r>
              <w:rPr>
                <w:noProof/>
              </w:rPr>
              <w:t>Cel</w:t>
            </w:r>
          </w:p>
        </w:tc>
        <w:tc>
          <w:tcPr>
            <w:tcW w:w="1418" w:type="dxa"/>
            <w:shd w:val="clear" w:color="auto" w:fill="C6EFCE"/>
            <w:noWrap/>
            <w:vAlign w:val="center"/>
            <w:hideMark/>
          </w:tcPr>
          <w:p w14:paraId="287067E9" w14:textId="77777777" w:rsidR="004C6421" w:rsidRDefault="009D1962">
            <w:pPr>
              <w:pStyle w:val="P68B1DB1-Normal4"/>
              <w:rPr>
                <w:noProof/>
              </w:rPr>
            </w:pPr>
            <w:r>
              <w:rPr>
                <w:noProof/>
              </w:rPr>
              <w:t>Liczba wspieranych MŚP</w:t>
            </w:r>
          </w:p>
        </w:tc>
        <w:tc>
          <w:tcPr>
            <w:tcW w:w="1275" w:type="dxa"/>
            <w:shd w:val="clear" w:color="auto" w:fill="C6EFCE"/>
            <w:noWrap/>
            <w:vAlign w:val="center"/>
            <w:hideMark/>
          </w:tcPr>
          <w:p w14:paraId="7B4F1A93" w14:textId="77777777" w:rsidR="004C6421" w:rsidRDefault="009D1962">
            <w:pPr>
              <w:pStyle w:val="P68B1DB1-Normal4"/>
              <w:jc w:val="center"/>
              <w:rPr>
                <w:noProof/>
              </w:rPr>
            </w:pPr>
            <w:r>
              <w:rPr>
                <w:noProof/>
              </w:rPr>
              <w:t>NIE DOT.</w:t>
            </w:r>
          </w:p>
        </w:tc>
        <w:tc>
          <w:tcPr>
            <w:tcW w:w="1134" w:type="dxa"/>
            <w:shd w:val="clear" w:color="auto" w:fill="C6EFCE"/>
            <w:noWrap/>
            <w:vAlign w:val="center"/>
            <w:hideMark/>
          </w:tcPr>
          <w:p w14:paraId="24BB7DCD" w14:textId="77777777" w:rsidR="004C6421" w:rsidRDefault="009D1962">
            <w:pPr>
              <w:pStyle w:val="P68B1DB1-Normal4"/>
              <w:jc w:val="center"/>
              <w:rPr>
                <w:noProof/>
              </w:rPr>
            </w:pPr>
            <w:r>
              <w:rPr>
                <w:noProof/>
              </w:rPr>
              <w:t>Numer</w:t>
            </w:r>
          </w:p>
        </w:tc>
        <w:tc>
          <w:tcPr>
            <w:tcW w:w="993" w:type="dxa"/>
            <w:shd w:val="clear" w:color="auto" w:fill="C6EFCE"/>
            <w:noWrap/>
            <w:vAlign w:val="center"/>
            <w:hideMark/>
          </w:tcPr>
          <w:p w14:paraId="47D5F9D0" w14:textId="77777777" w:rsidR="004C6421" w:rsidRDefault="009D1962">
            <w:pPr>
              <w:pStyle w:val="P68B1DB1-Normal4"/>
              <w:jc w:val="center"/>
              <w:rPr>
                <w:noProof/>
              </w:rPr>
            </w:pPr>
            <w:r>
              <w:rPr>
                <w:noProof/>
              </w:rPr>
              <w:t>0</w:t>
            </w:r>
          </w:p>
        </w:tc>
        <w:tc>
          <w:tcPr>
            <w:tcW w:w="1275" w:type="dxa"/>
            <w:shd w:val="clear" w:color="auto" w:fill="C6EFCE"/>
            <w:noWrap/>
            <w:vAlign w:val="center"/>
            <w:hideMark/>
          </w:tcPr>
          <w:p w14:paraId="76DD8051" w14:textId="296F6965" w:rsidR="004C6421" w:rsidRDefault="009D1962">
            <w:pPr>
              <w:jc w:val="center"/>
              <w:rPr>
                <w:rFonts w:ascii="Arial Narrow" w:hAnsi="Arial Narrow"/>
                <w:noProof/>
                <w:color w:val="006100"/>
                <w:sz w:val="20"/>
              </w:rPr>
            </w:pPr>
            <w:r>
              <w:rPr>
                <w:rFonts w:ascii="Arial Narrow" w:hAnsi="Arial Narrow"/>
                <w:noProof/>
                <w:color w:val="006100"/>
                <w:sz w:val="20"/>
              </w:rPr>
              <w:t>5</w:t>
            </w:r>
            <w:r>
              <w:rPr>
                <w:noProof/>
                <w:sz w:val="23"/>
              </w:rPr>
              <w:t xml:space="preserve"> </w:t>
            </w:r>
            <w:r>
              <w:rPr>
                <w:rFonts w:ascii="Arial Narrow" w:hAnsi="Arial Narrow"/>
                <w:noProof/>
                <w:color w:val="006100"/>
                <w:sz w:val="20"/>
              </w:rPr>
              <w:t>000</w:t>
            </w:r>
          </w:p>
        </w:tc>
        <w:tc>
          <w:tcPr>
            <w:tcW w:w="993" w:type="dxa"/>
            <w:shd w:val="clear" w:color="auto" w:fill="C6EFCE"/>
            <w:noWrap/>
            <w:vAlign w:val="center"/>
            <w:hideMark/>
          </w:tcPr>
          <w:p w14:paraId="2A90A8E0" w14:textId="77777777" w:rsidR="004C6421" w:rsidRDefault="009D1962">
            <w:pPr>
              <w:pStyle w:val="P68B1DB1-Normal4"/>
              <w:jc w:val="center"/>
              <w:rPr>
                <w:noProof/>
              </w:rPr>
            </w:pPr>
            <w:r>
              <w:rPr>
                <w:noProof/>
              </w:rPr>
              <w:t>II KW.</w:t>
            </w:r>
          </w:p>
        </w:tc>
        <w:tc>
          <w:tcPr>
            <w:tcW w:w="708" w:type="dxa"/>
            <w:shd w:val="clear" w:color="auto" w:fill="C6EFCE"/>
            <w:noWrap/>
            <w:vAlign w:val="center"/>
            <w:hideMark/>
          </w:tcPr>
          <w:p w14:paraId="0AAB6030" w14:textId="77777777" w:rsidR="004C6421" w:rsidRDefault="009D1962">
            <w:pPr>
              <w:pStyle w:val="P68B1DB1-Normal4"/>
              <w:jc w:val="center"/>
              <w:rPr>
                <w:noProof/>
              </w:rPr>
            </w:pPr>
            <w:r>
              <w:rPr>
                <w:noProof/>
              </w:rPr>
              <w:t>2026</w:t>
            </w:r>
          </w:p>
        </w:tc>
        <w:tc>
          <w:tcPr>
            <w:tcW w:w="3686" w:type="dxa"/>
            <w:shd w:val="clear" w:color="auto" w:fill="C6EFCE"/>
            <w:noWrap/>
            <w:vAlign w:val="center"/>
            <w:hideMark/>
          </w:tcPr>
          <w:p w14:paraId="6B95B780" w14:textId="3BFCECB7" w:rsidR="004C6421" w:rsidRDefault="009D1962">
            <w:pPr>
              <w:rPr>
                <w:rFonts w:ascii="Arial Narrow" w:hAnsi="Arial Narrow"/>
                <w:noProof/>
                <w:color w:val="006100"/>
                <w:sz w:val="20"/>
              </w:rPr>
            </w:pPr>
            <w:r>
              <w:rPr>
                <w:rFonts w:ascii="Arial Narrow" w:hAnsi="Arial Narrow"/>
                <w:noProof/>
                <w:color w:val="006100"/>
                <w:sz w:val="20"/>
              </w:rPr>
              <w:t>Co najmniej 5000</w:t>
            </w:r>
            <w:r>
              <w:rPr>
                <w:noProof/>
                <w:sz w:val="23"/>
              </w:rPr>
              <w:t xml:space="preserve"> </w:t>
            </w:r>
            <w:r>
              <w:rPr>
                <w:rFonts w:ascii="Arial Narrow" w:hAnsi="Arial Narrow"/>
                <w:noProof/>
                <w:color w:val="006100"/>
                <w:sz w:val="20"/>
              </w:rPr>
              <w:t>MŚP wspieranych przez ośrodki finansowane ze środków krajowych (ośrodki kompetencji; Pieczęć doskonałości; Krajowe centra innowacji cyfrowych) w ramach pierwszej linii interwencji w ramach środka poprzez świadczenie usług, które obejmują:</w:t>
            </w:r>
          </w:p>
          <w:p w14:paraId="69AD8DD4" w14:textId="77777777" w:rsidR="004C6421" w:rsidRDefault="009D1962">
            <w:pPr>
              <w:pStyle w:val="P68B1DB1-ListParagraph5"/>
              <w:numPr>
                <w:ilvl w:val="0"/>
                <w:numId w:val="60"/>
              </w:numPr>
              <w:spacing w:before="0" w:after="200" w:line="276" w:lineRule="auto"/>
              <w:jc w:val="left"/>
              <w:rPr>
                <w:noProof/>
              </w:rPr>
            </w:pPr>
            <w:r>
              <w:rPr>
                <w:noProof/>
              </w:rPr>
              <w:t xml:space="preserve">Ocena cyfrowa </w:t>
            </w:r>
          </w:p>
          <w:p w14:paraId="4226E03F" w14:textId="77777777" w:rsidR="004C6421" w:rsidRDefault="009D1962">
            <w:pPr>
              <w:pStyle w:val="P68B1DB1-ListParagraph5"/>
              <w:numPr>
                <w:ilvl w:val="0"/>
                <w:numId w:val="60"/>
              </w:numPr>
              <w:spacing w:before="0" w:after="200" w:line="276" w:lineRule="auto"/>
              <w:jc w:val="left"/>
              <w:rPr>
                <w:noProof/>
              </w:rPr>
            </w:pPr>
            <w:r>
              <w:rPr>
                <w:noProof/>
              </w:rPr>
              <w:t xml:space="preserve">Test przed inwestowaniem, </w:t>
            </w:r>
          </w:p>
          <w:p w14:paraId="6875AFBE" w14:textId="77777777" w:rsidR="004C6421" w:rsidRDefault="009D1962">
            <w:pPr>
              <w:pStyle w:val="P68B1DB1-ListParagraph5"/>
              <w:numPr>
                <w:ilvl w:val="0"/>
                <w:numId w:val="60"/>
              </w:numPr>
              <w:spacing w:before="0" w:after="200" w:line="276" w:lineRule="auto"/>
              <w:jc w:val="left"/>
              <w:rPr>
                <w:noProof/>
              </w:rPr>
            </w:pPr>
            <w:r>
              <w:rPr>
                <w:noProof/>
              </w:rPr>
              <w:t xml:space="preserve">szkolenia; </w:t>
            </w:r>
          </w:p>
          <w:p w14:paraId="05E40A95" w14:textId="77777777" w:rsidR="004C6421" w:rsidRDefault="009D1962">
            <w:pPr>
              <w:pStyle w:val="P68B1DB1-ListParagraph5"/>
              <w:numPr>
                <w:ilvl w:val="0"/>
                <w:numId w:val="60"/>
              </w:numPr>
              <w:spacing w:before="0" w:after="200" w:line="276" w:lineRule="auto"/>
              <w:jc w:val="left"/>
              <w:rPr>
                <w:noProof/>
              </w:rPr>
            </w:pPr>
            <w:r>
              <w:rPr>
                <w:noProof/>
              </w:rPr>
              <w:t xml:space="preserve">dostęp do finansowania; </w:t>
            </w:r>
          </w:p>
          <w:p w14:paraId="1876A197" w14:textId="77777777" w:rsidR="004C6421" w:rsidRDefault="009D1962">
            <w:pPr>
              <w:pStyle w:val="P68B1DB1-ListParagraph5"/>
              <w:numPr>
                <w:ilvl w:val="0"/>
                <w:numId w:val="60"/>
              </w:numPr>
              <w:spacing w:before="0" w:after="200" w:line="276" w:lineRule="auto"/>
              <w:jc w:val="left"/>
              <w:rPr>
                <w:noProof/>
              </w:rPr>
            </w:pPr>
            <w:r>
              <w:rPr>
                <w:noProof/>
              </w:rPr>
              <w:t xml:space="preserve">wsparcie finansowe i operacyjne na rzecz rozwoju projektów innowacyjnych (TRL więcej niż 5); </w:t>
            </w:r>
          </w:p>
          <w:p w14:paraId="1A21DED2" w14:textId="77777777" w:rsidR="004C6421" w:rsidRDefault="009D1962">
            <w:pPr>
              <w:pStyle w:val="P68B1DB1-ListParagraph5"/>
              <w:numPr>
                <w:ilvl w:val="0"/>
                <w:numId w:val="60"/>
              </w:numPr>
              <w:spacing w:before="0" w:after="200" w:line="276" w:lineRule="auto"/>
              <w:jc w:val="left"/>
              <w:rPr>
                <w:noProof/>
              </w:rPr>
            </w:pPr>
            <w:r>
              <w:rPr>
                <w:noProof/>
              </w:rPr>
              <w:t xml:space="preserve">pośrednictwo technologiczne </w:t>
            </w:r>
          </w:p>
          <w:p w14:paraId="206DE446" w14:textId="77777777" w:rsidR="004C6421" w:rsidRDefault="009D1962">
            <w:pPr>
              <w:pStyle w:val="P68B1DB1-ListParagraph5"/>
              <w:numPr>
                <w:ilvl w:val="0"/>
                <w:numId w:val="60"/>
              </w:numPr>
              <w:spacing w:before="0" w:after="200" w:line="276" w:lineRule="auto"/>
              <w:jc w:val="left"/>
              <w:rPr>
                <w:noProof/>
              </w:rPr>
            </w:pPr>
            <w:r>
              <w:rPr>
                <w:noProof/>
              </w:rPr>
              <w:t>podnoszenie świadomości na szczeblu lokalnym.</w:t>
            </w:r>
          </w:p>
        </w:tc>
      </w:tr>
      <w:tr w:rsidR="004C6421" w14:paraId="6DB62C4F" w14:textId="77777777">
        <w:trPr>
          <w:trHeight w:val="313"/>
        </w:trPr>
        <w:tc>
          <w:tcPr>
            <w:tcW w:w="1135" w:type="dxa"/>
            <w:shd w:val="clear" w:color="auto" w:fill="C6EFCE"/>
            <w:noWrap/>
            <w:vAlign w:val="center"/>
          </w:tcPr>
          <w:p w14:paraId="1B181EC3" w14:textId="77777777" w:rsidR="004C6421" w:rsidRDefault="009D1962">
            <w:pPr>
              <w:pStyle w:val="P68B1DB1-Normal4"/>
              <w:jc w:val="center"/>
              <w:rPr>
                <w:noProof/>
              </w:rPr>
            </w:pPr>
            <w:r>
              <w:rPr>
                <w:noProof/>
              </w:rPr>
              <w:t>M4C2-15 bis</w:t>
            </w:r>
          </w:p>
        </w:tc>
        <w:tc>
          <w:tcPr>
            <w:tcW w:w="1419" w:type="dxa"/>
            <w:shd w:val="clear" w:color="auto" w:fill="C6EFCE"/>
            <w:noWrap/>
            <w:vAlign w:val="center"/>
          </w:tcPr>
          <w:p w14:paraId="0760D684" w14:textId="77777777" w:rsidR="004C6421" w:rsidRDefault="009D1962">
            <w:pPr>
              <w:pStyle w:val="P68B1DB1-Normal4"/>
              <w:jc w:val="center"/>
              <w:rPr>
                <w:noProof/>
              </w:rPr>
            </w:pPr>
            <w:r>
              <w:rPr>
                <w:noProof/>
              </w:rPr>
              <w:t>Inwestycja 2.3: Wzmocnienie i sektorowe/terytorialne rozszerzenie ośrodków transferu technologii według segmentów przemysłu</w:t>
            </w:r>
          </w:p>
        </w:tc>
        <w:tc>
          <w:tcPr>
            <w:tcW w:w="1132" w:type="dxa"/>
            <w:shd w:val="clear" w:color="auto" w:fill="C6EFCE"/>
            <w:noWrap/>
            <w:vAlign w:val="center"/>
          </w:tcPr>
          <w:p w14:paraId="291237DB" w14:textId="255602BE" w:rsidR="004C6421" w:rsidRDefault="00CC179E">
            <w:pPr>
              <w:pStyle w:val="P68B1DB1-Normal4"/>
              <w:jc w:val="center"/>
              <w:rPr>
                <w:noProof/>
              </w:rPr>
            </w:pPr>
            <w:r>
              <w:rPr>
                <w:noProof/>
              </w:rPr>
              <w:t>Milowy</w:t>
            </w:r>
          </w:p>
        </w:tc>
        <w:tc>
          <w:tcPr>
            <w:tcW w:w="1418" w:type="dxa"/>
            <w:shd w:val="clear" w:color="auto" w:fill="C6EFCE"/>
            <w:noWrap/>
            <w:vAlign w:val="center"/>
          </w:tcPr>
          <w:p w14:paraId="3AF5A559" w14:textId="77777777" w:rsidR="004C6421" w:rsidRDefault="009D1962">
            <w:pPr>
              <w:pStyle w:val="P68B1DB1-Normal4"/>
              <w:jc w:val="center"/>
              <w:rPr>
                <w:noProof/>
              </w:rPr>
            </w:pPr>
            <w:r>
              <w:rPr>
                <w:noProof/>
              </w:rPr>
              <w:t>Zakończenie pakietów roboczych EDIH i TEF</w:t>
            </w:r>
          </w:p>
        </w:tc>
        <w:tc>
          <w:tcPr>
            <w:tcW w:w="1275" w:type="dxa"/>
            <w:shd w:val="clear" w:color="auto" w:fill="C6EFCE"/>
            <w:noWrap/>
            <w:vAlign w:val="center"/>
          </w:tcPr>
          <w:p w14:paraId="7CD52A89" w14:textId="77777777" w:rsidR="004C6421" w:rsidRDefault="009D1962">
            <w:pPr>
              <w:pStyle w:val="P68B1DB1-Normal4"/>
              <w:jc w:val="center"/>
              <w:rPr>
                <w:noProof/>
              </w:rPr>
            </w:pPr>
            <w:r>
              <w:rPr>
                <w:noProof/>
              </w:rPr>
              <w:t>Ukończono pakiety prac Europejskiego Centrum Innowacji Cyfrowych (EDIH) oraz ośrodków testowo-doświadczalnych (TEF) NIE DOT.</w:t>
            </w:r>
          </w:p>
        </w:tc>
        <w:tc>
          <w:tcPr>
            <w:tcW w:w="1134" w:type="dxa"/>
            <w:shd w:val="clear" w:color="auto" w:fill="C6EFCE"/>
            <w:noWrap/>
            <w:vAlign w:val="center"/>
          </w:tcPr>
          <w:p w14:paraId="18CDB67E" w14:textId="77777777" w:rsidR="004C6421" w:rsidRDefault="009D1962">
            <w:pPr>
              <w:pStyle w:val="P68B1DB1-Normal4"/>
              <w:jc w:val="center"/>
              <w:rPr>
                <w:noProof/>
              </w:rPr>
            </w:pPr>
            <w:r>
              <w:rPr>
                <w:noProof/>
              </w:rPr>
              <w:t>NIE DOT.</w:t>
            </w:r>
          </w:p>
        </w:tc>
        <w:tc>
          <w:tcPr>
            <w:tcW w:w="993" w:type="dxa"/>
            <w:shd w:val="clear" w:color="auto" w:fill="C6EFCE"/>
            <w:noWrap/>
            <w:vAlign w:val="center"/>
          </w:tcPr>
          <w:p w14:paraId="26DEC8D5" w14:textId="77777777" w:rsidR="004C6421" w:rsidRDefault="009D1962">
            <w:pPr>
              <w:pStyle w:val="P68B1DB1-Normal4"/>
              <w:jc w:val="center"/>
              <w:rPr>
                <w:noProof/>
              </w:rPr>
            </w:pPr>
            <w:r>
              <w:rPr>
                <w:noProof/>
              </w:rPr>
              <w:t>NIE DOT.</w:t>
            </w:r>
          </w:p>
        </w:tc>
        <w:tc>
          <w:tcPr>
            <w:tcW w:w="1275" w:type="dxa"/>
            <w:shd w:val="clear" w:color="auto" w:fill="C6EFCE"/>
            <w:noWrap/>
            <w:vAlign w:val="center"/>
          </w:tcPr>
          <w:p w14:paraId="4BCB4AAD" w14:textId="77777777" w:rsidR="004C6421" w:rsidRDefault="009D1962">
            <w:pPr>
              <w:pStyle w:val="P68B1DB1-Normal4"/>
              <w:jc w:val="center"/>
              <w:rPr>
                <w:noProof/>
              </w:rPr>
            </w:pPr>
            <w:r>
              <w:rPr>
                <w:noProof/>
              </w:rPr>
              <w:t>NIE DOT.</w:t>
            </w:r>
          </w:p>
        </w:tc>
        <w:tc>
          <w:tcPr>
            <w:tcW w:w="993" w:type="dxa"/>
            <w:shd w:val="clear" w:color="auto" w:fill="C6EFCE"/>
            <w:noWrap/>
            <w:vAlign w:val="center"/>
          </w:tcPr>
          <w:p w14:paraId="50FCAAA2" w14:textId="77777777" w:rsidR="004C6421" w:rsidRDefault="009D1962">
            <w:pPr>
              <w:pStyle w:val="P68B1DB1-Normal4"/>
              <w:jc w:val="center"/>
              <w:rPr>
                <w:noProof/>
              </w:rPr>
            </w:pPr>
            <w:r>
              <w:rPr>
                <w:noProof/>
              </w:rPr>
              <w:t>II KW.</w:t>
            </w:r>
          </w:p>
        </w:tc>
        <w:tc>
          <w:tcPr>
            <w:tcW w:w="708" w:type="dxa"/>
            <w:shd w:val="clear" w:color="auto" w:fill="C6EFCE"/>
            <w:noWrap/>
            <w:vAlign w:val="center"/>
          </w:tcPr>
          <w:p w14:paraId="082AF640" w14:textId="77777777" w:rsidR="004C6421" w:rsidRDefault="009D1962">
            <w:pPr>
              <w:pStyle w:val="P68B1DB1-Normal4"/>
              <w:jc w:val="center"/>
              <w:rPr>
                <w:noProof/>
              </w:rPr>
            </w:pPr>
            <w:r>
              <w:rPr>
                <w:noProof/>
              </w:rPr>
              <w:t>2026</w:t>
            </w:r>
          </w:p>
        </w:tc>
        <w:tc>
          <w:tcPr>
            <w:tcW w:w="3686" w:type="dxa"/>
            <w:shd w:val="clear" w:color="auto" w:fill="C6EFCE"/>
            <w:noWrap/>
            <w:vAlign w:val="center"/>
          </w:tcPr>
          <w:p w14:paraId="7335B037" w14:textId="77777777" w:rsidR="004C6421" w:rsidRDefault="009D1962">
            <w:pPr>
              <w:pStyle w:val="P68B1DB1-Normal4"/>
              <w:spacing w:after="120"/>
              <w:jc w:val="both"/>
              <w:rPr>
                <w:noProof/>
              </w:rPr>
            </w:pPr>
            <w:r>
              <w:rPr>
                <w:noProof/>
              </w:rPr>
              <w:t>Ukończenie wszystkich pakietów prac 13 europejskich centrów innowacji cyfrowych oraz dwóch ośrodków testowo-doświadczalnych w ramach drugiej linii interwencji środka, z wyłączeniem tych pakietów prac, które są finansowane z programu „Cyfrowa Europa”.</w:t>
            </w:r>
          </w:p>
        </w:tc>
      </w:tr>
      <w:tr w:rsidR="004C6421" w14:paraId="2B2DFC00" w14:textId="77777777">
        <w:trPr>
          <w:trHeight w:val="313"/>
        </w:trPr>
        <w:tc>
          <w:tcPr>
            <w:tcW w:w="1135" w:type="dxa"/>
            <w:shd w:val="clear" w:color="auto" w:fill="C6EFCE"/>
            <w:noWrap/>
            <w:vAlign w:val="center"/>
            <w:hideMark/>
          </w:tcPr>
          <w:p w14:paraId="00CEB622" w14:textId="77777777" w:rsidR="004C6421" w:rsidRDefault="009D1962">
            <w:pPr>
              <w:pStyle w:val="P68B1DB1-Normal4"/>
              <w:jc w:val="center"/>
              <w:rPr>
                <w:noProof/>
              </w:rPr>
            </w:pPr>
            <w:r>
              <w:rPr>
                <w:noProof/>
              </w:rPr>
              <w:t>M4C2-16</w:t>
            </w:r>
          </w:p>
        </w:tc>
        <w:tc>
          <w:tcPr>
            <w:tcW w:w="1419" w:type="dxa"/>
            <w:shd w:val="clear" w:color="auto" w:fill="C6EFCE"/>
            <w:noWrap/>
            <w:vAlign w:val="center"/>
            <w:hideMark/>
          </w:tcPr>
          <w:p w14:paraId="152DEB54" w14:textId="77777777" w:rsidR="004C6421" w:rsidRDefault="009D1962">
            <w:pPr>
              <w:pStyle w:val="P68B1DB1-Normal4"/>
              <w:jc w:val="center"/>
              <w:rPr>
                <w:noProof/>
              </w:rPr>
            </w:pPr>
            <w:r>
              <w:rPr>
                <w:noProof/>
              </w:rPr>
              <w:t>Inwestycja 3.1: Fundusz na rzecz budowy zintegrowanego systemu infrastruktury badawczej i innowacyjnej</w:t>
            </w:r>
          </w:p>
        </w:tc>
        <w:tc>
          <w:tcPr>
            <w:tcW w:w="1132" w:type="dxa"/>
            <w:shd w:val="clear" w:color="auto" w:fill="C6EFCE"/>
            <w:noWrap/>
            <w:vAlign w:val="center"/>
            <w:hideMark/>
          </w:tcPr>
          <w:p w14:paraId="1DA9B91B" w14:textId="77777777" w:rsidR="004C6421" w:rsidRDefault="009D1962">
            <w:pPr>
              <w:pStyle w:val="P68B1DB1-Normal4"/>
              <w:jc w:val="center"/>
              <w:rPr>
                <w:noProof/>
              </w:rPr>
            </w:pPr>
            <w:r>
              <w:rPr>
                <w:noProof/>
              </w:rPr>
              <w:t>Cel</w:t>
            </w:r>
          </w:p>
        </w:tc>
        <w:tc>
          <w:tcPr>
            <w:tcW w:w="1418" w:type="dxa"/>
            <w:shd w:val="clear" w:color="auto" w:fill="C6EFCE"/>
            <w:noWrap/>
            <w:vAlign w:val="center"/>
            <w:hideMark/>
          </w:tcPr>
          <w:p w14:paraId="132EF9A5" w14:textId="77777777" w:rsidR="004C6421" w:rsidRDefault="009D1962">
            <w:pPr>
              <w:pStyle w:val="P68B1DB1-Normal4"/>
              <w:jc w:val="center"/>
              <w:rPr>
                <w:noProof/>
              </w:rPr>
            </w:pPr>
            <w:r>
              <w:rPr>
                <w:noProof/>
              </w:rPr>
              <w:t>Liczba finansowanych infrastruktur</w:t>
            </w:r>
          </w:p>
        </w:tc>
        <w:tc>
          <w:tcPr>
            <w:tcW w:w="1275" w:type="dxa"/>
            <w:shd w:val="clear" w:color="auto" w:fill="C6EFCE"/>
            <w:noWrap/>
            <w:vAlign w:val="center"/>
            <w:hideMark/>
          </w:tcPr>
          <w:p w14:paraId="0C2BECF3" w14:textId="77777777" w:rsidR="004C6421" w:rsidRDefault="009D1962">
            <w:pPr>
              <w:pStyle w:val="P68B1DB1-Normal4"/>
              <w:jc w:val="center"/>
              <w:rPr>
                <w:noProof/>
              </w:rPr>
            </w:pPr>
            <w:r>
              <w:rPr>
                <w:noProof/>
              </w:rPr>
              <w:t>NIE DOT.</w:t>
            </w:r>
          </w:p>
        </w:tc>
        <w:tc>
          <w:tcPr>
            <w:tcW w:w="1134" w:type="dxa"/>
            <w:shd w:val="clear" w:color="auto" w:fill="C6EFCE"/>
            <w:noWrap/>
            <w:vAlign w:val="center"/>
            <w:hideMark/>
          </w:tcPr>
          <w:p w14:paraId="0C2DD260" w14:textId="77777777" w:rsidR="004C6421" w:rsidRDefault="009D1962">
            <w:pPr>
              <w:pStyle w:val="P68B1DB1-Normal4"/>
              <w:jc w:val="center"/>
              <w:rPr>
                <w:noProof/>
              </w:rPr>
            </w:pPr>
            <w:r>
              <w:rPr>
                <w:noProof/>
              </w:rPr>
              <w:t>Numer</w:t>
            </w:r>
          </w:p>
        </w:tc>
        <w:tc>
          <w:tcPr>
            <w:tcW w:w="993" w:type="dxa"/>
            <w:shd w:val="clear" w:color="auto" w:fill="C6EFCE"/>
            <w:noWrap/>
            <w:vAlign w:val="center"/>
            <w:hideMark/>
          </w:tcPr>
          <w:p w14:paraId="54EC6F86" w14:textId="77777777" w:rsidR="004C6421" w:rsidRDefault="009D1962">
            <w:pPr>
              <w:pStyle w:val="P68B1DB1-Normal4"/>
              <w:jc w:val="center"/>
              <w:rPr>
                <w:noProof/>
              </w:rPr>
            </w:pPr>
            <w:r>
              <w:rPr>
                <w:noProof/>
              </w:rPr>
              <w:t>0</w:t>
            </w:r>
          </w:p>
        </w:tc>
        <w:tc>
          <w:tcPr>
            <w:tcW w:w="1275" w:type="dxa"/>
            <w:shd w:val="clear" w:color="auto" w:fill="C6EFCE"/>
            <w:noWrap/>
            <w:vAlign w:val="center"/>
            <w:hideMark/>
          </w:tcPr>
          <w:p w14:paraId="0D7F442F" w14:textId="77777777" w:rsidR="004C6421" w:rsidRDefault="009D1962">
            <w:pPr>
              <w:pStyle w:val="P68B1DB1-Normal4"/>
              <w:jc w:val="center"/>
              <w:rPr>
                <w:noProof/>
              </w:rPr>
            </w:pPr>
            <w:r>
              <w:rPr>
                <w:noProof/>
              </w:rPr>
              <w:t>30</w:t>
            </w:r>
          </w:p>
        </w:tc>
        <w:tc>
          <w:tcPr>
            <w:tcW w:w="993" w:type="dxa"/>
            <w:shd w:val="clear" w:color="auto" w:fill="C6EFCE"/>
            <w:noWrap/>
            <w:vAlign w:val="center"/>
            <w:hideMark/>
          </w:tcPr>
          <w:p w14:paraId="6667686F" w14:textId="77777777" w:rsidR="004C6421" w:rsidRDefault="009D1962">
            <w:pPr>
              <w:pStyle w:val="P68B1DB1-Normal4"/>
              <w:jc w:val="center"/>
              <w:rPr>
                <w:noProof/>
              </w:rPr>
            </w:pPr>
            <w:r>
              <w:rPr>
                <w:noProof/>
              </w:rPr>
              <w:t>II KW.</w:t>
            </w:r>
          </w:p>
        </w:tc>
        <w:tc>
          <w:tcPr>
            <w:tcW w:w="708" w:type="dxa"/>
            <w:shd w:val="clear" w:color="auto" w:fill="C6EFCE"/>
            <w:noWrap/>
            <w:vAlign w:val="center"/>
            <w:hideMark/>
          </w:tcPr>
          <w:p w14:paraId="281E4E5B" w14:textId="77777777" w:rsidR="004C6421" w:rsidRDefault="009D1962">
            <w:pPr>
              <w:pStyle w:val="P68B1DB1-Normal4"/>
              <w:jc w:val="center"/>
              <w:rPr>
                <w:noProof/>
              </w:rPr>
            </w:pPr>
            <w:r>
              <w:rPr>
                <w:noProof/>
              </w:rPr>
              <w:t>2023</w:t>
            </w:r>
          </w:p>
        </w:tc>
        <w:tc>
          <w:tcPr>
            <w:tcW w:w="3686" w:type="dxa"/>
            <w:shd w:val="clear" w:color="auto" w:fill="C6EFCE"/>
            <w:noWrap/>
            <w:vAlign w:val="center"/>
            <w:hideMark/>
          </w:tcPr>
          <w:p w14:paraId="2DB0BF58" w14:textId="77777777" w:rsidR="004C6421" w:rsidRDefault="009D1962">
            <w:pPr>
              <w:spacing w:after="120"/>
              <w:jc w:val="both"/>
              <w:rPr>
                <w:rFonts w:ascii="Arial Narrow" w:hAnsi="Arial Narrow"/>
                <w:noProof/>
                <w:color w:val="006100"/>
                <w:sz w:val="20"/>
              </w:rPr>
            </w:pPr>
            <w:r>
              <w:rPr>
                <w:rFonts w:ascii="Arial Narrow" w:hAnsi="Arial Narrow"/>
                <w:noProof/>
                <w:color w:val="006100"/>
                <w:sz w:val="20"/>
              </w:rPr>
              <w:t>Co najmniej 30 infrastruktur finansowanych na potrzeby zintegrowanego systemu infrastruktury badawczej i innowacyjnej.</w:t>
            </w:r>
            <w:r>
              <w:rPr>
                <w:rFonts w:ascii="Arial Narrow" w:hAnsi="Arial Narrow"/>
                <w:noProof/>
              </w:rPr>
              <w:t xml:space="preserve"> </w:t>
            </w:r>
            <w:r>
              <w:rPr>
                <w:noProof/>
              </w:rPr>
              <w:t xml:space="preserve">  </w:t>
            </w:r>
            <w:r>
              <w:rPr>
                <w:noProof/>
              </w:rPr>
              <w:br/>
            </w:r>
            <w:r>
              <w:rPr>
                <w:rFonts w:ascii="Arial Narrow" w:hAnsi="Arial Narrow"/>
                <w:noProof/>
                <w:color w:val="006100"/>
                <w:sz w:val="20"/>
              </w:rPr>
              <w:t>Infrastruktura innowacyjna obejmuje infrastrukturę wielofunkcyjną, która może obejmować co najmniej trzy dziedziny tematyczne, takie jak: (i) kwantowe, (ii) materiały zaawansowane, (iii) fotonika, (iv) nauki o życiu, (v) sztuczna inteligencja, (vi) transformacja energetyczna.</w:t>
            </w:r>
          </w:p>
          <w:p w14:paraId="70A954FA" w14:textId="77777777" w:rsidR="004C6421" w:rsidRDefault="009D1962">
            <w:pPr>
              <w:pStyle w:val="P68B1DB1-Normal4"/>
              <w:spacing w:after="120"/>
              <w:jc w:val="both"/>
              <w:rPr>
                <w:noProof/>
              </w:rPr>
            </w:pPr>
            <w:r>
              <w:rPr>
                <w:noProof/>
              </w:rPr>
              <w:t>Zadowalające osiągnięcie celu zależy również od zatrudnienia co najmniej 30 kierowników badań naukowych na potrzeby zintegrowanego systemu infrastruktury badawczej i innowacyjnej.</w:t>
            </w:r>
          </w:p>
        </w:tc>
      </w:tr>
      <w:tr w:rsidR="004C6421" w14:paraId="389717E9" w14:textId="77777777">
        <w:trPr>
          <w:trHeight w:val="313"/>
        </w:trPr>
        <w:tc>
          <w:tcPr>
            <w:tcW w:w="1135" w:type="dxa"/>
            <w:shd w:val="clear" w:color="auto" w:fill="C6EFCE"/>
            <w:noWrap/>
            <w:vAlign w:val="center"/>
            <w:hideMark/>
          </w:tcPr>
          <w:p w14:paraId="1E29452C" w14:textId="77777777" w:rsidR="004C6421" w:rsidRDefault="009D1962">
            <w:pPr>
              <w:pStyle w:val="P68B1DB1-Normal4"/>
              <w:jc w:val="center"/>
              <w:rPr>
                <w:noProof/>
              </w:rPr>
            </w:pPr>
            <w:r>
              <w:rPr>
                <w:noProof/>
              </w:rPr>
              <w:t xml:space="preserve">M4C2-16 bis </w:t>
            </w:r>
          </w:p>
        </w:tc>
        <w:tc>
          <w:tcPr>
            <w:tcW w:w="1419" w:type="dxa"/>
            <w:shd w:val="clear" w:color="auto" w:fill="C6EFCE"/>
            <w:noWrap/>
            <w:vAlign w:val="center"/>
            <w:hideMark/>
          </w:tcPr>
          <w:p w14:paraId="304F732A" w14:textId="77777777" w:rsidR="004C6421" w:rsidRDefault="009D1962">
            <w:pPr>
              <w:pStyle w:val="P68B1DB1-Normal4"/>
              <w:jc w:val="center"/>
              <w:rPr>
                <w:noProof/>
              </w:rPr>
            </w:pPr>
            <w:r>
              <w:rPr>
                <w:noProof/>
              </w:rPr>
              <w:t>Inwestycja 3.1: Fundusz na rzecz budowy zintegrowanego systemu infrastruktury badawczej i innowacyjnej</w:t>
            </w:r>
          </w:p>
        </w:tc>
        <w:tc>
          <w:tcPr>
            <w:tcW w:w="1132" w:type="dxa"/>
            <w:shd w:val="clear" w:color="auto" w:fill="C6EFCE"/>
            <w:noWrap/>
            <w:vAlign w:val="center"/>
            <w:hideMark/>
          </w:tcPr>
          <w:p w14:paraId="7301E55A" w14:textId="77777777" w:rsidR="004C6421" w:rsidRDefault="009D1962">
            <w:pPr>
              <w:pStyle w:val="P68B1DB1-Normal4"/>
              <w:jc w:val="center"/>
              <w:rPr>
                <w:noProof/>
              </w:rPr>
            </w:pPr>
            <w:r>
              <w:rPr>
                <w:noProof/>
              </w:rPr>
              <w:t>Cel</w:t>
            </w:r>
          </w:p>
        </w:tc>
        <w:tc>
          <w:tcPr>
            <w:tcW w:w="1418" w:type="dxa"/>
            <w:shd w:val="clear" w:color="auto" w:fill="C6EFCE"/>
            <w:noWrap/>
            <w:vAlign w:val="center"/>
            <w:hideMark/>
          </w:tcPr>
          <w:p w14:paraId="2AC89865" w14:textId="77777777" w:rsidR="004C6421" w:rsidRDefault="009D1962">
            <w:pPr>
              <w:pStyle w:val="P68B1DB1-Normal4"/>
              <w:jc w:val="center"/>
              <w:rPr>
                <w:noProof/>
              </w:rPr>
            </w:pPr>
            <w:r>
              <w:rPr>
                <w:noProof/>
              </w:rPr>
              <w:t xml:space="preserve">Liczba infrastruktur badawczych i innowacyjnych, które zostały utworzone lub zakończyły działalność </w:t>
            </w:r>
          </w:p>
        </w:tc>
        <w:tc>
          <w:tcPr>
            <w:tcW w:w="1275" w:type="dxa"/>
            <w:shd w:val="clear" w:color="auto" w:fill="C6EFCE"/>
            <w:noWrap/>
            <w:vAlign w:val="center"/>
            <w:hideMark/>
          </w:tcPr>
          <w:p w14:paraId="6C8B2757" w14:textId="77777777" w:rsidR="004C6421" w:rsidRDefault="009D1962">
            <w:pPr>
              <w:pStyle w:val="P68B1DB1-Normal4"/>
              <w:jc w:val="center"/>
              <w:rPr>
                <w:noProof/>
              </w:rPr>
            </w:pPr>
            <w:r>
              <w:rPr>
                <w:noProof/>
              </w:rPr>
              <w:t>NIE DOTYCZY.</w:t>
            </w:r>
          </w:p>
        </w:tc>
        <w:tc>
          <w:tcPr>
            <w:tcW w:w="1134" w:type="dxa"/>
            <w:shd w:val="clear" w:color="auto" w:fill="C6EFCE"/>
            <w:noWrap/>
            <w:vAlign w:val="center"/>
            <w:hideMark/>
          </w:tcPr>
          <w:p w14:paraId="31712DD7" w14:textId="77777777" w:rsidR="004C6421" w:rsidRDefault="009D1962">
            <w:pPr>
              <w:pStyle w:val="P68B1DB1-Normal4"/>
              <w:jc w:val="center"/>
              <w:rPr>
                <w:noProof/>
              </w:rPr>
            </w:pPr>
            <w:r>
              <w:rPr>
                <w:noProof/>
              </w:rPr>
              <w:t>Numer</w:t>
            </w:r>
          </w:p>
        </w:tc>
        <w:tc>
          <w:tcPr>
            <w:tcW w:w="993" w:type="dxa"/>
            <w:shd w:val="clear" w:color="auto" w:fill="C6EFCE"/>
            <w:noWrap/>
            <w:vAlign w:val="center"/>
            <w:hideMark/>
          </w:tcPr>
          <w:p w14:paraId="5DF8670C" w14:textId="77777777" w:rsidR="004C6421" w:rsidRDefault="009D1962">
            <w:pPr>
              <w:pStyle w:val="P68B1DB1-Normal4"/>
              <w:jc w:val="center"/>
              <w:rPr>
                <w:noProof/>
              </w:rPr>
            </w:pPr>
            <w:r>
              <w:rPr>
                <w:noProof/>
              </w:rPr>
              <w:t>0</w:t>
            </w:r>
          </w:p>
        </w:tc>
        <w:tc>
          <w:tcPr>
            <w:tcW w:w="1275" w:type="dxa"/>
            <w:shd w:val="clear" w:color="auto" w:fill="C6EFCE"/>
            <w:noWrap/>
            <w:vAlign w:val="center"/>
            <w:hideMark/>
          </w:tcPr>
          <w:p w14:paraId="1D961E50" w14:textId="77777777" w:rsidR="004C6421" w:rsidRDefault="009D1962">
            <w:pPr>
              <w:pStyle w:val="P68B1DB1-Normal4"/>
              <w:jc w:val="center"/>
              <w:rPr>
                <w:noProof/>
              </w:rPr>
            </w:pPr>
            <w:r>
              <w:rPr>
                <w:noProof/>
              </w:rPr>
              <w:t>30</w:t>
            </w:r>
          </w:p>
        </w:tc>
        <w:tc>
          <w:tcPr>
            <w:tcW w:w="993" w:type="dxa"/>
            <w:shd w:val="clear" w:color="auto" w:fill="C6EFCE"/>
            <w:noWrap/>
            <w:vAlign w:val="center"/>
            <w:hideMark/>
          </w:tcPr>
          <w:p w14:paraId="2315AC92" w14:textId="77777777" w:rsidR="004C6421" w:rsidRDefault="009D1962">
            <w:pPr>
              <w:pStyle w:val="P68B1DB1-Normal4"/>
              <w:jc w:val="center"/>
              <w:rPr>
                <w:noProof/>
              </w:rPr>
            </w:pPr>
            <w:r>
              <w:rPr>
                <w:noProof/>
              </w:rPr>
              <w:t>II KW.</w:t>
            </w:r>
          </w:p>
        </w:tc>
        <w:tc>
          <w:tcPr>
            <w:tcW w:w="708" w:type="dxa"/>
            <w:shd w:val="clear" w:color="auto" w:fill="C6EFCE"/>
            <w:noWrap/>
            <w:vAlign w:val="center"/>
            <w:hideMark/>
          </w:tcPr>
          <w:p w14:paraId="118A17C9" w14:textId="77777777" w:rsidR="004C6421" w:rsidRDefault="009D1962">
            <w:pPr>
              <w:pStyle w:val="P68B1DB1-Normal4"/>
              <w:jc w:val="center"/>
              <w:rPr>
                <w:noProof/>
              </w:rPr>
            </w:pPr>
            <w:r>
              <w:rPr>
                <w:noProof/>
              </w:rPr>
              <w:t>2026</w:t>
            </w:r>
          </w:p>
        </w:tc>
        <w:tc>
          <w:tcPr>
            <w:tcW w:w="3686" w:type="dxa"/>
            <w:shd w:val="clear" w:color="auto" w:fill="C6EFCE"/>
            <w:noWrap/>
            <w:vAlign w:val="center"/>
            <w:hideMark/>
          </w:tcPr>
          <w:p w14:paraId="79BF3D14" w14:textId="77777777" w:rsidR="004C6421" w:rsidRDefault="009D1962">
            <w:pPr>
              <w:pStyle w:val="P68B1DB1-Normal4"/>
              <w:jc w:val="both"/>
              <w:rPr>
                <w:noProof/>
              </w:rPr>
            </w:pPr>
            <w:r>
              <w:rPr>
                <w:noProof/>
              </w:rPr>
              <w:t xml:space="preserve">Co najmniej 30 infrastruktur badawczych i innowacyjnych, które zostały utworzone lub zakończyły działalność zgodnie z odpowiednim zaproszeniem do składania projektów. </w:t>
            </w:r>
          </w:p>
        </w:tc>
      </w:tr>
      <w:tr w:rsidR="004C6421" w14:paraId="4AC37933" w14:textId="77777777">
        <w:trPr>
          <w:trHeight w:val="313"/>
        </w:trPr>
        <w:tc>
          <w:tcPr>
            <w:tcW w:w="1135" w:type="dxa"/>
            <w:shd w:val="clear" w:color="auto" w:fill="C6EFCE"/>
            <w:noWrap/>
            <w:vAlign w:val="center"/>
            <w:hideMark/>
          </w:tcPr>
          <w:p w14:paraId="177D1200" w14:textId="77777777" w:rsidR="004C6421" w:rsidRDefault="009D1962">
            <w:pPr>
              <w:pStyle w:val="P68B1DB1-Normal4"/>
              <w:jc w:val="center"/>
              <w:rPr>
                <w:noProof/>
              </w:rPr>
            </w:pPr>
            <w:r>
              <w:rPr>
                <w:noProof/>
              </w:rPr>
              <w:t>M4C2-17</w:t>
            </w:r>
          </w:p>
        </w:tc>
        <w:tc>
          <w:tcPr>
            <w:tcW w:w="1419" w:type="dxa"/>
            <w:shd w:val="clear" w:color="auto" w:fill="C6EFCE"/>
            <w:noWrap/>
            <w:vAlign w:val="center"/>
            <w:hideMark/>
          </w:tcPr>
          <w:p w14:paraId="34284100" w14:textId="77777777" w:rsidR="004C6421" w:rsidRDefault="009D1962">
            <w:pPr>
              <w:pStyle w:val="P68B1DB1-Normal4"/>
              <w:jc w:val="center"/>
              <w:rPr>
                <w:noProof/>
              </w:rPr>
            </w:pPr>
            <w:r>
              <w:rPr>
                <w:noProof/>
              </w:rPr>
              <w:t>Inwestycja 3.1: Fundusz na rzecz budowy zintegrowanego systemu infrastruktury badawczej i innowacyjnej; Inwestycje</w:t>
            </w:r>
          </w:p>
        </w:tc>
        <w:tc>
          <w:tcPr>
            <w:tcW w:w="1132" w:type="dxa"/>
            <w:shd w:val="clear" w:color="auto" w:fill="C6EFCE"/>
            <w:noWrap/>
            <w:vAlign w:val="center"/>
            <w:hideMark/>
          </w:tcPr>
          <w:p w14:paraId="07525CEB" w14:textId="6FB40238" w:rsidR="004C6421" w:rsidRDefault="00CC179E">
            <w:pPr>
              <w:pStyle w:val="P68B1DB1-Normal4"/>
              <w:jc w:val="center"/>
              <w:rPr>
                <w:noProof/>
              </w:rPr>
            </w:pPr>
            <w:r>
              <w:rPr>
                <w:noProof/>
              </w:rPr>
              <w:t>Milowy</w:t>
            </w:r>
          </w:p>
        </w:tc>
        <w:tc>
          <w:tcPr>
            <w:tcW w:w="1418" w:type="dxa"/>
            <w:shd w:val="clear" w:color="auto" w:fill="C6EFCE"/>
            <w:noWrap/>
            <w:vAlign w:val="center"/>
            <w:hideMark/>
          </w:tcPr>
          <w:p w14:paraId="7DC35485" w14:textId="77777777" w:rsidR="004C6421" w:rsidRDefault="009D1962">
            <w:pPr>
              <w:pStyle w:val="P68B1DB1-Normal4"/>
              <w:jc w:val="center"/>
              <w:rPr>
                <w:noProof/>
              </w:rPr>
            </w:pPr>
            <w:r>
              <w:rPr>
                <w:noProof/>
              </w:rPr>
              <w:t>Udzielanie zamówień na projekty dotyczące: zintegrowany system infrastruktur badawczych i innowacyjnych</w:t>
            </w:r>
          </w:p>
        </w:tc>
        <w:tc>
          <w:tcPr>
            <w:tcW w:w="1275" w:type="dxa"/>
            <w:shd w:val="clear" w:color="auto" w:fill="C6EFCE"/>
            <w:noWrap/>
            <w:vAlign w:val="center"/>
            <w:hideMark/>
          </w:tcPr>
          <w:p w14:paraId="498E7883" w14:textId="77777777" w:rsidR="004C6421" w:rsidRDefault="009D1962">
            <w:pPr>
              <w:pStyle w:val="P68B1DB1-Normal4"/>
              <w:jc w:val="center"/>
              <w:rPr>
                <w:noProof/>
              </w:rPr>
            </w:pPr>
            <w:r>
              <w:rPr>
                <w:noProof/>
              </w:rPr>
              <w:t>Powiadomienie o udzieleniu zamówienia</w:t>
            </w:r>
          </w:p>
        </w:tc>
        <w:tc>
          <w:tcPr>
            <w:tcW w:w="1134" w:type="dxa"/>
            <w:shd w:val="clear" w:color="auto" w:fill="C6EFCE"/>
            <w:noWrap/>
            <w:vAlign w:val="center"/>
            <w:hideMark/>
          </w:tcPr>
          <w:p w14:paraId="79B21FB7" w14:textId="77777777" w:rsidR="004C6421" w:rsidRDefault="009D1962">
            <w:pPr>
              <w:pStyle w:val="P68B1DB1-Normal4"/>
              <w:jc w:val="center"/>
              <w:rPr>
                <w:noProof/>
              </w:rPr>
            </w:pPr>
            <w:r>
              <w:rPr>
                <w:noProof/>
              </w:rPr>
              <w:t>NIE DOT.</w:t>
            </w:r>
          </w:p>
        </w:tc>
        <w:tc>
          <w:tcPr>
            <w:tcW w:w="993" w:type="dxa"/>
            <w:shd w:val="clear" w:color="auto" w:fill="C6EFCE"/>
            <w:noWrap/>
            <w:vAlign w:val="center"/>
            <w:hideMark/>
          </w:tcPr>
          <w:p w14:paraId="41779F6C" w14:textId="77777777" w:rsidR="004C6421" w:rsidRDefault="009D1962">
            <w:pPr>
              <w:pStyle w:val="P68B1DB1-Normal4"/>
              <w:jc w:val="center"/>
              <w:rPr>
                <w:noProof/>
              </w:rPr>
            </w:pPr>
            <w:r>
              <w:rPr>
                <w:noProof/>
              </w:rPr>
              <w:t>NIE DOT.</w:t>
            </w:r>
          </w:p>
        </w:tc>
        <w:tc>
          <w:tcPr>
            <w:tcW w:w="1275" w:type="dxa"/>
            <w:shd w:val="clear" w:color="auto" w:fill="C6EFCE"/>
            <w:noWrap/>
            <w:vAlign w:val="center"/>
            <w:hideMark/>
          </w:tcPr>
          <w:p w14:paraId="252BDA76" w14:textId="77777777" w:rsidR="004C6421" w:rsidRDefault="009D1962">
            <w:pPr>
              <w:pStyle w:val="P68B1DB1-Normal4"/>
              <w:jc w:val="center"/>
              <w:rPr>
                <w:noProof/>
              </w:rPr>
            </w:pPr>
            <w:r>
              <w:rPr>
                <w:noProof/>
              </w:rPr>
              <w:t>NIE DOT.</w:t>
            </w:r>
          </w:p>
        </w:tc>
        <w:tc>
          <w:tcPr>
            <w:tcW w:w="993" w:type="dxa"/>
            <w:shd w:val="clear" w:color="auto" w:fill="C6EFCE"/>
            <w:noWrap/>
            <w:vAlign w:val="center"/>
            <w:hideMark/>
          </w:tcPr>
          <w:p w14:paraId="1E68ADBF" w14:textId="77777777" w:rsidR="004C6421" w:rsidRDefault="009D1962">
            <w:pPr>
              <w:pStyle w:val="P68B1DB1-Normal4"/>
              <w:jc w:val="center"/>
              <w:rPr>
                <w:noProof/>
              </w:rPr>
            </w:pPr>
            <w:r>
              <w:rPr>
                <w:noProof/>
              </w:rPr>
              <w:t>II KW.</w:t>
            </w:r>
          </w:p>
        </w:tc>
        <w:tc>
          <w:tcPr>
            <w:tcW w:w="708" w:type="dxa"/>
            <w:shd w:val="clear" w:color="auto" w:fill="C6EFCE"/>
            <w:noWrap/>
            <w:vAlign w:val="center"/>
            <w:hideMark/>
          </w:tcPr>
          <w:p w14:paraId="30DE39CD" w14:textId="77777777" w:rsidR="004C6421" w:rsidRDefault="009D1962">
            <w:pPr>
              <w:pStyle w:val="P68B1DB1-Normal4"/>
              <w:jc w:val="center"/>
              <w:rPr>
                <w:noProof/>
              </w:rPr>
            </w:pPr>
            <w:r>
              <w:rPr>
                <w:noProof/>
              </w:rPr>
              <w:t>2022</w:t>
            </w:r>
          </w:p>
        </w:tc>
        <w:tc>
          <w:tcPr>
            <w:tcW w:w="3686" w:type="dxa"/>
            <w:shd w:val="clear" w:color="auto" w:fill="C6EFCE"/>
            <w:noWrap/>
            <w:vAlign w:val="center"/>
            <w:hideMark/>
          </w:tcPr>
          <w:p w14:paraId="585C36E7" w14:textId="77777777" w:rsidR="004C6421" w:rsidRDefault="009D1962">
            <w:pPr>
              <w:pStyle w:val="P68B1DB1-Normal4"/>
              <w:spacing w:after="120"/>
              <w:jc w:val="both"/>
              <w:rPr>
                <w:noProof/>
              </w:rPr>
            </w:pPr>
            <w:r>
              <w:rPr>
                <w:noProof/>
              </w:rPr>
              <w:t>Powiadomienie o udzieleniu zamówień na projekty wybrane w ramach konkurencyjnych zaproszeń do składania wniosków, zgodnie z wytycznymi technicznymi dotyczącymi zasady „nie czyń poważnych szkód” (2021/C58/01) poprzez wykorzystanie listy wykluczenia oraz wymóg zgodności z odpowiednimi unijnymi i krajowymi przepisami w zakresie ochrony środowiska.</w:t>
            </w:r>
          </w:p>
          <w:p w14:paraId="64B3160E" w14:textId="77777777" w:rsidR="004C6421" w:rsidRDefault="009D1962">
            <w:pPr>
              <w:pStyle w:val="P68B1DB1-Normal4"/>
              <w:spacing w:after="120"/>
              <w:jc w:val="both"/>
              <w:rPr>
                <w:noProof/>
              </w:rPr>
            </w:pPr>
            <w:r>
              <w:rPr>
                <w:noProof/>
              </w:rPr>
              <w:t xml:space="preserve">Wnioski wybiera się na podstawie następujących kryteriów: </w:t>
            </w:r>
          </w:p>
          <w:p w14:paraId="456204A2" w14:textId="77777777" w:rsidR="004C6421" w:rsidRDefault="009D1962">
            <w:pPr>
              <w:pStyle w:val="P68B1DB1-Normal4"/>
              <w:spacing w:after="120"/>
              <w:jc w:val="both"/>
              <w:rPr>
                <w:noProof/>
              </w:rPr>
            </w:pPr>
            <w:r>
              <w:rPr>
                <w:noProof/>
              </w:rPr>
              <w:t>przywództwo naukowe/technologiczne/innowacyjne, ich potencjał innowacyjny (zarówno pod względem otwartych innowacji/otwartych danych, jak i w odniesieniu do zastrzeżonych rozwiązań), zgodność z obszarami tematycznymi lub nowatorskimi zmianami przełomowymi, ich plany translacyjne i innowacyjne, wsparcie ze strony przemysłu jako partnera dla otwartych innowacji lub użytkowników, siła działalności w zakresie rozwoju działalności gospodarczej, generowanie własności intelektualnej, jasne zasady rozróżniania otwartych i chronionych planów produkcji i licencjonowania, zdolność do opracowywania i przyjmowania doktoratów przemysłowych, powiązania z przedsięwzięciem lub innymi rodzajami funduszy w celu ułatwienia rozwoju nowych przedsiębiorstw typu start-up.</w:t>
            </w:r>
          </w:p>
          <w:p w14:paraId="5C5883C1" w14:textId="77777777" w:rsidR="004C6421" w:rsidRDefault="009D1962">
            <w:pPr>
              <w:pStyle w:val="P68B1DB1-Normal4"/>
              <w:spacing w:after="120"/>
              <w:jc w:val="both"/>
              <w:rPr>
                <w:noProof/>
              </w:rPr>
            </w:pPr>
            <w:r>
              <w:rPr>
                <w:noProof/>
              </w:rPr>
              <w:t>Procedura wyboru wymaga oceny zgodności z zasadą „nie czyń poważnych szkód” oraz, w stosownych przypadkach, strategicznej oceny oddziaływania na środowisko (SEA), w przypadku gdy oczekuje się, że projekt będzie miał spójny wpływ na terytorium.</w:t>
            </w:r>
          </w:p>
        </w:tc>
      </w:tr>
      <w:tr w:rsidR="004C6421" w14:paraId="7D7A76AF" w14:textId="77777777">
        <w:trPr>
          <w:trHeight w:val="313"/>
        </w:trPr>
        <w:tc>
          <w:tcPr>
            <w:tcW w:w="1135" w:type="dxa"/>
            <w:shd w:val="clear" w:color="auto" w:fill="C6EFCE"/>
            <w:noWrap/>
            <w:vAlign w:val="center"/>
          </w:tcPr>
          <w:p w14:paraId="480D7D8E" w14:textId="77777777" w:rsidR="004C6421" w:rsidRDefault="009D1962">
            <w:pPr>
              <w:pStyle w:val="P68B1DB1-Normal4"/>
              <w:spacing w:after="120"/>
              <w:jc w:val="center"/>
              <w:rPr>
                <w:noProof/>
              </w:rPr>
            </w:pPr>
            <w:r>
              <w:rPr>
                <w:noProof/>
              </w:rPr>
              <w:t>M4C2-18</w:t>
            </w:r>
          </w:p>
        </w:tc>
        <w:tc>
          <w:tcPr>
            <w:tcW w:w="1419" w:type="dxa"/>
            <w:shd w:val="clear" w:color="auto" w:fill="C6EFCE"/>
            <w:noWrap/>
            <w:vAlign w:val="center"/>
          </w:tcPr>
          <w:p w14:paraId="48969D3B" w14:textId="77777777" w:rsidR="004C6421" w:rsidRDefault="009D1962">
            <w:pPr>
              <w:pStyle w:val="P68B1DB1-Normal4"/>
              <w:spacing w:after="120"/>
              <w:jc w:val="center"/>
              <w:rPr>
                <w:noProof/>
              </w:rPr>
            </w:pPr>
            <w:r>
              <w:rPr>
                <w:noProof/>
              </w:rPr>
              <w:t>Invesment1.5: Ustanowienie i wzmocnienie „ekosystemów innowacji na rzecz zrównoważonego rozwoju”, budowanie „terytorialnych liderów badań i rozwoju”</w:t>
            </w:r>
          </w:p>
        </w:tc>
        <w:tc>
          <w:tcPr>
            <w:tcW w:w="1132" w:type="dxa"/>
            <w:shd w:val="clear" w:color="auto" w:fill="C6EFCE"/>
            <w:noWrap/>
            <w:vAlign w:val="center"/>
          </w:tcPr>
          <w:p w14:paraId="551AC8CF" w14:textId="67C61E52" w:rsidR="004C6421" w:rsidRDefault="00CC179E">
            <w:pPr>
              <w:pStyle w:val="P68B1DB1-Normal4"/>
              <w:spacing w:after="120"/>
              <w:jc w:val="center"/>
              <w:rPr>
                <w:noProof/>
              </w:rPr>
            </w:pPr>
            <w:r>
              <w:rPr>
                <w:noProof/>
              </w:rPr>
              <w:t>Milowy</w:t>
            </w:r>
          </w:p>
        </w:tc>
        <w:tc>
          <w:tcPr>
            <w:tcW w:w="1418" w:type="dxa"/>
            <w:shd w:val="clear" w:color="auto" w:fill="C6EFCE"/>
            <w:noWrap/>
            <w:vAlign w:val="center"/>
          </w:tcPr>
          <w:p w14:paraId="7F968802" w14:textId="77777777" w:rsidR="004C6421" w:rsidRDefault="009D1962">
            <w:pPr>
              <w:pStyle w:val="P68B1DB1-Normal4"/>
              <w:spacing w:after="120"/>
              <w:jc w:val="center"/>
              <w:rPr>
                <w:noProof/>
              </w:rPr>
            </w:pPr>
            <w:r>
              <w:rPr>
                <w:noProof/>
              </w:rPr>
              <w:t>Udzielanie zamówień na projekty dotyczące ekosystemów innowacji;</w:t>
            </w:r>
          </w:p>
        </w:tc>
        <w:tc>
          <w:tcPr>
            <w:tcW w:w="1275" w:type="dxa"/>
            <w:shd w:val="clear" w:color="auto" w:fill="C6EFCE"/>
            <w:noWrap/>
            <w:vAlign w:val="center"/>
          </w:tcPr>
          <w:p w14:paraId="4CECBA9F" w14:textId="77777777" w:rsidR="004C6421" w:rsidRDefault="009D1962">
            <w:pPr>
              <w:pStyle w:val="P68B1DB1-Normal4"/>
              <w:spacing w:after="120"/>
              <w:jc w:val="center"/>
              <w:rPr>
                <w:noProof/>
              </w:rPr>
            </w:pPr>
            <w:r>
              <w:rPr>
                <w:noProof/>
              </w:rPr>
              <w:t>Powiadomienie o udzieleniu zamówienia</w:t>
            </w:r>
          </w:p>
        </w:tc>
        <w:tc>
          <w:tcPr>
            <w:tcW w:w="1134" w:type="dxa"/>
            <w:shd w:val="clear" w:color="auto" w:fill="C6EFCE"/>
            <w:noWrap/>
            <w:vAlign w:val="center"/>
          </w:tcPr>
          <w:p w14:paraId="30C05661" w14:textId="77777777" w:rsidR="004C6421" w:rsidRDefault="009D1962">
            <w:pPr>
              <w:pStyle w:val="P68B1DB1-Normal4"/>
              <w:spacing w:after="120"/>
              <w:jc w:val="center"/>
              <w:rPr>
                <w:noProof/>
              </w:rPr>
            </w:pPr>
            <w:r>
              <w:rPr>
                <w:noProof/>
              </w:rPr>
              <w:t>NIE DOT.</w:t>
            </w:r>
          </w:p>
        </w:tc>
        <w:tc>
          <w:tcPr>
            <w:tcW w:w="993" w:type="dxa"/>
            <w:shd w:val="clear" w:color="auto" w:fill="C6EFCE"/>
            <w:noWrap/>
            <w:vAlign w:val="center"/>
          </w:tcPr>
          <w:p w14:paraId="5DBEA14D" w14:textId="77777777" w:rsidR="004C6421" w:rsidRDefault="009D1962">
            <w:pPr>
              <w:pStyle w:val="P68B1DB1-Normal4"/>
              <w:spacing w:after="120"/>
              <w:jc w:val="center"/>
              <w:rPr>
                <w:noProof/>
              </w:rPr>
            </w:pPr>
            <w:r>
              <w:rPr>
                <w:noProof/>
              </w:rPr>
              <w:t>NIE DOT.</w:t>
            </w:r>
          </w:p>
        </w:tc>
        <w:tc>
          <w:tcPr>
            <w:tcW w:w="1275" w:type="dxa"/>
            <w:shd w:val="clear" w:color="auto" w:fill="C6EFCE"/>
            <w:noWrap/>
            <w:vAlign w:val="center"/>
          </w:tcPr>
          <w:p w14:paraId="753EED8C" w14:textId="77777777" w:rsidR="004C6421" w:rsidRDefault="009D1962">
            <w:pPr>
              <w:pStyle w:val="P68B1DB1-Normal4"/>
              <w:spacing w:after="120"/>
              <w:jc w:val="center"/>
              <w:rPr>
                <w:noProof/>
              </w:rPr>
            </w:pPr>
            <w:r>
              <w:rPr>
                <w:noProof/>
              </w:rPr>
              <w:t>NIE DOT.</w:t>
            </w:r>
          </w:p>
        </w:tc>
        <w:tc>
          <w:tcPr>
            <w:tcW w:w="993" w:type="dxa"/>
            <w:shd w:val="clear" w:color="auto" w:fill="C6EFCE"/>
            <w:noWrap/>
            <w:vAlign w:val="center"/>
          </w:tcPr>
          <w:p w14:paraId="0A2C0741" w14:textId="77777777" w:rsidR="004C6421" w:rsidRDefault="009D1962">
            <w:pPr>
              <w:pStyle w:val="P68B1DB1-Normal4"/>
              <w:spacing w:after="120"/>
              <w:jc w:val="center"/>
              <w:rPr>
                <w:noProof/>
              </w:rPr>
            </w:pPr>
            <w:r>
              <w:rPr>
                <w:noProof/>
              </w:rPr>
              <w:t>II KW.</w:t>
            </w:r>
          </w:p>
        </w:tc>
        <w:tc>
          <w:tcPr>
            <w:tcW w:w="708" w:type="dxa"/>
            <w:shd w:val="clear" w:color="auto" w:fill="C6EFCE"/>
            <w:noWrap/>
            <w:vAlign w:val="center"/>
          </w:tcPr>
          <w:p w14:paraId="561EF199" w14:textId="77777777" w:rsidR="004C6421" w:rsidRDefault="009D1962">
            <w:pPr>
              <w:pStyle w:val="P68B1DB1-Normal4"/>
              <w:spacing w:after="120"/>
              <w:jc w:val="center"/>
              <w:rPr>
                <w:noProof/>
              </w:rPr>
            </w:pPr>
            <w:r>
              <w:rPr>
                <w:noProof/>
              </w:rPr>
              <w:t>2022</w:t>
            </w:r>
          </w:p>
        </w:tc>
        <w:tc>
          <w:tcPr>
            <w:tcW w:w="3686" w:type="dxa"/>
            <w:shd w:val="clear" w:color="auto" w:fill="C6EFCE"/>
            <w:noWrap/>
            <w:vAlign w:val="center"/>
          </w:tcPr>
          <w:p w14:paraId="7C276221" w14:textId="77777777" w:rsidR="004C6421" w:rsidRDefault="009D1962">
            <w:pPr>
              <w:pStyle w:val="P68B1DB1-Normal4"/>
              <w:spacing w:after="120"/>
              <w:jc w:val="both"/>
              <w:rPr>
                <w:noProof/>
              </w:rPr>
            </w:pPr>
            <w:r>
              <w:rPr>
                <w:noProof/>
              </w:rPr>
              <w:t>Powiadomienie o udzieleniu zamówień na projekty wybrane w ramach konkurencyjnych zaproszeń do składania wniosków, zgodnie z wytycznymi technicznymi dotyczącymi zasady „nie czyń poważnych szkód” (2021/C58/01) poprzez wykorzystanie listy wykluczenia oraz wymóg zgodności z odpowiednimi unijnymi i krajowymi przepisami w zakresie ochrony środowiska.</w:t>
            </w:r>
          </w:p>
          <w:p w14:paraId="0DEC8D3E" w14:textId="77777777" w:rsidR="004C6421" w:rsidRDefault="009D1962">
            <w:pPr>
              <w:pStyle w:val="P68B1DB1-Normal4"/>
              <w:spacing w:after="120"/>
              <w:jc w:val="both"/>
              <w:rPr>
                <w:noProof/>
              </w:rPr>
            </w:pPr>
            <w:r>
              <w:rPr>
                <w:noProof/>
              </w:rPr>
              <w:t>Procedura wyboru wymaga oceny zgodności z zasadą „nie czyń poważnych szkód” oraz, w stosownych przypadkach, strategicznej oceny oddziaływania na środowisko (SEA), jeżeli oczekuje się, że projekt będzie miał spójny wpływ na terytorium.</w:t>
            </w:r>
          </w:p>
          <w:p w14:paraId="46F343BD" w14:textId="77777777" w:rsidR="004C6421" w:rsidRDefault="009D1962">
            <w:pPr>
              <w:pStyle w:val="P68B1DB1-Normal4"/>
              <w:spacing w:after="120"/>
              <w:jc w:val="both"/>
              <w:rPr>
                <w:noProof/>
              </w:rPr>
            </w:pPr>
            <w:r>
              <w:rPr>
                <w:noProof/>
              </w:rPr>
              <w:t>Ośrodki krajowe tworzone są w następstwie konkurencyjnego zaproszenia do składania wniosków poprzez połączenie istniejących wiodących na świecie laboratoriów obecnych już na uniwersytetach oraz publicznych i prywatnych ośrodków badawczych, a także poprzez utworzenie nowej infrastruktury dostosowanej do potrzeb.</w:t>
            </w:r>
          </w:p>
        </w:tc>
      </w:tr>
      <w:tr w:rsidR="004C6421" w14:paraId="43F378B3" w14:textId="77777777">
        <w:trPr>
          <w:trHeight w:val="313"/>
        </w:trPr>
        <w:tc>
          <w:tcPr>
            <w:tcW w:w="1135" w:type="dxa"/>
            <w:shd w:val="clear" w:color="auto" w:fill="C6EFCE"/>
            <w:noWrap/>
            <w:vAlign w:val="center"/>
          </w:tcPr>
          <w:p w14:paraId="5E280D49" w14:textId="77777777" w:rsidR="004C6421" w:rsidRDefault="009D1962">
            <w:pPr>
              <w:pStyle w:val="P68B1DB1-Normal4"/>
              <w:jc w:val="center"/>
              <w:rPr>
                <w:noProof/>
              </w:rPr>
            </w:pPr>
            <w:r>
              <w:rPr>
                <w:noProof/>
              </w:rPr>
              <w:t>M4C2-18 Bis</w:t>
            </w:r>
          </w:p>
        </w:tc>
        <w:tc>
          <w:tcPr>
            <w:tcW w:w="1419" w:type="dxa"/>
            <w:shd w:val="clear" w:color="auto" w:fill="C6EFCE"/>
            <w:noWrap/>
            <w:vAlign w:val="center"/>
          </w:tcPr>
          <w:p w14:paraId="41929125" w14:textId="77777777" w:rsidR="004C6421" w:rsidRDefault="009D1962">
            <w:pPr>
              <w:pStyle w:val="P68B1DB1-Normal4"/>
              <w:jc w:val="center"/>
              <w:rPr>
                <w:noProof/>
              </w:rPr>
            </w:pPr>
            <w:r>
              <w:rPr>
                <w:noProof/>
              </w:rPr>
              <w:t>Invesment1.5: Ustanowienie i wzmocnienie „ekosystemów innowacji na rzecz zrównoważonego rozwoju”, budowanie „terytorialnych liderów badań i rozwoju”</w:t>
            </w:r>
          </w:p>
        </w:tc>
        <w:tc>
          <w:tcPr>
            <w:tcW w:w="1132" w:type="dxa"/>
            <w:shd w:val="clear" w:color="auto" w:fill="C6EFCE"/>
            <w:noWrap/>
            <w:vAlign w:val="center"/>
          </w:tcPr>
          <w:p w14:paraId="2ED71A4D" w14:textId="77777777" w:rsidR="004C6421" w:rsidRDefault="009D1962">
            <w:pPr>
              <w:pStyle w:val="P68B1DB1-Normal4"/>
              <w:jc w:val="center"/>
              <w:rPr>
                <w:noProof/>
              </w:rPr>
            </w:pPr>
            <w:r>
              <w:rPr>
                <w:noProof/>
              </w:rPr>
              <w:t>Cel</w:t>
            </w:r>
          </w:p>
        </w:tc>
        <w:tc>
          <w:tcPr>
            <w:tcW w:w="1418" w:type="dxa"/>
            <w:shd w:val="clear" w:color="auto" w:fill="C6EFCE"/>
            <w:noWrap/>
            <w:vAlign w:val="center"/>
          </w:tcPr>
          <w:p w14:paraId="0D18B7FE" w14:textId="77777777" w:rsidR="004C6421" w:rsidRDefault="009D1962">
            <w:pPr>
              <w:pStyle w:val="P68B1DB1-Normal4"/>
              <w:jc w:val="center"/>
              <w:rPr>
                <w:noProof/>
              </w:rPr>
            </w:pPr>
            <w:r>
              <w:rPr>
                <w:noProof/>
              </w:rPr>
              <w:t>Działania realizowane przez ekosystemy innowacji</w:t>
            </w:r>
          </w:p>
        </w:tc>
        <w:tc>
          <w:tcPr>
            <w:tcW w:w="1275" w:type="dxa"/>
            <w:shd w:val="clear" w:color="auto" w:fill="C6EFCE"/>
            <w:noWrap/>
            <w:vAlign w:val="center"/>
          </w:tcPr>
          <w:p w14:paraId="085751B6" w14:textId="77777777" w:rsidR="004C6421" w:rsidRDefault="009D1962">
            <w:pPr>
              <w:pStyle w:val="P68B1DB1-Normal4"/>
              <w:jc w:val="center"/>
              <w:rPr>
                <w:noProof/>
              </w:rPr>
            </w:pPr>
            <w:r>
              <w:rPr>
                <w:noProof/>
              </w:rPr>
              <w:t>NIE DOTYCZY.</w:t>
            </w:r>
          </w:p>
        </w:tc>
        <w:tc>
          <w:tcPr>
            <w:tcW w:w="1134" w:type="dxa"/>
            <w:shd w:val="clear" w:color="auto" w:fill="C6EFCE"/>
            <w:noWrap/>
            <w:vAlign w:val="center"/>
          </w:tcPr>
          <w:p w14:paraId="18E65CB5" w14:textId="77777777" w:rsidR="004C6421" w:rsidRDefault="009D1962">
            <w:pPr>
              <w:pStyle w:val="P68B1DB1-Normal4"/>
              <w:jc w:val="center"/>
              <w:rPr>
                <w:noProof/>
              </w:rPr>
            </w:pPr>
            <w:r>
              <w:rPr>
                <w:noProof/>
              </w:rPr>
              <w:t>Numer</w:t>
            </w:r>
          </w:p>
        </w:tc>
        <w:tc>
          <w:tcPr>
            <w:tcW w:w="993" w:type="dxa"/>
            <w:shd w:val="clear" w:color="auto" w:fill="C6EFCE"/>
            <w:noWrap/>
            <w:vAlign w:val="center"/>
          </w:tcPr>
          <w:p w14:paraId="587F37F6" w14:textId="77777777" w:rsidR="004C6421" w:rsidRDefault="009D1962">
            <w:pPr>
              <w:pStyle w:val="P68B1DB1-Normal4"/>
              <w:jc w:val="center"/>
              <w:rPr>
                <w:noProof/>
              </w:rPr>
            </w:pPr>
            <w:r>
              <w:rPr>
                <w:noProof/>
              </w:rPr>
              <w:t>0</w:t>
            </w:r>
          </w:p>
        </w:tc>
        <w:tc>
          <w:tcPr>
            <w:tcW w:w="1275" w:type="dxa"/>
            <w:shd w:val="clear" w:color="auto" w:fill="C6EFCE"/>
            <w:noWrap/>
            <w:vAlign w:val="center"/>
          </w:tcPr>
          <w:p w14:paraId="2392B8A7" w14:textId="77777777" w:rsidR="004C6421" w:rsidRDefault="009D1962">
            <w:pPr>
              <w:pStyle w:val="P68B1DB1-Normal4"/>
              <w:jc w:val="center"/>
              <w:rPr>
                <w:noProof/>
              </w:rPr>
            </w:pPr>
            <w:r>
              <w:rPr>
                <w:noProof/>
              </w:rPr>
              <w:t>10</w:t>
            </w:r>
          </w:p>
        </w:tc>
        <w:tc>
          <w:tcPr>
            <w:tcW w:w="993" w:type="dxa"/>
            <w:shd w:val="clear" w:color="auto" w:fill="C6EFCE"/>
            <w:noWrap/>
            <w:vAlign w:val="center"/>
          </w:tcPr>
          <w:p w14:paraId="4EC2A1CE" w14:textId="77777777" w:rsidR="004C6421" w:rsidRDefault="009D1962">
            <w:pPr>
              <w:pStyle w:val="P68B1DB1-Normal4"/>
              <w:jc w:val="center"/>
              <w:rPr>
                <w:noProof/>
              </w:rPr>
            </w:pPr>
            <w:r>
              <w:rPr>
                <w:noProof/>
              </w:rPr>
              <w:t>II KW.</w:t>
            </w:r>
          </w:p>
        </w:tc>
        <w:tc>
          <w:tcPr>
            <w:tcW w:w="708" w:type="dxa"/>
            <w:shd w:val="clear" w:color="auto" w:fill="C6EFCE"/>
            <w:noWrap/>
            <w:vAlign w:val="center"/>
          </w:tcPr>
          <w:p w14:paraId="1BC62C16" w14:textId="77777777" w:rsidR="004C6421" w:rsidRDefault="009D1962">
            <w:pPr>
              <w:pStyle w:val="P68B1DB1-Normal4"/>
              <w:jc w:val="center"/>
              <w:rPr>
                <w:noProof/>
              </w:rPr>
            </w:pPr>
            <w:r>
              <w:rPr>
                <w:noProof/>
              </w:rPr>
              <w:t>2026</w:t>
            </w:r>
          </w:p>
        </w:tc>
        <w:tc>
          <w:tcPr>
            <w:tcW w:w="3686" w:type="dxa"/>
            <w:shd w:val="clear" w:color="auto" w:fill="C6EFCE"/>
            <w:noWrap/>
            <w:vAlign w:val="center"/>
          </w:tcPr>
          <w:p w14:paraId="1C961013" w14:textId="77777777" w:rsidR="004C6421" w:rsidRDefault="009D1962">
            <w:pPr>
              <w:pStyle w:val="P68B1DB1-Normal4"/>
              <w:jc w:val="both"/>
              <w:rPr>
                <w:noProof/>
              </w:rPr>
            </w:pPr>
            <w:r>
              <w:rPr>
                <w:noProof/>
              </w:rPr>
              <w:t>Co najmniej 10 ekosystemów innowacji zakończyło działalność określoną w odpowiednim zaproszeniu do składania projektów.</w:t>
            </w:r>
          </w:p>
        </w:tc>
      </w:tr>
      <w:tr w:rsidR="004C6421" w14:paraId="58931411" w14:textId="77777777">
        <w:trPr>
          <w:trHeight w:val="313"/>
        </w:trPr>
        <w:tc>
          <w:tcPr>
            <w:tcW w:w="1135" w:type="dxa"/>
            <w:shd w:val="clear" w:color="auto" w:fill="C6EFCE"/>
            <w:noWrap/>
            <w:vAlign w:val="center"/>
          </w:tcPr>
          <w:p w14:paraId="6E6A5606" w14:textId="77777777" w:rsidR="004C6421" w:rsidRDefault="009D1962">
            <w:pPr>
              <w:pStyle w:val="P68B1DB1-Normal4"/>
              <w:jc w:val="center"/>
              <w:rPr>
                <w:noProof/>
              </w:rPr>
            </w:pPr>
            <w:r>
              <w:rPr>
                <w:noProof/>
              </w:rPr>
              <w:t>M4C2-19</w:t>
            </w:r>
          </w:p>
        </w:tc>
        <w:tc>
          <w:tcPr>
            <w:tcW w:w="1419" w:type="dxa"/>
            <w:shd w:val="clear" w:color="auto" w:fill="C6EFCE"/>
            <w:noWrap/>
            <w:vAlign w:val="center"/>
          </w:tcPr>
          <w:p w14:paraId="00730CB5" w14:textId="77777777" w:rsidR="004C6421" w:rsidRDefault="009D1962">
            <w:pPr>
              <w:pStyle w:val="P68B1DB1-Normal4"/>
              <w:jc w:val="center"/>
              <w:rPr>
                <w:noProof/>
              </w:rPr>
            </w:pPr>
            <w:r>
              <w:rPr>
                <w:noProof/>
              </w:rPr>
              <w:t>Inwestycje 1.4: Wzmocnienie struktur badawczych i wspieranie tworzenia „krajowych liderów badań i rozwoju” w zakresie niektórych kluczowych technologii prorozwojowych</w:t>
            </w:r>
          </w:p>
        </w:tc>
        <w:tc>
          <w:tcPr>
            <w:tcW w:w="1132" w:type="dxa"/>
            <w:shd w:val="clear" w:color="auto" w:fill="C6EFCE"/>
            <w:noWrap/>
            <w:vAlign w:val="center"/>
          </w:tcPr>
          <w:p w14:paraId="58BB3E37" w14:textId="368612EC" w:rsidR="004C6421" w:rsidRDefault="00CC179E">
            <w:pPr>
              <w:pStyle w:val="P68B1DB1-Normal4"/>
              <w:jc w:val="center"/>
              <w:rPr>
                <w:noProof/>
              </w:rPr>
            </w:pPr>
            <w:r>
              <w:rPr>
                <w:noProof/>
              </w:rPr>
              <w:t>Milowy</w:t>
            </w:r>
          </w:p>
        </w:tc>
        <w:tc>
          <w:tcPr>
            <w:tcW w:w="1418" w:type="dxa"/>
            <w:shd w:val="clear" w:color="auto" w:fill="C6EFCE"/>
            <w:noWrap/>
            <w:vAlign w:val="center"/>
          </w:tcPr>
          <w:p w14:paraId="224EA23E" w14:textId="77777777" w:rsidR="004C6421" w:rsidRDefault="009D1962">
            <w:pPr>
              <w:pStyle w:val="P68B1DB1-Normal4"/>
              <w:jc w:val="center"/>
              <w:rPr>
                <w:noProof/>
              </w:rPr>
            </w:pPr>
            <w:r>
              <w:rPr>
                <w:noProof/>
              </w:rPr>
              <w:t>Udzielanie zamówień na projekty dotyczące krajowych liderów badań i rozwoju w zakresie kluczowych technologii prorozwojowych</w:t>
            </w:r>
          </w:p>
        </w:tc>
        <w:tc>
          <w:tcPr>
            <w:tcW w:w="1275" w:type="dxa"/>
            <w:shd w:val="clear" w:color="auto" w:fill="C6EFCE"/>
            <w:noWrap/>
            <w:vAlign w:val="center"/>
          </w:tcPr>
          <w:p w14:paraId="3DB2F6CC" w14:textId="77777777" w:rsidR="004C6421" w:rsidRDefault="009D1962">
            <w:pPr>
              <w:pStyle w:val="P68B1DB1-Normal4"/>
              <w:jc w:val="center"/>
              <w:rPr>
                <w:noProof/>
              </w:rPr>
            </w:pPr>
            <w:r>
              <w:rPr>
                <w:noProof/>
              </w:rPr>
              <w:t>Powiadomienie o udzieleniu zamówienia</w:t>
            </w:r>
          </w:p>
        </w:tc>
        <w:tc>
          <w:tcPr>
            <w:tcW w:w="1134" w:type="dxa"/>
            <w:shd w:val="clear" w:color="auto" w:fill="C6EFCE"/>
            <w:noWrap/>
            <w:vAlign w:val="center"/>
          </w:tcPr>
          <w:p w14:paraId="15B2B486" w14:textId="77777777" w:rsidR="004C6421" w:rsidRDefault="009D1962">
            <w:pPr>
              <w:pStyle w:val="P68B1DB1-Normal4"/>
              <w:jc w:val="center"/>
              <w:rPr>
                <w:noProof/>
              </w:rPr>
            </w:pPr>
            <w:r>
              <w:rPr>
                <w:noProof/>
              </w:rPr>
              <w:t>NIE DOT.</w:t>
            </w:r>
          </w:p>
        </w:tc>
        <w:tc>
          <w:tcPr>
            <w:tcW w:w="993" w:type="dxa"/>
            <w:shd w:val="clear" w:color="auto" w:fill="C6EFCE"/>
            <w:noWrap/>
            <w:vAlign w:val="center"/>
          </w:tcPr>
          <w:p w14:paraId="03C425F1" w14:textId="77777777" w:rsidR="004C6421" w:rsidRDefault="009D1962">
            <w:pPr>
              <w:pStyle w:val="P68B1DB1-Normal4"/>
              <w:jc w:val="center"/>
              <w:rPr>
                <w:noProof/>
              </w:rPr>
            </w:pPr>
            <w:r>
              <w:rPr>
                <w:noProof/>
              </w:rPr>
              <w:t>NIE DOT.</w:t>
            </w:r>
          </w:p>
        </w:tc>
        <w:tc>
          <w:tcPr>
            <w:tcW w:w="1275" w:type="dxa"/>
            <w:shd w:val="clear" w:color="auto" w:fill="C6EFCE"/>
            <w:noWrap/>
            <w:vAlign w:val="center"/>
          </w:tcPr>
          <w:p w14:paraId="16F036F1" w14:textId="77777777" w:rsidR="004C6421" w:rsidRDefault="009D1962">
            <w:pPr>
              <w:pStyle w:val="P68B1DB1-Normal4"/>
              <w:jc w:val="center"/>
              <w:rPr>
                <w:noProof/>
              </w:rPr>
            </w:pPr>
            <w:r>
              <w:rPr>
                <w:noProof/>
              </w:rPr>
              <w:t>N</w:t>
            </w:r>
          </w:p>
        </w:tc>
        <w:tc>
          <w:tcPr>
            <w:tcW w:w="993" w:type="dxa"/>
            <w:shd w:val="clear" w:color="auto" w:fill="C6EFCE"/>
            <w:noWrap/>
            <w:vAlign w:val="center"/>
          </w:tcPr>
          <w:p w14:paraId="18786B5C" w14:textId="77777777" w:rsidR="004C6421" w:rsidRDefault="009D1962">
            <w:pPr>
              <w:pStyle w:val="P68B1DB1-Normal4"/>
              <w:jc w:val="center"/>
              <w:rPr>
                <w:noProof/>
              </w:rPr>
            </w:pPr>
            <w:r>
              <w:rPr>
                <w:noProof/>
              </w:rPr>
              <w:t>II KW.</w:t>
            </w:r>
          </w:p>
        </w:tc>
        <w:tc>
          <w:tcPr>
            <w:tcW w:w="708" w:type="dxa"/>
            <w:shd w:val="clear" w:color="auto" w:fill="C6EFCE"/>
            <w:noWrap/>
            <w:vAlign w:val="center"/>
          </w:tcPr>
          <w:p w14:paraId="5EBB578D" w14:textId="77777777" w:rsidR="004C6421" w:rsidRDefault="009D1962">
            <w:pPr>
              <w:pStyle w:val="P68B1DB1-Normal4"/>
              <w:jc w:val="center"/>
              <w:rPr>
                <w:noProof/>
              </w:rPr>
            </w:pPr>
            <w:r>
              <w:rPr>
                <w:noProof/>
              </w:rPr>
              <w:t>2022</w:t>
            </w:r>
          </w:p>
        </w:tc>
        <w:tc>
          <w:tcPr>
            <w:tcW w:w="3686" w:type="dxa"/>
            <w:shd w:val="clear" w:color="auto" w:fill="C6EFCE"/>
            <w:noWrap/>
            <w:vAlign w:val="center"/>
          </w:tcPr>
          <w:p w14:paraId="541A9FBA" w14:textId="77777777" w:rsidR="004C6421" w:rsidRDefault="009D1962">
            <w:pPr>
              <w:pStyle w:val="P68B1DB1-Normal4"/>
              <w:spacing w:after="120"/>
              <w:jc w:val="both"/>
              <w:rPr>
                <w:noProof/>
              </w:rPr>
            </w:pPr>
            <w:r>
              <w:rPr>
                <w:noProof/>
              </w:rPr>
              <w:t>Powiadomienie o udzieleniu zamówień na projekty wybrane w ramach konkurencyjnych zaproszeń do składania wniosków, zgodnie z wytycznymi technicznymi dotyczącymi zasady „nie czyń poważnych szkód” (2021/C58/01) poprzez wykorzystanie listy wykluczenia oraz wymóg zgodności z odpowiednimi unijnymi i krajowymi przepisami w zakresie ochrony środowiska.</w:t>
            </w:r>
          </w:p>
          <w:p w14:paraId="1C6E84CE" w14:textId="77777777" w:rsidR="004C6421" w:rsidRDefault="009D1962">
            <w:pPr>
              <w:pStyle w:val="P68B1DB1-Normal4"/>
              <w:spacing w:after="120"/>
              <w:jc w:val="both"/>
              <w:rPr>
                <w:noProof/>
              </w:rPr>
            </w:pPr>
            <w:r>
              <w:rPr>
                <w:noProof/>
              </w:rPr>
              <w:t>Projekty wybiera się w przypadku 30 % zasobów jako interwencje „Procesy badań naukowych i innowacji, transfer technologii i współpraca między przedsiębiorstwami koncentrującymi się na gospodarce niskoemisyjnej, odporności i przystosowaniu się do zmiany klimatu” (IF022), a w przypadku 15 % zasobów jako interwencje „Procesy badań naukowych i innowacji, transfer technologii i współpraca między przedsiębiorstwami koncentrującymi się na gospodarce o obiegu zamkniętym” (IF023).</w:t>
            </w:r>
          </w:p>
          <w:p w14:paraId="56E98B55" w14:textId="77777777" w:rsidR="004C6421" w:rsidRDefault="009D1962">
            <w:pPr>
              <w:pStyle w:val="P68B1DB1-Normal4"/>
              <w:spacing w:after="120"/>
              <w:jc w:val="both"/>
              <w:rPr>
                <w:noProof/>
              </w:rPr>
            </w:pPr>
            <w:r>
              <w:rPr>
                <w:noProof/>
              </w:rPr>
              <w:t>Projekty ocenia się z uwzględnieniem ich wykonalności, trwałości, finansowania z innych źródeł (takich jak fundusze regionalne), zaangażowania sektora produkcyjnego, jakości partnerów oraz wpływu na zrównoważony rozwój społeczny i środowiskowy. Zaproszenie do składania wniosków o finansowanie projektów jako ekosystemów innowacji. Procedura wyboru wymaga oceny zgodności z zasadą „nie czyń poważnych szkód” oraz, w stosownych przypadkach, strategicznej oceny oddziaływania na środowisko (SEA), jeżeli oczekuje się, że projekt będzie miał spójny wpływ na terytorium.</w:t>
            </w:r>
          </w:p>
        </w:tc>
      </w:tr>
      <w:tr w:rsidR="004C6421" w14:paraId="7C329C9A" w14:textId="77777777">
        <w:trPr>
          <w:trHeight w:val="313"/>
        </w:trPr>
        <w:tc>
          <w:tcPr>
            <w:tcW w:w="1135" w:type="dxa"/>
            <w:shd w:val="clear" w:color="auto" w:fill="C6EFCE"/>
            <w:noWrap/>
            <w:vAlign w:val="center"/>
            <w:hideMark/>
          </w:tcPr>
          <w:p w14:paraId="1D75C85D" w14:textId="77777777" w:rsidR="004C6421" w:rsidRDefault="009D1962">
            <w:pPr>
              <w:pStyle w:val="P68B1DB1-Normal4"/>
              <w:jc w:val="center"/>
              <w:rPr>
                <w:noProof/>
              </w:rPr>
            </w:pPr>
            <w:r>
              <w:rPr>
                <w:noProof/>
              </w:rPr>
              <w:t>M4C2-20</w:t>
            </w:r>
          </w:p>
        </w:tc>
        <w:tc>
          <w:tcPr>
            <w:tcW w:w="1419" w:type="dxa"/>
            <w:shd w:val="clear" w:color="auto" w:fill="C6EFCE"/>
            <w:noWrap/>
            <w:vAlign w:val="center"/>
            <w:hideMark/>
          </w:tcPr>
          <w:p w14:paraId="4A9458BF" w14:textId="77777777" w:rsidR="004C6421" w:rsidRDefault="009D1962">
            <w:pPr>
              <w:pStyle w:val="P68B1DB1-Normal4"/>
              <w:jc w:val="center"/>
              <w:rPr>
                <w:noProof/>
              </w:rPr>
            </w:pPr>
            <w:r>
              <w:rPr>
                <w:noProof/>
              </w:rPr>
              <w:t>Inwestycje 3.2: Finansowanie przedsiębiorstw typu start-up</w:t>
            </w:r>
          </w:p>
        </w:tc>
        <w:tc>
          <w:tcPr>
            <w:tcW w:w="1132" w:type="dxa"/>
            <w:shd w:val="clear" w:color="auto" w:fill="C6EFCE"/>
            <w:noWrap/>
            <w:vAlign w:val="center"/>
            <w:hideMark/>
          </w:tcPr>
          <w:p w14:paraId="381D83BC" w14:textId="5090A71F" w:rsidR="004C6421" w:rsidRDefault="00CC179E">
            <w:pPr>
              <w:pStyle w:val="P68B1DB1-Normal4"/>
              <w:jc w:val="center"/>
              <w:rPr>
                <w:noProof/>
              </w:rPr>
            </w:pPr>
            <w:r>
              <w:rPr>
                <w:noProof/>
              </w:rPr>
              <w:t>Milowy</w:t>
            </w:r>
          </w:p>
        </w:tc>
        <w:tc>
          <w:tcPr>
            <w:tcW w:w="1418" w:type="dxa"/>
            <w:shd w:val="clear" w:color="auto" w:fill="C6EFCE"/>
            <w:noWrap/>
            <w:vAlign w:val="center"/>
            <w:hideMark/>
          </w:tcPr>
          <w:p w14:paraId="5F538FCC" w14:textId="77777777" w:rsidR="004C6421" w:rsidRDefault="009D1962">
            <w:pPr>
              <w:pStyle w:val="P68B1DB1-Normal4"/>
              <w:jc w:val="center"/>
              <w:rPr>
                <w:noProof/>
              </w:rPr>
            </w:pPr>
            <w:r>
              <w:rPr>
                <w:noProof/>
              </w:rPr>
              <w:t>Umowa między rządem IT a partnerem wykonawczym Cassa Depositi e Prestiti (CDP) ustanawiająca instrument finansowy</w:t>
            </w:r>
          </w:p>
        </w:tc>
        <w:tc>
          <w:tcPr>
            <w:tcW w:w="1275" w:type="dxa"/>
            <w:shd w:val="clear" w:color="auto" w:fill="C6EFCE"/>
            <w:noWrap/>
            <w:vAlign w:val="center"/>
            <w:hideMark/>
          </w:tcPr>
          <w:p w14:paraId="23C07069" w14:textId="77777777" w:rsidR="004C6421" w:rsidRDefault="009D1962">
            <w:pPr>
              <w:pStyle w:val="P68B1DB1-Normal4"/>
              <w:jc w:val="center"/>
              <w:rPr>
                <w:noProof/>
              </w:rPr>
            </w:pPr>
            <w:r>
              <w:rPr>
                <w:noProof/>
              </w:rPr>
              <w:t>Umowa została podpisana przez rząd włoski i Cassa Depositi e Prestiti. NIE DOT.</w:t>
            </w:r>
          </w:p>
        </w:tc>
        <w:tc>
          <w:tcPr>
            <w:tcW w:w="1134" w:type="dxa"/>
            <w:shd w:val="clear" w:color="auto" w:fill="C6EFCE"/>
            <w:noWrap/>
            <w:vAlign w:val="center"/>
            <w:hideMark/>
          </w:tcPr>
          <w:p w14:paraId="28A523D1" w14:textId="77777777" w:rsidR="004C6421" w:rsidRDefault="009D1962">
            <w:pPr>
              <w:pStyle w:val="P68B1DB1-Normal4"/>
              <w:jc w:val="center"/>
              <w:rPr>
                <w:noProof/>
              </w:rPr>
            </w:pPr>
            <w:r>
              <w:rPr>
                <w:noProof/>
              </w:rPr>
              <w:t>NIE DOT.</w:t>
            </w:r>
          </w:p>
        </w:tc>
        <w:tc>
          <w:tcPr>
            <w:tcW w:w="993" w:type="dxa"/>
            <w:shd w:val="clear" w:color="auto" w:fill="C6EFCE"/>
            <w:noWrap/>
            <w:vAlign w:val="center"/>
            <w:hideMark/>
          </w:tcPr>
          <w:p w14:paraId="625BE131" w14:textId="77777777" w:rsidR="004C6421" w:rsidRDefault="009D1962">
            <w:pPr>
              <w:pStyle w:val="P68B1DB1-Normal4"/>
              <w:jc w:val="center"/>
              <w:rPr>
                <w:noProof/>
              </w:rPr>
            </w:pPr>
            <w:r>
              <w:rPr>
                <w:noProof/>
              </w:rPr>
              <w:t>NIE DOT.</w:t>
            </w:r>
          </w:p>
        </w:tc>
        <w:tc>
          <w:tcPr>
            <w:tcW w:w="1275" w:type="dxa"/>
            <w:shd w:val="clear" w:color="auto" w:fill="C6EFCE"/>
            <w:noWrap/>
            <w:vAlign w:val="center"/>
            <w:hideMark/>
          </w:tcPr>
          <w:p w14:paraId="79DAED96" w14:textId="77777777" w:rsidR="004C6421" w:rsidRDefault="009D1962">
            <w:pPr>
              <w:pStyle w:val="P68B1DB1-Normal4"/>
              <w:jc w:val="center"/>
              <w:rPr>
                <w:noProof/>
              </w:rPr>
            </w:pPr>
            <w:r>
              <w:rPr>
                <w:noProof/>
              </w:rPr>
              <w:t>NIE DOT.</w:t>
            </w:r>
          </w:p>
        </w:tc>
        <w:tc>
          <w:tcPr>
            <w:tcW w:w="993" w:type="dxa"/>
            <w:shd w:val="clear" w:color="auto" w:fill="C6EFCE"/>
            <w:noWrap/>
            <w:vAlign w:val="center"/>
            <w:hideMark/>
          </w:tcPr>
          <w:p w14:paraId="5ED99D0F" w14:textId="77777777" w:rsidR="004C6421" w:rsidRDefault="009D1962">
            <w:pPr>
              <w:pStyle w:val="P68B1DB1-Normal4"/>
              <w:jc w:val="center"/>
              <w:rPr>
                <w:noProof/>
              </w:rPr>
            </w:pPr>
            <w:r>
              <w:rPr>
                <w:noProof/>
              </w:rPr>
              <w:t>II KW.</w:t>
            </w:r>
          </w:p>
        </w:tc>
        <w:tc>
          <w:tcPr>
            <w:tcW w:w="708" w:type="dxa"/>
            <w:shd w:val="clear" w:color="auto" w:fill="C6EFCE"/>
            <w:noWrap/>
            <w:vAlign w:val="center"/>
            <w:hideMark/>
          </w:tcPr>
          <w:p w14:paraId="5D6B352B" w14:textId="77777777" w:rsidR="004C6421" w:rsidRDefault="009D1962">
            <w:pPr>
              <w:pStyle w:val="P68B1DB1-Normal4"/>
              <w:jc w:val="center"/>
              <w:rPr>
                <w:noProof/>
              </w:rPr>
            </w:pPr>
            <w:r>
              <w:rPr>
                <w:noProof/>
              </w:rPr>
              <w:t>2022</w:t>
            </w:r>
          </w:p>
        </w:tc>
        <w:tc>
          <w:tcPr>
            <w:tcW w:w="3686" w:type="dxa"/>
            <w:shd w:val="clear" w:color="auto" w:fill="C6EFCE"/>
            <w:noWrap/>
            <w:vAlign w:val="center"/>
            <w:hideMark/>
          </w:tcPr>
          <w:p w14:paraId="74E3A1F6" w14:textId="77777777" w:rsidR="004C6421" w:rsidRDefault="009D1962">
            <w:pPr>
              <w:pStyle w:val="P68B1DB1-Normal4"/>
              <w:jc w:val="both"/>
              <w:rPr>
                <w:noProof/>
              </w:rPr>
            </w:pPr>
            <w:r>
              <w:rPr>
                <w:noProof/>
              </w:rPr>
              <w:t>W polityce/strategii inwestycyjnej instrumentu finansowego uwzględnia się następujące elementy:</w:t>
            </w:r>
          </w:p>
          <w:p w14:paraId="5BC9576C" w14:textId="77777777" w:rsidR="004C6421" w:rsidRDefault="009D1962">
            <w:pPr>
              <w:ind w:left="176" w:hanging="176"/>
              <w:jc w:val="both"/>
              <w:rPr>
                <w:rFonts w:ascii="Arial Narrow" w:hAnsi="Arial Narrow"/>
                <w:noProof/>
                <w:color w:val="006100"/>
                <w:sz w:val="20"/>
              </w:rPr>
            </w:pPr>
            <w:r>
              <w:rPr>
                <w:rFonts w:ascii="Arial Narrow" w:hAnsi="Arial Narrow"/>
                <w:noProof/>
                <w:color w:val="006100"/>
                <w:sz w:val="20"/>
              </w:rPr>
              <w:t>-</w:t>
            </w:r>
            <w:r>
              <w:rPr>
                <w:noProof/>
              </w:rPr>
              <w:t xml:space="preserve"> </w:t>
            </w:r>
            <w:r>
              <w:rPr>
                <w:rFonts w:ascii="Arial Narrow" w:hAnsi="Arial Narrow"/>
                <w:noProof/>
                <w:color w:val="006100"/>
                <w:sz w:val="20"/>
              </w:rPr>
              <w:t>Cele inwestycyjne (wielkość funduszu, liczba operacji, kwoty, które mają być wspierane w czasie, zróżnicowane w zależności od beneficjentów, takich jak MŚP i spółki o średniej kapitalizacji/duże przedsiębiorstwa)</w:t>
            </w:r>
          </w:p>
          <w:p w14:paraId="562BAA37" w14:textId="77777777" w:rsidR="004C6421" w:rsidRDefault="009D1962">
            <w:pPr>
              <w:ind w:left="176" w:hanging="176"/>
              <w:jc w:val="both"/>
              <w:rPr>
                <w:rFonts w:ascii="Arial Narrow" w:hAnsi="Arial Narrow"/>
                <w:noProof/>
                <w:color w:val="006100"/>
                <w:sz w:val="20"/>
              </w:rPr>
            </w:pPr>
            <w:r>
              <w:rPr>
                <w:rFonts w:ascii="Arial Narrow" w:hAnsi="Arial Narrow"/>
                <w:noProof/>
                <w:color w:val="006100"/>
                <w:sz w:val="20"/>
              </w:rPr>
              <w:t>-</w:t>
            </w:r>
            <w:r>
              <w:rPr>
                <w:noProof/>
              </w:rPr>
              <w:t xml:space="preserve"> </w:t>
            </w:r>
            <w:r>
              <w:rPr>
                <w:rFonts w:ascii="Arial Narrow" w:hAnsi="Arial Narrow"/>
                <w:noProof/>
                <w:color w:val="006100"/>
                <w:sz w:val="20"/>
              </w:rPr>
              <w:t>Zakres i kwalifikujący się beneficjenci</w:t>
            </w:r>
          </w:p>
          <w:p w14:paraId="642DF3F8" w14:textId="77777777" w:rsidR="004C6421" w:rsidRDefault="009D1962">
            <w:pPr>
              <w:ind w:left="176" w:hanging="176"/>
              <w:jc w:val="both"/>
              <w:rPr>
                <w:rFonts w:ascii="Arial Narrow" w:hAnsi="Arial Narrow"/>
                <w:noProof/>
                <w:color w:val="006100"/>
                <w:sz w:val="20"/>
              </w:rPr>
            </w:pPr>
            <w:r>
              <w:rPr>
                <w:rFonts w:ascii="Arial Narrow" w:hAnsi="Arial Narrow"/>
                <w:noProof/>
                <w:color w:val="006100"/>
                <w:sz w:val="20"/>
              </w:rPr>
              <w:t>-</w:t>
            </w:r>
            <w:r>
              <w:rPr>
                <w:noProof/>
              </w:rPr>
              <w:t xml:space="preserve"> </w:t>
            </w:r>
            <w:r>
              <w:rPr>
                <w:rFonts w:ascii="Arial Narrow" w:hAnsi="Arial Narrow"/>
                <w:noProof/>
                <w:color w:val="006100"/>
                <w:sz w:val="20"/>
              </w:rPr>
              <w:t>Kwalifikujący się pośrednicy finansowi i proces wyboru</w:t>
            </w:r>
          </w:p>
          <w:p w14:paraId="51F551D3" w14:textId="77777777" w:rsidR="004C6421" w:rsidRDefault="009D1962">
            <w:pPr>
              <w:ind w:left="176" w:hanging="176"/>
              <w:jc w:val="both"/>
              <w:rPr>
                <w:rFonts w:ascii="Arial Narrow" w:hAnsi="Arial Narrow"/>
                <w:noProof/>
                <w:color w:val="006100"/>
                <w:sz w:val="20"/>
              </w:rPr>
            </w:pPr>
            <w:r>
              <w:rPr>
                <w:rFonts w:ascii="Arial Narrow" w:hAnsi="Arial Narrow"/>
                <w:noProof/>
                <w:color w:val="006100"/>
                <w:sz w:val="20"/>
              </w:rPr>
              <w:t>-</w:t>
            </w:r>
            <w:r>
              <w:rPr>
                <w:noProof/>
              </w:rPr>
              <w:t xml:space="preserve"> </w:t>
            </w:r>
            <w:r>
              <w:rPr>
                <w:rFonts w:ascii="Arial Narrow" w:hAnsi="Arial Narrow"/>
                <w:noProof/>
                <w:color w:val="006100"/>
                <w:sz w:val="20"/>
              </w:rPr>
              <w:t>Rodzaj udzielanego wsparcia (np. gwarancje, pożyczki, kapitał własny i quasi-kapitał własny)</w:t>
            </w:r>
          </w:p>
          <w:p w14:paraId="4B50F899" w14:textId="77777777" w:rsidR="004C6421" w:rsidRDefault="009D1962">
            <w:pPr>
              <w:ind w:left="176" w:hanging="176"/>
              <w:jc w:val="both"/>
              <w:rPr>
                <w:rFonts w:ascii="Arial Narrow" w:hAnsi="Arial Narrow"/>
                <w:noProof/>
                <w:color w:val="006100"/>
                <w:sz w:val="20"/>
              </w:rPr>
            </w:pPr>
            <w:r>
              <w:rPr>
                <w:rFonts w:ascii="Arial Narrow" w:hAnsi="Arial Narrow"/>
                <w:noProof/>
                <w:color w:val="006100"/>
                <w:sz w:val="20"/>
              </w:rPr>
              <w:t>-</w:t>
            </w:r>
            <w:r>
              <w:rPr>
                <w:noProof/>
              </w:rPr>
              <w:t xml:space="preserve"> </w:t>
            </w:r>
            <w:r>
              <w:rPr>
                <w:rFonts w:ascii="Arial Narrow" w:hAnsi="Arial Narrow"/>
                <w:noProof/>
                <w:color w:val="006100"/>
                <w:sz w:val="20"/>
              </w:rPr>
              <w:t>Ukierunkowane ryzyko/zyski dla każdego rodzaju inwestora</w:t>
            </w:r>
          </w:p>
          <w:p w14:paraId="7C5DE377" w14:textId="77777777" w:rsidR="004C6421" w:rsidRDefault="009D1962">
            <w:pPr>
              <w:ind w:left="176" w:hanging="176"/>
              <w:jc w:val="both"/>
              <w:rPr>
                <w:rFonts w:ascii="Arial Narrow" w:hAnsi="Arial Narrow"/>
                <w:noProof/>
                <w:color w:val="006100"/>
                <w:sz w:val="20"/>
              </w:rPr>
            </w:pPr>
            <w:r>
              <w:rPr>
                <w:rFonts w:ascii="Arial Narrow" w:hAnsi="Arial Narrow"/>
                <w:noProof/>
                <w:color w:val="006100"/>
                <w:sz w:val="20"/>
              </w:rPr>
              <w:t>-</w:t>
            </w:r>
            <w:r>
              <w:rPr>
                <w:noProof/>
              </w:rPr>
              <w:t xml:space="preserve"> </w:t>
            </w:r>
            <w:r>
              <w:rPr>
                <w:rFonts w:ascii="Arial Narrow" w:hAnsi="Arial Narrow"/>
                <w:noProof/>
                <w:color w:val="006100"/>
                <w:sz w:val="20"/>
              </w:rPr>
              <w:t>Polityka w zakresie ryzyka i polityka przeciwdziałania praniu pieniędzy</w:t>
            </w:r>
          </w:p>
          <w:p w14:paraId="38EC3CEC" w14:textId="77777777" w:rsidR="004C6421" w:rsidRDefault="009D1962">
            <w:pPr>
              <w:ind w:left="176" w:hanging="176"/>
              <w:jc w:val="both"/>
              <w:rPr>
                <w:rFonts w:ascii="Arial Narrow" w:hAnsi="Arial Narrow"/>
                <w:noProof/>
                <w:color w:val="006100"/>
                <w:sz w:val="20"/>
              </w:rPr>
            </w:pPr>
            <w:r>
              <w:rPr>
                <w:rFonts w:ascii="Arial Narrow" w:hAnsi="Arial Narrow"/>
                <w:noProof/>
                <w:color w:val="006100"/>
                <w:sz w:val="20"/>
              </w:rPr>
              <w:t>-</w:t>
            </w:r>
            <w:r>
              <w:rPr>
                <w:noProof/>
              </w:rPr>
              <w:t xml:space="preserve"> </w:t>
            </w:r>
            <w:r>
              <w:rPr>
                <w:rFonts w:ascii="Arial Narrow" w:hAnsi="Arial Narrow"/>
                <w:noProof/>
                <w:color w:val="006100"/>
                <w:sz w:val="20"/>
              </w:rPr>
              <w:t>Zarządzanie (partnerzy, zarządzający funduszami, zarząd, komitet inwestycyjny, rola i obowiązki)</w:t>
            </w:r>
          </w:p>
          <w:p w14:paraId="59EA0AC4" w14:textId="77777777" w:rsidR="004C6421" w:rsidRDefault="009D1962">
            <w:pPr>
              <w:ind w:left="176" w:hanging="176"/>
              <w:jc w:val="both"/>
              <w:rPr>
                <w:rFonts w:ascii="Arial Narrow" w:hAnsi="Arial Narrow"/>
                <w:noProof/>
                <w:color w:val="006100"/>
                <w:sz w:val="20"/>
              </w:rPr>
            </w:pPr>
            <w:r>
              <w:rPr>
                <w:rFonts w:ascii="Arial Narrow" w:hAnsi="Arial Narrow"/>
                <w:noProof/>
                <w:color w:val="006100"/>
                <w:sz w:val="20"/>
              </w:rPr>
              <w:t>-</w:t>
            </w:r>
            <w:r>
              <w:rPr>
                <w:noProof/>
              </w:rPr>
              <w:t xml:space="preserve"> </w:t>
            </w:r>
            <w:r>
              <w:rPr>
                <w:rFonts w:ascii="Arial Narrow" w:hAnsi="Arial Narrow"/>
                <w:noProof/>
                <w:color w:val="006100"/>
                <w:sz w:val="20"/>
              </w:rPr>
              <w:t>Dywersyfikacja i limity koncentracji</w:t>
            </w:r>
          </w:p>
          <w:p w14:paraId="02ABE3AA" w14:textId="77777777" w:rsidR="004C6421" w:rsidRDefault="009D1962">
            <w:pPr>
              <w:ind w:left="176" w:hanging="176"/>
              <w:jc w:val="both"/>
              <w:rPr>
                <w:rFonts w:ascii="Arial Narrow" w:hAnsi="Arial Narrow"/>
                <w:noProof/>
                <w:color w:val="006100"/>
                <w:sz w:val="20"/>
              </w:rPr>
            </w:pPr>
            <w:r>
              <w:rPr>
                <w:rFonts w:ascii="Arial Narrow" w:hAnsi="Arial Narrow"/>
                <w:noProof/>
                <w:color w:val="006100"/>
                <w:sz w:val="20"/>
              </w:rPr>
              <w:t>-</w:t>
            </w:r>
            <w:r>
              <w:rPr>
                <w:noProof/>
              </w:rPr>
              <w:t xml:space="preserve"> </w:t>
            </w:r>
            <w:r>
              <w:rPr>
                <w:rFonts w:ascii="Arial Narrow" w:hAnsi="Arial Narrow"/>
                <w:noProof/>
                <w:color w:val="006100"/>
                <w:sz w:val="20"/>
              </w:rPr>
              <w:t>Polityka kapitałowa, w tym strategia wyjścia dla inwestycji kapitałowych</w:t>
            </w:r>
          </w:p>
          <w:p w14:paraId="174997CC" w14:textId="77777777" w:rsidR="004C6421" w:rsidRDefault="009D1962">
            <w:pPr>
              <w:ind w:left="176" w:hanging="142"/>
              <w:jc w:val="both"/>
              <w:rPr>
                <w:rFonts w:ascii="Arial Narrow" w:hAnsi="Arial Narrow"/>
                <w:noProof/>
                <w:color w:val="006100"/>
                <w:sz w:val="20"/>
              </w:rPr>
            </w:pPr>
            <w:r>
              <w:rPr>
                <w:rFonts w:ascii="Arial Narrow" w:hAnsi="Arial Narrow"/>
                <w:noProof/>
                <w:color w:val="006100"/>
                <w:sz w:val="20"/>
              </w:rPr>
              <w:t>-</w:t>
            </w:r>
            <w:r>
              <w:rPr>
                <w:noProof/>
              </w:rPr>
              <w:t xml:space="preserve"> </w:t>
            </w:r>
            <w:r>
              <w:rPr>
                <w:rFonts w:ascii="Arial Narrow" w:hAnsi="Arial Narrow"/>
                <w:noProof/>
                <w:color w:val="006100"/>
                <w:sz w:val="20"/>
              </w:rPr>
              <w:t>Zasada „nie czyń poważnych szkód” i „polityka kontroli zrównoważonego rozwoju” i wykaz wykluczenia</w:t>
            </w:r>
          </w:p>
          <w:p w14:paraId="7D5138F0" w14:textId="77777777" w:rsidR="004C6421" w:rsidRDefault="009D1962">
            <w:pPr>
              <w:ind w:left="176" w:hanging="142"/>
              <w:jc w:val="both"/>
              <w:rPr>
                <w:rFonts w:ascii="Arial Narrow" w:hAnsi="Arial Narrow"/>
                <w:noProof/>
                <w:color w:val="006100"/>
                <w:sz w:val="20"/>
              </w:rPr>
            </w:pPr>
            <w:r>
              <w:rPr>
                <w:rFonts w:ascii="Arial Narrow" w:hAnsi="Arial Narrow"/>
                <w:noProof/>
                <w:color w:val="006100"/>
                <w:sz w:val="20"/>
              </w:rPr>
              <w:t>-</w:t>
            </w:r>
            <w:r>
              <w:rPr>
                <w:noProof/>
              </w:rPr>
              <w:t xml:space="preserve"> </w:t>
            </w:r>
            <w:r>
              <w:rPr>
                <w:rFonts w:ascii="Arial Narrow" w:hAnsi="Arial Narrow"/>
                <w:noProof/>
                <w:color w:val="006100"/>
                <w:sz w:val="20"/>
              </w:rPr>
              <w:t>Polityka kredytowa w odniesieniu do inwestycji dłużnych, w tym wymagane gwarancje i zabezpieczenia</w:t>
            </w:r>
          </w:p>
          <w:p w14:paraId="30023923" w14:textId="77777777" w:rsidR="004C6421" w:rsidRDefault="009D1962">
            <w:pPr>
              <w:ind w:left="176" w:hanging="142"/>
              <w:jc w:val="both"/>
              <w:rPr>
                <w:rFonts w:ascii="Arial Narrow" w:hAnsi="Arial Narrow"/>
                <w:noProof/>
                <w:color w:val="006100"/>
                <w:sz w:val="20"/>
              </w:rPr>
            </w:pPr>
            <w:r>
              <w:rPr>
                <w:rFonts w:ascii="Arial Narrow" w:hAnsi="Arial Narrow"/>
                <w:noProof/>
                <w:color w:val="006100"/>
                <w:sz w:val="20"/>
              </w:rPr>
              <w:t>-</w:t>
            </w:r>
            <w:r>
              <w:rPr>
                <w:noProof/>
              </w:rPr>
              <w:t xml:space="preserve"> </w:t>
            </w:r>
            <w:r>
              <w:rPr>
                <w:rFonts w:ascii="Arial Narrow" w:hAnsi="Arial Narrow"/>
                <w:noProof/>
                <w:color w:val="006100"/>
                <w:sz w:val="20"/>
              </w:rPr>
              <w:t>Harmonogram pozyskiwania funduszy i wdrażania</w:t>
            </w:r>
          </w:p>
          <w:p w14:paraId="6056C78F" w14:textId="77777777" w:rsidR="004C6421" w:rsidRDefault="004C6421">
            <w:pPr>
              <w:ind w:left="176" w:hanging="142"/>
              <w:jc w:val="both"/>
              <w:rPr>
                <w:rFonts w:ascii="Arial Narrow" w:hAnsi="Arial Narrow"/>
                <w:noProof/>
                <w:color w:val="006100"/>
                <w:sz w:val="20"/>
              </w:rPr>
            </w:pPr>
          </w:p>
        </w:tc>
      </w:tr>
      <w:tr w:rsidR="004C6421" w14:paraId="75B84BB9" w14:textId="77777777">
        <w:trPr>
          <w:trHeight w:val="313"/>
        </w:trPr>
        <w:tc>
          <w:tcPr>
            <w:tcW w:w="1135" w:type="dxa"/>
            <w:shd w:val="clear" w:color="auto" w:fill="C6EFCE"/>
            <w:noWrap/>
            <w:hideMark/>
          </w:tcPr>
          <w:p w14:paraId="3CAEB01D" w14:textId="77777777" w:rsidR="004C6421" w:rsidRDefault="009D1962">
            <w:pPr>
              <w:pStyle w:val="P68B1DB1-Normal4"/>
              <w:jc w:val="center"/>
              <w:rPr>
                <w:noProof/>
              </w:rPr>
            </w:pPr>
            <w:r>
              <w:rPr>
                <w:noProof/>
              </w:rPr>
              <w:t>M4C2-21bis</w:t>
            </w:r>
          </w:p>
        </w:tc>
        <w:tc>
          <w:tcPr>
            <w:tcW w:w="1419" w:type="dxa"/>
            <w:shd w:val="clear" w:color="auto" w:fill="C6EFCE"/>
            <w:noWrap/>
            <w:hideMark/>
          </w:tcPr>
          <w:p w14:paraId="14A71F3B" w14:textId="77777777" w:rsidR="004C6421" w:rsidRDefault="009D1962">
            <w:pPr>
              <w:pStyle w:val="P68B1DB1-Normal4"/>
              <w:jc w:val="center"/>
              <w:rPr>
                <w:noProof/>
              </w:rPr>
            </w:pPr>
            <w:r>
              <w:rPr>
                <w:noProof/>
              </w:rPr>
              <w:t xml:space="preserve">Inwestycja 3.2 – Finansowanie przedsiębiorstw typu start-up </w:t>
            </w:r>
          </w:p>
        </w:tc>
        <w:tc>
          <w:tcPr>
            <w:tcW w:w="1132" w:type="dxa"/>
            <w:shd w:val="clear" w:color="auto" w:fill="C6EFCE"/>
            <w:noWrap/>
            <w:hideMark/>
          </w:tcPr>
          <w:p w14:paraId="6A65D3FA" w14:textId="586843BA" w:rsidR="004C6421" w:rsidRDefault="00CC179E">
            <w:pPr>
              <w:pStyle w:val="P68B1DB1-Normal4"/>
              <w:jc w:val="center"/>
              <w:rPr>
                <w:noProof/>
              </w:rPr>
            </w:pPr>
            <w:r>
              <w:rPr>
                <w:noProof/>
              </w:rPr>
              <w:t>Milowy</w:t>
            </w:r>
          </w:p>
        </w:tc>
        <w:tc>
          <w:tcPr>
            <w:tcW w:w="1418" w:type="dxa"/>
            <w:shd w:val="clear" w:color="auto" w:fill="C6EFCE"/>
            <w:noWrap/>
            <w:hideMark/>
          </w:tcPr>
          <w:p w14:paraId="5F820AD7" w14:textId="77777777" w:rsidR="004C6421" w:rsidRDefault="009D1962">
            <w:pPr>
              <w:pStyle w:val="P68B1DB1-Normal4"/>
              <w:jc w:val="center"/>
              <w:rPr>
                <w:noProof/>
              </w:rPr>
            </w:pPr>
            <w:r>
              <w:rPr>
                <w:noProof/>
              </w:rPr>
              <w:t>Ministerstwo zakończyło przekazywanie środków do CDP Venture Capital SGR</w:t>
            </w:r>
          </w:p>
        </w:tc>
        <w:tc>
          <w:tcPr>
            <w:tcW w:w="1275" w:type="dxa"/>
            <w:shd w:val="clear" w:color="auto" w:fill="C6EFCE"/>
            <w:noWrap/>
            <w:hideMark/>
          </w:tcPr>
          <w:p w14:paraId="1AE6BEF6" w14:textId="77777777" w:rsidR="004C6421" w:rsidRDefault="009D1962">
            <w:pPr>
              <w:pStyle w:val="P68B1DB1-Normal4"/>
              <w:jc w:val="center"/>
              <w:rPr>
                <w:noProof/>
              </w:rPr>
            </w:pPr>
            <w:r>
              <w:rPr>
                <w:noProof/>
              </w:rPr>
              <w:t>Świadectwo transferu</w:t>
            </w:r>
          </w:p>
        </w:tc>
        <w:tc>
          <w:tcPr>
            <w:tcW w:w="1134" w:type="dxa"/>
            <w:shd w:val="clear" w:color="auto" w:fill="C6EFCE"/>
            <w:noWrap/>
            <w:hideMark/>
          </w:tcPr>
          <w:p w14:paraId="2138A994" w14:textId="77777777" w:rsidR="004C6421" w:rsidRDefault="004C6421">
            <w:pPr>
              <w:jc w:val="center"/>
              <w:rPr>
                <w:rFonts w:ascii="Arial Narrow" w:hAnsi="Arial Narrow"/>
                <w:noProof/>
                <w:color w:val="006100"/>
                <w:sz w:val="20"/>
              </w:rPr>
            </w:pPr>
          </w:p>
        </w:tc>
        <w:tc>
          <w:tcPr>
            <w:tcW w:w="993" w:type="dxa"/>
            <w:shd w:val="clear" w:color="auto" w:fill="C6EFCE"/>
            <w:noWrap/>
            <w:hideMark/>
          </w:tcPr>
          <w:p w14:paraId="15CE4DD0" w14:textId="77777777" w:rsidR="004C6421" w:rsidRDefault="004C6421">
            <w:pPr>
              <w:jc w:val="center"/>
              <w:rPr>
                <w:rFonts w:ascii="Arial Narrow" w:hAnsi="Arial Narrow"/>
                <w:noProof/>
                <w:color w:val="006100"/>
                <w:sz w:val="20"/>
              </w:rPr>
            </w:pPr>
          </w:p>
        </w:tc>
        <w:tc>
          <w:tcPr>
            <w:tcW w:w="1275" w:type="dxa"/>
            <w:shd w:val="clear" w:color="auto" w:fill="C6EFCE"/>
            <w:noWrap/>
            <w:hideMark/>
          </w:tcPr>
          <w:p w14:paraId="268BDD23" w14:textId="77777777" w:rsidR="004C6421" w:rsidRDefault="004C6421">
            <w:pPr>
              <w:jc w:val="center"/>
              <w:rPr>
                <w:rFonts w:ascii="Arial Narrow" w:hAnsi="Arial Narrow"/>
                <w:noProof/>
                <w:color w:val="006100"/>
                <w:sz w:val="20"/>
              </w:rPr>
            </w:pPr>
          </w:p>
        </w:tc>
        <w:tc>
          <w:tcPr>
            <w:tcW w:w="993" w:type="dxa"/>
            <w:shd w:val="clear" w:color="auto" w:fill="C6EFCE"/>
            <w:noWrap/>
            <w:hideMark/>
          </w:tcPr>
          <w:p w14:paraId="5EAF4082" w14:textId="32FB0CE4" w:rsidR="004C6421" w:rsidRDefault="00CC179E">
            <w:pPr>
              <w:pStyle w:val="P68B1DB1-Normal4"/>
              <w:jc w:val="center"/>
              <w:rPr>
                <w:noProof/>
              </w:rPr>
            </w:pPr>
            <w:r>
              <w:rPr>
                <w:noProof/>
              </w:rPr>
              <w:t>KW. 4</w:t>
            </w:r>
          </w:p>
        </w:tc>
        <w:tc>
          <w:tcPr>
            <w:tcW w:w="708" w:type="dxa"/>
            <w:shd w:val="clear" w:color="auto" w:fill="C6EFCE"/>
            <w:noWrap/>
            <w:hideMark/>
          </w:tcPr>
          <w:p w14:paraId="044AAF4B" w14:textId="77777777" w:rsidR="004C6421" w:rsidRDefault="009D1962">
            <w:pPr>
              <w:pStyle w:val="P68B1DB1-Normal4"/>
              <w:jc w:val="center"/>
              <w:rPr>
                <w:noProof/>
              </w:rPr>
            </w:pPr>
            <w:r>
              <w:rPr>
                <w:noProof/>
              </w:rPr>
              <w:t>2024</w:t>
            </w:r>
          </w:p>
        </w:tc>
        <w:tc>
          <w:tcPr>
            <w:tcW w:w="3686" w:type="dxa"/>
            <w:shd w:val="clear" w:color="auto" w:fill="C6EFCE"/>
            <w:noWrap/>
            <w:hideMark/>
          </w:tcPr>
          <w:p w14:paraId="40339195" w14:textId="77777777" w:rsidR="004C6421" w:rsidRDefault="009D1962">
            <w:pPr>
              <w:pStyle w:val="P68B1DB1-Normal4"/>
              <w:rPr>
                <w:noProof/>
              </w:rPr>
            </w:pPr>
            <w:r>
              <w:rPr>
                <w:noProof/>
              </w:rPr>
              <w:t>Włochy przekażą kwotę 400 000 000 EUR na rzecz kapitału podwyższonego ryzyka CDP na rzecz instrumentu.</w:t>
            </w:r>
          </w:p>
          <w:p w14:paraId="1564E9F5" w14:textId="77777777" w:rsidR="004C6421" w:rsidRDefault="009D1962">
            <w:pPr>
              <w:pStyle w:val="P68B1DB1-Normal4"/>
              <w:rPr>
                <w:noProof/>
              </w:rPr>
            </w:pPr>
            <w:r>
              <w:rPr>
                <w:noProof/>
              </w:rPr>
              <w:t xml:space="preserve"> </w:t>
            </w:r>
          </w:p>
          <w:p w14:paraId="5B7013E6" w14:textId="77777777" w:rsidR="004C6421" w:rsidRDefault="009D1962">
            <w:pPr>
              <w:pStyle w:val="P68B1DB1-Normal4"/>
              <w:rPr>
                <w:noProof/>
              </w:rPr>
            </w:pPr>
            <w:r>
              <w:rPr>
                <w:noProof/>
              </w:rPr>
              <w:t>Zadowalające osiągnięcie wartości docelowej wymaga również zmiany umowy wykonawczej między Włochami a CDP Venture Capital SGR oraz rozporządzenia w sprawie instrumentu, zgodnie z warunkami określonymi w decyzji wykonawczej Rady.</w:t>
            </w:r>
          </w:p>
        </w:tc>
      </w:tr>
      <w:tr w:rsidR="004C6421" w14:paraId="731180C0" w14:textId="77777777">
        <w:trPr>
          <w:trHeight w:val="313"/>
        </w:trPr>
        <w:tc>
          <w:tcPr>
            <w:tcW w:w="1135" w:type="dxa"/>
            <w:shd w:val="clear" w:color="auto" w:fill="C6EFCE"/>
            <w:noWrap/>
          </w:tcPr>
          <w:p w14:paraId="3A3DEAFF" w14:textId="77777777" w:rsidR="004C6421" w:rsidRDefault="009D1962">
            <w:pPr>
              <w:pStyle w:val="P68B1DB1-Normal4"/>
              <w:jc w:val="center"/>
              <w:rPr>
                <w:noProof/>
              </w:rPr>
            </w:pPr>
            <w:r>
              <w:rPr>
                <w:noProof/>
              </w:rPr>
              <w:t>M4C2-21</w:t>
            </w:r>
          </w:p>
        </w:tc>
        <w:tc>
          <w:tcPr>
            <w:tcW w:w="1419" w:type="dxa"/>
            <w:shd w:val="clear" w:color="auto" w:fill="C6EFCE"/>
            <w:noWrap/>
          </w:tcPr>
          <w:p w14:paraId="746D1CF6" w14:textId="77777777" w:rsidR="004C6421" w:rsidRDefault="009D1962">
            <w:pPr>
              <w:pStyle w:val="P68B1DB1-Normal4"/>
              <w:jc w:val="center"/>
              <w:rPr>
                <w:noProof/>
              </w:rPr>
            </w:pPr>
            <w:r>
              <w:rPr>
                <w:noProof/>
              </w:rPr>
              <w:t>Inwestycja 3.2 – Finansowanie przedsiębiorstw typu start-up.</w:t>
            </w:r>
          </w:p>
        </w:tc>
        <w:tc>
          <w:tcPr>
            <w:tcW w:w="1132" w:type="dxa"/>
            <w:shd w:val="clear" w:color="auto" w:fill="C6EFCE"/>
            <w:noWrap/>
          </w:tcPr>
          <w:p w14:paraId="18FD11E4" w14:textId="77777777" w:rsidR="004C6421" w:rsidRDefault="009D1962">
            <w:pPr>
              <w:pStyle w:val="P68B1DB1-Normal4"/>
              <w:jc w:val="center"/>
              <w:rPr>
                <w:noProof/>
              </w:rPr>
            </w:pPr>
            <w:r>
              <w:rPr>
                <w:noProof/>
              </w:rPr>
              <w:t>Cel</w:t>
            </w:r>
          </w:p>
        </w:tc>
        <w:tc>
          <w:tcPr>
            <w:tcW w:w="1418" w:type="dxa"/>
            <w:shd w:val="clear" w:color="auto" w:fill="C6EFCE"/>
            <w:noWrap/>
          </w:tcPr>
          <w:p w14:paraId="3FA40982" w14:textId="77777777" w:rsidR="004C6421" w:rsidRDefault="009D1962">
            <w:pPr>
              <w:pStyle w:val="P68B1DB1-Normal4"/>
              <w:jc w:val="center"/>
              <w:rPr>
                <w:noProof/>
              </w:rPr>
            </w:pPr>
            <w:r>
              <w:rPr>
                <w:noProof/>
              </w:rPr>
              <w:t>Umowy prawne podpisane z przedsiębiorstwami typu start-up lub funduszami venture capital</w:t>
            </w:r>
          </w:p>
        </w:tc>
        <w:tc>
          <w:tcPr>
            <w:tcW w:w="1275" w:type="dxa"/>
            <w:shd w:val="clear" w:color="auto" w:fill="C6EFCE"/>
            <w:noWrap/>
          </w:tcPr>
          <w:p w14:paraId="130D841D" w14:textId="77777777" w:rsidR="004C6421" w:rsidRDefault="009D1962">
            <w:pPr>
              <w:pStyle w:val="P68B1DB1-Normal4"/>
              <w:jc w:val="center"/>
              <w:rPr>
                <w:noProof/>
              </w:rPr>
            </w:pPr>
            <w:r>
              <w:rPr>
                <w:noProof/>
              </w:rPr>
              <w:t>Wejście w życie prawnych umów w sprawie finansowania</w:t>
            </w:r>
          </w:p>
        </w:tc>
        <w:tc>
          <w:tcPr>
            <w:tcW w:w="1134" w:type="dxa"/>
            <w:shd w:val="clear" w:color="auto" w:fill="C6EFCE"/>
            <w:noWrap/>
          </w:tcPr>
          <w:p w14:paraId="089215BE" w14:textId="77777777" w:rsidR="004C6421" w:rsidRDefault="009D1962">
            <w:pPr>
              <w:pStyle w:val="P68B1DB1-Normal4"/>
              <w:jc w:val="center"/>
              <w:rPr>
                <w:noProof/>
              </w:rPr>
            </w:pPr>
            <w:r>
              <w:rPr>
                <w:noProof/>
              </w:rPr>
              <w:t>EUR</w:t>
            </w:r>
          </w:p>
        </w:tc>
        <w:tc>
          <w:tcPr>
            <w:tcW w:w="993" w:type="dxa"/>
            <w:shd w:val="clear" w:color="auto" w:fill="C6EFCE"/>
            <w:noWrap/>
          </w:tcPr>
          <w:p w14:paraId="6758DF41" w14:textId="77777777" w:rsidR="004C6421" w:rsidRDefault="009D1962">
            <w:pPr>
              <w:pStyle w:val="P68B1DB1-Normal4"/>
              <w:jc w:val="center"/>
              <w:rPr>
                <w:noProof/>
              </w:rPr>
            </w:pPr>
            <w:r>
              <w:rPr>
                <w:noProof/>
              </w:rPr>
              <w:t>0</w:t>
            </w:r>
          </w:p>
        </w:tc>
        <w:tc>
          <w:tcPr>
            <w:tcW w:w="1275" w:type="dxa"/>
            <w:shd w:val="clear" w:color="auto" w:fill="C6EFCE"/>
            <w:noWrap/>
          </w:tcPr>
          <w:p w14:paraId="5779BA85" w14:textId="77777777" w:rsidR="004C6421" w:rsidRDefault="009D1962">
            <w:pPr>
              <w:pStyle w:val="P68B1DB1-Normal4"/>
              <w:jc w:val="center"/>
              <w:rPr>
                <w:noProof/>
              </w:rPr>
            </w:pPr>
            <w:r>
              <w:rPr>
                <w:noProof/>
              </w:rPr>
              <w:t>100 %</w:t>
            </w:r>
          </w:p>
        </w:tc>
        <w:tc>
          <w:tcPr>
            <w:tcW w:w="993" w:type="dxa"/>
            <w:shd w:val="clear" w:color="auto" w:fill="C6EFCE"/>
            <w:noWrap/>
          </w:tcPr>
          <w:p w14:paraId="73F56E75" w14:textId="77777777" w:rsidR="004C6421" w:rsidRDefault="009D1962">
            <w:pPr>
              <w:pStyle w:val="P68B1DB1-Normal4"/>
              <w:jc w:val="center"/>
              <w:rPr>
                <w:noProof/>
              </w:rPr>
            </w:pPr>
            <w:r>
              <w:rPr>
                <w:noProof/>
              </w:rPr>
              <w:t>II KW.</w:t>
            </w:r>
          </w:p>
        </w:tc>
        <w:tc>
          <w:tcPr>
            <w:tcW w:w="708" w:type="dxa"/>
            <w:shd w:val="clear" w:color="auto" w:fill="C6EFCE"/>
            <w:noWrap/>
          </w:tcPr>
          <w:p w14:paraId="299B7F28" w14:textId="77777777" w:rsidR="004C6421" w:rsidRDefault="009D1962">
            <w:pPr>
              <w:pStyle w:val="P68B1DB1-Normal4"/>
              <w:jc w:val="center"/>
              <w:rPr>
                <w:noProof/>
              </w:rPr>
            </w:pPr>
            <w:r>
              <w:rPr>
                <w:noProof/>
              </w:rPr>
              <w:t>2026</w:t>
            </w:r>
          </w:p>
        </w:tc>
        <w:tc>
          <w:tcPr>
            <w:tcW w:w="3686" w:type="dxa"/>
            <w:shd w:val="clear" w:color="auto" w:fill="C6EFCE"/>
            <w:noWrap/>
          </w:tcPr>
          <w:p w14:paraId="4D69F6B9" w14:textId="77777777" w:rsidR="004C6421" w:rsidRDefault="009D1962">
            <w:pPr>
              <w:pStyle w:val="P68B1DB1-Normal4"/>
              <w:rPr>
                <w:noProof/>
              </w:rPr>
            </w:pPr>
            <w:r>
              <w:rPr>
                <w:noProof/>
              </w:rPr>
              <w:t>Cassa Depositi e Prestiti Venture Capital musi zawrzeć prawne umowy o finansowaniu z przedsiębiorstwami typu start-up, programy inkubacji/przyspieszenia lub funduszem venture capital na kwotę niezbędną do wykorzystania 100 % inwestycji RRF (400 mln EUR) w instrument (w tym średni maksymalny pułap wynoszący 13 % opłat za zarządzanie i kosztów DTF w całym cyklu życia funduszu, a także uwzględniając warunki wstępne kolejnych rund inwestycyjnych, z wyjątkiem przeniesionych opłat za wyniki oraz wszystkich kosztów i opłat za zarządzanie związanych ze środkami osób trzecich).</w:t>
            </w:r>
          </w:p>
          <w:p w14:paraId="752B0533" w14:textId="77777777" w:rsidR="004C6421" w:rsidRDefault="009D1962">
            <w:pPr>
              <w:rPr>
                <w:rFonts w:ascii="Arial Narrow" w:hAnsi="Arial Narrow"/>
                <w:noProof/>
                <w:color w:val="006100"/>
                <w:sz w:val="20"/>
              </w:rPr>
            </w:pPr>
            <w:r>
              <w:rPr>
                <w:noProof/>
              </w:rPr>
              <w:t xml:space="preserve">  </w:t>
            </w:r>
            <w:r>
              <w:rPr>
                <w:noProof/>
              </w:rPr>
              <w:br/>
            </w:r>
            <w:r>
              <w:rPr>
                <w:rFonts w:ascii="Arial Narrow" w:hAnsi="Arial Narrow"/>
                <w:noProof/>
                <w:color w:val="006100"/>
                <w:sz w:val="20"/>
              </w:rPr>
              <w:t>Inwestycję dzieli się na następujące dwie linie interwencji:</w:t>
            </w:r>
          </w:p>
          <w:p w14:paraId="0E73683F" w14:textId="77777777" w:rsidR="004C6421" w:rsidRDefault="004C6421">
            <w:pPr>
              <w:jc w:val="center"/>
              <w:rPr>
                <w:rFonts w:ascii="Arial Narrow" w:hAnsi="Arial Narrow"/>
                <w:noProof/>
                <w:color w:val="006100"/>
                <w:sz w:val="20"/>
              </w:rPr>
            </w:pPr>
          </w:p>
          <w:p w14:paraId="7C72EFF5" w14:textId="77777777" w:rsidR="004C6421" w:rsidRDefault="009D1962">
            <w:pPr>
              <w:pStyle w:val="P68B1DB1-Normal4"/>
              <w:rPr>
                <w:noProof/>
              </w:rPr>
            </w:pPr>
            <w:r>
              <w:rPr>
                <w:noProof/>
              </w:rPr>
              <w:t>— Inwestycje bezpośrednie.</w:t>
            </w:r>
          </w:p>
          <w:p w14:paraId="606C773F" w14:textId="77777777" w:rsidR="004C6421" w:rsidRDefault="009D1962">
            <w:pPr>
              <w:pStyle w:val="P68B1DB1-Normal4"/>
              <w:rPr>
                <w:noProof/>
              </w:rPr>
            </w:pPr>
            <w:r>
              <w:rPr>
                <w:noProof/>
              </w:rPr>
              <w:t>Inwestycje pośrednie.</w:t>
            </w:r>
          </w:p>
          <w:p w14:paraId="3C27A5CC" w14:textId="77777777" w:rsidR="004C6421" w:rsidRDefault="004C6421">
            <w:pPr>
              <w:rPr>
                <w:rFonts w:ascii="Arial Narrow" w:hAnsi="Arial Narrow"/>
                <w:noProof/>
                <w:color w:val="006100"/>
                <w:sz w:val="20"/>
              </w:rPr>
            </w:pPr>
          </w:p>
          <w:p w14:paraId="58104AE4" w14:textId="77777777" w:rsidR="004C6421" w:rsidRDefault="009D1962">
            <w:pPr>
              <w:pStyle w:val="P68B1DB1-Normal4"/>
              <w:rPr>
                <w:noProof/>
              </w:rPr>
            </w:pPr>
            <w:r>
              <w:rPr>
                <w:noProof/>
              </w:rPr>
              <w:t>W przypadku inwestycji pośrednich w fundusze venture capital Cassa Depositi e Prestiti Venture Capital musi zawrzeć z funduszami venture capital prawne umowy w sprawie finansowania na kwotę niezbędną do orientacyjnego wykorzystania około 60 % inwestycji w instrument w ramach RRF (z wyłączeniem opłat za zarządzanie i kosztów DTF w całym cyklu życia funduszu).</w:t>
            </w:r>
          </w:p>
          <w:p w14:paraId="0415E71F" w14:textId="77777777" w:rsidR="004C6421" w:rsidRDefault="009D1962">
            <w:pPr>
              <w:pStyle w:val="P68B1DB1-Normal4"/>
              <w:rPr>
                <w:noProof/>
              </w:rPr>
            </w:pPr>
            <w:r>
              <w:rPr>
                <w:noProof/>
              </w:rPr>
              <w:t>W przypadku inwestycji pośrednich w przedsiębiorstwa typu start-up prawne umowy w sprawie finansowania z funduszami venture capital zawierają wiążące zobowiązanie do osiągnięcia skumulowanego efektu dźwigni wykorzystanego kapitału zarówno na poziomie funduszy, jak i na poziomie przedsiębiorstw typu start-up o co najmniej 1x1 przez cały okres funkcjonowania funduszu.</w:t>
            </w:r>
          </w:p>
          <w:p w14:paraId="57503F04" w14:textId="77777777" w:rsidR="004C6421" w:rsidRDefault="004C6421">
            <w:pPr>
              <w:rPr>
                <w:rFonts w:ascii="Arial Narrow" w:hAnsi="Arial Narrow"/>
                <w:noProof/>
                <w:color w:val="006100"/>
                <w:sz w:val="20"/>
              </w:rPr>
            </w:pPr>
          </w:p>
          <w:p w14:paraId="3C8E637B" w14:textId="77777777" w:rsidR="004C6421" w:rsidRDefault="009D1962">
            <w:pPr>
              <w:pStyle w:val="P68B1DB1-Normal4"/>
              <w:rPr>
                <w:noProof/>
              </w:rPr>
            </w:pPr>
            <w:r>
              <w:rPr>
                <w:noProof/>
              </w:rPr>
              <w:t>W przypadku inwestycji bezpośrednich kapitał wysokiego ryzyka CDP zawierał prawne umowy o finansowaniu z przedsiębiorstwami typu start-up/inkubacji/programami przyspieszenia na kwotę niezbędną do orientacyjnego wykorzystania około 40 % inwestycji w RRF (400 mln EUR) w instrument (w tym opłaty za zarządzanie i koszty DTF w całym cyklu życia funduszu).</w:t>
            </w:r>
          </w:p>
          <w:p w14:paraId="3D8B3628" w14:textId="77777777" w:rsidR="004C6421" w:rsidRDefault="009D1962">
            <w:pPr>
              <w:pStyle w:val="P68B1DB1-Normal4"/>
              <w:rPr>
                <w:noProof/>
              </w:rPr>
            </w:pPr>
            <w:r>
              <w:rPr>
                <w:noProof/>
              </w:rPr>
              <w:t>Ponadto w przypadku inwestycji bezpośrednich prawna umowa o finansowaniu z przedsiębiorstwami typu start-up może zawierać warunki ex ante dotyczące kolejnych rund inwestycyjnych. (tj. warunki uruchomienia finansowania Serie B lub Serie C).</w:t>
            </w:r>
          </w:p>
          <w:p w14:paraId="20A97985" w14:textId="77777777" w:rsidR="004C6421" w:rsidRDefault="004C6421">
            <w:pPr>
              <w:rPr>
                <w:rFonts w:ascii="Arial Narrow" w:hAnsi="Arial Narrow"/>
                <w:noProof/>
                <w:color w:val="006100"/>
                <w:sz w:val="20"/>
              </w:rPr>
            </w:pPr>
          </w:p>
          <w:p w14:paraId="20A7A6C1" w14:textId="77777777" w:rsidR="004C6421" w:rsidRDefault="009D1962">
            <w:pPr>
              <w:pStyle w:val="P68B1DB1-Normal4"/>
              <w:rPr>
                <w:noProof/>
              </w:rPr>
            </w:pPr>
            <w:r>
              <w:rPr>
                <w:noProof/>
              </w:rPr>
              <w:t xml:space="preserve">Zobowiązania w ramach tego działania zawarte przed wejściem w życie zmian w polityce inwestycyjnej umowy wykonawczej i zgodne z umową w ramach kamienia milowego M4C2-20 poprzedniej polityki inwestycyjnej są również zaliczane na poczet osiągnięcia wartości docelowej. </w:t>
            </w:r>
          </w:p>
          <w:p w14:paraId="5AB4FFDF" w14:textId="77777777" w:rsidR="004C6421" w:rsidRDefault="004C6421">
            <w:pPr>
              <w:rPr>
                <w:rFonts w:ascii="Arial Narrow" w:hAnsi="Arial Narrow"/>
                <w:noProof/>
                <w:color w:val="006100"/>
                <w:sz w:val="20"/>
              </w:rPr>
            </w:pPr>
          </w:p>
          <w:p w14:paraId="6CC8EBF8" w14:textId="77777777" w:rsidR="004C6421" w:rsidRDefault="009D1962">
            <w:pPr>
              <w:pStyle w:val="P68B1DB1-Normal4"/>
              <w:rPr>
                <w:noProof/>
              </w:rPr>
            </w:pPr>
            <w:r>
              <w:rPr>
                <w:noProof/>
              </w:rPr>
              <w:t>Od dnia wejścia w życie decyzji wykonawczej Rady nowe zobowiązania zaczynają być zgodne z nową polityką inwestycyjną zgodnie z nową decyzją wykonawczą Rady.</w:t>
            </w:r>
          </w:p>
        </w:tc>
      </w:tr>
      <w:tr w:rsidR="004C6421" w14:paraId="7BE49B91" w14:textId="77777777">
        <w:trPr>
          <w:trHeight w:val="313"/>
        </w:trPr>
        <w:tc>
          <w:tcPr>
            <w:tcW w:w="1135" w:type="dxa"/>
            <w:shd w:val="clear" w:color="auto" w:fill="C6EFCE"/>
            <w:noWrap/>
            <w:vAlign w:val="center"/>
            <w:hideMark/>
          </w:tcPr>
          <w:p w14:paraId="0185491A" w14:textId="77777777" w:rsidR="004C6421" w:rsidRDefault="009D1962">
            <w:pPr>
              <w:pStyle w:val="P68B1DB1-Normal4"/>
              <w:jc w:val="center"/>
              <w:rPr>
                <w:noProof/>
              </w:rPr>
            </w:pPr>
            <w:r>
              <w:rPr>
                <w:noProof/>
              </w:rPr>
              <w:t>M4C2-22</w:t>
            </w:r>
          </w:p>
        </w:tc>
        <w:tc>
          <w:tcPr>
            <w:tcW w:w="1419" w:type="dxa"/>
            <w:shd w:val="clear" w:color="auto" w:fill="C6EFCE"/>
            <w:noWrap/>
            <w:vAlign w:val="center"/>
            <w:hideMark/>
          </w:tcPr>
          <w:p w14:paraId="71522DF4" w14:textId="77777777" w:rsidR="004C6421" w:rsidRDefault="009D1962">
            <w:pPr>
              <w:pStyle w:val="P68B1DB1-Normal4"/>
              <w:jc w:val="center"/>
              <w:rPr>
                <w:noProof/>
              </w:rPr>
            </w:pPr>
            <w:r>
              <w:rPr>
                <w:noProof/>
              </w:rPr>
              <w:t>Inwestycja 2.1: PROJEKT IPCEI</w:t>
            </w:r>
          </w:p>
        </w:tc>
        <w:tc>
          <w:tcPr>
            <w:tcW w:w="1132" w:type="dxa"/>
            <w:shd w:val="clear" w:color="auto" w:fill="C6EFCE"/>
            <w:noWrap/>
            <w:vAlign w:val="center"/>
            <w:hideMark/>
          </w:tcPr>
          <w:p w14:paraId="78B9DCBB" w14:textId="77777777" w:rsidR="004C6421" w:rsidRDefault="009D1962">
            <w:pPr>
              <w:pStyle w:val="P68B1DB1-Normal4"/>
              <w:jc w:val="center"/>
              <w:rPr>
                <w:noProof/>
              </w:rPr>
            </w:pPr>
            <w:r>
              <w:rPr>
                <w:noProof/>
              </w:rPr>
              <w:t>Cel</w:t>
            </w:r>
          </w:p>
        </w:tc>
        <w:tc>
          <w:tcPr>
            <w:tcW w:w="1418" w:type="dxa"/>
            <w:shd w:val="clear" w:color="auto" w:fill="C6EFCE"/>
            <w:noWrap/>
            <w:vAlign w:val="center"/>
            <w:hideMark/>
          </w:tcPr>
          <w:p w14:paraId="0D55D751" w14:textId="77777777" w:rsidR="004C6421" w:rsidRDefault="009D1962">
            <w:pPr>
              <w:pStyle w:val="P68B1DB1-Normal4"/>
              <w:jc w:val="center"/>
              <w:rPr>
                <w:noProof/>
              </w:rPr>
            </w:pPr>
            <w:r>
              <w:rPr>
                <w:noProof/>
              </w:rPr>
              <w:t>Liczba projektów, które otrzymały wsparcie</w:t>
            </w:r>
          </w:p>
        </w:tc>
        <w:tc>
          <w:tcPr>
            <w:tcW w:w="1275" w:type="dxa"/>
            <w:shd w:val="clear" w:color="auto" w:fill="C6EFCE"/>
            <w:noWrap/>
            <w:vAlign w:val="center"/>
            <w:hideMark/>
          </w:tcPr>
          <w:p w14:paraId="3131E8C3" w14:textId="77777777" w:rsidR="004C6421" w:rsidRDefault="009D1962">
            <w:pPr>
              <w:pStyle w:val="P68B1DB1-Normal4"/>
              <w:jc w:val="center"/>
              <w:rPr>
                <w:noProof/>
              </w:rPr>
            </w:pPr>
            <w:r>
              <w:rPr>
                <w:noProof/>
              </w:rPr>
              <w:t>NIE DOT.</w:t>
            </w:r>
          </w:p>
        </w:tc>
        <w:tc>
          <w:tcPr>
            <w:tcW w:w="1134" w:type="dxa"/>
            <w:shd w:val="clear" w:color="auto" w:fill="C6EFCE"/>
            <w:noWrap/>
            <w:vAlign w:val="center"/>
            <w:hideMark/>
          </w:tcPr>
          <w:p w14:paraId="62BB4C5E" w14:textId="77777777" w:rsidR="004C6421" w:rsidRDefault="009D1962">
            <w:pPr>
              <w:pStyle w:val="P68B1DB1-Normal4"/>
              <w:jc w:val="center"/>
              <w:rPr>
                <w:noProof/>
              </w:rPr>
            </w:pPr>
            <w:r>
              <w:rPr>
                <w:noProof/>
              </w:rPr>
              <w:t>Numer</w:t>
            </w:r>
          </w:p>
        </w:tc>
        <w:tc>
          <w:tcPr>
            <w:tcW w:w="993" w:type="dxa"/>
            <w:shd w:val="clear" w:color="auto" w:fill="C6EFCE"/>
            <w:noWrap/>
            <w:vAlign w:val="center"/>
            <w:hideMark/>
          </w:tcPr>
          <w:p w14:paraId="466D8F95" w14:textId="51150CCE" w:rsidR="004C6421" w:rsidRDefault="009D1962">
            <w:pPr>
              <w:pStyle w:val="P68B1DB1-Normal4"/>
              <w:jc w:val="center"/>
              <w:rPr>
                <w:noProof/>
              </w:rPr>
            </w:pPr>
            <w:r>
              <w:rPr>
                <w:noProof/>
              </w:rPr>
              <w:t>0</w:t>
            </w:r>
          </w:p>
        </w:tc>
        <w:tc>
          <w:tcPr>
            <w:tcW w:w="1275" w:type="dxa"/>
            <w:shd w:val="clear" w:color="auto" w:fill="C6EFCE"/>
            <w:noWrap/>
            <w:vAlign w:val="center"/>
            <w:hideMark/>
          </w:tcPr>
          <w:p w14:paraId="742A345F" w14:textId="77777777" w:rsidR="004C6421" w:rsidRDefault="009D1962">
            <w:pPr>
              <w:pStyle w:val="P68B1DB1-Normal4"/>
              <w:jc w:val="center"/>
              <w:rPr>
                <w:noProof/>
              </w:rPr>
            </w:pPr>
            <w:r>
              <w:rPr>
                <w:noProof/>
              </w:rPr>
              <w:t>20</w:t>
            </w:r>
          </w:p>
        </w:tc>
        <w:tc>
          <w:tcPr>
            <w:tcW w:w="993" w:type="dxa"/>
            <w:shd w:val="clear" w:color="auto" w:fill="C6EFCE"/>
            <w:noWrap/>
            <w:vAlign w:val="center"/>
            <w:hideMark/>
          </w:tcPr>
          <w:p w14:paraId="12281A46" w14:textId="77777777" w:rsidR="004C6421" w:rsidRDefault="009D1962">
            <w:pPr>
              <w:pStyle w:val="P68B1DB1-Normal4"/>
              <w:jc w:val="center"/>
              <w:rPr>
                <w:noProof/>
              </w:rPr>
            </w:pPr>
            <w:r>
              <w:rPr>
                <w:noProof/>
              </w:rPr>
              <w:t>II KW.</w:t>
            </w:r>
          </w:p>
        </w:tc>
        <w:tc>
          <w:tcPr>
            <w:tcW w:w="708" w:type="dxa"/>
            <w:shd w:val="clear" w:color="auto" w:fill="C6EFCE"/>
            <w:noWrap/>
            <w:vAlign w:val="center"/>
            <w:hideMark/>
          </w:tcPr>
          <w:p w14:paraId="2784A95A" w14:textId="77777777" w:rsidR="004C6421" w:rsidRDefault="009D1962">
            <w:pPr>
              <w:pStyle w:val="P68B1DB1-Normal4"/>
              <w:jc w:val="center"/>
              <w:rPr>
                <w:noProof/>
              </w:rPr>
            </w:pPr>
            <w:r>
              <w:rPr>
                <w:noProof/>
              </w:rPr>
              <w:t>2025</w:t>
            </w:r>
          </w:p>
        </w:tc>
        <w:tc>
          <w:tcPr>
            <w:tcW w:w="3686" w:type="dxa"/>
            <w:shd w:val="clear" w:color="auto" w:fill="C6EFCE"/>
            <w:noWrap/>
            <w:vAlign w:val="center"/>
            <w:hideMark/>
          </w:tcPr>
          <w:p w14:paraId="2761A4D5" w14:textId="77777777" w:rsidR="004C6421" w:rsidRDefault="009D1962">
            <w:pPr>
              <w:pStyle w:val="P68B1DB1-Normal4"/>
              <w:rPr>
                <w:noProof/>
              </w:rPr>
            </w:pPr>
            <w:r>
              <w:rPr>
                <w:noProof/>
              </w:rPr>
              <w:t>Co najmniej 20 projektów otrzymujących wsparcie w ramach modelu IPCEI;</w:t>
            </w:r>
          </w:p>
          <w:p w14:paraId="67FD4FA0" w14:textId="77777777" w:rsidR="004C6421" w:rsidRDefault="009D1962">
            <w:pPr>
              <w:pStyle w:val="P68B1DB1-Normal4"/>
              <w:rPr>
                <w:noProof/>
              </w:rPr>
            </w:pPr>
            <w:r>
              <w:rPr>
                <w:noProof/>
              </w:rPr>
              <w:t>Oszacowanie wartości docelowych opiera się na metodach operacyjnych projektów IPCEI aktywowanych we Włoszech (Microelectronics 1, Batteries 1, Batteries 2).</w:t>
            </w:r>
          </w:p>
        </w:tc>
      </w:tr>
    </w:tbl>
    <w:p w14:paraId="0C30FFD7" w14:textId="77777777" w:rsidR="004C6421" w:rsidRDefault="004C6421">
      <w:pPr>
        <w:rPr>
          <w:noProof/>
        </w:rPr>
        <w:sectPr w:rsidR="004C6421" w:rsidSect="00797973">
          <w:headerReference w:type="even" r:id="rId296"/>
          <w:headerReference w:type="default" r:id="rId297"/>
          <w:footerReference w:type="even" r:id="rId298"/>
          <w:footerReference w:type="default" r:id="rId299"/>
          <w:headerReference w:type="first" r:id="rId300"/>
          <w:footerReference w:type="first" r:id="rId301"/>
          <w:pgSz w:w="16839" w:h="11907" w:orient="landscape"/>
          <w:pgMar w:top="1440" w:right="1440" w:bottom="1440" w:left="1440" w:header="567" w:footer="567" w:gutter="0"/>
          <w:cols w:space="720"/>
          <w:docGrid w:linePitch="360"/>
        </w:sectPr>
      </w:pPr>
    </w:p>
    <w:p w14:paraId="4ED39FD0" w14:textId="77777777" w:rsidR="004C6421" w:rsidRDefault="009D1962">
      <w:pPr>
        <w:pStyle w:val="Heading2"/>
        <w:numPr>
          <w:ilvl w:val="1"/>
          <w:numId w:val="0"/>
        </w:numPr>
        <w:ind w:left="850" w:hanging="850"/>
        <w:rPr>
          <w:noProof/>
          <w:u w:val="single"/>
        </w:rPr>
      </w:pPr>
      <w:r>
        <w:rPr>
          <w:noProof/>
        </w:rPr>
        <w:t xml:space="preserve">L. ZADANIE 5 – KOMPONENT 1: </w:t>
      </w:r>
      <w:r>
        <w:rPr>
          <w:noProof/>
          <w:u w:val="single"/>
        </w:rPr>
        <w:t>Polityka zatrudnienia,</w:t>
      </w:r>
    </w:p>
    <w:p w14:paraId="27A6DE0F" w14:textId="77777777" w:rsidR="004C6421" w:rsidRDefault="009D1962">
      <w:pPr>
        <w:spacing w:before="120" w:after="120"/>
        <w:jc w:val="both"/>
        <w:rPr>
          <w:rFonts w:eastAsia="Calibri"/>
          <w:noProof/>
        </w:rPr>
      </w:pPr>
      <w:r>
        <w:rPr>
          <w:noProof/>
        </w:rPr>
        <w:t xml:space="preserve">Środki w ramach </w:t>
      </w:r>
      <w:r>
        <w:rPr>
          <w:noProof/>
          <w:color w:val="000000" w:themeColor="text1"/>
        </w:rPr>
        <w:t xml:space="preserve">tego komponentu włoskiego planu odbudowy i zwiększania odporności </w:t>
      </w:r>
      <w:r>
        <w:rPr>
          <w:noProof/>
        </w:rPr>
        <w:t>wprowadzają kompleksową i zintegrowaną reformę aktywnej polityki rynku pracy i szkolenia zawodowego. Oczekuje się, że wzmocnienie aktywnej polityki rynku pracy i poprawa budowania zdolności publicznych służb zatrudnienia, w tym ich integracja z organizatorami kształcenia i szkolenia oraz podmiotami prywatnymi, zwiększy skuteczność usług. Ponadto środki w ramach tego komponentu mają na celu zmniejszenie podatności społeczeństwa na wstrząsy, w szczególności poprzez przeciwdziałanie pracy nierejestrowanej we wszystkich jej formach i sektorach poprzez ustanowienie skuteczniejszych sankcji wraz z silniejszymi zachętami do legalnej pracy. Ponadto komponent ten promuje równouprawnienie płci (równe wynagrodzenie) za pośrednictwem systemu certyfikacji równości płci. Inwestuje również w młodych ludzi poprzez zwiększenie ilości i jakości programów szkoleniowych, na przykład poprzez udział w programie powszechnej służby cywilnej.</w:t>
      </w:r>
    </w:p>
    <w:p w14:paraId="47A1A3B7" w14:textId="77777777" w:rsidR="004C6421" w:rsidRDefault="009D1962">
      <w:pPr>
        <w:spacing w:before="120" w:after="120"/>
        <w:jc w:val="both"/>
        <w:rPr>
          <w:noProof/>
        </w:rPr>
      </w:pPr>
      <w:r>
        <w:rPr>
          <w:noProof/>
        </w:rPr>
        <w:t>Oczekuje się, że wdrożenie tych środków przyczyni się do sprostania wyzwaniom objętym zaleceniem krajowym nr 2 z 2020 r. dotyczącym rynku pracy, w którym wzywa się Włochy do „łagodzenia wpływu kryzysu na zatrudnienie, w tym poprzez [...] aktywne wspieranie zatrudnienia”, zalecenia krajowego nr 2 z 2020 r. dotyczącego „wspierania umiejętności (...), w tym umiejętności cyfrowych”, zalecenia krajowego nr 2 z 2019 r. dotyczącego „zintensyfikowania wysiłków na rzecz zwalczania pracy nierejestrowanej, zapewnienia, aby aktywne polityki rynku pracy i polityki społeczne (...) docierały w szczególności do osób młodych i grup szczególnie wrażliwych. Wspieranie uczestnictwa kobiet w rynku pracy” oraz w zaleceniu krajowym nr 2 z 2019 r. dotyczącym „wspierania podnoszenia kwalifikacji, w tym poprzez wzmacnianie umiejętności cyfrowych”.</w:t>
      </w:r>
    </w:p>
    <w:p w14:paraId="1F127B26" w14:textId="77777777" w:rsidR="004C6421" w:rsidRDefault="009D1962">
      <w:pPr>
        <w:pStyle w:val="Heading3"/>
        <w:numPr>
          <w:ilvl w:val="0"/>
          <w:numId w:val="0"/>
        </w:numPr>
        <w:ind w:left="850" w:hanging="850"/>
        <w:rPr>
          <w:b/>
          <w:i w:val="0"/>
          <w:noProof/>
          <w:color w:val="4472C4" w:themeColor="accent1"/>
          <w:u w:val="single"/>
        </w:rPr>
      </w:pPr>
      <w:r>
        <w:rPr>
          <w:b/>
          <w:i w:val="0"/>
          <w:noProof/>
          <w:u w:val="single"/>
        </w:rPr>
        <w:t xml:space="preserve">L.1. </w:t>
      </w:r>
      <w:r>
        <w:rPr>
          <w:noProof/>
        </w:rPr>
        <w:t xml:space="preserve"> </w:t>
      </w:r>
      <w:r>
        <w:rPr>
          <w:b/>
          <w:i w:val="0"/>
          <w:noProof/>
          <w:u w:val="single"/>
        </w:rPr>
        <w:t>Opis reform i inwestycji, które mają być finansowane z bezzwrotnego wsparcia finansowego</w:t>
      </w:r>
    </w:p>
    <w:p w14:paraId="230B2837" w14:textId="77777777" w:rsidR="004C6421" w:rsidRDefault="009D1962">
      <w:pPr>
        <w:pStyle w:val="P68B1DB1-Normal2"/>
        <w:spacing w:before="120" w:after="120"/>
        <w:jc w:val="both"/>
        <w:rPr>
          <w:noProof/>
          <w:color w:val="006100"/>
        </w:rPr>
      </w:pPr>
      <w:r>
        <w:rPr>
          <w:noProof/>
        </w:rPr>
        <w:t xml:space="preserve">Reforma 1 – aktywna polityka rynku pracy i szkolenie zawodowe </w:t>
      </w:r>
    </w:p>
    <w:p w14:paraId="7E127D6D" w14:textId="77777777" w:rsidR="004C6421" w:rsidRDefault="009D1962">
      <w:pPr>
        <w:spacing w:before="120" w:after="120"/>
        <w:jc w:val="both"/>
        <w:rPr>
          <w:noProof/>
          <w:color w:val="000000" w:themeColor="text1"/>
        </w:rPr>
      </w:pPr>
      <w:r>
        <w:rPr>
          <w:noProof/>
        </w:rPr>
        <w:t xml:space="preserve">Celem tej reformy jest promowanie bardziej wydajnego aktywnego systemu rynku pracy poprzez zapewnienie specjalnych służb zatrudnienia i zindywidualizowanych planów aktywizacji na rynku pracy. Utworzenie </w:t>
      </w:r>
      <w:r>
        <w:rPr>
          <w:b/>
          <w:noProof/>
          <w:color w:val="000000" w:themeColor="text1"/>
        </w:rPr>
        <w:t xml:space="preserve">krajowego programu gwarantowanego zatrudnienia pracowników </w:t>
      </w:r>
      <w:r>
        <w:rPr>
          <w:noProof/>
          <w:color w:val="000000" w:themeColor="text1"/>
        </w:rPr>
        <w:t xml:space="preserve">(GOL) umożliwi świadczenie dostosowanych do potrzeb usług na rzecz bezrobotnych, wzmacniając tym samym ich ścieżki aktywizacji. Programowi GOL towarzyszy </w:t>
      </w:r>
      <w:r>
        <w:rPr>
          <w:b/>
          <w:noProof/>
          <w:color w:val="000000" w:themeColor="text1"/>
        </w:rPr>
        <w:t>krajowy plan na rzecz nowych umiejętności</w:t>
      </w:r>
      <w:r>
        <w:rPr>
          <w:noProof/>
          <w:color w:val="000000" w:themeColor="text1"/>
        </w:rPr>
        <w:t xml:space="preserve"> oraz określenie niezbędnych </w:t>
      </w:r>
      <w:r>
        <w:rPr>
          <w:b/>
          <w:noProof/>
          <w:color w:val="000000" w:themeColor="text1"/>
        </w:rPr>
        <w:t xml:space="preserve">krajowych poziomów środków w zakresie szkolenia zawodowego. </w:t>
      </w:r>
      <w:r>
        <w:rPr>
          <w:noProof/>
          <w:color w:val="000000" w:themeColor="text1"/>
        </w:rPr>
        <w:t xml:space="preserve">System kształcenia i szkolenia zawodowego we Włoszech zostanie wzmocniony poprzez promowanie terytorialnej sieci służb kształcenia, szkolenia i zatrudnienia, a także poprzez opracowanie włączającego systemu uczenia się przez całe życie oraz innowacyjnych ścieżek podnoszenia i zmiany kwalifikacji. </w:t>
      </w:r>
    </w:p>
    <w:p w14:paraId="2662A853" w14:textId="77777777" w:rsidR="004C6421" w:rsidRDefault="009D1962">
      <w:pPr>
        <w:pStyle w:val="P68B1DB1-Normal2"/>
        <w:spacing w:before="120" w:after="120"/>
        <w:jc w:val="both"/>
        <w:rPr>
          <w:noProof/>
        </w:rPr>
      </w:pPr>
      <w:r>
        <w:rPr>
          <w:noProof/>
          <w:color w:val="000000" w:themeColor="text1"/>
        </w:rPr>
        <w:t xml:space="preserve">Inwestycja 1 – </w:t>
      </w:r>
      <w:r>
        <w:rPr>
          <w:noProof/>
        </w:rPr>
        <w:t>Wzmocnienie publicznych służb zatrudnienia</w:t>
      </w:r>
    </w:p>
    <w:p w14:paraId="31E03705" w14:textId="77777777" w:rsidR="004C6421" w:rsidRDefault="009D1962">
      <w:pPr>
        <w:pStyle w:val="P68B1DB1-Normal11"/>
        <w:spacing w:before="120" w:after="120"/>
        <w:jc w:val="both"/>
        <w:rPr>
          <w:noProof/>
        </w:rPr>
      </w:pPr>
      <w:r>
        <w:rPr>
          <w:noProof/>
        </w:rPr>
        <w:t>Celem tej inwestycji jest umożliwienie skutecznego świadczenia usług w zakresie zatrudnienia i szkoleń. Środek ten obejmuje inwestycje infrastrukturalne, rozwój regionalnych obserwatoriów rynku pracy, rozwój interoperacyjności między regionalnymi i krajowymi systemami informacyjnymi, opracowywanie i wdrażanie interwencji szkoleniowych mających na celu aktualizację umiejętności doradców zawodowych. Środek przewidywał również opracowanie i wdrożenie treści i kanałów komunikacji oferowanych usług.</w:t>
      </w:r>
    </w:p>
    <w:p w14:paraId="01AB7D82" w14:textId="77777777" w:rsidR="004C6421" w:rsidRDefault="009D1962">
      <w:pPr>
        <w:pStyle w:val="P68B1DB1-Normal17"/>
        <w:spacing w:before="120" w:after="120"/>
        <w:jc w:val="both"/>
        <w:rPr>
          <w:noProof/>
        </w:rPr>
      </w:pPr>
      <w:r>
        <w:rPr>
          <w:noProof/>
        </w:rPr>
        <w:t>Reforma 2 – Krajowy plan przeciwdziałania pracy nierejestrowanej</w:t>
      </w:r>
    </w:p>
    <w:p w14:paraId="2AFA8AAB" w14:textId="77777777" w:rsidR="004C6421" w:rsidRDefault="009D1962">
      <w:pPr>
        <w:pStyle w:val="P68B1DB1-Normal11"/>
        <w:spacing w:before="120" w:after="120"/>
        <w:jc w:val="both"/>
        <w:rPr>
          <w:noProof/>
        </w:rPr>
      </w:pPr>
      <w:r>
        <w:rPr>
          <w:noProof/>
        </w:rPr>
        <w:t xml:space="preserve">Celem tego środka jest poprawa jakości pracy i warunków pracy. Środek ten obejmuje działania mające na celu </w:t>
      </w:r>
      <w:r>
        <w:rPr>
          <w:b/>
          <w:noProof/>
        </w:rPr>
        <w:t>zapobieganie pracy nierejestrowanej, wyzyskowi pracowników (Caporalato) i innym formom nielegalnej pracy oraz przeciwdziałanie tym zjawiskom</w:t>
      </w:r>
      <w:r>
        <w:rPr>
          <w:noProof/>
        </w:rPr>
        <w:t xml:space="preserve">. Reforma obejmuje: Wprowadzenie bezpośrednich i pośrednich środków mających na celu przekształcenie pracy nierejestrowanej w pracę rejestrowaną poprzez zapewnienie, aby korzyści płynące z działalności w gospodarce zadeklarowanej przewyższały koszty pracy w gospodarce nierejestrowanej; (II) wzmocnienie zdolności kontrolnych Państwowej Inspekcji Pracy; Poprawa tworzenia, gromadzenia i terminowego rozpowszechniania szczegółowych danych dotyczących pracy nierejestrowanej; (IV) wspieranie procesu przekształcania pracy nierejestrowanej w legalną pracę, wspieranie przyjmowania środków odstraszających i zachęt do legalnej pracy; Prowadzenie kampanii komunikacyjnych, działań informacyjnych i uświadamiających; Wzmocnienie systemu zarządzania w celu zwalczania pracy nierejestrowanej na szczeblu krajowym i lokalnym. </w:t>
      </w:r>
    </w:p>
    <w:p w14:paraId="68A67C91" w14:textId="77777777" w:rsidR="004C6421" w:rsidRDefault="009D1962">
      <w:pPr>
        <w:pStyle w:val="P68B1DB1-Normal17"/>
        <w:spacing w:before="120" w:after="120"/>
        <w:jc w:val="both"/>
        <w:rPr>
          <w:noProof/>
        </w:rPr>
      </w:pPr>
      <w:r>
        <w:rPr>
          <w:noProof/>
        </w:rPr>
        <w:t>Inwestycje 2 – System certyfikacji równouprawnienia płci</w:t>
      </w:r>
    </w:p>
    <w:p w14:paraId="5605AB3B" w14:textId="77777777" w:rsidR="004C6421" w:rsidRDefault="009D1962">
      <w:pPr>
        <w:spacing w:before="120" w:after="120"/>
        <w:jc w:val="both"/>
        <w:rPr>
          <w:noProof/>
        </w:rPr>
      </w:pPr>
      <w:r>
        <w:rPr>
          <w:noProof/>
          <w:color w:val="000000" w:themeColor="text1"/>
        </w:rPr>
        <w:t>Celem tego środka jest zapewnienie udziału</w:t>
      </w:r>
      <w:r>
        <w:rPr>
          <w:noProof/>
        </w:rPr>
        <w:t>kobiet w rynku pracy</w:t>
      </w:r>
      <w:r>
        <w:rPr>
          <w:noProof/>
          <w:color w:val="000000" w:themeColor="text1"/>
        </w:rPr>
        <w:t xml:space="preserve"> i zmniejszenie zróżnicowania wynagrodzenia ze względu na płeć. Inwestycje te obejmują </w:t>
      </w:r>
      <w:r>
        <w:rPr>
          <w:noProof/>
        </w:rPr>
        <w:t xml:space="preserve">wdrożenie i egzekwowanie </w:t>
      </w:r>
      <w:r>
        <w:rPr>
          <w:b/>
          <w:noProof/>
        </w:rPr>
        <w:t xml:space="preserve">krajowego systemu certyfikacji równouprawnienia płci </w:t>
      </w:r>
      <w:r>
        <w:rPr>
          <w:noProof/>
        </w:rPr>
        <w:t>w celu promowania przejrzystości na rynku pracy oraz w procesach biznesowych, a w perspektywie średnio- i długoterminowej – przyczynianie się do poprawy warunków pracy kobiet pod względem jakości, wynagrodzenia i upodmiotowienia.</w:t>
      </w:r>
    </w:p>
    <w:p w14:paraId="3286C722" w14:textId="77777777" w:rsidR="004C6421" w:rsidRDefault="009D1962">
      <w:pPr>
        <w:pStyle w:val="P68B1DB1-Normal2"/>
        <w:spacing w:before="120" w:after="120"/>
        <w:jc w:val="both"/>
        <w:rPr>
          <w:noProof/>
          <w:color w:val="000000" w:themeColor="text1"/>
        </w:rPr>
      </w:pPr>
      <w:r>
        <w:rPr>
          <w:noProof/>
        </w:rPr>
        <w:t>Inwestycje 3 – Wzmocnienie podwójnego systemu</w:t>
      </w:r>
    </w:p>
    <w:p w14:paraId="77922EE0" w14:textId="77777777" w:rsidR="004C6421" w:rsidRDefault="009D1962">
      <w:pPr>
        <w:spacing w:before="120" w:after="120"/>
        <w:jc w:val="both"/>
        <w:rPr>
          <w:noProof/>
        </w:rPr>
      </w:pPr>
      <w:r>
        <w:rPr>
          <w:noProof/>
        </w:rPr>
        <w:t xml:space="preserve">Celem tego środka jest wspieranie osób młodych i dorosłych bez wykształcenia średniego w dostępie do możliwości zatrudnienia poprzez zwiększenie liczby osób uczestniczących w kształceniu formalnym oraz kształceniu i szkoleniu zawodowym za pośrednictwem systemu dualnego, w tym przyuczania do zawodu. Inwestycje te przyczynią się do zwiększenia synergii systemów kształcenia i szkolenia z rynkiem pracy, a także do zwiększenia szans młodych ludzi na zatrudnienie poprzez nabywanie nowych kompetencji, zgodnie z transformacją cyfrową i ekologiczną, z uczeniem się w miejscu pracy. Przyczynia się ona do: Modernizacja systemu kształcenia i szkolenia poprzez sprzyjanie tworzeniu uczenia się w miejscu pracy i wzmacnianie dialogu z przedsiębiorstwami; Zwiększenie przydziału środków finansowych na oferowanie szkoleń na obszarach zmarginalizowanych; (III) stworzenie solidnego i inkluzywnego zarządzania obejmującego partnerów gospodarczych i społecznych. </w:t>
      </w:r>
    </w:p>
    <w:p w14:paraId="3E1D4B2D" w14:textId="77777777" w:rsidR="004C6421" w:rsidRDefault="009D1962">
      <w:pPr>
        <w:pStyle w:val="P68B1DB1-Normal2"/>
        <w:spacing w:before="120" w:after="120"/>
        <w:jc w:val="both"/>
        <w:rPr>
          <w:noProof/>
          <w:color w:val="000000" w:themeColor="text1"/>
        </w:rPr>
      </w:pPr>
      <w:r>
        <w:rPr>
          <w:noProof/>
        </w:rPr>
        <w:t>Inwestycja 4 –</w:t>
      </w:r>
      <w:r>
        <w:rPr>
          <w:noProof/>
          <w:color w:val="000000" w:themeColor="text1"/>
        </w:rPr>
        <w:t>Wzmocnienie powszechnej służby cywilnej</w:t>
      </w:r>
    </w:p>
    <w:p w14:paraId="04D9C44F" w14:textId="77777777" w:rsidR="004C6421" w:rsidRDefault="009D1962">
      <w:pPr>
        <w:spacing w:before="120" w:after="120"/>
        <w:jc w:val="both"/>
        <w:rPr>
          <w:noProof/>
          <w:color w:val="000000" w:themeColor="text1"/>
        </w:rPr>
      </w:pPr>
      <w:r>
        <w:rPr>
          <w:noProof/>
        </w:rPr>
        <w:t xml:space="preserve">Celem tego środka jest wzmocnienie powszechnej służby cywilnej, zwiększenie liczby młodych ludzi zaangażowanych w uczenie się pozaformalne oraz poprawa ich wiedzy i umiejętności. Inwestycje te obejmują środki mające na celu podnoszenie świadomości na temat znaczenia aktywnego obywatelstwa, promowanie </w:t>
      </w:r>
      <w:r>
        <w:rPr>
          <w:noProof/>
          <w:color w:val="000000" w:themeColor="text1"/>
        </w:rPr>
        <w:t>szans młodzieży na zatrudnienie i spójności społecznej, ze szczególnym uwzględnieniem transformacji ekologicznej i cyfrowej.</w:t>
      </w:r>
    </w:p>
    <w:p w14:paraId="314CBEB3" w14:textId="77777777" w:rsidR="004C6421" w:rsidRDefault="009D1962">
      <w:pPr>
        <w:pStyle w:val="Heading3"/>
        <w:numPr>
          <w:ilvl w:val="0"/>
          <w:numId w:val="0"/>
        </w:numPr>
        <w:ind w:left="850" w:hanging="850"/>
        <w:rPr>
          <w:b/>
          <w:i w:val="0"/>
          <w:noProof/>
          <w:u w:val="single"/>
        </w:rPr>
      </w:pPr>
      <w:r>
        <w:rPr>
          <w:b/>
          <w:i w:val="0"/>
          <w:noProof/>
          <w:u w:val="single"/>
        </w:rPr>
        <w:t xml:space="preserve">L.2. </w:t>
      </w:r>
      <w:r>
        <w:rPr>
          <w:noProof/>
        </w:rPr>
        <w:t xml:space="preserve"> </w:t>
      </w:r>
      <w:r>
        <w:rPr>
          <w:b/>
          <w:i w:val="0"/>
          <w:noProof/>
          <w:u w:val="single"/>
        </w:rPr>
        <w:t>Kamienie milowe, wartości docelowe, wskaźniki i harmonogram monitorowania i realizacji na potrzeby bezzwrotnego wsparcia finansowego</w:t>
      </w:r>
    </w:p>
    <w:p w14:paraId="683CB51D" w14:textId="77777777" w:rsidR="004C6421" w:rsidRDefault="004C6421">
      <w:pPr>
        <w:spacing w:before="120" w:after="120"/>
        <w:ind w:left="709"/>
        <w:jc w:val="both"/>
        <w:rPr>
          <w:noProof/>
        </w:rPr>
        <w:sectPr w:rsidR="004C6421" w:rsidSect="00797973">
          <w:headerReference w:type="even" r:id="rId302"/>
          <w:headerReference w:type="default" r:id="rId303"/>
          <w:footerReference w:type="even" r:id="rId304"/>
          <w:footerReference w:type="default" r:id="rId305"/>
          <w:headerReference w:type="first" r:id="rId306"/>
          <w:footerReference w:type="first" r:id="rId307"/>
          <w:pgSz w:w="11907" w:h="16839"/>
          <w:pgMar w:top="1440" w:right="1440" w:bottom="1440" w:left="1440" w:header="567" w:footer="567" w:gutter="0"/>
          <w:cols w:space="720"/>
          <w:docGrid w:linePitch="360"/>
        </w:sect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
        <w:gridCol w:w="1513"/>
        <w:gridCol w:w="1281"/>
        <w:gridCol w:w="1597"/>
        <w:gridCol w:w="1470"/>
        <w:gridCol w:w="1275"/>
        <w:gridCol w:w="1134"/>
        <w:gridCol w:w="1134"/>
        <w:gridCol w:w="851"/>
        <w:gridCol w:w="709"/>
        <w:gridCol w:w="2835"/>
      </w:tblGrid>
      <w:tr w:rsidR="004C6421" w14:paraId="0B9C2DD3" w14:textId="77777777">
        <w:trPr>
          <w:trHeight w:val="633"/>
          <w:tblHeader/>
          <w:jc w:val="center"/>
        </w:trPr>
        <w:tc>
          <w:tcPr>
            <w:tcW w:w="1364" w:type="dxa"/>
            <w:vMerge w:val="restart"/>
            <w:shd w:val="clear" w:color="auto" w:fill="BDD7EE"/>
            <w:vAlign w:val="center"/>
            <w:hideMark/>
          </w:tcPr>
          <w:p w14:paraId="7BFCFC70" w14:textId="77777777" w:rsidR="004C6421" w:rsidRDefault="009D1962">
            <w:pPr>
              <w:pStyle w:val="P68B1DB1-Normal3"/>
              <w:jc w:val="center"/>
              <w:rPr>
                <w:noProof/>
              </w:rPr>
            </w:pPr>
            <w:r>
              <w:rPr>
                <w:noProof/>
              </w:rPr>
              <w:t>Numer porządkowy</w:t>
            </w:r>
          </w:p>
        </w:tc>
        <w:tc>
          <w:tcPr>
            <w:tcW w:w="1513" w:type="dxa"/>
            <w:vMerge w:val="restart"/>
            <w:shd w:val="clear" w:color="auto" w:fill="BDD7EE"/>
            <w:vAlign w:val="center"/>
            <w:hideMark/>
          </w:tcPr>
          <w:p w14:paraId="336D4BE6" w14:textId="77777777" w:rsidR="004C6421" w:rsidRDefault="009D1962">
            <w:pPr>
              <w:pStyle w:val="P68B1DB1-Normal3"/>
              <w:jc w:val="center"/>
              <w:rPr>
                <w:noProof/>
              </w:rPr>
            </w:pPr>
            <w:r>
              <w:rPr>
                <w:noProof/>
              </w:rPr>
              <w:t>Powiązane działanie (reforma lub inwestycja)</w:t>
            </w:r>
          </w:p>
        </w:tc>
        <w:tc>
          <w:tcPr>
            <w:tcW w:w="1281" w:type="dxa"/>
            <w:vMerge w:val="restart"/>
            <w:shd w:val="clear" w:color="auto" w:fill="BDD7EE"/>
            <w:vAlign w:val="center"/>
            <w:hideMark/>
          </w:tcPr>
          <w:p w14:paraId="03059019" w14:textId="77777777" w:rsidR="004C6421" w:rsidRDefault="009D1962">
            <w:pPr>
              <w:pStyle w:val="P68B1DB1-Normal3"/>
              <w:jc w:val="center"/>
              <w:rPr>
                <w:noProof/>
              </w:rPr>
            </w:pPr>
            <w:r>
              <w:rPr>
                <w:noProof/>
              </w:rPr>
              <w:t>Kamień milowy/wartość docelowa</w:t>
            </w:r>
          </w:p>
        </w:tc>
        <w:tc>
          <w:tcPr>
            <w:tcW w:w="1597" w:type="dxa"/>
            <w:vMerge w:val="restart"/>
            <w:shd w:val="clear" w:color="auto" w:fill="BDD7EE"/>
            <w:vAlign w:val="center"/>
            <w:hideMark/>
          </w:tcPr>
          <w:p w14:paraId="0775C4E2" w14:textId="77777777" w:rsidR="004C6421" w:rsidRDefault="009D1962">
            <w:pPr>
              <w:pStyle w:val="P68B1DB1-Normal3"/>
              <w:jc w:val="center"/>
              <w:rPr>
                <w:noProof/>
              </w:rPr>
            </w:pPr>
            <w:r>
              <w:rPr>
                <w:noProof/>
              </w:rPr>
              <w:t>Nazwa</w:t>
            </w:r>
          </w:p>
        </w:tc>
        <w:tc>
          <w:tcPr>
            <w:tcW w:w="1470" w:type="dxa"/>
            <w:vMerge w:val="restart"/>
            <w:shd w:val="clear" w:color="auto" w:fill="BDD7EE"/>
            <w:vAlign w:val="center"/>
            <w:hideMark/>
          </w:tcPr>
          <w:p w14:paraId="4C0ED59D" w14:textId="77777777" w:rsidR="004C6421" w:rsidRDefault="009D1962">
            <w:pPr>
              <w:jc w:val="center"/>
              <w:rPr>
                <w:rFonts w:ascii="Arial Narrow" w:hAnsi="Arial Narrow"/>
                <w:b/>
                <w:noProof/>
                <w:sz w:val="20"/>
              </w:rPr>
            </w:pPr>
            <w:r>
              <w:rPr>
                <w:rFonts w:ascii="Arial Narrow" w:hAnsi="Arial Narrow"/>
                <w:b/>
                <w:noProof/>
                <w:sz w:val="20"/>
              </w:rPr>
              <w:t xml:space="preserve">Wskaźniki jakościowe </w:t>
            </w:r>
            <w:r>
              <w:rPr>
                <w:rFonts w:ascii="Arial Narrow" w:hAnsi="Arial Narrow"/>
                <w:noProof/>
                <w:sz w:val="20"/>
              </w:rPr>
              <w:t xml:space="preserve"> </w:t>
            </w:r>
            <w:r>
              <w:rPr>
                <w:noProof/>
              </w:rPr>
              <w:t xml:space="preserve">  </w:t>
            </w:r>
            <w:r>
              <w:rPr>
                <w:noProof/>
              </w:rPr>
              <w:br/>
            </w:r>
            <w:r>
              <w:rPr>
                <w:rFonts w:ascii="Arial Narrow" w:hAnsi="Arial Narrow"/>
                <w:b/>
                <w:noProof/>
                <w:sz w:val="20"/>
              </w:rPr>
              <w:t>(dla kamieni milowych)</w:t>
            </w:r>
          </w:p>
        </w:tc>
        <w:tc>
          <w:tcPr>
            <w:tcW w:w="3543" w:type="dxa"/>
            <w:gridSpan w:val="3"/>
            <w:shd w:val="clear" w:color="auto" w:fill="BDD7EE"/>
            <w:vAlign w:val="center"/>
            <w:hideMark/>
          </w:tcPr>
          <w:p w14:paraId="7025CBC1" w14:textId="77777777" w:rsidR="004C6421" w:rsidRDefault="009D1962">
            <w:pPr>
              <w:jc w:val="center"/>
              <w:rPr>
                <w:rFonts w:ascii="Arial Narrow" w:hAnsi="Arial Narrow"/>
                <w:b/>
                <w:noProof/>
                <w:sz w:val="20"/>
              </w:rPr>
            </w:pPr>
            <w:r>
              <w:rPr>
                <w:rFonts w:ascii="Arial Narrow" w:hAnsi="Arial Narrow"/>
                <w:b/>
                <w:noProof/>
                <w:sz w:val="20"/>
              </w:rPr>
              <w:t xml:space="preserve">Wskaźniki ilościowe </w:t>
            </w:r>
            <w:r>
              <w:rPr>
                <w:rFonts w:ascii="Arial Narrow" w:hAnsi="Arial Narrow"/>
                <w:noProof/>
                <w:sz w:val="20"/>
              </w:rPr>
              <w:t xml:space="preserve"> </w:t>
            </w:r>
            <w:r>
              <w:rPr>
                <w:noProof/>
              </w:rPr>
              <w:t xml:space="preserve">  </w:t>
            </w:r>
            <w:r>
              <w:rPr>
                <w:noProof/>
              </w:rPr>
              <w:br/>
            </w:r>
            <w:r>
              <w:rPr>
                <w:rFonts w:ascii="Arial Narrow" w:hAnsi="Arial Narrow"/>
                <w:b/>
                <w:noProof/>
                <w:sz w:val="20"/>
              </w:rPr>
              <w:t>(dla wartości docelowych)</w:t>
            </w:r>
          </w:p>
        </w:tc>
        <w:tc>
          <w:tcPr>
            <w:tcW w:w="1560" w:type="dxa"/>
            <w:gridSpan w:val="2"/>
            <w:shd w:val="clear" w:color="auto" w:fill="BDD7EE"/>
            <w:vAlign w:val="center"/>
            <w:hideMark/>
          </w:tcPr>
          <w:p w14:paraId="750692F6" w14:textId="77777777" w:rsidR="004C6421" w:rsidRDefault="009D1962">
            <w:pPr>
              <w:pStyle w:val="P68B1DB1-Normal3"/>
              <w:jc w:val="center"/>
              <w:rPr>
                <w:noProof/>
              </w:rPr>
            </w:pPr>
            <w:r>
              <w:rPr>
                <w:noProof/>
              </w:rPr>
              <w:t>Orientacyjny harmonogram zakończenia działania</w:t>
            </w:r>
          </w:p>
        </w:tc>
        <w:tc>
          <w:tcPr>
            <w:tcW w:w="2835" w:type="dxa"/>
            <w:vMerge w:val="restart"/>
            <w:shd w:val="clear" w:color="auto" w:fill="BDD7EE"/>
            <w:vAlign w:val="center"/>
            <w:hideMark/>
          </w:tcPr>
          <w:p w14:paraId="1840DE48" w14:textId="77777777" w:rsidR="004C6421" w:rsidRDefault="009D1962">
            <w:pPr>
              <w:pStyle w:val="P68B1DB1-Normal3"/>
              <w:jc w:val="center"/>
              <w:rPr>
                <w:noProof/>
              </w:rPr>
            </w:pPr>
            <w:r>
              <w:rPr>
                <w:noProof/>
              </w:rPr>
              <w:t>Opis każdego kamienia milowego i każdej wartości docelowej</w:t>
            </w:r>
          </w:p>
        </w:tc>
      </w:tr>
      <w:tr w:rsidR="004C6421" w14:paraId="2FAE0D2F" w14:textId="77777777">
        <w:trPr>
          <w:trHeight w:val="632"/>
          <w:jc w:val="center"/>
        </w:trPr>
        <w:tc>
          <w:tcPr>
            <w:tcW w:w="1364" w:type="dxa"/>
            <w:vMerge/>
            <w:vAlign w:val="center"/>
          </w:tcPr>
          <w:p w14:paraId="0196BDF0" w14:textId="77777777" w:rsidR="004C6421" w:rsidRDefault="004C6421">
            <w:pPr>
              <w:jc w:val="center"/>
              <w:rPr>
                <w:rFonts w:ascii="Arial Narrow" w:hAnsi="Arial Narrow"/>
                <w:b/>
                <w:noProof/>
                <w:sz w:val="20"/>
              </w:rPr>
            </w:pPr>
          </w:p>
        </w:tc>
        <w:tc>
          <w:tcPr>
            <w:tcW w:w="1513" w:type="dxa"/>
            <w:vMerge/>
            <w:vAlign w:val="center"/>
          </w:tcPr>
          <w:p w14:paraId="0F016234" w14:textId="77777777" w:rsidR="004C6421" w:rsidRDefault="004C6421">
            <w:pPr>
              <w:jc w:val="center"/>
              <w:rPr>
                <w:rFonts w:ascii="Arial Narrow" w:hAnsi="Arial Narrow"/>
                <w:b/>
                <w:noProof/>
                <w:sz w:val="20"/>
              </w:rPr>
            </w:pPr>
          </w:p>
        </w:tc>
        <w:tc>
          <w:tcPr>
            <w:tcW w:w="1281" w:type="dxa"/>
            <w:vMerge/>
            <w:vAlign w:val="center"/>
          </w:tcPr>
          <w:p w14:paraId="43211957" w14:textId="77777777" w:rsidR="004C6421" w:rsidRDefault="004C6421">
            <w:pPr>
              <w:jc w:val="center"/>
              <w:rPr>
                <w:rFonts w:ascii="Arial Narrow" w:hAnsi="Arial Narrow"/>
                <w:b/>
                <w:noProof/>
                <w:sz w:val="20"/>
              </w:rPr>
            </w:pPr>
          </w:p>
        </w:tc>
        <w:tc>
          <w:tcPr>
            <w:tcW w:w="1597" w:type="dxa"/>
            <w:vMerge/>
            <w:vAlign w:val="center"/>
          </w:tcPr>
          <w:p w14:paraId="67D609A3" w14:textId="77777777" w:rsidR="004C6421" w:rsidRDefault="004C6421">
            <w:pPr>
              <w:jc w:val="center"/>
              <w:rPr>
                <w:rFonts w:ascii="Arial Narrow" w:hAnsi="Arial Narrow"/>
                <w:b/>
                <w:noProof/>
                <w:sz w:val="20"/>
              </w:rPr>
            </w:pPr>
          </w:p>
        </w:tc>
        <w:tc>
          <w:tcPr>
            <w:tcW w:w="1470" w:type="dxa"/>
            <w:vMerge/>
            <w:vAlign w:val="center"/>
          </w:tcPr>
          <w:p w14:paraId="193CB172" w14:textId="77777777" w:rsidR="004C6421" w:rsidRDefault="004C6421">
            <w:pPr>
              <w:jc w:val="center"/>
              <w:rPr>
                <w:rFonts w:ascii="Arial Narrow" w:hAnsi="Arial Narrow"/>
                <w:b/>
                <w:noProof/>
                <w:sz w:val="20"/>
              </w:rPr>
            </w:pPr>
          </w:p>
        </w:tc>
        <w:tc>
          <w:tcPr>
            <w:tcW w:w="1275" w:type="dxa"/>
            <w:shd w:val="clear" w:color="auto" w:fill="BDD7EE"/>
            <w:vAlign w:val="center"/>
          </w:tcPr>
          <w:p w14:paraId="48702639" w14:textId="77777777" w:rsidR="004C6421" w:rsidRDefault="009D1962">
            <w:pPr>
              <w:pStyle w:val="P68B1DB1-Normal3"/>
              <w:jc w:val="center"/>
              <w:rPr>
                <w:noProof/>
              </w:rPr>
            </w:pPr>
            <w:r>
              <w:rPr>
                <w:noProof/>
              </w:rPr>
              <w:t>Jednostka miary</w:t>
            </w:r>
          </w:p>
        </w:tc>
        <w:tc>
          <w:tcPr>
            <w:tcW w:w="1134" w:type="dxa"/>
            <w:shd w:val="clear" w:color="auto" w:fill="BDD7EE"/>
            <w:vAlign w:val="center"/>
          </w:tcPr>
          <w:p w14:paraId="1177414F" w14:textId="77777777" w:rsidR="004C6421" w:rsidRDefault="009D1962">
            <w:pPr>
              <w:pStyle w:val="P68B1DB1-Normal3"/>
              <w:jc w:val="center"/>
              <w:rPr>
                <w:noProof/>
              </w:rPr>
            </w:pPr>
            <w:r>
              <w:rPr>
                <w:noProof/>
              </w:rPr>
              <w:t>Bazowy</w:t>
            </w:r>
          </w:p>
        </w:tc>
        <w:tc>
          <w:tcPr>
            <w:tcW w:w="1134" w:type="dxa"/>
            <w:shd w:val="clear" w:color="auto" w:fill="BDD7EE"/>
            <w:vAlign w:val="center"/>
          </w:tcPr>
          <w:p w14:paraId="27113D0E" w14:textId="77777777" w:rsidR="004C6421" w:rsidRDefault="009D1962">
            <w:pPr>
              <w:pStyle w:val="P68B1DB1-Normal3"/>
              <w:jc w:val="center"/>
              <w:rPr>
                <w:noProof/>
              </w:rPr>
            </w:pPr>
            <w:r>
              <w:rPr>
                <w:noProof/>
              </w:rPr>
              <w:t>Cel</w:t>
            </w:r>
          </w:p>
        </w:tc>
        <w:tc>
          <w:tcPr>
            <w:tcW w:w="851" w:type="dxa"/>
            <w:shd w:val="clear" w:color="auto" w:fill="BDD7EE"/>
            <w:vAlign w:val="center"/>
          </w:tcPr>
          <w:p w14:paraId="5B601541" w14:textId="77777777" w:rsidR="004C6421" w:rsidRDefault="009D1962">
            <w:pPr>
              <w:pStyle w:val="P68B1DB1-Normal3"/>
              <w:jc w:val="center"/>
              <w:rPr>
                <w:noProof/>
              </w:rPr>
            </w:pPr>
            <w:r>
              <w:rPr>
                <w:noProof/>
              </w:rPr>
              <w:t>Kwartał</w:t>
            </w:r>
          </w:p>
        </w:tc>
        <w:tc>
          <w:tcPr>
            <w:tcW w:w="709" w:type="dxa"/>
            <w:shd w:val="clear" w:color="auto" w:fill="BDD7EE"/>
            <w:vAlign w:val="center"/>
          </w:tcPr>
          <w:p w14:paraId="101C5048" w14:textId="77777777" w:rsidR="004C6421" w:rsidRDefault="009D1962">
            <w:pPr>
              <w:pStyle w:val="P68B1DB1-Normal3"/>
              <w:jc w:val="center"/>
              <w:rPr>
                <w:noProof/>
              </w:rPr>
            </w:pPr>
            <w:r>
              <w:rPr>
                <w:noProof/>
              </w:rPr>
              <w:t>Rok</w:t>
            </w:r>
          </w:p>
        </w:tc>
        <w:tc>
          <w:tcPr>
            <w:tcW w:w="2835" w:type="dxa"/>
            <w:vMerge/>
            <w:vAlign w:val="center"/>
          </w:tcPr>
          <w:p w14:paraId="2940A2B0" w14:textId="77777777" w:rsidR="004C6421" w:rsidRDefault="004C6421">
            <w:pPr>
              <w:jc w:val="center"/>
              <w:rPr>
                <w:rFonts w:ascii="Arial Narrow" w:hAnsi="Arial Narrow"/>
                <w:b/>
                <w:noProof/>
                <w:sz w:val="20"/>
              </w:rPr>
            </w:pPr>
          </w:p>
        </w:tc>
      </w:tr>
      <w:tr w:rsidR="004C6421" w14:paraId="1AC75209" w14:textId="77777777">
        <w:trPr>
          <w:trHeight w:val="309"/>
          <w:jc w:val="center"/>
        </w:trPr>
        <w:tc>
          <w:tcPr>
            <w:tcW w:w="1364" w:type="dxa"/>
            <w:shd w:val="clear" w:color="auto" w:fill="C6EFCE"/>
            <w:noWrap/>
            <w:vAlign w:val="center"/>
            <w:hideMark/>
          </w:tcPr>
          <w:p w14:paraId="433C9658" w14:textId="77777777" w:rsidR="004C6421" w:rsidRDefault="009D1962">
            <w:pPr>
              <w:pStyle w:val="P68B1DB1-Normal4"/>
              <w:jc w:val="center"/>
              <w:rPr>
                <w:noProof/>
              </w:rPr>
            </w:pPr>
            <w:r>
              <w:rPr>
                <w:noProof/>
              </w:rPr>
              <w:t xml:space="preserve">M5C1-1 </w:t>
            </w:r>
          </w:p>
        </w:tc>
        <w:tc>
          <w:tcPr>
            <w:tcW w:w="1513" w:type="dxa"/>
            <w:shd w:val="clear" w:color="auto" w:fill="C6EFCE"/>
            <w:noWrap/>
            <w:vAlign w:val="center"/>
            <w:hideMark/>
          </w:tcPr>
          <w:p w14:paraId="066098BF" w14:textId="77777777" w:rsidR="004C6421" w:rsidRDefault="009D1962">
            <w:pPr>
              <w:pStyle w:val="P68B1DB1-Normal4"/>
              <w:jc w:val="center"/>
              <w:rPr>
                <w:noProof/>
              </w:rPr>
            </w:pPr>
            <w:r>
              <w:rPr>
                <w:noProof/>
              </w:rPr>
              <w:t>Reforma 1 – aktywna polityka rynku pracy i szkolenie zawodowe</w:t>
            </w:r>
          </w:p>
        </w:tc>
        <w:tc>
          <w:tcPr>
            <w:tcW w:w="1281" w:type="dxa"/>
            <w:shd w:val="clear" w:color="auto" w:fill="C6EFCE"/>
            <w:noWrap/>
            <w:vAlign w:val="center"/>
            <w:hideMark/>
          </w:tcPr>
          <w:p w14:paraId="42D084A5" w14:textId="756EF99B" w:rsidR="004C6421" w:rsidRDefault="00CC179E">
            <w:pPr>
              <w:pStyle w:val="P68B1DB1-Normal4"/>
              <w:jc w:val="center"/>
              <w:rPr>
                <w:noProof/>
              </w:rPr>
            </w:pPr>
            <w:r>
              <w:rPr>
                <w:noProof/>
              </w:rPr>
              <w:t>Milowy</w:t>
            </w:r>
          </w:p>
        </w:tc>
        <w:tc>
          <w:tcPr>
            <w:tcW w:w="1597" w:type="dxa"/>
            <w:shd w:val="clear" w:color="auto" w:fill="C6EFCE"/>
            <w:noWrap/>
            <w:vAlign w:val="center"/>
            <w:hideMark/>
          </w:tcPr>
          <w:p w14:paraId="547D7CB1" w14:textId="77777777" w:rsidR="004C6421" w:rsidRDefault="009D1962">
            <w:pPr>
              <w:pStyle w:val="P68B1DB1-Normal4"/>
              <w:jc w:val="center"/>
              <w:rPr>
                <w:noProof/>
              </w:rPr>
            </w:pPr>
            <w:r>
              <w:rPr>
                <w:noProof/>
              </w:rPr>
              <w:t>Wejście w życie dekretu międzyresortowego ustanawiającego krajowy program gwarantowanego zatrudnienia pracowników (GOL) oraz dekretu międzyresortowego ustanawiającego krajowy plan na rzecz nowych umiejętności</w:t>
            </w:r>
          </w:p>
        </w:tc>
        <w:tc>
          <w:tcPr>
            <w:tcW w:w="1470" w:type="dxa"/>
            <w:shd w:val="clear" w:color="auto" w:fill="C6EFCE"/>
            <w:noWrap/>
            <w:vAlign w:val="center"/>
            <w:hideMark/>
          </w:tcPr>
          <w:p w14:paraId="6D256877" w14:textId="77777777" w:rsidR="004C6421" w:rsidRDefault="009D1962">
            <w:pPr>
              <w:pStyle w:val="P68B1DB1-Normal4"/>
              <w:jc w:val="center"/>
              <w:rPr>
                <w:noProof/>
              </w:rPr>
            </w:pPr>
            <w:r>
              <w:rPr>
                <w:noProof/>
              </w:rPr>
              <w:t>Przepis w dekretach międzyresortowych wskazujący na wejście w życie dwóch dekretów międzyresortowych, w następstwie porozumień na konferencji państwa i regionów w sprawie programu GOL i Krajowego Planu na rzecz Nowych Umiejętności NIE DOT.</w:t>
            </w:r>
          </w:p>
        </w:tc>
        <w:tc>
          <w:tcPr>
            <w:tcW w:w="1275" w:type="dxa"/>
            <w:shd w:val="clear" w:color="auto" w:fill="C6EFCE"/>
            <w:noWrap/>
            <w:vAlign w:val="center"/>
            <w:hideMark/>
          </w:tcPr>
          <w:p w14:paraId="4F259916" w14:textId="77777777" w:rsidR="004C6421" w:rsidRDefault="009D1962">
            <w:pPr>
              <w:pStyle w:val="P68B1DB1-Normal4"/>
              <w:jc w:val="center"/>
              <w:rPr>
                <w:noProof/>
              </w:rPr>
            </w:pPr>
            <w:r>
              <w:rPr>
                <w:noProof/>
              </w:rPr>
              <w:t>NIE DOT.</w:t>
            </w:r>
          </w:p>
        </w:tc>
        <w:tc>
          <w:tcPr>
            <w:tcW w:w="1134" w:type="dxa"/>
            <w:shd w:val="clear" w:color="auto" w:fill="C6EFCE"/>
            <w:noWrap/>
            <w:vAlign w:val="center"/>
            <w:hideMark/>
          </w:tcPr>
          <w:p w14:paraId="706EC492" w14:textId="77777777" w:rsidR="004C6421" w:rsidRDefault="009D1962">
            <w:pPr>
              <w:pStyle w:val="P68B1DB1-Normal4"/>
              <w:jc w:val="center"/>
              <w:rPr>
                <w:rFonts w:eastAsia="Calibri"/>
                <w:noProof/>
              </w:rPr>
            </w:pPr>
            <w:r>
              <w:rPr>
                <w:noProof/>
              </w:rPr>
              <w:t>NIE DOT.</w:t>
            </w:r>
          </w:p>
        </w:tc>
        <w:tc>
          <w:tcPr>
            <w:tcW w:w="1134" w:type="dxa"/>
            <w:shd w:val="clear" w:color="auto" w:fill="C6EFCE"/>
            <w:noWrap/>
            <w:vAlign w:val="center"/>
            <w:hideMark/>
          </w:tcPr>
          <w:p w14:paraId="6477FE3D" w14:textId="77777777" w:rsidR="004C6421" w:rsidRDefault="009D1962">
            <w:pPr>
              <w:pStyle w:val="P68B1DB1-Normal4"/>
              <w:jc w:val="center"/>
              <w:rPr>
                <w:noProof/>
              </w:rPr>
            </w:pPr>
            <w:r>
              <w:rPr>
                <w:noProof/>
              </w:rPr>
              <w:t>NIE DOT.</w:t>
            </w:r>
          </w:p>
        </w:tc>
        <w:tc>
          <w:tcPr>
            <w:tcW w:w="851" w:type="dxa"/>
            <w:shd w:val="clear" w:color="auto" w:fill="C6EFCE"/>
            <w:noWrap/>
            <w:vAlign w:val="center"/>
            <w:hideMark/>
          </w:tcPr>
          <w:p w14:paraId="6A6144E5" w14:textId="3D6AAB3E" w:rsidR="004C6421" w:rsidRDefault="00CC179E">
            <w:pPr>
              <w:pStyle w:val="P68B1DB1-Normal4"/>
              <w:jc w:val="center"/>
              <w:rPr>
                <w:rFonts w:eastAsia="Calibri"/>
                <w:noProof/>
              </w:rPr>
            </w:pPr>
            <w:r>
              <w:rPr>
                <w:noProof/>
              </w:rPr>
              <w:t>KW. 4</w:t>
            </w:r>
          </w:p>
        </w:tc>
        <w:tc>
          <w:tcPr>
            <w:tcW w:w="709" w:type="dxa"/>
            <w:shd w:val="clear" w:color="auto" w:fill="C6EFCE"/>
            <w:noWrap/>
            <w:vAlign w:val="center"/>
            <w:hideMark/>
          </w:tcPr>
          <w:p w14:paraId="309D041F" w14:textId="77777777" w:rsidR="004C6421" w:rsidRDefault="009D1962">
            <w:pPr>
              <w:pStyle w:val="P68B1DB1-Normal4"/>
              <w:jc w:val="center"/>
              <w:rPr>
                <w:noProof/>
              </w:rPr>
            </w:pPr>
            <w:r>
              <w:rPr>
                <w:noProof/>
              </w:rPr>
              <w:t>2021</w:t>
            </w:r>
          </w:p>
        </w:tc>
        <w:tc>
          <w:tcPr>
            <w:tcW w:w="2835" w:type="dxa"/>
            <w:shd w:val="clear" w:color="auto" w:fill="C6EFCE"/>
            <w:noWrap/>
            <w:vAlign w:val="center"/>
            <w:hideMark/>
          </w:tcPr>
          <w:p w14:paraId="12B3E791" w14:textId="77777777" w:rsidR="004C6421" w:rsidRDefault="009D1962">
            <w:pPr>
              <w:pStyle w:val="P68B1DB1-Normal4"/>
              <w:rPr>
                <w:rFonts w:eastAsia="Calibri"/>
                <w:noProof/>
              </w:rPr>
            </w:pPr>
            <w:r>
              <w:rPr>
                <w:noProof/>
              </w:rPr>
              <w:t>Czynności dotyczące GOL muszą co najmniej: określenie zasadniczych elementów i standardów publicznych służb zatrudnienia, w tym prognozowania umiejętności, spersonalizowanych planów szkoleń, poradnictwa i coachingu zawodowego, aby zapewnić skuteczne świadczenie zindywidualizowanych usług zatrudnienia zgodnie ze wspólnymi i jednolitymi standardami na całym terytorium kraju, (ii) zapewnienia, aby działania szkoleniowe w zakresie podnoszenia i zmiany kwalifikacji prowadzone przez publiczne służby zatrudnienia były w pełni zgodne z krajowym planem na rzecz nowych umiejętności, w tym umiejętności cyfrowych, (iii) zapewnienia, aby publiczne służby zatrudnienia były ukierunkowane na potrzeby odbiorców, (iv) zapewnienia, aby publiczne służby zatrudnienia były w pierwszej kolejności ukierunkowane na osoby znajdujące się w najtrudniejszej sytuacji; (v) wyznaczyły cel, zgodnie z którym co najmniej 25 % beneficjentów programów gwarantowanych możliwości zatrudnienia pracowników będzie odbiorcami odpowiednich szkoleń, ze szczególnym uwzględnieniem umiejętności cyfrowych i priorytetowego traktowania osób znajdujących się w najtrudniejszej sytuacji; (VI) ustanowienie nowych mechanizmów, które wzmacniają i wzmacniają strukturalną współpracę między systemami publicznymi i prywatnymi, w tym w odniesieniu do określania odpowiednich potrzeb w zakresie umiejętności i oferowania ofert pracy. Dekret stanowi, że odbiorcy siatek bezpieczeństwa socjalnego mają dostęp do usług świadczonych w ramach krajowego programu gwarantowanego zatrudnienia pracowników w terminie 4 miesięcy od momentu, w którym osiągną prawo do siatek bezpieczeństwa socjalnego. Akty dotyczące krajowego planu na rzecz nowych umiejętności obejmują co najmniej: (i) określa wspólne normy i podstawowe poziomy szkolenia zawodowego na całym terytorium kraju, (ii) jest ukierunkowane zarówno na osoby zatrudnione, jak i bezrobotne oraz osoby mające na celu podnoszenie ich umiejętności cyfrowych i zachęcanie do uczenia się przez całe życie. (III) określenie umiejętności i odpowiednich standardów w oparciu o współpracę między systemami publicznymi i prywatnymi, (iv) uwzględnienie różnych potrzeb rozważanych grup docelowych, które jako minimum obejmują osoby znajdujące się w najtrudniejszej sytuacji, (v) obejmują wszystkie odpowiednie strategie sektorowe mające na celu przyjęcie kompleksowego podejścia, w tym krajowy plan strategiczny w zakresie kompetencji dorosłych; (vi) włączenie przepisu dotyczącego opracowania systemu prognozowania nowych kompetencji potrzebnych w perspektywie krótko- i średnioterminowej na rynku pracy.</w:t>
            </w:r>
          </w:p>
        </w:tc>
      </w:tr>
      <w:tr w:rsidR="004C6421" w14:paraId="0D9FB24C" w14:textId="77777777">
        <w:trPr>
          <w:trHeight w:val="309"/>
          <w:jc w:val="center"/>
        </w:trPr>
        <w:tc>
          <w:tcPr>
            <w:tcW w:w="1364" w:type="dxa"/>
            <w:shd w:val="clear" w:color="auto" w:fill="C6EFCE"/>
            <w:noWrap/>
            <w:vAlign w:val="center"/>
            <w:hideMark/>
          </w:tcPr>
          <w:p w14:paraId="6BA2EB20" w14:textId="77777777" w:rsidR="004C6421" w:rsidRDefault="009D1962">
            <w:pPr>
              <w:pStyle w:val="P68B1DB1-Normal4"/>
              <w:jc w:val="center"/>
              <w:rPr>
                <w:noProof/>
              </w:rPr>
            </w:pPr>
            <w:r>
              <w:rPr>
                <w:noProof/>
              </w:rPr>
              <w:t xml:space="preserve">M5C1-2 </w:t>
            </w:r>
          </w:p>
        </w:tc>
        <w:tc>
          <w:tcPr>
            <w:tcW w:w="1513" w:type="dxa"/>
            <w:shd w:val="clear" w:color="auto" w:fill="C6EFCE"/>
            <w:noWrap/>
            <w:vAlign w:val="center"/>
            <w:hideMark/>
          </w:tcPr>
          <w:p w14:paraId="64230BE1" w14:textId="77777777" w:rsidR="004C6421" w:rsidRDefault="009D1962">
            <w:pPr>
              <w:pStyle w:val="P68B1DB1-Normal4"/>
              <w:jc w:val="center"/>
              <w:rPr>
                <w:noProof/>
              </w:rPr>
            </w:pPr>
            <w:r>
              <w:rPr>
                <w:noProof/>
              </w:rPr>
              <w:t>Reforma 1 – aktywna polityka rynku pracy i szkolenie zawodowe</w:t>
            </w:r>
          </w:p>
        </w:tc>
        <w:tc>
          <w:tcPr>
            <w:tcW w:w="1281" w:type="dxa"/>
            <w:shd w:val="clear" w:color="auto" w:fill="C6EFCE"/>
            <w:noWrap/>
            <w:vAlign w:val="center"/>
            <w:hideMark/>
          </w:tcPr>
          <w:p w14:paraId="2F8BAE40" w14:textId="40382DC9" w:rsidR="004C6421" w:rsidRDefault="00CC179E">
            <w:pPr>
              <w:pStyle w:val="P68B1DB1-Normal4"/>
              <w:jc w:val="center"/>
              <w:rPr>
                <w:noProof/>
              </w:rPr>
            </w:pPr>
            <w:r>
              <w:rPr>
                <w:noProof/>
              </w:rPr>
              <w:t>Milowy</w:t>
            </w:r>
          </w:p>
        </w:tc>
        <w:tc>
          <w:tcPr>
            <w:tcW w:w="1597" w:type="dxa"/>
            <w:shd w:val="clear" w:color="auto" w:fill="C6EFCE"/>
            <w:noWrap/>
            <w:vAlign w:val="center"/>
            <w:hideMark/>
          </w:tcPr>
          <w:p w14:paraId="1CA89C3A" w14:textId="77777777" w:rsidR="004C6421" w:rsidRDefault="009D1962">
            <w:pPr>
              <w:pStyle w:val="P68B1DB1-Normal4"/>
              <w:jc w:val="center"/>
              <w:rPr>
                <w:noProof/>
              </w:rPr>
            </w:pPr>
            <w:r>
              <w:rPr>
                <w:noProof/>
              </w:rPr>
              <w:t xml:space="preserve">Wejście w życie na szczeblu regionalnym wszystkich planów dotyczących publicznych służb zatrudnienia  </w:t>
            </w:r>
          </w:p>
        </w:tc>
        <w:tc>
          <w:tcPr>
            <w:tcW w:w="1470" w:type="dxa"/>
            <w:shd w:val="clear" w:color="auto" w:fill="C6EFCE"/>
            <w:noWrap/>
            <w:vAlign w:val="center"/>
            <w:hideMark/>
          </w:tcPr>
          <w:p w14:paraId="0B7E21C8" w14:textId="77777777" w:rsidR="004C6421" w:rsidRDefault="009D1962">
            <w:pPr>
              <w:pStyle w:val="P68B1DB1-Normal4"/>
              <w:jc w:val="center"/>
              <w:rPr>
                <w:noProof/>
              </w:rPr>
            </w:pPr>
            <w:r>
              <w:rPr>
                <w:noProof/>
              </w:rPr>
              <w:t>Przepis wskazujący na wejście w życie planów przyjętych przez regiony i zrealizowane działania NIE DOT.</w:t>
            </w:r>
          </w:p>
        </w:tc>
        <w:tc>
          <w:tcPr>
            <w:tcW w:w="1275" w:type="dxa"/>
            <w:shd w:val="clear" w:color="auto" w:fill="C6EFCE"/>
            <w:noWrap/>
            <w:vAlign w:val="center"/>
            <w:hideMark/>
          </w:tcPr>
          <w:p w14:paraId="00E2BECA" w14:textId="77777777" w:rsidR="004C6421" w:rsidRDefault="009D1962">
            <w:pPr>
              <w:pStyle w:val="P68B1DB1-Normal4"/>
              <w:jc w:val="center"/>
              <w:rPr>
                <w:rFonts w:eastAsia="Calibri"/>
                <w:noProof/>
              </w:rPr>
            </w:pPr>
            <w:r>
              <w:rPr>
                <w:noProof/>
              </w:rPr>
              <w:t>NIE DOT.</w:t>
            </w:r>
          </w:p>
        </w:tc>
        <w:tc>
          <w:tcPr>
            <w:tcW w:w="1134" w:type="dxa"/>
            <w:shd w:val="clear" w:color="auto" w:fill="C6EFCE"/>
            <w:noWrap/>
            <w:vAlign w:val="center"/>
            <w:hideMark/>
          </w:tcPr>
          <w:p w14:paraId="15BE09A7" w14:textId="77777777" w:rsidR="004C6421" w:rsidRDefault="009D1962">
            <w:pPr>
              <w:pStyle w:val="P68B1DB1-Normal4"/>
              <w:jc w:val="center"/>
              <w:rPr>
                <w:noProof/>
              </w:rPr>
            </w:pPr>
            <w:r>
              <w:rPr>
                <w:noProof/>
              </w:rPr>
              <w:t>NIE DOT.</w:t>
            </w:r>
          </w:p>
        </w:tc>
        <w:tc>
          <w:tcPr>
            <w:tcW w:w="1134" w:type="dxa"/>
            <w:shd w:val="clear" w:color="auto" w:fill="C6EFCE"/>
            <w:noWrap/>
            <w:vAlign w:val="center"/>
            <w:hideMark/>
          </w:tcPr>
          <w:p w14:paraId="3684FCF9" w14:textId="77777777" w:rsidR="004C6421" w:rsidRDefault="009D1962">
            <w:pPr>
              <w:pStyle w:val="P68B1DB1-Normal4"/>
              <w:jc w:val="center"/>
              <w:rPr>
                <w:noProof/>
              </w:rPr>
            </w:pPr>
            <w:r>
              <w:rPr>
                <w:noProof/>
              </w:rPr>
              <w:t>NIE DOT.</w:t>
            </w:r>
          </w:p>
        </w:tc>
        <w:tc>
          <w:tcPr>
            <w:tcW w:w="851" w:type="dxa"/>
            <w:shd w:val="clear" w:color="auto" w:fill="C6EFCE"/>
            <w:noWrap/>
            <w:vAlign w:val="center"/>
            <w:hideMark/>
          </w:tcPr>
          <w:p w14:paraId="26E9AF5E" w14:textId="46413DB4" w:rsidR="004C6421" w:rsidRDefault="00CC179E">
            <w:pPr>
              <w:pStyle w:val="P68B1DB1-Normal4"/>
              <w:jc w:val="center"/>
              <w:rPr>
                <w:rFonts w:eastAsia="Calibri"/>
                <w:noProof/>
              </w:rPr>
            </w:pPr>
            <w:r>
              <w:rPr>
                <w:noProof/>
              </w:rPr>
              <w:t>KW. 4</w:t>
            </w:r>
          </w:p>
        </w:tc>
        <w:tc>
          <w:tcPr>
            <w:tcW w:w="709" w:type="dxa"/>
            <w:shd w:val="clear" w:color="auto" w:fill="C6EFCE"/>
            <w:noWrap/>
            <w:vAlign w:val="center"/>
            <w:hideMark/>
          </w:tcPr>
          <w:p w14:paraId="6DF96F47" w14:textId="77777777" w:rsidR="004C6421" w:rsidRDefault="009D1962">
            <w:pPr>
              <w:pStyle w:val="P68B1DB1-Normal4"/>
              <w:jc w:val="center"/>
              <w:rPr>
                <w:noProof/>
              </w:rPr>
            </w:pPr>
            <w:r>
              <w:rPr>
                <w:noProof/>
              </w:rPr>
              <w:t>2022</w:t>
            </w:r>
          </w:p>
        </w:tc>
        <w:tc>
          <w:tcPr>
            <w:tcW w:w="2835" w:type="dxa"/>
            <w:shd w:val="clear" w:color="auto" w:fill="C6EFCE"/>
            <w:noWrap/>
            <w:vAlign w:val="center"/>
            <w:hideMark/>
          </w:tcPr>
          <w:p w14:paraId="152EF799" w14:textId="77777777" w:rsidR="004C6421" w:rsidRDefault="009D1962">
            <w:pPr>
              <w:pStyle w:val="P68B1DB1-Normal4"/>
              <w:rPr>
                <w:rFonts w:eastAsia="Calibri"/>
                <w:noProof/>
              </w:rPr>
            </w:pPr>
            <w:r>
              <w:rPr>
                <w:noProof/>
              </w:rPr>
              <w:t xml:space="preserve">Krajowe regulacje dotyczące programu gwarantowanego zatrudnienia pracowników (GOL) przewidują określenie na szczeblu regionalnym działań operacyjnych niezbędnych do realizacji programu. Aby zapewnić spójność między przepisami krajowymi a wdrażaniem na szczeblu regionalnym, przyjmuje się regionalne plany dla publicznych służb zatrudnienia. </w:t>
            </w:r>
          </w:p>
          <w:p w14:paraId="45DD6559" w14:textId="77777777" w:rsidR="004C6421" w:rsidRDefault="004C6421">
            <w:pPr>
              <w:rPr>
                <w:rFonts w:ascii="Arial Narrow" w:eastAsia="Calibri" w:hAnsi="Arial Narrow"/>
                <w:noProof/>
                <w:color w:val="006100"/>
                <w:sz w:val="20"/>
              </w:rPr>
            </w:pPr>
          </w:p>
          <w:p w14:paraId="5985ED15" w14:textId="77777777" w:rsidR="004C6421" w:rsidRDefault="009D1962">
            <w:pPr>
              <w:pStyle w:val="P68B1DB1-Normal4"/>
              <w:rPr>
                <w:rFonts w:eastAsia="Calibri"/>
                <w:noProof/>
              </w:rPr>
            </w:pPr>
            <w:r>
              <w:rPr>
                <w:noProof/>
              </w:rPr>
              <w:t>Oprócz przyjęcia planów regiony realizują działania oparte na planach, docierając do co najmniej 10 % przewidywanych beneficjentów programu (ostateczny cel 3000000 osób).</w:t>
            </w:r>
          </w:p>
          <w:p w14:paraId="01E53219" w14:textId="77777777" w:rsidR="004C6421" w:rsidRDefault="004C6421">
            <w:pPr>
              <w:rPr>
                <w:rFonts w:ascii="Arial Narrow" w:hAnsi="Arial Narrow"/>
                <w:noProof/>
                <w:color w:val="006100"/>
                <w:sz w:val="20"/>
              </w:rPr>
            </w:pPr>
          </w:p>
          <w:p w14:paraId="50BF9909" w14:textId="77777777" w:rsidR="004C6421" w:rsidRDefault="009D1962">
            <w:pPr>
              <w:pStyle w:val="P68B1DB1-Normal4"/>
              <w:rPr>
                <w:noProof/>
              </w:rPr>
            </w:pPr>
            <w:r>
              <w:rPr>
                <w:noProof/>
              </w:rPr>
              <w:t>Wejście w życie planów dotyczących publicznych służb zatrudnienia umożliwi pełne wdrożenie programu gwarantowanego zatrudnienia pracowników (GOL).</w:t>
            </w:r>
          </w:p>
          <w:p w14:paraId="615ED1B3" w14:textId="77777777" w:rsidR="004C6421" w:rsidRDefault="004C6421">
            <w:pPr>
              <w:rPr>
                <w:rFonts w:ascii="Arial Narrow" w:eastAsia="Calibri" w:hAnsi="Arial Narrow"/>
                <w:noProof/>
                <w:color w:val="006100"/>
                <w:sz w:val="20"/>
              </w:rPr>
            </w:pPr>
          </w:p>
        </w:tc>
      </w:tr>
      <w:tr w:rsidR="004C6421" w14:paraId="47405A71" w14:textId="77777777">
        <w:trPr>
          <w:trHeight w:val="309"/>
          <w:jc w:val="center"/>
        </w:trPr>
        <w:tc>
          <w:tcPr>
            <w:tcW w:w="1364" w:type="dxa"/>
            <w:shd w:val="clear" w:color="auto" w:fill="C6EFCE"/>
            <w:noWrap/>
            <w:vAlign w:val="center"/>
            <w:hideMark/>
          </w:tcPr>
          <w:p w14:paraId="4287C129" w14:textId="77777777" w:rsidR="004C6421" w:rsidRDefault="009D1962">
            <w:pPr>
              <w:pStyle w:val="P68B1DB1-Normal4"/>
              <w:jc w:val="center"/>
              <w:rPr>
                <w:noProof/>
              </w:rPr>
            </w:pPr>
            <w:r>
              <w:rPr>
                <w:noProof/>
              </w:rPr>
              <w:t xml:space="preserve">M5C1-3 </w:t>
            </w:r>
          </w:p>
        </w:tc>
        <w:tc>
          <w:tcPr>
            <w:tcW w:w="1513" w:type="dxa"/>
            <w:shd w:val="clear" w:color="auto" w:fill="C6EFCE"/>
            <w:noWrap/>
            <w:vAlign w:val="center"/>
            <w:hideMark/>
          </w:tcPr>
          <w:p w14:paraId="6D0A1A88" w14:textId="77777777" w:rsidR="004C6421" w:rsidRDefault="009D1962">
            <w:pPr>
              <w:pStyle w:val="P68B1DB1-Normal4"/>
              <w:jc w:val="center"/>
              <w:rPr>
                <w:noProof/>
              </w:rPr>
            </w:pPr>
            <w:r>
              <w:rPr>
                <w:noProof/>
              </w:rPr>
              <w:t>Reforma 1 – aktywna polityka rynku pracy i szkolenie zawodowe</w:t>
            </w:r>
          </w:p>
        </w:tc>
        <w:tc>
          <w:tcPr>
            <w:tcW w:w="1281" w:type="dxa"/>
            <w:shd w:val="clear" w:color="auto" w:fill="C6EFCE"/>
            <w:noWrap/>
            <w:vAlign w:val="center"/>
            <w:hideMark/>
          </w:tcPr>
          <w:p w14:paraId="37A8CF0A" w14:textId="77777777" w:rsidR="004C6421" w:rsidRDefault="009D1962">
            <w:pPr>
              <w:pStyle w:val="P68B1DB1-Normal4"/>
              <w:jc w:val="center"/>
              <w:rPr>
                <w:noProof/>
              </w:rPr>
            </w:pPr>
            <w:r>
              <w:rPr>
                <w:noProof/>
              </w:rPr>
              <w:t>Cel</w:t>
            </w:r>
          </w:p>
        </w:tc>
        <w:tc>
          <w:tcPr>
            <w:tcW w:w="1597" w:type="dxa"/>
            <w:shd w:val="clear" w:color="auto" w:fill="C6EFCE"/>
            <w:noWrap/>
            <w:vAlign w:val="center"/>
            <w:hideMark/>
          </w:tcPr>
          <w:p w14:paraId="621B8161" w14:textId="77777777" w:rsidR="004C6421" w:rsidRDefault="009D1962">
            <w:pPr>
              <w:pStyle w:val="P68B1DB1-Normal4"/>
              <w:jc w:val="center"/>
              <w:rPr>
                <w:rFonts w:eastAsia="Calibri"/>
                <w:noProof/>
              </w:rPr>
            </w:pPr>
            <w:r>
              <w:rPr>
                <w:noProof/>
              </w:rPr>
              <w:t>Osoby objęte programem GOL (GOL)</w:t>
            </w:r>
          </w:p>
        </w:tc>
        <w:tc>
          <w:tcPr>
            <w:tcW w:w="1470" w:type="dxa"/>
            <w:shd w:val="clear" w:color="auto" w:fill="C6EFCE"/>
            <w:noWrap/>
            <w:vAlign w:val="center"/>
            <w:hideMark/>
          </w:tcPr>
          <w:p w14:paraId="543F62C5" w14:textId="77777777" w:rsidR="004C6421" w:rsidRDefault="009D1962">
            <w:pPr>
              <w:pStyle w:val="P68B1DB1-Normal4"/>
              <w:jc w:val="center"/>
              <w:rPr>
                <w:noProof/>
              </w:rPr>
            </w:pPr>
            <w:r>
              <w:rPr>
                <w:noProof/>
              </w:rPr>
              <w:t>NIE DOT.</w:t>
            </w:r>
          </w:p>
        </w:tc>
        <w:tc>
          <w:tcPr>
            <w:tcW w:w="1275" w:type="dxa"/>
            <w:shd w:val="clear" w:color="auto" w:fill="C6EFCE"/>
            <w:noWrap/>
            <w:vAlign w:val="center"/>
            <w:hideMark/>
          </w:tcPr>
          <w:p w14:paraId="1EBCF510" w14:textId="77777777" w:rsidR="004C6421" w:rsidRDefault="009D1962">
            <w:pPr>
              <w:pStyle w:val="P68B1DB1-Normal4"/>
              <w:jc w:val="center"/>
              <w:rPr>
                <w:rFonts w:eastAsia="Calibri"/>
                <w:noProof/>
              </w:rPr>
            </w:pPr>
            <w:r>
              <w:rPr>
                <w:noProof/>
              </w:rPr>
              <w:t xml:space="preserve">Numer </w:t>
            </w:r>
          </w:p>
        </w:tc>
        <w:tc>
          <w:tcPr>
            <w:tcW w:w="1134" w:type="dxa"/>
            <w:shd w:val="clear" w:color="auto" w:fill="C6EFCE"/>
            <w:noWrap/>
            <w:vAlign w:val="center"/>
            <w:hideMark/>
          </w:tcPr>
          <w:p w14:paraId="521223F4" w14:textId="3491C9FE" w:rsidR="004C6421" w:rsidRDefault="009D1962">
            <w:pPr>
              <w:jc w:val="center"/>
              <w:rPr>
                <w:rFonts w:ascii="Arial Narrow" w:hAnsi="Arial Narrow"/>
                <w:noProof/>
                <w:color w:val="006100"/>
                <w:sz w:val="20"/>
              </w:rPr>
            </w:pPr>
            <w:r>
              <w:rPr>
                <w:rFonts w:ascii="Arial Narrow" w:hAnsi="Arial Narrow"/>
                <w:noProof/>
                <w:color w:val="006100"/>
                <w:sz w:val="20"/>
              </w:rPr>
              <w:t>300</w:t>
            </w:r>
            <w:r>
              <w:rPr>
                <w:noProof/>
                <w:sz w:val="23"/>
              </w:rPr>
              <w:t xml:space="preserve"> </w:t>
            </w:r>
            <w:r>
              <w:rPr>
                <w:rFonts w:ascii="Arial Narrow" w:hAnsi="Arial Narrow"/>
                <w:noProof/>
                <w:color w:val="006100"/>
                <w:sz w:val="20"/>
              </w:rPr>
              <w:t>000</w:t>
            </w:r>
          </w:p>
        </w:tc>
        <w:tc>
          <w:tcPr>
            <w:tcW w:w="1134" w:type="dxa"/>
            <w:shd w:val="clear" w:color="auto" w:fill="C6EFCE"/>
            <w:noWrap/>
            <w:vAlign w:val="center"/>
            <w:hideMark/>
          </w:tcPr>
          <w:p w14:paraId="1CFA29E0" w14:textId="5D0DBE54" w:rsidR="004C6421" w:rsidRDefault="009D1962">
            <w:pPr>
              <w:jc w:val="center"/>
              <w:rPr>
                <w:rFonts w:ascii="Arial Narrow" w:hAnsi="Arial Narrow"/>
                <w:noProof/>
                <w:color w:val="006100"/>
                <w:sz w:val="20"/>
              </w:rPr>
            </w:pPr>
            <w:r>
              <w:rPr>
                <w:rFonts w:ascii="Arial Narrow" w:hAnsi="Arial Narrow"/>
                <w:noProof/>
                <w:color w:val="006100"/>
                <w:sz w:val="20"/>
              </w:rPr>
              <w:t>3</w:t>
            </w:r>
            <w:r>
              <w:rPr>
                <w:noProof/>
                <w:sz w:val="23"/>
              </w:rPr>
              <w:t xml:space="preserve"> </w:t>
            </w:r>
            <w:r>
              <w:rPr>
                <w:rFonts w:ascii="Arial Narrow" w:hAnsi="Arial Narrow"/>
                <w:noProof/>
                <w:color w:val="006100"/>
                <w:sz w:val="20"/>
              </w:rPr>
              <w:t>000</w:t>
            </w:r>
            <w:r>
              <w:rPr>
                <w:noProof/>
                <w:sz w:val="23"/>
              </w:rPr>
              <w:t xml:space="preserve"> </w:t>
            </w:r>
            <w:r>
              <w:rPr>
                <w:rFonts w:ascii="Arial Narrow" w:hAnsi="Arial Narrow"/>
                <w:noProof/>
                <w:color w:val="006100"/>
                <w:sz w:val="20"/>
              </w:rPr>
              <w:t>000</w:t>
            </w:r>
          </w:p>
        </w:tc>
        <w:tc>
          <w:tcPr>
            <w:tcW w:w="851" w:type="dxa"/>
            <w:shd w:val="clear" w:color="auto" w:fill="C6EFCE"/>
            <w:noWrap/>
            <w:vAlign w:val="center"/>
            <w:hideMark/>
          </w:tcPr>
          <w:p w14:paraId="44252EDF" w14:textId="4FE8F962" w:rsidR="004C6421" w:rsidRDefault="00CC179E">
            <w:pPr>
              <w:pStyle w:val="P68B1DB1-Normal4"/>
              <w:jc w:val="center"/>
              <w:rPr>
                <w:noProof/>
              </w:rPr>
            </w:pPr>
            <w:r>
              <w:rPr>
                <w:noProof/>
              </w:rPr>
              <w:t>KW. 4</w:t>
            </w:r>
          </w:p>
        </w:tc>
        <w:tc>
          <w:tcPr>
            <w:tcW w:w="709" w:type="dxa"/>
            <w:shd w:val="clear" w:color="auto" w:fill="C6EFCE"/>
            <w:noWrap/>
            <w:vAlign w:val="center"/>
            <w:hideMark/>
          </w:tcPr>
          <w:p w14:paraId="6183F933" w14:textId="77777777" w:rsidR="004C6421" w:rsidRDefault="009D1962">
            <w:pPr>
              <w:pStyle w:val="P68B1DB1-Normal4"/>
              <w:jc w:val="center"/>
              <w:rPr>
                <w:rFonts w:eastAsia="Calibri"/>
                <w:noProof/>
              </w:rPr>
            </w:pPr>
            <w:r>
              <w:rPr>
                <w:noProof/>
              </w:rPr>
              <w:t>2025</w:t>
            </w:r>
          </w:p>
        </w:tc>
        <w:tc>
          <w:tcPr>
            <w:tcW w:w="2835" w:type="dxa"/>
            <w:shd w:val="clear" w:color="auto" w:fill="C6EFCE"/>
            <w:noWrap/>
            <w:vAlign w:val="center"/>
            <w:hideMark/>
          </w:tcPr>
          <w:p w14:paraId="1EFC11B7" w14:textId="28C26B39" w:rsidR="004C6421" w:rsidRDefault="009D1962">
            <w:pPr>
              <w:rPr>
                <w:rFonts w:ascii="Arial Narrow" w:eastAsia="Calibri" w:hAnsi="Arial Narrow"/>
                <w:noProof/>
                <w:color w:val="006100"/>
                <w:sz w:val="20"/>
              </w:rPr>
            </w:pPr>
            <w:r>
              <w:rPr>
                <w:rFonts w:ascii="Arial Narrow" w:hAnsi="Arial Narrow"/>
                <w:noProof/>
                <w:color w:val="006100"/>
                <w:sz w:val="20"/>
              </w:rPr>
              <w:t>Co najmniej 3000000</w:t>
            </w:r>
            <w:r>
              <w:rPr>
                <w:noProof/>
                <w:sz w:val="23"/>
              </w:rPr>
              <w:t xml:space="preserve">  </w:t>
            </w:r>
            <w:r>
              <w:rPr>
                <w:rFonts w:ascii="Arial Narrow" w:hAnsi="Arial Narrow"/>
                <w:noProof/>
                <w:color w:val="006100"/>
                <w:sz w:val="20"/>
              </w:rPr>
              <w:t>osób korzysta z programu gwarantowanego zatrudnienia pracowników (GOL). Zadowalające osiągnięcie celu zależy również od zadowalającego osiągnięcia celu drugorzędnego: co najmniej 75 % beneficjentów stanowią kobiety, osoby długotrwale bezrobotne, osoby niepełnosprawne lub osoby poniżej 30 roku życia lub powyżej 55 lat.</w:t>
            </w:r>
          </w:p>
        </w:tc>
      </w:tr>
      <w:tr w:rsidR="004C6421" w14:paraId="4D34BA93" w14:textId="77777777">
        <w:trPr>
          <w:trHeight w:val="309"/>
          <w:jc w:val="center"/>
        </w:trPr>
        <w:tc>
          <w:tcPr>
            <w:tcW w:w="1364" w:type="dxa"/>
            <w:shd w:val="clear" w:color="auto" w:fill="C6EFCE"/>
            <w:noWrap/>
            <w:vAlign w:val="center"/>
            <w:hideMark/>
          </w:tcPr>
          <w:p w14:paraId="0ADA8D67" w14:textId="77777777" w:rsidR="004C6421" w:rsidRDefault="009D1962">
            <w:pPr>
              <w:pStyle w:val="P68B1DB1-Normal4"/>
              <w:jc w:val="center"/>
              <w:rPr>
                <w:noProof/>
              </w:rPr>
            </w:pPr>
            <w:r>
              <w:rPr>
                <w:noProof/>
              </w:rPr>
              <w:t xml:space="preserve">M5C1-4 </w:t>
            </w:r>
          </w:p>
        </w:tc>
        <w:tc>
          <w:tcPr>
            <w:tcW w:w="1513" w:type="dxa"/>
            <w:shd w:val="clear" w:color="auto" w:fill="C6EFCE"/>
            <w:noWrap/>
            <w:vAlign w:val="center"/>
            <w:hideMark/>
          </w:tcPr>
          <w:p w14:paraId="7D6F4E8E" w14:textId="77777777" w:rsidR="004C6421" w:rsidRDefault="009D1962">
            <w:pPr>
              <w:pStyle w:val="P68B1DB1-Normal4"/>
              <w:jc w:val="center"/>
              <w:rPr>
                <w:rFonts w:eastAsia="Calibri"/>
                <w:noProof/>
              </w:rPr>
            </w:pPr>
            <w:r>
              <w:rPr>
                <w:noProof/>
              </w:rPr>
              <w:t>Reforma 1 – aktywna polityka rynku pracy i szkolenie zawodowe</w:t>
            </w:r>
          </w:p>
        </w:tc>
        <w:tc>
          <w:tcPr>
            <w:tcW w:w="1281" w:type="dxa"/>
            <w:shd w:val="clear" w:color="auto" w:fill="C6EFCE"/>
            <w:noWrap/>
            <w:vAlign w:val="center"/>
            <w:hideMark/>
          </w:tcPr>
          <w:p w14:paraId="322588E2" w14:textId="77777777" w:rsidR="004C6421" w:rsidRDefault="009D1962">
            <w:pPr>
              <w:pStyle w:val="P68B1DB1-Normal4"/>
              <w:jc w:val="center"/>
              <w:rPr>
                <w:noProof/>
              </w:rPr>
            </w:pPr>
            <w:r>
              <w:rPr>
                <w:noProof/>
              </w:rPr>
              <w:t>Cel</w:t>
            </w:r>
          </w:p>
        </w:tc>
        <w:tc>
          <w:tcPr>
            <w:tcW w:w="1597" w:type="dxa"/>
            <w:shd w:val="clear" w:color="auto" w:fill="C6EFCE"/>
            <w:noWrap/>
            <w:vAlign w:val="center"/>
            <w:hideMark/>
          </w:tcPr>
          <w:p w14:paraId="65012422" w14:textId="77777777" w:rsidR="004C6421" w:rsidRDefault="009D1962">
            <w:pPr>
              <w:pStyle w:val="P68B1DB1-Normal4"/>
              <w:jc w:val="center"/>
              <w:rPr>
                <w:noProof/>
              </w:rPr>
            </w:pPr>
            <w:r>
              <w:rPr>
                <w:noProof/>
              </w:rPr>
              <w:t>Gwarantowana zdolność do zatrudnienia beneficjentów pracowników uczestniczyli w szkoleniu zawodowym</w:t>
            </w:r>
          </w:p>
        </w:tc>
        <w:tc>
          <w:tcPr>
            <w:tcW w:w="1470" w:type="dxa"/>
            <w:shd w:val="clear" w:color="auto" w:fill="C6EFCE"/>
            <w:noWrap/>
            <w:vAlign w:val="center"/>
            <w:hideMark/>
          </w:tcPr>
          <w:p w14:paraId="77D42AFA" w14:textId="77777777" w:rsidR="004C6421" w:rsidRDefault="009D1962">
            <w:pPr>
              <w:pStyle w:val="P68B1DB1-Normal4"/>
              <w:jc w:val="center"/>
              <w:rPr>
                <w:noProof/>
              </w:rPr>
            </w:pPr>
            <w:r>
              <w:rPr>
                <w:noProof/>
              </w:rPr>
              <w:t>NIE DOT.</w:t>
            </w:r>
          </w:p>
        </w:tc>
        <w:tc>
          <w:tcPr>
            <w:tcW w:w="1275" w:type="dxa"/>
            <w:shd w:val="clear" w:color="auto" w:fill="C6EFCE"/>
            <w:noWrap/>
            <w:vAlign w:val="center"/>
            <w:hideMark/>
          </w:tcPr>
          <w:p w14:paraId="2181B7FA" w14:textId="77777777" w:rsidR="004C6421" w:rsidRDefault="009D1962">
            <w:pPr>
              <w:pStyle w:val="P68B1DB1-Normal4"/>
              <w:jc w:val="center"/>
              <w:rPr>
                <w:rFonts w:eastAsia="Calibri"/>
                <w:noProof/>
              </w:rPr>
            </w:pPr>
            <w:r>
              <w:rPr>
                <w:noProof/>
              </w:rPr>
              <w:t xml:space="preserve">Numer </w:t>
            </w:r>
          </w:p>
        </w:tc>
        <w:tc>
          <w:tcPr>
            <w:tcW w:w="1134" w:type="dxa"/>
            <w:shd w:val="clear" w:color="auto" w:fill="C6EFCE"/>
            <w:noWrap/>
            <w:vAlign w:val="center"/>
            <w:hideMark/>
          </w:tcPr>
          <w:p w14:paraId="087BAEBE" w14:textId="77777777" w:rsidR="004C6421" w:rsidRDefault="009D1962">
            <w:pPr>
              <w:pStyle w:val="P68B1DB1-Normal4"/>
              <w:jc w:val="center"/>
              <w:rPr>
                <w:rFonts w:eastAsia="Calibri"/>
                <w:noProof/>
              </w:rPr>
            </w:pPr>
            <w:r>
              <w:rPr>
                <w:noProof/>
              </w:rPr>
              <w:t>0</w:t>
            </w:r>
          </w:p>
        </w:tc>
        <w:tc>
          <w:tcPr>
            <w:tcW w:w="1134" w:type="dxa"/>
            <w:shd w:val="clear" w:color="auto" w:fill="C6EFCE"/>
            <w:noWrap/>
            <w:vAlign w:val="center"/>
            <w:hideMark/>
          </w:tcPr>
          <w:p w14:paraId="0BEB55FD" w14:textId="6B08331E" w:rsidR="004C6421" w:rsidRDefault="009D1962">
            <w:pPr>
              <w:jc w:val="center"/>
              <w:rPr>
                <w:rFonts w:ascii="Arial Narrow" w:eastAsia="Calibri" w:hAnsi="Arial Narrow"/>
                <w:noProof/>
                <w:color w:val="006100"/>
                <w:sz w:val="20"/>
              </w:rPr>
            </w:pPr>
            <w:r>
              <w:rPr>
                <w:rFonts w:ascii="Arial Narrow" w:hAnsi="Arial Narrow"/>
                <w:noProof/>
                <w:color w:val="006100"/>
                <w:sz w:val="20"/>
              </w:rPr>
              <w:t>800</w:t>
            </w:r>
            <w:r>
              <w:rPr>
                <w:noProof/>
                <w:sz w:val="23"/>
              </w:rPr>
              <w:t xml:space="preserve"> </w:t>
            </w:r>
            <w:r>
              <w:rPr>
                <w:rFonts w:ascii="Arial Narrow" w:hAnsi="Arial Narrow"/>
                <w:noProof/>
                <w:color w:val="006100"/>
                <w:sz w:val="20"/>
              </w:rPr>
              <w:t>000</w:t>
            </w:r>
          </w:p>
        </w:tc>
        <w:tc>
          <w:tcPr>
            <w:tcW w:w="851" w:type="dxa"/>
            <w:shd w:val="clear" w:color="auto" w:fill="C6EFCE"/>
            <w:noWrap/>
            <w:vAlign w:val="center"/>
            <w:hideMark/>
          </w:tcPr>
          <w:p w14:paraId="5E4E8FC5" w14:textId="37B3FA05" w:rsidR="004C6421" w:rsidRDefault="00CC179E">
            <w:pPr>
              <w:pStyle w:val="P68B1DB1-Normal4"/>
              <w:jc w:val="center"/>
              <w:rPr>
                <w:rFonts w:eastAsia="Calibri"/>
                <w:noProof/>
              </w:rPr>
            </w:pPr>
            <w:r>
              <w:rPr>
                <w:noProof/>
              </w:rPr>
              <w:t>KW. 4</w:t>
            </w:r>
          </w:p>
        </w:tc>
        <w:tc>
          <w:tcPr>
            <w:tcW w:w="709" w:type="dxa"/>
            <w:shd w:val="clear" w:color="auto" w:fill="C6EFCE"/>
            <w:noWrap/>
            <w:vAlign w:val="center"/>
            <w:hideMark/>
          </w:tcPr>
          <w:p w14:paraId="06EE4FA3" w14:textId="77777777" w:rsidR="004C6421" w:rsidRDefault="009D1962">
            <w:pPr>
              <w:pStyle w:val="P68B1DB1-Normal4"/>
              <w:jc w:val="center"/>
              <w:rPr>
                <w:rFonts w:eastAsia="Calibri"/>
                <w:noProof/>
              </w:rPr>
            </w:pPr>
            <w:r>
              <w:rPr>
                <w:noProof/>
              </w:rPr>
              <w:t>2025</w:t>
            </w:r>
          </w:p>
        </w:tc>
        <w:tc>
          <w:tcPr>
            <w:tcW w:w="2835" w:type="dxa"/>
            <w:shd w:val="clear" w:color="auto" w:fill="C6EFCE"/>
            <w:noWrap/>
            <w:vAlign w:val="center"/>
            <w:hideMark/>
          </w:tcPr>
          <w:p w14:paraId="7F71D63C" w14:textId="6829E616" w:rsidR="004C6421" w:rsidRDefault="009D1962">
            <w:pPr>
              <w:rPr>
                <w:rFonts w:ascii="Arial Narrow" w:hAnsi="Arial Narrow"/>
                <w:noProof/>
                <w:color w:val="006100"/>
                <w:sz w:val="20"/>
              </w:rPr>
            </w:pPr>
            <w:r>
              <w:rPr>
                <w:rFonts w:ascii="Arial Narrow" w:hAnsi="Arial Narrow"/>
                <w:noProof/>
                <w:color w:val="006100"/>
                <w:sz w:val="20"/>
              </w:rPr>
              <w:t>Szkolenie zawodowe jest częścią programu dla 800000 beneficjentów aktywnej polityki rynku pracy w okresie pięciu lat. W związku z tym co najmniej</w:t>
            </w:r>
            <w:r>
              <w:rPr>
                <w:noProof/>
                <w:sz w:val="23"/>
              </w:rPr>
              <w:t xml:space="preserve"> </w:t>
            </w:r>
            <w:r>
              <w:rPr>
                <w:rFonts w:ascii="Arial Narrow" w:hAnsi="Arial Narrow"/>
                <w:noProof/>
                <w:color w:val="006100"/>
                <w:sz w:val="20"/>
              </w:rPr>
              <w:t>800000 z 3000000</w:t>
            </w:r>
            <w:r>
              <w:rPr>
                <w:noProof/>
                <w:sz w:val="23"/>
              </w:rPr>
              <w:t xml:space="preserve">  </w:t>
            </w:r>
            <w:r>
              <w:rPr>
                <w:rFonts w:ascii="Arial Narrow" w:hAnsi="Arial Narrow"/>
                <w:noProof/>
                <w:color w:val="006100"/>
                <w:sz w:val="20"/>
              </w:rPr>
              <w:t>beneficjentów objętych gwarancją zatrudnienia pracowników (GOL) uczestniczyło w szkoleniu zawodowym. Zadowalające osiągnięcie celu zależy również od zadowalającego osiągnięcia celu drugorzędnego: co najmniej</w:t>
            </w:r>
            <w:r>
              <w:rPr>
                <w:noProof/>
                <w:sz w:val="23"/>
              </w:rPr>
              <w:t xml:space="preserve"> </w:t>
            </w:r>
            <w:r>
              <w:rPr>
                <w:rFonts w:ascii="Arial Narrow" w:hAnsi="Arial Narrow"/>
                <w:noProof/>
                <w:color w:val="006100"/>
                <w:sz w:val="20"/>
              </w:rPr>
              <w:t>300000</w:t>
            </w:r>
            <w:r>
              <w:rPr>
                <w:noProof/>
                <w:sz w:val="23"/>
              </w:rPr>
              <w:t xml:space="preserve"> </w:t>
            </w:r>
            <w:r>
              <w:rPr>
                <w:rFonts w:ascii="Arial Narrow" w:hAnsi="Arial Narrow"/>
                <w:noProof/>
                <w:color w:val="006100"/>
                <w:sz w:val="20"/>
              </w:rPr>
              <w:t>z tych beneficjentów uczestniczyło w szkoleniach w zakresie umiejętności cyfrowych.</w:t>
            </w:r>
          </w:p>
        </w:tc>
      </w:tr>
      <w:tr w:rsidR="004C6421" w14:paraId="137DA6D6" w14:textId="77777777">
        <w:trPr>
          <w:trHeight w:val="309"/>
          <w:jc w:val="center"/>
        </w:trPr>
        <w:tc>
          <w:tcPr>
            <w:tcW w:w="1364" w:type="dxa"/>
            <w:shd w:val="clear" w:color="auto" w:fill="C6EFCE"/>
            <w:noWrap/>
            <w:vAlign w:val="center"/>
            <w:hideMark/>
          </w:tcPr>
          <w:p w14:paraId="7AE68020" w14:textId="77777777" w:rsidR="004C6421" w:rsidRDefault="009D1962">
            <w:pPr>
              <w:pStyle w:val="P68B1DB1-Normal4"/>
              <w:jc w:val="center"/>
              <w:rPr>
                <w:noProof/>
              </w:rPr>
            </w:pPr>
            <w:r>
              <w:rPr>
                <w:noProof/>
              </w:rPr>
              <w:t xml:space="preserve">M5C1-5 </w:t>
            </w:r>
          </w:p>
        </w:tc>
        <w:tc>
          <w:tcPr>
            <w:tcW w:w="1513" w:type="dxa"/>
            <w:shd w:val="clear" w:color="auto" w:fill="C6EFCE"/>
            <w:noWrap/>
            <w:vAlign w:val="center"/>
            <w:hideMark/>
          </w:tcPr>
          <w:p w14:paraId="77CE4CF3" w14:textId="77777777" w:rsidR="004C6421" w:rsidRDefault="009D1962">
            <w:pPr>
              <w:pStyle w:val="P68B1DB1-Normal4"/>
              <w:jc w:val="center"/>
              <w:rPr>
                <w:noProof/>
              </w:rPr>
            </w:pPr>
            <w:r>
              <w:rPr>
                <w:noProof/>
              </w:rPr>
              <w:t>Reforma 1 – aktywna polityka rynku pracy i szkolenie zawodowe</w:t>
            </w:r>
          </w:p>
        </w:tc>
        <w:tc>
          <w:tcPr>
            <w:tcW w:w="1281" w:type="dxa"/>
            <w:shd w:val="clear" w:color="auto" w:fill="C6EFCE"/>
            <w:noWrap/>
            <w:vAlign w:val="center"/>
            <w:hideMark/>
          </w:tcPr>
          <w:p w14:paraId="406AF3E6" w14:textId="77777777" w:rsidR="004C6421" w:rsidRDefault="009D1962">
            <w:pPr>
              <w:pStyle w:val="P68B1DB1-Normal4"/>
              <w:jc w:val="center"/>
              <w:rPr>
                <w:noProof/>
              </w:rPr>
            </w:pPr>
            <w:r>
              <w:rPr>
                <w:noProof/>
              </w:rPr>
              <w:t>Cel</w:t>
            </w:r>
          </w:p>
        </w:tc>
        <w:tc>
          <w:tcPr>
            <w:tcW w:w="1597" w:type="dxa"/>
            <w:shd w:val="clear" w:color="auto" w:fill="C6EFCE"/>
            <w:noWrap/>
            <w:vAlign w:val="center"/>
            <w:hideMark/>
          </w:tcPr>
          <w:p w14:paraId="621B8E80" w14:textId="77777777" w:rsidR="004C6421" w:rsidRDefault="009D1962">
            <w:pPr>
              <w:pStyle w:val="P68B1DB1-Normal4"/>
              <w:jc w:val="center"/>
              <w:rPr>
                <w:rFonts w:eastAsia="Calibri"/>
                <w:noProof/>
              </w:rPr>
            </w:pPr>
            <w:r>
              <w:rPr>
                <w:noProof/>
              </w:rPr>
              <w:t xml:space="preserve"> Publiczne służby zatrudnienia w każdym regionie spełniły kryteria podstawowego poziomu usług publicznych służb zatrudnienia, jak określono w programie GOL (GOL)</w:t>
            </w:r>
          </w:p>
        </w:tc>
        <w:tc>
          <w:tcPr>
            <w:tcW w:w="1470" w:type="dxa"/>
            <w:shd w:val="clear" w:color="auto" w:fill="C6EFCE"/>
            <w:noWrap/>
            <w:vAlign w:val="center"/>
            <w:hideMark/>
          </w:tcPr>
          <w:p w14:paraId="5636BD6F" w14:textId="77777777" w:rsidR="004C6421" w:rsidRDefault="009D1962">
            <w:pPr>
              <w:pStyle w:val="P68B1DB1-Normal4"/>
              <w:jc w:val="center"/>
              <w:rPr>
                <w:noProof/>
              </w:rPr>
            </w:pPr>
            <w:r>
              <w:rPr>
                <w:noProof/>
              </w:rPr>
              <w:t>NIE DOT.</w:t>
            </w:r>
          </w:p>
        </w:tc>
        <w:tc>
          <w:tcPr>
            <w:tcW w:w="1275" w:type="dxa"/>
            <w:shd w:val="clear" w:color="auto" w:fill="C6EFCE"/>
            <w:noWrap/>
            <w:vAlign w:val="center"/>
            <w:hideMark/>
          </w:tcPr>
          <w:p w14:paraId="0D0E2B9C" w14:textId="77777777" w:rsidR="004C6421" w:rsidRDefault="009D1962">
            <w:pPr>
              <w:pStyle w:val="P68B1DB1-Normal4"/>
              <w:jc w:val="center"/>
              <w:rPr>
                <w:noProof/>
              </w:rPr>
            </w:pPr>
            <w:r>
              <w:rPr>
                <w:noProof/>
              </w:rPr>
              <w:t xml:space="preserve">Procent </w:t>
            </w:r>
          </w:p>
        </w:tc>
        <w:tc>
          <w:tcPr>
            <w:tcW w:w="1134" w:type="dxa"/>
            <w:shd w:val="clear" w:color="auto" w:fill="C6EFCE"/>
            <w:noWrap/>
            <w:vAlign w:val="center"/>
            <w:hideMark/>
          </w:tcPr>
          <w:p w14:paraId="73ABC2CE" w14:textId="77777777" w:rsidR="004C6421" w:rsidRDefault="009D1962">
            <w:pPr>
              <w:pStyle w:val="P68B1DB1-Normal4"/>
              <w:jc w:val="center"/>
              <w:rPr>
                <w:noProof/>
              </w:rPr>
            </w:pPr>
            <w:r>
              <w:rPr>
                <w:noProof/>
              </w:rPr>
              <w:t>0</w:t>
            </w:r>
          </w:p>
        </w:tc>
        <w:tc>
          <w:tcPr>
            <w:tcW w:w="1134" w:type="dxa"/>
            <w:shd w:val="clear" w:color="auto" w:fill="C6EFCE"/>
            <w:noWrap/>
            <w:vAlign w:val="center"/>
            <w:hideMark/>
          </w:tcPr>
          <w:p w14:paraId="1F5D4F73" w14:textId="77777777" w:rsidR="004C6421" w:rsidRDefault="009D1962">
            <w:pPr>
              <w:pStyle w:val="P68B1DB1-Normal4"/>
              <w:jc w:val="center"/>
              <w:rPr>
                <w:rFonts w:eastAsia="Calibri"/>
                <w:noProof/>
              </w:rPr>
            </w:pPr>
            <w:r>
              <w:rPr>
                <w:noProof/>
              </w:rPr>
              <w:t>80</w:t>
            </w:r>
          </w:p>
        </w:tc>
        <w:tc>
          <w:tcPr>
            <w:tcW w:w="851" w:type="dxa"/>
            <w:shd w:val="clear" w:color="auto" w:fill="C6EFCE"/>
            <w:noWrap/>
            <w:vAlign w:val="center"/>
            <w:hideMark/>
          </w:tcPr>
          <w:p w14:paraId="59BDB6EF" w14:textId="0E8B6E5B" w:rsidR="004C6421" w:rsidRDefault="00CC179E">
            <w:pPr>
              <w:pStyle w:val="P68B1DB1-Normal4"/>
              <w:jc w:val="center"/>
              <w:rPr>
                <w:rFonts w:eastAsia="Calibri"/>
                <w:noProof/>
              </w:rPr>
            </w:pPr>
            <w:r>
              <w:rPr>
                <w:noProof/>
              </w:rPr>
              <w:t>KW. 4</w:t>
            </w:r>
          </w:p>
        </w:tc>
        <w:tc>
          <w:tcPr>
            <w:tcW w:w="709" w:type="dxa"/>
            <w:shd w:val="clear" w:color="auto" w:fill="C6EFCE"/>
            <w:noWrap/>
            <w:vAlign w:val="center"/>
            <w:hideMark/>
          </w:tcPr>
          <w:p w14:paraId="5E1FC597" w14:textId="77777777" w:rsidR="004C6421" w:rsidRDefault="009D1962">
            <w:pPr>
              <w:pStyle w:val="P68B1DB1-Normal4"/>
              <w:jc w:val="center"/>
              <w:rPr>
                <w:rFonts w:eastAsia="Calibri"/>
                <w:noProof/>
              </w:rPr>
            </w:pPr>
            <w:r>
              <w:rPr>
                <w:noProof/>
              </w:rPr>
              <w:t>2025</w:t>
            </w:r>
          </w:p>
        </w:tc>
        <w:tc>
          <w:tcPr>
            <w:tcW w:w="2835" w:type="dxa"/>
            <w:shd w:val="clear" w:color="auto" w:fill="C6EFCE"/>
            <w:noWrap/>
            <w:vAlign w:val="center"/>
            <w:hideMark/>
          </w:tcPr>
          <w:p w14:paraId="03EC18BC" w14:textId="77777777" w:rsidR="004C6421" w:rsidRDefault="009D1962">
            <w:pPr>
              <w:pStyle w:val="P68B1DB1-Normal4"/>
              <w:rPr>
                <w:rFonts w:eastAsia="Calibri"/>
                <w:noProof/>
              </w:rPr>
            </w:pPr>
            <w:r>
              <w:rPr>
                <w:noProof/>
              </w:rPr>
              <w:t>Podstawowym elementem programu GOL jest określenie szeregu podstawowych usług, które mają być świadczone na rzecz beneficjentów ALMPS, począwszy od osób znajdujących się w najtrudniejszej sytuacji. Do końca 2025 r. co najmniej 80 % publicznych służb zatrudnienia w każdym regionie spełniło kryteria podstawowego poziomu usług publicznych służb zatrudnienia, jak określono w programie GOL (GOL).</w:t>
            </w:r>
          </w:p>
        </w:tc>
      </w:tr>
      <w:tr w:rsidR="004C6421" w14:paraId="043C719D" w14:textId="77777777">
        <w:trPr>
          <w:trHeight w:val="309"/>
          <w:jc w:val="center"/>
        </w:trPr>
        <w:tc>
          <w:tcPr>
            <w:tcW w:w="1364" w:type="dxa"/>
            <w:shd w:val="clear" w:color="auto" w:fill="C6EFCE"/>
            <w:noWrap/>
            <w:vAlign w:val="center"/>
            <w:hideMark/>
          </w:tcPr>
          <w:p w14:paraId="56761E9B" w14:textId="77777777" w:rsidR="004C6421" w:rsidRDefault="009D1962">
            <w:pPr>
              <w:pStyle w:val="P68B1DB1-Normal4"/>
              <w:spacing w:before="120" w:after="120"/>
              <w:jc w:val="center"/>
              <w:rPr>
                <w:noProof/>
              </w:rPr>
            </w:pPr>
            <w:r>
              <w:rPr>
                <w:noProof/>
              </w:rPr>
              <w:t>M5C1-6</w:t>
            </w:r>
          </w:p>
        </w:tc>
        <w:tc>
          <w:tcPr>
            <w:tcW w:w="1513" w:type="dxa"/>
            <w:shd w:val="clear" w:color="auto" w:fill="C6EFCE"/>
            <w:noWrap/>
            <w:vAlign w:val="center"/>
            <w:hideMark/>
          </w:tcPr>
          <w:p w14:paraId="0C81095D" w14:textId="77777777" w:rsidR="004C6421" w:rsidRDefault="009D1962">
            <w:pPr>
              <w:pStyle w:val="P68B1DB1-Normal4"/>
              <w:spacing w:before="120" w:after="120"/>
              <w:jc w:val="center"/>
              <w:rPr>
                <w:rFonts w:eastAsia="Calibri"/>
                <w:noProof/>
              </w:rPr>
            </w:pPr>
            <w:r>
              <w:rPr>
                <w:noProof/>
              </w:rPr>
              <w:t>Inwestycje 1 – Wzmocnienie publicznych służb zatrudnienia</w:t>
            </w:r>
          </w:p>
        </w:tc>
        <w:tc>
          <w:tcPr>
            <w:tcW w:w="1281" w:type="dxa"/>
            <w:shd w:val="clear" w:color="auto" w:fill="C6EFCE"/>
            <w:noWrap/>
            <w:vAlign w:val="center"/>
            <w:hideMark/>
          </w:tcPr>
          <w:p w14:paraId="4D50DB39" w14:textId="77777777" w:rsidR="004C6421" w:rsidRDefault="009D1962">
            <w:pPr>
              <w:pStyle w:val="P68B1DB1-Normal4"/>
              <w:spacing w:before="120" w:after="120"/>
              <w:jc w:val="center"/>
              <w:rPr>
                <w:rFonts w:eastAsia="Calibri"/>
                <w:noProof/>
              </w:rPr>
            </w:pPr>
            <w:r>
              <w:rPr>
                <w:noProof/>
              </w:rPr>
              <w:t>Cel</w:t>
            </w:r>
          </w:p>
        </w:tc>
        <w:tc>
          <w:tcPr>
            <w:tcW w:w="1597" w:type="dxa"/>
            <w:shd w:val="clear" w:color="auto" w:fill="C6EFCE"/>
            <w:noWrap/>
            <w:vAlign w:val="center"/>
            <w:hideMark/>
          </w:tcPr>
          <w:p w14:paraId="31F6FA84" w14:textId="77777777" w:rsidR="004C6421" w:rsidRDefault="009D1962">
            <w:pPr>
              <w:pStyle w:val="P68B1DB1-Normal4"/>
              <w:spacing w:before="120" w:after="120"/>
              <w:jc w:val="center"/>
              <w:rPr>
                <w:rFonts w:eastAsia="Calibri"/>
                <w:noProof/>
              </w:rPr>
            </w:pPr>
            <w:r>
              <w:rPr>
                <w:noProof/>
              </w:rPr>
              <w:t xml:space="preserve"> Publiczne służby zatrudnienia realizują działania przewidziane w planie wzmocnienia w okresie trzech lat 2021–2023</w:t>
            </w:r>
          </w:p>
        </w:tc>
        <w:tc>
          <w:tcPr>
            <w:tcW w:w="1470" w:type="dxa"/>
            <w:shd w:val="clear" w:color="auto" w:fill="C6EFCE"/>
            <w:noWrap/>
            <w:vAlign w:val="center"/>
            <w:hideMark/>
          </w:tcPr>
          <w:p w14:paraId="6AF56780" w14:textId="77777777" w:rsidR="004C6421" w:rsidRDefault="009D1962">
            <w:pPr>
              <w:pStyle w:val="P68B1DB1-Normal4"/>
              <w:spacing w:before="120" w:after="120"/>
              <w:jc w:val="center"/>
              <w:rPr>
                <w:rFonts w:eastAsia="Calibri"/>
                <w:noProof/>
              </w:rPr>
            </w:pPr>
            <w:r>
              <w:rPr>
                <w:noProof/>
              </w:rPr>
              <w:t>NIE DOT.</w:t>
            </w:r>
          </w:p>
        </w:tc>
        <w:tc>
          <w:tcPr>
            <w:tcW w:w="1275" w:type="dxa"/>
            <w:shd w:val="clear" w:color="auto" w:fill="C6EFCE"/>
            <w:noWrap/>
            <w:vAlign w:val="center"/>
            <w:hideMark/>
          </w:tcPr>
          <w:p w14:paraId="639099A0" w14:textId="77777777" w:rsidR="004C6421" w:rsidRDefault="009D1962">
            <w:pPr>
              <w:pStyle w:val="P68B1DB1-Normal4"/>
              <w:spacing w:before="120" w:after="120"/>
              <w:jc w:val="center"/>
              <w:rPr>
                <w:rFonts w:eastAsia="Calibri"/>
                <w:noProof/>
              </w:rPr>
            </w:pPr>
            <w:r>
              <w:rPr>
                <w:noProof/>
              </w:rPr>
              <w:t>Numer</w:t>
            </w:r>
          </w:p>
        </w:tc>
        <w:tc>
          <w:tcPr>
            <w:tcW w:w="1134" w:type="dxa"/>
            <w:shd w:val="clear" w:color="auto" w:fill="C6EFCE"/>
            <w:noWrap/>
            <w:vAlign w:val="center"/>
            <w:hideMark/>
          </w:tcPr>
          <w:p w14:paraId="3D628058" w14:textId="77777777" w:rsidR="004C6421" w:rsidRDefault="009D1962">
            <w:pPr>
              <w:pStyle w:val="P68B1DB1-Normal4"/>
              <w:spacing w:before="120" w:after="120"/>
              <w:jc w:val="center"/>
              <w:rPr>
                <w:rFonts w:eastAsia="Calibri"/>
                <w:noProof/>
              </w:rPr>
            </w:pPr>
            <w:r>
              <w:rPr>
                <w:noProof/>
              </w:rPr>
              <w:t>0</w:t>
            </w:r>
          </w:p>
        </w:tc>
        <w:tc>
          <w:tcPr>
            <w:tcW w:w="1134" w:type="dxa"/>
            <w:shd w:val="clear" w:color="auto" w:fill="C6EFCE"/>
            <w:noWrap/>
            <w:vAlign w:val="center"/>
            <w:hideMark/>
          </w:tcPr>
          <w:p w14:paraId="06E2750E" w14:textId="77777777" w:rsidR="004C6421" w:rsidRDefault="009D1962">
            <w:pPr>
              <w:pStyle w:val="P68B1DB1-Normal4"/>
              <w:spacing w:before="120" w:after="120"/>
              <w:jc w:val="center"/>
              <w:rPr>
                <w:rFonts w:eastAsia="Calibri"/>
                <w:noProof/>
              </w:rPr>
            </w:pPr>
            <w:r>
              <w:rPr>
                <w:noProof/>
              </w:rPr>
              <w:t>250</w:t>
            </w:r>
          </w:p>
        </w:tc>
        <w:tc>
          <w:tcPr>
            <w:tcW w:w="851" w:type="dxa"/>
            <w:shd w:val="clear" w:color="auto" w:fill="C6EFCE"/>
            <w:noWrap/>
            <w:vAlign w:val="center"/>
            <w:hideMark/>
          </w:tcPr>
          <w:p w14:paraId="38B15FB2" w14:textId="1615590D" w:rsidR="004C6421" w:rsidRDefault="00CC179E">
            <w:pPr>
              <w:pStyle w:val="P68B1DB1-Normal4"/>
              <w:spacing w:before="120" w:after="120"/>
              <w:jc w:val="center"/>
              <w:rPr>
                <w:rFonts w:eastAsia="Calibri"/>
                <w:noProof/>
              </w:rPr>
            </w:pPr>
            <w:r>
              <w:rPr>
                <w:noProof/>
              </w:rPr>
              <w:t>KW. 4</w:t>
            </w:r>
          </w:p>
        </w:tc>
        <w:tc>
          <w:tcPr>
            <w:tcW w:w="709" w:type="dxa"/>
            <w:shd w:val="clear" w:color="auto" w:fill="C6EFCE"/>
            <w:noWrap/>
            <w:vAlign w:val="center"/>
            <w:hideMark/>
          </w:tcPr>
          <w:p w14:paraId="07B0FFB1" w14:textId="77777777" w:rsidR="004C6421" w:rsidRDefault="009D1962">
            <w:pPr>
              <w:pStyle w:val="P68B1DB1-Normal4"/>
              <w:spacing w:before="120" w:after="120"/>
              <w:jc w:val="center"/>
              <w:rPr>
                <w:rFonts w:eastAsia="Calibri"/>
                <w:noProof/>
              </w:rPr>
            </w:pPr>
            <w:r>
              <w:rPr>
                <w:noProof/>
              </w:rPr>
              <w:t>2022</w:t>
            </w:r>
          </w:p>
        </w:tc>
        <w:tc>
          <w:tcPr>
            <w:tcW w:w="2835" w:type="dxa"/>
            <w:shd w:val="clear" w:color="auto" w:fill="C6EFCE"/>
            <w:noWrap/>
            <w:vAlign w:val="center"/>
            <w:hideMark/>
          </w:tcPr>
          <w:p w14:paraId="2C4DDC7A" w14:textId="77777777" w:rsidR="004C6421" w:rsidRDefault="009D1962">
            <w:pPr>
              <w:pStyle w:val="P68B1DB1-Normal4"/>
              <w:spacing w:before="120" w:after="120"/>
              <w:rPr>
                <w:rFonts w:eastAsia="Calibri"/>
                <w:noProof/>
              </w:rPr>
            </w:pPr>
            <w:r>
              <w:rPr>
                <w:noProof/>
              </w:rPr>
              <w:t>Co najmniej 250 publicznych służb zatrudnienia zrealizowało co najmniej 50 % działań przewidzianych w planie wzmocnienia w ciągu trzech lat 2021–2023.</w:t>
            </w:r>
          </w:p>
          <w:p w14:paraId="4210107B" w14:textId="77777777" w:rsidR="004C6421" w:rsidRDefault="009D1962">
            <w:pPr>
              <w:pStyle w:val="P68B1DB1-Normal4"/>
              <w:spacing w:before="120" w:after="120"/>
              <w:rPr>
                <w:rFonts w:eastAsia="Calibri"/>
                <w:noProof/>
              </w:rPr>
            </w:pPr>
            <w:r>
              <w:rPr>
                <w:noProof/>
              </w:rPr>
              <w:t>Działania te są zgodne z centralnym planem wzmocnienia i bardziej szczegółowo określone na szczeblu regionalnym na podstawie analizy potrzeb i przydzielonych środków.</w:t>
            </w:r>
          </w:p>
          <w:p w14:paraId="7D55288E" w14:textId="77777777" w:rsidR="004C6421" w:rsidRDefault="009D1962">
            <w:pPr>
              <w:pStyle w:val="P68B1DB1-Normal4"/>
              <w:spacing w:before="120" w:after="120"/>
              <w:rPr>
                <w:rFonts w:eastAsia="Calibri"/>
                <w:noProof/>
              </w:rPr>
            </w:pPr>
            <w:r>
              <w:rPr>
                <w:noProof/>
              </w:rPr>
              <w:t xml:space="preserve">Działania te obejmują: Renowacja i renowacja obecnych lokalizacji publicznych służb zatrudnienia oraz zakup nowych; (II) dalsze wdrażanie systemu informatycznego z myślą o interoperacyjności krajowej; (III) szkolenie zawodowe personelu; (IV) utworzenie regionalnych obserwatoriów lokalnych rynków pracy; (V) komunikacja instytucjonalna i działania informacyjne. </w:t>
            </w:r>
          </w:p>
          <w:p w14:paraId="4701C2AD" w14:textId="77777777" w:rsidR="004C6421" w:rsidRDefault="009D1962">
            <w:pPr>
              <w:pStyle w:val="P68B1DB1-Normal4"/>
              <w:spacing w:before="120" w:after="120"/>
              <w:rPr>
                <w:rFonts w:eastAsia="Calibri"/>
                <w:noProof/>
              </w:rPr>
            </w:pPr>
            <w:r>
              <w:rPr>
                <w:noProof/>
              </w:rPr>
              <w:t>Cel ten nie obejmuje działań infrastrukturalnych.</w:t>
            </w:r>
          </w:p>
          <w:p w14:paraId="299640B0" w14:textId="77777777" w:rsidR="004C6421" w:rsidRDefault="009D1962">
            <w:pPr>
              <w:pStyle w:val="P68B1DB1-Normal4"/>
              <w:spacing w:before="120" w:after="120"/>
              <w:rPr>
                <w:rFonts w:eastAsia="Calibri"/>
                <w:noProof/>
              </w:rPr>
            </w:pPr>
            <w:r>
              <w:rPr>
                <w:noProof/>
              </w:rPr>
              <w:t>W odniesieniu do osiągnięcia celu zapewnia się jednakową równowagę pod względem rozmieszczenia terytorialnego (północ, Centrum i Południe).</w:t>
            </w:r>
          </w:p>
        </w:tc>
      </w:tr>
      <w:tr w:rsidR="004C6421" w14:paraId="3EF33DA2" w14:textId="77777777">
        <w:trPr>
          <w:trHeight w:val="309"/>
          <w:jc w:val="center"/>
        </w:trPr>
        <w:tc>
          <w:tcPr>
            <w:tcW w:w="1364" w:type="dxa"/>
            <w:shd w:val="clear" w:color="auto" w:fill="C6EFCE"/>
            <w:noWrap/>
            <w:vAlign w:val="center"/>
            <w:hideMark/>
          </w:tcPr>
          <w:p w14:paraId="1DDF4710" w14:textId="77777777" w:rsidR="004C6421" w:rsidRDefault="009D1962">
            <w:pPr>
              <w:pStyle w:val="P68B1DB1-Normal4"/>
              <w:spacing w:before="120" w:after="120"/>
              <w:jc w:val="center"/>
              <w:rPr>
                <w:rFonts w:eastAsia="Calibri"/>
                <w:noProof/>
              </w:rPr>
            </w:pPr>
            <w:r>
              <w:rPr>
                <w:noProof/>
              </w:rPr>
              <w:t>M5C1-7</w:t>
            </w:r>
          </w:p>
        </w:tc>
        <w:tc>
          <w:tcPr>
            <w:tcW w:w="1513" w:type="dxa"/>
            <w:shd w:val="clear" w:color="auto" w:fill="C6EFCE"/>
            <w:noWrap/>
            <w:vAlign w:val="center"/>
            <w:hideMark/>
          </w:tcPr>
          <w:p w14:paraId="19B5FF0A" w14:textId="77777777" w:rsidR="004C6421" w:rsidRDefault="009D1962">
            <w:pPr>
              <w:pStyle w:val="P68B1DB1-Normal4"/>
              <w:spacing w:before="120" w:after="120"/>
              <w:jc w:val="center"/>
              <w:rPr>
                <w:rFonts w:eastAsia="Calibri"/>
                <w:noProof/>
              </w:rPr>
            </w:pPr>
            <w:r>
              <w:rPr>
                <w:noProof/>
              </w:rPr>
              <w:t>Inwestycje 1 – Wzmocnienie publicznych służb zatrudnienia</w:t>
            </w:r>
          </w:p>
        </w:tc>
        <w:tc>
          <w:tcPr>
            <w:tcW w:w="1281" w:type="dxa"/>
            <w:shd w:val="clear" w:color="auto" w:fill="C6EFCE"/>
            <w:noWrap/>
            <w:vAlign w:val="center"/>
            <w:hideMark/>
          </w:tcPr>
          <w:p w14:paraId="7605EE62" w14:textId="77777777" w:rsidR="004C6421" w:rsidRDefault="009D1962">
            <w:pPr>
              <w:pStyle w:val="P68B1DB1-Normal4"/>
              <w:spacing w:before="120" w:after="120"/>
              <w:jc w:val="center"/>
              <w:rPr>
                <w:rFonts w:eastAsia="Calibri"/>
                <w:noProof/>
              </w:rPr>
            </w:pPr>
            <w:r>
              <w:rPr>
                <w:noProof/>
              </w:rPr>
              <w:t>Cel</w:t>
            </w:r>
          </w:p>
        </w:tc>
        <w:tc>
          <w:tcPr>
            <w:tcW w:w="1597" w:type="dxa"/>
            <w:shd w:val="clear" w:color="auto" w:fill="C6EFCE"/>
            <w:noWrap/>
            <w:vAlign w:val="center"/>
            <w:hideMark/>
          </w:tcPr>
          <w:p w14:paraId="5C9717F1" w14:textId="77777777" w:rsidR="004C6421" w:rsidRDefault="009D1962">
            <w:pPr>
              <w:pStyle w:val="P68B1DB1-Normal4"/>
              <w:spacing w:before="120" w:after="120"/>
              <w:jc w:val="center"/>
              <w:rPr>
                <w:rFonts w:eastAsia="Calibri"/>
                <w:noProof/>
              </w:rPr>
            </w:pPr>
            <w:r>
              <w:rPr>
                <w:noProof/>
              </w:rPr>
              <w:t>Publiczne służby zatrudnienia zakończyły działania przewidziane w planie wzmocnienia</w:t>
            </w:r>
          </w:p>
        </w:tc>
        <w:tc>
          <w:tcPr>
            <w:tcW w:w="1470" w:type="dxa"/>
            <w:shd w:val="clear" w:color="auto" w:fill="C6EFCE"/>
            <w:noWrap/>
            <w:vAlign w:val="center"/>
            <w:hideMark/>
          </w:tcPr>
          <w:p w14:paraId="2B7E5996" w14:textId="77777777" w:rsidR="004C6421" w:rsidRDefault="009D1962">
            <w:pPr>
              <w:pStyle w:val="P68B1DB1-Normal4"/>
              <w:spacing w:before="120" w:after="120"/>
              <w:jc w:val="center"/>
              <w:rPr>
                <w:rFonts w:eastAsia="Calibri"/>
                <w:noProof/>
              </w:rPr>
            </w:pPr>
            <w:r>
              <w:rPr>
                <w:noProof/>
              </w:rPr>
              <w:t>NIE DOT.</w:t>
            </w:r>
          </w:p>
        </w:tc>
        <w:tc>
          <w:tcPr>
            <w:tcW w:w="1275" w:type="dxa"/>
            <w:shd w:val="clear" w:color="auto" w:fill="C6EFCE"/>
            <w:noWrap/>
            <w:vAlign w:val="center"/>
            <w:hideMark/>
          </w:tcPr>
          <w:p w14:paraId="293F8B96" w14:textId="77777777" w:rsidR="004C6421" w:rsidRDefault="009D1962">
            <w:pPr>
              <w:pStyle w:val="P68B1DB1-Normal4"/>
              <w:spacing w:before="120" w:after="120"/>
              <w:jc w:val="center"/>
              <w:rPr>
                <w:rFonts w:eastAsia="Calibri"/>
                <w:noProof/>
              </w:rPr>
            </w:pPr>
            <w:r>
              <w:rPr>
                <w:noProof/>
              </w:rPr>
              <w:t xml:space="preserve">Numer </w:t>
            </w:r>
          </w:p>
        </w:tc>
        <w:tc>
          <w:tcPr>
            <w:tcW w:w="1134" w:type="dxa"/>
            <w:shd w:val="clear" w:color="auto" w:fill="C6EFCE"/>
            <w:noWrap/>
            <w:vAlign w:val="center"/>
            <w:hideMark/>
          </w:tcPr>
          <w:p w14:paraId="05DAC6E6" w14:textId="77777777" w:rsidR="004C6421" w:rsidRDefault="009D1962">
            <w:pPr>
              <w:pStyle w:val="P68B1DB1-Normal4"/>
              <w:spacing w:before="120" w:after="120"/>
              <w:jc w:val="center"/>
              <w:rPr>
                <w:rFonts w:eastAsia="Calibri"/>
                <w:noProof/>
              </w:rPr>
            </w:pPr>
            <w:r>
              <w:rPr>
                <w:noProof/>
              </w:rPr>
              <w:t>250</w:t>
            </w:r>
          </w:p>
        </w:tc>
        <w:tc>
          <w:tcPr>
            <w:tcW w:w="1134" w:type="dxa"/>
            <w:shd w:val="clear" w:color="auto" w:fill="C6EFCE"/>
            <w:noWrap/>
            <w:vAlign w:val="center"/>
            <w:hideMark/>
          </w:tcPr>
          <w:p w14:paraId="350D0B05" w14:textId="77777777" w:rsidR="004C6421" w:rsidRDefault="009D1962">
            <w:pPr>
              <w:pStyle w:val="P68B1DB1-Normal4"/>
              <w:spacing w:before="120" w:after="120"/>
              <w:jc w:val="center"/>
              <w:rPr>
                <w:noProof/>
              </w:rPr>
            </w:pPr>
            <w:r>
              <w:rPr>
                <w:noProof/>
              </w:rPr>
              <w:t>500</w:t>
            </w:r>
          </w:p>
        </w:tc>
        <w:tc>
          <w:tcPr>
            <w:tcW w:w="851" w:type="dxa"/>
            <w:shd w:val="clear" w:color="auto" w:fill="C6EFCE"/>
            <w:noWrap/>
            <w:vAlign w:val="center"/>
            <w:hideMark/>
          </w:tcPr>
          <w:p w14:paraId="506C91C3" w14:textId="4C05FFD8" w:rsidR="004C6421" w:rsidRDefault="00CC179E">
            <w:pPr>
              <w:pStyle w:val="P68B1DB1-Normal4"/>
              <w:spacing w:before="120" w:after="120"/>
              <w:jc w:val="center"/>
              <w:rPr>
                <w:rFonts w:eastAsia="Calibri"/>
                <w:noProof/>
              </w:rPr>
            </w:pPr>
            <w:r>
              <w:rPr>
                <w:noProof/>
              </w:rPr>
              <w:t>KW. 4</w:t>
            </w:r>
          </w:p>
        </w:tc>
        <w:tc>
          <w:tcPr>
            <w:tcW w:w="709" w:type="dxa"/>
            <w:shd w:val="clear" w:color="auto" w:fill="C6EFCE"/>
            <w:noWrap/>
            <w:vAlign w:val="center"/>
            <w:hideMark/>
          </w:tcPr>
          <w:p w14:paraId="7020C299" w14:textId="77777777" w:rsidR="004C6421" w:rsidRDefault="009D1962">
            <w:pPr>
              <w:pStyle w:val="P68B1DB1-Normal4"/>
              <w:spacing w:before="120" w:after="120"/>
              <w:jc w:val="center"/>
              <w:rPr>
                <w:rFonts w:eastAsia="Calibri"/>
                <w:noProof/>
              </w:rPr>
            </w:pPr>
            <w:r>
              <w:rPr>
                <w:noProof/>
              </w:rPr>
              <w:t>2025</w:t>
            </w:r>
          </w:p>
        </w:tc>
        <w:tc>
          <w:tcPr>
            <w:tcW w:w="2835" w:type="dxa"/>
            <w:shd w:val="clear" w:color="auto" w:fill="C6EFCE"/>
            <w:noWrap/>
            <w:vAlign w:val="center"/>
            <w:hideMark/>
          </w:tcPr>
          <w:p w14:paraId="33D662D7" w14:textId="77777777" w:rsidR="004C6421" w:rsidRDefault="009D1962">
            <w:pPr>
              <w:pStyle w:val="P68B1DB1-Normal4"/>
              <w:spacing w:after="120"/>
              <w:rPr>
                <w:rFonts w:eastAsia="Calibri"/>
                <w:noProof/>
              </w:rPr>
            </w:pPr>
            <w:r>
              <w:rPr>
                <w:noProof/>
              </w:rPr>
              <w:t>Co najmniej 500 publicznych służb zatrudnienia ukończyło 100 % działań przewidzianych w regionalnych planach rozwoju publicznych ośrodków zatrudnienia (Pani</w:t>
            </w:r>
            <w:r>
              <w:rPr>
                <w:i/>
                <w:noProof/>
              </w:rPr>
              <w:t>regionali di potenziamento dei centri per l’impiego</w:t>
            </w:r>
            <w:r>
              <w:rPr>
                <w:noProof/>
              </w:rPr>
              <w:t>).</w:t>
            </w:r>
          </w:p>
          <w:p w14:paraId="429AA44D" w14:textId="77777777" w:rsidR="004C6421" w:rsidRDefault="009D1962">
            <w:pPr>
              <w:pStyle w:val="P68B1DB1-Normal4"/>
              <w:spacing w:before="120" w:after="120"/>
              <w:rPr>
                <w:rFonts w:eastAsia="Calibri"/>
                <w:noProof/>
              </w:rPr>
            </w:pPr>
            <w:r>
              <w:rPr>
                <w:noProof/>
              </w:rPr>
              <w:t>Działania te są zgodne z centralnym planem wzmocnienia i bardziej szczegółowo określone na szczeblu regionalnym na podstawie analizy potrzeb i przydzielonych środków.</w:t>
            </w:r>
          </w:p>
          <w:p w14:paraId="419E01C7" w14:textId="77777777" w:rsidR="004C6421" w:rsidRDefault="009D1962">
            <w:pPr>
              <w:spacing w:before="120" w:after="120"/>
              <w:rPr>
                <w:rFonts w:ascii="Arial Narrow" w:eastAsia="Calibri" w:hAnsi="Arial Narrow"/>
                <w:noProof/>
                <w:color w:val="006100"/>
                <w:sz w:val="20"/>
              </w:rPr>
            </w:pPr>
            <w:r>
              <w:rPr>
                <w:rFonts w:ascii="Arial Narrow" w:hAnsi="Arial Narrow"/>
                <w:noProof/>
                <w:color w:val="006100"/>
                <w:sz w:val="20"/>
              </w:rPr>
              <w:t xml:space="preserve">Działania te obejmują: (I) dalsze wdrażanie systemu informatycznego z myślą o interoperacyjności krajowej; (II) szkolenie zawodowe personelu; </w:t>
            </w:r>
            <w:r>
              <w:rPr>
                <w:noProof/>
              </w:rPr>
              <w:t xml:space="preserve">  </w:t>
            </w:r>
            <w:r>
              <w:rPr>
                <w:noProof/>
              </w:rPr>
              <w:br/>
            </w:r>
            <w:r>
              <w:rPr>
                <w:rFonts w:ascii="Arial Narrow" w:hAnsi="Arial Narrow"/>
                <w:noProof/>
                <w:color w:val="006100"/>
                <w:sz w:val="20"/>
              </w:rPr>
              <w:t>(III) utworzenie regionalnych centrów monitorowania lokalnych rynków pracy; (IV) komunikacja instytucjonalna i działania informacyjne.</w:t>
            </w:r>
          </w:p>
          <w:p w14:paraId="65B70708" w14:textId="77777777" w:rsidR="004C6421" w:rsidRDefault="009D1962">
            <w:pPr>
              <w:pStyle w:val="P68B1DB1-Normal4"/>
              <w:spacing w:before="120" w:after="120"/>
              <w:rPr>
                <w:rFonts w:eastAsia="Calibri"/>
                <w:noProof/>
              </w:rPr>
            </w:pPr>
            <w:r>
              <w:rPr>
                <w:noProof/>
              </w:rPr>
              <w:t xml:space="preserve">Cel ten nie obejmuje działań infrastrukturalnych. </w:t>
            </w:r>
          </w:p>
          <w:p w14:paraId="3995B2A5" w14:textId="77777777" w:rsidR="004C6421" w:rsidRDefault="009D1962">
            <w:pPr>
              <w:pStyle w:val="P68B1DB1-Normal4"/>
              <w:spacing w:before="120" w:after="120"/>
              <w:rPr>
                <w:rFonts w:eastAsia="Calibri"/>
                <w:noProof/>
              </w:rPr>
            </w:pPr>
            <w:r>
              <w:rPr>
                <w:noProof/>
              </w:rPr>
              <w:t>Aby osiągnąć ten cel, zagwarantowana jest równowaga pod względem podziału terytorialnego (północny, Center i Południe), również dzięki interwencjom w ramach zasady pomocniczości.</w:t>
            </w:r>
          </w:p>
        </w:tc>
      </w:tr>
      <w:tr w:rsidR="004C6421" w14:paraId="621226D7" w14:textId="77777777">
        <w:trPr>
          <w:trHeight w:val="309"/>
          <w:jc w:val="center"/>
        </w:trPr>
        <w:tc>
          <w:tcPr>
            <w:tcW w:w="1364" w:type="dxa"/>
            <w:shd w:val="clear" w:color="auto" w:fill="C6EFCE"/>
            <w:noWrap/>
            <w:vAlign w:val="center"/>
          </w:tcPr>
          <w:p w14:paraId="14903397" w14:textId="77777777" w:rsidR="004C6421" w:rsidRDefault="009D1962">
            <w:pPr>
              <w:pStyle w:val="P68B1DB1-Normal4"/>
              <w:jc w:val="center"/>
              <w:rPr>
                <w:noProof/>
              </w:rPr>
            </w:pPr>
            <w:r>
              <w:rPr>
                <w:noProof/>
              </w:rPr>
              <w:t>M5C1-7bis</w:t>
            </w:r>
          </w:p>
        </w:tc>
        <w:tc>
          <w:tcPr>
            <w:tcW w:w="1513" w:type="dxa"/>
            <w:shd w:val="clear" w:color="auto" w:fill="C6EFCE"/>
            <w:noWrap/>
            <w:vAlign w:val="center"/>
          </w:tcPr>
          <w:p w14:paraId="7B17E31F" w14:textId="77777777" w:rsidR="004C6421" w:rsidRDefault="009D1962">
            <w:pPr>
              <w:pStyle w:val="P68B1DB1-Normal4"/>
              <w:spacing w:before="120" w:after="120"/>
              <w:jc w:val="center"/>
              <w:rPr>
                <w:rFonts w:eastAsia="Calibri"/>
                <w:noProof/>
              </w:rPr>
            </w:pPr>
            <w:r>
              <w:rPr>
                <w:noProof/>
              </w:rPr>
              <w:t>Inwestycje 1 – Wzmocnienie publicznych służb zatrudnienia</w:t>
            </w:r>
          </w:p>
        </w:tc>
        <w:tc>
          <w:tcPr>
            <w:tcW w:w="1281" w:type="dxa"/>
            <w:shd w:val="clear" w:color="auto" w:fill="C6EFCE"/>
            <w:noWrap/>
            <w:vAlign w:val="center"/>
          </w:tcPr>
          <w:p w14:paraId="5E711019" w14:textId="77777777" w:rsidR="004C6421" w:rsidRDefault="009D1962">
            <w:pPr>
              <w:pStyle w:val="P68B1DB1-Normal4"/>
              <w:jc w:val="center"/>
              <w:rPr>
                <w:rFonts w:eastAsia="Calibri"/>
                <w:noProof/>
              </w:rPr>
            </w:pPr>
            <w:r>
              <w:rPr>
                <w:noProof/>
              </w:rPr>
              <w:t>Cel</w:t>
            </w:r>
          </w:p>
        </w:tc>
        <w:tc>
          <w:tcPr>
            <w:tcW w:w="1597" w:type="dxa"/>
            <w:shd w:val="clear" w:color="auto" w:fill="C6EFCE"/>
            <w:noWrap/>
            <w:vAlign w:val="center"/>
          </w:tcPr>
          <w:p w14:paraId="32838864" w14:textId="77777777" w:rsidR="004C6421" w:rsidRDefault="009D1962">
            <w:pPr>
              <w:pStyle w:val="P68B1DB1-Normal4"/>
              <w:jc w:val="center"/>
              <w:rPr>
                <w:noProof/>
              </w:rPr>
            </w:pPr>
            <w:r>
              <w:rPr>
                <w:noProof/>
              </w:rPr>
              <w:t>Publiczne służby zatrudnienia zakończyły działania przewidziane w planie wzmocnienia</w:t>
            </w:r>
          </w:p>
        </w:tc>
        <w:tc>
          <w:tcPr>
            <w:tcW w:w="1470" w:type="dxa"/>
            <w:shd w:val="clear" w:color="auto" w:fill="C6EFCE"/>
            <w:noWrap/>
            <w:vAlign w:val="center"/>
          </w:tcPr>
          <w:p w14:paraId="7B144116" w14:textId="77777777" w:rsidR="004C6421" w:rsidRDefault="009D1962">
            <w:pPr>
              <w:pStyle w:val="P68B1DB1-Normal4"/>
              <w:jc w:val="center"/>
              <w:rPr>
                <w:rFonts w:eastAsia="Calibri"/>
                <w:noProof/>
              </w:rPr>
            </w:pPr>
            <w:r>
              <w:rPr>
                <w:noProof/>
              </w:rPr>
              <w:t>NIE DOT.</w:t>
            </w:r>
          </w:p>
        </w:tc>
        <w:tc>
          <w:tcPr>
            <w:tcW w:w="1275" w:type="dxa"/>
            <w:shd w:val="clear" w:color="auto" w:fill="C6EFCE"/>
            <w:noWrap/>
            <w:vAlign w:val="center"/>
          </w:tcPr>
          <w:p w14:paraId="5311E440" w14:textId="77777777" w:rsidR="004C6421" w:rsidRDefault="009D1962">
            <w:pPr>
              <w:pStyle w:val="P68B1DB1-Normal4"/>
              <w:jc w:val="center"/>
              <w:rPr>
                <w:rFonts w:eastAsia="Calibri"/>
                <w:noProof/>
              </w:rPr>
            </w:pPr>
            <w:r>
              <w:rPr>
                <w:noProof/>
              </w:rPr>
              <w:t xml:space="preserve">Numer </w:t>
            </w:r>
          </w:p>
        </w:tc>
        <w:tc>
          <w:tcPr>
            <w:tcW w:w="1134" w:type="dxa"/>
            <w:shd w:val="clear" w:color="auto" w:fill="C6EFCE"/>
            <w:noWrap/>
            <w:vAlign w:val="center"/>
          </w:tcPr>
          <w:p w14:paraId="706E3D72" w14:textId="77777777" w:rsidR="004C6421" w:rsidRDefault="009D1962">
            <w:pPr>
              <w:pStyle w:val="P68B1DB1-Normal4"/>
              <w:jc w:val="center"/>
              <w:rPr>
                <w:rFonts w:eastAsia="Calibri"/>
                <w:noProof/>
              </w:rPr>
            </w:pPr>
            <w:r>
              <w:rPr>
                <w:noProof/>
              </w:rPr>
              <w:t>0</w:t>
            </w:r>
          </w:p>
        </w:tc>
        <w:tc>
          <w:tcPr>
            <w:tcW w:w="1134" w:type="dxa"/>
            <w:shd w:val="clear" w:color="auto" w:fill="C6EFCE"/>
            <w:noWrap/>
            <w:vAlign w:val="center"/>
          </w:tcPr>
          <w:p w14:paraId="50382238" w14:textId="77777777" w:rsidR="004C6421" w:rsidRDefault="009D1962">
            <w:pPr>
              <w:pStyle w:val="P68B1DB1-Normal4"/>
              <w:jc w:val="center"/>
              <w:rPr>
                <w:rFonts w:eastAsia="Calibri"/>
                <w:noProof/>
              </w:rPr>
            </w:pPr>
            <w:r>
              <w:rPr>
                <w:noProof/>
              </w:rPr>
              <w:t>500</w:t>
            </w:r>
          </w:p>
        </w:tc>
        <w:tc>
          <w:tcPr>
            <w:tcW w:w="851" w:type="dxa"/>
            <w:shd w:val="clear" w:color="auto" w:fill="C6EFCE"/>
            <w:noWrap/>
            <w:vAlign w:val="center"/>
          </w:tcPr>
          <w:p w14:paraId="14859616" w14:textId="77777777" w:rsidR="004C6421" w:rsidRDefault="009D1962">
            <w:pPr>
              <w:pStyle w:val="P68B1DB1-Normal4"/>
              <w:jc w:val="center"/>
              <w:rPr>
                <w:rFonts w:eastAsia="Calibri"/>
                <w:noProof/>
              </w:rPr>
            </w:pPr>
            <w:r>
              <w:rPr>
                <w:noProof/>
              </w:rPr>
              <w:t>II KW.</w:t>
            </w:r>
          </w:p>
        </w:tc>
        <w:tc>
          <w:tcPr>
            <w:tcW w:w="709" w:type="dxa"/>
            <w:shd w:val="clear" w:color="auto" w:fill="C6EFCE"/>
            <w:noWrap/>
            <w:vAlign w:val="center"/>
          </w:tcPr>
          <w:p w14:paraId="63DB985E" w14:textId="77777777" w:rsidR="004C6421" w:rsidRDefault="009D1962">
            <w:pPr>
              <w:pStyle w:val="P68B1DB1-Normal4"/>
              <w:jc w:val="center"/>
              <w:rPr>
                <w:rFonts w:eastAsia="Calibri"/>
                <w:noProof/>
              </w:rPr>
            </w:pPr>
            <w:r>
              <w:rPr>
                <w:noProof/>
              </w:rPr>
              <w:t>2026</w:t>
            </w:r>
          </w:p>
        </w:tc>
        <w:tc>
          <w:tcPr>
            <w:tcW w:w="2835" w:type="dxa"/>
            <w:shd w:val="clear" w:color="auto" w:fill="C6EFCE"/>
            <w:noWrap/>
            <w:vAlign w:val="center"/>
          </w:tcPr>
          <w:p w14:paraId="7A7127D6" w14:textId="77777777" w:rsidR="004C6421" w:rsidRDefault="009D1962">
            <w:pPr>
              <w:pStyle w:val="P68B1DB1-Normal4"/>
              <w:spacing w:before="120" w:after="120"/>
              <w:rPr>
                <w:rFonts w:eastAsia="Calibri"/>
                <w:noProof/>
              </w:rPr>
            </w:pPr>
            <w:r>
              <w:rPr>
                <w:noProof/>
              </w:rPr>
              <w:t xml:space="preserve">Co najmniej 500 publicznych służb zatrudnienia zrealizowało 100 % działań przewidzianych w regionalnych planach rozwoju publicznych ośrodków zatrudnienia </w:t>
            </w:r>
            <w:r>
              <w:rPr>
                <w:i/>
                <w:noProof/>
              </w:rPr>
              <w:t xml:space="preserve">(Piani regionali di potenziamento dei centri per l’impiego) </w:t>
            </w:r>
            <w:r>
              <w:rPr>
                <w:noProof/>
              </w:rPr>
              <w:t>dotyczących renowacji i remontów istniejących budynków publicznych służb zatrudnienia i agencji regionalnych oraz zakupu nowych, jak opisano w dekrecie sekretarza generalnego Ministerstwa Pracy i Polityki Społecznej nr 123/2020.</w:t>
            </w:r>
          </w:p>
        </w:tc>
      </w:tr>
      <w:tr w:rsidR="004C6421" w14:paraId="6B1D7C24" w14:textId="77777777">
        <w:trPr>
          <w:trHeight w:val="5175"/>
          <w:jc w:val="center"/>
        </w:trPr>
        <w:tc>
          <w:tcPr>
            <w:tcW w:w="136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D68E7BC" w14:textId="77777777" w:rsidR="004C6421" w:rsidRDefault="009D1962">
            <w:pPr>
              <w:pStyle w:val="P68B1DB1-Normal4"/>
              <w:jc w:val="center"/>
              <w:rPr>
                <w:rFonts w:eastAsia="Calibri"/>
                <w:noProof/>
              </w:rPr>
            </w:pPr>
            <w:r>
              <w:rPr>
                <w:noProof/>
              </w:rPr>
              <w:t>M5C1-8</w:t>
            </w:r>
          </w:p>
        </w:tc>
        <w:tc>
          <w:tcPr>
            <w:tcW w:w="151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C8F0B22" w14:textId="77777777" w:rsidR="004C6421" w:rsidRDefault="009D1962">
            <w:pPr>
              <w:pStyle w:val="P68B1DB1-Normal4"/>
              <w:jc w:val="center"/>
              <w:rPr>
                <w:rFonts w:eastAsia="Calibri"/>
                <w:noProof/>
              </w:rPr>
            </w:pPr>
            <w:r>
              <w:rPr>
                <w:noProof/>
              </w:rPr>
              <w:t>Reforma 2 – Praca nierejestrowana</w:t>
            </w:r>
          </w:p>
        </w:tc>
        <w:tc>
          <w:tcPr>
            <w:tcW w:w="1281"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46AB10A9" w14:textId="1D34DD2F" w:rsidR="004C6421" w:rsidRDefault="00CC179E">
            <w:pPr>
              <w:pStyle w:val="P68B1DB1-Normal4"/>
              <w:jc w:val="center"/>
              <w:rPr>
                <w:rFonts w:eastAsia="Calibri"/>
                <w:noProof/>
              </w:rPr>
            </w:pPr>
            <w:r>
              <w:rPr>
                <w:noProof/>
              </w:rPr>
              <w:t>Milowy</w:t>
            </w:r>
          </w:p>
        </w:tc>
        <w:tc>
          <w:tcPr>
            <w:tcW w:w="1597"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BAB003B" w14:textId="77777777" w:rsidR="004C6421" w:rsidRDefault="009D1962">
            <w:pPr>
              <w:pStyle w:val="P68B1DB1-Normal4"/>
              <w:jc w:val="center"/>
              <w:rPr>
                <w:noProof/>
              </w:rPr>
            </w:pPr>
            <w:r>
              <w:rPr>
                <w:noProof/>
              </w:rPr>
              <w:t>Wejście w życie krajowego planu i planu wdrożenia planu działania na rzecz zwalczania pracy nierejestrowanej we wszystkich sektorach gospodarki.</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A34B34B" w14:textId="77777777" w:rsidR="004C6421" w:rsidRDefault="009D1962">
            <w:pPr>
              <w:pStyle w:val="P68B1DB1-Normal4"/>
              <w:jc w:val="center"/>
              <w:rPr>
                <w:rFonts w:eastAsia="Calibri"/>
                <w:noProof/>
              </w:rPr>
            </w:pPr>
            <w:r>
              <w:rPr>
                <w:noProof/>
              </w:rPr>
              <w:t>Przepisy prawa wskazujące na wejście w życie planu krajowego i powołanie międzyinstytucjonalnej grupy roboczej, która będzie odpowiedzialna za utworzenie krajowego planu i planu działania wdrożeniowego NIE DOT.</w:t>
            </w:r>
          </w:p>
        </w:tc>
        <w:tc>
          <w:tcPr>
            <w:tcW w:w="1275"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2CF389C" w14:textId="77777777" w:rsidR="004C6421" w:rsidRDefault="009D1962">
            <w:pPr>
              <w:pStyle w:val="P68B1DB1-Normal4"/>
              <w:jc w:val="center"/>
              <w:rPr>
                <w:rFonts w:eastAsia="Calibri"/>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2BB95E2" w14:textId="77777777" w:rsidR="004C6421" w:rsidRDefault="009D1962">
            <w:pPr>
              <w:pStyle w:val="P68B1DB1-Normal4"/>
              <w:jc w:val="center"/>
              <w:rPr>
                <w:rFonts w:eastAsia="Calibri"/>
                <w:noProof/>
              </w:rPr>
            </w:pPr>
            <w:r>
              <w:rPr>
                <w:noProof/>
              </w:rPr>
              <w:t>NIE DOT.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171D772" w14:textId="77777777" w:rsidR="004C6421" w:rsidRDefault="009D1962">
            <w:pPr>
              <w:pStyle w:val="P68B1DB1-Normal4"/>
              <w:jc w:val="center"/>
              <w:rPr>
                <w:rFonts w:eastAsia="Calibri"/>
                <w:noProof/>
              </w:rPr>
            </w:pPr>
            <w:r>
              <w:rPr>
                <w:noProof/>
              </w:rPr>
              <w:t>NIE DOT.</w:t>
            </w:r>
          </w:p>
        </w:tc>
        <w:tc>
          <w:tcPr>
            <w:tcW w:w="851"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762E9D0" w14:textId="10161424" w:rsidR="004C6421" w:rsidRDefault="00CC179E">
            <w:pPr>
              <w:pStyle w:val="P68B1DB1-Normal4"/>
              <w:jc w:val="center"/>
              <w:rPr>
                <w:rFonts w:eastAsia="Calibri"/>
                <w:noProof/>
              </w:rPr>
            </w:pPr>
            <w:r>
              <w:rPr>
                <w:noProof/>
              </w:rPr>
              <w:t>KW. 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8B08948" w14:textId="77777777" w:rsidR="004C6421" w:rsidRDefault="009D1962">
            <w:pPr>
              <w:pStyle w:val="P68B1DB1-Normal4"/>
              <w:jc w:val="center"/>
              <w:rPr>
                <w:rFonts w:eastAsia="Calibri"/>
                <w:noProof/>
              </w:rPr>
            </w:pPr>
            <w:r>
              <w:rPr>
                <w:noProof/>
              </w:rPr>
              <w:t>2022</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78F87C1" w14:textId="77777777" w:rsidR="004C6421" w:rsidRDefault="009D1962">
            <w:pPr>
              <w:rPr>
                <w:rFonts w:ascii="Arial Narrow" w:eastAsia="Calibri" w:hAnsi="Arial Narrow"/>
                <w:noProof/>
                <w:color w:val="006100"/>
                <w:sz w:val="20"/>
              </w:rPr>
            </w:pPr>
            <w:r>
              <w:rPr>
                <w:rFonts w:ascii="Arial Narrow" w:hAnsi="Arial Narrow"/>
                <w:noProof/>
                <w:color w:val="006100"/>
                <w:sz w:val="20"/>
              </w:rPr>
              <w:t xml:space="preserve">Przyjęcie krajowego planu i określonego w czasie (jeden rok) planu działania na rzecz zwalczania pracy nierejestrowanej we wszystkich sektorach gospodarki. Plan krajowy opiera się na ogólnej strategii zwalczania pracy nierejestrowanej oraz na wielopodmiotowym podejściu stosowanym do przyjęcia krajowego planu przeciwdziałania wykorzystywaniu pracowników w sektorze rolnym – „Piano triennale di contrasto allo sfruttamento lavorativo in agricoltura e al caporalato (2020–2022)”. Plan krajowy i mapa drogowa do realizacji zawierają co najmniej następujące elementy: </w:t>
            </w:r>
            <w:r>
              <w:rPr>
                <w:rFonts w:ascii="Arial Narrow" w:hAnsi="Arial Narrow"/>
                <w:noProof/>
                <w:sz w:val="20"/>
              </w:rPr>
              <w:t xml:space="preserve"> </w:t>
            </w:r>
            <w:r>
              <w:rPr>
                <w:noProof/>
              </w:rPr>
              <w:t xml:space="preserve">  </w:t>
            </w:r>
            <w:r>
              <w:rPr>
                <w:noProof/>
              </w:rPr>
              <w:br/>
            </w:r>
            <w:r>
              <w:rPr>
                <w:rFonts w:ascii="Arial Narrow" w:hAnsi="Arial Narrow"/>
                <w:noProof/>
                <w:color w:val="006100"/>
                <w:sz w:val="20"/>
              </w:rPr>
              <w:t xml:space="preserve">Środki mające na celu poprawę tworzenia, gromadzenia i terminowego rozpowszechniania szczegółowych danych dotyczących pracy nierejestrowanej; </w:t>
            </w:r>
            <w:r>
              <w:rPr>
                <w:rFonts w:ascii="Arial Narrow" w:hAnsi="Arial Narrow"/>
                <w:noProof/>
                <w:sz w:val="20"/>
              </w:rPr>
              <w:t xml:space="preserve"> </w:t>
            </w:r>
            <w:r>
              <w:rPr>
                <w:noProof/>
              </w:rPr>
              <w:t xml:space="preserve"> </w:t>
            </w:r>
            <w:r>
              <w:rPr>
                <w:noProof/>
              </w:rPr>
              <w:br/>
            </w:r>
            <w:r>
              <w:rPr>
                <w:rFonts w:ascii="Arial Narrow" w:hAnsi="Arial Narrow"/>
                <w:noProof/>
                <w:color w:val="006100"/>
                <w:sz w:val="20"/>
              </w:rPr>
              <w:t xml:space="preserve">Wprowadzenie bezpośrednich i pośrednich środków mających na celu przekształcenie pracy nierejestrowanej w pracę rejestrowaną poprzez zapewnienie, aby korzyści płynące z działalności w gospodarce zadeklarowanej przewyższały koszty pracy w gospodarce nierejestrowanej. Na przykład a) środki odstraszające, takie jak wzmocnienie inspekcji i sankcji, oraz środki zapobiegawcze promujące pracę deklarowaną, takie jak ukierunkowane zachęty finansowe, również poprzez przegląd i racjonalizację istniejących; wzmocnienie powiązań z polityką zatrudnienia i polityką społeczną; </w:t>
            </w:r>
            <w:r>
              <w:rPr>
                <w:rFonts w:ascii="Arial Narrow" w:hAnsi="Arial Narrow"/>
                <w:noProof/>
                <w:sz w:val="20"/>
              </w:rPr>
              <w:t xml:space="preserve"> </w:t>
            </w:r>
            <w:r>
              <w:rPr>
                <w:noProof/>
              </w:rPr>
              <w:t xml:space="preserve"> </w:t>
            </w:r>
            <w:r>
              <w:rPr>
                <w:noProof/>
              </w:rPr>
              <w:br/>
            </w:r>
            <w:r>
              <w:rPr>
                <w:rFonts w:ascii="Arial Narrow" w:hAnsi="Arial Narrow"/>
                <w:noProof/>
                <w:color w:val="006100"/>
                <w:sz w:val="20"/>
              </w:rPr>
              <w:t xml:space="preserve">(III) krajowej kampanii informacyjnej na temat „niewartości” pracy nierejestrowanej, skierowanej do pracodawców i pracowników, przy aktywnym zaangażowaniu partnerów społecznych; </w:t>
            </w:r>
            <w:r>
              <w:rPr>
                <w:rFonts w:ascii="Arial Narrow" w:hAnsi="Arial Narrow"/>
                <w:noProof/>
                <w:sz w:val="20"/>
              </w:rPr>
              <w:t xml:space="preserve"> </w:t>
            </w:r>
            <w:r>
              <w:rPr>
                <w:noProof/>
              </w:rPr>
              <w:t xml:space="preserve"> </w:t>
            </w:r>
            <w:r>
              <w:rPr>
                <w:noProof/>
              </w:rPr>
              <w:br/>
            </w:r>
            <w:r>
              <w:rPr>
                <w:rFonts w:ascii="Arial Narrow" w:hAnsi="Arial Narrow"/>
                <w:noProof/>
                <w:color w:val="006100"/>
                <w:sz w:val="20"/>
              </w:rPr>
              <w:t xml:space="preserve">(IV) strukturę zarządzania w celu zapewnienia skutecznej realizacji działań; </w:t>
            </w:r>
          </w:p>
          <w:p w14:paraId="4857CB42" w14:textId="77777777" w:rsidR="004C6421" w:rsidRDefault="009D1962">
            <w:pPr>
              <w:pStyle w:val="P68B1DB1-Normal4"/>
              <w:rPr>
                <w:rFonts w:eastAsia="Calibri"/>
                <w:noProof/>
              </w:rPr>
            </w:pPr>
            <w:r>
              <w:rPr>
                <w:noProof/>
              </w:rPr>
              <w:t>(V) środki mające na celu przezwyciężenie nielegalnych osiedli w celu zwalczania wyzysku pracowników w rolnictwie.</w:t>
            </w:r>
          </w:p>
        </w:tc>
      </w:tr>
      <w:tr w:rsidR="004C6421" w14:paraId="1A115586" w14:textId="77777777">
        <w:trPr>
          <w:trHeight w:val="309"/>
          <w:jc w:val="center"/>
        </w:trPr>
        <w:tc>
          <w:tcPr>
            <w:tcW w:w="1364" w:type="dxa"/>
            <w:shd w:val="clear" w:color="auto" w:fill="C6EFCE"/>
            <w:noWrap/>
            <w:vAlign w:val="center"/>
            <w:hideMark/>
          </w:tcPr>
          <w:p w14:paraId="653050C2" w14:textId="77777777" w:rsidR="004C6421" w:rsidRDefault="009D1962">
            <w:pPr>
              <w:pStyle w:val="P68B1DB1-Normal4"/>
              <w:jc w:val="center"/>
              <w:rPr>
                <w:rFonts w:eastAsia="Calibri"/>
                <w:noProof/>
              </w:rPr>
            </w:pPr>
            <w:r>
              <w:rPr>
                <w:noProof/>
              </w:rPr>
              <w:t>M5C1-9</w:t>
            </w:r>
          </w:p>
        </w:tc>
        <w:tc>
          <w:tcPr>
            <w:tcW w:w="1513" w:type="dxa"/>
            <w:shd w:val="clear" w:color="auto" w:fill="C6EFCE"/>
            <w:noWrap/>
            <w:vAlign w:val="center"/>
            <w:hideMark/>
          </w:tcPr>
          <w:p w14:paraId="09972109" w14:textId="77777777" w:rsidR="004C6421" w:rsidRDefault="009D1962">
            <w:pPr>
              <w:pStyle w:val="P68B1DB1-Normal4"/>
              <w:jc w:val="center"/>
              <w:rPr>
                <w:rFonts w:eastAsia="Calibri"/>
                <w:noProof/>
              </w:rPr>
            </w:pPr>
            <w:r>
              <w:rPr>
                <w:noProof/>
              </w:rPr>
              <w:t>Reforma 2 – Praca nierejestrowana</w:t>
            </w:r>
          </w:p>
        </w:tc>
        <w:tc>
          <w:tcPr>
            <w:tcW w:w="1281" w:type="dxa"/>
            <w:shd w:val="clear" w:color="auto" w:fill="C6EFCE"/>
            <w:noWrap/>
            <w:vAlign w:val="center"/>
            <w:hideMark/>
          </w:tcPr>
          <w:p w14:paraId="05DB01BB" w14:textId="3A0F682B" w:rsidR="004C6421" w:rsidRDefault="00CC179E">
            <w:pPr>
              <w:pStyle w:val="P68B1DB1-Normal4"/>
              <w:jc w:val="center"/>
              <w:rPr>
                <w:rFonts w:eastAsia="Calibri"/>
                <w:noProof/>
              </w:rPr>
            </w:pPr>
            <w:r>
              <w:rPr>
                <w:noProof/>
              </w:rPr>
              <w:t>Milowy</w:t>
            </w:r>
          </w:p>
        </w:tc>
        <w:tc>
          <w:tcPr>
            <w:tcW w:w="1597" w:type="dxa"/>
            <w:shd w:val="clear" w:color="auto" w:fill="C6EFCE"/>
            <w:noWrap/>
            <w:vAlign w:val="center"/>
            <w:hideMark/>
          </w:tcPr>
          <w:p w14:paraId="3DDE23E6" w14:textId="25DDE285" w:rsidR="004C6421" w:rsidRDefault="009D1962">
            <w:pPr>
              <w:pStyle w:val="P68B1DB1-Normal4"/>
              <w:jc w:val="center"/>
              <w:rPr>
                <w:rFonts w:eastAsia="Arial Narrow" w:cs="Arial Narrow"/>
                <w:noProof/>
              </w:rPr>
            </w:pPr>
            <w:r>
              <w:rPr>
                <w:noProof/>
              </w:rPr>
              <w:t>Prowadzenie działań w celu zwalczania pracy nierejestrowanej</w:t>
            </w:r>
          </w:p>
        </w:tc>
        <w:tc>
          <w:tcPr>
            <w:tcW w:w="1470" w:type="dxa"/>
            <w:shd w:val="clear" w:color="auto" w:fill="C6EFCE"/>
            <w:noWrap/>
            <w:vAlign w:val="center"/>
            <w:hideMark/>
          </w:tcPr>
          <w:p w14:paraId="0E13F48B" w14:textId="2F0087C5" w:rsidR="004C6421" w:rsidRDefault="009D1962">
            <w:pPr>
              <w:pStyle w:val="P68B1DB1-Normal4"/>
              <w:jc w:val="center"/>
              <w:rPr>
                <w:rFonts w:eastAsia="Arial Narrow" w:cs="Arial Narrow"/>
                <w:noProof/>
              </w:rPr>
            </w:pPr>
            <w:r>
              <w:rPr>
                <w:noProof/>
              </w:rPr>
              <w:t>Przeprowadzone działania</w:t>
            </w:r>
          </w:p>
        </w:tc>
        <w:tc>
          <w:tcPr>
            <w:tcW w:w="1275" w:type="dxa"/>
            <w:shd w:val="clear" w:color="auto" w:fill="C6EFCE"/>
            <w:noWrap/>
            <w:vAlign w:val="center"/>
            <w:hideMark/>
          </w:tcPr>
          <w:p w14:paraId="2E991EA3" w14:textId="77777777" w:rsidR="004C6421" w:rsidRDefault="009D1962">
            <w:pPr>
              <w:pStyle w:val="P68B1DB1-Normal4"/>
              <w:jc w:val="center"/>
              <w:rPr>
                <w:rFonts w:eastAsia="Calibri"/>
                <w:noProof/>
              </w:rPr>
            </w:pPr>
            <w:r>
              <w:rPr>
                <w:noProof/>
              </w:rPr>
              <w:t>NIE DOT.</w:t>
            </w:r>
          </w:p>
        </w:tc>
        <w:tc>
          <w:tcPr>
            <w:tcW w:w="1134" w:type="dxa"/>
            <w:shd w:val="clear" w:color="auto" w:fill="C6EFCE"/>
            <w:noWrap/>
            <w:vAlign w:val="center"/>
            <w:hideMark/>
          </w:tcPr>
          <w:p w14:paraId="43391826" w14:textId="77777777" w:rsidR="004C6421" w:rsidRDefault="009D1962">
            <w:pPr>
              <w:pStyle w:val="P68B1DB1-Normal4"/>
              <w:jc w:val="center"/>
              <w:rPr>
                <w:rFonts w:eastAsia="Calibri"/>
                <w:noProof/>
              </w:rPr>
            </w:pPr>
            <w:r>
              <w:rPr>
                <w:noProof/>
              </w:rPr>
              <w:t>NIE DOT.</w:t>
            </w:r>
          </w:p>
        </w:tc>
        <w:tc>
          <w:tcPr>
            <w:tcW w:w="1134" w:type="dxa"/>
            <w:shd w:val="clear" w:color="auto" w:fill="C6EFCE"/>
            <w:noWrap/>
            <w:vAlign w:val="center"/>
            <w:hideMark/>
          </w:tcPr>
          <w:p w14:paraId="006047D8" w14:textId="77777777" w:rsidR="004C6421" w:rsidRDefault="009D1962">
            <w:pPr>
              <w:pStyle w:val="P68B1DB1-Normal4"/>
              <w:jc w:val="center"/>
              <w:rPr>
                <w:rFonts w:eastAsia="Calibri"/>
                <w:noProof/>
              </w:rPr>
            </w:pPr>
            <w:r>
              <w:rPr>
                <w:noProof/>
              </w:rPr>
              <w:t>NIE DOT.</w:t>
            </w:r>
          </w:p>
        </w:tc>
        <w:tc>
          <w:tcPr>
            <w:tcW w:w="851" w:type="dxa"/>
            <w:shd w:val="clear" w:color="auto" w:fill="C6EFCE"/>
            <w:noWrap/>
            <w:vAlign w:val="center"/>
            <w:hideMark/>
          </w:tcPr>
          <w:p w14:paraId="08B0DB60" w14:textId="7C1C1135" w:rsidR="004C6421" w:rsidRDefault="00CC179E">
            <w:pPr>
              <w:pStyle w:val="P68B1DB1-Normal4"/>
              <w:jc w:val="center"/>
              <w:rPr>
                <w:rFonts w:eastAsia="Calibri"/>
                <w:noProof/>
              </w:rPr>
            </w:pPr>
            <w:r>
              <w:rPr>
                <w:noProof/>
              </w:rPr>
              <w:t>KW. 1</w:t>
            </w:r>
          </w:p>
        </w:tc>
        <w:tc>
          <w:tcPr>
            <w:tcW w:w="709" w:type="dxa"/>
            <w:shd w:val="clear" w:color="auto" w:fill="C6EFCE"/>
            <w:noWrap/>
            <w:vAlign w:val="center"/>
            <w:hideMark/>
          </w:tcPr>
          <w:p w14:paraId="03DCA44F" w14:textId="77777777" w:rsidR="004C6421" w:rsidRDefault="009D1962">
            <w:pPr>
              <w:pStyle w:val="P68B1DB1-Normal4"/>
              <w:jc w:val="center"/>
              <w:rPr>
                <w:rFonts w:eastAsia="Calibri"/>
                <w:noProof/>
              </w:rPr>
            </w:pPr>
            <w:r>
              <w:rPr>
                <w:noProof/>
              </w:rPr>
              <w:t>2024</w:t>
            </w:r>
          </w:p>
        </w:tc>
        <w:tc>
          <w:tcPr>
            <w:tcW w:w="2835" w:type="dxa"/>
            <w:shd w:val="clear" w:color="auto" w:fill="C6EFCE"/>
            <w:noWrap/>
            <w:vAlign w:val="center"/>
            <w:hideMark/>
          </w:tcPr>
          <w:p w14:paraId="42980F8E" w14:textId="77777777" w:rsidR="004C6421" w:rsidRDefault="009D1962">
            <w:pPr>
              <w:pStyle w:val="P68B1DB1-Normal4"/>
              <w:rPr>
                <w:noProof/>
              </w:rPr>
            </w:pPr>
            <w:r>
              <w:rPr>
                <w:noProof/>
              </w:rPr>
              <w:t xml:space="preserve">Przeprowadza się następujące działania:   </w:t>
            </w:r>
          </w:p>
          <w:p w14:paraId="5E999341" w14:textId="77777777" w:rsidR="004C6421" w:rsidRDefault="009D1962">
            <w:pPr>
              <w:pStyle w:val="P68B1DB1-Normal4"/>
              <w:rPr>
                <w:noProof/>
              </w:rPr>
            </w:pPr>
            <w:r>
              <w:rPr>
                <w:noProof/>
              </w:rPr>
              <w:t xml:space="preserve">(I) Wprowadzenie środków mających na celu usprawnienie gromadzenia szczegółowych danych na temat pracy nierejestrowanej;  </w:t>
            </w:r>
          </w:p>
          <w:p w14:paraId="44B3014D" w14:textId="77777777" w:rsidR="004C6421" w:rsidRDefault="009D1962">
            <w:pPr>
              <w:pStyle w:val="P68B1DB1-Normal4"/>
              <w:rPr>
                <w:noProof/>
              </w:rPr>
            </w:pPr>
            <w:r>
              <w:rPr>
                <w:noProof/>
              </w:rPr>
              <w:t xml:space="preserve">(II) Wprowadzenie środków mających na celu przekształcenie pracy niezgłoszonej w pracę rejestrowaną:   </w:t>
            </w:r>
          </w:p>
          <w:p w14:paraId="2245B4E6" w14:textId="77777777" w:rsidR="004C6421" w:rsidRDefault="009D1962">
            <w:pPr>
              <w:pStyle w:val="P68B1DB1-Normal4"/>
              <w:rPr>
                <w:noProof/>
              </w:rPr>
            </w:pPr>
            <w:r>
              <w:rPr>
                <w:noProof/>
              </w:rPr>
              <w:t>środki odstraszające, które mogą obejmować m.in. wzmocnienie inspekcji i sankcji, a także środki zapobiegawcze mające na celu promowanie pracy rejestrowanej, które mogą obejmować m.in. ukierunkowane zachęty finansowe;</w:t>
            </w:r>
          </w:p>
          <w:p w14:paraId="6739B1CC" w14:textId="5CDF8E48" w:rsidR="004C6421" w:rsidRDefault="009D1962">
            <w:pPr>
              <w:pStyle w:val="P68B1DB1-Normal4"/>
              <w:rPr>
                <w:noProof/>
              </w:rPr>
            </w:pPr>
            <w:r>
              <w:rPr>
                <w:noProof/>
              </w:rPr>
              <w:t>b) środki mające na celu wzmocnienie powiązania z aktywną polityką rynku pracy, które mogą obejmować m.in. szkolenie operatorów ośrodków pracy;</w:t>
            </w:r>
          </w:p>
          <w:p w14:paraId="2B66BB93" w14:textId="77777777" w:rsidR="004C6421" w:rsidRDefault="009D1962">
            <w:pPr>
              <w:pStyle w:val="P68B1DB1-Normal4"/>
              <w:rPr>
                <w:noProof/>
              </w:rPr>
            </w:pPr>
            <w:r>
              <w:rPr>
                <w:noProof/>
              </w:rPr>
              <w:t xml:space="preserve">(III) Przeprowadzenie krajowej kampanii informacyjnej na temat „niewartości” pracy nierejestrowanej; </w:t>
            </w:r>
          </w:p>
          <w:p w14:paraId="1F36AF6D" w14:textId="77777777" w:rsidR="004C6421" w:rsidRDefault="009D1962">
            <w:pPr>
              <w:pStyle w:val="P68B1DB1-Normal4"/>
              <w:rPr>
                <w:noProof/>
              </w:rPr>
            </w:pPr>
            <w:r>
              <w:rPr>
                <w:noProof/>
              </w:rPr>
              <w:t>(IV) Rozpoczęcie prac w ramach struktury zarządzania w celu zwalczania pracy nierejestrowanej;</w:t>
            </w:r>
          </w:p>
          <w:p w14:paraId="07D7BFD8" w14:textId="2D1C5548" w:rsidR="004C6421" w:rsidRDefault="009D1962">
            <w:pPr>
              <w:pStyle w:val="P68B1DB1-Normal6"/>
              <w:spacing w:after="160" w:line="257" w:lineRule="auto"/>
              <w:rPr>
                <w:rFonts w:eastAsia="Calibri" w:cs="Calibri"/>
                <w:noProof/>
                <w:color w:val="000000" w:themeColor="text1"/>
                <w:sz w:val="22"/>
              </w:rPr>
            </w:pPr>
            <w:r>
              <w:rPr>
                <w:noProof/>
                <w:color w:val="006100"/>
              </w:rPr>
              <w:t>(V) Wprowadzenie środków mających na celu rozwiązanie problemu wyzysku pracowników w rolnictwie</w:t>
            </w:r>
            <w:r>
              <w:rPr>
                <w:noProof/>
                <w:color w:val="000000" w:themeColor="text1"/>
              </w:rPr>
              <w:t>.</w:t>
            </w:r>
          </w:p>
          <w:p w14:paraId="7AE764C2" w14:textId="77777777" w:rsidR="004C6421" w:rsidRDefault="004C6421">
            <w:pPr>
              <w:rPr>
                <w:rFonts w:ascii="Arial Narrow" w:hAnsi="Arial Narrow"/>
                <w:noProof/>
                <w:color w:val="006100"/>
                <w:sz w:val="20"/>
              </w:rPr>
            </w:pPr>
          </w:p>
        </w:tc>
      </w:tr>
      <w:tr w:rsidR="004C6421" w14:paraId="21191771" w14:textId="77777777">
        <w:trPr>
          <w:trHeight w:val="309"/>
          <w:jc w:val="center"/>
        </w:trPr>
        <w:tc>
          <w:tcPr>
            <w:tcW w:w="1364" w:type="dxa"/>
            <w:shd w:val="clear" w:color="auto" w:fill="C6EFCE"/>
            <w:noWrap/>
            <w:vAlign w:val="center"/>
            <w:hideMark/>
          </w:tcPr>
          <w:p w14:paraId="260AB0A6" w14:textId="77777777" w:rsidR="004C6421" w:rsidRDefault="009D1962">
            <w:pPr>
              <w:pStyle w:val="P68B1DB1-Normal4"/>
              <w:jc w:val="center"/>
              <w:rPr>
                <w:noProof/>
              </w:rPr>
            </w:pPr>
            <w:r>
              <w:rPr>
                <w:noProof/>
              </w:rPr>
              <w:t xml:space="preserve">M5C1-10 </w:t>
            </w:r>
          </w:p>
        </w:tc>
        <w:tc>
          <w:tcPr>
            <w:tcW w:w="1513" w:type="dxa"/>
            <w:shd w:val="clear" w:color="auto" w:fill="C6EFCE"/>
            <w:noWrap/>
            <w:vAlign w:val="center"/>
            <w:hideMark/>
          </w:tcPr>
          <w:p w14:paraId="0327A846" w14:textId="77777777" w:rsidR="004C6421" w:rsidRDefault="009D1962">
            <w:pPr>
              <w:pStyle w:val="P68B1DB1-Normal4"/>
              <w:jc w:val="center"/>
              <w:rPr>
                <w:rFonts w:eastAsia="Calibri"/>
                <w:noProof/>
              </w:rPr>
            </w:pPr>
            <w:r>
              <w:rPr>
                <w:noProof/>
              </w:rPr>
              <w:t>Reforma 2 – Praca nierejestrowana</w:t>
            </w:r>
          </w:p>
        </w:tc>
        <w:tc>
          <w:tcPr>
            <w:tcW w:w="1281" w:type="dxa"/>
            <w:shd w:val="clear" w:color="auto" w:fill="C6EFCE"/>
            <w:noWrap/>
            <w:vAlign w:val="center"/>
            <w:hideMark/>
          </w:tcPr>
          <w:p w14:paraId="236F4259" w14:textId="77777777" w:rsidR="004C6421" w:rsidRDefault="009D1962">
            <w:pPr>
              <w:pStyle w:val="P68B1DB1-Normal4"/>
              <w:jc w:val="center"/>
              <w:rPr>
                <w:rFonts w:eastAsia="Calibri"/>
                <w:noProof/>
              </w:rPr>
            </w:pPr>
            <w:r>
              <w:rPr>
                <w:noProof/>
              </w:rPr>
              <w:t>Cel</w:t>
            </w:r>
          </w:p>
        </w:tc>
        <w:tc>
          <w:tcPr>
            <w:tcW w:w="1597" w:type="dxa"/>
            <w:shd w:val="clear" w:color="auto" w:fill="C6EFCE"/>
            <w:noWrap/>
            <w:vAlign w:val="center"/>
            <w:hideMark/>
          </w:tcPr>
          <w:p w14:paraId="7E511DA8" w14:textId="77777777" w:rsidR="004C6421" w:rsidRDefault="009D1962">
            <w:pPr>
              <w:pStyle w:val="P68B1DB1-Normal4"/>
              <w:jc w:val="center"/>
              <w:rPr>
                <w:rFonts w:eastAsia="Calibri"/>
                <w:noProof/>
              </w:rPr>
            </w:pPr>
            <w:r>
              <w:rPr>
                <w:noProof/>
              </w:rPr>
              <w:t>Zwiększona liczba inspekcji pracy</w:t>
            </w:r>
          </w:p>
        </w:tc>
        <w:tc>
          <w:tcPr>
            <w:tcW w:w="1470" w:type="dxa"/>
            <w:shd w:val="clear" w:color="auto" w:fill="C6EFCE"/>
            <w:noWrap/>
            <w:vAlign w:val="center"/>
            <w:hideMark/>
          </w:tcPr>
          <w:p w14:paraId="08EBB843" w14:textId="77777777" w:rsidR="004C6421" w:rsidRDefault="009D1962">
            <w:pPr>
              <w:pStyle w:val="P68B1DB1-Normal4"/>
              <w:jc w:val="center"/>
              <w:rPr>
                <w:rFonts w:eastAsia="Calibri"/>
                <w:noProof/>
              </w:rPr>
            </w:pPr>
            <w:r>
              <w:rPr>
                <w:noProof/>
              </w:rPr>
              <w:t>NIE DOT.</w:t>
            </w:r>
          </w:p>
        </w:tc>
        <w:tc>
          <w:tcPr>
            <w:tcW w:w="1275" w:type="dxa"/>
            <w:shd w:val="clear" w:color="auto" w:fill="C6EFCE"/>
            <w:noWrap/>
            <w:vAlign w:val="center"/>
            <w:hideMark/>
          </w:tcPr>
          <w:p w14:paraId="56088A20" w14:textId="77777777" w:rsidR="004C6421" w:rsidRDefault="009D1962">
            <w:pPr>
              <w:pStyle w:val="P68B1DB1-Normal4"/>
              <w:jc w:val="center"/>
              <w:rPr>
                <w:noProof/>
              </w:rPr>
            </w:pPr>
            <w:r>
              <w:rPr>
                <w:noProof/>
              </w:rPr>
              <w:t xml:space="preserve">Procent </w:t>
            </w:r>
          </w:p>
        </w:tc>
        <w:tc>
          <w:tcPr>
            <w:tcW w:w="1134" w:type="dxa"/>
            <w:shd w:val="clear" w:color="auto" w:fill="C6EFCE"/>
            <w:noWrap/>
            <w:vAlign w:val="center"/>
            <w:hideMark/>
          </w:tcPr>
          <w:p w14:paraId="20A7D8C6" w14:textId="77777777" w:rsidR="004C6421" w:rsidRDefault="009D1962">
            <w:pPr>
              <w:pStyle w:val="P68B1DB1-Normal4"/>
              <w:jc w:val="center"/>
              <w:rPr>
                <w:noProof/>
              </w:rPr>
            </w:pPr>
            <w:r>
              <w:rPr>
                <w:noProof/>
              </w:rPr>
              <w:t>0</w:t>
            </w:r>
          </w:p>
        </w:tc>
        <w:tc>
          <w:tcPr>
            <w:tcW w:w="1134" w:type="dxa"/>
            <w:shd w:val="clear" w:color="auto" w:fill="C6EFCE"/>
            <w:noWrap/>
            <w:vAlign w:val="center"/>
            <w:hideMark/>
          </w:tcPr>
          <w:p w14:paraId="6233F407" w14:textId="33006886" w:rsidR="004C6421" w:rsidRDefault="009D1962">
            <w:pPr>
              <w:pStyle w:val="P68B1DB1-Normal4"/>
              <w:jc w:val="center"/>
              <w:rPr>
                <w:noProof/>
              </w:rPr>
            </w:pPr>
            <w:r>
              <w:rPr>
                <w:noProof/>
              </w:rPr>
              <w:t>30</w:t>
            </w:r>
          </w:p>
        </w:tc>
        <w:tc>
          <w:tcPr>
            <w:tcW w:w="851" w:type="dxa"/>
            <w:shd w:val="clear" w:color="auto" w:fill="C6EFCE"/>
            <w:noWrap/>
            <w:vAlign w:val="center"/>
            <w:hideMark/>
          </w:tcPr>
          <w:p w14:paraId="7E25910C" w14:textId="5BCD2B6B" w:rsidR="004C6421" w:rsidRDefault="00CC179E">
            <w:pPr>
              <w:pStyle w:val="P68B1DB1-Normal4"/>
              <w:jc w:val="center"/>
              <w:rPr>
                <w:rFonts w:eastAsia="Calibri"/>
                <w:noProof/>
              </w:rPr>
            </w:pPr>
            <w:r>
              <w:rPr>
                <w:noProof/>
              </w:rPr>
              <w:t>KW. 4</w:t>
            </w:r>
          </w:p>
        </w:tc>
        <w:tc>
          <w:tcPr>
            <w:tcW w:w="709" w:type="dxa"/>
            <w:shd w:val="clear" w:color="auto" w:fill="C6EFCE"/>
            <w:noWrap/>
            <w:vAlign w:val="center"/>
            <w:hideMark/>
          </w:tcPr>
          <w:p w14:paraId="023A77C4" w14:textId="77777777" w:rsidR="004C6421" w:rsidRDefault="009D1962">
            <w:pPr>
              <w:pStyle w:val="P68B1DB1-Normal4"/>
              <w:jc w:val="center"/>
              <w:rPr>
                <w:rFonts w:eastAsia="Calibri"/>
                <w:noProof/>
              </w:rPr>
            </w:pPr>
            <w:r>
              <w:rPr>
                <w:noProof/>
              </w:rPr>
              <w:t>2025</w:t>
            </w:r>
          </w:p>
        </w:tc>
        <w:tc>
          <w:tcPr>
            <w:tcW w:w="2835" w:type="dxa"/>
            <w:shd w:val="clear" w:color="auto" w:fill="C6EFCE"/>
            <w:noWrap/>
            <w:vAlign w:val="center"/>
            <w:hideMark/>
          </w:tcPr>
          <w:p w14:paraId="18115E2A" w14:textId="7771D4BB" w:rsidR="004C6421" w:rsidRDefault="009D1962">
            <w:pPr>
              <w:rPr>
                <w:rFonts w:ascii="Arial Narrow" w:hAnsi="Arial Narrow"/>
                <w:noProof/>
                <w:color w:val="006100"/>
                <w:sz w:val="20"/>
              </w:rPr>
            </w:pPr>
            <w:r>
              <w:rPr>
                <w:rFonts w:ascii="Arial Narrow" w:hAnsi="Arial Narrow"/>
                <w:noProof/>
                <w:color w:val="006100"/>
                <w:sz w:val="20"/>
              </w:rPr>
              <w:t>Średnia liczba inspekcji w okresie od dnia 1 stycznia 2023 r. do dnia 31 grudnia 2025 r. musi wzrosnąć o co najmniej 30 % w porównaniu ze średnią bazową inspekcji w okresie od dnia 1 stycznia 2019 r. do dnia 31 grudnia 2021 r. (ten poziom bazowy odpowiada średniej 79150</w:t>
            </w:r>
            <w:r>
              <w:rPr>
                <w:noProof/>
                <w:sz w:val="23"/>
              </w:rPr>
              <w:t xml:space="preserve"> </w:t>
            </w:r>
            <w:r>
              <w:rPr>
                <w:rFonts w:ascii="Arial Narrow" w:hAnsi="Arial Narrow"/>
                <w:noProof/>
                <w:color w:val="006100"/>
                <w:sz w:val="20"/>
              </w:rPr>
              <w:t>inspekcji).</w:t>
            </w:r>
          </w:p>
          <w:p w14:paraId="6D56416E" w14:textId="77777777" w:rsidR="004C6421" w:rsidRDefault="004C6421">
            <w:pPr>
              <w:rPr>
                <w:rFonts w:ascii="Arial Narrow" w:hAnsi="Arial Narrow"/>
                <w:noProof/>
                <w:color w:val="006100"/>
                <w:sz w:val="20"/>
              </w:rPr>
            </w:pPr>
          </w:p>
        </w:tc>
      </w:tr>
      <w:tr w:rsidR="004C6421" w14:paraId="30091066" w14:textId="77777777">
        <w:trPr>
          <w:trHeight w:val="309"/>
          <w:jc w:val="center"/>
        </w:trPr>
        <w:tc>
          <w:tcPr>
            <w:tcW w:w="1364" w:type="dxa"/>
            <w:shd w:val="clear" w:color="auto" w:fill="C6EFCE"/>
            <w:noWrap/>
            <w:vAlign w:val="center"/>
            <w:hideMark/>
          </w:tcPr>
          <w:p w14:paraId="5AA514E7" w14:textId="77777777" w:rsidR="004C6421" w:rsidRDefault="009D1962">
            <w:pPr>
              <w:pStyle w:val="P68B1DB1-Normal4"/>
              <w:jc w:val="center"/>
              <w:rPr>
                <w:rFonts w:eastAsia="Calibri"/>
                <w:noProof/>
              </w:rPr>
            </w:pPr>
            <w:r>
              <w:rPr>
                <w:noProof/>
              </w:rPr>
              <w:t xml:space="preserve">M5C1-11 </w:t>
            </w:r>
          </w:p>
        </w:tc>
        <w:tc>
          <w:tcPr>
            <w:tcW w:w="1513" w:type="dxa"/>
            <w:shd w:val="clear" w:color="auto" w:fill="C6EFCE"/>
            <w:noWrap/>
            <w:vAlign w:val="center"/>
            <w:hideMark/>
          </w:tcPr>
          <w:p w14:paraId="0A1FCD5E" w14:textId="77777777" w:rsidR="004C6421" w:rsidRDefault="009D1962">
            <w:pPr>
              <w:pStyle w:val="P68B1DB1-Normal4"/>
              <w:jc w:val="center"/>
              <w:rPr>
                <w:rFonts w:eastAsia="Calibri"/>
                <w:noProof/>
              </w:rPr>
            </w:pPr>
            <w:r>
              <w:rPr>
                <w:noProof/>
              </w:rPr>
              <w:t>Reforma 2 – Praca nierejestrowana</w:t>
            </w:r>
          </w:p>
        </w:tc>
        <w:tc>
          <w:tcPr>
            <w:tcW w:w="1281" w:type="dxa"/>
            <w:shd w:val="clear" w:color="auto" w:fill="C6EFCE"/>
            <w:noWrap/>
            <w:vAlign w:val="center"/>
            <w:hideMark/>
          </w:tcPr>
          <w:p w14:paraId="011654C3" w14:textId="690789CD" w:rsidR="004C6421" w:rsidRDefault="00CC179E">
            <w:pPr>
              <w:pStyle w:val="P68B1DB1-Normal4"/>
              <w:jc w:val="center"/>
              <w:rPr>
                <w:rFonts w:eastAsia="Arial Narrow" w:cs="Arial Narrow"/>
                <w:noProof/>
              </w:rPr>
            </w:pPr>
            <w:r>
              <w:rPr>
                <w:noProof/>
              </w:rPr>
              <w:t>Milowy</w:t>
            </w:r>
          </w:p>
        </w:tc>
        <w:tc>
          <w:tcPr>
            <w:tcW w:w="1597" w:type="dxa"/>
            <w:shd w:val="clear" w:color="auto" w:fill="C6EFCE"/>
            <w:noWrap/>
            <w:vAlign w:val="center"/>
            <w:hideMark/>
          </w:tcPr>
          <w:p w14:paraId="50BE6680" w14:textId="6557759E" w:rsidR="004C6421" w:rsidRDefault="009D1962">
            <w:pPr>
              <w:pStyle w:val="P68B1DB1-Normal4"/>
              <w:jc w:val="center"/>
              <w:rPr>
                <w:rFonts w:eastAsia="Arial Narrow" w:cs="Arial Narrow"/>
                <w:noProof/>
              </w:rPr>
            </w:pPr>
            <w:r>
              <w:rPr>
                <w:noProof/>
              </w:rPr>
              <w:t>Podejmowanie dalszych działań w celu zwalczania pracy nierejestrowanej</w:t>
            </w:r>
          </w:p>
        </w:tc>
        <w:tc>
          <w:tcPr>
            <w:tcW w:w="1470" w:type="dxa"/>
            <w:shd w:val="clear" w:color="auto" w:fill="C6EFCE"/>
            <w:noWrap/>
            <w:vAlign w:val="center"/>
            <w:hideMark/>
          </w:tcPr>
          <w:p w14:paraId="336F160B" w14:textId="67482888" w:rsidR="004C6421" w:rsidRDefault="009D1962">
            <w:pPr>
              <w:pStyle w:val="P68B1DB1-Normal4"/>
              <w:jc w:val="center"/>
              <w:rPr>
                <w:noProof/>
              </w:rPr>
            </w:pPr>
            <w:r>
              <w:rPr>
                <w:noProof/>
              </w:rPr>
              <w:t>Przeprowadzone działania</w:t>
            </w:r>
          </w:p>
        </w:tc>
        <w:tc>
          <w:tcPr>
            <w:tcW w:w="1275" w:type="dxa"/>
            <w:shd w:val="clear" w:color="auto" w:fill="C6EFCE"/>
            <w:noWrap/>
            <w:vAlign w:val="center"/>
            <w:hideMark/>
          </w:tcPr>
          <w:p w14:paraId="47AD6542" w14:textId="1A8754A6" w:rsidR="004C6421" w:rsidRDefault="009D1962">
            <w:pPr>
              <w:pStyle w:val="P68B1DB1-Normal4"/>
              <w:jc w:val="center"/>
              <w:rPr>
                <w:noProof/>
              </w:rPr>
            </w:pPr>
            <w:r>
              <w:rPr>
                <w:noProof/>
              </w:rPr>
              <w:t>NIE DOT.</w:t>
            </w:r>
          </w:p>
        </w:tc>
        <w:tc>
          <w:tcPr>
            <w:tcW w:w="1134" w:type="dxa"/>
            <w:shd w:val="clear" w:color="auto" w:fill="C6EFCE"/>
            <w:noWrap/>
            <w:vAlign w:val="center"/>
            <w:hideMark/>
          </w:tcPr>
          <w:p w14:paraId="621276D5" w14:textId="54C7142F" w:rsidR="004C6421" w:rsidRDefault="009D1962">
            <w:pPr>
              <w:pStyle w:val="P68B1DB1-Normal4"/>
              <w:jc w:val="center"/>
              <w:rPr>
                <w:rFonts w:eastAsia="Arial Narrow" w:cs="Arial Narrow"/>
                <w:noProof/>
              </w:rPr>
            </w:pPr>
            <w:r>
              <w:rPr>
                <w:noProof/>
              </w:rPr>
              <w:t>NIE DOT.</w:t>
            </w:r>
          </w:p>
        </w:tc>
        <w:tc>
          <w:tcPr>
            <w:tcW w:w="1134" w:type="dxa"/>
            <w:shd w:val="clear" w:color="auto" w:fill="C6EFCE"/>
            <w:noWrap/>
            <w:vAlign w:val="center"/>
            <w:hideMark/>
          </w:tcPr>
          <w:p w14:paraId="7965ABC2" w14:textId="745E2B88" w:rsidR="004C6421" w:rsidRDefault="009D1962">
            <w:pPr>
              <w:pStyle w:val="P68B1DB1-Normal4"/>
              <w:jc w:val="center"/>
              <w:rPr>
                <w:rFonts w:eastAsia="Arial Narrow" w:cs="Arial Narrow"/>
                <w:noProof/>
              </w:rPr>
            </w:pPr>
            <w:r>
              <w:rPr>
                <w:noProof/>
              </w:rPr>
              <w:t>NIE DOT.</w:t>
            </w:r>
          </w:p>
        </w:tc>
        <w:tc>
          <w:tcPr>
            <w:tcW w:w="851" w:type="dxa"/>
            <w:shd w:val="clear" w:color="auto" w:fill="C6EFCE"/>
            <w:noWrap/>
            <w:vAlign w:val="center"/>
            <w:hideMark/>
          </w:tcPr>
          <w:p w14:paraId="4C7B1E46" w14:textId="613E66D2" w:rsidR="004C6421" w:rsidRDefault="00CC179E">
            <w:pPr>
              <w:pStyle w:val="P68B1DB1-Normal4"/>
              <w:jc w:val="center"/>
              <w:rPr>
                <w:rFonts w:eastAsia="Calibri"/>
                <w:noProof/>
              </w:rPr>
            </w:pPr>
            <w:r>
              <w:rPr>
                <w:noProof/>
              </w:rPr>
              <w:t>KW. 1</w:t>
            </w:r>
          </w:p>
        </w:tc>
        <w:tc>
          <w:tcPr>
            <w:tcW w:w="709" w:type="dxa"/>
            <w:shd w:val="clear" w:color="auto" w:fill="C6EFCE"/>
            <w:noWrap/>
            <w:vAlign w:val="center"/>
            <w:hideMark/>
          </w:tcPr>
          <w:p w14:paraId="2A453361" w14:textId="77777777" w:rsidR="004C6421" w:rsidRDefault="009D1962">
            <w:pPr>
              <w:pStyle w:val="P68B1DB1-Normal4"/>
              <w:jc w:val="center"/>
              <w:rPr>
                <w:rFonts w:eastAsia="Calibri"/>
                <w:noProof/>
              </w:rPr>
            </w:pPr>
            <w:r>
              <w:rPr>
                <w:noProof/>
              </w:rPr>
              <w:t>2026</w:t>
            </w:r>
          </w:p>
        </w:tc>
        <w:tc>
          <w:tcPr>
            <w:tcW w:w="2835" w:type="dxa"/>
            <w:shd w:val="clear" w:color="auto" w:fill="C6EFCE"/>
            <w:noWrap/>
            <w:vAlign w:val="center"/>
            <w:hideMark/>
          </w:tcPr>
          <w:p w14:paraId="5799FF7B" w14:textId="5E10D7E8" w:rsidR="004C6421" w:rsidRDefault="009D1962">
            <w:pPr>
              <w:pStyle w:val="P68B1DB1-Normal4"/>
              <w:rPr>
                <w:noProof/>
              </w:rPr>
            </w:pPr>
            <w:r>
              <w:rPr>
                <w:noProof/>
              </w:rPr>
              <w:t>Przeprowadza się następujące działania:</w:t>
            </w:r>
          </w:p>
          <w:p w14:paraId="49EAFB2F" w14:textId="77777777" w:rsidR="004C6421" w:rsidRDefault="009D1962">
            <w:pPr>
              <w:pStyle w:val="P68B1DB1-Normal4"/>
              <w:rPr>
                <w:noProof/>
              </w:rPr>
            </w:pPr>
            <w:r>
              <w:rPr>
                <w:noProof/>
              </w:rPr>
              <w:t>— Zakończenie prac nad „indici Sintetici di Affidabilità Contributiva” (wskaźnikami ISAC) dla 8 obszarów działalności gospodarczej o wysokim ryzyku pracy nierejestrowanej.</w:t>
            </w:r>
          </w:p>
          <w:p w14:paraId="56B30A52" w14:textId="0F19A2F2" w:rsidR="004C6421" w:rsidRDefault="009D1962">
            <w:pPr>
              <w:rPr>
                <w:rFonts w:ascii="Arial Narrow" w:hAnsi="Arial Narrow"/>
                <w:noProof/>
                <w:color w:val="006100"/>
                <w:sz w:val="20"/>
              </w:rPr>
            </w:pPr>
            <w:r>
              <w:rPr>
                <w:rFonts w:ascii="Arial Narrow" w:hAnsi="Arial Narrow"/>
                <w:noProof/>
                <w:color w:val="006100"/>
                <w:sz w:val="20"/>
              </w:rPr>
              <w:t>- Wysyłać co najmniej 12000</w:t>
            </w:r>
            <w:r>
              <w:rPr>
                <w:noProof/>
                <w:sz w:val="23"/>
              </w:rPr>
              <w:t xml:space="preserve"> </w:t>
            </w:r>
            <w:r>
              <w:rPr>
                <w:rFonts w:ascii="Arial Narrow" w:hAnsi="Arial Narrow"/>
                <w:noProof/>
                <w:color w:val="006100"/>
                <w:sz w:val="20"/>
              </w:rPr>
              <w:t>pism dotyczących zgodności do firm zidentyfikowanych za pomocą wskaźników ISAC od dnia 1 stycznia 2026 r.</w:t>
            </w:r>
          </w:p>
          <w:p w14:paraId="2D9FDA3C" w14:textId="77777777" w:rsidR="004C6421" w:rsidRDefault="009D1962">
            <w:pPr>
              <w:pStyle w:val="P68B1DB1-Normal4"/>
              <w:rPr>
                <w:noProof/>
              </w:rPr>
            </w:pPr>
            <w:r>
              <w:rPr>
                <w:noProof/>
              </w:rPr>
              <w:t>— Ilościową i jakościową niezależną ocenę skutków stosowania bonów „Presto” i „Libretto Famiglia” na emerację pracy nierejestrowanej i warunków pracy.</w:t>
            </w:r>
          </w:p>
          <w:p w14:paraId="4683C990" w14:textId="67E4C881" w:rsidR="004C6421" w:rsidRDefault="009D1962">
            <w:pPr>
              <w:rPr>
                <w:rFonts w:ascii="Arial Narrow" w:hAnsi="Arial Narrow"/>
                <w:noProof/>
                <w:color w:val="006100"/>
                <w:sz w:val="20"/>
              </w:rPr>
            </w:pPr>
            <w:r>
              <w:rPr>
                <w:rFonts w:ascii="Arial Narrow" w:hAnsi="Arial Narrow"/>
                <w:noProof/>
                <w:color w:val="006100"/>
                <w:sz w:val="20"/>
              </w:rPr>
              <w:t>Ułatwienie dostępu do „rete del lavoro agricolo di qualità” w porozumieniu z partnerami społecznymi w tym sektorze. Przeprowadzenie kampanii informacyjnej z udziałem partnerów społecznych w tym sektorze. Na dzień 10 października 2024 r. liczbę firm uczestniczących w sieci zwiększa się do co najmniej 8500 w porównaniu</w:t>
            </w:r>
            <w:r>
              <w:rPr>
                <w:noProof/>
                <w:sz w:val="23"/>
              </w:rPr>
              <w:t xml:space="preserve"> z poziomem bazowym 6527. </w:t>
            </w:r>
          </w:p>
          <w:p w14:paraId="48D860DE" w14:textId="77777777" w:rsidR="004C6421" w:rsidRDefault="004C6421">
            <w:pPr>
              <w:rPr>
                <w:rFonts w:ascii="Arial Narrow" w:hAnsi="Arial Narrow"/>
                <w:noProof/>
                <w:color w:val="006100"/>
                <w:sz w:val="20"/>
              </w:rPr>
            </w:pPr>
          </w:p>
        </w:tc>
      </w:tr>
      <w:tr w:rsidR="004C6421" w14:paraId="20E7D6DE" w14:textId="77777777">
        <w:trPr>
          <w:trHeight w:val="309"/>
          <w:jc w:val="center"/>
        </w:trPr>
        <w:tc>
          <w:tcPr>
            <w:tcW w:w="1364" w:type="dxa"/>
            <w:shd w:val="clear" w:color="auto" w:fill="C6EFCE"/>
            <w:noWrap/>
            <w:vAlign w:val="center"/>
            <w:hideMark/>
          </w:tcPr>
          <w:p w14:paraId="66C6D42C" w14:textId="77777777" w:rsidR="004C6421" w:rsidRDefault="009D1962">
            <w:pPr>
              <w:pStyle w:val="P68B1DB1-Normal4"/>
              <w:spacing w:before="120" w:after="120"/>
              <w:jc w:val="center"/>
              <w:rPr>
                <w:rFonts w:eastAsia="Calibri"/>
                <w:noProof/>
              </w:rPr>
            </w:pPr>
            <w:r>
              <w:rPr>
                <w:noProof/>
              </w:rPr>
              <w:t>M5C1-12</w:t>
            </w:r>
          </w:p>
        </w:tc>
        <w:tc>
          <w:tcPr>
            <w:tcW w:w="1513" w:type="dxa"/>
            <w:shd w:val="clear" w:color="auto" w:fill="C6EFCE"/>
            <w:noWrap/>
            <w:vAlign w:val="center"/>
            <w:hideMark/>
          </w:tcPr>
          <w:p w14:paraId="74C681E2" w14:textId="77777777" w:rsidR="004C6421" w:rsidRDefault="009D1962">
            <w:pPr>
              <w:pStyle w:val="P68B1DB1-Normal4"/>
              <w:spacing w:before="120" w:after="120"/>
              <w:jc w:val="center"/>
              <w:rPr>
                <w:noProof/>
              </w:rPr>
            </w:pPr>
            <w:r>
              <w:rPr>
                <w:noProof/>
              </w:rPr>
              <w:t>Inwestycje 2 – System certyfikacji równouprawnienia płci</w:t>
            </w:r>
          </w:p>
        </w:tc>
        <w:tc>
          <w:tcPr>
            <w:tcW w:w="1281" w:type="dxa"/>
            <w:shd w:val="clear" w:color="auto" w:fill="C6EFCE"/>
            <w:noWrap/>
            <w:vAlign w:val="center"/>
            <w:hideMark/>
          </w:tcPr>
          <w:p w14:paraId="7E71BC80" w14:textId="31FB6EF7" w:rsidR="004C6421" w:rsidRDefault="00CC179E">
            <w:pPr>
              <w:pStyle w:val="P68B1DB1-Normal4"/>
              <w:spacing w:before="120" w:after="120"/>
              <w:jc w:val="center"/>
              <w:rPr>
                <w:rFonts w:eastAsia="Calibri"/>
                <w:noProof/>
              </w:rPr>
            </w:pPr>
            <w:r>
              <w:rPr>
                <w:noProof/>
              </w:rPr>
              <w:t>Milowy</w:t>
            </w:r>
          </w:p>
        </w:tc>
        <w:tc>
          <w:tcPr>
            <w:tcW w:w="1597" w:type="dxa"/>
            <w:shd w:val="clear" w:color="auto" w:fill="C6EFCE"/>
            <w:noWrap/>
            <w:vAlign w:val="center"/>
            <w:hideMark/>
          </w:tcPr>
          <w:p w14:paraId="6C596F03" w14:textId="77777777" w:rsidR="004C6421" w:rsidRDefault="009D1962">
            <w:pPr>
              <w:pStyle w:val="P68B1DB1-Normal4"/>
              <w:spacing w:before="120" w:after="120"/>
              <w:jc w:val="center"/>
              <w:rPr>
                <w:rFonts w:eastAsia="Calibri"/>
                <w:noProof/>
              </w:rPr>
            </w:pPr>
            <w:r>
              <w:rPr>
                <w:noProof/>
              </w:rPr>
              <w:t xml:space="preserve">Wejście w życie systemu certyfikacji równości płci i towarzyszących mu mechanizmów zachęt dla przedsiębiorstw </w:t>
            </w:r>
          </w:p>
        </w:tc>
        <w:tc>
          <w:tcPr>
            <w:tcW w:w="1470" w:type="dxa"/>
            <w:shd w:val="clear" w:color="auto" w:fill="C6EFCE"/>
            <w:noWrap/>
            <w:vAlign w:val="center"/>
            <w:hideMark/>
          </w:tcPr>
          <w:p w14:paraId="3E04B150" w14:textId="77777777" w:rsidR="004C6421" w:rsidRDefault="009D1962">
            <w:pPr>
              <w:pStyle w:val="P68B1DB1-Normal4"/>
              <w:spacing w:before="120" w:after="120"/>
              <w:jc w:val="center"/>
              <w:rPr>
                <w:rFonts w:eastAsia="Calibri"/>
                <w:noProof/>
              </w:rPr>
            </w:pPr>
            <w:r>
              <w:rPr>
                <w:noProof/>
              </w:rPr>
              <w:t>Przepisy prawa wskazujące na wejście w życie aktów ustawodawczych i przepisów wykonawczych regulujących definicję systemu certyfikacji NIE DOT.</w:t>
            </w:r>
          </w:p>
        </w:tc>
        <w:tc>
          <w:tcPr>
            <w:tcW w:w="1275" w:type="dxa"/>
            <w:shd w:val="clear" w:color="auto" w:fill="C6EFCE"/>
            <w:noWrap/>
            <w:vAlign w:val="center"/>
            <w:hideMark/>
          </w:tcPr>
          <w:p w14:paraId="55132134" w14:textId="77777777" w:rsidR="004C6421" w:rsidRDefault="009D1962">
            <w:pPr>
              <w:pStyle w:val="P68B1DB1-Normal4"/>
              <w:spacing w:before="120" w:after="120"/>
              <w:jc w:val="center"/>
              <w:rPr>
                <w:rFonts w:eastAsia="Calibri"/>
                <w:noProof/>
              </w:rPr>
            </w:pPr>
            <w:r>
              <w:rPr>
                <w:noProof/>
              </w:rPr>
              <w:t>NIE DOT.</w:t>
            </w:r>
          </w:p>
        </w:tc>
        <w:tc>
          <w:tcPr>
            <w:tcW w:w="1134" w:type="dxa"/>
            <w:shd w:val="clear" w:color="auto" w:fill="C6EFCE"/>
            <w:noWrap/>
            <w:vAlign w:val="center"/>
            <w:hideMark/>
          </w:tcPr>
          <w:p w14:paraId="59EDAB3F" w14:textId="77777777" w:rsidR="004C6421" w:rsidRDefault="009D1962">
            <w:pPr>
              <w:pStyle w:val="P68B1DB1-Normal4"/>
              <w:spacing w:before="120" w:after="120"/>
              <w:jc w:val="center"/>
              <w:rPr>
                <w:rFonts w:eastAsia="Calibri"/>
                <w:noProof/>
              </w:rPr>
            </w:pPr>
            <w:r>
              <w:rPr>
                <w:noProof/>
              </w:rPr>
              <w:t>NIE DOT.</w:t>
            </w:r>
          </w:p>
        </w:tc>
        <w:tc>
          <w:tcPr>
            <w:tcW w:w="1134" w:type="dxa"/>
            <w:shd w:val="clear" w:color="auto" w:fill="C6EFCE"/>
            <w:noWrap/>
            <w:vAlign w:val="center"/>
            <w:hideMark/>
          </w:tcPr>
          <w:p w14:paraId="0DCF642F" w14:textId="77777777" w:rsidR="004C6421" w:rsidRDefault="009D1962">
            <w:pPr>
              <w:pStyle w:val="P68B1DB1-Normal4"/>
              <w:spacing w:before="120" w:after="120"/>
              <w:jc w:val="center"/>
              <w:rPr>
                <w:rFonts w:eastAsia="Calibri"/>
                <w:noProof/>
              </w:rPr>
            </w:pPr>
            <w:r>
              <w:rPr>
                <w:noProof/>
              </w:rPr>
              <w:t>NIE DOT.</w:t>
            </w:r>
          </w:p>
        </w:tc>
        <w:tc>
          <w:tcPr>
            <w:tcW w:w="851" w:type="dxa"/>
            <w:shd w:val="clear" w:color="auto" w:fill="C6EFCE"/>
            <w:noWrap/>
            <w:vAlign w:val="center"/>
            <w:hideMark/>
          </w:tcPr>
          <w:p w14:paraId="68431FCF" w14:textId="15DCCA0E" w:rsidR="004C6421" w:rsidRDefault="00CC179E">
            <w:pPr>
              <w:pStyle w:val="P68B1DB1-Normal4"/>
              <w:spacing w:before="120" w:after="120"/>
              <w:jc w:val="center"/>
              <w:rPr>
                <w:rFonts w:eastAsia="Calibri"/>
                <w:noProof/>
              </w:rPr>
            </w:pPr>
            <w:r>
              <w:rPr>
                <w:noProof/>
              </w:rPr>
              <w:t>KW. 4</w:t>
            </w:r>
          </w:p>
        </w:tc>
        <w:tc>
          <w:tcPr>
            <w:tcW w:w="709" w:type="dxa"/>
            <w:shd w:val="clear" w:color="auto" w:fill="C6EFCE"/>
            <w:noWrap/>
            <w:vAlign w:val="center"/>
            <w:hideMark/>
          </w:tcPr>
          <w:p w14:paraId="72284600" w14:textId="77777777" w:rsidR="004C6421" w:rsidRDefault="009D1962">
            <w:pPr>
              <w:pStyle w:val="P68B1DB1-Normal4"/>
              <w:spacing w:before="120" w:after="120"/>
              <w:jc w:val="center"/>
              <w:rPr>
                <w:rFonts w:eastAsia="Calibri"/>
                <w:noProof/>
              </w:rPr>
            </w:pPr>
            <w:r>
              <w:rPr>
                <w:noProof/>
              </w:rPr>
              <w:t>2022</w:t>
            </w:r>
          </w:p>
        </w:tc>
        <w:tc>
          <w:tcPr>
            <w:tcW w:w="2835" w:type="dxa"/>
            <w:shd w:val="clear" w:color="auto" w:fill="C6EFCE"/>
            <w:noWrap/>
            <w:vAlign w:val="center"/>
            <w:hideMark/>
          </w:tcPr>
          <w:p w14:paraId="0E126D3B" w14:textId="77777777" w:rsidR="004C6421" w:rsidRDefault="009D1962">
            <w:pPr>
              <w:pStyle w:val="P68B1DB1-Normal4"/>
              <w:spacing w:before="120" w:after="120"/>
              <w:rPr>
                <w:rFonts w:eastAsia="Calibri"/>
                <w:noProof/>
              </w:rPr>
            </w:pPr>
            <w:r>
              <w:rPr>
                <w:noProof/>
              </w:rPr>
              <w:t>System certyfikacji równouprawnienia płci i towarzyszące mu mechanizmy zachęt dla przedsiębiorstw obejmują co najmniej następujące aspekty: możliwości rozwoju kobiet, równe wynagrodzenie za taką samą pracę, polityka zarządzania na rzecz różnorodności płci, ochrona macierzyństwa.</w:t>
            </w:r>
          </w:p>
          <w:p w14:paraId="73F53464" w14:textId="77777777" w:rsidR="004C6421" w:rsidRDefault="009D1962">
            <w:pPr>
              <w:pStyle w:val="P68B1DB1-Normal4"/>
              <w:spacing w:before="120" w:after="120"/>
              <w:rPr>
                <w:rFonts w:eastAsia="Calibri"/>
                <w:noProof/>
              </w:rPr>
            </w:pPr>
            <w:r>
              <w:rPr>
                <w:noProof/>
              </w:rPr>
              <w:t>Określenie mechanizmów zachęt dla organizacji, które podejmują proces certyfikacji, oraz wytycznych technicznych. W tym: (I) opracowanie norm technicznych systemu certyfikacji płci dla przedsiębiorstw; (II) określenie mechanizmu zachęt; (III) środkowi towarzyszy utworzenie systemu informatycznego.</w:t>
            </w:r>
          </w:p>
        </w:tc>
      </w:tr>
      <w:tr w:rsidR="004C6421" w14:paraId="370BFBB5" w14:textId="77777777">
        <w:trPr>
          <w:trHeight w:val="309"/>
          <w:jc w:val="center"/>
        </w:trPr>
        <w:tc>
          <w:tcPr>
            <w:tcW w:w="1364" w:type="dxa"/>
            <w:shd w:val="clear" w:color="auto" w:fill="C6EFCE"/>
            <w:noWrap/>
            <w:vAlign w:val="center"/>
            <w:hideMark/>
          </w:tcPr>
          <w:p w14:paraId="792AC3E8" w14:textId="77777777" w:rsidR="004C6421" w:rsidRDefault="009D1962">
            <w:pPr>
              <w:pStyle w:val="P68B1DB1-Normal4"/>
              <w:spacing w:before="120" w:after="120"/>
              <w:jc w:val="center"/>
              <w:rPr>
                <w:rFonts w:eastAsia="Calibri"/>
                <w:noProof/>
              </w:rPr>
            </w:pPr>
            <w:r>
              <w:rPr>
                <w:noProof/>
              </w:rPr>
              <w:t>M5C1-13</w:t>
            </w:r>
          </w:p>
        </w:tc>
        <w:tc>
          <w:tcPr>
            <w:tcW w:w="1513" w:type="dxa"/>
            <w:shd w:val="clear" w:color="auto" w:fill="C6EFCE"/>
            <w:noWrap/>
            <w:vAlign w:val="center"/>
            <w:hideMark/>
          </w:tcPr>
          <w:p w14:paraId="78AAA37F" w14:textId="77777777" w:rsidR="004C6421" w:rsidRDefault="009D1962">
            <w:pPr>
              <w:pStyle w:val="P68B1DB1-Normal4"/>
              <w:spacing w:before="120" w:after="120"/>
              <w:jc w:val="center"/>
              <w:rPr>
                <w:noProof/>
              </w:rPr>
            </w:pPr>
            <w:r>
              <w:rPr>
                <w:noProof/>
              </w:rPr>
              <w:t>Inwestycje 2 – System certyfikacji równouprawnienia płci</w:t>
            </w:r>
          </w:p>
        </w:tc>
        <w:tc>
          <w:tcPr>
            <w:tcW w:w="1281" w:type="dxa"/>
            <w:shd w:val="clear" w:color="auto" w:fill="C6EFCE"/>
            <w:noWrap/>
            <w:vAlign w:val="center"/>
            <w:hideMark/>
          </w:tcPr>
          <w:p w14:paraId="454F4808" w14:textId="77777777" w:rsidR="004C6421" w:rsidRDefault="009D1962">
            <w:pPr>
              <w:pStyle w:val="P68B1DB1-Normal4"/>
              <w:spacing w:before="120" w:after="120"/>
              <w:jc w:val="center"/>
              <w:rPr>
                <w:rFonts w:eastAsia="Calibri"/>
                <w:noProof/>
              </w:rPr>
            </w:pPr>
            <w:r>
              <w:rPr>
                <w:noProof/>
              </w:rPr>
              <w:t>Cel</w:t>
            </w:r>
          </w:p>
        </w:tc>
        <w:tc>
          <w:tcPr>
            <w:tcW w:w="1597" w:type="dxa"/>
            <w:shd w:val="clear" w:color="auto" w:fill="C6EFCE"/>
            <w:noWrap/>
            <w:vAlign w:val="center"/>
            <w:hideMark/>
          </w:tcPr>
          <w:p w14:paraId="0D8B2F5B" w14:textId="77777777" w:rsidR="004C6421" w:rsidRDefault="009D1962">
            <w:pPr>
              <w:pStyle w:val="P68B1DB1-Normal4"/>
              <w:spacing w:before="120" w:after="120"/>
              <w:jc w:val="center"/>
              <w:rPr>
                <w:rFonts w:eastAsia="Calibri"/>
                <w:noProof/>
              </w:rPr>
            </w:pPr>
            <w:r>
              <w:rPr>
                <w:noProof/>
              </w:rPr>
              <w:t>Przedsiębiorstwa uzyskały certyfikat równości płci</w:t>
            </w:r>
          </w:p>
        </w:tc>
        <w:tc>
          <w:tcPr>
            <w:tcW w:w="1470" w:type="dxa"/>
            <w:shd w:val="clear" w:color="auto" w:fill="C6EFCE"/>
            <w:noWrap/>
            <w:vAlign w:val="center"/>
            <w:hideMark/>
          </w:tcPr>
          <w:p w14:paraId="2FA45E5F" w14:textId="77777777" w:rsidR="004C6421" w:rsidRDefault="009D1962">
            <w:pPr>
              <w:pStyle w:val="P68B1DB1-Normal4"/>
              <w:spacing w:before="120" w:after="120"/>
              <w:jc w:val="center"/>
              <w:rPr>
                <w:rFonts w:eastAsia="Calibri"/>
                <w:noProof/>
              </w:rPr>
            </w:pPr>
            <w:r>
              <w:rPr>
                <w:noProof/>
              </w:rPr>
              <w:t>NIE DOT.</w:t>
            </w:r>
          </w:p>
        </w:tc>
        <w:tc>
          <w:tcPr>
            <w:tcW w:w="1275" w:type="dxa"/>
            <w:shd w:val="clear" w:color="auto" w:fill="C6EFCE"/>
            <w:noWrap/>
            <w:vAlign w:val="center"/>
            <w:hideMark/>
          </w:tcPr>
          <w:p w14:paraId="4FC531B6" w14:textId="77777777" w:rsidR="004C6421" w:rsidRDefault="009D1962">
            <w:pPr>
              <w:pStyle w:val="P68B1DB1-Normal4"/>
              <w:spacing w:before="120" w:after="120"/>
              <w:jc w:val="center"/>
              <w:rPr>
                <w:rFonts w:eastAsia="Calibri"/>
                <w:noProof/>
              </w:rPr>
            </w:pPr>
            <w:r>
              <w:rPr>
                <w:noProof/>
              </w:rPr>
              <w:t xml:space="preserve">Numer </w:t>
            </w:r>
          </w:p>
        </w:tc>
        <w:tc>
          <w:tcPr>
            <w:tcW w:w="1134" w:type="dxa"/>
            <w:shd w:val="clear" w:color="auto" w:fill="C6EFCE"/>
            <w:noWrap/>
            <w:vAlign w:val="center"/>
            <w:hideMark/>
          </w:tcPr>
          <w:p w14:paraId="5B10ECBB" w14:textId="77777777" w:rsidR="004C6421" w:rsidRDefault="009D1962">
            <w:pPr>
              <w:pStyle w:val="P68B1DB1-Normal4"/>
              <w:spacing w:before="120" w:after="120"/>
              <w:jc w:val="center"/>
              <w:rPr>
                <w:rFonts w:eastAsia="Calibri"/>
                <w:noProof/>
              </w:rPr>
            </w:pPr>
            <w:r>
              <w:rPr>
                <w:noProof/>
              </w:rPr>
              <w:t>0</w:t>
            </w:r>
          </w:p>
        </w:tc>
        <w:tc>
          <w:tcPr>
            <w:tcW w:w="1134" w:type="dxa"/>
            <w:shd w:val="clear" w:color="auto" w:fill="C6EFCE"/>
            <w:noWrap/>
            <w:vAlign w:val="center"/>
            <w:hideMark/>
          </w:tcPr>
          <w:p w14:paraId="3356A511" w14:textId="77777777" w:rsidR="004C6421" w:rsidRDefault="009D1962">
            <w:pPr>
              <w:pStyle w:val="P68B1DB1-Normal4"/>
              <w:spacing w:before="120" w:after="120"/>
              <w:jc w:val="center"/>
              <w:rPr>
                <w:rFonts w:eastAsia="Calibri"/>
                <w:noProof/>
              </w:rPr>
            </w:pPr>
            <w:r>
              <w:rPr>
                <w:noProof/>
              </w:rPr>
              <w:t>800</w:t>
            </w:r>
          </w:p>
        </w:tc>
        <w:tc>
          <w:tcPr>
            <w:tcW w:w="851" w:type="dxa"/>
            <w:shd w:val="clear" w:color="auto" w:fill="C6EFCE"/>
            <w:noWrap/>
            <w:vAlign w:val="center"/>
            <w:hideMark/>
          </w:tcPr>
          <w:p w14:paraId="1E073C91" w14:textId="77777777" w:rsidR="004C6421" w:rsidRDefault="009D1962">
            <w:pPr>
              <w:pStyle w:val="P68B1DB1-Normal4"/>
              <w:spacing w:before="120" w:after="120"/>
              <w:jc w:val="center"/>
              <w:rPr>
                <w:rFonts w:eastAsia="Calibri"/>
                <w:noProof/>
              </w:rPr>
            </w:pPr>
            <w:r>
              <w:rPr>
                <w:noProof/>
              </w:rPr>
              <w:t>II KW.</w:t>
            </w:r>
          </w:p>
        </w:tc>
        <w:tc>
          <w:tcPr>
            <w:tcW w:w="709" w:type="dxa"/>
            <w:shd w:val="clear" w:color="auto" w:fill="C6EFCE"/>
            <w:noWrap/>
            <w:vAlign w:val="center"/>
            <w:hideMark/>
          </w:tcPr>
          <w:p w14:paraId="16AB53C8" w14:textId="77777777" w:rsidR="004C6421" w:rsidRDefault="009D1962">
            <w:pPr>
              <w:pStyle w:val="P68B1DB1-Normal4"/>
              <w:spacing w:before="120" w:after="120"/>
              <w:jc w:val="center"/>
              <w:rPr>
                <w:rFonts w:eastAsia="Calibri"/>
                <w:noProof/>
              </w:rPr>
            </w:pPr>
            <w:r>
              <w:rPr>
                <w:noProof/>
              </w:rPr>
              <w:t>2026</w:t>
            </w:r>
          </w:p>
        </w:tc>
        <w:tc>
          <w:tcPr>
            <w:tcW w:w="2835" w:type="dxa"/>
            <w:shd w:val="clear" w:color="auto" w:fill="C6EFCE"/>
            <w:noWrap/>
            <w:vAlign w:val="center"/>
            <w:hideMark/>
          </w:tcPr>
          <w:p w14:paraId="45B9CF9C" w14:textId="77777777" w:rsidR="004C6421" w:rsidRDefault="009D1962">
            <w:pPr>
              <w:pStyle w:val="P68B1DB1-Normal4"/>
              <w:spacing w:before="120" w:after="120"/>
              <w:rPr>
                <w:rFonts w:eastAsia="Calibri"/>
                <w:noProof/>
              </w:rPr>
            </w:pPr>
            <w:r>
              <w:rPr>
                <w:noProof/>
              </w:rPr>
              <w:t>Co najmniej 800 przedsiębiorstw (z czego 450 MŚP) uzyskało certyfikat równości płci.</w:t>
            </w:r>
          </w:p>
          <w:p w14:paraId="045E771B" w14:textId="77777777" w:rsidR="004C6421" w:rsidRDefault="009D1962">
            <w:pPr>
              <w:pStyle w:val="P68B1DB1-Normal4"/>
              <w:spacing w:before="120" w:after="120"/>
              <w:rPr>
                <w:rFonts w:eastAsia="Calibri"/>
                <w:noProof/>
              </w:rPr>
            </w:pPr>
            <w:r>
              <w:rPr>
                <w:noProof/>
              </w:rPr>
              <w:t xml:space="preserve">Przedsiębiorstwa same ponoszą koszty procesu certyfikacji.  </w:t>
            </w:r>
          </w:p>
        </w:tc>
      </w:tr>
      <w:tr w:rsidR="004C6421" w14:paraId="305032A9" w14:textId="77777777">
        <w:trPr>
          <w:trHeight w:val="309"/>
          <w:jc w:val="center"/>
        </w:trPr>
        <w:tc>
          <w:tcPr>
            <w:tcW w:w="1364" w:type="dxa"/>
            <w:shd w:val="clear" w:color="auto" w:fill="C6EFCE"/>
            <w:noWrap/>
            <w:vAlign w:val="center"/>
            <w:hideMark/>
          </w:tcPr>
          <w:p w14:paraId="61C431BC" w14:textId="77777777" w:rsidR="004C6421" w:rsidRDefault="009D1962">
            <w:pPr>
              <w:pStyle w:val="P68B1DB1-Normal4"/>
              <w:spacing w:before="120" w:after="120"/>
              <w:jc w:val="center"/>
              <w:rPr>
                <w:noProof/>
              </w:rPr>
            </w:pPr>
            <w:r>
              <w:rPr>
                <w:noProof/>
              </w:rPr>
              <w:t>M5C1-14</w:t>
            </w:r>
          </w:p>
        </w:tc>
        <w:tc>
          <w:tcPr>
            <w:tcW w:w="1513" w:type="dxa"/>
            <w:shd w:val="clear" w:color="auto" w:fill="C6EFCE"/>
            <w:noWrap/>
            <w:vAlign w:val="center"/>
            <w:hideMark/>
          </w:tcPr>
          <w:p w14:paraId="3EB4D11D" w14:textId="77777777" w:rsidR="004C6421" w:rsidRDefault="009D1962">
            <w:pPr>
              <w:pStyle w:val="P68B1DB1-Normal4"/>
              <w:spacing w:before="120" w:after="120"/>
              <w:jc w:val="center"/>
              <w:rPr>
                <w:rFonts w:eastAsia="Calibri"/>
                <w:noProof/>
              </w:rPr>
            </w:pPr>
            <w:r>
              <w:rPr>
                <w:noProof/>
              </w:rPr>
              <w:t>Inwestycje 2 – System certyfikacji równouprawnienia płci</w:t>
            </w:r>
          </w:p>
        </w:tc>
        <w:tc>
          <w:tcPr>
            <w:tcW w:w="1281" w:type="dxa"/>
            <w:shd w:val="clear" w:color="auto" w:fill="C6EFCE"/>
            <w:noWrap/>
            <w:vAlign w:val="center"/>
            <w:hideMark/>
          </w:tcPr>
          <w:p w14:paraId="39C71AE1" w14:textId="77777777" w:rsidR="004C6421" w:rsidRDefault="009D1962">
            <w:pPr>
              <w:pStyle w:val="P68B1DB1-Normal4"/>
              <w:spacing w:before="120" w:after="120"/>
              <w:jc w:val="center"/>
              <w:rPr>
                <w:rFonts w:eastAsia="Calibri"/>
                <w:noProof/>
              </w:rPr>
            </w:pPr>
            <w:r>
              <w:rPr>
                <w:noProof/>
              </w:rPr>
              <w:t>Cel</w:t>
            </w:r>
          </w:p>
        </w:tc>
        <w:tc>
          <w:tcPr>
            <w:tcW w:w="1597" w:type="dxa"/>
            <w:shd w:val="clear" w:color="auto" w:fill="C6EFCE"/>
            <w:noWrap/>
            <w:vAlign w:val="center"/>
            <w:hideMark/>
          </w:tcPr>
          <w:p w14:paraId="265EFF4F" w14:textId="77777777" w:rsidR="004C6421" w:rsidRDefault="009D1962">
            <w:pPr>
              <w:pStyle w:val="P68B1DB1-Normal4"/>
              <w:spacing w:before="120" w:after="120"/>
              <w:jc w:val="center"/>
              <w:rPr>
                <w:rFonts w:eastAsia="Calibri"/>
                <w:noProof/>
              </w:rPr>
            </w:pPr>
            <w:r>
              <w:rPr>
                <w:noProof/>
              </w:rPr>
              <w:t>Przedsiębiorstwa wspierane w ramach pomocy technicznej uzyskały certyfikat równości płci</w:t>
            </w:r>
          </w:p>
        </w:tc>
        <w:tc>
          <w:tcPr>
            <w:tcW w:w="1470" w:type="dxa"/>
            <w:shd w:val="clear" w:color="auto" w:fill="C6EFCE"/>
            <w:noWrap/>
            <w:vAlign w:val="center"/>
            <w:hideMark/>
          </w:tcPr>
          <w:p w14:paraId="25753DD0" w14:textId="77777777" w:rsidR="004C6421" w:rsidRDefault="009D1962">
            <w:pPr>
              <w:pStyle w:val="P68B1DB1-Normal4"/>
              <w:spacing w:before="120" w:after="120"/>
              <w:jc w:val="center"/>
              <w:rPr>
                <w:rFonts w:eastAsia="Calibri"/>
                <w:noProof/>
              </w:rPr>
            </w:pPr>
            <w:r>
              <w:rPr>
                <w:noProof/>
              </w:rPr>
              <w:t>NIE DOT.</w:t>
            </w:r>
          </w:p>
        </w:tc>
        <w:tc>
          <w:tcPr>
            <w:tcW w:w="1275" w:type="dxa"/>
            <w:shd w:val="clear" w:color="auto" w:fill="C6EFCE"/>
            <w:noWrap/>
            <w:vAlign w:val="center"/>
            <w:hideMark/>
          </w:tcPr>
          <w:p w14:paraId="1DD10C50" w14:textId="77777777" w:rsidR="004C6421" w:rsidRDefault="009D1962">
            <w:pPr>
              <w:pStyle w:val="P68B1DB1-Normal4"/>
              <w:spacing w:before="120" w:after="120"/>
              <w:jc w:val="center"/>
              <w:rPr>
                <w:rFonts w:eastAsia="Calibri"/>
                <w:noProof/>
              </w:rPr>
            </w:pPr>
            <w:r>
              <w:rPr>
                <w:noProof/>
              </w:rPr>
              <w:t xml:space="preserve">Numer </w:t>
            </w:r>
          </w:p>
        </w:tc>
        <w:tc>
          <w:tcPr>
            <w:tcW w:w="1134" w:type="dxa"/>
            <w:shd w:val="clear" w:color="auto" w:fill="C6EFCE"/>
            <w:noWrap/>
            <w:vAlign w:val="center"/>
            <w:hideMark/>
          </w:tcPr>
          <w:p w14:paraId="77D211EE" w14:textId="77777777" w:rsidR="004C6421" w:rsidRDefault="009D1962">
            <w:pPr>
              <w:pStyle w:val="P68B1DB1-Normal4"/>
              <w:spacing w:before="120" w:after="120"/>
              <w:jc w:val="center"/>
              <w:rPr>
                <w:rFonts w:eastAsia="Calibri"/>
                <w:noProof/>
              </w:rPr>
            </w:pPr>
            <w:r>
              <w:rPr>
                <w:noProof/>
              </w:rPr>
              <w:t>0</w:t>
            </w:r>
          </w:p>
        </w:tc>
        <w:tc>
          <w:tcPr>
            <w:tcW w:w="1134" w:type="dxa"/>
            <w:shd w:val="clear" w:color="auto" w:fill="C6EFCE"/>
            <w:noWrap/>
            <w:vAlign w:val="center"/>
            <w:hideMark/>
          </w:tcPr>
          <w:p w14:paraId="5106D27E" w14:textId="71969E5A" w:rsidR="004C6421" w:rsidRDefault="009D1962">
            <w:pPr>
              <w:spacing w:before="120" w:after="120"/>
              <w:jc w:val="center"/>
              <w:rPr>
                <w:rFonts w:ascii="Arial Narrow" w:eastAsia="Calibri" w:hAnsi="Arial Narrow"/>
                <w:noProof/>
                <w:color w:val="006100"/>
                <w:sz w:val="20"/>
              </w:rPr>
            </w:pPr>
            <w:r>
              <w:rPr>
                <w:rFonts w:ascii="Arial Narrow" w:hAnsi="Arial Narrow"/>
                <w:noProof/>
                <w:color w:val="006100"/>
                <w:sz w:val="20"/>
              </w:rPr>
              <w:t>1</w:t>
            </w:r>
            <w:r>
              <w:rPr>
                <w:noProof/>
                <w:sz w:val="23"/>
              </w:rPr>
              <w:t xml:space="preserve"> </w:t>
            </w:r>
            <w:r>
              <w:rPr>
                <w:rFonts w:ascii="Arial Narrow" w:hAnsi="Arial Narrow"/>
                <w:noProof/>
                <w:color w:val="006100"/>
                <w:sz w:val="20"/>
              </w:rPr>
              <w:t>000</w:t>
            </w:r>
          </w:p>
        </w:tc>
        <w:tc>
          <w:tcPr>
            <w:tcW w:w="851" w:type="dxa"/>
            <w:shd w:val="clear" w:color="auto" w:fill="C6EFCE"/>
            <w:noWrap/>
            <w:vAlign w:val="center"/>
            <w:hideMark/>
          </w:tcPr>
          <w:p w14:paraId="0DC60F82" w14:textId="77777777" w:rsidR="004C6421" w:rsidRDefault="009D1962">
            <w:pPr>
              <w:pStyle w:val="P68B1DB1-Normal4"/>
              <w:spacing w:before="120" w:after="120"/>
              <w:jc w:val="center"/>
              <w:rPr>
                <w:rFonts w:eastAsia="Calibri"/>
                <w:noProof/>
              </w:rPr>
            </w:pPr>
            <w:r>
              <w:rPr>
                <w:noProof/>
              </w:rPr>
              <w:t>II KW.</w:t>
            </w:r>
          </w:p>
        </w:tc>
        <w:tc>
          <w:tcPr>
            <w:tcW w:w="709" w:type="dxa"/>
            <w:shd w:val="clear" w:color="auto" w:fill="C6EFCE"/>
            <w:noWrap/>
            <w:vAlign w:val="center"/>
            <w:hideMark/>
          </w:tcPr>
          <w:p w14:paraId="024D98A4" w14:textId="77777777" w:rsidR="004C6421" w:rsidRDefault="009D1962">
            <w:pPr>
              <w:pStyle w:val="P68B1DB1-Normal4"/>
              <w:spacing w:before="120" w:after="120"/>
              <w:jc w:val="center"/>
              <w:rPr>
                <w:rFonts w:eastAsia="Calibri"/>
                <w:noProof/>
              </w:rPr>
            </w:pPr>
            <w:r>
              <w:rPr>
                <w:noProof/>
              </w:rPr>
              <w:t>2026</w:t>
            </w:r>
          </w:p>
        </w:tc>
        <w:tc>
          <w:tcPr>
            <w:tcW w:w="2835" w:type="dxa"/>
            <w:shd w:val="clear" w:color="auto" w:fill="C6EFCE"/>
            <w:noWrap/>
            <w:vAlign w:val="center"/>
            <w:hideMark/>
          </w:tcPr>
          <w:p w14:paraId="75E577B5" w14:textId="72903F8C" w:rsidR="004C6421" w:rsidRDefault="009D1962">
            <w:pPr>
              <w:spacing w:before="120" w:after="120"/>
              <w:rPr>
                <w:rFonts w:ascii="Arial Narrow" w:eastAsia="Calibri" w:hAnsi="Arial Narrow"/>
                <w:noProof/>
                <w:color w:val="006100"/>
                <w:sz w:val="20"/>
              </w:rPr>
            </w:pPr>
            <w:r>
              <w:rPr>
                <w:rFonts w:ascii="Arial Narrow" w:hAnsi="Arial Narrow"/>
                <w:noProof/>
                <w:color w:val="006100"/>
                <w:sz w:val="20"/>
              </w:rPr>
              <w:t>Co najmniej 1000</w:t>
            </w:r>
            <w:r>
              <w:rPr>
                <w:noProof/>
                <w:sz w:val="23"/>
              </w:rPr>
              <w:t xml:space="preserve"> </w:t>
            </w:r>
            <w:r>
              <w:rPr>
                <w:rFonts w:ascii="Arial Narrow" w:hAnsi="Arial Narrow"/>
                <w:noProof/>
                <w:color w:val="006100"/>
                <w:sz w:val="20"/>
              </w:rPr>
              <w:t>przedsiębiorstw wspieranych w ramach pomocy technicznej uzyskało certyfikat równości płci.</w:t>
            </w:r>
          </w:p>
          <w:p w14:paraId="7F2E5A6E" w14:textId="77777777" w:rsidR="004C6421" w:rsidRDefault="009D1962">
            <w:pPr>
              <w:pStyle w:val="P68B1DB1-Normal4"/>
              <w:spacing w:before="120" w:after="120"/>
              <w:rPr>
                <w:rFonts w:eastAsia="Calibri"/>
                <w:noProof/>
              </w:rPr>
            </w:pPr>
            <w:r>
              <w:rPr>
                <w:noProof/>
              </w:rPr>
              <w:t>W celu zapewnienia środków towarzyszących w formie mentoringu, wsparcia technicznego i zarządzania, środków na rzecz równowagi między życiem zawodowym a prywatnym, edukacji w zakresie przedsiębiorczości stosuje się system bonów.</w:t>
            </w:r>
          </w:p>
        </w:tc>
      </w:tr>
      <w:tr w:rsidR="004C6421" w14:paraId="6D2CF324" w14:textId="77777777">
        <w:trPr>
          <w:trHeight w:val="309"/>
          <w:jc w:val="center"/>
        </w:trPr>
        <w:tc>
          <w:tcPr>
            <w:tcW w:w="1364" w:type="dxa"/>
            <w:shd w:val="clear" w:color="auto" w:fill="C6EFCE"/>
            <w:noWrap/>
            <w:vAlign w:val="center"/>
            <w:hideMark/>
          </w:tcPr>
          <w:p w14:paraId="0FB44B40" w14:textId="77777777" w:rsidR="004C6421" w:rsidRDefault="009D1962">
            <w:pPr>
              <w:pStyle w:val="P68B1DB1-Normal4"/>
              <w:spacing w:before="120" w:after="120"/>
              <w:jc w:val="center"/>
              <w:rPr>
                <w:rFonts w:eastAsia="Calibri"/>
                <w:noProof/>
              </w:rPr>
            </w:pPr>
            <w:r>
              <w:rPr>
                <w:noProof/>
              </w:rPr>
              <w:t>M5C1-15</w:t>
            </w:r>
          </w:p>
        </w:tc>
        <w:tc>
          <w:tcPr>
            <w:tcW w:w="1513" w:type="dxa"/>
            <w:shd w:val="clear" w:color="auto" w:fill="C6EFCE"/>
            <w:noWrap/>
            <w:vAlign w:val="center"/>
            <w:hideMark/>
          </w:tcPr>
          <w:p w14:paraId="12B77F2A" w14:textId="77777777" w:rsidR="004C6421" w:rsidRDefault="009D1962">
            <w:pPr>
              <w:pStyle w:val="P68B1DB1-Normal4"/>
              <w:spacing w:before="120" w:after="120"/>
              <w:jc w:val="center"/>
              <w:rPr>
                <w:rFonts w:eastAsia="Calibri"/>
                <w:noProof/>
              </w:rPr>
            </w:pPr>
            <w:r>
              <w:rPr>
                <w:noProof/>
              </w:rPr>
              <w:t>Inwestycje 3 – Wzmocnienie podwójnego systemu</w:t>
            </w:r>
          </w:p>
        </w:tc>
        <w:tc>
          <w:tcPr>
            <w:tcW w:w="1281" w:type="dxa"/>
            <w:shd w:val="clear" w:color="auto" w:fill="C6EFCE"/>
            <w:noWrap/>
            <w:vAlign w:val="center"/>
            <w:hideMark/>
          </w:tcPr>
          <w:p w14:paraId="2496287B" w14:textId="77777777" w:rsidR="004C6421" w:rsidRDefault="009D1962">
            <w:pPr>
              <w:pStyle w:val="P68B1DB1-Normal4"/>
              <w:spacing w:before="120" w:after="120"/>
              <w:jc w:val="center"/>
              <w:rPr>
                <w:rFonts w:eastAsia="Calibri"/>
                <w:noProof/>
              </w:rPr>
            </w:pPr>
            <w:r>
              <w:rPr>
                <w:noProof/>
              </w:rPr>
              <w:t>Cel</w:t>
            </w:r>
          </w:p>
        </w:tc>
        <w:tc>
          <w:tcPr>
            <w:tcW w:w="1597" w:type="dxa"/>
            <w:shd w:val="clear" w:color="auto" w:fill="C6EFCE"/>
            <w:noWrap/>
            <w:vAlign w:val="center"/>
            <w:hideMark/>
          </w:tcPr>
          <w:p w14:paraId="2F9BAF55" w14:textId="77777777" w:rsidR="004C6421" w:rsidRDefault="009D1962">
            <w:pPr>
              <w:pStyle w:val="P68B1DB1-Normal4"/>
              <w:spacing w:before="120" w:after="120"/>
              <w:jc w:val="center"/>
              <w:rPr>
                <w:rFonts w:eastAsia="Calibri"/>
                <w:noProof/>
              </w:rPr>
            </w:pPr>
            <w:r>
              <w:rPr>
                <w:noProof/>
              </w:rPr>
              <w:t>Osoby, które uczestniczyły w systemie dualnym i uzyskały odpowiednią certyfikację w pięcioletnim okresie 2021–2025</w:t>
            </w:r>
          </w:p>
        </w:tc>
        <w:tc>
          <w:tcPr>
            <w:tcW w:w="1470" w:type="dxa"/>
            <w:shd w:val="clear" w:color="auto" w:fill="C6EFCE"/>
            <w:noWrap/>
            <w:vAlign w:val="center"/>
            <w:hideMark/>
          </w:tcPr>
          <w:p w14:paraId="02A20FA6" w14:textId="77777777" w:rsidR="004C6421" w:rsidRDefault="009D1962">
            <w:pPr>
              <w:pStyle w:val="P68B1DB1-Normal4"/>
              <w:spacing w:before="120" w:after="120"/>
              <w:jc w:val="center"/>
              <w:rPr>
                <w:rFonts w:eastAsia="Calibri"/>
                <w:noProof/>
              </w:rPr>
            </w:pPr>
            <w:r>
              <w:rPr>
                <w:noProof/>
              </w:rPr>
              <w:t>NIE DOT.</w:t>
            </w:r>
          </w:p>
        </w:tc>
        <w:tc>
          <w:tcPr>
            <w:tcW w:w="1275" w:type="dxa"/>
            <w:shd w:val="clear" w:color="auto" w:fill="C6EFCE"/>
            <w:noWrap/>
            <w:vAlign w:val="center"/>
            <w:hideMark/>
          </w:tcPr>
          <w:p w14:paraId="1E3EF686" w14:textId="77777777" w:rsidR="004C6421" w:rsidRDefault="009D1962">
            <w:pPr>
              <w:pStyle w:val="P68B1DB1-Normal4"/>
              <w:spacing w:before="120" w:after="120"/>
              <w:jc w:val="center"/>
              <w:rPr>
                <w:rFonts w:eastAsia="Calibri"/>
                <w:noProof/>
              </w:rPr>
            </w:pPr>
            <w:r>
              <w:rPr>
                <w:noProof/>
              </w:rPr>
              <w:t xml:space="preserve">Numer </w:t>
            </w:r>
          </w:p>
        </w:tc>
        <w:tc>
          <w:tcPr>
            <w:tcW w:w="1134" w:type="dxa"/>
            <w:shd w:val="clear" w:color="auto" w:fill="C6EFCE"/>
            <w:noWrap/>
            <w:vAlign w:val="center"/>
            <w:hideMark/>
          </w:tcPr>
          <w:p w14:paraId="70843464" w14:textId="77777777" w:rsidR="004C6421" w:rsidRDefault="009D1962">
            <w:pPr>
              <w:pStyle w:val="P68B1DB1-Normal4"/>
              <w:spacing w:before="120" w:after="120"/>
              <w:jc w:val="center"/>
              <w:rPr>
                <w:rFonts w:eastAsia="Calibri"/>
                <w:noProof/>
              </w:rPr>
            </w:pPr>
            <w:r>
              <w:rPr>
                <w:noProof/>
              </w:rPr>
              <w:t>39 000</w:t>
            </w:r>
          </w:p>
        </w:tc>
        <w:tc>
          <w:tcPr>
            <w:tcW w:w="1134" w:type="dxa"/>
            <w:shd w:val="clear" w:color="auto" w:fill="C6EFCE"/>
            <w:noWrap/>
            <w:vAlign w:val="center"/>
            <w:hideMark/>
          </w:tcPr>
          <w:p w14:paraId="1ADADCA3" w14:textId="2369A28C" w:rsidR="004C6421" w:rsidRDefault="009D1962">
            <w:pPr>
              <w:spacing w:before="120" w:after="120"/>
              <w:jc w:val="center"/>
              <w:rPr>
                <w:rFonts w:ascii="Arial Narrow" w:eastAsia="Calibri" w:hAnsi="Arial Narrow"/>
                <w:noProof/>
                <w:color w:val="006100"/>
                <w:sz w:val="20"/>
              </w:rPr>
            </w:pPr>
            <w:r>
              <w:rPr>
                <w:rFonts w:ascii="Arial Narrow" w:hAnsi="Arial Narrow"/>
                <w:noProof/>
                <w:color w:val="006100"/>
                <w:sz w:val="20"/>
              </w:rPr>
              <w:t>129</w:t>
            </w:r>
            <w:r>
              <w:rPr>
                <w:noProof/>
                <w:sz w:val="23"/>
              </w:rPr>
              <w:t xml:space="preserve"> </w:t>
            </w:r>
            <w:r>
              <w:rPr>
                <w:rFonts w:ascii="Arial Narrow" w:hAnsi="Arial Narrow"/>
                <w:noProof/>
                <w:color w:val="006100"/>
                <w:sz w:val="20"/>
              </w:rPr>
              <w:t>000</w:t>
            </w:r>
          </w:p>
        </w:tc>
        <w:tc>
          <w:tcPr>
            <w:tcW w:w="851" w:type="dxa"/>
            <w:shd w:val="clear" w:color="auto" w:fill="C6EFCE"/>
            <w:noWrap/>
            <w:vAlign w:val="center"/>
            <w:hideMark/>
          </w:tcPr>
          <w:p w14:paraId="594F19E0" w14:textId="52404A22" w:rsidR="004C6421" w:rsidRDefault="00CC179E">
            <w:pPr>
              <w:pStyle w:val="P68B1DB1-Normal4"/>
              <w:spacing w:before="120" w:after="120"/>
              <w:jc w:val="center"/>
              <w:rPr>
                <w:rFonts w:eastAsia="Calibri"/>
                <w:noProof/>
              </w:rPr>
            </w:pPr>
            <w:r>
              <w:rPr>
                <w:noProof/>
              </w:rPr>
              <w:t>KW. 4</w:t>
            </w:r>
          </w:p>
        </w:tc>
        <w:tc>
          <w:tcPr>
            <w:tcW w:w="709" w:type="dxa"/>
            <w:shd w:val="clear" w:color="auto" w:fill="C6EFCE"/>
            <w:noWrap/>
            <w:vAlign w:val="center"/>
            <w:hideMark/>
          </w:tcPr>
          <w:p w14:paraId="4AA09D36" w14:textId="77777777" w:rsidR="004C6421" w:rsidRDefault="009D1962">
            <w:pPr>
              <w:pStyle w:val="P68B1DB1-Normal4"/>
              <w:spacing w:before="120" w:after="120"/>
              <w:jc w:val="center"/>
              <w:rPr>
                <w:rFonts w:eastAsia="Calibri"/>
                <w:noProof/>
              </w:rPr>
            </w:pPr>
            <w:r>
              <w:rPr>
                <w:noProof/>
              </w:rPr>
              <w:t>2025</w:t>
            </w:r>
          </w:p>
        </w:tc>
        <w:tc>
          <w:tcPr>
            <w:tcW w:w="2835" w:type="dxa"/>
            <w:shd w:val="clear" w:color="auto" w:fill="C6EFCE"/>
            <w:noWrap/>
            <w:vAlign w:val="center"/>
            <w:hideMark/>
          </w:tcPr>
          <w:p w14:paraId="0EBBFD9B" w14:textId="2015AD02" w:rsidR="004C6421" w:rsidRDefault="009D1962">
            <w:pPr>
              <w:spacing w:before="120" w:after="120"/>
              <w:rPr>
                <w:rFonts w:ascii="Arial Narrow" w:eastAsia="Calibri" w:hAnsi="Arial Narrow"/>
                <w:noProof/>
                <w:color w:val="006100"/>
                <w:sz w:val="20"/>
              </w:rPr>
            </w:pPr>
            <w:r>
              <w:rPr>
                <w:rFonts w:ascii="Arial Narrow" w:hAnsi="Arial Narrow"/>
                <w:noProof/>
                <w:color w:val="006100"/>
                <w:sz w:val="20"/>
              </w:rPr>
              <w:t>Dokonano co najmniej 90000</w:t>
            </w:r>
            <w:r>
              <w:rPr>
                <w:noProof/>
                <w:sz w:val="23"/>
              </w:rPr>
              <w:t xml:space="preserve"> </w:t>
            </w:r>
            <w:r>
              <w:rPr>
                <w:rFonts w:ascii="Arial Narrow" w:hAnsi="Arial Narrow"/>
                <w:noProof/>
                <w:color w:val="006100"/>
                <w:sz w:val="20"/>
              </w:rPr>
              <w:t>dodatkowych zapisów do systemu dualnego, a w pięcioletnim okresie 2021–2025 uzyskano odpowiednie certyfikaty potwierdzające ukończenie kursu w porównaniu ze scenariuszem bazowym.</w:t>
            </w:r>
          </w:p>
          <w:p w14:paraId="5CFCE6BE" w14:textId="77777777" w:rsidR="004C6421" w:rsidRDefault="009D1962">
            <w:pPr>
              <w:pStyle w:val="P68B1DB1-Normal4"/>
              <w:spacing w:before="120" w:after="120"/>
              <w:rPr>
                <w:rFonts w:eastAsia="Calibri"/>
                <w:noProof/>
              </w:rPr>
            </w:pPr>
            <w:r>
              <w:rPr>
                <w:noProof/>
              </w:rPr>
              <w:t>Podział środków między regiony na wzmocnienie systemu dualnego odbywa się na podstawie liczby studentów uczęszczających na kursy kształcenia i szkolenia zawodowego.</w:t>
            </w:r>
          </w:p>
        </w:tc>
      </w:tr>
      <w:tr w:rsidR="004C6421" w14:paraId="166D5680" w14:textId="77777777">
        <w:trPr>
          <w:trHeight w:val="309"/>
          <w:jc w:val="center"/>
        </w:trPr>
        <w:tc>
          <w:tcPr>
            <w:tcW w:w="1364" w:type="dxa"/>
            <w:shd w:val="clear" w:color="auto" w:fill="C6EFCE"/>
            <w:noWrap/>
            <w:vAlign w:val="center"/>
          </w:tcPr>
          <w:p w14:paraId="7078B066" w14:textId="77777777" w:rsidR="004C6421" w:rsidRDefault="009D1962">
            <w:pPr>
              <w:pStyle w:val="P68B1DB1-Normal4"/>
              <w:spacing w:before="120" w:after="120"/>
              <w:jc w:val="center"/>
              <w:rPr>
                <w:rFonts w:eastAsia="Calibri"/>
                <w:noProof/>
              </w:rPr>
            </w:pPr>
            <w:r>
              <w:rPr>
                <w:noProof/>
              </w:rPr>
              <w:t>M5C1-15bis</w:t>
            </w:r>
          </w:p>
        </w:tc>
        <w:tc>
          <w:tcPr>
            <w:tcW w:w="1513" w:type="dxa"/>
            <w:shd w:val="clear" w:color="auto" w:fill="C6EFCE"/>
            <w:noWrap/>
            <w:vAlign w:val="center"/>
          </w:tcPr>
          <w:p w14:paraId="611430DD" w14:textId="77777777" w:rsidR="004C6421" w:rsidRDefault="009D1962">
            <w:pPr>
              <w:pStyle w:val="P68B1DB1-Normal4"/>
              <w:spacing w:before="120" w:after="120"/>
              <w:jc w:val="center"/>
              <w:rPr>
                <w:rFonts w:eastAsia="Calibri"/>
                <w:noProof/>
              </w:rPr>
            </w:pPr>
            <w:r>
              <w:rPr>
                <w:noProof/>
              </w:rPr>
              <w:t>Inwestycje 4 – Powszechna Służba Cywilna</w:t>
            </w:r>
          </w:p>
        </w:tc>
        <w:tc>
          <w:tcPr>
            <w:tcW w:w="1281" w:type="dxa"/>
            <w:shd w:val="clear" w:color="auto" w:fill="C6EFCE"/>
            <w:noWrap/>
            <w:vAlign w:val="center"/>
          </w:tcPr>
          <w:p w14:paraId="5EA37935" w14:textId="0768EC65" w:rsidR="004C6421" w:rsidRDefault="00CC179E">
            <w:pPr>
              <w:pStyle w:val="P68B1DB1-Normal4"/>
              <w:spacing w:before="120" w:after="120"/>
              <w:jc w:val="center"/>
              <w:rPr>
                <w:rFonts w:eastAsia="Calibri"/>
                <w:noProof/>
              </w:rPr>
            </w:pPr>
            <w:r>
              <w:rPr>
                <w:noProof/>
              </w:rPr>
              <w:t>Milowy</w:t>
            </w:r>
          </w:p>
        </w:tc>
        <w:tc>
          <w:tcPr>
            <w:tcW w:w="1597" w:type="dxa"/>
            <w:shd w:val="clear" w:color="auto" w:fill="C6EFCE"/>
            <w:noWrap/>
            <w:vAlign w:val="center"/>
          </w:tcPr>
          <w:p w14:paraId="406DC7D0" w14:textId="77777777" w:rsidR="004C6421" w:rsidRDefault="009D1962">
            <w:pPr>
              <w:pStyle w:val="P68B1DB1-Normal4"/>
              <w:spacing w:before="120" w:after="120"/>
              <w:jc w:val="center"/>
              <w:rPr>
                <w:rFonts w:eastAsia="Calibri"/>
                <w:noProof/>
              </w:rPr>
            </w:pPr>
            <w:bookmarkStart w:id="12" w:name="_Hlk149581877"/>
            <w:r>
              <w:rPr>
                <w:noProof/>
              </w:rPr>
              <w:t>Rewizja normatywna obecnego „Disposizioni concernenti la disciplina dei rapporti tra enti e operatori Volontari del servizio civile Universale”, przyjęta jako dpcm (decreto del Presidente del Consiglio dei ministri)</w:t>
            </w:r>
            <w:r>
              <w:rPr>
                <w:noProof/>
                <w:vertAlign w:val="superscript"/>
              </w:rPr>
              <w:t>w</w:t>
            </w:r>
            <w:r>
              <w:rPr>
                <w:noProof/>
              </w:rPr>
              <w:t xml:space="preserve"> dniu 14 stycznia 2019 r. w celu wzmocnienia powszechnej służby cywilnej </w:t>
            </w:r>
            <w:bookmarkEnd w:id="12"/>
          </w:p>
        </w:tc>
        <w:tc>
          <w:tcPr>
            <w:tcW w:w="1470" w:type="dxa"/>
            <w:shd w:val="clear" w:color="auto" w:fill="C6EFCE"/>
            <w:noWrap/>
            <w:vAlign w:val="center"/>
          </w:tcPr>
          <w:p w14:paraId="4E973D12" w14:textId="77777777" w:rsidR="004C6421" w:rsidRDefault="009D1962">
            <w:pPr>
              <w:pStyle w:val="P68B1DB1-Normal4"/>
              <w:spacing w:before="120" w:after="120"/>
              <w:jc w:val="center"/>
              <w:rPr>
                <w:rFonts w:eastAsia="Calibri"/>
                <w:noProof/>
              </w:rPr>
            </w:pPr>
            <w:r>
              <w:rPr>
                <w:noProof/>
              </w:rPr>
              <w:t>Przyjęcie odpowiedniego aktu prawnego</w:t>
            </w:r>
          </w:p>
        </w:tc>
        <w:tc>
          <w:tcPr>
            <w:tcW w:w="1275" w:type="dxa"/>
            <w:shd w:val="clear" w:color="auto" w:fill="C6EFCE"/>
            <w:noWrap/>
            <w:vAlign w:val="center"/>
          </w:tcPr>
          <w:p w14:paraId="1B0EB275" w14:textId="77777777" w:rsidR="004C6421" w:rsidRDefault="009D1962">
            <w:pPr>
              <w:pStyle w:val="P68B1DB1-Normal4"/>
              <w:spacing w:before="120" w:after="120"/>
              <w:jc w:val="center"/>
              <w:rPr>
                <w:rFonts w:eastAsia="Calibri"/>
                <w:noProof/>
              </w:rPr>
            </w:pPr>
            <w:r>
              <w:rPr>
                <w:noProof/>
              </w:rPr>
              <w:t>NIE DOT.</w:t>
            </w:r>
          </w:p>
        </w:tc>
        <w:tc>
          <w:tcPr>
            <w:tcW w:w="1134" w:type="dxa"/>
            <w:shd w:val="clear" w:color="auto" w:fill="C6EFCE"/>
            <w:noWrap/>
            <w:vAlign w:val="center"/>
          </w:tcPr>
          <w:p w14:paraId="1DE100F5" w14:textId="77777777" w:rsidR="004C6421" w:rsidRDefault="009D1962">
            <w:pPr>
              <w:pStyle w:val="P68B1DB1-Normal4"/>
              <w:spacing w:before="120" w:after="120"/>
              <w:jc w:val="center"/>
              <w:rPr>
                <w:rFonts w:eastAsia="Calibri"/>
                <w:noProof/>
              </w:rPr>
            </w:pPr>
            <w:r>
              <w:rPr>
                <w:noProof/>
              </w:rPr>
              <w:t>NIE DOT.</w:t>
            </w:r>
          </w:p>
        </w:tc>
        <w:tc>
          <w:tcPr>
            <w:tcW w:w="1134" w:type="dxa"/>
            <w:shd w:val="clear" w:color="auto" w:fill="C6EFCE"/>
            <w:noWrap/>
            <w:vAlign w:val="center"/>
          </w:tcPr>
          <w:p w14:paraId="5BEE714C" w14:textId="77777777" w:rsidR="004C6421" w:rsidRDefault="009D1962">
            <w:pPr>
              <w:pStyle w:val="P68B1DB1-Normal4"/>
              <w:spacing w:before="120" w:after="120"/>
              <w:jc w:val="center"/>
              <w:rPr>
                <w:rFonts w:eastAsia="Calibri"/>
                <w:noProof/>
              </w:rPr>
            </w:pPr>
            <w:r>
              <w:rPr>
                <w:noProof/>
              </w:rPr>
              <w:t>NIE DOT.</w:t>
            </w:r>
          </w:p>
        </w:tc>
        <w:tc>
          <w:tcPr>
            <w:tcW w:w="851" w:type="dxa"/>
            <w:shd w:val="clear" w:color="auto" w:fill="C6EFCE"/>
            <w:noWrap/>
            <w:vAlign w:val="center"/>
          </w:tcPr>
          <w:p w14:paraId="657D5696" w14:textId="5F41A3B3" w:rsidR="004C6421" w:rsidRDefault="00CC179E">
            <w:pPr>
              <w:pStyle w:val="P68B1DB1-Normal4"/>
              <w:spacing w:before="120" w:after="120"/>
              <w:jc w:val="center"/>
              <w:rPr>
                <w:rFonts w:eastAsia="Calibri"/>
                <w:noProof/>
              </w:rPr>
            </w:pPr>
            <w:r>
              <w:rPr>
                <w:noProof/>
              </w:rPr>
              <w:t>KW. 4</w:t>
            </w:r>
          </w:p>
        </w:tc>
        <w:tc>
          <w:tcPr>
            <w:tcW w:w="709" w:type="dxa"/>
            <w:shd w:val="clear" w:color="auto" w:fill="C6EFCE"/>
            <w:noWrap/>
            <w:vAlign w:val="center"/>
          </w:tcPr>
          <w:p w14:paraId="146F9A80" w14:textId="77777777" w:rsidR="004C6421" w:rsidRDefault="009D1962">
            <w:pPr>
              <w:pStyle w:val="P68B1DB1-Normal4"/>
              <w:spacing w:before="120" w:after="120"/>
              <w:jc w:val="center"/>
              <w:rPr>
                <w:rFonts w:eastAsia="Calibri"/>
                <w:noProof/>
              </w:rPr>
            </w:pPr>
            <w:r>
              <w:rPr>
                <w:noProof/>
              </w:rPr>
              <w:t>2024</w:t>
            </w:r>
          </w:p>
        </w:tc>
        <w:tc>
          <w:tcPr>
            <w:tcW w:w="2835" w:type="dxa"/>
            <w:shd w:val="clear" w:color="auto" w:fill="C6EFCE"/>
            <w:noWrap/>
            <w:vAlign w:val="center"/>
          </w:tcPr>
          <w:p w14:paraId="1886EA75" w14:textId="77777777" w:rsidR="004C6421" w:rsidRDefault="009D1962">
            <w:pPr>
              <w:pStyle w:val="P68B1DB1-Normal4"/>
              <w:spacing w:before="120" w:after="120"/>
              <w:rPr>
                <w:rFonts w:eastAsia="Calibri"/>
                <w:noProof/>
              </w:rPr>
            </w:pPr>
            <w:r>
              <w:rPr>
                <w:noProof/>
              </w:rPr>
              <w:t xml:space="preserve">Wejście w życie zmienionego aktu dotyczącego stosunków między podmiotami a operatorami wolontariuszy, z uwzględnieniem wyników projektu TSI (20IT06 – „Wspieranie projektowania i wdrażania projektu RRP powszechnej służby cywilnej (UCS) w celu odblokowania możliwości zatrudnienia młodzieży”). </w:t>
            </w:r>
          </w:p>
          <w:p w14:paraId="0ADD48B3" w14:textId="77777777" w:rsidR="004C6421" w:rsidRDefault="009D1962">
            <w:pPr>
              <w:pStyle w:val="P68B1DB1-Normal4"/>
              <w:spacing w:before="120"/>
              <w:rPr>
                <w:rFonts w:eastAsia="Calibri"/>
                <w:noProof/>
              </w:rPr>
            </w:pPr>
            <w:r>
              <w:rPr>
                <w:noProof/>
              </w:rPr>
              <w:t>Zmieniony akt:</w:t>
            </w:r>
          </w:p>
          <w:p w14:paraId="663AA55C" w14:textId="77777777" w:rsidR="004C6421" w:rsidRDefault="009D1962">
            <w:pPr>
              <w:pStyle w:val="P68B1DB1-Normal4"/>
              <w:rPr>
                <w:rFonts w:eastAsia="Calibri"/>
                <w:noProof/>
              </w:rPr>
            </w:pPr>
            <w:r>
              <w:rPr>
                <w:noProof/>
              </w:rPr>
              <w:t>— zwiększenie udziału młodych ludzi;</w:t>
            </w:r>
          </w:p>
          <w:p w14:paraId="72E6AC4F" w14:textId="77777777" w:rsidR="004C6421" w:rsidRDefault="009D1962">
            <w:pPr>
              <w:rPr>
                <w:rFonts w:ascii="Arial Narrow" w:eastAsia="Calibri" w:hAnsi="Arial Narrow"/>
                <w:noProof/>
                <w:color w:val="006100"/>
                <w:sz w:val="20"/>
              </w:rPr>
            </w:pPr>
            <w:r>
              <w:rPr>
                <w:rFonts w:ascii="Arial Narrow" w:hAnsi="Arial Narrow"/>
                <w:noProof/>
                <w:color w:val="006100"/>
                <w:sz w:val="20"/>
              </w:rPr>
              <w:t>uproszczenie procedur; oraz</w:t>
            </w:r>
            <w:r>
              <w:rPr>
                <w:noProof/>
              </w:rPr>
              <w:t xml:space="preserve">  </w:t>
            </w:r>
            <w:r>
              <w:rPr>
                <w:noProof/>
              </w:rPr>
              <w:br/>
            </w:r>
            <w:r>
              <w:rPr>
                <w:rFonts w:ascii="Arial Narrow" w:hAnsi="Arial Narrow"/>
                <w:noProof/>
                <w:color w:val="006100"/>
                <w:sz w:val="20"/>
              </w:rPr>
              <w:t>— poprawa jakości projektów związanych ze ZSZiK.</w:t>
            </w:r>
          </w:p>
        </w:tc>
      </w:tr>
      <w:tr w:rsidR="004C6421" w14:paraId="3CB8A922" w14:textId="77777777">
        <w:trPr>
          <w:trHeight w:val="309"/>
          <w:jc w:val="center"/>
        </w:trPr>
        <w:tc>
          <w:tcPr>
            <w:tcW w:w="1364" w:type="dxa"/>
            <w:shd w:val="clear" w:color="auto" w:fill="C6EFCE"/>
            <w:noWrap/>
            <w:vAlign w:val="center"/>
            <w:hideMark/>
          </w:tcPr>
          <w:p w14:paraId="7B9C3374" w14:textId="77777777" w:rsidR="004C6421" w:rsidRDefault="009D1962">
            <w:pPr>
              <w:pStyle w:val="P68B1DB1-Normal4"/>
              <w:spacing w:before="120" w:after="120"/>
              <w:jc w:val="center"/>
              <w:rPr>
                <w:rFonts w:eastAsia="Calibri"/>
                <w:noProof/>
              </w:rPr>
            </w:pPr>
            <w:r>
              <w:rPr>
                <w:noProof/>
              </w:rPr>
              <w:t>M5C1-16</w:t>
            </w:r>
          </w:p>
        </w:tc>
        <w:tc>
          <w:tcPr>
            <w:tcW w:w="1513" w:type="dxa"/>
            <w:shd w:val="clear" w:color="auto" w:fill="C6EFCE"/>
            <w:noWrap/>
            <w:vAlign w:val="center"/>
            <w:hideMark/>
          </w:tcPr>
          <w:p w14:paraId="326EE9DE" w14:textId="77777777" w:rsidR="004C6421" w:rsidRDefault="009D1962">
            <w:pPr>
              <w:pStyle w:val="P68B1DB1-Normal4"/>
              <w:spacing w:before="120" w:after="120"/>
              <w:jc w:val="center"/>
              <w:rPr>
                <w:rFonts w:eastAsia="Calibri"/>
                <w:noProof/>
              </w:rPr>
            </w:pPr>
            <w:r>
              <w:rPr>
                <w:noProof/>
              </w:rPr>
              <w:t>Inwestycje 4 – Powszechna Służba Cywilna</w:t>
            </w:r>
          </w:p>
        </w:tc>
        <w:tc>
          <w:tcPr>
            <w:tcW w:w="1281" w:type="dxa"/>
            <w:shd w:val="clear" w:color="auto" w:fill="C6EFCE"/>
            <w:noWrap/>
            <w:vAlign w:val="center"/>
            <w:hideMark/>
          </w:tcPr>
          <w:p w14:paraId="640EC5E2" w14:textId="77777777" w:rsidR="004C6421" w:rsidRDefault="009D1962">
            <w:pPr>
              <w:pStyle w:val="P68B1DB1-Normal4"/>
              <w:spacing w:before="120" w:after="120"/>
              <w:jc w:val="center"/>
              <w:rPr>
                <w:rFonts w:eastAsia="Calibri"/>
                <w:noProof/>
              </w:rPr>
            </w:pPr>
            <w:r>
              <w:rPr>
                <w:noProof/>
              </w:rPr>
              <w:t>Cel</w:t>
            </w:r>
          </w:p>
        </w:tc>
        <w:tc>
          <w:tcPr>
            <w:tcW w:w="1597" w:type="dxa"/>
            <w:shd w:val="clear" w:color="auto" w:fill="C6EFCE"/>
            <w:noWrap/>
            <w:vAlign w:val="center"/>
            <w:hideMark/>
          </w:tcPr>
          <w:p w14:paraId="25CA5FF2" w14:textId="77777777" w:rsidR="004C6421" w:rsidRDefault="009D1962">
            <w:pPr>
              <w:pStyle w:val="P68B1DB1-Normal4"/>
              <w:spacing w:before="120" w:after="120"/>
              <w:jc w:val="center"/>
              <w:rPr>
                <w:rFonts w:eastAsia="Calibri"/>
                <w:noProof/>
              </w:rPr>
            </w:pPr>
            <w:r>
              <w:rPr>
                <w:noProof/>
              </w:rPr>
              <w:t xml:space="preserve"> Ludzie uczestniczyli w programie powszechnej służby cywilnej i uzyskali odpowiednią certyfikację w czteroletnim okresie 2021–2024</w:t>
            </w:r>
          </w:p>
        </w:tc>
        <w:tc>
          <w:tcPr>
            <w:tcW w:w="1470" w:type="dxa"/>
            <w:shd w:val="clear" w:color="auto" w:fill="C6EFCE"/>
            <w:noWrap/>
            <w:vAlign w:val="center"/>
            <w:hideMark/>
          </w:tcPr>
          <w:p w14:paraId="5FCF8F85" w14:textId="77777777" w:rsidR="004C6421" w:rsidRDefault="009D1962">
            <w:pPr>
              <w:pStyle w:val="P68B1DB1-Normal4"/>
              <w:spacing w:before="120" w:after="120"/>
              <w:jc w:val="center"/>
              <w:rPr>
                <w:rFonts w:eastAsia="Calibri"/>
                <w:noProof/>
              </w:rPr>
            </w:pPr>
            <w:r>
              <w:rPr>
                <w:noProof/>
              </w:rPr>
              <w:t>NIE DOT.</w:t>
            </w:r>
          </w:p>
        </w:tc>
        <w:tc>
          <w:tcPr>
            <w:tcW w:w="1275" w:type="dxa"/>
            <w:shd w:val="clear" w:color="auto" w:fill="C6EFCE"/>
            <w:noWrap/>
            <w:vAlign w:val="center"/>
            <w:hideMark/>
          </w:tcPr>
          <w:p w14:paraId="38C1BB88" w14:textId="77777777" w:rsidR="004C6421" w:rsidRDefault="009D1962">
            <w:pPr>
              <w:pStyle w:val="P68B1DB1-Normal4"/>
              <w:spacing w:before="120" w:after="120"/>
              <w:jc w:val="center"/>
              <w:rPr>
                <w:rFonts w:eastAsia="Calibri"/>
                <w:noProof/>
              </w:rPr>
            </w:pPr>
            <w:r>
              <w:rPr>
                <w:noProof/>
              </w:rPr>
              <w:t xml:space="preserve">Numer </w:t>
            </w:r>
          </w:p>
        </w:tc>
        <w:tc>
          <w:tcPr>
            <w:tcW w:w="1134" w:type="dxa"/>
            <w:shd w:val="clear" w:color="auto" w:fill="C6EFCE"/>
            <w:noWrap/>
            <w:vAlign w:val="center"/>
            <w:hideMark/>
          </w:tcPr>
          <w:p w14:paraId="7B441E8E" w14:textId="77777777" w:rsidR="004C6421" w:rsidRDefault="009D1962">
            <w:pPr>
              <w:pStyle w:val="P68B1DB1-Normal4"/>
              <w:spacing w:before="120" w:after="120"/>
              <w:jc w:val="center"/>
              <w:rPr>
                <w:noProof/>
              </w:rPr>
            </w:pPr>
            <w:r>
              <w:rPr>
                <w:noProof/>
              </w:rPr>
              <w:t>0</w:t>
            </w:r>
          </w:p>
        </w:tc>
        <w:tc>
          <w:tcPr>
            <w:tcW w:w="1134" w:type="dxa"/>
            <w:shd w:val="clear" w:color="auto" w:fill="C6EFCE"/>
            <w:noWrap/>
            <w:vAlign w:val="center"/>
            <w:hideMark/>
          </w:tcPr>
          <w:p w14:paraId="7F5518BB" w14:textId="77777777" w:rsidR="004C6421" w:rsidRDefault="009D1962">
            <w:pPr>
              <w:pStyle w:val="P68B1DB1-Normal4"/>
              <w:spacing w:before="120" w:after="120"/>
              <w:jc w:val="center"/>
              <w:rPr>
                <w:rFonts w:eastAsia="Calibri"/>
                <w:noProof/>
              </w:rPr>
            </w:pPr>
            <w:r>
              <w:rPr>
                <w:noProof/>
              </w:rPr>
              <w:t>166 670</w:t>
            </w:r>
          </w:p>
        </w:tc>
        <w:tc>
          <w:tcPr>
            <w:tcW w:w="851" w:type="dxa"/>
            <w:shd w:val="clear" w:color="auto" w:fill="C6EFCE"/>
            <w:noWrap/>
            <w:vAlign w:val="center"/>
            <w:hideMark/>
          </w:tcPr>
          <w:p w14:paraId="7EA2B48B" w14:textId="77777777" w:rsidR="004C6421" w:rsidRDefault="009D1962">
            <w:pPr>
              <w:pStyle w:val="P68B1DB1-Normal4"/>
              <w:spacing w:before="120" w:after="120"/>
              <w:jc w:val="center"/>
              <w:rPr>
                <w:rFonts w:eastAsia="Calibri"/>
                <w:noProof/>
              </w:rPr>
            </w:pPr>
            <w:r>
              <w:rPr>
                <w:noProof/>
              </w:rPr>
              <w:t>II KW.</w:t>
            </w:r>
          </w:p>
        </w:tc>
        <w:tc>
          <w:tcPr>
            <w:tcW w:w="709" w:type="dxa"/>
            <w:shd w:val="clear" w:color="auto" w:fill="C6EFCE"/>
            <w:noWrap/>
            <w:vAlign w:val="center"/>
            <w:hideMark/>
          </w:tcPr>
          <w:p w14:paraId="42F52704" w14:textId="77777777" w:rsidR="004C6421" w:rsidRDefault="009D1962">
            <w:pPr>
              <w:pStyle w:val="P68B1DB1-Normal4"/>
              <w:spacing w:before="120" w:after="120"/>
              <w:jc w:val="center"/>
              <w:rPr>
                <w:rFonts w:eastAsia="Calibri"/>
                <w:noProof/>
              </w:rPr>
            </w:pPr>
            <w:r>
              <w:rPr>
                <w:noProof/>
              </w:rPr>
              <w:t>2026</w:t>
            </w:r>
          </w:p>
        </w:tc>
        <w:tc>
          <w:tcPr>
            <w:tcW w:w="2835" w:type="dxa"/>
            <w:shd w:val="clear" w:color="auto" w:fill="C6EFCE"/>
            <w:noWrap/>
            <w:vAlign w:val="center"/>
            <w:hideMark/>
          </w:tcPr>
          <w:p w14:paraId="51E69B4B" w14:textId="77777777" w:rsidR="004C6421" w:rsidRDefault="009D1962">
            <w:pPr>
              <w:pStyle w:val="P68B1DB1-Normal4"/>
              <w:spacing w:before="120" w:after="120"/>
              <w:rPr>
                <w:rFonts w:eastAsia="Calibri"/>
                <w:noProof/>
              </w:rPr>
            </w:pPr>
            <w:r>
              <w:rPr>
                <w:noProof/>
              </w:rPr>
              <w:t>W czteroletnim okresie 2021–2024 w programie powszechnej służby cywilnej uczestniczyło co najmniej 166670 osób.</w:t>
            </w:r>
          </w:p>
          <w:p w14:paraId="16E07A18" w14:textId="77777777" w:rsidR="004C6421" w:rsidRDefault="009D1962">
            <w:pPr>
              <w:pStyle w:val="P68B1DB1-Normal4"/>
              <w:spacing w:before="120" w:after="120"/>
              <w:rPr>
                <w:rFonts w:eastAsia="Calibri"/>
                <w:noProof/>
              </w:rPr>
            </w:pPr>
            <w:r>
              <w:rPr>
                <w:noProof/>
              </w:rPr>
              <w:t xml:space="preserve">Głównym celem jest wzmocnienie powszechnej służby cywilnej, zwiększenie liczby wolontariuszy oraz podniesienie jakości programów i projektów, w które zaangażowani są młodzi ludzie. </w:t>
            </w:r>
          </w:p>
        </w:tc>
      </w:tr>
    </w:tbl>
    <w:p w14:paraId="133D62F5" w14:textId="77777777" w:rsidR="004C6421" w:rsidRDefault="004C6421">
      <w:pPr>
        <w:rPr>
          <w:noProof/>
        </w:rPr>
      </w:pPr>
    </w:p>
    <w:p w14:paraId="350A102B" w14:textId="77777777" w:rsidR="004C6421" w:rsidRDefault="004C6421">
      <w:pPr>
        <w:spacing w:before="120" w:after="120"/>
        <w:ind w:left="709"/>
        <w:jc w:val="both"/>
        <w:rPr>
          <w:noProof/>
        </w:rPr>
      </w:pPr>
    </w:p>
    <w:p w14:paraId="5E1B202E" w14:textId="77777777" w:rsidR="004C6421" w:rsidRDefault="004C6421">
      <w:pPr>
        <w:spacing w:before="120" w:after="120"/>
        <w:ind w:left="709"/>
        <w:jc w:val="both"/>
        <w:rPr>
          <w:noProof/>
        </w:rPr>
        <w:sectPr w:rsidR="004C6421" w:rsidSect="00797973">
          <w:headerReference w:type="even" r:id="rId308"/>
          <w:headerReference w:type="default" r:id="rId309"/>
          <w:footerReference w:type="even" r:id="rId310"/>
          <w:footerReference w:type="default" r:id="rId311"/>
          <w:headerReference w:type="first" r:id="rId312"/>
          <w:footerReference w:type="first" r:id="rId313"/>
          <w:pgSz w:w="16838" w:h="11906" w:orient="landscape" w:code="9"/>
          <w:pgMar w:top="1134" w:right="1134" w:bottom="1134" w:left="1134" w:header="567" w:footer="567" w:gutter="0"/>
          <w:cols w:space="720"/>
          <w:docGrid w:linePitch="360"/>
        </w:sectPr>
      </w:pPr>
    </w:p>
    <w:p w14:paraId="51AE6764" w14:textId="77777777" w:rsidR="004C6421" w:rsidRDefault="009D1962">
      <w:pPr>
        <w:pStyle w:val="Heading3"/>
        <w:numPr>
          <w:ilvl w:val="0"/>
          <w:numId w:val="0"/>
        </w:numPr>
        <w:ind w:left="850" w:hanging="850"/>
        <w:rPr>
          <w:b/>
          <w:i w:val="0"/>
          <w:noProof/>
          <w:color w:val="4472C4" w:themeColor="accent1"/>
          <w:u w:val="single"/>
        </w:rPr>
      </w:pPr>
      <w:r>
        <w:rPr>
          <w:b/>
          <w:i w:val="0"/>
          <w:noProof/>
          <w:u w:val="single"/>
        </w:rPr>
        <w:t xml:space="preserve">L.3. </w:t>
      </w:r>
      <w:r>
        <w:rPr>
          <w:noProof/>
        </w:rPr>
        <w:t xml:space="preserve"> </w:t>
      </w:r>
      <w:r>
        <w:rPr>
          <w:b/>
          <w:i w:val="0"/>
          <w:noProof/>
          <w:u w:val="single"/>
        </w:rPr>
        <w:t xml:space="preserve">Opis reform i inwestycji związanych z pożyczką </w:t>
      </w:r>
    </w:p>
    <w:p w14:paraId="2AC149A3" w14:textId="77777777" w:rsidR="004C6421" w:rsidRDefault="009D1962">
      <w:pPr>
        <w:pStyle w:val="P68B1DB1-Normal2"/>
        <w:spacing w:before="120" w:after="120"/>
        <w:jc w:val="both"/>
        <w:rPr>
          <w:noProof/>
        </w:rPr>
      </w:pPr>
      <w:r>
        <w:rPr>
          <w:noProof/>
        </w:rPr>
        <w:t>Inwestycje 5 – Tworzenie przedsiębiorstw kobiecych</w:t>
      </w:r>
    </w:p>
    <w:p w14:paraId="5432B1AE" w14:textId="77777777" w:rsidR="004C6421" w:rsidRDefault="009D1962">
      <w:pPr>
        <w:spacing w:before="120" w:after="120"/>
        <w:jc w:val="both"/>
        <w:rPr>
          <w:noProof/>
        </w:rPr>
      </w:pPr>
      <w:r>
        <w:rPr>
          <w:noProof/>
        </w:rPr>
        <w:t xml:space="preserve">Celem tego środka jest przyczynienie się do zwiększenia udziału kobiet w rynku pracy, a w szczególności wspieranie udziału kobiet w działalności gospodarczej. Inwestycja wspiera tworzenie </w:t>
      </w:r>
      <w:r>
        <w:rPr>
          <w:b/>
          <w:noProof/>
        </w:rPr>
        <w:t>przedsiębiorstw kobiecych</w:t>
      </w:r>
      <w:r>
        <w:rPr>
          <w:noProof/>
        </w:rPr>
        <w:t xml:space="preserve">. Głównymi celami omawianego środka są: Usystematyzowanie i przeprojektowanie obecnych środków wspierających w celu wspierania przedsiębiorczości kobiet w celu zwiększenia ich skuteczności; (II) wspieranie realizacji już utworzonych i działających innowacyjnych projektów biznesowych; (III) wspieranie rozpoczynania przez kobiety przedsiębiorczości poprzez mentoring, wsparcie techniczne i menadżerskie, środki na rzecz równowagi między życiem zawodowym a prywatnym itp.; Stworzenie – poprzez ukierunkowane działania komunikacyjne – klimatu kulturowego sprzyjającego przedsiębiorczości kobiet. </w:t>
      </w:r>
    </w:p>
    <w:p w14:paraId="37D73448" w14:textId="77777777" w:rsidR="004C6421" w:rsidRDefault="009D1962">
      <w:pPr>
        <w:pStyle w:val="Heading3"/>
        <w:numPr>
          <w:ilvl w:val="0"/>
          <w:numId w:val="0"/>
        </w:numPr>
        <w:ind w:left="850" w:hanging="850"/>
        <w:rPr>
          <w:b/>
          <w:i w:val="0"/>
          <w:noProof/>
          <w:u w:val="single"/>
        </w:rPr>
      </w:pPr>
      <w:r>
        <w:rPr>
          <w:b/>
          <w:i w:val="0"/>
          <w:noProof/>
          <w:u w:val="single"/>
        </w:rPr>
        <w:t xml:space="preserve">L.4. </w:t>
      </w:r>
      <w:r>
        <w:rPr>
          <w:noProof/>
        </w:rPr>
        <w:t xml:space="preserve"> </w:t>
      </w:r>
      <w:r>
        <w:rPr>
          <w:b/>
          <w:i w:val="0"/>
          <w:noProof/>
          <w:u w:val="single"/>
        </w:rPr>
        <w:t xml:space="preserve">Cele pośrednie, wartości docelowe, wskaźniki i harmonogram monitorowania i realizacji pożyczki </w:t>
      </w:r>
    </w:p>
    <w:p w14:paraId="55FD805A" w14:textId="77777777" w:rsidR="004C6421" w:rsidRDefault="004C6421">
      <w:pPr>
        <w:spacing w:before="120" w:after="120"/>
        <w:ind w:left="709"/>
        <w:contextualSpacing/>
        <w:jc w:val="both"/>
        <w:rPr>
          <w:noProof/>
        </w:rPr>
        <w:sectPr w:rsidR="004C6421" w:rsidSect="00797973">
          <w:headerReference w:type="even" r:id="rId314"/>
          <w:headerReference w:type="default" r:id="rId315"/>
          <w:footerReference w:type="even" r:id="rId316"/>
          <w:footerReference w:type="default" r:id="rId317"/>
          <w:headerReference w:type="first" r:id="rId318"/>
          <w:footerReference w:type="first" r:id="rId319"/>
          <w:pgSz w:w="11907" w:h="16839"/>
          <w:pgMar w:top="1134" w:right="1134" w:bottom="1134" w:left="1134" w:header="567" w:footer="567" w:gutter="0"/>
          <w:cols w:space="720"/>
          <w:docGrid w:linePitch="360"/>
        </w:sectPr>
      </w:pPr>
    </w:p>
    <w:tbl>
      <w:tblPr>
        <w:tblW w:w="15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530"/>
        <w:gridCol w:w="1179"/>
        <w:gridCol w:w="1802"/>
        <w:gridCol w:w="1670"/>
        <w:gridCol w:w="1037"/>
        <w:gridCol w:w="999"/>
        <w:gridCol w:w="1189"/>
        <w:gridCol w:w="979"/>
        <w:gridCol w:w="689"/>
        <w:gridCol w:w="2982"/>
      </w:tblGrid>
      <w:tr w:rsidR="004C6421" w14:paraId="035F6BDB" w14:textId="77777777">
        <w:trPr>
          <w:trHeight w:val="701"/>
          <w:tblHeader/>
          <w:jc w:val="center"/>
        </w:trPr>
        <w:tc>
          <w:tcPr>
            <w:tcW w:w="1254" w:type="dxa"/>
            <w:vMerge w:val="restart"/>
            <w:shd w:val="clear" w:color="auto" w:fill="BDD7EE"/>
            <w:vAlign w:val="center"/>
            <w:hideMark/>
          </w:tcPr>
          <w:p w14:paraId="7931E07F" w14:textId="77777777" w:rsidR="004C6421" w:rsidRDefault="009D1962">
            <w:pPr>
              <w:pStyle w:val="P68B1DB1-Normal25"/>
              <w:jc w:val="center"/>
              <w:rPr>
                <w:noProof/>
              </w:rPr>
            </w:pPr>
            <w:r>
              <w:rPr>
                <w:noProof/>
              </w:rPr>
              <w:t>Numer porządkowy</w:t>
            </w:r>
          </w:p>
        </w:tc>
        <w:tc>
          <w:tcPr>
            <w:tcW w:w="1530" w:type="dxa"/>
            <w:vMerge w:val="restart"/>
            <w:shd w:val="clear" w:color="auto" w:fill="BDD7EE"/>
            <w:vAlign w:val="center"/>
            <w:hideMark/>
          </w:tcPr>
          <w:p w14:paraId="097E663F" w14:textId="77777777" w:rsidR="004C6421" w:rsidRDefault="009D1962">
            <w:pPr>
              <w:pStyle w:val="P68B1DB1-Normal25"/>
              <w:jc w:val="center"/>
              <w:rPr>
                <w:noProof/>
              </w:rPr>
            </w:pPr>
            <w:r>
              <w:rPr>
                <w:noProof/>
              </w:rPr>
              <w:t>Powiązane działanie (reforma lub inwestycja)</w:t>
            </w:r>
          </w:p>
        </w:tc>
        <w:tc>
          <w:tcPr>
            <w:tcW w:w="1179" w:type="dxa"/>
            <w:vMerge w:val="restart"/>
            <w:shd w:val="clear" w:color="auto" w:fill="BDD7EE"/>
            <w:vAlign w:val="center"/>
            <w:hideMark/>
          </w:tcPr>
          <w:p w14:paraId="512526F9" w14:textId="77777777" w:rsidR="004C6421" w:rsidRDefault="009D1962">
            <w:pPr>
              <w:pStyle w:val="P68B1DB1-Normal25"/>
              <w:jc w:val="center"/>
              <w:rPr>
                <w:noProof/>
              </w:rPr>
            </w:pPr>
            <w:r>
              <w:rPr>
                <w:noProof/>
              </w:rPr>
              <w:t>Kamień milowy/wartość docelowa</w:t>
            </w:r>
          </w:p>
        </w:tc>
        <w:tc>
          <w:tcPr>
            <w:tcW w:w="1802" w:type="dxa"/>
            <w:vMerge w:val="restart"/>
            <w:shd w:val="clear" w:color="auto" w:fill="BDD7EE"/>
            <w:vAlign w:val="center"/>
            <w:hideMark/>
          </w:tcPr>
          <w:p w14:paraId="1954FF1E" w14:textId="77777777" w:rsidR="004C6421" w:rsidRDefault="009D1962">
            <w:pPr>
              <w:pStyle w:val="P68B1DB1-Normal25"/>
              <w:jc w:val="center"/>
              <w:rPr>
                <w:noProof/>
              </w:rPr>
            </w:pPr>
            <w:r>
              <w:rPr>
                <w:noProof/>
              </w:rPr>
              <w:t>Nazwa</w:t>
            </w:r>
          </w:p>
        </w:tc>
        <w:tc>
          <w:tcPr>
            <w:tcW w:w="1670" w:type="dxa"/>
            <w:vMerge w:val="restart"/>
            <w:shd w:val="clear" w:color="auto" w:fill="BDD7EE"/>
            <w:vAlign w:val="center"/>
            <w:hideMark/>
          </w:tcPr>
          <w:p w14:paraId="6CCBE183" w14:textId="77777777" w:rsidR="004C6421" w:rsidRDefault="009D1962">
            <w:pPr>
              <w:jc w:val="center"/>
              <w:rPr>
                <w:rFonts w:ascii="Arial Narrow" w:hAnsi="Arial Narrow"/>
                <w:b/>
                <w:noProof/>
                <w:color w:val="000000"/>
                <w:sz w:val="20"/>
              </w:rPr>
            </w:pPr>
            <w:r>
              <w:rPr>
                <w:rFonts w:ascii="Arial Narrow" w:hAnsi="Arial Narrow"/>
                <w:b/>
                <w:noProof/>
                <w:color w:val="000000"/>
                <w:sz w:val="20"/>
              </w:rPr>
              <w:t xml:space="preserve">Wskaźniki jakościowe </w:t>
            </w:r>
            <w:r>
              <w:rPr>
                <w:rFonts w:ascii="Arial Narrow" w:hAnsi="Arial Narrow"/>
                <w:noProof/>
                <w:sz w:val="20"/>
              </w:rPr>
              <w:t xml:space="preserve"> </w:t>
            </w:r>
            <w:r>
              <w:rPr>
                <w:noProof/>
              </w:rPr>
              <w:t xml:space="preserve">  </w:t>
            </w:r>
            <w:r>
              <w:rPr>
                <w:noProof/>
              </w:rPr>
              <w:br/>
            </w:r>
            <w:r>
              <w:rPr>
                <w:rFonts w:ascii="Arial Narrow" w:hAnsi="Arial Narrow"/>
                <w:b/>
                <w:noProof/>
                <w:color w:val="000000"/>
                <w:sz w:val="20"/>
              </w:rPr>
              <w:t>(dla kamieni milowych)</w:t>
            </w:r>
          </w:p>
        </w:tc>
        <w:tc>
          <w:tcPr>
            <w:tcW w:w="3225" w:type="dxa"/>
            <w:gridSpan w:val="3"/>
            <w:shd w:val="clear" w:color="auto" w:fill="BDD7EE"/>
            <w:vAlign w:val="center"/>
            <w:hideMark/>
          </w:tcPr>
          <w:p w14:paraId="64974098" w14:textId="77777777" w:rsidR="004C6421" w:rsidRDefault="009D1962">
            <w:pPr>
              <w:jc w:val="center"/>
              <w:rPr>
                <w:rFonts w:ascii="Arial Narrow" w:hAnsi="Arial Narrow"/>
                <w:b/>
                <w:noProof/>
                <w:color w:val="000000"/>
                <w:sz w:val="20"/>
              </w:rPr>
            </w:pPr>
            <w:r>
              <w:rPr>
                <w:rFonts w:ascii="Arial Narrow" w:hAnsi="Arial Narrow"/>
                <w:b/>
                <w:noProof/>
                <w:color w:val="000000"/>
                <w:sz w:val="20"/>
              </w:rPr>
              <w:t xml:space="preserve">Wskaźniki ilościowe </w:t>
            </w:r>
            <w:r>
              <w:rPr>
                <w:rFonts w:ascii="Arial Narrow" w:hAnsi="Arial Narrow"/>
                <w:noProof/>
                <w:sz w:val="20"/>
              </w:rPr>
              <w:t xml:space="preserve"> </w:t>
            </w:r>
            <w:r>
              <w:rPr>
                <w:noProof/>
              </w:rPr>
              <w:t xml:space="preserve">  </w:t>
            </w:r>
            <w:r>
              <w:rPr>
                <w:noProof/>
              </w:rPr>
              <w:br/>
            </w:r>
            <w:r>
              <w:rPr>
                <w:rFonts w:ascii="Arial Narrow" w:hAnsi="Arial Narrow"/>
                <w:b/>
                <w:noProof/>
                <w:color w:val="000000"/>
                <w:sz w:val="20"/>
              </w:rPr>
              <w:t>(dla wartości docelowych)</w:t>
            </w:r>
          </w:p>
        </w:tc>
        <w:tc>
          <w:tcPr>
            <w:tcW w:w="1668" w:type="dxa"/>
            <w:gridSpan w:val="2"/>
            <w:shd w:val="clear" w:color="auto" w:fill="BDD7EE"/>
            <w:vAlign w:val="center"/>
            <w:hideMark/>
          </w:tcPr>
          <w:p w14:paraId="1995F78A" w14:textId="77777777" w:rsidR="004C6421" w:rsidRDefault="009D1962">
            <w:pPr>
              <w:pStyle w:val="P68B1DB1-Normal25"/>
              <w:jc w:val="center"/>
              <w:rPr>
                <w:noProof/>
              </w:rPr>
            </w:pPr>
            <w:r>
              <w:rPr>
                <w:noProof/>
              </w:rPr>
              <w:t>Orientacyjny harmonogram zakończenia działania</w:t>
            </w:r>
          </w:p>
        </w:tc>
        <w:tc>
          <w:tcPr>
            <w:tcW w:w="2982" w:type="dxa"/>
            <w:vMerge w:val="restart"/>
            <w:shd w:val="clear" w:color="auto" w:fill="BDD7EE"/>
            <w:vAlign w:val="center"/>
            <w:hideMark/>
          </w:tcPr>
          <w:p w14:paraId="29462753" w14:textId="77777777" w:rsidR="004C6421" w:rsidRDefault="009D1962">
            <w:pPr>
              <w:pStyle w:val="P68B1DB1-Normal25"/>
              <w:jc w:val="center"/>
              <w:rPr>
                <w:noProof/>
              </w:rPr>
            </w:pPr>
            <w:r>
              <w:rPr>
                <w:noProof/>
              </w:rPr>
              <w:t>Opis każdego kamienia milowego i każdej wartości docelowej</w:t>
            </w:r>
          </w:p>
        </w:tc>
      </w:tr>
      <w:tr w:rsidR="004C6421" w14:paraId="7B40C487" w14:textId="77777777">
        <w:trPr>
          <w:trHeight w:val="701"/>
          <w:jc w:val="center"/>
        </w:trPr>
        <w:tc>
          <w:tcPr>
            <w:tcW w:w="1254" w:type="dxa"/>
            <w:vMerge/>
            <w:vAlign w:val="center"/>
          </w:tcPr>
          <w:p w14:paraId="7EB955B8" w14:textId="77777777" w:rsidR="004C6421" w:rsidRDefault="004C6421">
            <w:pPr>
              <w:rPr>
                <w:rFonts w:ascii="Arial Narrow" w:hAnsi="Arial Narrow"/>
                <w:b/>
                <w:noProof/>
                <w:color w:val="000000"/>
                <w:sz w:val="20"/>
              </w:rPr>
            </w:pPr>
          </w:p>
        </w:tc>
        <w:tc>
          <w:tcPr>
            <w:tcW w:w="1530" w:type="dxa"/>
            <w:vMerge/>
            <w:vAlign w:val="center"/>
          </w:tcPr>
          <w:p w14:paraId="271A77A5" w14:textId="77777777" w:rsidR="004C6421" w:rsidRDefault="004C6421">
            <w:pPr>
              <w:rPr>
                <w:rFonts w:ascii="Arial Narrow" w:hAnsi="Arial Narrow"/>
                <w:b/>
                <w:noProof/>
                <w:color w:val="000000"/>
                <w:sz w:val="20"/>
              </w:rPr>
            </w:pPr>
          </w:p>
        </w:tc>
        <w:tc>
          <w:tcPr>
            <w:tcW w:w="1179" w:type="dxa"/>
            <w:vMerge/>
            <w:vAlign w:val="center"/>
          </w:tcPr>
          <w:p w14:paraId="3D6CBBE6" w14:textId="77777777" w:rsidR="004C6421" w:rsidRDefault="004C6421">
            <w:pPr>
              <w:rPr>
                <w:rFonts w:ascii="Arial Narrow" w:hAnsi="Arial Narrow"/>
                <w:b/>
                <w:noProof/>
                <w:color w:val="000000"/>
                <w:sz w:val="20"/>
              </w:rPr>
            </w:pPr>
          </w:p>
        </w:tc>
        <w:tc>
          <w:tcPr>
            <w:tcW w:w="1802" w:type="dxa"/>
            <w:vMerge/>
            <w:vAlign w:val="center"/>
          </w:tcPr>
          <w:p w14:paraId="0F7140EC" w14:textId="77777777" w:rsidR="004C6421" w:rsidRDefault="004C6421">
            <w:pPr>
              <w:rPr>
                <w:rFonts w:ascii="Arial Narrow" w:hAnsi="Arial Narrow"/>
                <w:b/>
                <w:noProof/>
                <w:color w:val="000000"/>
                <w:sz w:val="20"/>
              </w:rPr>
            </w:pPr>
          </w:p>
        </w:tc>
        <w:tc>
          <w:tcPr>
            <w:tcW w:w="1670" w:type="dxa"/>
            <w:vMerge/>
            <w:vAlign w:val="center"/>
          </w:tcPr>
          <w:p w14:paraId="06D45376" w14:textId="77777777" w:rsidR="004C6421" w:rsidRDefault="004C6421">
            <w:pPr>
              <w:jc w:val="center"/>
              <w:rPr>
                <w:rFonts w:ascii="Arial Narrow" w:hAnsi="Arial Narrow"/>
                <w:b/>
                <w:noProof/>
                <w:color w:val="000000"/>
                <w:sz w:val="20"/>
              </w:rPr>
            </w:pPr>
          </w:p>
        </w:tc>
        <w:tc>
          <w:tcPr>
            <w:tcW w:w="1037" w:type="dxa"/>
            <w:shd w:val="clear" w:color="auto" w:fill="BDD7EE"/>
            <w:vAlign w:val="center"/>
          </w:tcPr>
          <w:p w14:paraId="1A929269" w14:textId="77777777" w:rsidR="004C6421" w:rsidRDefault="009D1962">
            <w:pPr>
              <w:pStyle w:val="P68B1DB1-Normal25"/>
              <w:jc w:val="center"/>
              <w:rPr>
                <w:noProof/>
              </w:rPr>
            </w:pPr>
            <w:r>
              <w:rPr>
                <w:noProof/>
              </w:rPr>
              <w:t>Jednostka miary</w:t>
            </w:r>
          </w:p>
        </w:tc>
        <w:tc>
          <w:tcPr>
            <w:tcW w:w="999" w:type="dxa"/>
            <w:shd w:val="clear" w:color="auto" w:fill="BDD7EE"/>
            <w:vAlign w:val="center"/>
          </w:tcPr>
          <w:p w14:paraId="040796FF" w14:textId="77777777" w:rsidR="004C6421" w:rsidRDefault="009D1962">
            <w:pPr>
              <w:pStyle w:val="P68B1DB1-Normal25"/>
              <w:jc w:val="center"/>
              <w:rPr>
                <w:noProof/>
              </w:rPr>
            </w:pPr>
            <w:r>
              <w:rPr>
                <w:noProof/>
              </w:rPr>
              <w:t>Bazowy</w:t>
            </w:r>
          </w:p>
        </w:tc>
        <w:tc>
          <w:tcPr>
            <w:tcW w:w="1189" w:type="dxa"/>
            <w:shd w:val="clear" w:color="auto" w:fill="BDD7EE"/>
            <w:vAlign w:val="center"/>
          </w:tcPr>
          <w:p w14:paraId="323867BD" w14:textId="77777777" w:rsidR="004C6421" w:rsidRDefault="009D1962">
            <w:pPr>
              <w:pStyle w:val="P68B1DB1-Normal25"/>
              <w:jc w:val="center"/>
              <w:rPr>
                <w:noProof/>
              </w:rPr>
            </w:pPr>
            <w:r>
              <w:rPr>
                <w:noProof/>
              </w:rPr>
              <w:t>Cel</w:t>
            </w:r>
          </w:p>
        </w:tc>
        <w:tc>
          <w:tcPr>
            <w:tcW w:w="979" w:type="dxa"/>
            <w:shd w:val="clear" w:color="auto" w:fill="BDD7EE"/>
            <w:vAlign w:val="center"/>
          </w:tcPr>
          <w:p w14:paraId="38F092DB" w14:textId="77777777" w:rsidR="004C6421" w:rsidRDefault="009D1962">
            <w:pPr>
              <w:pStyle w:val="P68B1DB1-Normal25"/>
              <w:jc w:val="center"/>
              <w:rPr>
                <w:noProof/>
              </w:rPr>
            </w:pPr>
            <w:r>
              <w:rPr>
                <w:noProof/>
              </w:rPr>
              <w:t>Kwartał</w:t>
            </w:r>
          </w:p>
        </w:tc>
        <w:tc>
          <w:tcPr>
            <w:tcW w:w="689" w:type="dxa"/>
            <w:shd w:val="clear" w:color="auto" w:fill="BDD7EE"/>
            <w:vAlign w:val="center"/>
          </w:tcPr>
          <w:p w14:paraId="003EA332" w14:textId="77777777" w:rsidR="004C6421" w:rsidRDefault="009D1962">
            <w:pPr>
              <w:pStyle w:val="P68B1DB1-Normal25"/>
              <w:jc w:val="center"/>
              <w:rPr>
                <w:noProof/>
              </w:rPr>
            </w:pPr>
            <w:r>
              <w:rPr>
                <w:noProof/>
              </w:rPr>
              <w:t>Rok</w:t>
            </w:r>
          </w:p>
        </w:tc>
        <w:tc>
          <w:tcPr>
            <w:tcW w:w="2982" w:type="dxa"/>
            <w:vMerge/>
            <w:vAlign w:val="center"/>
          </w:tcPr>
          <w:p w14:paraId="7E075B26" w14:textId="77777777" w:rsidR="004C6421" w:rsidRDefault="004C6421">
            <w:pPr>
              <w:rPr>
                <w:rFonts w:ascii="Arial Narrow" w:hAnsi="Arial Narrow"/>
                <w:b/>
                <w:noProof/>
                <w:color w:val="000000"/>
                <w:sz w:val="20"/>
              </w:rPr>
            </w:pPr>
          </w:p>
        </w:tc>
      </w:tr>
      <w:tr w:rsidR="004C6421" w14:paraId="7A8048E3" w14:textId="77777777">
        <w:trPr>
          <w:trHeight w:val="1965"/>
          <w:jc w:val="center"/>
        </w:trPr>
        <w:tc>
          <w:tcPr>
            <w:tcW w:w="1254" w:type="dxa"/>
            <w:shd w:val="clear" w:color="auto" w:fill="C6EFCE"/>
            <w:vAlign w:val="center"/>
            <w:hideMark/>
          </w:tcPr>
          <w:p w14:paraId="7EC063B4" w14:textId="77777777" w:rsidR="004C6421" w:rsidRDefault="009D1962">
            <w:pPr>
              <w:pStyle w:val="P68B1DB1-Normal4"/>
              <w:jc w:val="center"/>
              <w:rPr>
                <w:noProof/>
              </w:rPr>
            </w:pPr>
            <w:r>
              <w:rPr>
                <w:noProof/>
              </w:rPr>
              <w:t>M5C1-17</w:t>
            </w:r>
          </w:p>
        </w:tc>
        <w:tc>
          <w:tcPr>
            <w:tcW w:w="1530" w:type="dxa"/>
            <w:shd w:val="clear" w:color="auto" w:fill="C6EFCE"/>
            <w:vAlign w:val="center"/>
            <w:hideMark/>
          </w:tcPr>
          <w:p w14:paraId="35BDE98D" w14:textId="77777777" w:rsidR="004C6421" w:rsidRDefault="009D1962">
            <w:pPr>
              <w:pStyle w:val="P68B1DB1-Normal4"/>
              <w:jc w:val="center"/>
              <w:rPr>
                <w:noProof/>
              </w:rPr>
            </w:pPr>
            <w:r>
              <w:rPr>
                <w:noProof/>
              </w:rPr>
              <w:t>Inwestycje 5 – Tworzenie przedsiębiorstw kobiecych</w:t>
            </w:r>
          </w:p>
        </w:tc>
        <w:tc>
          <w:tcPr>
            <w:tcW w:w="1179" w:type="dxa"/>
            <w:shd w:val="clear" w:color="auto" w:fill="C6EFCE"/>
            <w:vAlign w:val="center"/>
            <w:hideMark/>
          </w:tcPr>
          <w:p w14:paraId="51B5951F" w14:textId="14616CF7" w:rsidR="004C6421" w:rsidRDefault="00CC179E">
            <w:pPr>
              <w:pStyle w:val="P68B1DB1-Normal4"/>
              <w:jc w:val="center"/>
              <w:rPr>
                <w:noProof/>
              </w:rPr>
            </w:pPr>
            <w:r>
              <w:rPr>
                <w:noProof/>
              </w:rPr>
              <w:t>Milowy</w:t>
            </w:r>
          </w:p>
        </w:tc>
        <w:tc>
          <w:tcPr>
            <w:tcW w:w="1802" w:type="dxa"/>
            <w:shd w:val="clear" w:color="auto" w:fill="C6EFCE"/>
            <w:vAlign w:val="center"/>
            <w:hideMark/>
          </w:tcPr>
          <w:p w14:paraId="3E26AA5E" w14:textId="77777777" w:rsidR="004C6421" w:rsidRDefault="009D1962">
            <w:pPr>
              <w:pStyle w:val="P68B1DB1-Normal4"/>
              <w:jc w:val="center"/>
              <w:rPr>
                <w:noProof/>
              </w:rPr>
            </w:pPr>
            <w:r>
              <w:rPr>
                <w:noProof/>
              </w:rPr>
              <w:t>Przyjęcie funduszu wspierającego przedsiębiorczość kobiet</w:t>
            </w:r>
          </w:p>
        </w:tc>
        <w:tc>
          <w:tcPr>
            <w:tcW w:w="1670" w:type="dxa"/>
            <w:shd w:val="clear" w:color="auto" w:fill="C6EFCE"/>
            <w:vAlign w:val="center"/>
            <w:hideMark/>
          </w:tcPr>
          <w:p w14:paraId="6C62A566" w14:textId="77777777" w:rsidR="004C6421" w:rsidRDefault="009D1962">
            <w:pPr>
              <w:pStyle w:val="P68B1DB1-Normal4"/>
              <w:jc w:val="center"/>
              <w:rPr>
                <w:noProof/>
              </w:rPr>
            </w:pPr>
            <w:r>
              <w:rPr>
                <w:noProof/>
              </w:rPr>
              <w:t>Zatwierdza się dekret ministerialny w sprawie ustanowienia „Fondo Impresa Donna”.</w:t>
            </w:r>
          </w:p>
        </w:tc>
        <w:tc>
          <w:tcPr>
            <w:tcW w:w="1037" w:type="dxa"/>
            <w:shd w:val="clear" w:color="auto" w:fill="C6EFCE"/>
            <w:vAlign w:val="center"/>
            <w:hideMark/>
          </w:tcPr>
          <w:p w14:paraId="1F701E50" w14:textId="77777777" w:rsidR="004C6421" w:rsidRDefault="009D1962">
            <w:pPr>
              <w:pStyle w:val="P68B1DB1-Normal4"/>
              <w:jc w:val="center"/>
              <w:rPr>
                <w:noProof/>
              </w:rPr>
            </w:pPr>
            <w:r>
              <w:rPr>
                <w:noProof/>
              </w:rPr>
              <w:t>NIE DOT.</w:t>
            </w:r>
          </w:p>
        </w:tc>
        <w:tc>
          <w:tcPr>
            <w:tcW w:w="999" w:type="dxa"/>
            <w:shd w:val="clear" w:color="auto" w:fill="C6EFCE"/>
            <w:vAlign w:val="center"/>
            <w:hideMark/>
          </w:tcPr>
          <w:p w14:paraId="2B47980A" w14:textId="77777777" w:rsidR="004C6421" w:rsidRDefault="009D1962">
            <w:pPr>
              <w:pStyle w:val="P68B1DB1-Normal4"/>
              <w:jc w:val="center"/>
              <w:rPr>
                <w:noProof/>
              </w:rPr>
            </w:pPr>
            <w:r>
              <w:rPr>
                <w:noProof/>
              </w:rPr>
              <w:t>NIE DOT.</w:t>
            </w:r>
          </w:p>
        </w:tc>
        <w:tc>
          <w:tcPr>
            <w:tcW w:w="1189" w:type="dxa"/>
            <w:shd w:val="clear" w:color="auto" w:fill="C6EFCE"/>
            <w:vAlign w:val="center"/>
            <w:hideMark/>
          </w:tcPr>
          <w:p w14:paraId="74A07B37" w14:textId="77777777" w:rsidR="004C6421" w:rsidRDefault="009D1962">
            <w:pPr>
              <w:pStyle w:val="P68B1DB1-Normal4"/>
              <w:jc w:val="center"/>
              <w:rPr>
                <w:noProof/>
              </w:rPr>
            </w:pPr>
            <w:r>
              <w:rPr>
                <w:noProof/>
              </w:rPr>
              <w:t>NIE DOT.</w:t>
            </w:r>
          </w:p>
        </w:tc>
        <w:tc>
          <w:tcPr>
            <w:tcW w:w="979" w:type="dxa"/>
            <w:shd w:val="clear" w:color="auto" w:fill="C6EFCE"/>
            <w:vAlign w:val="center"/>
            <w:hideMark/>
          </w:tcPr>
          <w:p w14:paraId="4BA3E70A" w14:textId="77777777" w:rsidR="004C6421" w:rsidRDefault="009D1962">
            <w:pPr>
              <w:pStyle w:val="P68B1DB1-Normal4"/>
              <w:jc w:val="center"/>
              <w:rPr>
                <w:noProof/>
              </w:rPr>
            </w:pPr>
            <w:r>
              <w:rPr>
                <w:noProof/>
              </w:rPr>
              <w:t>III KW.</w:t>
            </w:r>
          </w:p>
        </w:tc>
        <w:tc>
          <w:tcPr>
            <w:tcW w:w="689" w:type="dxa"/>
            <w:shd w:val="clear" w:color="auto" w:fill="C6EFCE"/>
            <w:vAlign w:val="center"/>
            <w:hideMark/>
          </w:tcPr>
          <w:p w14:paraId="69E3406C" w14:textId="77777777" w:rsidR="004C6421" w:rsidRDefault="009D1962">
            <w:pPr>
              <w:pStyle w:val="P68B1DB1-Normal4"/>
              <w:jc w:val="center"/>
              <w:rPr>
                <w:noProof/>
              </w:rPr>
            </w:pPr>
            <w:r>
              <w:rPr>
                <w:noProof/>
              </w:rPr>
              <w:t>2021</w:t>
            </w:r>
          </w:p>
        </w:tc>
        <w:tc>
          <w:tcPr>
            <w:tcW w:w="2982" w:type="dxa"/>
            <w:shd w:val="clear" w:color="auto" w:fill="C6EFCE"/>
            <w:vAlign w:val="center"/>
            <w:hideMark/>
          </w:tcPr>
          <w:p w14:paraId="4E2B6E9D" w14:textId="77777777" w:rsidR="004C6421" w:rsidRDefault="009D1962">
            <w:pPr>
              <w:pStyle w:val="P68B1DB1-Normal4"/>
              <w:rPr>
                <w:noProof/>
              </w:rPr>
            </w:pPr>
            <w:r>
              <w:rPr>
                <w:noProof/>
              </w:rPr>
              <w:t>Fundusz na rzecz wspierania przedsiębiorczości kobiet jest przyjmowany dekretem ministerialnym, w którym ustanawia się zestaw kryteriów kwalifikowalności zgodnie z celami RRF, w tym zasadę „nie czyń poważnych szkód” oraz podpisanie umowy o finansowaniu i umów operacyjnych z pośrednikami finansowymi.</w:t>
            </w:r>
          </w:p>
          <w:p w14:paraId="733F4EC7" w14:textId="77777777" w:rsidR="004C6421" w:rsidRDefault="004C6421">
            <w:pPr>
              <w:rPr>
                <w:rFonts w:ascii="Arial Narrow" w:hAnsi="Arial Narrow"/>
                <w:noProof/>
                <w:color w:val="006100"/>
                <w:sz w:val="20"/>
              </w:rPr>
            </w:pPr>
          </w:p>
          <w:p w14:paraId="5EBE2F03" w14:textId="77777777" w:rsidR="004C6421" w:rsidRDefault="009D1962">
            <w:pPr>
              <w:pStyle w:val="P68B1DB1-Normal4"/>
              <w:rPr>
                <w:noProof/>
              </w:rPr>
            </w:pPr>
            <w:r>
              <w:rPr>
                <w:noProof/>
              </w:rPr>
              <w:t>Fundusze te stanowią „Fondo Impresa Donna”, który wdraża szczególny środek mający na celu wspieranie przedsiębiorczości kobiet. Środki wykonawcze są uprzednio uzgadniane przez Ministerstwo Rozwoju Gospodarczego i Departament ds. Równych Szans PCM, mające na celu:</w:t>
            </w:r>
          </w:p>
          <w:p w14:paraId="411E76B5" w14:textId="77777777" w:rsidR="004C6421" w:rsidRDefault="009D1962">
            <w:pPr>
              <w:pStyle w:val="P68B1DB1-Normal4"/>
              <w:rPr>
                <w:noProof/>
              </w:rPr>
            </w:pPr>
            <w:r>
              <w:rPr>
                <w:noProof/>
              </w:rPr>
              <w:t>— wzmocnienie istniejących środków zarządzanych już przez organy wewnętrzne Ministerstwa Rozwoju Gospodarczego (takie jak NITO-ON, Smart &amp; Start) poprzez zastrzyk kapitałowy, który będzie zarezerwowany wyłącznie dla przedsiębiorstw kobiecych;</w:t>
            </w:r>
          </w:p>
          <w:p w14:paraId="48BCD7D1" w14:textId="77777777" w:rsidR="004C6421" w:rsidRDefault="009D1962">
            <w:pPr>
              <w:pStyle w:val="P68B1DB1-Normal4"/>
              <w:rPr>
                <w:noProof/>
              </w:rPr>
            </w:pPr>
            <w:r>
              <w:rPr>
                <w:noProof/>
              </w:rPr>
              <w:t>— zapewnienie dodatkowego finansowania funduszu na rzecz przedsiębiorczości kobiet ustanowionego ustawą budżetową na 2021 r. (od III kwartału 2022 r.);</w:t>
            </w:r>
          </w:p>
          <w:p w14:paraId="0FB05382" w14:textId="77777777" w:rsidR="004C6421" w:rsidRDefault="009D1962">
            <w:pPr>
              <w:pStyle w:val="P68B1DB1-Normal4"/>
              <w:rPr>
                <w:noProof/>
              </w:rPr>
            </w:pPr>
            <w:r>
              <w:rPr>
                <w:noProof/>
              </w:rPr>
              <w:t>— opracowanie środków towarzyszących, monitorowanie i kampanie komunikacyjne. Departament ds. Równości Szans PCM realizuje wieloletnią kampanię informacyjną na rzecz promowania przedsiębiorczości kobiet, poradnictwa zawodowego dla kobiet w każdym wieku i studentek na uniwersytetach w zakresie przedmiotów i zawodów, w których kobiety są niedostatecznie reprezentowane, oraz utworzenia platformy komunikacyjnej.</w:t>
            </w:r>
          </w:p>
        </w:tc>
      </w:tr>
      <w:tr w:rsidR="004C6421" w14:paraId="7BB4D6AA" w14:textId="77777777">
        <w:trPr>
          <w:trHeight w:val="845"/>
          <w:jc w:val="center"/>
        </w:trPr>
        <w:tc>
          <w:tcPr>
            <w:tcW w:w="1254" w:type="dxa"/>
            <w:shd w:val="clear" w:color="auto" w:fill="C6EFCE"/>
            <w:vAlign w:val="center"/>
            <w:hideMark/>
          </w:tcPr>
          <w:p w14:paraId="2679222E" w14:textId="77777777" w:rsidR="004C6421" w:rsidRDefault="009D1962">
            <w:pPr>
              <w:pStyle w:val="P68B1DB1-Normal4"/>
              <w:jc w:val="center"/>
              <w:rPr>
                <w:noProof/>
              </w:rPr>
            </w:pPr>
            <w:r>
              <w:rPr>
                <w:noProof/>
              </w:rPr>
              <w:t>„M5C1-18</w:t>
            </w:r>
          </w:p>
        </w:tc>
        <w:tc>
          <w:tcPr>
            <w:tcW w:w="1530" w:type="dxa"/>
            <w:shd w:val="clear" w:color="auto" w:fill="C6EFCE"/>
            <w:vAlign w:val="center"/>
            <w:hideMark/>
          </w:tcPr>
          <w:p w14:paraId="1020FFFA" w14:textId="77777777" w:rsidR="004C6421" w:rsidRDefault="009D1962">
            <w:pPr>
              <w:pStyle w:val="P68B1DB1-Normal4"/>
              <w:jc w:val="center"/>
              <w:rPr>
                <w:noProof/>
              </w:rPr>
            </w:pPr>
            <w:r>
              <w:rPr>
                <w:noProof/>
              </w:rPr>
              <w:t>Inwestycje 5 – Tworzenie przedsiębiorstw kobiecych</w:t>
            </w:r>
          </w:p>
        </w:tc>
        <w:tc>
          <w:tcPr>
            <w:tcW w:w="1179" w:type="dxa"/>
            <w:shd w:val="clear" w:color="auto" w:fill="C6EFCE"/>
            <w:vAlign w:val="center"/>
            <w:hideMark/>
          </w:tcPr>
          <w:p w14:paraId="5D08D550" w14:textId="77777777" w:rsidR="004C6421" w:rsidRDefault="009D1962">
            <w:pPr>
              <w:pStyle w:val="P68B1DB1-Normal4"/>
              <w:jc w:val="center"/>
              <w:rPr>
                <w:noProof/>
              </w:rPr>
            </w:pPr>
            <w:r>
              <w:rPr>
                <w:noProof/>
              </w:rPr>
              <w:t>Cel</w:t>
            </w:r>
          </w:p>
        </w:tc>
        <w:tc>
          <w:tcPr>
            <w:tcW w:w="1802" w:type="dxa"/>
            <w:shd w:val="clear" w:color="auto" w:fill="C6EFCE"/>
            <w:vAlign w:val="center"/>
            <w:hideMark/>
          </w:tcPr>
          <w:p w14:paraId="36EC4072" w14:textId="77777777" w:rsidR="004C6421" w:rsidRDefault="009D1962">
            <w:pPr>
              <w:pStyle w:val="P68B1DB1-Normal4"/>
              <w:jc w:val="center"/>
              <w:rPr>
                <w:noProof/>
              </w:rPr>
            </w:pPr>
            <w:r>
              <w:rPr>
                <w:noProof/>
              </w:rPr>
              <w:t xml:space="preserve"> Przedsiębiorstwom przyznano wsparcie finansowe </w:t>
            </w:r>
          </w:p>
        </w:tc>
        <w:tc>
          <w:tcPr>
            <w:tcW w:w="1670" w:type="dxa"/>
            <w:shd w:val="clear" w:color="auto" w:fill="C6EFCE"/>
            <w:vAlign w:val="center"/>
            <w:hideMark/>
          </w:tcPr>
          <w:p w14:paraId="20711BD9" w14:textId="77777777" w:rsidR="004C6421" w:rsidRDefault="009D1962">
            <w:pPr>
              <w:pStyle w:val="P68B1DB1-Normal4"/>
              <w:jc w:val="center"/>
              <w:rPr>
                <w:noProof/>
              </w:rPr>
            </w:pPr>
            <w:r>
              <w:rPr>
                <w:noProof/>
              </w:rPr>
              <w:t>NIE DOT.</w:t>
            </w:r>
          </w:p>
        </w:tc>
        <w:tc>
          <w:tcPr>
            <w:tcW w:w="1037" w:type="dxa"/>
            <w:shd w:val="clear" w:color="auto" w:fill="C6EFCE"/>
            <w:vAlign w:val="center"/>
            <w:hideMark/>
          </w:tcPr>
          <w:p w14:paraId="2E4623C8" w14:textId="77777777" w:rsidR="004C6421" w:rsidRDefault="009D1962">
            <w:pPr>
              <w:pStyle w:val="P68B1DB1-Normal4"/>
              <w:jc w:val="center"/>
              <w:rPr>
                <w:noProof/>
              </w:rPr>
            </w:pPr>
            <w:r>
              <w:rPr>
                <w:noProof/>
              </w:rPr>
              <w:t>Numer</w:t>
            </w:r>
          </w:p>
        </w:tc>
        <w:tc>
          <w:tcPr>
            <w:tcW w:w="999" w:type="dxa"/>
            <w:shd w:val="clear" w:color="auto" w:fill="C6EFCE"/>
            <w:vAlign w:val="center"/>
            <w:hideMark/>
          </w:tcPr>
          <w:p w14:paraId="53D7823A" w14:textId="77777777" w:rsidR="004C6421" w:rsidRDefault="009D1962">
            <w:pPr>
              <w:pStyle w:val="P68B1DB1-Normal4"/>
              <w:jc w:val="center"/>
              <w:rPr>
                <w:noProof/>
              </w:rPr>
            </w:pPr>
            <w:r>
              <w:rPr>
                <w:noProof/>
              </w:rPr>
              <w:t>0</w:t>
            </w:r>
          </w:p>
        </w:tc>
        <w:tc>
          <w:tcPr>
            <w:tcW w:w="1189" w:type="dxa"/>
            <w:shd w:val="clear" w:color="auto" w:fill="C6EFCE"/>
            <w:vAlign w:val="center"/>
            <w:hideMark/>
          </w:tcPr>
          <w:p w14:paraId="0DABCB5B" w14:textId="77777777" w:rsidR="004C6421" w:rsidRDefault="009D1962">
            <w:pPr>
              <w:pStyle w:val="P68B1DB1-Normal4"/>
              <w:jc w:val="center"/>
              <w:rPr>
                <w:noProof/>
              </w:rPr>
            </w:pPr>
            <w:r>
              <w:rPr>
                <w:noProof/>
              </w:rPr>
              <w:t>700</w:t>
            </w:r>
          </w:p>
        </w:tc>
        <w:tc>
          <w:tcPr>
            <w:tcW w:w="979" w:type="dxa"/>
            <w:shd w:val="clear" w:color="auto" w:fill="C6EFCE"/>
            <w:vAlign w:val="center"/>
            <w:hideMark/>
          </w:tcPr>
          <w:p w14:paraId="12A52533" w14:textId="77777777" w:rsidR="004C6421" w:rsidRDefault="009D1962">
            <w:pPr>
              <w:pStyle w:val="P68B1DB1-Normal4"/>
              <w:jc w:val="center"/>
              <w:rPr>
                <w:noProof/>
              </w:rPr>
            </w:pPr>
            <w:r>
              <w:rPr>
                <w:noProof/>
              </w:rPr>
              <w:t>II KW.</w:t>
            </w:r>
          </w:p>
        </w:tc>
        <w:tc>
          <w:tcPr>
            <w:tcW w:w="689" w:type="dxa"/>
            <w:shd w:val="clear" w:color="auto" w:fill="C6EFCE"/>
            <w:vAlign w:val="center"/>
            <w:hideMark/>
          </w:tcPr>
          <w:p w14:paraId="6490BF69" w14:textId="77777777" w:rsidR="004C6421" w:rsidRDefault="009D1962">
            <w:pPr>
              <w:pStyle w:val="P68B1DB1-Normal4"/>
              <w:jc w:val="center"/>
              <w:rPr>
                <w:noProof/>
              </w:rPr>
            </w:pPr>
            <w:r>
              <w:rPr>
                <w:noProof/>
              </w:rPr>
              <w:t>2023</w:t>
            </w:r>
          </w:p>
        </w:tc>
        <w:tc>
          <w:tcPr>
            <w:tcW w:w="2982" w:type="dxa"/>
            <w:shd w:val="clear" w:color="auto" w:fill="C6EFCE"/>
            <w:vAlign w:val="center"/>
            <w:hideMark/>
          </w:tcPr>
          <w:p w14:paraId="200C0D97" w14:textId="77777777" w:rsidR="004C6421" w:rsidRDefault="009D1962">
            <w:pPr>
              <w:pStyle w:val="P68B1DB1-Normal4"/>
              <w:rPr>
                <w:noProof/>
              </w:rPr>
            </w:pPr>
            <w:r>
              <w:rPr>
                <w:noProof/>
              </w:rPr>
              <w:t xml:space="preserve">Zaciągnięto zobowiązania dotyczące udzielenia wsparcia finansowego co najmniej 700 dodatkowym przedsiębiorstwom w porównaniu z poziomem bazowym. </w:t>
            </w:r>
          </w:p>
          <w:p w14:paraId="097229A8" w14:textId="77777777" w:rsidR="004C6421" w:rsidRDefault="009D1962">
            <w:pPr>
              <w:pStyle w:val="P68B1DB1-Normal4"/>
              <w:rPr>
                <w:noProof/>
              </w:rPr>
            </w:pPr>
            <w:r>
              <w:rPr>
                <w:noProof/>
              </w:rPr>
              <w:t>Wspieranie przedsiębiorczości kobiet odbywa się za pomocą już aktywnych instrumentów (NITO-ON, Smart &amp; Start) oraz nowego funduszu ustanowionego ustawą budżetową na 2021 r. (przedsiębiorstwa kobiet wspierane do listopada 2020 r. przez istniejące instrumenty finansowe jako punkt odniesienia).</w:t>
            </w:r>
          </w:p>
        </w:tc>
      </w:tr>
      <w:tr w:rsidR="004C6421" w14:paraId="4A3A098F" w14:textId="77777777">
        <w:trPr>
          <w:trHeight w:val="703"/>
          <w:jc w:val="center"/>
        </w:trPr>
        <w:tc>
          <w:tcPr>
            <w:tcW w:w="1254" w:type="dxa"/>
            <w:shd w:val="clear" w:color="auto" w:fill="C6EFCE"/>
            <w:vAlign w:val="center"/>
            <w:hideMark/>
          </w:tcPr>
          <w:p w14:paraId="639C2048" w14:textId="77777777" w:rsidR="004C6421" w:rsidRDefault="009D1962">
            <w:pPr>
              <w:pStyle w:val="P68B1DB1-Normal4"/>
              <w:jc w:val="center"/>
              <w:rPr>
                <w:noProof/>
              </w:rPr>
            </w:pPr>
            <w:r>
              <w:rPr>
                <w:noProof/>
              </w:rPr>
              <w:t>M5C1-19</w:t>
            </w:r>
          </w:p>
        </w:tc>
        <w:tc>
          <w:tcPr>
            <w:tcW w:w="1530" w:type="dxa"/>
            <w:shd w:val="clear" w:color="auto" w:fill="C6EFCE"/>
            <w:vAlign w:val="center"/>
            <w:hideMark/>
          </w:tcPr>
          <w:p w14:paraId="778F52FA" w14:textId="77777777" w:rsidR="004C6421" w:rsidRDefault="009D1962">
            <w:pPr>
              <w:pStyle w:val="P68B1DB1-Normal4"/>
              <w:jc w:val="center"/>
              <w:rPr>
                <w:noProof/>
              </w:rPr>
            </w:pPr>
            <w:r>
              <w:rPr>
                <w:noProof/>
              </w:rPr>
              <w:t>Inwestycje 5 – Tworzenie przedsiębiorstw kobiecych</w:t>
            </w:r>
          </w:p>
        </w:tc>
        <w:tc>
          <w:tcPr>
            <w:tcW w:w="1179" w:type="dxa"/>
            <w:shd w:val="clear" w:color="auto" w:fill="C6EFCE"/>
            <w:vAlign w:val="center"/>
            <w:hideMark/>
          </w:tcPr>
          <w:p w14:paraId="506F4571" w14:textId="77777777" w:rsidR="004C6421" w:rsidRDefault="009D1962">
            <w:pPr>
              <w:pStyle w:val="P68B1DB1-Normal4"/>
              <w:jc w:val="center"/>
              <w:rPr>
                <w:noProof/>
              </w:rPr>
            </w:pPr>
            <w:r>
              <w:rPr>
                <w:noProof/>
              </w:rPr>
              <w:t>Cel</w:t>
            </w:r>
          </w:p>
        </w:tc>
        <w:tc>
          <w:tcPr>
            <w:tcW w:w="1802" w:type="dxa"/>
            <w:shd w:val="clear" w:color="auto" w:fill="C6EFCE"/>
            <w:vAlign w:val="center"/>
            <w:hideMark/>
          </w:tcPr>
          <w:p w14:paraId="57C7ED5F" w14:textId="77777777" w:rsidR="004C6421" w:rsidRDefault="009D1962">
            <w:pPr>
              <w:pStyle w:val="P68B1DB1-Normal4"/>
              <w:jc w:val="center"/>
              <w:rPr>
                <w:noProof/>
              </w:rPr>
            </w:pPr>
            <w:r>
              <w:rPr>
                <w:noProof/>
              </w:rPr>
              <w:t>Przedsiębiorstwa określone w odpowiedniej polityce inwestycyjnej otrzymały wsparcie finansowe</w:t>
            </w:r>
          </w:p>
        </w:tc>
        <w:tc>
          <w:tcPr>
            <w:tcW w:w="1670" w:type="dxa"/>
            <w:shd w:val="clear" w:color="auto" w:fill="C6EFCE"/>
            <w:vAlign w:val="center"/>
            <w:hideMark/>
          </w:tcPr>
          <w:p w14:paraId="2BEA2FE0" w14:textId="77777777" w:rsidR="004C6421" w:rsidRDefault="009D1962">
            <w:pPr>
              <w:pStyle w:val="P68B1DB1-Normal4"/>
              <w:jc w:val="center"/>
              <w:rPr>
                <w:noProof/>
              </w:rPr>
            </w:pPr>
            <w:r>
              <w:rPr>
                <w:noProof/>
              </w:rPr>
              <w:t>NIE DOT.</w:t>
            </w:r>
          </w:p>
        </w:tc>
        <w:tc>
          <w:tcPr>
            <w:tcW w:w="1037" w:type="dxa"/>
            <w:shd w:val="clear" w:color="auto" w:fill="C6EFCE"/>
            <w:vAlign w:val="center"/>
            <w:hideMark/>
          </w:tcPr>
          <w:p w14:paraId="523B8076" w14:textId="77777777" w:rsidR="004C6421" w:rsidRDefault="009D1962">
            <w:pPr>
              <w:pStyle w:val="P68B1DB1-Normal4"/>
              <w:jc w:val="center"/>
              <w:rPr>
                <w:noProof/>
              </w:rPr>
            </w:pPr>
            <w:r>
              <w:rPr>
                <w:noProof/>
              </w:rPr>
              <w:t>Numer</w:t>
            </w:r>
          </w:p>
        </w:tc>
        <w:tc>
          <w:tcPr>
            <w:tcW w:w="999" w:type="dxa"/>
            <w:shd w:val="clear" w:color="auto" w:fill="C6EFCE"/>
            <w:vAlign w:val="center"/>
            <w:hideMark/>
          </w:tcPr>
          <w:p w14:paraId="4FBC11C6" w14:textId="77777777" w:rsidR="004C6421" w:rsidRDefault="009D1962">
            <w:pPr>
              <w:pStyle w:val="P68B1DB1-Normal4"/>
              <w:jc w:val="center"/>
              <w:rPr>
                <w:noProof/>
              </w:rPr>
            </w:pPr>
            <w:r>
              <w:rPr>
                <w:noProof/>
              </w:rPr>
              <w:t>0</w:t>
            </w:r>
          </w:p>
        </w:tc>
        <w:tc>
          <w:tcPr>
            <w:tcW w:w="1189" w:type="dxa"/>
            <w:shd w:val="clear" w:color="auto" w:fill="C6EFCE"/>
            <w:vAlign w:val="center"/>
            <w:hideMark/>
          </w:tcPr>
          <w:p w14:paraId="7D02A9C6" w14:textId="26009E39" w:rsidR="004C6421" w:rsidRDefault="009D1962">
            <w:pPr>
              <w:jc w:val="center"/>
              <w:rPr>
                <w:rFonts w:ascii="Arial Narrow" w:hAnsi="Arial Narrow"/>
                <w:noProof/>
                <w:color w:val="006100"/>
                <w:sz w:val="20"/>
              </w:rPr>
            </w:pPr>
            <w:r>
              <w:rPr>
                <w:rFonts w:ascii="Arial Narrow" w:hAnsi="Arial Narrow"/>
                <w:noProof/>
                <w:color w:val="006100"/>
                <w:sz w:val="20"/>
              </w:rPr>
              <w:t>2</w:t>
            </w:r>
            <w:r>
              <w:rPr>
                <w:noProof/>
                <w:sz w:val="23"/>
              </w:rPr>
              <w:t xml:space="preserve"> </w:t>
            </w:r>
            <w:r>
              <w:rPr>
                <w:rFonts w:ascii="Arial Narrow" w:hAnsi="Arial Narrow"/>
                <w:noProof/>
                <w:color w:val="006100"/>
                <w:sz w:val="20"/>
              </w:rPr>
              <w:t>400</w:t>
            </w:r>
          </w:p>
        </w:tc>
        <w:tc>
          <w:tcPr>
            <w:tcW w:w="979" w:type="dxa"/>
            <w:shd w:val="clear" w:color="auto" w:fill="C6EFCE"/>
            <w:vAlign w:val="center"/>
            <w:hideMark/>
          </w:tcPr>
          <w:p w14:paraId="6A3810C1" w14:textId="77777777" w:rsidR="004C6421" w:rsidRDefault="009D1962">
            <w:pPr>
              <w:pStyle w:val="P68B1DB1-Normal4"/>
              <w:jc w:val="center"/>
              <w:rPr>
                <w:noProof/>
              </w:rPr>
            </w:pPr>
            <w:r>
              <w:rPr>
                <w:noProof/>
              </w:rPr>
              <w:t>II KW.</w:t>
            </w:r>
          </w:p>
        </w:tc>
        <w:tc>
          <w:tcPr>
            <w:tcW w:w="689" w:type="dxa"/>
            <w:shd w:val="clear" w:color="auto" w:fill="C6EFCE"/>
            <w:vAlign w:val="center"/>
            <w:hideMark/>
          </w:tcPr>
          <w:p w14:paraId="03E7B7D3" w14:textId="77777777" w:rsidR="004C6421" w:rsidRDefault="009D1962">
            <w:pPr>
              <w:pStyle w:val="P68B1DB1-Normal4"/>
              <w:jc w:val="center"/>
              <w:rPr>
                <w:noProof/>
              </w:rPr>
            </w:pPr>
            <w:r>
              <w:rPr>
                <w:noProof/>
              </w:rPr>
              <w:t>2026</w:t>
            </w:r>
          </w:p>
        </w:tc>
        <w:tc>
          <w:tcPr>
            <w:tcW w:w="2982" w:type="dxa"/>
            <w:shd w:val="clear" w:color="auto" w:fill="C6EFCE"/>
            <w:vAlign w:val="center"/>
            <w:hideMark/>
          </w:tcPr>
          <w:p w14:paraId="6B83C8DB" w14:textId="481B59FC" w:rsidR="004C6421" w:rsidRDefault="009D1962">
            <w:pPr>
              <w:rPr>
                <w:rFonts w:ascii="Arial Narrow" w:hAnsi="Arial Narrow"/>
                <w:noProof/>
                <w:color w:val="006100"/>
                <w:sz w:val="20"/>
              </w:rPr>
            </w:pPr>
            <w:r>
              <w:rPr>
                <w:rFonts w:ascii="Arial Narrow" w:hAnsi="Arial Narrow"/>
                <w:noProof/>
                <w:color w:val="006100"/>
                <w:sz w:val="20"/>
              </w:rPr>
              <w:t>2 Wsparcie finansowe zostało wypłacone co najmniej 2400</w:t>
            </w:r>
            <w:r>
              <w:rPr>
                <w:noProof/>
                <w:sz w:val="23"/>
              </w:rPr>
              <w:t xml:space="preserve"> </w:t>
            </w:r>
            <w:r>
              <w:rPr>
                <w:rFonts w:ascii="Arial Narrow" w:hAnsi="Arial Narrow"/>
                <w:noProof/>
                <w:color w:val="006100"/>
                <w:sz w:val="20"/>
              </w:rPr>
              <w:t>przedsiębiorstwom, jak określono w odpowiedniej polityce inwestycyjnej.</w:t>
            </w:r>
          </w:p>
          <w:p w14:paraId="39BD6408" w14:textId="77777777" w:rsidR="004C6421" w:rsidRDefault="004C6421">
            <w:pPr>
              <w:rPr>
                <w:rFonts w:ascii="Arial Narrow" w:hAnsi="Arial Narrow"/>
                <w:noProof/>
                <w:color w:val="006100"/>
                <w:sz w:val="20"/>
              </w:rPr>
            </w:pPr>
          </w:p>
          <w:p w14:paraId="31B36518" w14:textId="77777777" w:rsidR="004C6421" w:rsidRDefault="009D1962">
            <w:pPr>
              <w:pStyle w:val="P68B1DB1-Normal4"/>
              <w:rPr>
                <w:noProof/>
              </w:rPr>
            </w:pPr>
            <w:r>
              <w:rPr>
                <w:noProof/>
              </w:rPr>
              <w:t>Wdrażanie wsparcia na rzecz przedsiębiorczości kobiet odbywa się za pomocą już aktywnych instrumentów (NITO-ON, Smart &amp; Start) oraz nowego funduszu ustanowionego ustawą budżetową na 2021 r.</w:t>
            </w:r>
          </w:p>
        </w:tc>
      </w:tr>
    </w:tbl>
    <w:p w14:paraId="2F8D8380" w14:textId="77777777" w:rsidR="004C6421" w:rsidRDefault="004C6421">
      <w:pPr>
        <w:rPr>
          <w:rFonts w:ascii="Arial Narrow" w:hAnsi="Arial Narrow"/>
          <w:noProof/>
        </w:rPr>
      </w:pPr>
    </w:p>
    <w:p w14:paraId="62FA8317" w14:textId="77777777" w:rsidR="004C6421" w:rsidRDefault="004C6421">
      <w:pPr>
        <w:tabs>
          <w:tab w:val="left" w:pos="4252"/>
        </w:tabs>
        <w:rPr>
          <w:i/>
          <w:noProof/>
        </w:rPr>
      </w:pPr>
    </w:p>
    <w:p w14:paraId="3F83EF09" w14:textId="77777777" w:rsidR="004C6421" w:rsidRDefault="004C6421">
      <w:pPr>
        <w:tabs>
          <w:tab w:val="left" w:pos="4252"/>
        </w:tabs>
        <w:rPr>
          <w:i/>
          <w:noProof/>
        </w:rPr>
        <w:sectPr w:rsidR="004C6421" w:rsidSect="00797973">
          <w:headerReference w:type="even" r:id="rId320"/>
          <w:headerReference w:type="default" r:id="rId321"/>
          <w:footerReference w:type="even" r:id="rId322"/>
          <w:footerReference w:type="default" r:id="rId323"/>
          <w:headerReference w:type="first" r:id="rId324"/>
          <w:footerReference w:type="first" r:id="rId325"/>
          <w:pgSz w:w="16838" w:h="11906" w:orient="landscape" w:code="9"/>
          <w:pgMar w:top="1134" w:right="1134" w:bottom="1134" w:left="1134" w:header="567" w:footer="567" w:gutter="0"/>
          <w:cols w:space="720"/>
          <w:docGrid w:linePitch="360"/>
        </w:sectPr>
      </w:pPr>
    </w:p>
    <w:p w14:paraId="4375F267" w14:textId="77777777" w:rsidR="004C6421" w:rsidRDefault="009D1962">
      <w:pPr>
        <w:pStyle w:val="Heading2"/>
        <w:numPr>
          <w:ilvl w:val="0"/>
          <w:numId w:val="0"/>
        </w:numPr>
        <w:rPr>
          <w:noProof/>
        </w:rPr>
      </w:pPr>
      <w:r>
        <w:rPr>
          <w:noProof/>
        </w:rPr>
        <w:t>M. ZADANIE 5 – KOMPONENT 2: Infrastruktura społeczna, rodziny, społeczności i trzeci sektor</w:t>
      </w:r>
    </w:p>
    <w:p w14:paraId="1EE133DC" w14:textId="77777777" w:rsidR="004C6421" w:rsidRDefault="009D1962">
      <w:pPr>
        <w:spacing w:before="120" w:after="120"/>
        <w:jc w:val="both"/>
        <w:rPr>
          <w:noProof/>
        </w:rPr>
      </w:pPr>
      <w:r>
        <w:rPr>
          <w:noProof/>
        </w:rPr>
        <w:t>Planowane reformy i inwestycje zawarte w tym komponencie mają na celu wzmocnienie odporności poprzez wspieranie integracji i włączenia osób znajdujących się w najtrudniejszej sytuacji, w wymiarze indywidualnym, rodzinnym i społecznym. Komponent ten stanowi krajową strategię aktywnego włączenia słabszych grup społecznych. Cele tego komponentu są następujące: Wzmocnienie roli zintegrowanych usług społecznych w celu wspierania rodzin, małoletnich i nastolatków, wspierania umiejętności rodzicielskich i ochrony rodzin znajdujących się w trudnej sytuacji oraz osób z niepełnosprawnościami, w tym poprzez poprawę infrastruktury społecznej obejmującej trzeci sektor; (II) zwiększenie autonomii osób z niepełnosprawnościami poprzez świadczenie usług społecznych i zdrowotnych opartych na społeczności i domu oraz usuwanie barier w dostępie do mieszkań i możliwości zatrudnienia; (III) poprawa integracji osób dotkniętych skrajną marginalizacją i deprywacją mieszkaniową (np. osób bezdomnych) poprzez szerszą ofertę tymczasowych obiektów i usług pomocy w zakresie zakwaterowania, spersonalizowane ścieżki do samodzielności i odporności osobistej; Zwiększenie dostępności bardziej przystępnych cenowo mieszkań publicznych i prywatnych oraz rewitalizacji obszarów miejskich i terytorialnych; Rozwijanie zdolności w zakresie odporności osób znajdujących się w najtrudniejszej sytuacji poprzez rozpowszechnianie kultury sportu i tworzenie infrastruktury sportowej poprzez tworzenie parków miejskich, w których działalność sportowa może być połączona z działalnością rozrywkową z korzyścią dla społeczności.</w:t>
      </w:r>
    </w:p>
    <w:p w14:paraId="408F3B9D" w14:textId="77777777" w:rsidR="004C6421" w:rsidRDefault="009D1962">
      <w:pPr>
        <w:spacing w:before="120" w:after="120"/>
        <w:jc w:val="both"/>
        <w:rPr>
          <w:noProof/>
        </w:rPr>
      </w:pPr>
      <w:r>
        <w:rPr>
          <w:noProof/>
        </w:rPr>
        <w:t xml:space="preserve">Oczekuje się, że wdrożenie tych środków przyczyni się do sprostania wyzwaniom, o których mowa w zaleceniach krajowych nr 2 z 2019 r. w sprawie polityki społecznej, wzywających Włochy do „zapewnienia skutecznej integracji polityki społecznej i dotarcia do osób młodych i słabszych grup społecznych”, a w zaleceniach krajowych nr 2 z 2020 r. dotyczących „zapewnienia odpowiedniego (...) dostępu do ochrony socjalnej”. </w:t>
      </w:r>
    </w:p>
    <w:p w14:paraId="51EED4D2" w14:textId="77777777" w:rsidR="004C6421" w:rsidRDefault="009D1962">
      <w:pPr>
        <w:pStyle w:val="Heading3"/>
        <w:numPr>
          <w:ilvl w:val="0"/>
          <w:numId w:val="0"/>
        </w:numPr>
        <w:ind w:left="850" w:hanging="850"/>
        <w:rPr>
          <w:b/>
          <w:i w:val="0"/>
          <w:noProof/>
          <w:color w:val="4472C4" w:themeColor="accent1"/>
          <w:u w:val="single"/>
        </w:rPr>
      </w:pPr>
      <w:r>
        <w:rPr>
          <w:b/>
          <w:i w:val="0"/>
          <w:noProof/>
          <w:u w:val="single"/>
        </w:rPr>
        <w:t xml:space="preserve">M.1. </w:t>
      </w:r>
      <w:r>
        <w:rPr>
          <w:noProof/>
        </w:rPr>
        <w:t xml:space="preserve"> </w:t>
      </w:r>
      <w:r>
        <w:rPr>
          <w:b/>
          <w:i w:val="0"/>
          <w:noProof/>
          <w:u w:val="single"/>
        </w:rPr>
        <w:t>Opis reform i inwestycji, które mają być finansowane z bezzwrotnego wsparcia finansowego</w:t>
      </w:r>
    </w:p>
    <w:p w14:paraId="52674D83" w14:textId="77777777" w:rsidR="004C6421" w:rsidRDefault="009D1962">
      <w:pPr>
        <w:pStyle w:val="P68B1DB1-Normal2"/>
        <w:spacing w:before="120" w:after="120"/>
        <w:jc w:val="both"/>
        <w:rPr>
          <w:rFonts w:eastAsia="Calibri"/>
          <w:noProof/>
        </w:rPr>
      </w:pPr>
      <w:r>
        <w:rPr>
          <w:noProof/>
        </w:rPr>
        <w:t>Reforma 1 – Ustawa ramowa o niepełnosprawności</w:t>
      </w:r>
    </w:p>
    <w:p w14:paraId="60157088" w14:textId="77777777" w:rsidR="004C6421" w:rsidRDefault="009D1962">
      <w:pPr>
        <w:spacing w:before="120" w:after="120"/>
        <w:jc w:val="both"/>
        <w:rPr>
          <w:rFonts w:eastAsia="Calibri"/>
          <w:noProof/>
        </w:rPr>
      </w:pPr>
      <w:r>
        <w:rPr>
          <w:noProof/>
        </w:rPr>
        <w:t xml:space="preserve">Głównym celem reformy jest zmiana przepisów dotyczących niepełnosprawności i promowanie deinstytucjonalizacji (tj. przeniesienia z instytucji publicznych lub prywatnych do ich rodzin lub domów lokalnych) oraz autonomii osób niepełnosprawnych. Obejmuje to (I) wzmocnienie oferty usług społecznych, (II) uproszczenie dostępu do usług społecznych i zdrowotnych, (III) reformy oceny niepełnosprawności, (IV) promowanie projektów niezależnego życia, (V) promowanie pracy zespołów ekspertów, którzy mogą wspierać osoby niepełnosprawne o wielowymiarowych potrzebach. </w:t>
      </w:r>
    </w:p>
    <w:p w14:paraId="318AF85C" w14:textId="77777777" w:rsidR="004C6421" w:rsidRDefault="009D1962">
      <w:pPr>
        <w:pStyle w:val="P68B1DB1-Normal2"/>
        <w:spacing w:before="120" w:after="120"/>
        <w:jc w:val="both"/>
        <w:rPr>
          <w:rFonts w:eastAsia="Calibri"/>
          <w:noProof/>
        </w:rPr>
      </w:pPr>
      <w:r>
        <w:rPr>
          <w:noProof/>
        </w:rPr>
        <w:t>Reforma 2 – Reforma na rzecz osób starszych, które nie są samowystarczalne</w:t>
      </w:r>
    </w:p>
    <w:p w14:paraId="3B66AAED" w14:textId="77777777" w:rsidR="004C6421" w:rsidRDefault="009D1962">
      <w:pPr>
        <w:spacing w:before="120" w:after="120"/>
        <w:jc w:val="both"/>
        <w:rPr>
          <w:rFonts w:eastAsia="Calibri"/>
          <w:noProof/>
        </w:rPr>
      </w:pPr>
      <w:r>
        <w:rPr>
          <w:noProof/>
        </w:rPr>
        <w:t xml:space="preserve">Celem tego środka jest reforma usług socjalnych i poprawa warunków życia niesamodzielnych osób starszych. Reforma ta obejmuje: Uproszczenie dostępu osób starszych do usług poprzez utworzenie pojedynczych punktów dostępu społecznego i zdrowotnego, (II) określenie sposobów uznania braku samowystarczalności w oparciu o potrzebę pomocy, (III) zapewnienie wielowymiarowej oceny, (IV) zdefiniowanie zindywidualizowanych projektów promujących deinstytucjonalizację.  Reforma ta jest przewidziana przez konkretne interwencje przewidziane w planie, uwzględnione zarówno w misji zdrowotnej (M6), w odniesieniu do projektów wzmacniających lokalne usługi zdrowotne i opiekę domową, jak i w ramach tego komponentu, ze szczególnym uwzględnieniem inwestycji 1, interwencji II mającej na celu deinstytucjonalizację. </w:t>
      </w:r>
    </w:p>
    <w:p w14:paraId="6CB82734" w14:textId="77777777" w:rsidR="004C6421" w:rsidRDefault="009D1962">
      <w:pPr>
        <w:pStyle w:val="P68B1DB1-Normal2"/>
        <w:spacing w:before="120" w:after="120"/>
        <w:jc w:val="both"/>
        <w:rPr>
          <w:rFonts w:eastAsia="Calibri"/>
          <w:noProof/>
        </w:rPr>
      </w:pPr>
      <w:r>
        <w:rPr>
          <w:noProof/>
        </w:rPr>
        <w:t>Inwestycje 1 – Wspieranie osób znajdujących się w trudnej sytuacji i zapobieganie instytucjonalizacji</w:t>
      </w:r>
    </w:p>
    <w:p w14:paraId="6FC4DF50" w14:textId="77777777" w:rsidR="004C6421" w:rsidRDefault="009D1962">
      <w:pPr>
        <w:spacing w:before="120" w:after="120"/>
        <w:jc w:val="both"/>
        <w:rPr>
          <w:rFonts w:eastAsia="Calibri"/>
          <w:noProof/>
        </w:rPr>
      </w:pPr>
      <w:r>
        <w:rPr>
          <w:noProof/>
        </w:rPr>
        <w:t xml:space="preserve">Celem tego środka jest wspieranie osób znajdujących się w trudnej sytuacji i zapobieganie instytucjonalizacji. Inwestycja ta obejmuje następujące interwencje: Wspieranie umiejętności rodzicielskich i zapobieganie podatności rodzin i dzieci na zagrożenia; Wspieranie niezależnego życia i deinstytucjonalizacji osób starszych; (II) wzmocnienie usług socjalnych w domu w celu zagwarantowania wczesnego wsparcia wypisu i zapobiegania hospitalizacji; (III) wzmacnianie usług socjalnych i zapobieganie wypaleniu zawodowemu wśród pracowników socjalnych. </w:t>
      </w:r>
    </w:p>
    <w:p w14:paraId="6EB7EFC7" w14:textId="77777777" w:rsidR="004C6421" w:rsidRDefault="009D1962">
      <w:pPr>
        <w:pStyle w:val="P68B1DB1-Normal2"/>
        <w:spacing w:before="120" w:after="120"/>
        <w:jc w:val="both"/>
        <w:rPr>
          <w:rFonts w:eastAsia="Calibri"/>
          <w:noProof/>
        </w:rPr>
      </w:pPr>
      <w:r>
        <w:rPr>
          <w:noProof/>
        </w:rPr>
        <w:t>Inwestycje 2 – Wzory autonomii dla osób niepełnosprawnych</w:t>
      </w:r>
    </w:p>
    <w:p w14:paraId="21769EE7" w14:textId="77777777" w:rsidR="004C6421" w:rsidRDefault="009D1962">
      <w:pPr>
        <w:spacing w:before="120" w:after="120"/>
        <w:jc w:val="both"/>
        <w:rPr>
          <w:rFonts w:eastAsia="Calibri"/>
          <w:noProof/>
        </w:rPr>
      </w:pPr>
      <w:r>
        <w:rPr>
          <w:noProof/>
        </w:rPr>
        <w:t xml:space="preserve">Celem tego środka jest zwiększenie autonomii osób niepełnosprawnych. Celem inwestycji jest przyspieszenie procesu deinstytucjonalizacji poprzez zapewnienie lokalnych i domowych usług społecznych i zdrowotnych w celu zwiększenia autonomii osób niepełnosprawnych. Środek wspiera dostęp do mieszkań i możliwości zatrudnienia, w tym nowych możliwości oferowanych przez technologie informacyjne. </w:t>
      </w:r>
    </w:p>
    <w:p w14:paraId="5EBAD643" w14:textId="77777777" w:rsidR="004C6421" w:rsidRDefault="009D1962">
      <w:pPr>
        <w:pStyle w:val="P68B1DB1-Normal2"/>
        <w:spacing w:before="120" w:after="120"/>
        <w:jc w:val="both"/>
        <w:rPr>
          <w:noProof/>
        </w:rPr>
      </w:pPr>
      <w:r>
        <w:rPr>
          <w:noProof/>
        </w:rPr>
        <w:t>Inwestycje 3 – Pierwsze i postoje mieszkaniowe</w:t>
      </w:r>
    </w:p>
    <w:p w14:paraId="40BABA15" w14:textId="77777777" w:rsidR="004C6421" w:rsidRDefault="009D1962">
      <w:pPr>
        <w:spacing w:before="120" w:after="120"/>
        <w:jc w:val="both"/>
        <w:rPr>
          <w:rFonts w:eastAsia="Calibri"/>
          <w:noProof/>
        </w:rPr>
      </w:pPr>
      <w:r>
        <w:rPr>
          <w:noProof/>
        </w:rPr>
        <w:t>Celem tego środka jest ochrona i wspieranie integracji osób zmarginalizowanych poprzez mieszkanie na stacjach pierwszej i posterunkowej. Wprowadzenie podejścia „najpierw mieszkanie” oznacza, że gminy udostępniają mieszkania dla pojedynczych osób, małych grup lub rodzin do 24 miesięcy. Ponadto projekty dostosowane do indywidualnych potrzeb są uruchamiane dla każdej osoby/rodziny, aby realizować programy rozwoju osobistego i pomóc im osiągnąć wyższy stopień autonomii, również poprzez zapewnienie im szkoleń i innych usług mających na celu poprawę ich zdolności do zatrudnienia. Z drugiej strony wdrożenie „stacji pocztowych” oznacza utworzenie centrum usług i włączenia społecznego dla osób bezdomnych. Oprócz ograniczonego przyjęcia w nocy takie ośrodki oferują ważne udogodnienia, takie jak m.in. usługi zdrowotne, catering, dystrybucja pocztowa, mediacja kulturalna, doradztwo, poradnictwo zawodowe, doradztwo prawne i dystrybucja towarów.</w:t>
      </w:r>
    </w:p>
    <w:p w14:paraId="56818720" w14:textId="77777777" w:rsidR="004C6421" w:rsidRDefault="009D1962">
      <w:pPr>
        <w:pStyle w:val="Heading3"/>
        <w:numPr>
          <w:ilvl w:val="0"/>
          <w:numId w:val="0"/>
        </w:numPr>
        <w:ind w:left="850" w:hanging="850"/>
        <w:rPr>
          <w:b/>
          <w:i w:val="0"/>
          <w:noProof/>
          <w:u w:val="single"/>
        </w:rPr>
      </w:pPr>
      <w:r>
        <w:rPr>
          <w:b/>
          <w:i w:val="0"/>
          <w:noProof/>
          <w:u w:val="single"/>
        </w:rPr>
        <w:t xml:space="preserve">M.2. </w:t>
      </w:r>
      <w:r>
        <w:rPr>
          <w:noProof/>
        </w:rPr>
        <w:t xml:space="preserve"> </w:t>
      </w:r>
      <w:r>
        <w:rPr>
          <w:b/>
          <w:i w:val="0"/>
          <w:noProof/>
          <w:u w:val="single"/>
        </w:rPr>
        <w:t>Kamienie milowe, wartości docelowe, wskaźniki i harmonogram monitorowania i realizacji na potrzeby bezzwrotnego wsparcia finansowego</w:t>
      </w:r>
    </w:p>
    <w:p w14:paraId="4229CC1D" w14:textId="77777777" w:rsidR="004C6421" w:rsidRDefault="009D1962">
      <w:pPr>
        <w:pStyle w:val="P68B1DB1-Normal26"/>
        <w:spacing w:before="120" w:after="120"/>
        <w:ind w:left="709"/>
        <w:jc w:val="both"/>
        <w:rPr>
          <w:noProof/>
        </w:rPr>
      </w:pPr>
      <w:r>
        <w:rPr>
          <w:noProof/>
        </w:rPr>
        <w:t>.</w:t>
      </w:r>
    </w:p>
    <w:p w14:paraId="5888472E" w14:textId="77777777" w:rsidR="004C6421" w:rsidRDefault="004C6421">
      <w:pPr>
        <w:spacing w:before="120" w:after="120"/>
        <w:ind w:left="709"/>
        <w:jc w:val="both"/>
        <w:rPr>
          <w:noProof/>
        </w:rPr>
        <w:sectPr w:rsidR="004C6421" w:rsidSect="00797973">
          <w:headerReference w:type="even" r:id="rId326"/>
          <w:headerReference w:type="default" r:id="rId327"/>
          <w:footerReference w:type="even" r:id="rId328"/>
          <w:footerReference w:type="default" r:id="rId329"/>
          <w:headerReference w:type="first" r:id="rId330"/>
          <w:footerReference w:type="first" r:id="rId331"/>
          <w:pgSz w:w="11907" w:h="16839"/>
          <w:pgMar w:top="1440" w:right="1440" w:bottom="1440" w:left="1440" w:header="567" w:footer="567" w:gutter="0"/>
          <w:cols w:space="720"/>
          <w:docGrid w:linePitch="360"/>
        </w:sectPr>
      </w:pPr>
    </w:p>
    <w:tbl>
      <w:tblPr>
        <w:tblW w:w="17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908"/>
        <w:gridCol w:w="1438"/>
        <w:gridCol w:w="1666"/>
        <w:gridCol w:w="1557"/>
        <w:gridCol w:w="1474"/>
        <w:gridCol w:w="1092"/>
        <w:gridCol w:w="775"/>
        <w:gridCol w:w="1078"/>
        <w:gridCol w:w="755"/>
        <w:gridCol w:w="5046"/>
      </w:tblGrid>
      <w:tr w:rsidR="004C6421" w14:paraId="2E63EEF9" w14:textId="77777777">
        <w:trPr>
          <w:trHeight w:val="927"/>
          <w:tblHeader/>
          <w:jc w:val="center"/>
        </w:trPr>
        <w:tc>
          <w:tcPr>
            <w:tcW w:w="1648" w:type="dxa"/>
            <w:vMerge w:val="restart"/>
            <w:shd w:val="clear" w:color="auto" w:fill="BDD7EE"/>
            <w:vAlign w:val="center"/>
            <w:hideMark/>
          </w:tcPr>
          <w:p w14:paraId="7F1F96F5" w14:textId="77777777" w:rsidR="004C6421" w:rsidRDefault="009D1962">
            <w:pPr>
              <w:pStyle w:val="P68B1DB1-Normal3"/>
              <w:jc w:val="center"/>
              <w:rPr>
                <w:noProof/>
              </w:rPr>
            </w:pPr>
            <w:r>
              <w:rPr>
                <w:noProof/>
              </w:rPr>
              <w:t>Numer porządkowy</w:t>
            </w:r>
          </w:p>
        </w:tc>
        <w:tc>
          <w:tcPr>
            <w:tcW w:w="1908" w:type="dxa"/>
            <w:vMerge w:val="restart"/>
            <w:shd w:val="clear" w:color="auto" w:fill="BDD7EE"/>
            <w:vAlign w:val="center"/>
            <w:hideMark/>
          </w:tcPr>
          <w:p w14:paraId="79EF40BE" w14:textId="77777777" w:rsidR="004C6421" w:rsidRDefault="009D1962">
            <w:pPr>
              <w:pStyle w:val="P68B1DB1-Normal3"/>
              <w:jc w:val="center"/>
              <w:rPr>
                <w:noProof/>
              </w:rPr>
            </w:pPr>
            <w:r>
              <w:rPr>
                <w:noProof/>
              </w:rPr>
              <w:t>Powiązane działanie (reforma lub inwestycja)</w:t>
            </w:r>
          </w:p>
        </w:tc>
        <w:tc>
          <w:tcPr>
            <w:tcW w:w="1322" w:type="dxa"/>
            <w:vMerge w:val="restart"/>
            <w:shd w:val="clear" w:color="auto" w:fill="BDD7EE"/>
            <w:vAlign w:val="center"/>
            <w:hideMark/>
          </w:tcPr>
          <w:p w14:paraId="6A93B015" w14:textId="77777777" w:rsidR="004C6421" w:rsidRDefault="009D1962">
            <w:pPr>
              <w:pStyle w:val="P68B1DB1-Normal3"/>
              <w:jc w:val="center"/>
              <w:rPr>
                <w:noProof/>
              </w:rPr>
            </w:pPr>
            <w:r>
              <w:rPr>
                <w:noProof/>
              </w:rPr>
              <w:t>Kamień milowy/wartość docelowa</w:t>
            </w:r>
          </w:p>
        </w:tc>
        <w:tc>
          <w:tcPr>
            <w:tcW w:w="1395" w:type="dxa"/>
            <w:vMerge w:val="restart"/>
            <w:shd w:val="clear" w:color="auto" w:fill="BDD7EE"/>
            <w:vAlign w:val="center"/>
            <w:hideMark/>
          </w:tcPr>
          <w:p w14:paraId="3ED70798" w14:textId="77777777" w:rsidR="004C6421" w:rsidRDefault="009D1962">
            <w:pPr>
              <w:pStyle w:val="P68B1DB1-Normal3"/>
              <w:jc w:val="center"/>
              <w:rPr>
                <w:noProof/>
              </w:rPr>
            </w:pPr>
            <w:r>
              <w:rPr>
                <w:noProof/>
              </w:rPr>
              <w:t>Nazwa</w:t>
            </w:r>
          </w:p>
        </w:tc>
        <w:tc>
          <w:tcPr>
            <w:tcW w:w="1476" w:type="dxa"/>
            <w:vMerge w:val="restart"/>
            <w:shd w:val="clear" w:color="auto" w:fill="BDD7EE"/>
            <w:vAlign w:val="center"/>
            <w:hideMark/>
          </w:tcPr>
          <w:p w14:paraId="5A4B369F" w14:textId="77777777" w:rsidR="004C6421" w:rsidRDefault="009D1962">
            <w:pPr>
              <w:jc w:val="center"/>
              <w:rPr>
                <w:rFonts w:ascii="Arial Narrow" w:hAnsi="Arial Narrow"/>
                <w:b/>
                <w:noProof/>
                <w:sz w:val="20"/>
              </w:rPr>
            </w:pPr>
            <w:r>
              <w:rPr>
                <w:rFonts w:ascii="Arial Narrow" w:hAnsi="Arial Narrow"/>
                <w:b/>
                <w:noProof/>
                <w:sz w:val="20"/>
              </w:rPr>
              <w:t xml:space="preserve">Wskaźniki jakościowe </w:t>
            </w:r>
            <w:r>
              <w:rPr>
                <w:rFonts w:ascii="Arial Narrow" w:hAnsi="Arial Narrow"/>
                <w:noProof/>
                <w:sz w:val="20"/>
              </w:rPr>
              <w:t xml:space="preserve"> </w:t>
            </w:r>
            <w:r>
              <w:rPr>
                <w:noProof/>
              </w:rPr>
              <w:t xml:space="preserve">  </w:t>
            </w:r>
            <w:r>
              <w:rPr>
                <w:noProof/>
              </w:rPr>
              <w:br/>
            </w:r>
            <w:r>
              <w:rPr>
                <w:rFonts w:ascii="Arial Narrow" w:hAnsi="Arial Narrow"/>
                <w:b/>
                <w:noProof/>
                <w:sz w:val="20"/>
              </w:rPr>
              <w:t>(dla kamieni milowych)</w:t>
            </w:r>
          </w:p>
        </w:tc>
        <w:tc>
          <w:tcPr>
            <w:tcW w:w="3341" w:type="dxa"/>
            <w:gridSpan w:val="3"/>
            <w:shd w:val="clear" w:color="auto" w:fill="BDD7EE"/>
            <w:vAlign w:val="center"/>
            <w:hideMark/>
          </w:tcPr>
          <w:p w14:paraId="127B5AE4" w14:textId="77777777" w:rsidR="004C6421" w:rsidRDefault="009D1962">
            <w:pPr>
              <w:jc w:val="center"/>
              <w:rPr>
                <w:rFonts w:ascii="Arial Narrow" w:hAnsi="Arial Narrow"/>
                <w:b/>
                <w:noProof/>
                <w:sz w:val="20"/>
              </w:rPr>
            </w:pPr>
            <w:r>
              <w:rPr>
                <w:rFonts w:ascii="Arial Narrow" w:hAnsi="Arial Narrow"/>
                <w:b/>
                <w:noProof/>
                <w:sz w:val="20"/>
              </w:rPr>
              <w:t xml:space="preserve">Wskaźniki ilościowe </w:t>
            </w:r>
            <w:r>
              <w:rPr>
                <w:rFonts w:ascii="Arial Narrow" w:hAnsi="Arial Narrow"/>
                <w:noProof/>
                <w:sz w:val="20"/>
              </w:rPr>
              <w:t xml:space="preserve"> </w:t>
            </w:r>
            <w:r>
              <w:rPr>
                <w:noProof/>
              </w:rPr>
              <w:t xml:space="preserve">  </w:t>
            </w:r>
            <w:r>
              <w:rPr>
                <w:noProof/>
              </w:rPr>
              <w:br/>
            </w:r>
            <w:r>
              <w:rPr>
                <w:rFonts w:ascii="Arial Narrow" w:hAnsi="Arial Narrow"/>
                <w:b/>
                <w:noProof/>
                <w:sz w:val="20"/>
              </w:rPr>
              <w:t>(dla wartości docelowych)</w:t>
            </w:r>
          </w:p>
        </w:tc>
        <w:tc>
          <w:tcPr>
            <w:tcW w:w="1833" w:type="dxa"/>
            <w:gridSpan w:val="2"/>
            <w:shd w:val="clear" w:color="auto" w:fill="BDD7EE"/>
            <w:vAlign w:val="center"/>
            <w:hideMark/>
          </w:tcPr>
          <w:p w14:paraId="215A8A3D" w14:textId="77777777" w:rsidR="004C6421" w:rsidRDefault="009D1962">
            <w:pPr>
              <w:pStyle w:val="P68B1DB1-Normal3"/>
              <w:jc w:val="center"/>
              <w:rPr>
                <w:noProof/>
              </w:rPr>
            </w:pPr>
            <w:r>
              <w:rPr>
                <w:noProof/>
              </w:rPr>
              <w:t>Orientacyjny harmonogram zakończenia działania</w:t>
            </w:r>
          </w:p>
        </w:tc>
        <w:tc>
          <w:tcPr>
            <w:tcW w:w="5046" w:type="dxa"/>
            <w:vMerge w:val="restart"/>
            <w:shd w:val="clear" w:color="auto" w:fill="BDD7EE"/>
            <w:vAlign w:val="center"/>
            <w:hideMark/>
          </w:tcPr>
          <w:p w14:paraId="2975FC7C" w14:textId="77777777" w:rsidR="004C6421" w:rsidRDefault="009D1962">
            <w:pPr>
              <w:pStyle w:val="P68B1DB1-Normal3"/>
              <w:jc w:val="center"/>
              <w:rPr>
                <w:noProof/>
              </w:rPr>
            </w:pPr>
            <w:r>
              <w:rPr>
                <w:noProof/>
              </w:rPr>
              <w:t>Opis każdego kamienia milowego i każdej wartości docelowej</w:t>
            </w:r>
          </w:p>
        </w:tc>
      </w:tr>
      <w:tr w:rsidR="004C6421" w14:paraId="2F0B28EC" w14:textId="77777777">
        <w:trPr>
          <w:trHeight w:val="654"/>
          <w:jc w:val="center"/>
        </w:trPr>
        <w:tc>
          <w:tcPr>
            <w:tcW w:w="1648" w:type="dxa"/>
            <w:vMerge/>
            <w:vAlign w:val="center"/>
            <w:hideMark/>
          </w:tcPr>
          <w:p w14:paraId="4AD39CB3" w14:textId="77777777" w:rsidR="004C6421" w:rsidRDefault="004C6421">
            <w:pPr>
              <w:jc w:val="center"/>
              <w:rPr>
                <w:rFonts w:ascii="Arial Narrow" w:hAnsi="Arial Narrow"/>
                <w:b/>
                <w:noProof/>
                <w:sz w:val="20"/>
              </w:rPr>
            </w:pPr>
          </w:p>
        </w:tc>
        <w:tc>
          <w:tcPr>
            <w:tcW w:w="1908" w:type="dxa"/>
            <w:vMerge/>
            <w:vAlign w:val="center"/>
            <w:hideMark/>
          </w:tcPr>
          <w:p w14:paraId="332F5B7D" w14:textId="77777777" w:rsidR="004C6421" w:rsidRDefault="004C6421">
            <w:pPr>
              <w:jc w:val="center"/>
              <w:rPr>
                <w:rFonts w:ascii="Arial Narrow" w:hAnsi="Arial Narrow"/>
                <w:b/>
                <w:noProof/>
                <w:sz w:val="20"/>
              </w:rPr>
            </w:pPr>
          </w:p>
        </w:tc>
        <w:tc>
          <w:tcPr>
            <w:tcW w:w="1322" w:type="dxa"/>
            <w:vMerge/>
            <w:vAlign w:val="center"/>
            <w:hideMark/>
          </w:tcPr>
          <w:p w14:paraId="3AD5A9CB" w14:textId="77777777" w:rsidR="004C6421" w:rsidRDefault="004C6421">
            <w:pPr>
              <w:jc w:val="center"/>
              <w:rPr>
                <w:rFonts w:ascii="Arial Narrow" w:hAnsi="Arial Narrow"/>
                <w:b/>
                <w:noProof/>
                <w:sz w:val="20"/>
              </w:rPr>
            </w:pPr>
          </w:p>
        </w:tc>
        <w:tc>
          <w:tcPr>
            <w:tcW w:w="1395" w:type="dxa"/>
            <w:vMerge/>
            <w:vAlign w:val="center"/>
            <w:hideMark/>
          </w:tcPr>
          <w:p w14:paraId="31DFB35A" w14:textId="77777777" w:rsidR="004C6421" w:rsidRDefault="004C6421">
            <w:pPr>
              <w:jc w:val="center"/>
              <w:rPr>
                <w:rFonts w:ascii="Arial Narrow" w:hAnsi="Arial Narrow"/>
                <w:b/>
                <w:noProof/>
                <w:sz w:val="20"/>
              </w:rPr>
            </w:pPr>
          </w:p>
        </w:tc>
        <w:tc>
          <w:tcPr>
            <w:tcW w:w="1476" w:type="dxa"/>
            <w:vMerge/>
            <w:vAlign w:val="center"/>
            <w:hideMark/>
          </w:tcPr>
          <w:p w14:paraId="6DF05F08" w14:textId="77777777" w:rsidR="004C6421" w:rsidRDefault="004C6421">
            <w:pPr>
              <w:jc w:val="center"/>
              <w:rPr>
                <w:rFonts w:ascii="Arial Narrow" w:hAnsi="Arial Narrow"/>
                <w:b/>
                <w:noProof/>
                <w:sz w:val="20"/>
              </w:rPr>
            </w:pPr>
          </w:p>
        </w:tc>
        <w:tc>
          <w:tcPr>
            <w:tcW w:w="1474" w:type="dxa"/>
            <w:shd w:val="clear" w:color="auto" w:fill="BDD7EE"/>
            <w:vAlign w:val="center"/>
            <w:hideMark/>
          </w:tcPr>
          <w:p w14:paraId="397A9FDB" w14:textId="77777777" w:rsidR="004C6421" w:rsidRDefault="009D1962">
            <w:pPr>
              <w:pStyle w:val="P68B1DB1-Normal3"/>
              <w:jc w:val="center"/>
              <w:rPr>
                <w:noProof/>
              </w:rPr>
            </w:pPr>
            <w:r>
              <w:rPr>
                <w:noProof/>
              </w:rPr>
              <w:t>Jednostka miary</w:t>
            </w:r>
          </w:p>
        </w:tc>
        <w:tc>
          <w:tcPr>
            <w:tcW w:w="1092" w:type="dxa"/>
            <w:shd w:val="clear" w:color="auto" w:fill="BDD7EE"/>
            <w:vAlign w:val="center"/>
            <w:hideMark/>
          </w:tcPr>
          <w:p w14:paraId="30536868" w14:textId="77777777" w:rsidR="004C6421" w:rsidRDefault="009D1962">
            <w:pPr>
              <w:pStyle w:val="P68B1DB1-Normal3"/>
              <w:jc w:val="center"/>
              <w:rPr>
                <w:noProof/>
              </w:rPr>
            </w:pPr>
            <w:r>
              <w:rPr>
                <w:noProof/>
              </w:rPr>
              <w:t>Bazowy</w:t>
            </w:r>
          </w:p>
        </w:tc>
        <w:tc>
          <w:tcPr>
            <w:tcW w:w="775" w:type="dxa"/>
            <w:shd w:val="clear" w:color="auto" w:fill="BDD7EE"/>
            <w:vAlign w:val="center"/>
            <w:hideMark/>
          </w:tcPr>
          <w:p w14:paraId="0AD91B13" w14:textId="77777777" w:rsidR="004C6421" w:rsidRDefault="009D1962">
            <w:pPr>
              <w:pStyle w:val="P68B1DB1-Normal3"/>
              <w:jc w:val="center"/>
              <w:rPr>
                <w:noProof/>
              </w:rPr>
            </w:pPr>
            <w:r>
              <w:rPr>
                <w:noProof/>
              </w:rPr>
              <w:t>Cel</w:t>
            </w:r>
          </w:p>
        </w:tc>
        <w:tc>
          <w:tcPr>
            <w:tcW w:w="1078" w:type="dxa"/>
            <w:shd w:val="clear" w:color="auto" w:fill="BDD7EE"/>
            <w:vAlign w:val="center"/>
            <w:hideMark/>
          </w:tcPr>
          <w:p w14:paraId="45F071B5" w14:textId="77777777" w:rsidR="004C6421" w:rsidRDefault="009D1962">
            <w:pPr>
              <w:pStyle w:val="P68B1DB1-Normal3"/>
              <w:jc w:val="center"/>
              <w:rPr>
                <w:noProof/>
              </w:rPr>
            </w:pPr>
            <w:r>
              <w:rPr>
                <w:noProof/>
              </w:rPr>
              <w:t>Kwartał</w:t>
            </w:r>
          </w:p>
        </w:tc>
        <w:tc>
          <w:tcPr>
            <w:tcW w:w="755" w:type="dxa"/>
            <w:shd w:val="clear" w:color="auto" w:fill="BDD7EE"/>
            <w:vAlign w:val="center"/>
            <w:hideMark/>
          </w:tcPr>
          <w:p w14:paraId="3447035F" w14:textId="77777777" w:rsidR="004C6421" w:rsidRDefault="009D1962">
            <w:pPr>
              <w:pStyle w:val="P68B1DB1-Normal3"/>
              <w:jc w:val="center"/>
              <w:rPr>
                <w:noProof/>
              </w:rPr>
            </w:pPr>
            <w:r>
              <w:rPr>
                <w:noProof/>
              </w:rPr>
              <w:t>Rok</w:t>
            </w:r>
          </w:p>
        </w:tc>
        <w:tc>
          <w:tcPr>
            <w:tcW w:w="5046" w:type="dxa"/>
            <w:vMerge/>
            <w:vAlign w:val="center"/>
            <w:hideMark/>
          </w:tcPr>
          <w:p w14:paraId="23592C74" w14:textId="77777777" w:rsidR="004C6421" w:rsidRDefault="004C6421">
            <w:pPr>
              <w:rPr>
                <w:rFonts w:ascii="Arial Narrow" w:hAnsi="Arial Narrow"/>
                <w:b/>
                <w:noProof/>
                <w:sz w:val="20"/>
              </w:rPr>
            </w:pPr>
          </w:p>
        </w:tc>
      </w:tr>
      <w:tr w:rsidR="004C6421" w14:paraId="6658F06C" w14:textId="77777777">
        <w:trPr>
          <w:trHeight w:val="309"/>
          <w:jc w:val="center"/>
        </w:trPr>
        <w:tc>
          <w:tcPr>
            <w:tcW w:w="1648" w:type="dxa"/>
            <w:shd w:val="clear" w:color="auto" w:fill="C6EFCE"/>
            <w:noWrap/>
            <w:vAlign w:val="center"/>
            <w:hideMark/>
          </w:tcPr>
          <w:p w14:paraId="5A2DA3D9" w14:textId="77777777" w:rsidR="004C6421" w:rsidRDefault="009D1962">
            <w:pPr>
              <w:pStyle w:val="P68B1DB1-Normal4"/>
              <w:spacing w:before="120" w:after="120"/>
              <w:jc w:val="center"/>
              <w:rPr>
                <w:noProof/>
              </w:rPr>
            </w:pPr>
            <w:r>
              <w:rPr>
                <w:noProof/>
              </w:rPr>
              <w:t>M5C2-1</w:t>
            </w:r>
          </w:p>
        </w:tc>
        <w:tc>
          <w:tcPr>
            <w:tcW w:w="1908" w:type="dxa"/>
            <w:shd w:val="clear" w:color="auto" w:fill="C6EFCE"/>
            <w:noWrap/>
            <w:vAlign w:val="center"/>
            <w:hideMark/>
          </w:tcPr>
          <w:p w14:paraId="23F3ABED" w14:textId="77777777" w:rsidR="004C6421" w:rsidRDefault="009D1962">
            <w:pPr>
              <w:pStyle w:val="P68B1DB1-Normal4"/>
              <w:jc w:val="center"/>
              <w:rPr>
                <w:noProof/>
              </w:rPr>
            </w:pPr>
            <w:r>
              <w:rPr>
                <w:noProof/>
              </w:rPr>
              <w:t>Reforma 1 – Ustawa ramowa o niepełnosprawności</w:t>
            </w:r>
          </w:p>
        </w:tc>
        <w:tc>
          <w:tcPr>
            <w:tcW w:w="1322" w:type="dxa"/>
            <w:shd w:val="clear" w:color="auto" w:fill="C6EFCE"/>
            <w:noWrap/>
            <w:vAlign w:val="center"/>
            <w:hideMark/>
          </w:tcPr>
          <w:p w14:paraId="561772BF" w14:textId="51E10789" w:rsidR="004C6421" w:rsidRDefault="00CC179E">
            <w:pPr>
              <w:pStyle w:val="P68B1DB1-Normal4"/>
              <w:jc w:val="center"/>
              <w:rPr>
                <w:noProof/>
              </w:rPr>
            </w:pPr>
            <w:r>
              <w:rPr>
                <w:noProof/>
              </w:rPr>
              <w:t>Milowy</w:t>
            </w:r>
          </w:p>
        </w:tc>
        <w:tc>
          <w:tcPr>
            <w:tcW w:w="1395" w:type="dxa"/>
            <w:shd w:val="clear" w:color="auto" w:fill="C6EFCE"/>
            <w:noWrap/>
            <w:vAlign w:val="center"/>
            <w:hideMark/>
          </w:tcPr>
          <w:p w14:paraId="5C99E672" w14:textId="77777777" w:rsidR="004C6421" w:rsidRDefault="009D1962">
            <w:pPr>
              <w:pStyle w:val="P68B1DB1-Normal4"/>
              <w:jc w:val="center"/>
              <w:rPr>
                <w:noProof/>
              </w:rPr>
            </w:pPr>
            <w:r>
              <w:rPr>
                <w:noProof/>
              </w:rPr>
              <w:t>Wejście w życie ustawy ramowej w celu wzmocnienia autonomii osób niepełnosprawnych.</w:t>
            </w:r>
          </w:p>
        </w:tc>
        <w:tc>
          <w:tcPr>
            <w:tcW w:w="1476" w:type="dxa"/>
            <w:shd w:val="clear" w:color="auto" w:fill="C6EFCE"/>
            <w:noWrap/>
            <w:vAlign w:val="center"/>
            <w:hideMark/>
          </w:tcPr>
          <w:p w14:paraId="172A942F" w14:textId="77777777" w:rsidR="004C6421" w:rsidRDefault="009D1962">
            <w:pPr>
              <w:pStyle w:val="P68B1DB1-Normal4"/>
              <w:jc w:val="center"/>
              <w:rPr>
                <w:rFonts w:eastAsia="Calibri"/>
                <w:noProof/>
              </w:rPr>
            </w:pPr>
            <w:r>
              <w:rPr>
                <w:noProof/>
              </w:rPr>
              <w:t>Przepis ustawy wskazujący na wejście w życie ustawy ramowej NIE DOT.</w:t>
            </w:r>
          </w:p>
        </w:tc>
        <w:tc>
          <w:tcPr>
            <w:tcW w:w="1474" w:type="dxa"/>
            <w:shd w:val="clear" w:color="auto" w:fill="C6EFCE"/>
            <w:noWrap/>
            <w:vAlign w:val="center"/>
            <w:hideMark/>
          </w:tcPr>
          <w:p w14:paraId="578390B6" w14:textId="77777777" w:rsidR="004C6421" w:rsidRDefault="009D1962">
            <w:pPr>
              <w:pStyle w:val="P68B1DB1-Normal4"/>
              <w:jc w:val="center"/>
              <w:rPr>
                <w:rFonts w:eastAsia="Calibri"/>
                <w:noProof/>
              </w:rPr>
            </w:pPr>
            <w:r>
              <w:rPr>
                <w:noProof/>
              </w:rPr>
              <w:t>NIE DOT.</w:t>
            </w:r>
          </w:p>
        </w:tc>
        <w:tc>
          <w:tcPr>
            <w:tcW w:w="1092" w:type="dxa"/>
            <w:shd w:val="clear" w:color="auto" w:fill="C6EFCE"/>
            <w:noWrap/>
            <w:vAlign w:val="center"/>
            <w:hideMark/>
          </w:tcPr>
          <w:p w14:paraId="6D537473" w14:textId="77777777" w:rsidR="004C6421" w:rsidRDefault="009D1962">
            <w:pPr>
              <w:pStyle w:val="P68B1DB1-Normal4"/>
              <w:jc w:val="center"/>
              <w:rPr>
                <w:noProof/>
              </w:rPr>
            </w:pPr>
            <w:r>
              <w:rPr>
                <w:noProof/>
              </w:rPr>
              <w:t>NIE DOT.</w:t>
            </w:r>
          </w:p>
        </w:tc>
        <w:tc>
          <w:tcPr>
            <w:tcW w:w="775" w:type="dxa"/>
            <w:shd w:val="clear" w:color="auto" w:fill="C6EFCE"/>
            <w:noWrap/>
            <w:vAlign w:val="center"/>
            <w:hideMark/>
          </w:tcPr>
          <w:p w14:paraId="35A753EB" w14:textId="77777777" w:rsidR="004C6421" w:rsidRDefault="009D1962">
            <w:pPr>
              <w:pStyle w:val="P68B1DB1-Normal4"/>
              <w:jc w:val="center"/>
              <w:rPr>
                <w:rFonts w:eastAsia="Calibri"/>
                <w:noProof/>
              </w:rPr>
            </w:pPr>
            <w:r>
              <w:rPr>
                <w:noProof/>
              </w:rPr>
              <w:t>NIE DOT.</w:t>
            </w:r>
          </w:p>
        </w:tc>
        <w:tc>
          <w:tcPr>
            <w:tcW w:w="1078" w:type="dxa"/>
            <w:shd w:val="clear" w:color="auto" w:fill="C6EFCE"/>
            <w:noWrap/>
            <w:vAlign w:val="center"/>
            <w:hideMark/>
          </w:tcPr>
          <w:p w14:paraId="6F4B26D3" w14:textId="40EAFF1E" w:rsidR="004C6421" w:rsidRDefault="00CC179E">
            <w:pPr>
              <w:pStyle w:val="P68B1DB1-Normal4"/>
              <w:jc w:val="center"/>
              <w:rPr>
                <w:rFonts w:eastAsia="Calibri"/>
                <w:noProof/>
              </w:rPr>
            </w:pPr>
            <w:r>
              <w:rPr>
                <w:noProof/>
              </w:rPr>
              <w:t>KW. 4</w:t>
            </w:r>
          </w:p>
        </w:tc>
        <w:tc>
          <w:tcPr>
            <w:tcW w:w="755" w:type="dxa"/>
            <w:shd w:val="clear" w:color="auto" w:fill="C6EFCE"/>
            <w:noWrap/>
            <w:vAlign w:val="center"/>
            <w:hideMark/>
          </w:tcPr>
          <w:p w14:paraId="311D5F4B" w14:textId="77777777" w:rsidR="004C6421" w:rsidRDefault="009D1962">
            <w:pPr>
              <w:pStyle w:val="P68B1DB1-Normal4"/>
              <w:jc w:val="center"/>
              <w:rPr>
                <w:noProof/>
              </w:rPr>
            </w:pPr>
            <w:r>
              <w:rPr>
                <w:noProof/>
              </w:rPr>
              <w:t>2021</w:t>
            </w:r>
          </w:p>
        </w:tc>
        <w:tc>
          <w:tcPr>
            <w:tcW w:w="5046" w:type="dxa"/>
            <w:shd w:val="clear" w:color="auto" w:fill="C6EFCE"/>
            <w:noWrap/>
            <w:vAlign w:val="center"/>
            <w:hideMark/>
          </w:tcPr>
          <w:p w14:paraId="4EDD96CA" w14:textId="77777777" w:rsidR="004C6421" w:rsidRDefault="009D1962">
            <w:pPr>
              <w:pStyle w:val="P68B1DB1-Normal4"/>
              <w:rPr>
                <w:noProof/>
              </w:rPr>
            </w:pPr>
            <w:r>
              <w:rPr>
                <w:noProof/>
              </w:rPr>
              <w:t>Ustawa ramowa, która składa się z ustawy o delegowaniu zadań, wzmacnia autonomię osób z niepełnosprawnościami zgodnie z zasadami Konwencji ONZ o prawach osób niepełnosprawnych i europejskiej strategii na rzecz praw osób z niepełnosprawnościami na lata 2021–2030, która obejmuje co najmniej: (i) kompleksowa definicja i poprawa oferty usług socjalnych dla osób niepełnosprawnych wraz z promowaniem deinstytucjonalizacji i niezależnego życia, (ii) uproszczenie procedur dostępu do usług zdrowotnych i społecznych oraz (iii) przegląd procedur oceny stanu niepełnosprawności w kierunku wielowymiarowej oceny stanu zdrowia każdej osoby.</w:t>
            </w:r>
          </w:p>
          <w:p w14:paraId="25EE955B" w14:textId="77777777" w:rsidR="004C6421" w:rsidRDefault="009D1962">
            <w:pPr>
              <w:pStyle w:val="P68B1DB1-Normal4"/>
              <w:rPr>
                <w:rFonts w:eastAsia="Calibri"/>
                <w:noProof/>
              </w:rPr>
            </w:pPr>
            <w:r>
              <w:rPr>
                <w:noProof/>
              </w:rPr>
              <w:t>Osoby niepełnosprawne to osoby zdefiniowane zgodnie z zasadami Konwencji ONZ o prawach osób niepełnosprawnych w ustawie nr 104/1992. WE Włoszech proces oceny leży w gestii regionów, a dana osoba jest oceniana przez lokalne służby zdrowia lub Krajowy Instytut Opieki Społecznej.</w:t>
            </w:r>
          </w:p>
          <w:p w14:paraId="4CE492F5" w14:textId="77777777" w:rsidR="004C6421" w:rsidRDefault="009D1962">
            <w:pPr>
              <w:pStyle w:val="P68B1DB1-Normal4"/>
              <w:rPr>
                <w:rFonts w:eastAsia="Calibri"/>
                <w:noProof/>
              </w:rPr>
            </w:pPr>
            <w:r>
              <w:rPr>
                <w:noProof/>
              </w:rPr>
              <w:t>Ustawa jest przedstawiana przez Ministra ds. Niepełnosprawności do zatwierdzenia przez Radę Ministrów, zgodnie z ustalonym planem działania.</w:t>
            </w:r>
          </w:p>
          <w:p w14:paraId="77E6A51B" w14:textId="77777777" w:rsidR="004C6421" w:rsidRDefault="009D1962">
            <w:pPr>
              <w:pStyle w:val="P68B1DB1-Normal4"/>
              <w:rPr>
                <w:rFonts w:eastAsia="Calibri"/>
                <w:noProof/>
              </w:rPr>
            </w:pPr>
            <w:r>
              <w:rPr>
                <w:noProof/>
              </w:rPr>
              <w:t>Po przyjęciu ustawy ramowej nastąpi reorganizacja lokalnych usług socjalnych, określenie norm jakości oraz stworzenie platformy ICT w celu poprawy i zwiększenia skuteczności usług.</w:t>
            </w:r>
          </w:p>
        </w:tc>
      </w:tr>
      <w:tr w:rsidR="004C6421" w14:paraId="0F9BFDE0" w14:textId="77777777">
        <w:trPr>
          <w:trHeight w:val="309"/>
          <w:jc w:val="center"/>
        </w:trPr>
        <w:tc>
          <w:tcPr>
            <w:tcW w:w="1648" w:type="dxa"/>
            <w:shd w:val="clear" w:color="auto" w:fill="C6EFCE"/>
            <w:noWrap/>
            <w:vAlign w:val="center"/>
            <w:hideMark/>
          </w:tcPr>
          <w:p w14:paraId="7D0C438F" w14:textId="77777777" w:rsidR="004C6421" w:rsidRDefault="009D1962">
            <w:pPr>
              <w:pStyle w:val="P68B1DB1-Normal4"/>
              <w:spacing w:before="120" w:after="120"/>
              <w:jc w:val="center"/>
              <w:rPr>
                <w:noProof/>
              </w:rPr>
            </w:pPr>
            <w:r>
              <w:rPr>
                <w:noProof/>
              </w:rPr>
              <w:t>M5C2-2</w:t>
            </w:r>
          </w:p>
        </w:tc>
        <w:tc>
          <w:tcPr>
            <w:tcW w:w="1908" w:type="dxa"/>
            <w:shd w:val="clear" w:color="auto" w:fill="C6EFCE"/>
            <w:noWrap/>
            <w:vAlign w:val="center"/>
            <w:hideMark/>
          </w:tcPr>
          <w:p w14:paraId="5A88CD78" w14:textId="77777777" w:rsidR="004C6421" w:rsidRDefault="009D1962">
            <w:pPr>
              <w:pStyle w:val="P68B1DB1-Normal4"/>
              <w:jc w:val="center"/>
              <w:rPr>
                <w:noProof/>
              </w:rPr>
            </w:pPr>
            <w:r>
              <w:rPr>
                <w:noProof/>
              </w:rPr>
              <w:t>Reforma 1 – Ustawa ramowa o niepełnosprawności</w:t>
            </w:r>
          </w:p>
        </w:tc>
        <w:tc>
          <w:tcPr>
            <w:tcW w:w="1322" w:type="dxa"/>
            <w:shd w:val="clear" w:color="auto" w:fill="C6EFCE"/>
            <w:noWrap/>
            <w:vAlign w:val="center"/>
            <w:hideMark/>
          </w:tcPr>
          <w:p w14:paraId="4D3F4CA2" w14:textId="1249EE67" w:rsidR="004C6421" w:rsidRDefault="00CC179E">
            <w:pPr>
              <w:pStyle w:val="P68B1DB1-Normal4"/>
              <w:jc w:val="center"/>
              <w:rPr>
                <w:rFonts w:eastAsia="Calibri"/>
                <w:noProof/>
              </w:rPr>
            </w:pPr>
            <w:r>
              <w:rPr>
                <w:noProof/>
              </w:rPr>
              <w:t>Milowy</w:t>
            </w:r>
          </w:p>
        </w:tc>
        <w:tc>
          <w:tcPr>
            <w:tcW w:w="1395" w:type="dxa"/>
            <w:shd w:val="clear" w:color="auto" w:fill="C6EFCE"/>
            <w:noWrap/>
            <w:vAlign w:val="center"/>
            <w:hideMark/>
          </w:tcPr>
          <w:p w14:paraId="106BCD1A" w14:textId="0B247CA0" w:rsidR="004C6421" w:rsidRDefault="009D1962">
            <w:pPr>
              <w:pStyle w:val="P68B1DB1-Normal4"/>
              <w:jc w:val="center"/>
              <w:rPr>
                <w:noProof/>
              </w:rPr>
            </w:pPr>
            <w:r>
              <w:rPr>
                <w:noProof/>
              </w:rPr>
              <w:t>Wejście w życie dekretów ustawodawczych zmieniających przepisy ustawy ramowej w celu wzmocnienia autonomii osób niepełnosprawnych</w:t>
            </w:r>
          </w:p>
        </w:tc>
        <w:tc>
          <w:tcPr>
            <w:tcW w:w="1476" w:type="dxa"/>
            <w:shd w:val="clear" w:color="auto" w:fill="C6EFCE"/>
            <w:noWrap/>
            <w:vAlign w:val="center"/>
            <w:hideMark/>
          </w:tcPr>
          <w:p w14:paraId="12A827A7" w14:textId="77777777" w:rsidR="004C6421" w:rsidRDefault="009D1962">
            <w:pPr>
              <w:pStyle w:val="P68B1DB1-Normal4"/>
              <w:jc w:val="center"/>
              <w:rPr>
                <w:rFonts w:eastAsia="Calibri"/>
                <w:noProof/>
              </w:rPr>
            </w:pPr>
            <w:r>
              <w:rPr>
                <w:noProof/>
              </w:rPr>
              <w:t>Przepisy ustawy wskazujące na wejście w życie dekretów ustawodawczych NIE DOT.</w:t>
            </w:r>
          </w:p>
        </w:tc>
        <w:tc>
          <w:tcPr>
            <w:tcW w:w="1474" w:type="dxa"/>
            <w:shd w:val="clear" w:color="auto" w:fill="C6EFCE"/>
            <w:noWrap/>
            <w:vAlign w:val="center"/>
            <w:hideMark/>
          </w:tcPr>
          <w:p w14:paraId="5805F6E7" w14:textId="77777777" w:rsidR="004C6421" w:rsidRDefault="009D1962">
            <w:pPr>
              <w:pStyle w:val="P68B1DB1-Normal4"/>
              <w:jc w:val="center"/>
              <w:rPr>
                <w:noProof/>
              </w:rPr>
            </w:pPr>
            <w:r>
              <w:rPr>
                <w:noProof/>
              </w:rPr>
              <w:t>NIE DOT.</w:t>
            </w:r>
          </w:p>
        </w:tc>
        <w:tc>
          <w:tcPr>
            <w:tcW w:w="1092" w:type="dxa"/>
            <w:shd w:val="clear" w:color="auto" w:fill="C6EFCE"/>
            <w:noWrap/>
            <w:vAlign w:val="center"/>
            <w:hideMark/>
          </w:tcPr>
          <w:p w14:paraId="77DDCF76" w14:textId="77777777" w:rsidR="004C6421" w:rsidRDefault="009D1962">
            <w:pPr>
              <w:pStyle w:val="P68B1DB1-Normal4"/>
              <w:jc w:val="center"/>
              <w:rPr>
                <w:rFonts w:eastAsia="Calibri"/>
                <w:noProof/>
              </w:rPr>
            </w:pPr>
            <w:r>
              <w:rPr>
                <w:noProof/>
              </w:rPr>
              <w:t>NIE DOT.</w:t>
            </w:r>
          </w:p>
        </w:tc>
        <w:tc>
          <w:tcPr>
            <w:tcW w:w="775" w:type="dxa"/>
            <w:shd w:val="clear" w:color="auto" w:fill="C6EFCE"/>
            <w:noWrap/>
            <w:vAlign w:val="center"/>
            <w:hideMark/>
          </w:tcPr>
          <w:p w14:paraId="136CD004" w14:textId="77777777" w:rsidR="004C6421" w:rsidRDefault="009D1962">
            <w:pPr>
              <w:pStyle w:val="P68B1DB1-Normal4"/>
              <w:jc w:val="center"/>
              <w:rPr>
                <w:rFonts w:eastAsia="Calibri"/>
                <w:noProof/>
              </w:rPr>
            </w:pPr>
            <w:r>
              <w:rPr>
                <w:noProof/>
              </w:rPr>
              <w:t>NIE DOT.</w:t>
            </w:r>
          </w:p>
        </w:tc>
        <w:tc>
          <w:tcPr>
            <w:tcW w:w="1078" w:type="dxa"/>
            <w:shd w:val="clear" w:color="auto" w:fill="C6EFCE"/>
            <w:noWrap/>
            <w:vAlign w:val="center"/>
            <w:hideMark/>
          </w:tcPr>
          <w:p w14:paraId="5074DD87" w14:textId="77777777" w:rsidR="004C6421" w:rsidRDefault="009D1962">
            <w:pPr>
              <w:pStyle w:val="P68B1DB1-Normal4"/>
              <w:jc w:val="center"/>
              <w:rPr>
                <w:noProof/>
              </w:rPr>
            </w:pPr>
            <w:r>
              <w:rPr>
                <w:noProof/>
              </w:rPr>
              <w:t>II KW.</w:t>
            </w:r>
          </w:p>
        </w:tc>
        <w:tc>
          <w:tcPr>
            <w:tcW w:w="755" w:type="dxa"/>
            <w:shd w:val="clear" w:color="auto" w:fill="C6EFCE"/>
            <w:noWrap/>
            <w:vAlign w:val="center"/>
            <w:hideMark/>
          </w:tcPr>
          <w:p w14:paraId="2E636719" w14:textId="77777777" w:rsidR="004C6421" w:rsidRDefault="009D1962">
            <w:pPr>
              <w:pStyle w:val="P68B1DB1-Normal4"/>
              <w:jc w:val="center"/>
              <w:rPr>
                <w:rFonts w:eastAsia="Calibri"/>
                <w:noProof/>
              </w:rPr>
            </w:pPr>
            <w:r>
              <w:rPr>
                <w:noProof/>
              </w:rPr>
              <w:t>2024</w:t>
            </w:r>
          </w:p>
        </w:tc>
        <w:tc>
          <w:tcPr>
            <w:tcW w:w="5046" w:type="dxa"/>
            <w:shd w:val="clear" w:color="auto" w:fill="C6EFCE"/>
            <w:noWrap/>
            <w:vAlign w:val="center"/>
            <w:hideMark/>
          </w:tcPr>
          <w:p w14:paraId="367708DE" w14:textId="4C644F38" w:rsidR="004C6421" w:rsidRDefault="009D1962">
            <w:pPr>
              <w:pStyle w:val="P68B1DB1-Normal4"/>
              <w:rPr>
                <w:rFonts w:eastAsia="Calibri"/>
                <w:noProof/>
              </w:rPr>
            </w:pPr>
            <w:r>
              <w:rPr>
                <w:noProof/>
              </w:rPr>
              <w:t>Dekrety ustawodawcze rozwijają przepisy określone w ustawie ramowej w celu wzmocnienia autonomii osób niepełnosprawnych:(I) wzmocnienie oferty usług społecznych, (II) uproszczenie dostępu do usług socjalnych i zdrowotnych, (III) reformy oceny niepełnosprawności, (IV) promowanie projektów samodzielnego życia, (V) promowanie pracy zespołów ekspertów, którzy mogą wspierać osoby niepełnosprawne o wielowymiarowych potrzebach.</w:t>
            </w:r>
          </w:p>
        </w:tc>
      </w:tr>
      <w:tr w:rsidR="004C6421" w14:paraId="4D4CD677" w14:textId="77777777">
        <w:trPr>
          <w:trHeight w:val="309"/>
          <w:jc w:val="center"/>
        </w:trPr>
        <w:tc>
          <w:tcPr>
            <w:tcW w:w="1648" w:type="dxa"/>
            <w:shd w:val="clear" w:color="auto" w:fill="C6EFCE"/>
            <w:noWrap/>
            <w:vAlign w:val="center"/>
            <w:hideMark/>
          </w:tcPr>
          <w:p w14:paraId="6E6729F4" w14:textId="77777777" w:rsidR="004C6421" w:rsidRDefault="009D1962">
            <w:pPr>
              <w:pStyle w:val="P68B1DB1-Normal4"/>
              <w:spacing w:before="120" w:after="120"/>
              <w:jc w:val="center"/>
              <w:rPr>
                <w:noProof/>
              </w:rPr>
            </w:pPr>
            <w:r>
              <w:rPr>
                <w:noProof/>
              </w:rPr>
              <w:t>M5C2-3</w:t>
            </w:r>
          </w:p>
        </w:tc>
        <w:tc>
          <w:tcPr>
            <w:tcW w:w="1908" w:type="dxa"/>
            <w:shd w:val="clear" w:color="auto" w:fill="C6EFCE"/>
            <w:noWrap/>
            <w:vAlign w:val="center"/>
            <w:hideMark/>
          </w:tcPr>
          <w:p w14:paraId="06C15C99" w14:textId="77777777" w:rsidR="004C6421" w:rsidRDefault="009D1962">
            <w:pPr>
              <w:pStyle w:val="P68B1DB1-Normal4"/>
              <w:jc w:val="center"/>
              <w:rPr>
                <w:noProof/>
              </w:rPr>
            </w:pPr>
            <w:r>
              <w:rPr>
                <w:noProof/>
              </w:rPr>
              <w:t>Reforma 2 – Reforma na rzecz osób starszych, które nie są samowystarczalne</w:t>
            </w:r>
          </w:p>
        </w:tc>
        <w:tc>
          <w:tcPr>
            <w:tcW w:w="1322" w:type="dxa"/>
            <w:shd w:val="clear" w:color="auto" w:fill="C6EFCE"/>
            <w:noWrap/>
            <w:vAlign w:val="center"/>
            <w:hideMark/>
          </w:tcPr>
          <w:p w14:paraId="4309FCE0" w14:textId="394BAA5A" w:rsidR="004C6421" w:rsidRDefault="00CC179E">
            <w:pPr>
              <w:pStyle w:val="P68B1DB1-Normal4"/>
              <w:jc w:val="center"/>
              <w:rPr>
                <w:noProof/>
              </w:rPr>
            </w:pPr>
            <w:r>
              <w:rPr>
                <w:noProof/>
              </w:rPr>
              <w:t>Milowy</w:t>
            </w:r>
          </w:p>
        </w:tc>
        <w:tc>
          <w:tcPr>
            <w:tcW w:w="1395" w:type="dxa"/>
            <w:shd w:val="clear" w:color="auto" w:fill="C6EFCE"/>
            <w:noWrap/>
            <w:vAlign w:val="center"/>
            <w:hideMark/>
          </w:tcPr>
          <w:p w14:paraId="7136E60E" w14:textId="77777777" w:rsidR="004C6421" w:rsidRDefault="009D1962">
            <w:pPr>
              <w:pStyle w:val="P68B1DB1-Normal4"/>
              <w:jc w:val="center"/>
              <w:rPr>
                <w:noProof/>
              </w:rPr>
            </w:pPr>
            <w:r>
              <w:rPr>
                <w:noProof/>
              </w:rPr>
              <w:t>Wejście w życie ustawy ramowej wzmacniającej działania na rzecz niesamodzielności osób starszych</w:t>
            </w:r>
          </w:p>
        </w:tc>
        <w:tc>
          <w:tcPr>
            <w:tcW w:w="1476" w:type="dxa"/>
            <w:shd w:val="clear" w:color="auto" w:fill="C6EFCE"/>
            <w:noWrap/>
            <w:vAlign w:val="center"/>
            <w:hideMark/>
          </w:tcPr>
          <w:p w14:paraId="62248844" w14:textId="77777777" w:rsidR="004C6421" w:rsidRDefault="009D1962">
            <w:pPr>
              <w:pStyle w:val="P68B1DB1-Normal6"/>
              <w:jc w:val="center"/>
              <w:rPr>
                <w:noProof/>
                <w:color w:val="006100"/>
              </w:rPr>
            </w:pPr>
            <w:r>
              <w:rPr>
                <w:noProof/>
                <w:color w:val="006100"/>
              </w:rPr>
              <w:t>Przepisy ustawy wskazujące na wejście w życie ustawy ramowej wzmacniające działania na rzecz niesamodzielności osób starszych NIE DOT</w:t>
            </w:r>
            <w:r>
              <w:rPr>
                <w:noProof/>
              </w:rPr>
              <w:t>.</w:t>
            </w:r>
          </w:p>
        </w:tc>
        <w:tc>
          <w:tcPr>
            <w:tcW w:w="1474" w:type="dxa"/>
            <w:shd w:val="clear" w:color="auto" w:fill="C6EFCE"/>
            <w:noWrap/>
            <w:vAlign w:val="center"/>
            <w:hideMark/>
          </w:tcPr>
          <w:p w14:paraId="2E8C892C" w14:textId="77777777" w:rsidR="004C6421" w:rsidRDefault="009D1962">
            <w:pPr>
              <w:pStyle w:val="P68B1DB1-Normal4"/>
              <w:jc w:val="center"/>
              <w:rPr>
                <w:noProof/>
              </w:rPr>
            </w:pPr>
            <w:r>
              <w:rPr>
                <w:noProof/>
              </w:rPr>
              <w:t>NIE DOT.</w:t>
            </w:r>
          </w:p>
        </w:tc>
        <w:tc>
          <w:tcPr>
            <w:tcW w:w="1092" w:type="dxa"/>
            <w:shd w:val="clear" w:color="auto" w:fill="C6EFCE"/>
            <w:noWrap/>
            <w:vAlign w:val="center"/>
            <w:hideMark/>
          </w:tcPr>
          <w:p w14:paraId="6077291C" w14:textId="77777777" w:rsidR="004C6421" w:rsidRDefault="009D1962">
            <w:pPr>
              <w:pStyle w:val="P68B1DB1-Normal4"/>
              <w:jc w:val="center"/>
              <w:rPr>
                <w:rFonts w:eastAsia="Calibri"/>
                <w:noProof/>
              </w:rPr>
            </w:pPr>
            <w:r>
              <w:rPr>
                <w:noProof/>
              </w:rPr>
              <w:t>NIE DOT.</w:t>
            </w:r>
          </w:p>
        </w:tc>
        <w:tc>
          <w:tcPr>
            <w:tcW w:w="775" w:type="dxa"/>
            <w:shd w:val="clear" w:color="auto" w:fill="C6EFCE"/>
            <w:noWrap/>
            <w:vAlign w:val="center"/>
            <w:hideMark/>
          </w:tcPr>
          <w:p w14:paraId="567105FD" w14:textId="77777777" w:rsidR="004C6421" w:rsidRDefault="009D1962">
            <w:pPr>
              <w:pStyle w:val="P68B1DB1-Normal4"/>
              <w:jc w:val="center"/>
              <w:rPr>
                <w:rFonts w:eastAsia="Calibri"/>
                <w:noProof/>
              </w:rPr>
            </w:pPr>
            <w:r>
              <w:rPr>
                <w:noProof/>
              </w:rPr>
              <w:t>NIE DOT.</w:t>
            </w:r>
          </w:p>
        </w:tc>
        <w:tc>
          <w:tcPr>
            <w:tcW w:w="1078" w:type="dxa"/>
            <w:shd w:val="clear" w:color="auto" w:fill="C6EFCE"/>
            <w:noWrap/>
            <w:vAlign w:val="center"/>
            <w:hideMark/>
          </w:tcPr>
          <w:p w14:paraId="48FFAD8D" w14:textId="26D31CBB" w:rsidR="004C6421" w:rsidRDefault="00CC179E">
            <w:pPr>
              <w:pStyle w:val="P68B1DB1-Normal4"/>
              <w:jc w:val="center"/>
              <w:rPr>
                <w:noProof/>
              </w:rPr>
            </w:pPr>
            <w:r>
              <w:rPr>
                <w:noProof/>
              </w:rPr>
              <w:t>KW. 1</w:t>
            </w:r>
          </w:p>
        </w:tc>
        <w:tc>
          <w:tcPr>
            <w:tcW w:w="755" w:type="dxa"/>
            <w:shd w:val="clear" w:color="auto" w:fill="C6EFCE"/>
            <w:noWrap/>
            <w:vAlign w:val="center"/>
            <w:hideMark/>
          </w:tcPr>
          <w:p w14:paraId="13B1D09E" w14:textId="77777777" w:rsidR="004C6421" w:rsidRDefault="009D1962">
            <w:pPr>
              <w:pStyle w:val="P68B1DB1-Normal4"/>
              <w:jc w:val="center"/>
              <w:rPr>
                <w:rFonts w:eastAsia="Calibri"/>
                <w:noProof/>
              </w:rPr>
            </w:pPr>
            <w:r>
              <w:rPr>
                <w:noProof/>
              </w:rPr>
              <w:t>2023</w:t>
            </w:r>
          </w:p>
        </w:tc>
        <w:tc>
          <w:tcPr>
            <w:tcW w:w="5046" w:type="dxa"/>
            <w:shd w:val="clear" w:color="auto" w:fill="C6EFCE"/>
            <w:noWrap/>
            <w:vAlign w:val="center"/>
            <w:hideMark/>
          </w:tcPr>
          <w:p w14:paraId="279D016F" w14:textId="77777777" w:rsidR="004C6421" w:rsidRDefault="009D1962">
            <w:pPr>
              <w:pStyle w:val="P68B1DB1-Normal4"/>
              <w:rPr>
                <w:noProof/>
              </w:rPr>
            </w:pPr>
            <w:r>
              <w:rPr>
                <w:noProof/>
              </w:rPr>
              <w:t>Ustawa ramowa zaproponowana przez rząd wzmocni działania na rzecz osób starszych, które nie są samowystarczalne. Ustawa ma na celu uproszczenie i zapewnienie pojedynczych punktów kontaktowych ds. usług społecznych i zdrowotnych, przegląd procedur oceny stanu osób starszych, które nie są samowystarczalne, oraz zwiększenie liczby usług socjalnych i opieki zdrowotnej, które mogą być świadczone w domu. Ustawa określa również niezbędne środki finansowe.</w:t>
            </w:r>
          </w:p>
        </w:tc>
      </w:tr>
      <w:tr w:rsidR="004C6421" w14:paraId="3228E6F8" w14:textId="77777777">
        <w:trPr>
          <w:trHeight w:val="309"/>
          <w:jc w:val="center"/>
        </w:trPr>
        <w:tc>
          <w:tcPr>
            <w:tcW w:w="1648" w:type="dxa"/>
            <w:shd w:val="clear" w:color="auto" w:fill="C6EFCE"/>
            <w:noWrap/>
            <w:vAlign w:val="center"/>
            <w:hideMark/>
          </w:tcPr>
          <w:p w14:paraId="17CC7697" w14:textId="77777777" w:rsidR="004C6421" w:rsidRDefault="009D1962">
            <w:pPr>
              <w:pStyle w:val="P68B1DB1-Normal4"/>
              <w:jc w:val="center"/>
              <w:rPr>
                <w:rFonts w:eastAsia="Calibri"/>
                <w:noProof/>
              </w:rPr>
            </w:pPr>
            <w:r>
              <w:rPr>
                <w:noProof/>
              </w:rPr>
              <w:t>M5C2-4</w:t>
            </w:r>
          </w:p>
        </w:tc>
        <w:tc>
          <w:tcPr>
            <w:tcW w:w="1908" w:type="dxa"/>
            <w:shd w:val="clear" w:color="auto" w:fill="C6EFCE"/>
            <w:noWrap/>
            <w:vAlign w:val="center"/>
            <w:hideMark/>
          </w:tcPr>
          <w:p w14:paraId="19EE2CCA" w14:textId="77777777" w:rsidR="004C6421" w:rsidRDefault="009D1962">
            <w:pPr>
              <w:pStyle w:val="P68B1DB1-Normal4"/>
              <w:jc w:val="center"/>
              <w:rPr>
                <w:noProof/>
              </w:rPr>
            </w:pPr>
            <w:r>
              <w:rPr>
                <w:noProof/>
              </w:rPr>
              <w:t>Reforma 2 – Reforma dotycząca osób starszych, które nie są samowystarczalne</w:t>
            </w:r>
          </w:p>
        </w:tc>
        <w:tc>
          <w:tcPr>
            <w:tcW w:w="1322" w:type="dxa"/>
            <w:shd w:val="clear" w:color="auto" w:fill="C6EFCE"/>
            <w:noWrap/>
            <w:vAlign w:val="center"/>
            <w:hideMark/>
          </w:tcPr>
          <w:p w14:paraId="6139021F" w14:textId="0C020A34" w:rsidR="004C6421" w:rsidRDefault="00CC179E">
            <w:pPr>
              <w:pStyle w:val="P68B1DB1-Normal4"/>
              <w:jc w:val="center"/>
              <w:rPr>
                <w:rFonts w:eastAsia="Calibri"/>
                <w:noProof/>
              </w:rPr>
            </w:pPr>
            <w:r>
              <w:rPr>
                <w:noProof/>
              </w:rPr>
              <w:t>Milowy</w:t>
            </w:r>
          </w:p>
        </w:tc>
        <w:tc>
          <w:tcPr>
            <w:tcW w:w="1395" w:type="dxa"/>
            <w:shd w:val="clear" w:color="auto" w:fill="C6EFCE"/>
            <w:noWrap/>
            <w:vAlign w:val="center"/>
            <w:hideMark/>
          </w:tcPr>
          <w:p w14:paraId="631336B4" w14:textId="3F4003C4" w:rsidR="004C6421" w:rsidRDefault="009D1962">
            <w:pPr>
              <w:pStyle w:val="P68B1DB1-Normal4"/>
              <w:jc w:val="center"/>
              <w:rPr>
                <w:noProof/>
              </w:rPr>
            </w:pPr>
            <w:r>
              <w:rPr>
                <w:noProof/>
              </w:rPr>
              <w:t>Wejście w życie dekretu ustawodawczego, który rozwija przepisy określone w ustawie ramowej w celu wzmocnienia działań na rzecz osób starszych, które nie są samowystarczalne</w:t>
            </w:r>
          </w:p>
        </w:tc>
        <w:tc>
          <w:tcPr>
            <w:tcW w:w="1476" w:type="dxa"/>
            <w:shd w:val="clear" w:color="auto" w:fill="C6EFCE"/>
            <w:noWrap/>
            <w:vAlign w:val="center"/>
            <w:hideMark/>
          </w:tcPr>
          <w:p w14:paraId="73267041" w14:textId="074633EB" w:rsidR="004C6421" w:rsidRDefault="009D1962">
            <w:pPr>
              <w:pStyle w:val="P68B1DB1-Normal4"/>
              <w:jc w:val="center"/>
              <w:rPr>
                <w:noProof/>
              </w:rPr>
            </w:pPr>
            <w:r>
              <w:rPr>
                <w:noProof/>
              </w:rPr>
              <w:t>Przepisy ustawy wskazujące na wejście w życie dekretu ustawodawczego</w:t>
            </w:r>
          </w:p>
        </w:tc>
        <w:tc>
          <w:tcPr>
            <w:tcW w:w="1474" w:type="dxa"/>
            <w:shd w:val="clear" w:color="auto" w:fill="C6EFCE"/>
            <w:noWrap/>
            <w:vAlign w:val="center"/>
            <w:hideMark/>
          </w:tcPr>
          <w:p w14:paraId="24AD57CA" w14:textId="77777777" w:rsidR="004C6421" w:rsidRDefault="009D1962">
            <w:pPr>
              <w:pStyle w:val="P68B1DB1-Normal4"/>
              <w:jc w:val="center"/>
              <w:rPr>
                <w:rFonts w:eastAsia="Calibri"/>
                <w:noProof/>
              </w:rPr>
            </w:pPr>
            <w:r>
              <w:rPr>
                <w:noProof/>
              </w:rPr>
              <w:t>NIE DOT.</w:t>
            </w:r>
          </w:p>
        </w:tc>
        <w:tc>
          <w:tcPr>
            <w:tcW w:w="1092" w:type="dxa"/>
            <w:shd w:val="clear" w:color="auto" w:fill="C6EFCE"/>
            <w:noWrap/>
            <w:vAlign w:val="center"/>
            <w:hideMark/>
          </w:tcPr>
          <w:p w14:paraId="290DA2B2" w14:textId="77777777" w:rsidR="004C6421" w:rsidRDefault="009D1962">
            <w:pPr>
              <w:pStyle w:val="P68B1DB1-Normal4"/>
              <w:jc w:val="center"/>
              <w:rPr>
                <w:rFonts w:eastAsia="Calibri"/>
                <w:noProof/>
              </w:rPr>
            </w:pPr>
            <w:r>
              <w:rPr>
                <w:noProof/>
              </w:rPr>
              <w:t>NIE DOT.</w:t>
            </w:r>
          </w:p>
        </w:tc>
        <w:tc>
          <w:tcPr>
            <w:tcW w:w="775" w:type="dxa"/>
            <w:shd w:val="clear" w:color="auto" w:fill="C6EFCE"/>
            <w:noWrap/>
            <w:vAlign w:val="center"/>
            <w:hideMark/>
          </w:tcPr>
          <w:p w14:paraId="0B2756FE" w14:textId="77777777" w:rsidR="004C6421" w:rsidRDefault="009D1962">
            <w:pPr>
              <w:pStyle w:val="P68B1DB1-Normal4"/>
              <w:jc w:val="center"/>
              <w:rPr>
                <w:rFonts w:eastAsia="Calibri"/>
                <w:noProof/>
              </w:rPr>
            </w:pPr>
            <w:r>
              <w:rPr>
                <w:noProof/>
              </w:rPr>
              <w:t>NIE DOT.</w:t>
            </w:r>
          </w:p>
        </w:tc>
        <w:tc>
          <w:tcPr>
            <w:tcW w:w="1078" w:type="dxa"/>
            <w:shd w:val="clear" w:color="auto" w:fill="C6EFCE"/>
            <w:noWrap/>
            <w:vAlign w:val="center"/>
            <w:hideMark/>
          </w:tcPr>
          <w:p w14:paraId="7F40F6F5" w14:textId="454E1F51" w:rsidR="004C6421" w:rsidRDefault="00CC179E">
            <w:pPr>
              <w:pStyle w:val="P68B1DB1-Normal4"/>
              <w:jc w:val="center"/>
              <w:rPr>
                <w:noProof/>
              </w:rPr>
            </w:pPr>
            <w:r>
              <w:rPr>
                <w:noProof/>
              </w:rPr>
              <w:t>KW. 1</w:t>
            </w:r>
          </w:p>
        </w:tc>
        <w:tc>
          <w:tcPr>
            <w:tcW w:w="755" w:type="dxa"/>
            <w:shd w:val="clear" w:color="auto" w:fill="C6EFCE"/>
            <w:noWrap/>
            <w:vAlign w:val="center"/>
            <w:hideMark/>
          </w:tcPr>
          <w:p w14:paraId="7A4F070B" w14:textId="77777777" w:rsidR="004C6421" w:rsidRDefault="009D1962">
            <w:pPr>
              <w:pStyle w:val="P68B1DB1-Normal4"/>
              <w:jc w:val="center"/>
              <w:rPr>
                <w:noProof/>
              </w:rPr>
            </w:pPr>
            <w:r>
              <w:rPr>
                <w:noProof/>
              </w:rPr>
              <w:t>2024</w:t>
            </w:r>
          </w:p>
        </w:tc>
        <w:tc>
          <w:tcPr>
            <w:tcW w:w="5046" w:type="dxa"/>
            <w:shd w:val="clear" w:color="auto" w:fill="C6EFCE"/>
            <w:noWrap/>
            <w:vAlign w:val="center"/>
            <w:hideMark/>
          </w:tcPr>
          <w:p w14:paraId="44CE1C85" w14:textId="15DD49AD" w:rsidR="004C6421" w:rsidRDefault="009D1962">
            <w:pPr>
              <w:pStyle w:val="P68B1DB1-Normal4"/>
              <w:rPr>
                <w:noProof/>
              </w:rPr>
            </w:pPr>
            <w:r>
              <w:rPr>
                <w:noProof/>
              </w:rPr>
              <w:t>Dekret ustawodawczy skonkretyzuje przepisy określone w ustawie ramowej w celu wzmocnienia działań na rzecz osób starszych, które nie są samowystarczalne, poprzez wdrożenie różnych środków.</w:t>
            </w:r>
          </w:p>
        </w:tc>
      </w:tr>
      <w:tr w:rsidR="004C6421" w14:paraId="5B9E4DF4" w14:textId="77777777">
        <w:trPr>
          <w:trHeight w:val="309"/>
          <w:jc w:val="center"/>
        </w:trPr>
        <w:tc>
          <w:tcPr>
            <w:tcW w:w="1648" w:type="dxa"/>
            <w:shd w:val="clear" w:color="auto" w:fill="C6EFCE"/>
            <w:noWrap/>
            <w:vAlign w:val="center"/>
            <w:hideMark/>
          </w:tcPr>
          <w:p w14:paraId="66318AF6" w14:textId="77777777" w:rsidR="004C6421" w:rsidRDefault="009D1962">
            <w:pPr>
              <w:pStyle w:val="P68B1DB1-Normal4"/>
              <w:jc w:val="center"/>
              <w:rPr>
                <w:noProof/>
              </w:rPr>
            </w:pPr>
            <w:r>
              <w:rPr>
                <w:noProof/>
              </w:rPr>
              <w:t>M5C2-5</w:t>
            </w:r>
          </w:p>
        </w:tc>
        <w:tc>
          <w:tcPr>
            <w:tcW w:w="1908" w:type="dxa"/>
            <w:shd w:val="clear" w:color="auto" w:fill="C6EFCE"/>
            <w:noWrap/>
            <w:vAlign w:val="center"/>
            <w:hideMark/>
          </w:tcPr>
          <w:p w14:paraId="15ACFB87" w14:textId="77777777" w:rsidR="004C6421" w:rsidRDefault="009D1962">
            <w:pPr>
              <w:pStyle w:val="P68B1DB1-Normal4"/>
              <w:jc w:val="center"/>
              <w:rPr>
                <w:noProof/>
              </w:rPr>
            </w:pPr>
            <w:r>
              <w:rPr>
                <w:noProof/>
              </w:rPr>
              <w:t>Inwestycje 1 – Wspieranie osób znajdujących się w trudnej sytuacji i zapobieganie instytucjonalizacji</w:t>
            </w:r>
          </w:p>
        </w:tc>
        <w:tc>
          <w:tcPr>
            <w:tcW w:w="1322" w:type="dxa"/>
            <w:shd w:val="clear" w:color="auto" w:fill="C6EFCE"/>
            <w:noWrap/>
            <w:vAlign w:val="center"/>
            <w:hideMark/>
          </w:tcPr>
          <w:p w14:paraId="283A1CB2" w14:textId="611449A1" w:rsidR="004C6421" w:rsidRDefault="00CC179E">
            <w:pPr>
              <w:pStyle w:val="P68B1DB1-Normal4"/>
              <w:jc w:val="center"/>
              <w:rPr>
                <w:noProof/>
              </w:rPr>
            </w:pPr>
            <w:r>
              <w:rPr>
                <w:noProof/>
              </w:rPr>
              <w:t>Milowy</w:t>
            </w:r>
          </w:p>
        </w:tc>
        <w:tc>
          <w:tcPr>
            <w:tcW w:w="1395" w:type="dxa"/>
            <w:shd w:val="clear" w:color="auto" w:fill="C6EFCE"/>
            <w:noWrap/>
            <w:vAlign w:val="center"/>
            <w:hideMark/>
          </w:tcPr>
          <w:p w14:paraId="586BAA69" w14:textId="77777777" w:rsidR="004C6421" w:rsidRDefault="009D1962">
            <w:pPr>
              <w:pStyle w:val="P68B1DB1-Normal4"/>
              <w:jc w:val="center"/>
              <w:rPr>
                <w:noProof/>
              </w:rPr>
            </w:pPr>
            <w:r>
              <w:rPr>
                <w:noProof/>
              </w:rPr>
              <w:t>Wejście w życie planu operacyjnego</w:t>
            </w:r>
          </w:p>
        </w:tc>
        <w:tc>
          <w:tcPr>
            <w:tcW w:w="1476" w:type="dxa"/>
            <w:shd w:val="clear" w:color="auto" w:fill="C6EFCE"/>
            <w:noWrap/>
            <w:vAlign w:val="center"/>
            <w:hideMark/>
          </w:tcPr>
          <w:p w14:paraId="35755E81" w14:textId="77777777" w:rsidR="004C6421" w:rsidRDefault="009D1962">
            <w:pPr>
              <w:pStyle w:val="P68B1DB1-Normal4"/>
              <w:jc w:val="center"/>
              <w:rPr>
                <w:noProof/>
              </w:rPr>
            </w:pPr>
            <w:r>
              <w:rPr>
                <w:noProof/>
              </w:rPr>
              <w:t>Przepisy prawa wskazujące na wejście w życie operacyjnego planu interwencji NIE DOT.</w:t>
            </w:r>
          </w:p>
        </w:tc>
        <w:tc>
          <w:tcPr>
            <w:tcW w:w="1474" w:type="dxa"/>
            <w:shd w:val="clear" w:color="auto" w:fill="C6EFCE"/>
            <w:noWrap/>
            <w:vAlign w:val="center"/>
            <w:hideMark/>
          </w:tcPr>
          <w:p w14:paraId="72B744F7" w14:textId="77777777" w:rsidR="004C6421" w:rsidRDefault="009D1962">
            <w:pPr>
              <w:pStyle w:val="P68B1DB1-Normal4"/>
              <w:jc w:val="center"/>
              <w:rPr>
                <w:rFonts w:eastAsia="Calibri"/>
                <w:noProof/>
              </w:rPr>
            </w:pPr>
            <w:r>
              <w:rPr>
                <w:noProof/>
              </w:rPr>
              <w:t>NIE DOT.</w:t>
            </w:r>
          </w:p>
        </w:tc>
        <w:tc>
          <w:tcPr>
            <w:tcW w:w="1092" w:type="dxa"/>
            <w:shd w:val="clear" w:color="auto" w:fill="C6EFCE"/>
            <w:noWrap/>
            <w:vAlign w:val="center"/>
            <w:hideMark/>
          </w:tcPr>
          <w:p w14:paraId="7BDDAA38" w14:textId="77777777" w:rsidR="004C6421" w:rsidRDefault="009D1962">
            <w:pPr>
              <w:pStyle w:val="P68B1DB1-Normal4"/>
              <w:jc w:val="center"/>
              <w:rPr>
                <w:rFonts w:eastAsia="Calibri"/>
                <w:noProof/>
              </w:rPr>
            </w:pPr>
            <w:r>
              <w:rPr>
                <w:noProof/>
              </w:rPr>
              <w:t>NIE DOT.</w:t>
            </w:r>
          </w:p>
        </w:tc>
        <w:tc>
          <w:tcPr>
            <w:tcW w:w="775" w:type="dxa"/>
            <w:shd w:val="clear" w:color="auto" w:fill="C6EFCE"/>
            <w:noWrap/>
            <w:vAlign w:val="center"/>
            <w:hideMark/>
          </w:tcPr>
          <w:p w14:paraId="01D8152B" w14:textId="77777777" w:rsidR="004C6421" w:rsidRDefault="009D1962">
            <w:pPr>
              <w:pStyle w:val="P68B1DB1-Normal4"/>
              <w:jc w:val="center"/>
              <w:rPr>
                <w:rFonts w:eastAsia="Calibri"/>
                <w:noProof/>
              </w:rPr>
            </w:pPr>
            <w:r>
              <w:rPr>
                <w:noProof/>
              </w:rPr>
              <w:t>NIE DOT.</w:t>
            </w:r>
          </w:p>
        </w:tc>
        <w:tc>
          <w:tcPr>
            <w:tcW w:w="1078" w:type="dxa"/>
            <w:shd w:val="clear" w:color="auto" w:fill="C6EFCE"/>
            <w:noWrap/>
            <w:vAlign w:val="center"/>
            <w:hideMark/>
          </w:tcPr>
          <w:p w14:paraId="59B0B89C" w14:textId="62599235" w:rsidR="004C6421" w:rsidRDefault="00CC179E">
            <w:pPr>
              <w:pStyle w:val="P68B1DB1-Normal4"/>
              <w:jc w:val="center"/>
              <w:rPr>
                <w:rFonts w:eastAsia="Calibri"/>
                <w:noProof/>
              </w:rPr>
            </w:pPr>
            <w:r>
              <w:rPr>
                <w:noProof/>
              </w:rPr>
              <w:t>KW. 4</w:t>
            </w:r>
          </w:p>
        </w:tc>
        <w:tc>
          <w:tcPr>
            <w:tcW w:w="755" w:type="dxa"/>
            <w:shd w:val="clear" w:color="auto" w:fill="C6EFCE"/>
            <w:noWrap/>
            <w:vAlign w:val="center"/>
            <w:hideMark/>
          </w:tcPr>
          <w:p w14:paraId="6BA71608" w14:textId="77777777" w:rsidR="004C6421" w:rsidRDefault="009D1962">
            <w:pPr>
              <w:pStyle w:val="P68B1DB1-Normal4"/>
              <w:jc w:val="center"/>
              <w:rPr>
                <w:rFonts w:eastAsia="Calibri"/>
                <w:noProof/>
              </w:rPr>
            </w:pPr>
            <w:r>
              <w:rPr>
                <w:noProof/>
              </w:rPr>
              <w:t>2021</w:t>
            </w:r>
          </w:p>
        </w:tc>
        <w:tc>
          <w:tcPr>
            <w:tcW w:w="5046" w:type="dxa"/>
            <w:shd w:val="clear" w:color="auto" w:fill="C6EFCE"/>
            <w:noWrap/>
            <w:vAlign w:val="center"/>
            <w:hideMark/>
          </w:tcPr>
          <w:p w14:paraId="04052E31" w14:textId="77777777" w:rsidR="004C6421" w:rsidRDefault="009D1962">
            <w:pPr>
              <w:pStyle w:val="P68B1DB1-Normal4"/>
              <w:rPr>
                <w:noProof/>
              </w:rPr>
            </w:pPr>
            <w:r>
              <w:rPr>
                <w:noProof/>
              </w:rPr>
              <w:t>W planie operacyjnym określa się wymagania dotyczące projektów, które mogą być przedstawiane przez jednostki lokalne i które odnoszą się do czterech wymiarów: (i) wsparcie dla rodziców dzieci w wieku od 0 do 17 lat, (ii) wspieranie autonomii osób starszych, (iii) usługi domowe dla osób starszych oraz (iv) wsparcie dla pracowników socjalnych.</w:t>
            </w:r>
          </w:p>
          <w:p w14:paraId="55C9B5E3" w14:textId="77777777" w:rsidR="004C6421" w:rsidRDefault="004C6421">
            <w:pPr>
              <w:rPr>
                <w:rFonts w:ascii="Arial Narrow" w:eastAsia="Calibri" w:hAnsi="Arial Narrow"/>
                <w:noProof/>
                <w:color w:val="006100"/>
                <w:sz w:val="20"/>
              </w:rPr>
            </w:pPr>
          </w:p>
          <w:p w14:paraId="3653A620" w14:textId="77777777" w:rsidR="004C6421" w:rsidRDefault="009D1962">
            <w:pPr>
              <w:pStyle w:val="P68B1DB1-Normal4"/>
              <w:rPr>
                <w:noProof/>
              </w:rPr>
            </w:pPr>
            <w:r>
              <w:rPr>
                <w:noProof/>
              </w:rPr>
              <w:t>Działanie „Wsparcie dla rodziców” obejmuje co najmniej udzielanie wsparcia rodzinom otrzymującym wsparcie przez okres co najmniej 18 miesięcy wraz z (i) wstępną oceną środowiska rodzinnego i sytuacji dzieci, (ii) oceną sytuacji dokonaną przez multidyscyplinarny zespół wykwalifikowanych specjalistów oraz (iii) świadczenie co najmniej jednej z następujących usług: usługi domowe, udział we wspieraniu grup dla rodziców i dzieci; współpraca między szkołami, rodzinami i służbami socjalnymi lub wspólnymi usługami opieki rodzinnej.</w:t>
            </w:r>
          </w:p>
          <w:p w14:paraId="4218D93D" w14:textId="77777777" w:rsidR="004C6421" w:rsidRDefault="009D1962">
            <w:pPr>
              <w:pStyle w:val="P68B1DB1-Normal4"/>
              <w:rPr>
                <w:rFonts w:eastAsia="Calibri"/>
                <w:noProof/>
              </w:rPr>
            </w:pPr>
            <w:r>
              <w:rPr>
                <w:noProof/>
              </w:rPr>
              <w:t>Działanie „samodzielność osób starszych” polega co najmniej na ponownym przekształceniu domów spokojnej starości dla osób starszych w grupach autonomicznych mieszkań wyposażonych we wszystkie niezbędne urządzenia i usługi, w tym automatyzację domów, telemedycynę i zdalne monitorowanie.</w:t>
            </w:r>
          </w:p>
          <w:p w14:paraId="4E52DB2A" w14:textId="77777777" w:rsidR="004C6421" w:rsidRDefault="009D1962">
            <w:pPr>
              <w:pStyle w:val="P68B1DB1-Normal4"/>
              <w:rPr>
                <w:rFonts w:eastAsia="Calibri"/>
                <w:noProof/>
              </w:rPr>
            </w:pPr>
            <w:r>
              <w:rPr>
                <w:noProof/>
              </w:rPr>
              <w:t>Działanie „Usługi domowe dla osób starszych” ma na celu zapewnienie specjalistycznych szkoleń dla specjalistów w zakresie usług domowych dla osób starszych.</w:t>
            </w:r>
          </w:p>
          <w:p w14:paraId="5BAECA93" w14:textId="77777777" w:rsidR="004C6421" w:rsidRDefault="009D1962">
            <w:pPr>
              <w:pStyle w:val="P68B1DB1-Normal4"/>
              <w:rPr>
                <w:rFonts w:eastAsia="Calibri"/>
                <w:noProof/>
              </w:rPr>
            </w:pPr>
            <w:r>
              <w:rPr>
                <w:noProof/>
              </w:rPr>
              <w:t>Działanie „wsparcie dla pracowników socjalnych” polega na wspieraniu podmiotów społecznych oraz wzmacnianiu ich profesjonalizmu i kompetencji dzielonych, głównie poprzez wprowadzenie instrumentów podziału kompetencji i świadczenie usług nadzoru na rzecz podmiotów w celu wsparcia ich pracy.</w:t>
            </w:r>
          </w:p>
        </w:tc>
      </w:tr>
      <w:tr w:rsidR="004C6421" w14:paraId="31536A69" w14:textId="77777777">
        <w:trPr>
          <w:trHeight w:val="309"/>
          <w:jc w:val="center"/>
        </w:trPr>
        <w:tc>
          <w:tcPr>
            <w:tcW w:w="1648" w:type="dxa"/>
            <w:shd w:val="clear" w:color="auto" w:fill="C6EFCE"/>
            <w:noWrap/>
            <w:vAlign w:val="center"/>
            <w:hideMark/>
          </w:tcPr>
          <w:p w14:paraId="632180B3" w14:textId="77777777" w:rsidR="004C6421" w:rsidRDefault="009D1962">
            <w:pPr>
              <w:pStyle w:val="P68B1DB1-Normal4"/>
              <w:spacing w:before="120"/>
              <w:jc w:val="center"/>
              <w:rPr>
                <w:rFonts w:eastAsia="Calibri"/>
                <w:noProof/>
              </w:rPr>
            </w:pPr>
            <w:r>
              <w:rPr>
                <w:noProof/>
              </w:rPr>
              <w:t>M5C2-6</w:t>
            </w:r>
          </w:p>
        </w:tc>
        <w:tc>
          <w:tcPr>
            <w:tcW w:w="1908" w:type="dxa"/>
            <w:shd w:val="clear" w:color="auto" w:fill="C6EFCE"/>
            <w:noWrap/>
            <w:vAlign w:val="center"/>
            <w:hideMark/>
          </w:tcPr>
          <w:p w14:paraId="175344EC" w14:textId="77777777" w:rsidR="004C6421" w:rsidRDefault="009D1962">
            <w:pPr>
              <w:pStyle w:val="P68B1DB1-Normal4"/>
              <w:spacing w:before="120" w:after="120"/>
              <w:jc w:val="center"/>
              <w:rPr>
                <w:noProof/>
              </w:rPr>
            </w:pPr>
            <w:r>
              <w:rPr>
                <w:noProof/>
              </w:rPr>
              <w:t>Inwestycje 1 – Wspieranie osób znajdujących się w trudnej sytuacji i zapobieganie instytucjonalizacji</w:t>
            </w:r>
          </w:p>
        </w:tc>
        <w:tc>
          <w:tcPr>
            <w:tcW w:w="1322" w:type="dxa"/>
            <w:shd w:val="clear" w:color="auto" w:fill="C6EFCE"/>
            <w:noWrap/>
            <w:vAlign w:val="center"/>
            <w:hideMark/>
          </w:tcPr>
          <w:p w14:paraId="7087C8CE" w14:textId="77777777" w:rsidR="004C6421" w:rsidRDefault="009D1962">
            <w:pPr>
              <w:pStyle w:val="P68B1DB1-Normal4"/>
              <w:spacing w:before="120" w:after="120"/>
              <w:jc w:val="center"/>
              <w:rPr>
                <w:rFonts w:eastAsia="Calibri"/>
                <w:noProof/>
              </w:rPr>
            </w:pPr>
            <w:r>
              <w:rPr>
                <w:noProof/>
              </w:rPr>
              <w:t>Cel</w:t>
            </w:r>
          </w:p>
        </w:tc>
        <w:tc>
          <w:tcPr>
            <w:tcW w:w="1395" w:type="dxa"/>
            <w:shd w:val="clear" w:color="auto" w:fill="C6EFCE"/>
            <w:noWrap/>
            <w:vAlign w:val="center"/>
            <w:hideMark/>
          </w:tcPr>
          <w:p w14:paraId="242F7415" w14:textId="77777777" w:rsidR="004C6421" w:rsidRDefault="009D1962">
            <w:pPr>
              <w:pStyle w:val="P68B1DB1-Normal4"/>
              <w:spacing w:before="120" w:after="120"/>
              <w:jc w:val="center"/>
              <w:rPr>
                <w:rFonts w:eastAsia="Calibri"/>
                <w:noProof/>
              </w:rPr>
            </w:pPr>
            <w:r>
              <w:rPr>
                <w:noProof/>
              </w:rPr>
              <w:t>Okręgi społeczne osiągają co najmniej jeden z następujących wyników: (i) wsparcie dla rodziców, (ii) niezależność osób starszych, (iii) usługi domowe dla osób starszych lub (iv) faworyzowanie pracowników socjalnych w celu zapobiegania wypaleniu zawodowemu</w:t>
            </w:r>
          </w:p>
        </w:tc>
        <w:tc>
          <w:tcPr>
            <w:tcW w:w="1476" w:type="dxa"/>
            <w:shd w:val="clear" w:color="auto" w:fill="C6EFCE"/>
            <w:noWrap/>
            <w:vAlign w:val="center"/>
            <w:hideMark/>
          </w:tcPr>
          <w:p w14:paraId="4B851D2C" w14:textId="77777777" w:rsidR="004C6421" w:rsidRDefault="009D1962">
            <w:pPr>
              <w:pStyle w:val="P68B1DB1-Normal4"/>
              <w:spacing w:before="120" w:after="120"/>
              <w:jc w:val="center"/>
              <w:rPr>
                <w:rFonts w:eastAsia="Calibri"/>
                <w:noProof/>
              </w:rPr>
            </w:pPr>
            <w:r>
              <w:rPr>
                <w:noProof/>
              </w:rPr>
              <w:t>NIE DOT.</w:t>
            </w:r>
          </w:p>
        </w:tc>
        <w:tc>
          <w:tcPr>
            <w:tcW w:w="1474" w:type="dxa"/>
            <w:shd w:val="clear" w:color="auto" w:fill="C6EFCE"/>
            <w:noWrap/>
            <w:vAlign w:val="center"/>
            <w:hideMark/>
          </w:tcPr>
          <w:p w14:paraId="4CBD0F21" w14:textId="77777777" w:rsidR="004C6421" w:rsidRDefault="009D1962">
            <w:pPr>
              <w:pStyle w:val="P68B1DB1-Normal4"/>
              <w:spacing w:before="120" w:after="120"/>
              <w:jc w:val="center"/>
              <w:rPr>
                <w:rFonts w:eastAsia="Calibri"/>
                <w:noProof/>
              </w:rPr>
            </w:pPr>
            <w:r>
              <w:rPr>
                <w:noProof/>
              </w:rPr>
              <w:t>Procent</w:t>
            </w:r>
          </w:p>
        </w:tc>
        <w:tc>
          <w:tcPr>
            <w:tcW w:w="1092" w:type="dxa"/>
            <w:shd w:val="clear" w:color="auto" w:fill="C6EFCE"/>
            <w:noWrap/>
            <w:vAlign w:val="center"/>
            <w:hideMark/>
          </w:tcPr>
          <w:p w14:paraId="0BFA3F48" w14:textId="77777777" w:rsidR="004C6421" w:rsidRDefault="009D1962">
            <w:pPr>
              <w:pStyle w:val="P68B1DB1-Normal4"/>
              <w:spacing w:before="120" w:after="120"/>
              <w:jc w:val="center"/>
              <w:rPr>
                <w:rFonts w:eastAsia="Calibri"/>
                <w:noProof/>
              </w:rPr>
            </w:pPr>
            <w:r>
              <w:rPr>
                <w:noProof/>
              </w:rPr>
              <w:t>0</w:t>
            </w:r>
          </w:p>
        </w:tc>
        <w:tc>
          <w:tcPr>
            <w:tcW w:w="775" w:type="dxa"/>
            <w:shd w:val="clear" w:color="auto" w:fill="C6EFCE"/>
            <w:noWrap/>
            <w:vAlign w:val="center"/>
            <w:hideMark/>
          </w:tcPr>
          <w:p w14:paraId="1A5A5BEA" w14:textId="77777777" w:rsidR="004C6421" w:rsidRDefault="009D1962">
            <w:pPr>
              <w:pStyle w:val="P68B1DB1-Normal4"/>
              <w:spacing w:before="120" w:after="120"/>
              <w:jc w:val="center"/>
              <w:rPr>
                <w:rFonts w:eastAsia="Calibri"/>
                <w:noProof/>
              </w:rPr>
            </w:pPr>
            <w:r>
              <w:rPr>
                <w:noProof/>
              </w:rPr>
              <w:t>85</w:t>
            </w:r>
          </w:p>
        </w:tc>
        <w:tc>
          <w:tcPr>
            <w:tcW w:w="1078" w:type="dxa"/>
            <w:shd w:val="clear" w:color="auto" w:fill="C6EFCE"/>
            <w:noWrap/>
            <w:vAlign w:val="center"/>
            <w:hideMark/>
          </w:tcPr>
          <w:p w14:paraId="1784E0AC" w14:textId="214AEA99" w:rsidR="004C6421" w:rsidRDefault="00CC179E">
            <w:pPr>
              <w:pStyle w:val="P68B1DB1-Normal4"/>
              <w:spacing w:before="120" w:after="120"/>
              <w:jc w:val="center"/>
              <w:rPr>
                <w:rFonts w:eastAsia="Calibri"/>
                <w:noProof/>
              </w:rPr>
            </w:pPr>
            <w:r>
              <w:rPr>
                <w:noProof/>
              </w:rPr>
              <w:t>KW. 1</w:t>
            </w:r>
          </w:p>
        </w:tc>
        <w:tc>
          <w:tcPr>
            <w:tcW w:w="755" w:type="dxa"/>
            <w:shd w:val="clear" w:color="auto" w:fill="C6EFCE"/>
            <w:noWrap/>
            <w:vAlign w:val="center"/>
            <w:hideMark/>
          </w:tcPr>
          <w:p w14:paraId="5FABF6F5" w14:textId="77777777" w:rsidR="004C6421" w:rsidRDefault="009D1962">
            <w:pPr>
              <w:pStyle w:val="P68B1DB1-Normal4"/>
              <w:spacing w:before="120" w:after="120"/>
              <w:jc w:val="center"/>
              <w:rPr>
                <w:rFonts w:eastAsia="Calibri"/>
                <w:noProof/>
              </w:rPr>
            </w:pPr>
            <w:r>
              <w:rPr>
                <w:noProof/>
              </w:rPr>
              <w:t>2026</w:t>
            </w:r>
          </w:p>
        </w:tc>
        <w:tc>
          <w:tcPr>
            <w:tcW w:w="5046" w:type="dxa"/>
            <w:shd w:val="clear" w:color="auto" w:fill="C6EFCE"/>
            <w:noWrap/>
            <w:vAlign w:val="center"/>
            <w:hideMark/>
          </w:tcPr>
          <w:p w14:paraId="632DF1FD" w14:textId="77777777" w:rsidR="004C6421" w:rsidRDefault="009D1962">
            <w:pPr>
              <w:pStyle w:val="P68B1DB1-Normal4"/>
              <w:spacing w:before="120" w:after="120"/>
              <w:rPr>
                <w:rFonts w:eastAsia="Calibri"/>
                <w:noProof/>
              </w:rPr>
            </w:pPr>
            <w:r>
              <w:rPr>
                <w:noProof/>
              </w:rPr>
              <w:t>Co najmniej 85 % okręgów społecznych osiąga co najmniej jeden z następujących wyników: (i) wsparcie dla rodziców dzieci w wieku od 0 do 17 lat, (ii) niezależność osób starszych, (iii) usługi domowe dla osób starszych lub (iv) faworyzowanie pracowników socjalnych w celu zapobiegania wypaleniu zawodowemu.</w:t>
            </w:r>
          </w:p>
          <w:p w14:paraId="74A960B5" w14:textId="77777777" w:rsidR="004C6421" w:rsidRDefault="009D1962">
            <w:pPr>
              <w:pStyle w:val="P68B1DB1-Normal4"/>
              <w:spacing w:before="120" w:after="120"/>
              <w:rPr>
                <w:rFonts w:eastAsia="Calibri"/>
                <w:noProof/>
              </w:rPr>
            </w:pPr>
            <w:r>
              <w:rPr>
                <w:noProof/>
              </w:rPr>
              <w:t>W projekcie uczestniczy 85 % włoskich okręgów społecznych.</w:t>
            </w:r>
          </w:p>
          <w:p w14:paraId="20EFEBE1" w14:textId="77777777" w:rsidR="004C6421" w:rsidRDefault="009D1962">
            <w:pPr>
              <w:pStyle w:val="P68B1DB1-Normal4"/>
              <w:spacing w:before="120" w:after="120"/>
              <w:rPr>
                <w:rFonts w:eastAsia="Calibri"/>
                <w:noProof/>
              </w:rPr>
            </w:pPr>
            <w:r>
              <w:rPr>
                <w:noProof/>
              </w:rPr>
              <w:t>Działania przewidziane w ramach czterech wymiarów i odpowiednie wymogi to działania określone w planie operacyjnym, mające na celu aktywne włączenie słabszych grup społecznych, których sytuacja pogorszyła się w wyniku sytuacji nadzwyczajnej epidemiologicznej związanej z COVID-19.</w:t>
            </w:r>
          </w:p>
          <w:p w14:paraId="2F38CE69" w14:textId="77777777" w:rsidR="004C6421" w:rsidRDefault="009D1962">
            <w:pPr>
              <w:pStyle w:val="P68B1DB1-Normal4"/>
              <w:spacing w:before="120" w:after="120"/>
              <w:rPr>
                <w:rFonts w:eastAsia="Calibri"/>
                <w:noProof/>
              </w:rPr>
            </w:pPr>
            <w:r>
              <w:rPr>
                <w:noProof/>
              </w:rPr>
              <w:t>Działanie obejmuje całe terytorium kraju. Oczekuje się udziału wszystkich okręgów społecznych, przy czym strategia zakłada, że takie projekty otwierają drogę do stabilizacji usług poprzez formalne uznanie niezbędnego poziomu pomocy społecznej przyznawanej na całym terytorium.</w:t>
            </w:r>
          </w:p>
        </w:tc>
      </w:tr>
      <w:tr w:rsidR="004C6421" w14:paraId="5A11A335" w14:textId="77777777">
        <w:trPr>
          <w:trHeight w:val="309"/>
          <w:jc w:val="center"/>
        </w:trPr>
        <w:tc>
          <w:tcPr>
            <w:tcW w:w="1648" w:type="dxa"/>
            <w:shd w:val="clear" w:color="auto" w:fill="C6EFCE"/>
            <w:noWrap/>
            <w:vAlign w:val="center"/>
            <w:hideMark/>
          </w:tcPr>
          <w:p w14:paraId="682616EF" w14:textId="77777777" w:rsidR="004C6421" w:rsidRDefault="009D1962">
            <w:pPr>
              <w:pStyle w:val="P68B1DB1-Normal4"/>
              <w:spacing w:before="120"/>
              <w:jc w:val="center"/>
              <w:rPr>
                <w:rFonts w:eastAsia="Calibri"/>
                <w:noProof/>
              </w:rPr>
            </w:pPr>
            <w:r>
              <w:rPr>
                <w:noProof/>
              </w:rPr>
              <w:t>M5C2-7</w:t>
            </w:r>
          </w:p>
        </w:tc>
        <w:tc>
          <w:tcPr>
            <w:tcW w:w="1908" w:type="dxa"/>
            <w:shd w:val="clear" w:color="auto" w:fill="C6EFCE"/>
            <w:noWrap/>
            <w:vAlign w:val="center"/>
            <w:hideMark/>
          </w:tcPr>
          <w:p w14:paraId="184AB208" w14:textId="77777777" w:rsidR="004C6421" w:rsidRDefault="009D1962">
            <w:pPr>
              <w:pStyle w:val="P68B1DB1-Normal4"/>
              <w:spacing w:before="120"/>
              <w:jc w:val="center"/>
              <w:rPr>
                <w:rFonts w:eastAsia="Calibri"/>
                <w:noProof/>
              </w:rPr>
            </w:pPr>
            <w:r>
              <w:rPr>
                <w:noProof/>
              </w:rPr>
              <w:t>Inwestycje 2 – Wzory autonomii dla osób niepełnosprawnych</w:t>
            </w:r>
          </w:p>
        </w:tc>
        <w:tc>
          <w:tcPr>
            <w:tcW w:w="1322" w:type="dxa"/>
            <w:shd w:val="clear" w:color="auto" w:fill="C6EFCE"/>
            <w:noWrap/>
            <w:vAlign w:val="center"/>
            <w:hideMark/>
          </w:tcPr>
          <w:p w14:paraId="049CA345" w14:textId="77777777" w:rsidR="004C6421" w:rsidRDefault="009D1962">
            <w:pPr>
              <w:pStyle w:val="P68B1DB1-Normal4"/>
              <w:spacing w:before="120" w:after="120"/>
              <w:jc w:val="center"/>
              <w:rPr>
                <w:rFonts w:eastAsia="Calibri"/>
                <w:noProof/>
              </w:rPr>
            </w:pPr>
            <w:r>
              <w:rPr>
                <w:noProof/>
              </w:rPr>
              <w:t>Cel</w:t>
            </w:r>
          </w:p>
        </w:tc>
        <w:tc>
          <w:tcPr>
            <w:tcW w:w="1395" w:type="dxa"/>
            <w:shd w:val="clear" w:color="auto" w:fill="C6EFCE"/>
            <w:noWrap/>
            <w:vAlign w:val="center"/>
            <w:hideMark/>
          </w:tcPr>
          <w:p w14:paraId="083030B0" w14:textId="77777777" w:rsidR="004C6421" w:rsidRDefault="009D1962">
            <w:pPr>
              <w:pStyle w:val="P68B1DB1-Normal4"/>
              <w:spacing w:before="120" w:after="120"/>
              <w:jc w:val="center"/>
              <w:rPr>
                <w:rFonts w:eastAsia="Calibri"/>
                <w:noProof/>
              </w:rPr>
            </w:pPr>
            <w:r>
              <w:rPr>
                <w:noProof/>
              </w:rPr>
              <w:t>Okręgi społeczne zrealizowały co najmniej jeden projekt związany z renowacją pomieszczeń mieszkalnych lub udostępnieniem urządzeń ICT osobom niepełnosprawnym, któremu towarzyszy szkolenie w zakresie umiejętności cyfrowych</w:t>
            </w:r>
          </w:p>
        </w:tc>
        <w:tc>
          <w:tcPr>
            <w:tcW w:w="1476" w:type="dxa"/>
            <w:shd w:val="clear" w:color="auto" w:fill="C6EFCE"/>
            <w:noWrap/>
            <w:vAlign w:val="center"/>
            <w:hideMark/>
          </w:tcPr>
          <w:p w14:paraId="3BC88044" w14:textId="77777777" w:rsidR="004C6421" w:rsidRDefault="009D1962">
            <w:pPr>
              <w:pStyle w:val="P68B1DB1-Normal4"/>
              <w:spacing w:before="120" w:after="120"/>
              <w:jc w:val="center"/>
              <w:rPr>
                <w:rFonts w:eastAsia="Calibri"/>
                <w:noProof/>
              </w:rPr>
            </w:pPr>
            <w:r>
              <w:rPr>
                <w:noProof/>
              </w:rPr>
              <w:t>NIE DOT.</w:t>
            </w:r>
          </w:p>
        </w:tc>
        <w:tc>
          <w:tcPr>
            <w:tcW w:w="1474" w:type="dxa"/>
            <w:shd w:val="clear" w:color="auto" w:fill="C6EFCE"/>
            <w:noWrap/>
            <w:vAlign w:val="center"/>
            <w:hideMark/>
          </w:tcPr>
          <w:p w14:paraId="15ED909D" w14:textId="77777777" w:rsidR="004C6421" w:rsidRDefault="009D1962">
            <w:pPr>
              <w:pStyle w:val="P68B1DB1-Normal4"/>
              <w:spacing w:before="120" w:after="120"/>
              <w:jc w:val="center"/>
              <w:rPr>
                <w:rFonts w:eastAsia="Calibri"/>
                <w:noProof/>
              </w:rPr>
            </w:pPr>
            <w:r>
              <w:rPr>
                <w:noProof/>
              </w:rPr>
              <w:t>Numer</w:t>
            </w:r>
          </w:p>
        </w:tc>
        <w:tc>
          <w:tcPr>
            <w:tcW w:w="1092" w:type="dxa"/>
            <w:shd w:val="clear" w:color="auto" w:fill="C6EFCE"/>
            <w:noWrap/>
            <w:vAlign w:val="center"/>
            <w:hideMark/>
          </w:tcPr>
          <w:p w14:paraId="55D19DB1" w14:textId="77777777" w:rsidR="004C6421" w:rsidRDefault="009D1962">
            <w:pPr>
              <w:pStyle w:val="P68B1DB1-Normal4"/>
              <w:spacing w:before="120" w:after="120"/>
              <w:jc w:val="center"/>
              <w:rPr>
                <w:rFonts w:eastAsia="Calibri"/>
                <w:noProof/>
              </w:rPr>
            </w:pPr>
            <w:r>
              <w:rPr>
                <w:noProof/>
              </w:rPr>
              <w:t>0</w:t>
            </w:r>
          </w:p>
        </w:tc>
        <w:tc>
          <w:tcPr>
            <w:tcW w:w="775" w:type="dxa"/>
            <w:shd w:val="clear" w:color="auto" w:fill="C6EFCE"/>
            <w:noWrap/>
            <w:vAlign w:val="center"/>
            <w:hideMark/>
          </w:tcPr>
          <w:p w14:paraId="659B7427" w14:textId="77777777" w:rsidR="004C6421" w:rsidRDefault="009D1962">
            <w:pPr>
              <w:pStyle w:val="P68B1DB1-Normal4"/>
              <w:spacing w:before="120" w:after="120"/>
              <w:jc w:val="center"/>
              <w:rPr>
                <w:rFonts w:eastAsia="Calibri"/>
                <w:noProof/>
              </w:rPr>
            </w:pPr>
            <w:r>
              <w:rPr>
                <w:noProof/>
              </w:rPr>
              <w:t>500</w:t>
            </w:r>
          </w:p>
        </w:tc>
        <w:tc>
          <w:tcPr>
            <w:tcW w:w="1078" w:type="dxa"/>
            <w:shd w:val="clear" w:color="auto" w:fill="C6EFCE"/>
            <w:noWrap/>
            <w:vAlign w:val="center"/>
            <w:hideMark/>
          </w:tcPr>
          <w:p w14:paraId="17C3E8BE" w14:textId="5216C646" w:rsidR="004C6421" w:rsidRDefault="00CC179E">
            <w:pPr>
              <w:pStyle w:val="P68B1DB1-Normal4"/>
              <w:spacing w:before="120" w:after="120"/>
              <w:jc w:val="center"/>
              <w:rPr>
                <w:rFonts w:eastAsia="Calibri"/>
                <w:noProof/>
              </w:rPr>
            </w:pPr>
            <w:r>
              <w:rPr>
                <w:noProof/>
              </w:rPr>
              <w:t>KW. 4</w:t>
            </w:r>
          </w:p>
        </w:tc>
        <w:tc>
          <w:tcPr>
            <w:tcW w:w="755" w:type="dxa"/>
            <w:shd w:val="clear" w:color="auto" w:fill="C6EFCE"/>
            <w:noWrap/>
            <w:vAlign w:val="center"/>
            <w:hideMark/>
          </w:tcPr>
          <w:p w14:paraId="51C47C11" w14:textId="77777777" w:rsidR="004C6421" w:rsidRDefault="009D1962">
            <w:pPr>
              <w:pStyle w:val="P68B1DB1-Normal4"/>
              <w:spacing w:before="120" w:after="120"/>
              <w:jc w:val="center"/>
              <w:rPr>
                <w:rFonts w:eastAsia="Calibri"/>
                <w:noProof/>
              </w:rPr>
            </w:pPr>
            <w:r>
              <w:rPr>
                <w:noProof/>
              </w:rPr>
              <w:t>2022</w:t>
            </w:r>
          </w:p>
        </w:tc>
        <w:tc>
          <w:tcPr>
            <w:tcW w:w="5046" w:type="dxa"/>
            <w:shd w:val="clear" w:color="auto" w:fill="C6EFCE"/>
            <w:noWrap/>
            <w:vAlign w:val="center"/>
            <w:hideMark/>
          </w:tcPr>
          <w:p w14:paraId="79D8771B" w14:textId="77777777" w:rsidR="004C6421" w:rsidRDefault="009D1962">
            <w:pPr>
              <w:pStyle w:val="P68B1DB1-Normal4"/>
              <w:spacing w:before="120" w:after="120"/>
              <w:rPr>
                <w:rFonts w:eastAsia="Calibri"/>
                <w:noProof/>
              </w:rPr>
            </w:pPr>
            <w:r>
              <w:rPr>
                <w:noProof/>
              </w:rPr>
              <w:t xml:space="preserve">Co najmniej 500 projektów związanych z renowacją przestrzeni mieszkalnych lub udostępnianiem urządzeń ICT osobom niepełnosprawnym, wraz ze szkoleniem w zakresie umiejętności cyfrowych, jest realizowanych przez okręgi społeczne. </w:t>
            </w:r>
          </w:p>
          <w:p w14:paraId="005E4C56" w14:textId="77777777" w:rsidR="004C6421" w:rsidRDefault="009D1962">
            <w:pPr>
              <w:pStyle w:val="P68B1DB1-Normal4"/>
              <w:spacing w:before="120" w:after="120"/>
              <w:rPr>
                <w:rFonts w:eastAsia="Calibri"/>
                <w:noProof/>
              </w:rPr>
            </w:pPr>
            <w:r>
              <w:rPr>
                <w:noProof/>
              </w:rPr>
              <w:t>Zadowalające osiągnięcie celu zależy również od zadowalającego osiągnięcia celu drugorzędnego: okręgi społeczne realizują co najmniej 500 projektów związanych z renowacją pomieszczeń mieszkalnych lub udostępnianiem urządzeń ICT osobom niepełnosprawnym, którym towarzyszy szkolenie w zakresie umiejętności cyfrowych. Zadowalające osiągnięcie celu zależy również od zadowalającego osiągnięcia celu drugorzędnego:</w:t>
            </w:r>
          </w:p>
          <w:p w14:paraId="3CA326BB" w14:textId="77777777" w:rsidR="004C6421" w:rsidRDefault="009D1962">
            <w:pPr>
              <w:pStyle w:val="P68B1DB1-Normal4"/>
              <w:spacing w:before="120" w:after="120"/>
              <w:rPr>
                <w:rFonts w:eastAsia="Calibri"/>
                <w:noProof/>
              </w:rPr>
            </w:pPr>
            <w:r>
              <w:rPr>
                <w:noProof/>
              </w:rPr>
              <w:t>Co najmniej 500 okręgów społecznych zrealizowało co najmniej jeden projekt związany z renowacją pomieszczeń mieszkalnych lub udostępnieniem urządzeń ICT osobom niepełnosprawnym, któremu towarzyszy szkolenie w zakresie umiejętności cyfrowych.</w:t>
            </w:r>
          </w:p>
        </w:tc>
      </w:tr>
      <w:tr w:rsidR="004C6421" w14:paraId="08F7561B" w14:textId="77777777">
        <w:trPr>
          <w:trHeight w:val="309"/>
          <w:jc w:val="center"/>
        </w:trPr>
        <w:tc>
          <w:tcPr>
            <w:tcW w:w="1648" w:type="dxa"/>
            <w:shd w:val="clear" w:color="auto" w:fill="C6EFCE"/>
            <w:noWrap/>
            <w:vAlign w:val="center"/>
            <w:hideMark/>
          </w:tcPr>
          <w:p w14:paraId="71AF1738" w14:textId="77777777" w:rsidR="004C6421" w:rsidRDefault="009D1962">
            <w:pPr>
              <w:pStyle w:val="P68B1DB1-Normal4"/>
              <w:spacing w:before="120"/>
              <w:jc w:val="center"/>
              <w:rPr>
                <w:rFonts w:eastAsia="Calibri"/>
                <w:noProof/>
              </w:rPr>
            </w:pPr>
            <w:r>
              <w:rPr>
                <w:noProof/>
              </w:rPr>
              <w:t>M5C2-8</w:t>
            </w:r>
          </w:p>
        </w:tc>
        <w:tc>
          <w:tcPr>
            <w:tcW w:w="1908" w:type="dxa"/>
            <w:shd w:val="clear" w:color="auto" w:fill="C6EFCE"/>
            <w:noWrap/>
            <w:vAlign w:val="center"/>
            <w:hideMark/>
          </w:tcPr>
          <w:p w14:paraId="651ABFEB" w14:textId="77777777" w:rsidR="004C6421" w:rsidRDefault="009D1962">
            <w:pPr>
              <w:pStyle w:val="P68B1DB1-Normal4"/>
              <w:spacing w:before="120" w:after="120"/>
              <w:jc w:val="center"/>
              <w:rPr>
                <w:rFonts w:eastAsia="Calibri"/>
                <w:noProof/>
              </w:rPr>
            </w:pPr>
            <w:r>
              <w:rPr>
                <w:noProof/>
              </w:rPr>
              <w:t>Inwestycje 2 – Wzory autonomii dla osób niepełnosprawnych</w:t>
            </w:r>
          </w:p>
        </w:tc>
        <w:tc>
          <w:tcPr>
            <w:tcW w:w="1322" w:type="dxa"/>
            <w:shd w:val="clear" w:color="auto" w:fill="C6EFCE"/>
            <w:noWrap/>
            <w:vAlign w:val="center"/>
            <w:hideMark/>
          </w:tcPr>
          <w:p w14:paraId="4E418EE2" w14:textId="77777777" w:rsidR="004C6421" w:rsidRDefault="009D1962">
            <w:pPr>
              <w:pStyle w:val="P68B1DB1-Normal4"/>
              <w:spacing w:before="120" w:after="120"/>
              <w:jc w:val="center"/>
              <w:rPr>
                <w:rFonts w:eastAsia="Calibri"/>
                <w:noProof/>
              </w:rPr>
            </w:pPr>
            <w:r>
              <w:rPr>
                <w:noProof/>
              </w:rPr>
              <w:t>Cel</w:t>
            </w:r>
          </w:p>
        </w:tc>
        <w:tc>
          <w:tcPr>
            <w:tcW w:w="1395" w:type="dxa"/>
            <w:shd w:val="clear" w:color="auto" w:fill="C6EFCE"/>
            <w:noWrap/>
            <w:vAlign w:val="center"/>
            <w:hideMark/>
          </w:tcPr>
          <w:p w14:paraId="44135F40" w14:textId="77777777" w:rsidR="004C6421" w:rsidRDefault="009D1962">
            <w:pPr>
              <w:pStyle w:val="P68B1DB1-Normal4"/>
              <w:spacing w:before="120" w:after="120"/>
              <w:jc w:val="center"/>
              <w:rPr>
                <w:rFonts w:eastAsia="Calibri"/>
                <w:noProof/>
              </w:rPr>
            </w:pPr>
            <w:r>
              <w:rPr>
                <w:noProof/>
              </w:rPr>
              <w:t>Osoby niepełnosprawne otrzymały renowację pomieszczeń mieszkalnych i/lub wyposażenie w urządzenia ICT. Usługom towarzyszy szkolenie w zakresie umiejętności cyfrowych.</w:t>
            </w:r>
          </w:p>
        </w:tc>
        <w:tc>
          <w:tcPr>
            <w:tcW w:w="1476" w:type="dxa"/>
            <w:shd w:val="clear" w:color="auto" w:fill="C6EFCE"/>
            <w:noWrap/>
            <w:vAlign w:val="center"/>
            <w:hideMark/>
          </w:tcPr>
          <w:p w14:paraId="3639EA59" w14:textId="77777777" w:rsidR="004C6421" w:rsidRDefault="009D1962">
            <w:pPr>
              <w:pStyle w:val="P68B1DB1-Normal4"/>
              <w:spacing w:before="120" w:after="120"/>
              <w:jc w:val="center"/>
              <w:rPr>
                <w:rFonts w:eastAsia="Calibri"/>
                <w:noProof/>
              </w:rPr>
            </w:pPr>
            <w:r>
              <w:rPr>
                <w:noProof/>
              </w:rPr>
              <w:t>NIE DOT.</w:t>
            </w:r>
          </w:p>
        </w:tc>
        <w:tc>
          <w:tcPr>
            <w:tcW w:w="1474" w:type="dxa"/>
            <w:shd w:val="clear" w:color="auto" w:fill="C6EFCE"/>
            <w:noWrap/>
            <w:vAlign w:val="center"/>
            <w:hideMark/>
          </w:tcPr>
          <w:p w14:paraId="66E038D6" w14:textId="77777777" w:rsidR="004C6421" w:rsidRDefault="009D1962">
            <w:pPr>
              <w:pStyle w:val="P68B1DB1-Normal4"/>
              <w:spacing w:before="120" w:after="120"/>
              <w:jc w:val="center"/>
              <w:rPr>
                <w:rFonts w:eastAsia="Calibri"/>
                <w:noProof/>
              </w:rPr>
            </w:pPr>
            <w:r>
              <w:rPr>
                <w:noProof/>
              </w:rPr>
              <w:t>Numer</w:t>
            </w:r>
          </w:p>
        </w:tc>
        <w:tc>
          <w:tcPr>
            <w:tcW w:w="1092" w:type="dxa"/>
            <w:shd w:val="clear" w:color="auto" w:fill="C6EFCE"/>
            <w:noWrap/>
            <w:vAlign w:val="center"/>
            <w:hideMark/>
          </w:tcPr>
          <w:p w14:paraId="42F16825" w14:textId="77777777" w:rsidR="004C6421" w:rsidRDefault="009D1962">
            <w:pPr>
              <w:pStyle w:val="P68B1DB1-Normal4"/>
              <w:spacing w:before="120" w:after="120"/>
              <w:jc w:val="center"/>
              <w:rPr>
                <w:rFonts w:eastAsia="Calibri"/>
                <w:noProof/>
              </w:rPr>
            </w:pPr>
            <w:r>
              <w:rPr>
                <w:noProof/>
              </w:rPr>
              <w:t>1 000</w:t>
            </w:r>
          </w:p>
        </w:tc>
        <w:tc>
          <w:tcPr>
            <w:tcW w:w="775" w:type="dxa"/>
            <w:shd w:val="clear" w:color="auto" w:fill="C6EFCE"/>
            <w:noWrap/>
            <w:vAlign w:val="center"/>
            <w:hideMark/>
          </w:tcPr>
          <w:p w14:paraId="42353DB1" w14:textId="77777777" w:rsidR="004C6421" w:rsidRDefault="009D1962">
            <w:pPr>
              <w:pStyle w:val="P68B1DB1-Normal4"/>
              <w:spacing w:before="120" w:after="120"/>
              <w:jc w:val="center"/>
              <w:rPr>
                <w:rFonts w:eastAsia="Calibri"/>
                <w:noProof/>
              </w:rPr>
            </w:pPr>
            <w:r>
              <w:rPr>
                <w:noProof/>
              </w:rPr>
              <w:t>5 000</w:t>
            </w:r>
          </w:p>
        </w:tc>
        <w:tc>
          <w:tcPr>
            <w:tcW w:w="1078" w:type="dxa"/>
            <w:shd w:val="clear" w:color="auto" w:fill="C6EFCE"/>
            <w:noWrap/>
            <w:vAlign w:val="center"/>
            <w:hideMark/>
          </w:tcPr>
          <w:p w14:paraId="0F8C7882" w14:textId="4EC14B56" w:rsidR="004C6421" w:rsidRDefault="00CC179E">
            <w:pPr>
              <w:pStyle w:val="P68B1DB1-Normal4"/>
              <w:spacing w:before="120" w:after="120"/>
              <w:jc w:val="center"/>
              <w:rPr>
                <w:rFonts w:eastAsia="Calibri"/>
                <w:noProof/>
              </w:rPr>
            </w:pPr>
            <w:r>
              <w:rPr>
                <w:noProof/>
              </w:rPr>
              <w:t>KW. 1</w:t>
            </w:r>
          </w:p>
        </w:tc>
        <w:tc>
          <w:tcPr>
            <w:tcW w:w="755" w:type="dxa"/>
            <w:shd w:val="clear" w:color="auto" w:fill="C6EFCE"/>
            <w:noWrap/>
            <w:vAlign w:val="center"/>
            <w:hideMark/>
          </w:tcPr>
          <w:p w14:paraId="1AF7D877" w14:textId="77777777" w:rsidR="004C6421" w:rsidRDefault="009D1962">
            <w:pPr>
              <w:pStyle w:val="P68B1DB1-Normal4"/>
              <w:spacing w:before="120" w:after="120"/>
              <w:jc w:val="center"/>
              <w:rPr>
                <w:rFonts w:eastAsia="Calibri"/>
                <w:noProof/>
              </w:rPr>
            </w:pPr>
            <w:r>
              <w:rPr>
                <w:noProof/>
              </w:rPr>
              <w:t>2026</w:t>
            </w:r>
          </w:p>
        </w:tc>
        <w:tc>
          <w:tcPr>
            <w:tcW w:w="5046" w:type="dxa"/>
            <w:shd w:val="clear" w:color="auto" w:fill="C6EFCE"/>
            <w:noWrap/>
            <w:vAlign w:val="center"/>
            <w:hideMark/>
          </w:tcPr>
          <w:p w14:paraId="3137FA6A" w14:textId="77777777" w:rsidR="004C6421" w:rsidRDefault="009D1962">
            <w:pPr>
              <w:pStyle w:val="P68B1DB1-Normal4"/>
              <w:spacing w:before="120" w:after="120"/>
              <w:rPr>
                <w:rFonts w:eastAsia="Calibri"/>
                <w:noProof/>
              </w:rPr>
            </w:pPr>
            <w:r>
              <w:rPr>
                <w:noProof/>
              </w:rPr>
              <w:t>Co najmniej 5000 osób niepełnosprawnych otrzymało renowację przestrzeni domowej lub udostępnienie urządzeń ICT. Usługom towarzyszy szkolenie w zakresie umiejętności cyfrowych.</w:t>
            </w:r>
          </w:p>
          <w:p w14:paraId="4B8E7C4A" w14:textId="77777777" w:rsidR="004C6421" w:rsidRDefault="009D1962">
            <w:pPr>
              <w:pStyle w:val="P68B1DB1-Normal4"/>
              <w:spacing w:before="120" w:after="120"/>
              <w:rPr>
                <w:rFonts w:eastAsia="Calibri"/>
                <w:noProof/>
              </w:rPr>
            </w:pPr>
            <w:r>
              <w:rPr>
                <w:noProof/>
              </w:rPr>
              <w:t>Objęcie zasięgiem co najmniej 5000 osób (1000 istniejących i 4000 nowych) z niepełnosprawnościami jako odbiorców interwencji realizowanych w ramach pomocy technicznej.</w:t>
            </w:r>
          </w:p>
          <w:p w14:paraId="3442FD2C" w14:textId="77777777" w:rsidR="004C6421" w:rsidRDefault="009D1962">
            <w:pPr>
              <w:pStyle w:val="P68B1DB1-Normal4"/>
              <w:spacing w:before="120" w:after="120"/>
              <w:rPr>
                <w:rFonts w:eastAsia="Calibri"/>
                <w:noProof/>
              </w:rPr>
            </w:pPr>
            <w:r>
              <w:rPr>
                <w:noProof/>
              </w:rPr>
              <w:t>Definicję osób niepełnosprawnych (opartą na ICF) określono w krajowym planie na 2019 r. dla osób niesamodzielnych. Wytyczne dla projektu autonomii osób niepełnosprawnych zostały już opracowane w wyniku wcześniejszych projektów. Zatwierdzenie specjalnej ustawy nr 112/2016 oraz ustanowienie specjalnego funduszu krajowego na realizację działania obejmuje całe terytorium kraju. Do uczestnictwa zaprasza się wszystkie okręgi społeczne, przy czym strategia zakłada, że takie projekty otwierają drogę do stabilizacji usług poprzez formalne uznanie zasadniczego poziomu pomocy społecznej przyznawanej na całym terytorium.</w:t>
            </w:r>
          </w:p>
        </w:tc>
      </w:tr>
      <w:tr w:rsidR="004C6421" w14:paraId="4E6E3632" w14:textId="77777777">
        <w:trPr>
          <w:trHeight w:val="309"/>
          <w:jc w:val="center"/>
        </w:trPr>
        <w:tc>
          <w:tcPr>
            <w:tcW w:w="1648" w:type="dxa"/>
            <w:shd w:val="clear" w:color="auto" w:fill="C6EFCE"/>
            <w:noWrap/>
            <w:vAlign w:val="center"/>
            <w:hideMark/>
          </w:tcPr>
          <w:p w14:paraId="13AF0A7A" w14:textId="77777777" w:rsidR="004C6421" w:rsidRDefault="009D1962">
            <w:pPr>
              <w:pStyle w:val="P68B1DB1-Normal4"/>
              <w:spacing w:before="120"/>
              <w:jc w:val="center"/>
              <w:rPr>
                <w:rFonts w:eastAsia="Calibri"/>
                <w:noProof/>
              </w:rPr>
            </w:pPr>
            <w:r>
              <w:rPr>
                <w:noProof/>
              </w:rPr>
              <w:t>M5C2-9</w:t>
            </w:r>
          </w:p>
        </w:tc>
        <w:tc>
          <w:tcPr>
            <w:tcW w:w="1908" w:type="dxa"/>
            <w:shd w:val="clear" w:color="auto" w:fill="C6EFCE"/>
            <w:noWrap/>
            <w:vAlign w:val="center"/>
            <w:hideMark/>
          </w:tcPr>
          <w:p w14:paraId="3D31946E" w14:textId="77777777" w:rsidR="004C6421" w:rsidRDefault="009D1962">
            <w:pPr>
              <w:pStyle w:val="P68B1DB1-Normal4"/>
              <w:spacing w:before="120" w:after="120"/>
              <w:jc w:val="center"/>
              <w:rPr>
                <w:rFonts w:eastAsia="Calibri"/>
                <w:noProof/>
              </w:rPr>
            </w:pPr>
            <w:r>
              <w:rPr>
                <w:noProof/>
              </w:rPr>
              <w:t>Inwestycje 3 – Pierwsze i postoje mieszkaniowe</w:t>
            </w:r>
          </w:p>
        </w:tc>
        <w:tc>
          <w:tcPr>
            <w:tcW w:w="1322" w:type="dxa"/>
            <w:shd w:val="clear" w:color="auto" w:fill="C6EFCE"/>
            <w:noWrap/>
            <w:vAlign w:val="center"/>
            <w:hideMark/>
          </w:tcPr>
          <w:p w14:paraId="32181CF3" w14:textId="68740F43" w:rsidR="004C6421" w:rsidRDefault="00CC179E">
            <w:pPr>
              <w:pStyle w:val="P68B1DB1-Normal4"/>
              <w:spacing w:before="120" w:after="120"/>
              <w:jc w:val="center"/>
              <w:rPr>
                <w:rFonts w:eastAsia="Calibri"/>
                <w:noProof/>
              </w:rPr>
            </w:pPr>
            <w:r>
              <w:rPr>
                <w:noProof/>
              </w:rPr>
              <w:t>Milowy</w:t>
            </w:r>
          </w:p>
        </w:tc>
        <w:tc>
          <w:tcPr>
            <w:tcW w:w="1395" w:type="dxa"/>
            <w:shd w:val="clear" w:color="auto" w:fill="C6EFCE"/>
            <w:noWrap/>
            <w:vAlign w:val="center"/>
            <w:hideMark/>
          </w:tcPr>
          <w:p w14:paraId="621B59B6" w14:textId="77777777" w:rsidR="004C6421" w:rsidRDefault="009D1962">
            <w:pPr>
              <w:pStyle w:val="P68B1DB1-Normal4"/>
              <w:spacing w:before="120" w:after="120"/>
              <w:jc w:val="center"/>
              <w:rPr>
                <w:rFonts w:eastAsia="Calibri"/>
                <w:noProof/>
              </w:rPr>
            </w:pPr>
            <w:r>
              <w:rPr>
                <w:noProof/>
              </w:rPr>
              <w:t>Wejście w życie planu operacyjnego dotyczącego projektów dotyczących pierwszego i posterunku mieszkaniowego, określenie wymogów projektów, które mogą być przedstawiane przez podmioty lokalne, oraz ogłoszenie zaproszenia do składania wniosków</w:t>
            </w:r>
          </w:p>
        </w:tc>
        <w:tc>
          <w:tcPr>
            <w:tcW w:w="1476" w:type="dxa"/>
            <w:shd w:val="clear" w:color="auto" w:fill="C6EFCE"/>
            <w:noWrap/>
            <w:vAlign w:val="center"/>
            <w:hideMark/>
          </w:tcPr>
          <w:p w14:paraId="4E4D873D" w14:textId="77777777" w:rsidR="004C6421" w:rsidRDefault="009D1962">
            <w:pPr>
              <w:pStyle w:val="P68B1DB1-Normal4"/>
              <w:spacing w:before="120" w:after="120"/>
              <w:jc w:val="center"/>
              <w:rPr>
                <w:rFonts w:eastAsia="Calibri"/>
                <w:noProof/>
              </w:rPr>
            </w:pPr>
            <w:r>
              <w:rPr>
                <w:noProof/>
              </w:rPr>
              <w:t>Przepisy prawa wskazujące na wejście w życie operacyjnego planu interwencji NIE DOT.</w:t>
            </w:r>
          </w:p>
        </w:tc>
        <w:tc>
          <w:tcPr>
            <w:tcW w:w="1474" w:type="dxa"/>
            <w:shd w:val="clear" w:color="auto" w:fill="C6EFCE"/>
            <w:noWrap/>
            <w:vAlign w:val="center"/>
            <w:hideMark/>
          </w:tcPr>
          <w:p w14:paraId="0F4A0D20" w14:textId="77777777" w:rsidR="004C6421" w:rsidRDefault="009D1962">
            <w:pPr>
              <w:pStyle w:val="P68B1DB1-Normal4"/>
              <w:spacing w:before="120" w:after="120"/>
              <w:jc w:val="center"/>
              <w:rPr>
                <w:rFonts w:eastAsia="Calibri"/>
                <w:noProof/>
              </w:rPr>
            </w:pPr>
            <w:r>
              <w:rPr>
                <w:noProof/>
              </w:rPr>
              <w:t>NIE DOT.</w:t>
            </w:r>
          </w:p>
        </w:tc>
        <w:tc>
          <w:tcPr>
            <w:tcW w:w="1092" w:type="dxa"/>
            <w:shd w:val="clear" w:color="auto" w:fill="C6EFCE"/>
            <w:noWrap/>
            <w:vAlign w:val="center"/>
            <w:hideMark/>
          </w:tcPr>
          <w:p w14:paraId="26E62F90" w14:textId="77777777" w:rsidR="004C6421" w:rsidRDefault="009D1962">
            <w:pPr>
              <w:pStyle w:val="P68B1DB1-Normal4"/>
              <w:spacing w:before="120" w:after="120"/>
              <w:jc w:val="center"/>
              <w:rPr>
                <w:rFonts w:eastAsia="Calibri"/>
                <w:noProof/>
              </w:rPr>
            </w:pPr>
            <w:r>
              <w:rPr>
                <w:noProof/>
              </w:rPr>
              <w:t>NIE DOT.</w:t>
            </w:r>
          </w:p>
        </w:tc>
        <w:tc>
          <w:tcPr>
            <w:tcW w:w="775" w:type="dxa"/>
            <w:shd w:val="clear" w:color="auto" w:fill="C6EFCE"/>
            <w:noWrap/>
            <w:vAlign w:val="center"/>
            <w:hideMark/>
          </w:tcPr>
          <w:p w14:paraId="67BB5DDC" w14:textId="77777777" w:rsidR="004C6421" w:rsidRDefault="009D1962">
            <w:pPr>
              <w:pStyle w:val="P68B1DB1-Normal4"/>
              <w:spacing w:before="120" w:after="120"/>
              <w:jc w:val="center"/>
              <w:rPr>
                <w:rFonts w:eastAsia="Calibri"/>
                <w:noProof/>
              </w:rPr>
            </w:pPr>
            <w:r>
              <w:rPr>
                <w:noProof/>
              </w:rPr>
              <w:t>NIE DOT.</w:t>
            </w:r>
          </w:p>
        </w:tc>
        <w:tc>
          <w:tcPr>
            <w:tcW w:w="1078" w:type="dxa"/>
            <w:shd w:val="clear" w:color="auto" w:fill="C6EFCE"/>
            <w:noWrap/>
            <w:vAlign w:val="center"/>
            <w:hideMark/>
          </w:tcPr>
          <w:p w14:paraId="1A0CA3C1" w14:textId="477A6231" w:rsidR="004C6421" w:rsidRDefault="00CC179E">
            <w:pPr>
              <w:pStyle w:val="P68B1DB1-Normal4"/>
              <w:spacing w:before="120" w:after="120"/>
              <w:jc w:val="center"/>
              <w:rPr>
                <w:rFonts w:eastAsia="Calibri"/>
                <w:noProof/>
              </w:rPr>
            </w:pPr>
            <w:r>
              <w:rPr>
                <w:noProof/>
              </w:rPr>
              <w:t>KW. 1</w:t>
            </w:r>
          </w:p>
        </w:tc>
        <w:tc>
          <w:tcPr>
            <w:tcW w:w="755" w:type="dxa"/>
            <w:shd w:val="clear" w:color="auto" w:fill="C6EFCE"/>
            <w:noWrap/>
            <w:vAlign w:val="center"/>
            <w:hideMark/>
          </w:tcPr>
          <w:p w14:paraId="71F2ECFD" w14:textId="77777777" w:rsidR="004C6421" w:rsidRDefault="009D1962">
            <w:pPr>
              <w:pStyle w:val="P68B1DB1-Normal4"/>
              <w:spacing w:before="120" w:after="120"/>
              <w:jc w:val="center"/>
              <w:rPr>
                <w:rFonts w:eastAsia="Calibri"/>
                <w:noProof/>
              </w:rPr>
            </w:pPr>
            <w:r>
              <w:rPr>
                <w:noProof/>
              </w:rPr>
              <w:t>2022</w:t>
            </w:r>
          </w:p>
        </w:tc>
        <w:tc>
          <w:tcPr>
            <w:tcW w:w="5046" w:type="dxa"/>
            <w:shd w:val="clear" w:color="auto" w:fill="C6EFCE"/>
            <w:noWrap/>
            <w:vAlign w:val="center"/>
            <w:hideMark/>
          </w:tcPr>
          <w:p w14:paraId="0F7AA9DD" w14:textId="77777777" w:rsidR="004C6421" w:rsidRDefault="009D1962">
            <w:pPr>
              <w:pStyle w:val="P68B1DB1-Normal4"/>
              <w:spacing w:before="120" w:after="120"/>
              <w:rPr>
                <w:rFonts w:eastAsia="Calibri"/>
                <w:noProof/>
              </w:rPr>
            </w:pPr>
            <w:r>
              <w:rPr>
                <w:noProof/>
              </w:rPr>
              <w:t>Plan operacyjny dotyczący projektów dotyczących obiektów mieszkalnych i postojowych określa wymogi dotyczące projektów, które mogą być przedstawiane przez podmioty lokalne, oraz ogłasza zaproszenie do składania wniosków.</w:t>
            </w:r>
          </w:p>
          <w:p w14:paraId="6FD331D0" w14:textId="77777777" w:rsidR="004C6421" w:rsidRDefault="009D1962">
            <w:pPr>
              <w:pStyle w:val="P68B1DB1-Normal4"/>
              <w:spacing w:before="120" w:after="120"/>
              <w:rPr>
                <w:rFonts w:eastAsia="Calibri"/>
                <w:noProof/>
              </w:rPr>
            </w:pPr>
            <w:r>
              <w:rPr>
                <w:noProof/>
              </w:rPr>
              <w:t>Projekty dotyczące mieszkalnictwa przewidują, że jednostki lokalne udostępniają mieszkania pojedynczym osobom, małym grupom lub rodzinom do 24 miesięcy, najlepiej poprzez remonty i remonty budynków państwowych. Uzupełnieniem tych działań są programy rozwoju i autonomii.</w:t>
            </w:r>
          </w:p>
          <w:p w14:paraId="142AF10D" w14:textId="77777777" w:rsidR="004C6421" w:rsidRDefault="009D1962">
            <w:pPr>
              <w:pStyle w:val="P68B1DB1-Normal4"/>
              <w:spacing w:before="120" w:after="120"/>
              <w:rPr>
                <w:rFonts w:eastAsia="Calibri"/>
                <w:noProof/>
              </w:rPr>
            </w:pPr>
            <w:r>
              <w:rPr>
                <w:noProof/>
              </w:rPr>
              <w:t>Projekty na stacjach posterunkowych przewidują rozwój ośrodków usługowych i integracyjnych dla osób bezdomnych. Uzupełnieniem tych działań są programy pośrednictwa pracy we współpracy z ośrodkami zatrudnienia.</w:t>
            </w:r>
          </w:p>
        </w:tc>
      </w:tr>
      <w:tr w:rsidR="004C6421" w14:paraId="3774469B" w14:textId="77777777">
        <w:trPr>
          <w:trHeight w:val="309"/>
          <w:jc w:val="center"/>
        </w:trPr>
        <w:tc>
          <w:tcPr>
            <w:tcW w:w="1648" w:type="dxa"/>
            <w:shd w:val="clear" w:color="auto" w:fill="C6EFCE"/>
            <w:noWrap/>
            <w:vAlign w:val="center"/>
            <w:hideMark/>
          </w:tcPr>
          <w:p w14:paraId="7521F806" w14:textId="77777777" w:rsidR="004C6421" w:rsidRDefault="009D1962">
            <w:pPr>
              <w:pStyle w:val="P68B1DB1-Normal4"/>
              <w:spacing w:before="120"/>
              <w:jc w:val="center"/>
              <w:rPr>
                <w:rFonts w:eastAsia="Calibri"/>
                <w:noProof/>
              </w:rPr>
            </w:pPr>
            <w:r>
              <w:rPr>
                <w:noProof/>
              </w:rPr>
              <w:t>M5C2-10</w:t>
            </w:r>
          </w:p>
        </w:tc>
        <w:tc>
          <w:tcPr>
            <w:tcW w:w="1908" w:type="dxa"/>
            <w:shd w:val="clear" w:color="auto" w:fill="C6EFCE"/>
            <w:noWrap/>
            <w:vAlign w:val="center"/>
            <w:hideMark/>
          </w:tcPr>
          <w:p w14:paraId="3334F28B" w14:textId="77777777" w:rsidR="004C6421" w:rsidRDefault="009D1962">
            <w:pPr>
              <w:pStyle w:val="P68B1DB1-Normal4"/>
              <w:spacing w:before="120" w:after="120"/>
              <w:jc w:val="center"/>
              <w:rPr>
                <w:rFonts w:eastAsia="Calibri"/>
                <w:noProof/>
              </w:rPr>
            </w:pPr>
            <w:r>
              <w:rPr>
                <w:noProof/>
              </w:rPr>
              <w:t>Inwestycje 3 – Pierwsze i postoje mieszkaniowe</w:t>
            </w:r>
          </w:p>
        </w:tc>
        <w:tc>
          <w:tcPr>
            <w:tcW w:w="1322" w:type="dxa"/>
            <w:shd w:val="clear" w:color="auto" w:fill="C6EFCE"/>
            <w:noWrap/>
            <w:vAlign w:val="center"/>
            <w:hideMark/>
          </w:tcPr>
          <w:p w14:paraId="11499BC9" w14:textId="77777777" w:rsidR="004C6421" w:rsidRDefault="009D1962">
            <w:pPr>
              <w:pStyle w:val="P68B1DB1-Normal4"/>
              <w:spacing w:before="120" w:after="120"/>
              <w:jc w:val="center"/>
              <w:rPr>
                <w:rFonts w:eastAsia="Calibri"/>
                <w:noProof/>
              </w:rPr>
            </w:pPr>
            <w:r>
              <w:rPr>
                <w:noProof/>
              </w:rPr>
              <w:t>Cel</w:t>
            </w:r>
          </w:p>
        </w:tc>
        <w:tc>
          <w:tcPr>
            <w:tcW w:w="1395" w:type="dxa"/>
            <w:shd w:val="clear" w:color="auto" w:fill="C6EFCE"/>
            <w:noWrap/>
            <w:vAlign w:val="center"/>
            <w:hideMark/>
          </w:tcPr>
          <w:p w14:paraId="4FEA26F7" w14:textId="77777777" w:rsidR="004C6421" w:rsidRDefault="009D1962">
            <w:pPr>
              <w:pStyle w:val="P68B1DB1-Normal4"/>
              <w:spacing w:before="120" w:after="120"/>
              <w:jc w:val="center"/>
              <w:rPr>
                <w:rFonts w:eastAsia="Calibri"/>
                <w:noProof/>
              </w:rPr>
            </w:pPr>
            <w:r>
              <w:rPr>
                <w:noProof/>
              </w:rPr>
              <w:t>Osoby dotknięte poważną deprywacją materialną przejęte w ramach projektów „Najpierw mieszkanie” przez co najmniej sześć miesięcy i stacje pocztowe</w:t>
            </w:r>
          </w:p>
        </w:tc>
        <w:tc>
          <w:tcPr>
            <w:tcW w:w="1476" w:type="dxa"/>
            <w:shd w:val="clear" w:color="auto" w:fill="C6EFCE"/>
            <w:noWrap/>
            <w:vAlign w:val="center"/>
            <w:hideMark/>
          </w:tcPr>
          <w:p w14:paraId="64E5AD5E" w14:textId="77777777" w:rsidR="004C6421" w:rsidRDefault="009D1962">
            <w:pPr>
              <w:pStyle w:val="P68B1DB1-Normal4"/>
              <w:spacing w:before="120" w:after="120"/>
              <w:jc w:val="center"/>
              <w:rPr>
                <w:rFonts w:eastAsia="Calibri"/>
                <w:noProof/>
              </w:rPr>
            </w:pPr>
            <w:r>
              <w:rPr>
                <w:noProof/>
              </w:rPr>
              <w:t>NIE DOT.</w:t>
            </w:r>
          </w:p>
        </w:tc>
        <w:tc>
          <w:tcPr>
            <w:tcW w:w="1474" w:type="dxa"/>
            <w:shd w:val="clear" w:color="auto" w:fill="C6EFCE"/>
            <w:noWrap/>
            <w:vAlign w:val="center"/>
            <w:hideMark/>
          </w:tcPr>
          <w:p w14:paraId="5A38CE9B" w14:textId="77777777" w:rsidR="004C6421" w:rsidRDefault="009D1962">
            <w:pPr>
              <w:pStyle w:val="P68B1DB1-Normal4"/>
              <w:spacing w:before="120" w:after="120"/>
              <w:jc w:val="center"/>
              <w:rPr>
                <w:rFonts w:eastAsia="Calibri"/>
                <w:noProof/>
              </w:rPr>
            </w:pPr>
            <w:r>
              <w:rPr>
                <w:noProof/>
              </w:rPr>
              <w:t>Numer</w:t>
            </w:r>
          </w:p>
        </w:tc>
        <w:tc>
          <w:tcPr>
            <w:tcW w:w="1092" w:type="dxa"/>
            <w:shd w:val="clear" w:color="auto" w:fill="C6EFCE"/>
            <w:noWrap/>
            <w:vAlign w:val="center"/>
            <w:hideMark/>
          </w:tcPr>
          <w:p w14:paraId="505AF9E2" w14:textId="77777777" w:rsidR="004C6421" w:rsidRDefault="009D1962">
            <w:pPr>
              <w:pStyle w:val="P68B1DB1-Normal4"/>
              <w:spacing w:before="120" w:after="120"/>
              <w:jc w:val="center"/>
              <w:rPr>
                <w:rFonts w:eastAsia="Calibri"/>
                <w:noProof/>
              </w:rPr>
            </w:pPr>
            <w:r>
              <w:rPr>
                <w:noProof/>
              </w:rPr>
              <w:t>0</w:t>
            </w:r>
          </w:p>
        </w:tc>
        <w:tc>
          <w:tcPr>
            <w:tcW w:w="775" w:type="dxa"/>
            <w:shd w:val="clear" w:color="auto" w:fill="C6EFCE"/>
            <w:noWrap/>
            <w:vAlign w:val="center"/>
            <w:hideMark/>
          </w:tcPr>
          <w:p w14:paraId="4D312A51" w14:textId="3775C152" w:rsidR="004C6421" w:rsidRDefault="009D1962">
            <w:pPr>
              <w:spacing w:before="120" w:after="120"/>
              <w:jc w:val="center"/>
              <w:rPr>
                <w:rFonts w:ascii="Arial Narrow" w:eastAsia="Calibri" w:hAnsi="Arial Narrow"/>
                <w:noProof/>
                <w:color w:val="006100"/>
                <w:sz w:val="20"/>
              </w:rPr>
            </w:pPr>
            <w:r>
              <w:rPr>
                <w:rFonts w:ascii="Arial Narrow" w:hAnsi="Arial Narrow"/>
                <w:noProof/>
                <w:color w:val="006100"/>
                <w:sz w:val="20"/>
              </w:rPr>
              <w:t>25</w:t>
            </w:r>
            <w:r>
              <w:rPr>
                <w:noProof/>
                <w:sz w:val="23"/>
              </w:rPr>
              <w:t xml:space="preserve"> </w:t>
            </w:r>
            <w:r>
              <w:rPr>
                <w:rFonts w:ascii="Arial Narrow" w:hAnsi="Arial Narrow"/>
                <w:noProof/>
                <w:color w:val="006100"/>
                <w:sz w:val="20"/>
              </w:rPr>
              <w:t>000</w:t>
            </w:r>
          </w:p>
        </w:tc>
        <w:tc>
          <w:tcPr>
            <w:tcW w:w="1078" w:type="dxa"/>
            <w:shd w:val="clear" w:color="auto" w:fill="C6EFCE"/>
            <w:noWrap/>
            <w:vAlign w:val="center"/>
            <w:hideMark/>
          </w:tcPr>
          <w:p w14:paraId="72314FBF" w14:textId="3D15DE5F" w:rsidR="004C6421" w:rsidRDefault="00CC179E">
            <w:pPr>
              <w:pStyle w:val="P68B1DB1-Normal4"/>
              <w:spacing w:before="120" w:after="120"/>
              <w:jc w:val="center"/>
              <w:rPr>
                <w:rFonts w:eastAsia="Calibri"/>
                <w:noProof/>
              </w:rPr>
            </w:pPr>
            <w:r>
              <w:rPr>
                <w:noProof/>
              </w:rPr>
              <w:t>KW. 1</w:t>
            </w:r>
          </w:p>
        </w:tc>
        <w:tc>
          <w:tcPr>
            <w:tcW w:w="755" w:type="dxa"/>
            <w:shd w:val="clear" w:color="auto" w:fill="C6EFCE"/>
            <w:noWrap/>
            <w:vAlign w:val="center"/>
            <w:hideMark/>
          </w:tcPr>
          <w:p w14:paraId="68CD48EC" w14:textId="77777777" w:rsidR="004C6421" w:rsidRDefault="009D1962">
            <w:pPr>
              <w:pStyle w:val="P68B1DB1-Normal4"/>
              <w:spacing w:before="120" w:after="120"/>
              <w:jc w:val="center"/>
              <w:rPr>
                <w:rFonts w:eastAsia="Calibri"/>
                <w:noProof/>
              </w:rPr>
            </w:pPr>
            <w:r>
              <w:rPr>
                <w:noProof/>
              </w:rPr>
              <w:t>2026</w:t>
            </w:r>
          </w:p>
        </w:tc>
        <w:tc>
          <w:tcPr>
            <w:tcW w:w="5046" w:type="dxa"/>
            <w:shd w:val="clear" w:color="auto" w:fill="C6EFCE"/>
            <w:noWrap/>
            <w:vAlign w:val="center"/>
            <w:hideMark/>
          </w:tcPr>
          <w:p w14:paraId="26736D5D" w14:textId="357357AC" w:rsidR="004C6421" w:rsidRDefault="009D1962">
            <w:pPr>
              <w:spacing w:before="120" w:after="120"/>
              <w:rPr>
                <w:rFonts w:ascii="Arial Narrow" w:eastAsia="Calibri" w:hAnsi="Arial Narrow"/>
                <w:noProof/>
                <w:color w:val="006100"/>
                <w:sz w:val="20"/>
              </w:rPr>
            </w:pPr>
            <w:r>
              <w:rPr>
                <w:rFonts w:ascii="Arial Narrow" w:hAnsi="Arial Narrow"/>
                <w:noProof/>
                <w:color w:val="006100"/>
                <w:sz w:val="20"/>
              </w:rPr>
              <w:t>Przejęcie odpowiedzialności co najmniej 25000</w:t>
            </w:r>
            <w:r>
              <w:rPr>
                <w:noProof/>
                <w:sz w:val="23"/>
              </w:rPr>
              <w:t xml:space="preserve"> </w:t>
            </w:r>
            <w:r>
              <w:rPr>
                <w:rFonts w:ascii="Arial Narrow" w:hAnsi="Arial Narrow"/>
                <w:noProof/>
                <w:color w:val="006100"/>
                <w:sz w:val="20"/>
              </w:rPr>
              <w:t>osób dotkniętych poważną deprywacją materialną jako odbiorców interwencji na stacjach mieszkaniowych „najpierw mieszkanie” i „stacja pocztowa”.</w:t>
            </w:r>
          </w:p>
          <w:p w14:paraId="35374447" w14:textId="77777777" w:rsidR="004C6421" w:rsidRDefault="009D1962">
            <w:pPr>
              <w:pStyle w:val="P68B1DB1-Normal4"/>
              <w:spacing w:before="120" w:after="120"/>
              <w:rPr>
                <w:rFonts w:eastAsia="Calibri"/>
                <w:noProof/>
              </w:rPr>
            </w:pPr>
            <w:r>
              <w:rPr>
                <w:noProof/>
              </w:rPr>
              <w:t>Zadowalające osiągnięcie celu zależy również od zadowalającego osiągnięcia celu drugorzędnego: co najmniej 3000 osobom zapewnia się tymczasowe zakwaterowanie na okres co najmniej 6 miesięcy w ramach projektów Housing First, a co najmniej 22000 osób korzysta z usług oferowanych w ramach projektów post Stacji realizowanych przez powiat socjalny.</w:t>
            </w:r>
          </w:p>
          <w:p w14:paraId="24433A2D" w14:textId="77777777" w:rsidR="004C6421" w:rsidRDefault="009D1962">
            <w:pPr>
              <w:pStyle w:val="P68B1DB1-Normal4"/>
              <w:spacing w:before="120" w:after="120"/>
              <w:rPr>
                <w:rFonts w:eastAsia="Calibri"/>
                <w:noProof/>
              </w:rPr>
            </w:pPr>
            <w:r>
              <w:rPr>
                <w:noProof/>
              </w:rPr>
              <w:t>Osoby znajdujące się w warunkach pogłębionej deprywacji definiuje się w następujący sposób: Zob. Linee di indirizzo per il contrasto alla grave emarginazione in Italia, zatwierdzone przez Conferenza Unificata il 11.5.2015 oraz art. 5 dorocznego dekretu w sprawie funduszu na rzecz ubóstwa z 2018 r., gdzie (art. 5) w tym celu określa się je jako: mieszkające na ulicy lub w niepewnym schronieniu; b) korzystanie z domu publicznego; C) przebywa w schroniskach dla osób potrzebujących; d) opuszczają konstrukcje (w tym więzienie) i nie mają miejsca do zamieszkania.</w:t>
            </w:r>
          </w:p>
          <w:p w14:paraId="421B96C8" w14:textId="77777777" w:rsidR="004C6421" w:rsidRDefault="009D1962">
            <w:pPr>
              <w:pStyle w:val="P68B1DB1-Normal4"/>
              <w:spacing w:before="120" w:after="120"/>
              <w:rPr>
                <w:rFonts w:eastAsia="Calibri"/>
                <w:noProof/>
              </w:rPr>
            </w:pPr>
            <w:r>
              <w:rPr>
                <w:noProof/>
              </w:rPr>
              <w:t>Działanie obejmuje całe terytorium kraju, jednak obszary, na których problemy związane z bezdomnością i poważnym ubóstwem są pilniejsze (obszary metropolitalne, ale również niektóre obszary wiejskie o dużej liczbie pracowników sezonowych – z których wielu obcokrajowców) jest uprzywilejowanych.</w:t>
            </w:r>
          </w:p>
        </w:tc>
      </w:tr>
    </w:tbl>
    <w:p w14:paraId="02C57AE2" w14:textId="77777777" w:rsidR="004C6421" w:rsidRDefault="004C6421">
      <w:pPr>
        <w:spacing w:before="120" w:after="120"/>
        <w:ind w:left="709"/>
        <w:jc w:val="both"/>
        <w:rPr>
          <w:noProof/>
        </w:rPr>
      </w:pPr>
    </w:p>
    <w:p w14:paraId="6D07EA05" w14:textId="77777777" w:rsidR="004C6421" w:rsidRDefault="004C6421">
      <w:pPr>
        <w:spacing w:before="120" w:after="120"/>
        <w:ind w:left="709"/>
        <w:jc w:val="both"/>
        <w:rPr>
          <w:noProof/>
        </w:rPr>
      </w:pPr>
    </w:p>
    <w:p w14:paraId="63A9AB51" w14:textId="77777777" w:rsidR="004C6421" w:rsidRDefault="004C6421">
      <w:pPr>
        <w:spacing w:before="120" w:after="120"/>
        <w:ind w:left="709"/>
        <w:jc w:val="both"/>
        <w:rPr>
          <w:noProof/>
        </w:rPr>
      </w:pPr>
    </w:p>
    <w:p w14:paraId="7F1E29C0" w14:textId="77777777" w:rsidR="004C6421" w:rsidRDefault="004C6421">
      <w:pPr>
        <w:framePr w:w="19845" w:wrap="auto" w:hAnchor="text"/>
        <w:spacing w:before="120" w:after="120"/>
        <w:ind w:left="709"/>
        <w:jc w:val="both"/>
        <w:rPr>
          <w:noProof/>
        </w:rPr>
        <w:sectPr w:rsidR="004C6421" w:rsidSect="00797973">
          <w:headerReference w:type="even" r:id="rId332"/>
          <w:headerReference w:type="default" r:id="rId333"/>
          <w:footerReference w:type="even" r:id="rId334"/>
          <w:footerReference w:type="default" r:id="rId335"/>
          <w:headerReference w:type="first" r:id="rId336"/>
          <w:footerReference w:type="first" r:id="rId337"/>
          <w:pgSz w:w="19051" w:h="11907" w:orient="landscape" w:code="9"/>
          <w:pgMar w:top="720" w:right="720" w:bottom="426" w:left="720" w:header="709" w:footer="709" w:gutter="0"/>
          <w:cols w:space="720"/>
          <w:docGrid w:linePitch="360"/>
        </w:sectPr>
      </w:pPr>
    </w:p>
    <w:p w14:paraId="43349719" w14:textId="77777777" w:rsidR="004C6421" w:rsidRDefault="009D1962">
      <w:pPr>
        <w:pStyle w:val="Heading3"/>
        <w:numPr>
          <w:ilvl w:val="2"/>
          <w:numId w:val="0"/>
        </w:numPr>
        <w:ind w:left="850" w:hanging="850"/>
        <w:rPr>
          <w:b/>
          <w:i w:val="0"/>
          <w:noProof/>
          <w:color w:val="4472C4" w:themeColor="accent1"/>
          <w:u w:val="single"/>
        </w:rPr>
      </w:pPr>
      <w:r>
        <w:rPr>
          <w:b/>
          <w:i w:val="0"/>
          <w:noProof/>
          <w:u w:val="single"/>
        </w:rPr>
        <w:t xml:space="preserve">M.3. </w:t>
      </w:r>
      <w:r>
        <w:rPr>
          <w:noProof/>
        </w:rPr>
        <w:t xml:space="preserve"> </w:t>
      </w:r>
      <w:r>
        <w:rPr>
          <w:b/>
          <w:i w:val="0"/>
          <w:noProof/>
          <w:u w:val="single"/>
        </w:rPr>
        <w:t>Opis reform i inwestycji związanych z pożyczką</w:t>
      </w:r>
    </w:p>
    <w:p w14:paraId="539566BC" w14:textId="77777777" w:rsidR="004C6421" w:rsidRDefault="009D1962">
      <w:pPr>
        <w:pStyle w:val="P68B1DB1-Normal2"/>
        <w:spacing w:before="120" w:after="120"/>
        <w:jc w:val="both"/>
        <w:rPr>
          <w:noProof/>
          <w:u w:val="single"/>
        </w:rPr>
      </w:pPr>
      <w:r>
        <w:rPr>
          <w:noProof/>
        </w:rPr>
        <w:t>Inwestycje 4 – Inwestycje w projekty rewitalizacji obszarów miejskich mające na celu ograniczenie sytuacji marginalizacji i degradacji społecznej</w:t>
      </w:r>
    </w:p>
    <w:p w14:paraId="25930D2B" w14:textId="77777777" w:rsidR="004C6421" w:rsidRDefault="009D1962">
      <w:pPr>
        <w:spacing w:before="120" w:after="120"/>
        <w:jc w:val="both"/>
        <w:rPr>
          <w:rFonts w:eastAsia="Calibri"/>
          <w:noProof/>
        </w:rPr>
      </w:pPr>
      <w:r>
        <w:rPr>
          <w:noProof/>
        </w:rPr>
        <w:t xml:space="preserve">Celem tego środka jest zapewnienie gminom dotacji na inwestycje w rewitalizację obszarów miejskich, ograniczenie marginalizacji i degradacji społecznej, a także poprawa kontekstu społecznego i środowiskowego ośrodków miejskich, przy pełnym poszanowaniu zasady „nie czyń poważnych szkód”. Środek ten ma na celu wspieranie ponownego wykorzystania i ponownego funkcjonowania obszarów publicznych i istniejących struktur budynków publicznych do celów leżących w interesie publicznym oraz poprawę krajobrazu miejskiego poprzez renowację budynków publicznych, ze szczególnym uwzględnieniem rozwoju usług społecznych, kulturalnych, edukacyjnych i dydaktycznych, w tym działalności sportowej. </w:t>
      </w:r>
    </w:p>
    <w:p w14:paraId="156D006B" w14:textId="77777777" w:rsidR="004C6421" w:rsidRDefault="009D1962">
      <w:pPr>
        <w:spacing w:before="120" w:after="120"/>
        <w:jc w:val="both"/>
        <w:rPr>
          <w:rFonts w:eastAsia="Calibri"/>
          <w:noProof/>
        </w:rPr>
      </w:pPr>
      <w:r>
        <w:rPr>
          <w:noProof/>
        </w:rPr>
        <w:t>Środek nie może powodować poważnych szkód dla celów środowiskowych w rozumieniu art. 17 rozporządzenia (UE) 2020/852, biorąc pod uwagę opis środka i działania łagodzące określone w planie odbudowy i zwiększania odporności zgodnie z wytycznymi technicznymi dotyczącymi zasady „nie czyń poważnych szkód” (2021/C58/01). Obejmuje on kotły kondensacyjne na gaz, które nie kwalifikują się do interwencji w ramach tego środka.</w:t>
      </w:r>
    </w:p>
    <w:p w14:paraId="11B5BB87" w14:textId="77777777" w:rsidR="004C6421" w:rsidRDefault="009D1962">
      <w:pPr>
        <w:pStyle w:val="P68B1DB1-Normal2"/>
        <w:spacing w:before="120" w:after="120"/>
        <w:jc w:val="both"/>
        <w:rPr>
          <w:rFonts w:eastAsia="Calibri"/>
          <w:noProof/>
        </w:rPr>
      </w:pPr>
      <w:r>
        <w:rPr>
          <w:noProof/>
        </w:rPr>
        <w:t>Inwestycje 5 – Plany integracji miejskiej (projekty ogólne i przeciwdziałanie nielegalnym osiedlom w celu zwalczania wyzysku pracowników w rolnictwie)</w:t>
      </w:r>
    </w:p>
    <w:p w14:paraId="03E7D56E" w14:textId="77777777" w:rsidR="004C6421" w:rsidRDefault="009D1962">
      <w:pPr>
        <w:spacing w:before="120" w:after="120"/>
        <w:jc w:val="both"/>
        <w:rPr>
          <w:rFonts w:eastAsiaTheme="minorEastAsia"/>
          <w:noProof/>
        </w:rPr>
      </w:pPr>
      <w:r>
        <w:rPr>
          <w:noProof/>
        </w:rPr>
        <w:t>Celem tego środka jest rewitalizacja, rewitalizacja i wzmocnienie dużych zdegradowanych obszarów miejskich, ze szczególnym uwzględnieniem tworzenia nowych usług dla osób oraz przekwalifikowania dostępności i infrastruktury intermodalnej, co umożliwi przekształcenie obszarów znajdujących się w trudnej sytuacji w inteligentne i zrównoważone miasta. Inwestycja ta obejmuje dwie interwencje: Wsparcie dla ogólnych projektów mających na celu realizację i wdrożenie zintegrowanych planów miejskich, takich jak utrzymanie i ponowne wykorzystanie obszarów publicznych i budynków, rewitalizacja i waloryzacja niedostatecznie wykorzystywanych lub niewykorzystanych obszarów miejskich itp. (II) konkretne projekty mające na celu przezwyciężenie nielegalnych osiedli w rolnictwie. Administracje lokalne otrzymują wsparcie w tworzeniu planów działania mających na celu przezwyciężenie nielegalnych osiedli i zapewnienie godnych rozwiązań mieszkaniowych dla pracowników sektora rolnego. Ponadto w ramach tej inwestycji utworzony zostanie fundusz tematyczny (Fundusz Funduszy), we współpracy z EBI, ukierunkowany na wsparcie prywatnych interwencji w inicjatywy rewitalizacji obszarów miejskich. Fundusz ten wykorzystuje się do wspierania transformacji klimatycznej i cyfrowej obszarów miejskich.</w:t>
      </w:r>
    </w:p>
    <w:p w14:paraId="6FF396F4" w14:textId="77777777" w:rsidR="004C6421" w:rsidRDefault="009D1962">
      <w:pPr>
        <w:spacing w:before="120" w:after="120"/>
        <w:jc w:val="both"/>
        <w:rPr>
          <w:rFonts w:eastAsia="Calibri"/>
          <w:noProof/>
        </w:rPr>
      </w:pPr>
      <w:r>
        <w:rPr>
          <w:noProof/>
        </w:rPr>
        <w:t>Środek nie może powodować poważnych szkód dla celów środowiskowych w rozumieniu art. 17 rozporządzenia (UE) 2020/852, biorąc pod uwagę opis środka i działania łagodzące określone w planie odbudowy i zwiększania odporności zgodnie z wytycznymi technicznymi dotyczącymi zasady „nie czyń poważnych szkód” (2021/C58/01). Obejmuje on kotły kondensacyjne na gaz, które nie kwalifikują się do interwencji w ramach tego środka.</w:t>
      </w:r>
    </w:p>
    <w:p w14:paraId="6EF2FF1B" w14:textId="77777777" w:rsidR="004C6421" w:rsidRDefault="009D1962">
      <w:pPr>
        <w:pStyle w:val="P68B1DB1-Normal2"/>
        <w:spacing w:before="120" w:after="120"/>
        <w:jc w:val="both"/>
        <w:rPr>
          <w:rFonts w:eastAsia="Calibri"/>
          <w:noProof/>
        </w:rPr>
      </w:pPr>
      <w:r>
        <w:rPr>
          <w:noProof/>
        </w:rPr>
        <w:t>Inwestycje 6 – Innowacyjny plan na rzecz jakości mieszkań</w:t>
      </w:r>
    </w:p>
    <w:p w14:paraId="7B31A15F" w14:textId="77777777" w:rsidR="004C6421" w:rsidRDefault="009D1962">
      <w:pPr>
        <w:spacing w:before="120" w:after="120"/>
        <w:jc w:val="both"/>
        <w:rPr>
          <w:rFonts w:eastAsiaTheme="minorEastAsia"/>
          <w:noProof/>
        </w:rPr>
      </w:pPr>
      <w:r>
        <w:rPr>
          <w:noProof/>
        </w:rPr>
        <w:t xml:space="preserve">Celem tego środka jest budowa nowych lokali mieszkalnych i przebudowa zdegradowanych obszarów, koncentrując się głównie na zielonych innowacjach i zrównoważonym rozwoju. Inwestycja zapewnia wsparcie na rzecz: Przebudowę, reorganizację i zwiększenie oferty mieszkań publicznych; Rewitalizacji obszarów, przestrzeni oraz własności publicznej i prywatnej; (III) poprawa dostępności i bezpieczeństwa obszarów miejskich oraz świadczenie usług; (IV) opracowanie partycypacyjnych i innowacyjnych modeli zarządzania w celu wspierania dobrobytu społecznego i miejskiego. </w:t>
      </w:r>
    </w:p>
    <w:p w14:paraId="3A08AF60" w14:textId="77777777" w:rsidR="004C6421" w:rsidRDefault="009D1962">
      <w:pPr>
        <w:pStyle w:val="P68B1DB1-Normal2"/>
        <w:spacing w:before="120" w:after="120"/>
        <w:jc w:val="both"/>
        <w:rPr>
          <w:rFonts w:eastAsia="Calibri"/>
          <w:noProof/>
        </w:rPr>
      </w:pPr>
      <w:r>
        <w:rPr>
          <w:noProof/>
        </w:rPr>
        <w:t>Inwestycje 7 – Sport i włączenie społeczne</w:t>
      </w:r>
    </w:p>
    <w:p w14:paraId="7A3CC512" w14:textId="77777777" w:rsidR="004C6421" w:rsidRDefault="009D1962">
      <w:pPr>
        <w:spacing w:before="120" w:after="120"/>
        <w:jc w:val="both"/>
        <w:rPr>
          <w:rFonts w:eastAsia="Calibri"/>
          <w:noProof/>
        </w:rPr>
      </w:pPr>
      <w:r>
        <w:rPr>
          <w:noProof/>
        </w:rPr>
        <w:t xml:space="preserve">Celem tego środka jest rewitalizacja obszarów miejskich koncentrujących się na obiektach sportowych w celu promowania włączenia społecznego i integracji społecznej, zwłaszcza na najbardziej potrzebujących obszarach Włoch. Finansowane projekty wspierają: Budowa i rewitalizacja obiektów sportowych znajdujących się na obszarach o niekorzystnych warunkach gospodarowania, w tym na przedmieściach metropolitalnych; Dystrybucja sprzętu sportowego na obszarach o niekorzystnych warunkach gospodarowania; (III) ukończenie i dostosowanie istniejących obiektów sportowych, takich jak: (przykłady: odbudowa funkcjonalna, restrukturyzacja, nadzwyczajna konserwacja, usunięcie barier architektonicznych i efektywność energetyczna). </w:t>
      </w:r>
    </w:p>
    <w:p w14:paraId="08614385" w14:textId="77777777" w:rsidR="004C6421" w:rsidRDefault="009D1962">
      <w:pPr>
        <w:pStyle w:val="Heading3"/>
        <w:numPr>
          <w:ilvl w:val="2"/>
          <w:numId w:val="0"/>
        </w:numPr>
        <w:ind w:left="850" w:hanging="850"/>
        <w:rPr>
          <w:b/>
          <w:i w:val="0"/>
          <w:noProof/>
          <w:u w:val="single"/>
        </w:rPr>
      </w:pPr>
      <w:r>
        <w:rPr>
          <w:b/>
          <w:i w:val="0"/>
          <w:noProof/>
          <w:u w:val="single"/>
        </w:rPr>
        <w:t xml:space="preserve">M.4. </w:t>
      </w:r>
      <w:r>
        <w:rPr>
          <w:noProof/>
        </w:rPr>
        <w:t xml:space="preserve"> </w:t>
      </w:r>
      <w:r>
        <w:rPr>
          <w:b/>
          <w:i w:val="0"/>
          <w:noProof/>
          <w:u w:val="single"/>
        </w:rPr>
        <w:t>Cele pośrednie, wartości docelowe, wskaźniki i harmonogram monitorowania i realizacji pożyczki</w:t>
      </w:r>
    </w:p>
    <w:p w14:paraId="16680216" w14:textId="77777777" w:rsidR="004C6421" w:rsidRDefault="009D1962">
      <w:pPr>
        <w:pStyle w:val="P68B1DB1-Normal26"/>
        <w:spacing w:before="120" w:after="120"/>
        <w:ind w:left="709"/>
        <w:jc w:val="both"/>
        <w:rPr>
          <w:noProof/>
        </w:rPr>
      </w:pPr>
      <w:r>
        <w:rPr>
          <w:noProof/>
        </w:rPr>
        <w:t xml:space="preserve"> </w:t>
      </w:r>
    </w:p>
    <w:p w14:paraId="2F24C562" w14:textId="77777777" w:rsidR="004C6421" w:rsidRDefault="004C6421">
      <w:pPr>
        <w:spacing w:before="120" w:after="120"/>
        <w:ind w:left="709"/>
        <w:contextualSpacing/>
        <w:jc w:val="both"/>
        <w:rPr>
          <w:noProof/>
        </w:rPr>
        <w:sectPr w:rsidR="004C6421" w:rsidSect="00797973">
          <w:headerReference w:type="even" r:id="rId338"/>
          <w:headerReference w:type="default" r:id="rId339"/>
          <w:footerReference w:type="even" r:id="rId340"/>
          <w:footerReference w:type="default" r:id="rId341"/>
          <w:headerReference w:type="first" r:id="rId342"/>
          <w:footerReference w:type="first" r:id="rId343"/>
          <w:pgSz w:w="11907" w:h="16839"/>
          <w:pgMar w:top="1134" w:right="1417" w:bottom="1134" w:left="1417" w:header="709" w:footer="709" w:gutter="0"/>
          <w:cols w:space="720"/>
          <w:docGrid w:linePitch="360"/>
        </w:sectPr>
      </w:pPr>
    </w:p>
    <w:tbl>
      <w:tblPr>
        <w:tblW w:w="5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787"/>
        <w:gridCol w:w="1438"/>
        <w:gridCol w:w="1773"/>
        <w:gridCol w:w="1773"/>
        <w:gridCol w:w="1678"/>
        <w:gridCol w:w="1111"/>
        <w:gridCol w:w="1345"/>
        <w:gridCol w:w="958"/>
        <w:gridCol w:w="693"/>
        <w:gridCol w:w="3815"/>
      </w:tblGrid>
      <w:tr w:rsidR="004C6421" w14:paraId="7AA6A687" w14:textId="77777777">
        <w:trPr>
          <w:trHeight w:val="1190"/>
          <w:tblHeader/>
          <w:jc w:val="center"/>
        </w:trPr>
        <w:tc>
          <w:tcPr>
            <w:tcW w:w="384" w:type="pct"/>
            <w:vMerge w:val="restart"/>
            <w:shd w:val="clear" w:color="auto" w:fill="BDD7EE"/>
            <w:vAlign w:val="center"/>
            <w:hideMark/>
          </w:tcPr>
          <w:p w14:paraId="30B50DB4" w14:textId="77777777" w:rsidR="004C6421" w:rsidRDefault="009D1962">
            <w:pPr>
              <w:pStyle w:val="P68B1DB1-Normal25"/>
              <w:jc w:val="center"/>
              <w:rPr>
                <w:noProof/>
              </w:rPr>
            </w:pPr>
            <w:r>
              <w:rPr>
                <w:noProof/>
              </w:rPr>
              <w:t>Numer porządkowy</w:t>
            </w:r>
          </w:p>
        </w:tc>
        <w:tc>
          <w:tcPr>
            <w:tcW w:w="509" w:type="pct"/>
            <w:vMerge w:val="restart"/>
            <w:shd w:val="clear" w:color="auto" w:fill="BDD7EE"/>
            <w:vAlign w:val="center"/>
            <w:hideMark/>
          </w:tcPr>
          <w:p w14:paraId="2CDB88B6" w14:textId="77777777" w:rsidR="004C6421" w:rsidRDefault="009D1962">
            <w:pPr>
              <w:pStyle w:val="P68B1DB1-Normal25"/>
              <w:jc w:val="center"/>
              <w:rPr>
                <w:noProof/>
              </w:rPr>
            </w:pPr>
            <w:r>
              <w:rPr>
                <w:noProof/>
              </w:rPr>
              <w:t>Powiązane działanie (reforma lub inwestycja)</w:t>
            </w:r>
          </w:p>
        </w:tc>
        <w:tc>
          <w:tcPr>
            <w:tcW w:w="361" w:type="pct"/>
            <w:vMerge w:val="restart"/>
            <w:shd w:val="clear" w:color="auto" w:fill="BDD7EE"/>
            <w:vAlign w:val="center"/>
            <w:hideMark/>
          </w:tcPr>
          <w:p w14:paraId="7D186B2E" w14:textId="77777777" w:rsidR="004C6421" w:rsidRDefault="009D1962">
            <w:pPr>
              <w:pStyle w:val="P68B1DB1-Normal25"/>
              <w:jc w:val="center"/>
              <w:rPr>
                <w:noProof/>
              </w:rPr>
            </w:pPr>
            <w:r>
              <w:rPr>
                <w:noProof/>
              </w:rPr>
              <w:t>Kamień milowy/wartość docelowa</w:t>
            </w:r>
          </w:p>
        </w:tc>
        <w:tc>
          <w:tcPr>
            <w:tcW w:w="505" w:type="pct"/>
            <w:vMerge w:val="restart"/>
            <w:shd w:val="clear" w:color="auto" w:fill="BDD7EE"/>
            <w:vAlign w:val="center"/>
            <w:hideMark/>
          </w:tcPr>
          <w:p w14:paraId="2CD4C557" w14:textId="77777777" w:rsidR="004C6421" w:rsidRDefault="009D1962">
            <w:pPr>
              <w:pStyle w:val="P68B1DB1-Normal25"/>
              <w:jc w:val="center"/>
              <w:rPr>
                <w:noProof/>
              </w:rPr>
            </w:pPr>
            <w:r>
              <w:rPr>
                <w:noProof/>
              </w:rPr>
              <w:t>Nazwa</w:t>
            </w:r>
          </w:p>
        </w:tc>
        <w:tc>
          <w:tcPr>
            <w:tcW w:w="505" w:type="pct"/>
            <w:vMerge w:val="restart"/>
            <w:shd w:val="clear" w:color="auto" w:fill="BDD7EE"/>
            <w:vAlign w:val="center"/>
            <w:hideMark/>
          </w:tcPr>
          <w:p w14:paraId="79A3575E" w14:textId="77777777" w:rsidR="004C6421" w:rsidRDefault="009D1962">
            <w:pPr>
              <w:pStyle w:val="P68B1DB1-Normal27"/>
              <w:jc w:val="center"/>
              <w:rPr>
                <w:b/>
                <w:noProof/>
              </w:rPr>
            </w:pPr>
            <w:r>
              <w:rPr>
                <w:b/>
                <w:noProof/>
              </w:rPr>
              <w:t xml:space="preserve">Wskaźniki jakościowe </w:t>
            </w:r>
            <w:r>
              <w:rPr>
                <w:noProof/>
              </w:rPr>
              <w:t xml:space="preserve"> </w:t>
            </w:r>
            <w:r>
              <w:rPr>
                <w:b/>
                <w:noProof/>
              </w:rPr>
              <w:t>(dla kamieni milowych)</w:t>
            </w:r>
          </w:p>
        </w:tc>
        <w:tc>
          <w:tcPr>
            <w:tcW w:w="1180" w:type="pct"/>
            <w:gridSpan w:val="3"/>
            <w:shd w:val="clear" w:color="auto" w:fill="BDD7EE"/>
            <w:vAlign w:val="center"/>
            <w:hideMark/>
          </w:tcPr>
          <w:p w14:paraId="0A5BBD45" w14:textId="77777777" w:rsidR="004C6421" w:rsidRDefault="009D1962">
            <w:pPr>
              <w:pStyle w:val="P68B1DB1-Normal27"/>
              <w:jc w:val="center"/>
              <w:rPr>
                <w:b/>
                <w:noProof/>
              </w:rPr>
            </w:pPr>
            <w:r>
              <w:rPr>
                <w:b/>
                <w:noProof/>
              </w:rPr>
              <w:t xml:space="preserve">Wskaźniki ilościowe </w:t>
            </w:r>
            <w:r>
              <w:rPr>
                <w:noProof/>
              </w:rPr>
              <w:t xml:space="preserve"> </w:t>
            </w:r>
            <w:r>
              <w:rPr>
                <w:b/>
                <w:noProof/>
              </w:rPr>
              <w:t>(dla wartości docelowych)</w:t>
            </w:r>
          </w:p>
        </w:tc>
        <w:tc>
          <w:tcPr>
            <w:tcW w:w="475" w:type="pct"/>
            <w:gridSpan w:val="2"/>
            <w:shd w:val="clear" w:color="auto" w:fill="BDD7EE"/>
            <w:vAlign w:val="center"/>
            <w:hideMark/>
          </w:tcPr>
          <w:p w14:paraId="7C78A6F3" w14:textId="77777777" w:rsidR="004C6421" w:rsidRDefault="009D1962">
            <w:pPr>
              <w:pStyle w:val="P68B1DB1-Normal25"/>
              <w:jc w:val="center"/>
              <w:rPr>
                <w:noProof/>
              </w:rPr>
            </w:pPr>
            <w:r>
              <w:rPr>
                <w:noProof/>
              </w:rPr>
              <w:t>Orientacyjny harmonogram zakończenia działania</w:t>
            </w:r>
          </w:p>
        </w:tc>
        <w:tc>
          <w:tcPr>
            <w:tcW w:w="1081" w:type="pct"/>
            <w:vMerge w:val="restart"/>
            <w:shd w:val="clear" w:color="auto" w:fill="BDD7EE"/>
            <w:vAlign w:val="center"/>
            <w:hideMark/>
          </w:tcPr>
          <w:p w14:paraId="3BA9C2E5" w14:textId="77777777" w:rsidR="004C6421" w:rsidRDefault="009D1962">
            <w:pPr>
              <w:pStyle w:val="P68B1DB1-Normal25"/>
              <w:jc w:val="center"/>
              <w:rPr>
                <w:noProof/>
              </w:rPr>
            </w:pPr>
            <w:r>
              <w:rPr>
                <w:noProof/>
              </w:rPr>
              <w:t>Opis każdego kamienia milowego i każdej wartości docelowej</w:t>
            </w:r>
          </w:p>
        </w:tc>
      </w:tr>
      <w:tr w:rsidR="004C6421" w14:paraId="50BC813D" w14:textId="77777777">
        <w:trPr>
          <w:trHeight w:val="610"/>
          <w:jc w:val="center"/>
        </w:trPr>
        <w:tc>
          <w:tcPr>
            <w:tcW w:w="384" w:type="pct"/>
            <w:vMerge/>
            <w:vAlign w:val="center"/>
            <w:hideMark/>
          </w:tcPr>
          <w:p w14:paraId="664F72FD" w14:textId="77777777" w:rsidR="004C6421" w:rsidRDefault="004C6421">
            <w:pPr>
              <w:jc w:val="center"/>
              <w:rPr>
                <w:rFonts w:ascii="Arial Narrow" w:hAnsi="Arial Narrow"/>
                <w:b/>
                <w:noProof/>
                <w:color w:val="000000"/>
                <w:sz w:val="20"/>
              </w:rPr>
            </w:pPr>
          </w:p>
        </w:tc>
        <w:tc>
          <w:tcPr>
            <w:tcW w:w="509" w:type="pct"/>
            <w:vMerge/>
            <w:vAlign w:val="center"/>
            <w:hideMark/>
          </w:tcPr>
          <w:p w14:paraId="10FB4E1F" w14:textId="77777777" w:rsidR="004C6421" w:rsidRDefault="004C6421">
            <w:pPr>
              <w:jc w:val="center"/>
              <w:rPr>
                <w:rFonts w:ascii="Arial Narrow" w:hAnsi="Arial Narrow"/>
                <w:b/>
                <w:noProof/>
                <w:color w:val="000000"/>
                <w:sz w:val="20"/>
              </w:rPr>
            </w:pPr>
          </w:p>
        </w:tc>
        <w:tc>
          <w:tcPr>
            <w:tcW w:w="361" w:type="pct"/>
            <w:vMerge/>
            <w:vAlign w:val="center"/>
            <w:hideMark/>
          </w:tcPr>
          <w:p w14:paraId="13F0B88E" w14:textId="77777777" w:rsidR="004C6421" w:rsidRDefault="004C6421">
            <w:pPr>
              <w:jc w:val="center"/>
              <w:rPr>
                <w:rFonts w:ascii="Arial Narrow" w:hAnsi="Arial Narrow"/>
                <w:b/>
                <w:noProof/>
                <w:color w:val="000000"/>
                <w:sz w:val="20"/>
              </w:rPr>
            </w:pPr>
          </w:p>
        </w:tc>
        <w:tc>
          <w:tcPr>
            <w:tcW w:w="505" w:type="pct"/>
            <w:vMerge/>
            <w:vAlign w:val="center"/>
            <w:hideMark/>
          </w:tcPr>
          <w:p w14:paraId="14E4E965" w14:textId="77777777" w:rsidR="004C6421" w:rsidRDefault="004C6421">
            <w:pPr>
              <w:jc w:val="center"/>
              <w:rPr>
                <w:rFonts w:ascii="Arial Narrow" w:hAnsi="Arial Narrow"/>
                <w:b/>
                <w:noProof/>
                <w:color w:val="000000"/>
                <w:sz w:val="20"/>
              </w:rPr>
            </w:pPr>
          </w:p>
        </w:tc>
        <w:tc>
          <w:tcPr>
            <w:tcW w:w="505" w:type="pct"/>
            <w:vMerge/>
            <w:vAlign w:val="center"/>
            <w:hideMark/>
          </w:tcPr>
          <w:p w14:paraId="2CDA77F2" w14:textId="77777777" w:rsidR="004C6421" w:rsidRDefault="004C6421">
            <w:pPr>
              <w:jc w:val="center"/>
              <w:rPr>
                <w:rFonts w:ascii="Arial Narrow" w:hAnsi="Arial Narrow"/>
                <w:b/>
                <w:noProof/>
                <w:color w:val="000000"/>
                <w:sz w:val="20"/>
              </w:rPr>
            </w:pPr>
          </w:p>
        </w:tc>
        <w:tc>
          <w:tcPr>
            <w:tcW w:w="478" w:type="pct"/>
            <w:shd w:val="clear" w:color="auto" w:fill="BDD7EE"/>
            <w:vAlign w:val="center"/>
            <w:hideMark/>
          </w:tcPr>
          <w:p w14:paraId="543857DA" w14:textId="77777777" w:rsidR="004C6421" w:rsidRDefault="009D1962">
            <w:pPr>
              <w:pStyle w:val="P68B1DB1-Normal25"/>
              <w:jc w:val="center"/>
              <w:rPr>
                <w:noProof/>
              </w:rPr>
            </w:pPr>
            <w:r>
              <w:rPr>
                <w:noProof/>
              </w:rPr>
              <w:t>Jednostka miary</w:t>
            </w:r>
          </w:p>
        </w:tc>
        <w:tc>
          <w:tcPr>
            <w:tcW w:w="318" w:type="pct"/>
            <w:shd w:val="clear" w:color="auto" w:fill="BDD7EE"/>
            <w:vAlign w:val="center"/>
            <w:hideMark/>
          </w:tcPr>
          <w:p w14:paraId="108F3757" w14:textId="77777777" w:rsidR="004C6421" w:rsidRDefault="009D1962">
            <w:pPr>
              <w:pStyle w:val="P68B1DB1-Normal25"/>
              <w:jc w:val="center"/>
              <w:rPr>
                <w:noProof/>
              </w:rPr>
            </w:pPr>
            <w:r>
              <w:rPr>
                <w:noProof/>
              </w:rPr>
              <w:t>Bazowy</w:t>
            </w:r>
          </w:p>
        </w:tc>
        <w:tc>
          <w:tcPr>
            <w:tcW w:w="384" w:type="pct"/>
            <w:shd w:val="clear" w:color="auto" w:fill="BDD7EE"/>
            <w:vAlign w:val="center"/>
            <w:hideMark/>
          </w:tcPr>
          <w:p w14:paraId="614AC2B8" w14:textId="77777777" w:rsidR="004C6421" w:rsidRDefault="009D1962">
            <w:pPr>
              <w:pStyle w:val="P68B1DB1-Normal25"/>
              <w:jc w:val="center"/>
              <w:rPr>
                <w:noProof/>
              </w:rPr>
            </w:pPr>
            <w:r>
              <w:rPr>
                <w:noProof/>
              </w:rPr>
              <w:t>Cel</w:t>
            </w:r>
          </w:p>
        </w:tc>
        <w:tc>
          <w:tcPr>
            <w:tcW w:w="275" w:type="pct"/>
            <w:shd w:val="clear" w:color="auto" w:fill="BDD7EE"/>
            <w:vAlign w:val="center"/>
            <w:hideMark/>
          </w:tcPr>
          <w:p w14:paraId="0C1CFCF1" w14:textId="77777777" w:rsidR="004C6421" w:rsidRDefault="009D1962">
            <w:pPr>
              <w:pStyle w:val="P68B1DB1-Normal25"/>
              <w:jc w:val="center"/>
              <w:rPr>
                <w:noProof/>
              </w:rPr>
            </w:pPr>
            <w:r>
              <w:rPr>
                <w:noProof/>
              </w:rPr>
              <w:t>Kwartał</w:t>
            </w:r>
          </w:p>
        </w:tc>
        <w:tc>
          <w:tcPr>
            <w:tcW w:w="200" w:type="pct"/>
            <w:shd w:val="clear" w:color="auto" w:fill="BDD7EE"/>
            <w:vAlign w:val="center"/>
            <w:hideMark/>
          </w:tcPr>
          <w:p w14:paraId="4F2052D6" w14:textId="77777777" w:rsidR="004C6421" w:rsidRDefault="009D1962">
            <w:pPr>
              <w:pStyle w:val="P68B1DB1-Normal25"/>
              <w:jc w:val="center"/>
              <w:rPr>
                <w:noProof/>
              </w:rPr>
            </w:pPr>
            <w:r>
              <w:rPr>
                <w:noProof/>
              </w:rPr>
              <w:t>Rok</w:t>
            </w:r>
          </w:p>
        </w:tc>
        <w:tc>
          <w:tcPr>
            <w:tcW w:w="1081" w:type="pct"/>
            <w:vMerge/>
            <w:vAlign w:val="center"/>
            <w:hideMark/>
          </w:tcPr>
          <w:p w14:paraId="2616B8CE" w14:textId="77777777" w:rsidR="004C6421" w:rsidRDefault="004C6421">
            <w:pPr>
              <w:rPr>
                <w:rFonts w:ascii="Arial Narrow" w:hAnsi="Arial Narrow"/>
                <w:b/>
                <w:noProof/>
                <w:color w:val="000000"/>
                <w:sz w:val="20"/>
              </w:rPr>
            </w:pPr>
          </w:p>
        </w:tc>
      </w:tr>
      <w:tr w:rsidR="004C6421" w14:paraId="681C8D5E" w14:textId="77777777">
        <w:trPr>
          <w:trHeight w:val="20"/>
          <w:jc w:val="center"/>
        </w:trPr>
        <w:tc>
          <w:tcPr>
            <w:tcW w:w="384" w:type="pct"/>
            <w:shd w:val="clear" w:color="auto" w:fill="C6EFCE"/>
            <w:vAlign w:val="center"/>
            <w:hideMark/>
          </w:tcPr>
          <w:p w14:paraId="6AB6E929" w14:textId="77777777" w:rsidR="004C6421" w:rsidRDefault="009D1962">
            <w:pPr>
              <w:pStyle w:val="P68B1DB1-Normal4"/>
              <w:spacing w:before="120" w:after="120"/>
              <w:jc w:val="center"/>
              <w:rPr>
                <w:rFonts w:eastAsia="Calibri"/>
                <w:noProof/>
              </w:rPr>
            </w:pPr>
            <w:r>
              <w:rPr>
                <w:noProof/>
              </w:rPr>
              <w:t>M5C2-11</w:t>
            </w:r>
          </w:p>
        </w:tc>
        <w:tc>
          <w:tcPr>
            <w:tcW w:w="509" w:type="pct"/>
            <w:shd w:val="clear" w:color="auto" w:fill="C6EFCE"/>
            <w:vAlign w:val="center"/>
            <w:hideMark/>
          </w:tcPr>
          <w:p w14:paraId="061BA83C" w14:textId="77777777" w:rsidR="004C6421" w:rsidRDefault="009D1962">
            <w:pPr>
              <w:pStyle w:val="P68B1DB1-Normal4"/>
              <w:spacing w:before="120" w:after="120"/>
              <w:jc w:val="center"/>
              <w:rPr>
                <w:rFonts w:eastAsia="Calibri"/>
                <w:noProof/>
              </w:rPr>
            </w:pPr>
            <w:r>
              <w:rPr>
                <w:noProof/>
              </w:rPr>
              <w:t>Inwestycje 4 – Inwestycje w projekty rewitalizacji obszarów miejskich mające na celu ograniczenie sytuacji marginalizacji i degradacji społecznej</w:t>
            </w:r>
          </w:p>
        </w:tc>
        <w:tc>
          <w:tcPr>
            <w:tcW w:w="361" w:type="pct"/>
            <w:shd w:val="clear" w:color="auto" w:fill="C6EFCE"/>
            <w:vAlign w:val="center"/>
            <w:hideMark/>
          </w:tcPr>
          <w:p w14:paraId="6E11AD35" w14:textId="2D6B4272" w:rsidR="004C6421" w:rsidRDefault="00CC179E">
            <w:pPr>
              <w:pStyle w:val="P68B1DB1-Normal4"/>
              <w:spacing w:before="120" w:after="120"/>
              <w:jc w:val="center"/>
              <w:rPr>
                <w:rFonts w:eastAsia="Calibri"/>
                <w:noProof/>
              </w:rPr>
            </w:pPr>
            <w:r>
              <w:rPr>
                <w:noProof/>
              </w:rPr>
              <w:t>Milowy</w:t>
            </w:r>
          </w:p>
        </w:tc>
        <w:tc>
          <w:tcPr>
            <w:tcW w:w="505" w:type="pct"/>
            <w:shd w:val="clear" w:color="auto" w:fill="C6EFCE"/>
            <w:vAlign w:val="center"/>
            <w:hideMark/>
          </w:tcPr>
          <w:p w14:paraId="372EB8ED" w14:textId="77777777" w:rsidR="004C6421" w:rsidRDefault="009D1962">
            <w:pPr>
              <w:pStyle w:val="P68B1DB1-Normal4"/>
              <w:spacing w:before="120" w:after="120"/>
              <w:jc w:val="center"/>
              <w:rPr>
                <w:rFonts w:eastAsia="Calibri"/>
                <w:noProof/>
              </w:rPr>
            </w:pPr>
            <w:r>
              <w:rPr>
                <w:noProof/>
              </w:rPr>
              <w:t>Udzielanie wszystkich zamówień publicznych na inwestycje w rewitalizację obszarów miejskich w celu ograniczenia sytuacji marginalizacji i degradacji społecznej, przy czym projekty są zgodne z celami RRF, w tym z zasadą „nie czyń poważnych szkód”</w:t>
            </w:r>
          </w:p>
        </w:tc>
        <w:tc>
          <w:tcPr>
            <w:tcW w:w="505" w:type="pct"/>
            <w:shd w:val="clear" w:color="auto" w:fill="C6EFCE"/>
            <w:vAlign w:val="center"/>
            <w:hideMark/>
          </w:tcPr>
          <w:p w14:paraId="16791A84" w14:textId="77777777" w:rsidR="004C6421" w:rsidRDefault="009D1962">
            <w:pPr>
              <w:pStyle w:val="P68B1DB1-Normal4"/>
              <w:spacing w:before="120" w:after="120"/>
              <w:jc w:val="center"/>
              <w:rPr>
                <w:rFonts w:eastAsia="Calibri"/>
                <w:noProof/>
              </w:rPr>
            </w:pPr>
            <w:r>
              <w:rPr>
                <w:noProof/>
              </w:rPr>
              <w:t>Zgłaszanie wszystkich zamówień publicznych na inwestycje w rewitalizację obszarów miejskich w celu ograniczenia sytuacji marginalizacji i degradacji społecznej, przy czym projekty są zgodne z celami RRF, w tym z zasadą „nie czyń poważnych szkód”</w:t>
            </w:r>
          </w:p>
        </w:tc>
        <w:tc>
          <w:tcPr>
            <w:tcW w:w="478" w:type="pct"/>
            <w:shd w:val="clear" w:color="auto" w:fill="C6EFCE"/>
            <w:vAlign w:val="center"/>
            <w:hideMark/>
          </w:tcPr>
          <w:p w14:paraId="3EFAF931" w14:textId="77777777" w:rsidR="004C6421" w:rsidRDefault="009D1962">
            <w:pPr>
              <w:pStyle w:val="P68B1DB1-Normal4"/>
              <w:spacing w:before="120" w:after="120"/>
              <w:jc w:val="center"/>
              <w:rPr>
                <w:rFonts w:eastAsia="Calibri"/>
                <w:noProof/>
              </w:rPr>
            </w:pPr>
            <w:r>
              <w:rPr>
                <w:noProof/>
              </w:rPr>
              <w:t>NIE DOT.</w:t>
            </w:r>
          </w:p>
        </w:tc>
        <w:tc>
          <w:tcPr>
            <w:tcW w:w="318" w:type="pct"/>
            <w:shd w:val="clear" w:color="auto" w:fill="C6EFCE"/>
            <w:vAlign w:val="center"/>
            <w:hideMark/>
          </w:tcPr>
          <w:p w14:paraId="3D36B254" w14:textId="77777777" w:rsidR="004C6421" w:rsidRDefault="009D1962">
            <w:pPr>
              <w:pStyle w:val="P68B1DB1-Normal4"/>
              <w:spacing w:before="120" w:after="120"/>
              <w:jc w:val="center"/>
              <w:rPr>
                <w:rFonts w:eastAsia="Calibri"/>
                <w:noProof/>
              </w:rPr>
            </w:pPr>
            <w:r>
              <w:rPr>
                <w:noProof/>
              </w:rPr>
              <w:t>NIE DOT.</w:t>
            </w:r>
          </w:p>
        </w:tc>
        <w:tc>
          <w:tcPr>
            <w:tcW w:w="384" w:type="pct"/>
            <w:shd w:val="clear" w:color="auto" w:fill="C6EFCE"/>
            <w:vAlign w:val="center"/>
            <w:hideMark/>
          </w:tcPr>
          <w:p w14:paraId="76641F12" w14:textId="77777777" w:rsidR="004C6421" w:rsidRDefault="009D1962">
            <w:pPr>
              <w:pStyle w:val="P68B1DB1-Normal4"/>
              <w:spacing w:before="120" w:after="120"/>
              <w:jc w:val="center"/>
              <w:rPr>
                <w:rFonts w:eastAsia="Calibri"/>
                <w:noProof/>
              </w:rPr>
            </w:pPr>
            <w:r>
              <w:rPr>
                <w:noProof/>
              </w:rPr>
              <w:t>NIE DOT.</w:t>
            </w:r>
          </w:p>
        </w:tc>
        <w:tc>
          <w:tcPr>
            <w:tcW w:w="275" w:type="pct"/>
            <w:shd w:val="clear" w:color="auto" w:fill="C6EFCE"/>
            <w:vAlign w:val="center"/>
            <w:hideMark/>
          </w:tcPr>
          <w:p w14:paraId="7A08FE94" w14:textId="06E0D1E1" w:rsidR="004C6421" w:rsidRDefault="00CC179E">
            <w:pPr>
              <w:pStyle w:val="P68B1DB1-Normal4"/>
              <w:spacing w:before="120" w:after="120"/>
              <w:jc w:val="center"/>
              <w:rPr>
                <w:rFonts w:eastAsia="Calibri"/>
                <w:noProof/>
              </w:rPr>
            </w:pPr>
            <w:r>
              <w:rPr>
                <w:noProof/>
              </w:rPr>
              <w:t>KW. 1</w:t>
            </w:r>
          </w:p>
        </w:tc>
        <w:tc>
          <w:tcPr>
            <w:tcW w:w="200" w:type="pct"/>
            <w:shd w:val="clear" w:color="auto" w:fill="C6EFCE"/>
            <w:vAlign w:val="center"/>
            <w:hideMark/>
          </w:tcPr>
          <w:p w14:paraId="461B7C82" w14:textId="77777777" w:rsidR="004C6421" w:rsidRDefault="009D1962">
            <w:pPr>
              <w:pStyle w:val="P68B1DB1-Normal4"/>
              <w:spacing w:before="120" w:after="120"/>
              <w:jc w:val="center"/>
              <w:rPr>
                <w:rFonts w:eastAsia="Calibri"/>
                <w:noProof/>
              </w:rPr>
            </w:pPr>
            <w:r>
              <w:rPr>
                <w:noProof/>
              </w:rPr>
              <w:t>2022</w:t>
            </w:r>
          </w:p>
        </w:tc>
        <w:tc>
          <w:tcPr>
            <w:tcW w:w="1081" w:type="pct"/>
            <w:shd w:val="clear" w:color="auto" w:fill="C6EFCE"/>
            <w:vAlign w:val="center"/>
            <w:hideMark/>
          </w:tcPr>
          <w:p w14:paraId="27847419" w14:textId="29F9C02F" w:rsidR="004C6421" w:rsidRDefault="009D1962">
            <w:pPr>
              <w:spacing w:before="120" w:after="120"/>
              <w:rPr>
                <w:rFonts w:ascii="Arial Narrow" w:eastAsia="Calibri" w:hAnsi="Arial Narrow"/>
                <w:noProof/>
                <w:color w:val="006100"/>
                <w:sz w:val="20"/>
              </w:rPr>
            </w:pPr>
            <w:r>
              <w:rPr>
                <w:rFonts w:ascii="Arial Narrow" w:hAnsi="Arial Narrow"/>
                <w:noProof/>
                <w:color w:val="006100"/>
                <w:sz w:val="20"/>
              </w:rPr>
              <w:t>Zgłoszenie wszystkich zamówień publicznych udzielonych co najmniej 300 gminom liczącym ponad 15000</w:t>
            </w:r>
            <w:r>
              <w:rPr>
                <w:noProof/>
                <w:sz w:val="23"/>
              </w:rPr>
              <w:t xml:space="preserve"> </w:t>
            </w:r>
            <w:r>
              <w:rPr>
                <w:rFonts w:ascii="Arial Narrow" w:hAnsi="Arial Narrow"/>
                <w:noProof/>
                <w:color w:val="006100"/>
                <w:sz w:val="20"/>
              </w:rPr>
              <w:t>mieszkańców na inwestycje w rewitalizację obszarów miejskich w celu ograniczenia sytuacji marginalizacji i degradacji społecznej, przy czym projekty są zgodne z celami RRF, w tym zasadą „nie czyń poważnych szkód”.</w:t>
            </w:r>
          </w:p>
          <w:p w14:paraId="1F66BA00" w14:textId="7D6CD2ED" w:rsidR="004C6421" w:rsidRDefault="009D1962">
            <w:pPr>
              <w:spacing w:before="120" w:after="120"/>
              <w:rPr>
                <w:rFonts w:ascii="Arial Narrow" w:eastAsia="Calibri" w:hAnsi="Arial Narrow"/>
                <w:noProof/>
                <w:color w:val="006100"/>
                <w:sz w:val="20"/>
              </w:rPr>
            </w:pPr>
            <w:r>
              <w:rPr>
                <w:rFonts w:ascii="Arial Narrow" w:hAnsi="Arial Narrow"/>
                <w:noProof/>
                <w:color w:val="006100"/>
                <w:sz w:val="20"/>
              </w:rPr>
              <w:t>Dotacje przyznaje się gminom liczącym ponad 15000</w:t>
            </w:r>
            <w:r>
              <w:rPr>
                <w:noProof/>
                <w:sz w:val="23"/>
              </w:rPr>
              <w:t xml:space="preserve"> </w:t>
            </w:r>
            <w:r>
              <w:rPr>
                <w:rFonts w:ascii="Arial Narrow" w:hAnsi="Arial Narrow"/>
                <w:noProof/>
                <w:color w:val="006100"/>
                <w:sz w:val="20"/>
              </w:rPr>
              <w:t>mieszkańców, które nie są stolicami prowincji, stolicami prowincji lub centralą miasta metropolitalnego.</w:t>
            </w:r>
          </w:p>
          <w:p w14:paraId="42FA6073" w14:textId="77777777" w:rsidR="004C6421" w:rsidRDefault="009D1962">
            <w:pPr>
              <w:pStyle w:val="P68B1DB1-Normal4"/>
              <w:spacing w:before="120" w:after="120"/>
              <w:rPr>
                <w:rFonts w:eastAsia="Calibri"/>
                <w:noProof/>
              </w:rPr>
            </w:pPr>
            <w:r>
              <w:rPr>
                <w:noProof/>
              </w:rPr>
              <w:t>Projekty związane z wytwarzaniem energii w miastach obejmują co najmniej jedną z następujących interwencji:</w:t>
            </w:r>
          </w:p>
          <w:p w14:paraId="1A52FC70" w14:textId="77777777" w:rsidR="004C6421" w:rsidRDefault="009D1962">
            <w:pPr>
              <w:pStyle w:val="P68B1DB1-ListParagraph5"/>
              <w:numPr>
                <w:ilvl w:val="6"/>
                <w:numId w:val="13"/>
              </w:numPr>
              <w:ind w:left="506" w:hanging="237"/>
              <w:jc w:val="left"/>
              <w:rPr>
                <w:rFonts w:eastAsia="Calibri"/>
                <w:noProof/>
              </w:rPr>
            </w:pPr>
            <w:r>
              <w:rPr>
                <w:noProof/>
              </w:rPr>
              <w:t>Ponowne wykorzystanie i refunkcjonowanie przestrzeni publicznych i istniejących obiektów budowlanych w interesie publicznym, w tym rozbiórka stanowiących nadużycie robót wykonywanych przez osoby prywatne w przypadku braku pozwolenia na budowę lub całkowitej rozbieżności w stosunku do pozwolenia na budowę i rozmieszczenia odnośnych obszarów;</w:t>
            </w:r>
          </w:p>
          <w:p w14:paraId="7CAB144C" w14:textId="77777777" w:rsidR="004C6421" w:rsidRDefault="009D1962">
            <w:pPr>
              <w:pStyle w:val="P68B1DB1-ListParagraph5"/>
              <w:numPr>
                <w:ilvl w:val="6"/>
                <w:numId w:val="13"/>
              </w:numPr>
              <w:ind w:left="506" w:hanging="237"/>
              <w:jc w:val="left"/>
              <w:rPr>
                <w:rFonts w:eastAsia="Calibri"/>
                <w:noProof/>
              </w:rPr>
            </w:pPr>
            <w:r>
              <w:rPr>
                <w:noProof/>
              </w:rPr>
              <w:t>Poprawa jakości krajobrazu miejskiego oraz tkanki społecznej i środowiskowej, w tym poprzez renowację budynków publicznych, ze szczególnym uwzględnieniem rozwoju usług społecznych i kulturalnych, edukacyjnych i dydaktycznych;</w:t>
            </w:r>
          </w:p>
          <w:p w14:paraId="4A36AFFB" w14:textId="77777777" w:rsidR="004C6421" w:rsidRDefault="009D1962">
            <w:pPr>
              <w:pStyle w:val="P68B1DB1-ListParagraph5"/>
              <w:numPr>
                <w:ilvl w:val="6"/>
                <w:numId w:val="13"/>
              </w:numPr>
              <w:ind w:left="506" w:hanging="237"/>
              <w:jc w:val="left"/>
              <w:rPr>
                <w:rFonts w:eastAsia="Calibri"/>
                <w:noProof/>
              </w:rPr>
            </w:pPr>
            <w:r>
              <w:rPr>
                <w:noProof/>
              </w:rPr>
              <w:t>Projekty w zakresie ekologicznego, zrównoważonego i inteligentnego transportu.</w:t>
            </w:r>
          </w:p>
          <w:p w14:paraId="2F09FA24" w14:textId="77777777" w:rsidR="004C6421" w:rsidRDefault="009D1962">
            <w:pPr>
              <w:pStyle w:val="P68B1DB1-Normal4"/>
              <w:spacing w:before="120" w:after="120"/>
              <w:rPr>
                <w:rFonts w:eastAsia="Calibri"/>
                <w:noProof/>
              </w:rPr>
            </w:pPr>
            <w:r>
              <w:rPr>
                <w:noProof/>
              </w:rPr>
              <w:t>Maksymalne kwoty przypadające na gminę są następujące:</w:t>
            </w:r>
          </w:p>
          <w:p w14:paraId="2CCDF545" w14:textId="5ED261A8" w:rsidR="004C6421" w:rsidRDefault="009D1962">
            <w:pPr>
              <w:spacing w:before="120" w:after="120"/>
              <w:rPr>
                <w:rFonts w:ascii="Arial Narrow" w:eastAsia="Calibri" w:hAnsi="Arial Narrow"/>
                <w:noProof/>
                <w:color w:val="006100"/>
                <w:sz w:val="20"/>
              </w:rPr>
            </w:pPr>
            <w:r>
              <w:rPr>
                <w:rFonts w:ascii="Arial Narrow" w:hAnsi="Arial Narrow"/>
                <w:noProof/>
                <w:color w:val="006100"/>
                <w:sz w:val="20"/>
              </w:rPr>
              <w:t>5000000 EUR</w:t>
            </w:r>
            <w:r>
              <w:rPr>
                <w:noProof/>
                <w:sz w:val="23"/>
              </w:rPr>
              <w:t xml:space="preserve"> </w:t>
            </w:r>
            <w:r>
              <w:rPr>
                <w:rFonts w:ascii="Arial Narrow" w:hAnsi="Arial Narrow"/>
                <w:noProof/>
                <w:color w:val="006100"/>
                <w:sz w:val="20"/>
              </w:rPr>
              <w:t xml:space="preserve"> dla gmin o liczbie ludności od 15000</w:t>
            </w:r>
            <w:r>
              <w:rPr>
                <w:noProof/>
                <w:sz w:val="23"/>
              </w:rPr>
              <w:t xml:space="preserve"> </w:t>
            </w:r>
            <w:r>
              <w:rPr>
                <w:rFonts w:ascii="Arial Narrow" w:hAnsi="Arial Narrow"/>
                <w:noProof/>
                <w:color w:val="006100"/>
                <w:sz w:val="20"/>
              </w:rPr>
              <w:t>do 49999</w:t>
            </w:r>
            <w:r>
              <w:rPr>
                <w:noProof/>
                <w:sz w:val="23"/>
              </w:rPr>
              <w:t xml:space="preserve"> </w:t>
            </w:r>
            <w:r>
              <w:rPr>
                <w:rFonts w:ascii="Arial Narrow" w:hAnsi="Arial Narrow"/>
                <w:noProof/>
                <w:color w:val="006100"/>
                <w:sz w:val="20"/>
              </w:rPr>
              <w:t>mieszkańców;</w:t>
            </w:r>
          </w:p>
          <w:p w14:paraId="744728C3" w14:textId="3850902E" w:rsidR="004C6421" w:rsidRDefault="009D1962">
            <w:pPr>
              <w:spacing w:before="120" w:after="120"/>
              <w:rPr>
                <w:rFonts w:ascii="Arial Narrow" w:eastAsia="Calibri" w:hAnsi="Arial Narrow"/>
                <w:noProof/>
                <w:color w:val="006100"/>
                <w:sz w:val="20"/>
              </w:rPr>
            </w:pPr>
            <w:r>
              <w:rPr>
                <w:rFonts w:ascii="Arial Narrow" w:hAnsi="Arial Narrow"/>
                <w:noProof/>
                <w:color w:val="006100"/>
                <w:sz w:val="20"/>
              </w:rPr>
              <w:t>10000000 EUR dla gmin o liczbie ludności od 50000</w:t>
            </w:r>
            <w:r>
              <w:rPr>
                <w:noProof/>
                <w:sz w:val="23"/>
              </w:rPr>
              <w:t xml:space="preserve"> </w:t>
            </w:r>
            <w:r>
              <w:rPr>
                <w:rFonts w:ascii="Arial Narrow" w:hAnsi="Arial Narrow"/>
                <w:noProof/>
                <w:color w:val="006100"/>
                <w:sz w:val="20"/>
              </w:rPr>
              <w:t>do 100000</w:t>
            </w:r>
            <w:r>
              <w:rPr>
                <w:noProof/>
                <w:sz w:val="23"/>
              </w:rPr>
              <w:t xml:space="preserve"> </w:t>
            </w:r>
            <w:r>
              <w:rPr>
                <w:rFonts w:ascii="Arial Narrow" w:hAnsi="Arial Narrow"/>
                <w:noProof/>
                <w:color w:val="006100"/>
                <w:sz w:val="20"/>
              </w:rPr>
              <w:t>mieszkańców;</w:t>
            </w:r>
          </w:p>
          <w:p w14:paraId="68F3B2BB" w14:textId="4359B4E7" w:rsidR="004C6421" w:rsidRDefault="009D1962">
            <w:pPr>
              <w:spacing w:before="120" w:after="120"/>
              <w:rPr>
                <w:rFonts w:ascii="Arial Narrow" w:eastAsia="Calibri" w:hAnsi="Arial Narrow"/>
                <w:noProof/>
                <w:color w:val="006100"/>
                <w:sz w:val="20"/>
              </w:rPr>
            </w:pPr>
            <w:r>
              <w:rPr>
                <w:rFonts w:ascii="Arial Narrow" w:hAnsi="Arial Narrow"/>
                <w:noProof/>
                <w:color w:val="006100"/>
                <w:sz w:val="20"/>
              </w:rPr>
              <w:t>20000000 EUR dla gmin o liczbie mieszkańców powyżej 100000 oraz dla gmin będących stolicami prowincji lub miastami metropolitalnymi.</w:t>
            </w:r>
          </w:p>
        </w:tc>
      </w:tr>
      <w:tr w:rsidR="004C6421" w14:paraId="779C3AC9" w14:textId="77777777">
        <w:trPr>
          <w:trHeight w:val="3113"/>
          <w:jc w:val="center"/>
        </w:trPr>
        <w:tc>
          <w:tcPr>
            <w:tcW w:w="384" w:type="pct"/>
            <w:shd w:val="clear" w:color="auto" w:fill="C6EFCE"/>
            <w:vAlign w:val="center"/>
            <w:hideMark/>
          </w:tcPr>
          <w:p w14:paraId="2A683C65" w14:textId="77777777" w:rsidR="004C6421" w:rsidRDefault="009D1962">
            <w:pPr>
              <w:pStyle w:val="P68B1DB1-Normal4"/>
              <w:jc w:val="center"/>
              <w:rPr>
                <w:noProof/>
              </w:rPr>
            </w:pPr>
            <w:r>
              <w:rPr>
                <w:noProof/>
              </w:rPr>
              <w:t>M5C2-12</w:t>
            </w:r>
          </w:p>
        </w:tc>
        <w:tc>
          <w:tcPr>
            <w:tcW w:w="509" w:type="pct"/>
            <w:shd w:val="clear" w:color="auto" w:fill="C6EFCE"/>
            <w:vAlign w:val="center"/>
            <w:hideMark/>
          </w:tcPr>
          <w:p w14:paraId="7BE1C215" w14:textId="77777777" w:rsidR="004C6421" w:rsidRDefault="009D1962">
            <w:pPr>
              <w:pStyle w:val="P68B1DB1-Normal4"/>
              <w:jc w:val="center"/>
              <w:rPr>
                <w:noProof/>
              </w:rPr>
            </w:pPr>
            <w:r>
              <w:rPr>
                <w:noProof/>
              </w:rPr>
              <w:t>Inwestycje 4 – Inwestycje w projekty rewitalizacji obszarów miejskich mające na celu ograniczenie sytuacji marginalizacji i degradacji społecznej</w:t>
            </w:r>
          </w:p>
        </w:tc>
        <w:tc>
          <w:tcPr>
            <w:tcW w:w="361" w:type="pct"/>
            <w:shd w:val="clear" w:color="auto" w:fill="C6EFCE"/>
            <w:vAlign w:val="center"/>
            <w:hideMark/>
          </w:tcPr>
          <w:p w14:paraId="1EDFA634" w14:textId="77777777" w:rsidR="004C6421" w:rsidRDefault="009D1962">
            <w:pPr>
              <w:pStyle w:val="P68B1DB1-Normal4"/>
              <w:jc w:val="center"/>
              <w:rPr>
                <w:noProof/>
              </w:rPr>
            </w:pPr>
            <w:r>
              <w:rPr>
                <w:noProof/>
              </w:rPr>
              <w:t>Cel</w:t>
            </w:r>
          </w:p>
        </w:tc>
        <w:tc>
          <w:tcPr>
            <w:tcW w:w="505" w:type="pct"/>
            <w:shd w:val="clear" w:color="auto" w:fill="C6EFCE"/>
            <w:vAlign w:val="center"/>
            <w:hideMark/>
          </w:tcPr>
          <w:p w14:paraId="04F7D510" w14:textId="77777777" w:rsidR="004C6421" w:rsidRDefault="009D1962">
            <w:pPr>
              <w:pStyle w:val="P68B1DB1-Normal4"/>
              <w:jc w:val="center"/>
              <w:rPr>
                <w:noProof/>
              </w:rPr>
            </w:pPr>
            <w:r>
              <w:rPr>
                <w:noProof/>
              </w:rPr>
              <w:t>Projekty dotyczące interwencji rewitalizacji obszarów miejskich obejmujących gminy</w:t>
            </w:r>
          </w:p>
        </w:tc>
        <w:tc>
          <w:tcPr>
            <w:tcW w:w="505" w:type="pct"/>
            <w:shd w:val="clear" w:color="auto" w:fill="C6EFCE"/>
            <w:vAlign w:val="center"/>
            <w:hideMark/>
          </w:tcPr>
          <w:p w14:paraId="32B574D2" w14:textId="77777777" w:rsidR="004C6421" w:rsidRDefault="009D1962">
            <w:pPr>
              <w:pStyle w:val="P68B1DB1-Normal4"/>
              <w:jc w:val="center"/>
              <w:rPr>
                <w:noProof/>
              </w:rPr>
            </w:pPr>
            <w:r>
              <w:rPr>
                <w:noProof/>
              </w:rPr>
              <w:t>NIE DOT.</w:t>
            </w:r>
          </w:p>
        </w:tc>
        <w:tc>
          <w:tcPr>
            <w:tcW w:w="478" w:type="pct"/>
            <w:shd w:val="clear" w:color="auto" w:fill="C6EFCE"/>
            <w:vAlign w:val="center"/>
            <w:hideMark/>
          </w:tcPr>
          <w:p w14:paraId="764F63FE" w14:textId="77777777" w:rsidR="004C6421" w:rsidRDefault="009D1962">
            <w:pPr>
              <w:pStyle w:val="P68B1DB1-Normal4"/>
              <w:jc w:val="center"/>
              <w:rPr>
                <w:noProof/>
              </w:rPr>
            </w:pPr>
            <w:r>
              <w:rPr>
                <w:noProof/>
              </w:rPr>
              <w:t>Numer</w:t>
            </w:r>
          </w:p>
        </w:tc>
        <w:tc>
          <w:tcPr>
            <w:tcW w:w="318" w:type="pct"/>
            <w:shd w:val="clear" w:color="auto" w:fill="C6EFCE"/>
            <w:vAlign w:val="center"/>
            <w:hideMark/>
          </w:tcPr>
          <w:p w14:paraId="5EBC00F5" w14:textId="77777777" w:rsidR="004C6421" w:rsidRDefault="009D1962">
            <w:pPr>
              <w:pStyle w:val="P68B1DB1-Normal4"/>
              <w:jc w:val="center"/>
              <w:rPr>
                <w:noProof/>
              </w:rPr>
            </w:pPr>
            <w:r>
              <w:rPr>
                <w:noProof/>
              </w:rPr>
              <w:t>0</w:t>
            </w:r>
          </w:p>
        </w:tc>
        <w:tc>
          <w:tcPr>
            <w:tcW w:w="384" w:type="pct"/>
            <w:shd w:val="clear" w:color="auto" w:fill="C6EFCE"/>
            <w:vAlign w:val="center"/>
            <w:hideMark/>
          </w:tcPr>
          <w:p w14:paraId="6D7D903E" w14:textId="50178472" w:rsidR="004C6421" w:rsidRDefault="009D1962">
            <w:pPr>
              <w:jc w:val="center"/>
              <w:rPr>
                <w:rFonts w:ascii="Arial Narrow" w:hAnsi="Arial Narrow"/>
                <w:noProof/>
                <w:color w:val="006100"/>
                <w:sz w:val="20"/>
              </w:rPr>
            </w:pPr>
            <w:r>
              <w:rPr>
                <w:rFonts w:ascii="Arial Narrow" w:hAnsi="Arial Narrow"/>
                <w:noProof/>
                <w:color w:val="006100"/>
                <w:sz w:val="20"/>
              </w:rPr>
              <w:t>1</w:t>
            </w:r>
            <w:r>
              <w:rPr>
                <w:noProof/>
                <w:sz w:val="23"/>
              </w:rPr>
              <w:t xml:space="preserve"> </w:t>
            </w:r>
            <w:r>
              <w:rPr>
                <w:rFonts w:ascii="Arial Narrow" w:hAnsi="Arial Narrow"/>
                <w:noProof/>
                <w:color w:val="006100"/>
                <w:sz w:val="20"/>
              </w:rPr>
              <w:t>080</w:t>
            </w:r>
          </w:p>
        </w:tc>
        <w:tc>
          <w:tcPr>
            <w:tcW w:w="275" w:type="pct"/>
            <w:shd w:val="clear" w:color="auto" w:fill="C6EFCE"/>
            <w:vAlign w:val="center"/>
            <w:hideMark/>
          </w:tcPr>
          <w:p w14:paraId="0513812E" w14:textId="77777777" w:rsidR="004C6421" w:rsidRDefault="009D1962">
            <w:pPr>
              <w:pStyle w:val="P68B1DB1-Normal4"/>
              <w:jc w:val="center"/>
              <w:rPr>
                <w:noProof/>
              </w:rPr>
            </w:pPr>
            <w:r>
              <w:rPr>
                <w:noProof/>
              </w:rPr>
              <w:t>II KW.</w:t>
            </w:r>
          </w:p>
        </w:tc>
        <w:tc>
          <w:tcPr>
            <w:tcW w:w="200" w:type="pct"/>
            <w:shd w:val="clear" w:color="auto" w:fill="C6EFCE"/>
            <w:vAlign w:val="center"/>
            <w:hideMark/>
          </w:tcPr>
          <w:p w14:paraId="584F6F7E" w14:textId="77777777" w:rsidR="004C6421" w:rsidRDefault="009D1962">
            <w:pPr>
              <w:pStyle w:val="P68B1DB1-Normal4"/>
              <w:jc w:val="center"/>
              <w:rPr>
                <w:noProof/>
              </w:rPr>
            </w:pPr>
            <w:r>
              <w:rPr>
                <w:noProof/>
              </w:rPr>
              <w:t>2026</w:t>
            </w:r>
          </w:p>
        </w:tc>
        <w:tc>
          <w:tcPr>
            <w:tcW w:w="1081" w:type="pct"/>
            <w:shd w:val="clear" w:color="auto" w:fill="C6EFCE"/>
            <w:vAlign w:val="center"/>
            <w:hideMark/>
          </w:tcPr>
          <w:p w14:paraId="7A750DEF" w14:textId="0AADBD4B" w:rsidR="004C6421" w:rsidRDefault="009D1962">
            <w:pPr>
              <w:rPr>
                <w:rFonts w:ascii="Arial Narrow" w:hAnsi="Arial Narrow"/>
                <w:noProof/>
                <w:color w:val="006100"/>
                <w:sz w:val="20"/>
              </w:rPr>
            </w:pPr>
            <w:r>
              <w:rPr>
                <w:rFonts w:ascii="Arial Narrow" w:hAnsi="Arial Narrow"/>
                <w:noProof/>
                <w:color w:val="006100"/>
                <w:sz w:val="20"/>
              </w:rPr>
              <w:t>Co najmniej</w:t>
            </w:r>
            <w:r>
              <w:rPr>
                <w:noProof/>
                <w:sz w:val="23"/>
              </w:rPr>
              <w:t xml:space="preserve"> </w:t>
            </w:r>
            <w:r>
              <w:rPr>
                <w:rFonts w:ascii="Arial Narrow" w:hAnsi="Arial Narrow"/>
                <w:noProof/>
                <w:color w:val="006100"/>
                <w:sz w:val="20"/>
              </w:rPr>
              <w:t>1080 ukończonych projektów wysłanych przez gminy o więcej niż 15000</w:t>
            </w:r>
            <w:r>
              <w:rPr>
                <w:noProof/>
                <w:sz w:val="23"/>
              </w:rPr>
              <w:t xml:space="preserve"> </w:t>
            </w:r>
            <w:r>
              <w:rPr>
                <w:rFonts w:ascii="Arial Narrow" w:hAnsi="Arial Narrow"/>
                <w:noProof/>
                <w:color w:val="006100"/>
                <w:sz w:val="20"/>
              </w:rPr>
              <w:t>mieszkańców, obejmujące co najmniej 1000000 metrów kwadratowych</w:t>
            </w:r>
            <w:r>
              <w:rPr>
                <w:noProof/>
                <w:sz w:val="23"/>
              </w:rPr>
              <w:t xml:space="preserve">. </w:t>
            </w:r>
          </w:p>
          <w:p w14:paraId="77A48FDE" w14:textId="77777777" w:rsidR="004C6421" w:rsidRDefault="004C6421">
            <w:pPr>
              <w:rPr>
                <w:rFonts w:ascii="Arial Narrow" w:hAnsi="Arial Narrow"/>
                <w:noProof/>
                <w:color w:val="006100"/>
                <w:sz w:val="20"/>
              </w:rPr>
            </w:pPr>
          </w:p>
          <w:p w14:paraId="7F303633" w14:textId="77777777" w:rsidR="004C6421" w:rsidRDefault="009D1962">
            <w:pPr>
              <w:pStyle w:val="P68B1DB1-Normal4"/>
              <w:rPr>
                <w:noProof/>
              </w:rPr>
            </w:pPr>
            <w:r>
              <w:rPr>
                <w:noProof/>
              </w:rPr>
              <w:t>Interwencje określono w odpowiedniej fazie kluczowej dla interwencji na rzecz rewitalizacji obszarów miejskich.</w:t>
            </w:r>
          </w:p>
        </w:tc>
      </w:tr>
      <w:tr w:rsidR="004C6421" w14:paraId="156D28A7" w14:textId="77777777">
        <w:trPr>
          <w:trHeight w:val="4126"/>
          <w:jc w:val="center"/>
        </w:trPr>
        <w:tc>
          <w:tcPr>
            <w:tcW w:w="384" w:type="pct"/>
            <w:shd w:val="clear" w:color="auto" w:fill="C6EFCE"/>
            <w:vAlign w:val="center"/>
            <w:hideMark/>
          </w:tcPr>
          <w:p w14:paraId="3F881F64" w14:textId="77777777" w:rsidR="004C6421" w:rsidRDefault="009D1962">
            <w:pPr>
              <w:pStyle w:val="P68B1DB1-Normal4"/>
              <w:jc w:val="center"/>
              <w:rPr>
                <w:noProof/>
              </w:rPr>
            </w:pPr>
            <w:r>
              <w:rPr>
                <w:noProof/>
              </w:rPr>
              <w:t>M5C2-13</w:t>
            </w:r>
          </w:p>
        </w:tc>
        <w:tc>
          <w:tcPr>
            <w:tcW w:w="509" w:type="pct"/>
            <w:shd w:val="clear" w:color="auto" w:fill="C6EFCE"/>
            <w:vAlign w:val="center"/>
            <w:hideMark/>
          </w:tcPr>
          <w:p w14:paraId="6429083B" w14:textId="77777777" w:rsidR="004C6421" w:rsidRDefault="009D1962">
            <w:pPr>
              <w:pStyle w:val="P68B1DB1-Normal4"/>
              <w:jc w:val="center"/>
              <w:rPr>
                <w:noProof/>
              </w:rPr>
            </w:pPr>
            <w:r>
              <w:rPr>
                <w:noProof/>
              </w:rPr>
              <w:t>Inwestycje 5 – Zintegrowane plany miejskie – projekty ogólne</w:t>
            </w:r>
          </w:p>
        </w:tc>
        <w:tc>
          <w:tcPr>
            <w:tcW w:w="361" w:type="pct"/>
            <w:shd w:val="clear" w:color="auto" w:fill="C6EFCE"/>
            <w:vAlign w:val="center"/>
            <w:hideMark/>
          </w:tcPr>
          <w:p w14:paraId="152DB586" w14:textId="79E05CA2" w:rsidR="004C6421" w:rsidRDefault="00CC179E">
            <w:pPr>
              <w:pStyle w:val="P68B1DB1-Normal4"/>
              <w:jc w:val="center"/>
              <w:rPr>
                <w:noProof/>
              </w:rPr>
            </w:pPr>
            <w:r>
              <w:rPr>
                <w:noProof/>
              </w:rPr>
              <w:t>Milowy</w:t>
            </w:r>
          </w:p>
        </w:tc>
        <w:tc>
          <w:tcPr>
            <w:tcW w:w="505" w:type="pct"/>
            <w:shd w:val="clear" w:color="auto" w:fill="C6EFCE"/>
            <w:vAlign w:val="center"/>
            <w:hideMark/>
          </w:tcPr>
          <w:p w14:paraId="15999359" w14:textId="77777777" w:rsidR="004C6421" w:rsidRDefault="009D1962">
            <w:pPr>
              <w:pStyle w:val="P68B1DB1-Normal4"/>
              <w:jc w:val="center"/>
              <w:rPr>
                <w:noProof/>
              </w:rPr>
            </w:pPr>
            <w:r>
              <w:rPr>
                <w:noProof/>
              </w:rPr>
              <w:t>Wejście w życie planu inwestycyjnego dla projektów rewitalizacji obszarów miejskich na obszarach metropolitalnych</w:t>
            </w:r>
          </w:p>
        </w:tc>
        <w:tc>
          <w:tcPr>
            <w:tcW w:w="505" w:type="pct"/>
            <w:shd w:val="clear" w:color="auto" w:fill="C6EFCE"/>
            <w:vAlign w:val="center"/>
            <w:hideMark/>
          </w:tcPr>
          <w:p w14:paraId="3FB6839D" w14:textId="77777777" w:rsidR="004C6421" w:rsidRDefault="009D1962">
            <w:pPr>
              <w:pStyle w:val="P68B1DB1-Normal4"/>
              <w:jc w:val="center"/>
              <w:rPr>
                <w:noProof/>
              </w:rPr>
            </w:pPr>
            <w:r>
              <w:rPr>
                <w:noProof/>
              </w:rPr>
              <w:t>Przepis ustawy wskazujący na wejście w życie Planu dla projektów rewitalizacji obszarów miejskich na obszarach metropolitalnych</w:t>
            </w:r>
          </w:p>
        </w:tc>
        <w:tc>
          <w:tcPr>
            <w:tcW w:w="478" w:type="pct"/>
            <w:shd w:val="clear" w:color="auto" w:fill="C6EFCE"/>
            <w:vAlign w:val="center"/>
            <w:hideMark/>
          </w:tcPr>
          <w:p w14:paraId="57E40669" w14:textId="77777777" w:rsidR="004C6421" w:rsidRDefault="009D1962">
            <w:pPr>
              <w:pStyle w:val="P68B1DB1-Normal4"/>
              <w:jc w:val="center"/>
              <w:rPr>
                <w:noProof/>
              </w:rPr>
            </w:pPr>
            <w:r>
              <w:rPr>
                <w:noProof/>
              </w:rPr>
              <w:t>NIE DOT.</w:t>
            </w:r>
          </w:p>
        </w:tc>
        <w:tc>
          <w:tcPr>
            <w:tcW w:w="318" w:type="pct"/>
            <w:shd w:val="clear" w:color="auto" w:fill="C6EFCE"/>
            <w:vAlign w:val="center"/>
            <w:hideMark/>
          </w:tcPr>
          <w:p w14:paraId="61D6C4F5" w14:textId="77777777" w:rsidR="004C6421" w:rsidRDefault="009D1962">
            <w:pPr>
              <w:pStyle w:val="P68B1DB1-Normal4"/>
              <w:jc w:val="center"/>
              <w:rPr>
                <w:noProof/>
              </w:rPr>
            </w:pPr>
            <w:r>
              <w:rPr>
                <w:noProof/>
              </w:rPr>
              <w:t>NIE DOT.</w:t>
            </w:r>
          </w:p>
        </w:tc>
        <w:tc>
          <w:tcPr>
            <w:tcW w:w="384" w:type="pct"/>
            <w:shd w:val="clear" w:color="auto" w:fill="C6EFCE"/>
            <w:vAlign w:val="center"/>
            <w:hideMark/>
          </w:tcPr>
          <w:p w14:paraId="074ECA8B" w14:textId="77777777" w:rsidR="004C6421" w:rsidRDefault="009D1962">
            <w:pPr>
              <w:pStyle w:val="P68B1DB1-Normal4"/>
              <w:jc w:val="center"/>
              <w:rPr>
                <w:noProof/>
              </w:rPr>
            </w:pPr>
            <w:r>
              <w:rPr>
                <w:noProof/>
              </w:rPr>
              <w:t>NIE DOT.</w:t>
            </w:r>
          </w:p>
        </w:tc>
        <w:tc>
          <w:tcPr>
            <w:tcW w:w="275" w:type="pct"/>
            <w:shd w:val="clear" w:color="auto" w:fill="C6EFCE"/>
            <w:vAlign w:val="center"/>
            <w:hideMark/>
          </w:tcPr>
          <w:p w14:paraId="74BCDA4F" w14:textId="2F4EA006" w:rsidR="004C6421" w:rsidRDefault="00CC179E">
            <w:pPr>
              <w:pStyle w:val="P68B1DB1-Normal4"/>
              <w:jc w:val="center"/>
              <w:rPr>
                <w:noProof/>
              </w:rPr>
            </w:pPr>
            <w:r>
              <w:rPr>
                <w:noProof/>
              </w:rPr>
              <w:t>KW. 4</w:t>
            </w:r>
          </w:p>
        </w:tc>
        <w:tc>
          <w:tcPr>
            <w:tcW w:w="200" w:type="pct"/>
            <w:shd w:val="clear" w:color="auto" w:fill="C6EFCE"/>
            <w:vAlign w:val="center"/>
            <w:hideMark/>
          </w:tcPr>
          <w:p w14:paraId="0C100229" w14:textId="77777777" w:rsidR="004C6421" w:rsidRDefault="009D1962">
            <w:pPr>
              <w:pStyle w:val="P68B1DB1-Normal4"/>
              <w:jc w:val="center"/>
              <w:rPr>
                <w:noProof/>
              </w:rPr>
            </w:pPr>
            <w:r>
              <w:rPr>
                <w:noProof/>
              </w:rPr>
              <w:t>2022</w:t>
            </w:r>
          </w:p>
        </w:tc>
        <w:tc>
          <w:tcPr>
            <w:tcW w:w="1081" w:type="pct"/>
            <w:shd w:val="clear" w:color="auto" w:fill="C6EFCE"/>
            <w:vAlign w:val="center"/>
          </w:tcPr>
          <w:p w14:paraId="5D2FA34D" w14:textId="77777777" w:rsidR="004C6421" w:rsidRDefault="009D1962">
            <w:pPr>
              <w:pStyle w:val="P68B1DB1-Normal4"/>
              <w:rPr>
                <w:noProof/>
              </w:rPr>
            </w:pPr>
            <w:r>
              <w:rPr>
                <w:noProof/>
              </w:rPr>
              <w:t>W planie inwestycyjnym ustanawia się zestaw kryteriów zgodnych z celami RRF, w tym z zasadą „nie czyń poważnych szkód”. Projekty odnoszą się do następujących rodzajów interwencji:</w:t>
            </w:r>
          </w:p>
          <w:p w14:paraId="0798BAF6" w14:textId="77777777" w:rsidR="004C6421" w:rsidRDefault="009D1962">
            <w:pPr>
              <w:pStyle w:val="P68B1DB1-Normal4"/>
              <w:rPr>
                <w:noProof/>
              </w:rPr>
            </w:pPr>
            <w:r>
              <w:rPr>
                <w:noProof/>
              </w:rPr>
              <w:t>a) utrzymanie ponownego wykorzystania i ponownego wykorzystania przestrzeni publicznej.</w:t>
            </w:r>
          </w:p>
          <w:p w14:paraId="094917C2" w14:textId="77777777" w:rsidR="004C6421" w:rsidRDefault="009D1962">
            <w:pPr>
              <w:pStyle w:val="P68B1DB1-Normal4"/>
              <w:rPr>
                <w:noProof/>
              </w:rPr>
            </w:pPr>
            <w:r>
              <w:rPr>
                <w:noProof/>
              </w:rPr>
              <w:t>poprawa jakości décor miejskiego oraz tkanki społecznej i środowiskowej.</w:t>
            </w:r>
          </w:p>
          <w:p w14:paraId="54211D48" w14:textId="77777777" w:rsidR="004C6421" w:rsidRDefault="009D1962">
            <w:pPr>
              <w:pStyle w:val="P68B1DB1-Normal4"/>
              <w:rPr>
                <w:noProof/>
              </w:rPr>
            </w:pPr>
            <w:r>
              <w:rPr>
                <w:noProof/>
              </w:rPr>
              <w:t>C) Poprawa jakości środowiska i profilu cyfrowego obszarów miejskich.</w:t>
            </w:r>
          </w:p>
        </w:tc>
      </w:tr>
      <w:tr w:rsidR="004C6421" w14:paraId="0889A247" w14:textId="77777777">
        <w:trPr>
          <w:trHeight w:val="20"/>
          <w:jc w:val="center"/>
        </w:trPr>
        <w:tc>
          <w:tcPr>
            <w:tcW w:w="384" w:type="pct"/>
            <w:shd w:val="clear" w:color="auto" w:fill="C6EFCE"/>
            <w:vAlign w:val="center"/>
          </w:tcPr>
          <w:p w14:paraId="17BD4BD0" w14:textId="77777777" w:rsidR="004C6421" w:rsidRDefault="009D1962">
            <w:pPr>
              <w:pStyle w:val="P68B1DB1-Normal4"/>
              <w:jc w:val="center"/>
              <w:rPr>
                <w:noProof/>
              </w:rPr>
            </w:pPr>
            <w:r>
              <w:rPr>
                <w:noProof/>
              </w:rPr>
              <w:t>M5C2-14</w:t>
            </w:r>
          </w:p>
        </w:tc>
        <w:tc>
          <w:tcPr>
            <w:tcW w:w="509" w:type="pct"/>
            <w:shd w:val="clear" w:color="auto" w:fill="C6EFCE"/>
            <w:vAlign w:val="center"/>
          </w:tcPr>
          <w:p w14:paraId="5412266E" w14:textId="77777777" w:rsidR="004C6421" w:rsidRDefault="009D1962">
            <w:pPr>
              <w:pStyle w:val="P68B1DB1-Normal4"/>
              <w:jc w:val="center"/>
              <w:rPr>
                <w:noProof/>
              </w:rPr>
            </w:pPr>
            <w:r>
              <w:rPr>
                <w:noProof/>
              </w:rPr>
              <w:t>Inwestycje 5 – Zintegrowane plany miejskie – projekty ogólne</w:t>
            </w:r>
          </w:p>
        </w:tc>
        <w:tc>
          <w:tcPr>
            <w:tcW w:w="361" w:type="pct"/>
            <w:shd w:val="clear" w:color="auto" w:fill="C6EFCE"/>
            <w:vAlign w:val="center"/>
          </w:tcPr>
          <w:p w14:paraId="575928D2" w14:textId="77777777" w:rsidR="004C6421" w:rsidRDefault="009D1962">
            <w:pPr>
              <w:pStyle w:val="P68B1DB1-Normal4"/>
              <w:jc w:val="center"/>
              <w:rPr>
                <w:noProof/>
              </w:rPr>
            </w:pPr>
            <w:r>
              <w:rPr>
                <w:noProof/>
              </w:rPr>
              <w:t>Cel</w:t>
            </w:r>
          </w:p>
        </w:tc>
        <w:tc>
          <w:tcPr>
            <w:tcW w:w="505" w:type="pct"/>
            <w:shd w:val="clear" w:color="auto" w:fill="C6EFCE"/>
            <w:vAlign w:val="center"/>
          </w:tcPr>
          <w:p w14:paraId="127FD87C" w14:textId="77777777" w:rsidR="004C6421" w:rsidRDefault="009D1962">
            <w:pPr>
              <w:pStyle w:val="P68B1DB1-Normal4"/>
              <w:jc w:val="center"/>
              <w:rPr>
                <w:noProof/>
              </w:rPr>
            </w:pPr>
            <w:r>
              <w:rPr>
                <w:noProof/>
              </w:rPr>
              <w:t>Ukończenie zintegrowanych projektów planowania w miastach metropolitalnych</w:t>
            </w:r>
          </w:p>
        </w:tc>
        <w:tc>
          <w:tcPr>
            <w:tcW w:w="505" w:type="pct"/>
            <w:shd w:val="clear" w:color="auto" w:fill="C6EFCE"/>
            <w:vAlign w:val="center"/>
          </w:tcPr>
          <w:p w14:paraId="4DA0B881" w14:textId="77777777" w:rsidR="004C6421" w:rsidRDefault="009D1962">
            <w:pPr>
              <w:pStyle w:val="P68B1DB1-Normal4"/>
              <w:jc w:val="center"/>
              <w:rPr>
                <w:noProof/>
              </w:rPr>
            </w:pPr>
            <w:r>
              <w:rPr>
                <w:noProof/>
              </w:rPr>
              <w:t>NIE DOT.</w:t>
            </w:r>
          </w:p>
        </w:tc>
        <w:tc>
          <w:tcPr>
            <w:tcW w:w="478" w:type="pct"/>
            <w:shd w:val="clear" w:color="auto" w:fill="C6EFCE"/>
            <w:vAlign w:val="center"/>
          </w:tcPr>
          <w:p w14:paraId="29D31431" w14:textId="77777777" w:rsidR="004C6421" w:rsidRDefault="009D1962">
            <w:pPr>
              <w:pStyle w:val="P68B1DB1-Normal4"/>
              <w:jc w:val="center"/>
              <w:rPr>
                <w:noProof/>
              </w:rPr>
            </w:pPr>
            <w:r>
              <w:rPr>
                <w:noProof/>
              </w:rPr>
              <w:t xml:space="preserve">Numer </w:t>
            </w:r>
          </w:p>
        </w:tc>
        <w:tc>
          <w:tcPr>
            <w:tcW w:w="318" w:type="pct"/>
            <w:shd w:val="clear" w:color="auto" w:fill="C6EFCE"/>
            <w:vAlign w:val="center"/>
          </w:tcPr>
          <w:p w14:paraId="21BA61C9" w14:textId="77777777" w:rsidR="004C6421" w:rsidRDefault="009D1962">
            <w:pPr>
              <w:pStyle w:val="P68B1DB1-Normal4"/>
              <w:jc w:val="center"/>
              <w:rPr>
                <w:noProof/>
              </w:rPr>
            </w:pPr>
            <w:r>
              <w:rPr>
                <w:noProof/>
              </w:rPr>
              <w:t>0</w:t>
            </w:r>
          </w:p>
        </w:tc>
        <w:tc>
          <w:tcPr>
            <w:tcW w:w="384" w:type="pct"/>
            <w:shd w:val="clear" w:color="auto" w:fill="C6EFCE"/>
            <w:vAlign w:val="center"/>
          </w:tcPr>
          <w:p w14:paraId="06462886" w14:textId="77777777" w:rsidR="004C6421" w:rsidRDefault="009D1962">
            <w:pPr>
              <w:pStyle w:val="P68B1DB1-Normal4"/>
              <w:jc w:val="center"/>
              <w:rPr>
                <w:noProof/>
              </w:rPr>
            </w:pPr>
            <w:r>
              <w:rPr>
                <w:noProof/>
              </w:rPr>
              <w:t>300</w:t>
            </w:r>
          </w:p>
        </w:tc>
        <w:tc>
          <w:tcPr>
            <w:tcW w:w="275" w:type="pct"/>
            <w:shd w:val="clear" w:color="auto" w:fill="C6EFCE"/>
            <w:vAlign w:val="center"/>
          </w:tcPr>
          <w:p w14:paraId="4C8D619D" w14:textId="77777777" w:rsidR="004C6421" w:rsidRDefault="009D1962">
            <w:pPr>
              <w:pStyle w:val="P68B1DB1-Normal4"/>
              <w:jc w:val="center"/>
              <w:rPr>
                <w:noProof/>
              </w:rPr>
            </w:pPr>
            <w:r>
              <w:rPr>
                <w:noProof/>
              </w:rPr>
              <w:t>II KW.</w:t>
            </w:r>
          </w:p>
        </w:tc>
        <w:tc>
          <w:tcPr>
            <w:tcW w:w="200" w:type="pct"/>
            <w:shd w:val="clear" w:color="auto" w:fill="C6EFCE"/>
            <w:vAlign w:val="center"/>
          </w:tcPr>
          <w:p w14:paraId="66E6A211" w14:textId="77777777" w:rsidR="004C6421" w:rsidRDefault="009D1962">
            <w:pPr>
              <w:pStyle w:val="P68B1DB1-Normal4"/>
              <w:jc w:val="center"/>
              <w:rPr>
                <w:noProof/>
              </w:rPr>
            </w:pPr>
            <w:r>
              <w:rPr>
                <w:noProof/>
              </w:rPr>
              <w:t>2026</w:t>
            </w:r>
          </w:p>
        </w:tc>
        <w:tc>
          <w:tcPr>
            <w:tcW w:w="1081" w:type="pct"/>
            <w:shd w:val="clear" w:color="auto" w:fill="C6EFCE"/>
            <w:vAlign w:val="center"/>
          </w:tcPr>
          <w:p w14:paraId="38E464CE" w14:textId="77777777" w:rsidR="004C6421" w:rsidRDefault="009D1962">
            <w:pPr>
              <w:pStyle w:val="P68B1DB1-Normal4"/>
              <w:rPr>
                <w:noProof/>
              </w:rPr>
            </w:pPr>
            <w:r>
              <w:rPr>
                <w:noProof/>
              </w:rPr>
              <w:t>Ukończono co najmniej 300 projektów zintegrowanego planowania we wszystkich 14 miastach metropolitalnych w co najmniej jednym z trzech następujących wymiarów:</w:t>
            </w:r>
          </w:p>
          <w:p w14:paraId="2CFC0BA1" w14:textId="77777777" w:rsidR="004C6421" w:rsidRDefault="009D1962">
            <w:pPr>
              <w:pStyle w:val="P68B1DB1-Normal4"/>
              <w:rPr>
                <w:noProof/>
              </w:rPr>
            </w:pPr>
            <w:r>
              <w:rPr>
                <w:noProof/>
              </w:rPr>
              <w:t xml:space="preserve"> </w:t>
            </w:r>
          </w:p>
          <w:p w14:paraId="5C56DC54" w14:textId="77777777" w:rsidR="004C6421" w:rsidRDefault="009D1962">
            <w:pPr>
              <w:pStyle w:val="P68B1DB1-Normal4"/>
              <w:rPr>
                <w:noProof/>
              </w:rPr>
            </w:pPr>
            <w:r>
              <w:rPr>
                <w:noProof/>
              </w:rPr>
              <w:t>— Utrzymanie w celu ponownego wykorzystania i ponownego wykorzystania przestrzeni publicznej i istniejących budynków publicznych;</w:t>
            </w:r>
          </w:p>
          <w:p w14:paraId="0B4F6F3D" w14:textId="77777777" w:rsidR="004C6421" w:rsidRDefault="009D1962">
            <w:pPr>
              <w:pStyle w:val="P68B1DB1-Normal4"/>
              <w:rPr>
                <w:noProof/>
              </w:rPr>
            </w:pPr>
            <w:r>
              <w:rPr>
                <w:noProof/>
              </w:rPr>
              <w:t xml:space="preserve"> </w:t>
            </w:r>
          </w:p>
          <w:p w14:paraId="016B4025" w14:textId="77777777" w:rsidR="004C6421" w:rsidRDefault="009D1962">
            <w:pPr>
              <w:pStyle w:val="P68B1DB1-Normal4"/>
              <w:rPr>
                <w:noProof/>
              </w:rPr>
            </w:pPr>
            <w:r>
              <w:rPr>
                <w:noProof/>
              </w:rPr>
              <w:t>— Poprawa jakości décor miejskiego oraz tkanki społecznej i środowiskowej, w tym poprzez renowację budynków publicznych;</w:t>
            </w:r>
          </w:p>
          <w:p w14:paraId="0A887BC6" w14:textId="77777777" w:rsidR="004C6421" w:rsidRDefault="009D1962">
            <w:pPr>
              <w:pStyle w:val="P68B1DB1-Normal4"/>
              <w:rPr>
                <w:noProof/>
              </w:rPr>
            </w:pPr>
            <w:r>
              <w:rPr>
                <w:noProof/>
              </w:rPr>
              <w:t xml:space="preserve"> </w:t>
            </w:r>
          </w:p>
          <w:p w14:paraId="3101147A" w14:textId="77777777" w:rsidR="004C6421" w:rsidRDefault="009D1962">
            <w:pPr>
              <w:pStyle w:val="P68B1DB1-Normal4"/>
              <w:rPr>
                <w:noProof/>
              </w:rPr>
            </w:pPr>
            <w:r>
              <w:rPr>
                <w:noProof/>
              </w:rPr>
              <w:t>— Poprawa jakości środowiska i profilu cyfrowego obszarów miejskich dogłębnie wspiera technologie cyfrowe i technologie o niższej emisji</w:t>
            </w:r>
            <w:r>
              <w:rPr>
                <w:noProof/>
                <w:vertAlign w:val="superscript"/>
              </w:rPr>
              <w:t>CO2</w:t>
            </w:r>
            <w:r>
              <w:rPr>
                <w:noProof/>
              </w:rPr>
              <w:t>.</w:t>
            </w:r>
          </w:p>
          <w:p w14:paraId="117B5E7B" w14:textId="77777777" w:rsidR="004C6421" w:rsidRDefault="009D1962">
            <w:pPr>
              <w:pStyle w:val="P68B1DB1-Normal4"/>
              <w:rPr>
                <w:noProof/>
              </w:rPr>
            </w:pPr>
            <w:r>
              <w:rPr>
                <w:noProof/>
              </w:rPr>
              <w:t xml:space="preserve"> </w:t>
            </w:r>
          </w:p>
          <w:p w14:paraId="44E461D3" w14:textId="77777777" w:rsidR="004C6421" w:rsidRDefault="009D1962">
            <w:pPr>
              <w:pStyle w:val="P68B1DB1-Normal4"/>
              <w:rPr>
                <w:noProof/>
              </w:rPr>
            </w:pPr>
            <w:r>
              <w:rPr>
                <w:noProof/>
              </w:rPr>
              <w:t>Zadowalające osiągnięcie celu zależy również od zadowalającego osiągnięcia celu drugorzędnego: ukończenie zintegrowanych działań w zakresie planowania na obszarze co najmniej 3000000 metrów kwadratowych przez wszystkie 14 miast metropolitalnych.</w:t>
            </w:r>
          </w:p>
        </w:tc>
      </w:tr>
      <w:tr w:rsidR="004C6421" w14:paraId="02FAA519" w14:textId="77777777">
        <w:trPr>
          <w:trHeight w:val="20"/>
          <w:jc w:val="center"/>
        </w:trPr>
        <w:tc>
          <w:tcPr>
            <w:tcW w:w="384" w:type="pct"/>
            <w:shd w:val="clear" w:color="auto" w:fill="C6EFCE"/>
            <w:vAlign w:val="center"/>
            <w:hideMark/>
          </w:tcPr>
          <w:p w14:paraId="232325A8" w14:textId="77777777" w:rsidR="004C6421" w:rsidRDefault="009D1962">
            <w:pPr>
              <w:pStyle w:val="P68B1DB1-Normal4"/>
              <w:jc w:val="center"/>
              <w:rPr>
                <w:noProof/>
              </w:rPr>
            </w:pPr>
            <w:r>
              <w:rPr>
                <w:noProof/>
              </w:rPr>
              <w:t>M5C2-15</w:t>
            </w:r>
          </w:p>
        </w:tc>
        <w:tc>
          <w:tcPr>
            <w:tcW w:w="509" w:type="pct"/>
            <w:shd w:val="clear" w:color="auto" w:fill="C6EFCE"/>
            <w:vAlign w:val="center"/>
            <w:hideMark/>
          </w:tcPr>
          <w:p w14:paraId="166869C9" w14:textId="77777777" w:rsidR="004C6421" w:rsidRDefault="009D1962">
            <w:pPr>
              <w:pStyle w:val="P68B1DB1-Normal4"/>
              <w:jc w:val="center"/>
              <w:rPr>
                <w:noProof/>
              </w:rPr>
            </w:pPr>
            <w:r>
              <w:rPr>
                <w:noProof/>
              </w:rPr>
              <w:t>Inwestycje 5 – Zintegrowane plany miejskie – Przeciwdziałanie nielegalnym osiedlom w celu zwalczania wyzysku pracowników w rolnictwie</w:t>
            </w:r>
          </w:p>
        </w:tc>
        <w:tc>
          <w:tcPr>
            <w:tcW w:w="361" w:type="pct"/>
            <w:shd w:val="clear" w:color="auto" w:fill="C6EFCE"/>
            <w:vAlign w:val="center"/>
            <w:hideMark/>
          </w:tcPr>
          <w:p w14:paraId="3EAF0FFF" w14:textId="765DD2AE" w:rsidR="004C6421" w:rsidRDefault="00CC179E">
            <w:pPr>
              <w:pStyle w:val="P68B1DB1-Normal4"/>
              <w:jc w:val="center"/>
              <w:rPr>
                <w:noProof/>
              </w:rPr>
            </w:pPr>
            <w:r>
              <w:rPr>
                <w:noProof/>
              </w:rPr>
              <w:t>Milowy</w:t>
            </w:r>
          </w:p>
        </w:tc>
        <w:tc>
          <w:tcPr>
            <w:tcW w:w="505" w:type="pct"/>
            <w:shd w:val="clear" w:color="auto" w:fill="C6EFCE"/>
            <w:vAlign w:val="center"/>
            <w:hideMark/>
          </w:tcPr>
          <w:p w14:paraId="5D058A84" w14:textId="77777777" w:rsidR="004C6421" w:rsidRDefault="009D1962">
            <w:pPr>
              <w:pStyle w:val="P68B1DB1-Normal4"/>
              <w:jc w:val="center"/>
              <w:rPr>
                <w:noProof/>
              </w:rPr>
            </w:pPr>
            <w:r>
              <w:rPr>
                <w:noProof/>
              </w:rPr>
              <w:t>„Tavolo di contrasto allo sfruttamento lavorativo in agricoltura” (dekret ministerialny określający mapowanie nielegalnych osiedli) został przyjęty przez „Tavolo di contrasto allo sfruttamento lavorativo in agricoltura” oraz przyjęto dekret ministerialny w sprawie przydziału zasobów.</w:t>
            </w:r>
          </w:p>
        </w:tc>
        <w:tc>
          <w:tcPr>
            <w:tcW w:w="505" w:type="pct"/>
            <w:shd w:val="clear" w:color="auto" w:fill="C6EFCE"/>
            <w:vAlign w:val="center"/>
            <w:hideMark/>
          </w:tcPr>
          <w:p w14:paraId="389FE4D6" w14:textId="77777777" w:rsidR="004C6421" w:rsidRDefault="009D1962">
            <w:pPr>
              <w:pStyle w:val="P68B1DB1-Normal4"/>
              <w:jc w:val="center"/>
              <w:rPr>
                <w:noProof/>
              </w:rPr>
            </w:pPr>
            <w:r>
              <w:rPr>
                <w:noProof/>
              </w:rPr>
              <w:t>Przepis ustawy wskazujący na wejście w życie dekretu ministerialnego NIE DOT.</w:t>
            </w:r>
          </w:p>
        </w:tc>
        <w:tc>
          <w:tcPr>
            <w:tcW w:w="478" w:type="pct"/>
            <w:shd w:val="clear" w:color="auto" w:fill="C6EFCE"/>
            <w:vAlign w:val="center"/>
            <w:hideMark/>
          </w:tcPr>
          <w:p w14:paraId="691ABB62" w14:textId="77777777" w:rsidR="004C6421" w:rsidRDefault="009D1962">
            <w:pPr>
              <w:pStyle w:val="P68B1DB1-Normal4"/>
              <w:jc w:val="center"/>
              <w:rPr>
                <w:noProof/>
              </w:rPr>
            </w:pPr>
            <w:r>
              <w:rPr>
                <w:noProof/>
              </w:rPr>
              <w:t>NIE DOT.</w:t>
            </w:r>
          </w:p>
        </w:tc>
        <w:tc>
          <w:tcPr>
            <w:tcW w:w="318" w:type="pct"/>
            <w:shd w:val="clear" w:color="auto" w:fill="C6EFCE"/>
            <w:vAlign w:val="center"/>
            <w:hideMark/>
          </w:tcPr>
          <w:p w14:paraId="4193900B" w14:textId="77777777" w:rsidR="004C6421" w:rsidRDefault="009D1962">
            <w:pPr>
              <w:pStyle w:val="P68B1DB1-Normal4"/>
              <w:jc w:val="center"/>
              <w:rPr>
                <w:noProof/>
              </w:rPr>
            </w:pPr>
            <w:r>
              <w:rPr>
                <w:noProof/>
              </w:rPr>
              <w:t>NIE DOT.</w:t>
            </w:r>
          </w:p>
        </w:tc>
        <w:tc>
          <w:tcPr>
            <w:tcW w:w="384" w:type="pct"/>
            <w:shd w:val="clear" w:color="auto" w:fill="C6EFCE"/>
            <w:vAlign w:val="center"/>
            <w:hideMark/>
          </w:tcPr>
          <w:p w14:paraId="5509CFFC" w14:textId="77777777" w:rsidR="004C6421" w:rsidRDefault="009D1962">
            <w:pPr>
              <w:pStyle w:val="P68B1DB1-Normal4"/>
              <w:jc w:val="center"/>
              <w:rPr>
                <w:noProof/>
              </w:rPr>
            </w:pPr>
            <w:r>
              <w:rPr>
                <w:noProof/>
              </w:rPr>
              <w:t>NIE DOT.</w:t>
            </w:r>
          </w:p>
        </w:tc>
        <w:tc>
          <w:tcPr>
            <w:tcW w:w="275" w:type="pct"/>
            <w:shd w:val="clear" w:color="auto" w:fill="C6EFCE"/>
            <w:vAlign w:val="center"/>
            <w:hideMark/>
          </w:tcPr>
          <w:p w14:paraId="747CD627" w14:textId="08684883" w:rsidR="004C6421" w:rsidRDefault="00CC179E">
            <w:pPr>
              <w:pStyle w:val="P68B1DB1-Normal4"/>
              <w:jc w:val="center"/>
              <w:rPr>
                <w:noProof/>
              </w:rPr>
            </w:pPr>
            <w:r>
              <w:rPr>
                <w:noProof/>
              </w:rPr>
              <w:t>KW. 1</w:t>
            </w:r>
          </w:p>
        </w:tc>
        <w:tc>
          <w:tcPr>
            <w:tcW w:w="200" w:type="pct"/>
            <w:shd w:val="clear" w:color="auto" w:fill="C6EFCE"/>
            <w:vAlign w:val="center"/>
            <w:hideMark/>
          </w:tcPr>
          <w:p w14:paraId="74308DAD" w14:textId="77777777" w:rsidR="004C6421" w:rsidRDefault="009D1962">
            <w:pPr>
              <w:pStyle w:val="P68B1DB1-Normal4"/>
              <w:jc w:val="center"/>
              <w:rPr>
                <w:noProof/>
              </w:rPr>
            </w:pPr>
            <w:r>
              <w:rPr>
                <w:noProof/>
              </w:rPr>
              <w:t>2022</w:t>
            </w:r>
          </w:p>
        </w:tc>
        <w:tc>
          <w:tcPr>
            <w:tcW w:w="1081" w:type="pct"/>
            <w:shd w:val="clear" w:color="auto" w:fill="C6EFCE"/>
            <w:vAlign w:val="center"/>
            <w:hideMark/>
          </w:tcPr>
          <w:p w14:paraId="05B81B44" w14:textId="77777777" w:rsidR="004C6421" w:rsidRDefault="009D1962">
            <w:pPr>
              <w:pStyle w:val="P68B1DB1-Normal4"/>
              <w:rPr>
                <w:noProof/>
              </w:rPr>
            </w:pPr>
            <w:r>
              <w:rPr>
                <w:noProof/>
              </w:rPr>
              <w:t>Dekret ministerialny przydziela środki na podstawie mapowania nielegalnych osiedli zrealizowanych przez „Tavolo di contrasto allo sfruttamento lavorativo in agricoltura”. Należy określić standard tymczasowych i długoterminowych rozwiązań mieszkaniowych.</w:t>
            </w:r>
          </w:p>
        </w:tc>
      </w:tr>
      <w:tr w:rsidR="004C6421" w14:paraId="7C05EF66" w14:textId="77777777">
        <w:trPr>
          <w:trHeight w:val="3046"/>
          <w:jc w:val="center"/>
        </w:trPr>
        <w:tc>
          <w:tcPr>
            <w:tcW w:w="384" w:type="pct"/>
            <w:shd w:val="clear" w:color="auto" w:fill="C6EFCE"/>
            <w:vAlign w:val="center"/>
            <w:hideMark/>
          </w:tcPr>
          <w:p w14:paraId="649C55B2" w14:textId="77777777" w:rsidR="004C6421" w:rsidRDefault="009D1962">
            <w:pPr>
              <w:pStyle w:val="P68B1DB1-Normal4"/>
              <w:jc w:val="center"/>
              <w:rPr>
                <w:noProof/>
              </w:rPr>
            </w:pPr>
            <w:r>
              <w:rPr>
                <w:noProof/>
              </w:rPr>
              <w:t>M5C2-16</w:t>
            </w:r>
          </w:p>
        </w:tc>
        <w:tc>
          <w:tcPr>
            <w:tcW w:w="509" w:type="pct"/>
            <w:shd w:val="clear" w:color="auto" w:fill="C6EFCE"/>
            <w:vAlign w:val="center"/>
            <w:hideMark/>
          </w:tcPr>
          <w:p w14:paraId="5C906E8C" w14:textId="77777777" w:rsidR="004C6421" w:rsidRDefault="009D1962">
            <w:pPr>
              <w:pStyle w:val="P68B1DB1-Normal4"/>
              <w:jc w:val="center"/>
              <w:rPr>
                <w:noProof/>
              </w:rPr>
            </w:pPr>
            <w:r>
              <w:rPr>
                <w:noProof/>
              </w:rPr>
              <w:t>Inwestycje 5 – Zintegrowane plany miejskie – Przeciwdziałanie nielegalnym osiedlom w celu zwalczania wyzysku pracowników w rolnictwie</w:t>
            </w:r>
          </w:p>
        </w:tc>
        <w:tc>
          <w:tcPr>
            <w:tcW w:w="361" w:type="pct"/>
            <w:shd w:val="clear" w:color="auto" w:fill="C6EFCE"/>
            <w:vAlign w:val="center"/>
            <w:hideMark/>
          </w:tcPr>
          <w:p w14:paraId="2BEDDC62" w14:textId="77777777" w:rsidR="004C6421" w:rsidRDefault="009D1962">
            <w:pPr>
              <w:pStyle w:val="P68B1DB1-Normal4"/>
              <w:jc w:val="center"/>
              <w:rPr>
                <w:noProof/>
              </w:rPr>
            </w:pPr>
            <w:r>
              <w:rPr>
                <w:noProof/>
              </w:rPr>
              <w:t>Cel</w:t>
            </w:r>
          </w:p>
        </w:tc>
        <w:tc>
          <w:tcPr>
            <w:tcW w:w="505" w:type="pct"/>
            <w:shd w:val="clear" w:color="auto" w:fill="C6EFCE"/>
            <w:vAlign w:val="center"/>
            <w:hideMark/>
          </w:tcPr>
          <w:p w14:paraId="5F2C682D" w14:textId="77777777" w:rsidR="004C6421" w:rsidRDefault="009D1962">
            <w:pPr>
              <w:pStyle w:val="P68B1DB1-Normal4"/>
              <w:jc w:val="center"/>
              <w:rPr>
                <w:noProof/>
              </w:rPr>
            </w:pPr>
            <w:r>
              <w:rPr>
                <w:noProof/>
              </w:rPr>
              <w:t>Działania w ramach projektu są zakończone na obszarach określonych w lokalnych planach jako nielegalne osiedla</w:t>
            </w:r>
          </w:p>
        </w:tc>
        <w:tc>
          <w:tcPr>
            <w:tcW w:w="505" w:type="pct"/>
            <w:shd w:val="clear" w:color="auto" w:fill="C6EFCE"/>
            <w:vAlign w:val="center"/>
            <w:hideMark/>
          </w:tcPr>
          <w:p w14:paraId="45A5789D" w14:textId="77777777" w:rsidR="004C6421" w:rsidRDefault="009D1962">
            <w:pPr>
              <w:pStyle w:val="P68B1DB1-Normal4"/>
              <w:jc w:val="center"/>
              <w:rPr>
                <w:noProof/>
              </w:rPr>
            </w:pPr>
            <w:r>
              <w:rPr>
                <w:noProof/>
              </w:rPr>
              <w:t>NIE DOT.</w:t>
            </w:r>
          </w:p>
        </w:tc>
        <w:tc>
          <w:tcPr>
            <w:tcW w:w="478" w:type="pct"/>
            <w:shd w:val="clear" w:color="auto" w:fill="C6EFCE"/>
            <w:vAlign w:val="center"/>
            <w:hideMark/>
          </w:tcPr>
          <w:p w14:paraId="7810F8F2" w14:textId="77777777" w:rsidR="004C6421" w:rsidRDefault="009D1962">
            <w:pPr>
              <w:pStyle w:val="P68B1DB1-Normal4"/>
              <w:jc w:val="center"/>
              <w:rPr>
                <w:noProof/>
              </w:rPr>
            </w:pPr>
            <w:r>
              <w:rPr>
                <w:noProof/>
              </w:rPr>
              <w:t>Procent</w:t>
            </w:r>
          </w:p>
        </w:tc>
        <w:tc>
          <w:tcPr>
            <w:tcW w:w="318" w:type="pct"/>
            <w:shd w:val="clear" w:color="auto" w:fill="C6EFCE"/>
            <w:vAlign w:val="center"/>
            <w:hideMark/>
          </w:tcPr>
          <w:p w14:paraId="3E2B5AEB" w14:textId="77777777" w:rsidR="004C6421" w:rsidRDefault="009D1962">
            <w:pPr>
              <w:pStyle w:val="P68B1DB1-Normal4"/>
              <w:jc w:val="center"/>
              <w:rPr>
                <w:noProof/>
              </w:rPr>
            </w:pPr>
            <w:r>
              <w:rPr>
                <w:noProof/>
              </w:rPr>
              <w:t>0</w:t>
            </w:r>
          </w:p>
        </w:tc>
        <w:tc>
          <w:tcPr>
            <w:tcW w:w="384" w:type="pct"/>
            <w:shd w:val="clear" w:color="auto" w:fill="C6EFCE"/>
            <w:vAlign w:val="center"/>
            <w:hideMark/>
          </w:tcPr>
          <w:p w14:paraId="204BBEB7" w14:textId="77777777" w:rsidR="004C6421" w:rsidRDefault="009D1962">
            <w:pPr>
              <w:pStyle w:val="P68B1DB1-Normal4"/>
              <w:jc w:val="center"/>
              <w:rPr>
                <w:noProof/>
              </w:rPr>
            </w:pPr>
            <w:r>
              <w:rPr>
                <w:noProof/>
              </w:rPr>
              <w:t>90</w:t>
            </w:r>
          </w:p>
        </w:tc>
        <w:tc>
          <w:tcPr>
            <w:tcW w:w="275" w:type="pct"/>
            <w:shd w:val="clear" w:color="auto" w:fill="C6EFCE"/>
            <w:vAlign w:val="center"/>
            <w:hideMark/>
          </w:tcPr>
          <w:p w14:paraId="14E0480D" w14:textId="23B28143" w:rsidR="004C6421" w:rsidRDefault="00CC179E">
            <w:pPr>
              <w:pStyle w:val="P68B1DB1-Normal4"/>
              <w:jc w:val="center"/>
              <w:rPr>
                <w:noProof/>
              </w:rPr>
            </w:pPr>
            <w:r>
              <w:rPr>
                <w:noProof/>
              </w:rPr>
              <w:t>KW. 1</w:t>
            </w:r>
          </w:p>
        </w:tc>
        <w:tc>
          <w:tcPr>
            <w:tcW w:w="200" w:type="pct"/>
            <w:shd w:val="clear" w:color="auto" w:fill="C6EFCE"/>
            <w:vAlign w:val="center"/>
            <w:hideMark/>
          </w:tcPr>
          <w:p w14:paraId="7B38DED4" w14:textId="77777777" w:rsidR="004C6421" w:rsidRDefault="009D1962">
            <w:pPr>
              <w:pStyle w:val="P68B1DB1-Normal4"/>
              <w:jc w:val="center"/>
              <w:rPr>
                <w:noProof/>
              </w:rPr>
            </w:pPr>
            <w:r>
              <w:rPr>
                <w:noProof/>
              </w:rPr>
              <w:t>2025</w:t>
            </w:r>
          </w:p>
        </w:tc>
        <w:tc>
          <w:tcPr>
            <w:tcW w:w="1081" w:type="pct"/>
            <w:shd w:val="clear" w:color="auto" w:fill="C6EFCE"/>
            <w:vAlign w:val="center"/>
            <w:hideMark/>
          </w:tcPr>
          <w:p w14:paraId="4FC96F7D" w14:textId="77777777" w:rsidR="004C6421" w:rsidRDefault="009D1962">
            <w:pPr>
              <w:pStyle w:val="P68B1DB1-Normal4"/>
              <w:rPr>
                <w:rFonts w:eastAsia="Calibri"/>
                <w:noProof/>
              </w:rPr>
            </w:pPr>
            <w:r>
              <w:rPr>
                <w:noProof/>
              </w:rPr>
              <w:t>Działania w ramach projektu zostały zakończone na co najmniej 90 % obszarów określonych w lokalnych planach jako nielegalne osiedla.</w:t>
            </w:r>
          </w:p>
          <w:p w14:paraId="7DC6EDA4" w14:textId="77777777" w:rsidR="004C6421" w:rsidRDefault="004C6421">
            <w:pPr>
              <w:rPr>
                <w:rFonts w:ascii="Arial Narrow" w:hAnsi="Arial Narrow"/>
                <w:noProof/>
                <w:color w:val="006100"/>
                <w:sz w:val="20"/>
              </w:rPr>
            </w:pPr>
          </w:p>
          <w:p w14:paraId="5397A79C" w14:textId="77777777" w:rsidR="004C6421" w:rsidRDefault="009D1962">
            <w:pPr>
              <w:pStyle w:val="P68B1DB1-Normal4"/>
              <w:rPr>
                <w:noProof/>
              </w:rPr>
            </w:pPr>
            <w:r>
              <w:rPr>
                <w:noProof/>
              </w:rPr>
              <w:t>Po przydzieleniu zasobów właściwa administracja przedstawia „lokalny plan działania” w odniesieniu do każdego stwierdzonego nielegalnego osadzenia.</w:t>
            </w:r>
          </w:p>
        </w:tc>
      </w:tr>
      <w:tr w:rsidR="004C6421" w14:paraId="2E19577B" w14:textId="77777777">
        <w:trPr>
          <w:trHeight w:val="20"/>
          <w:jc w:val="center"/>
        </w:trPr>
        <w:tc>
          <w:tcPr>
            <w:tcW w:w="384" w:type="pct"/>
            <w:shd w:val="clear" w:color="auto" w:fill="C6EFCE"/>
            <w:vAlign w:val="center"/>
            <w:hideMark/>
          </w:tcPr>
          <w:p w14:paraId="0ABE1332" w14:textId="77777777" w:rsidR="004C6421" w:rsidRDefault="009D1962">
            <w:pPr>
              <w:pStyle w:val="P68B1DB1-Normal4"/>
              <w:jc w:val="center"/>
              <w:rPr>
                <w:noProof/>
              </w:rPr>
            </w:pPr>
            <w:r>
              <w:rPr>
                <w:noProof/>
              </w:rPr>
              <w:t>M5C2-17</w:t>
            </w:r>
          </w:p>
        </w:tc>
        <w:tc>
          <w:tcPr>
            <w:tcW w:w="509" w:type="pct"/>
            <w:shd w:val="clear" w:color="auto" w:fill="C6EFCE"/>
            <w:vAlign w:val="center"/>
            <w:hideMark/>
          </w:tcPr>
          <w:p w14:paraId="38F31173" w14:textId="77777777" w:rsidR="004C6421" w:rsidRDefault="009D1962">
            <w:pPr>
              <w:pStyle w:val="P68B1DB1-Normal4"/>
              <w:jc w:val="center"/>
              <w:rPr>
                <w:noProof/>
              </w:rPr>
            </w:pPr>
            <w:r>
              <w:rPr>
                <w:noProof/>
              </w:rPr>
              <w:t>Inwestycje 5 – Zintegrowane plany miejskie – Fundusz EBI</w:t>
            </w:r>
          </w:p>
        </w:tc>
        <w:tc>
          <w:tcPr>
            <w:tcW w:w="361" w:type="pct"/>
            <w:shd w:val="clear" w:color="auto" w:fill="C6EFCE"/>
            <w:vAlign w:val="center"/>
            <w:hideMark/>
          </w:tcPr>
          <w:p w14:paraId="5FF129AA" w14:textId="1215BF9C" w:rsidR="004C6421" w:rsidRDefault="00CC179E">
            <w:pPr>
              <w:pStyle w:val="P68B1DB1-Normal4"/>
              <w:jc w:val="center"/>
              <w:rPr>
                <w:noProof/>
              </w:rPr>
            </w:pPr>
            <w:r>
              <w:rPr>
                <w:noProof/>
              </w:rPr>
              <w:t>Milowy</w:t>
            </w:r>
          </w:p>
        </w:tc>
        <w:tc>
          <w:tcPr>
            <w:tcW w:w="505" w:type="pct"/>
            <w:shd w:val="clear" w:color="auto" w:fill="C6EFCE"/>
            <w:vAlign w:val="center"/>
            <w:hideMark/>
          </w:tcPr>
          <w:p w14:paraId="41D84423" w14:textId="77777777" w:rsidR="004C6421" w:rsidRDefault="009D1962">
            <w:pPr>
              <w:pStyle w:val="P68B1DB1-Normal4"/>
              <w:jc w:val="center"/>
              <w:rPr>
                <w:noProof/>
              </w:rPr>
            </w:pPr>
            <w:r>
              <w:rPr>
                <w:noProof/>
              </w:rPr>
              <w:t>Strategię inwestycyjną funduszu zatwierdza Ministerstwo Finansów (MEF).</w:t>
            </w:r>
          </w:p>
        </w:tc>
        <w:tc>
          <w:tcPr>
            <w:tcW w:w="505" w:type="pct"/>
            <w:shd w:val="clear" w:color="auto" w:fill="C6EFCE"/>
            <w:vAlign w:val="center"/>
            <w:hideMark/>
          </w:tcPr>
          <w:p w14:paraId="20BAC357" w14:textId="77777777" w:rsidR="004C6421" w:rsidRDefault="009D1962">
            <w:pPr>
              <w:pStyle w:val="P68B1DB1-Normal4"/>
              <w:jc w:val="center"/>
              <w:rPr>
                <w:noProof/>
              </w:rPr>
            </w:pPr>
            <w:r>
              <w:rPr>
                <w:noProof/>
              </w:rPr>
              <w:t>Strategia inwestycyjna funduszu jest zatwierdzana przez Ministerstwo Finansów (MEF).</w:t>
            </w:r>
          </w:p>
        </w:tc>
        <w:tc>
          <w:tcPr>
            <w:tcW w:w="478" w:type="pct"/>
            <w:shd w:val="clear" w:color="auto" w:fill="C6EFCE"/>
            <w:vAlign w:val="center"/>
            <w:hideMark/>
          </w:tcPr>
          <w:p w14:paraId="37E4A52A" w14:textId="77777777" w:rsidR="004C6421" w:rsidRDefault="009D1962">
            <w:pPr>
              <w:pStyle w:val="P68B1DB1-Normal4"/>
              <w:jc w:val="center"/>
              <w:rPr>
                <w:noProof/>
              </w:rPr>
            </w:pPr>
            <w:r>
              <w:rPr>
                <w:noProof/>
              </w:rPr>
              <w:t>NIE DOT.</w:t>
            </w:r>
          </w:p>
        </w:tc>
        <w:tc>
          <w:tcPr>
            <w:tcW w:w="318" w:type="pct"/>
            <w:shd w:val="clear" w:color="auto" w:fill="C6EFCE"/>
            <w:vAlign w:val="center"/>
            <w:hideMark/>
          </w:tcPr>
          <w:p w14:paraId="59A11DD0" w14:textId="77777777" w:rsidR="004C6421" w:rsidRDefault="009D1962">
            <w:pPr>
              <w:pStyle w:val="P68B1DB1-Normal4"/>
              <w:jc w:val="center"/>
              <w:rPr>
                <w:noProof/>
              </w:rPr>
            </w:pPr>
            <w:r>
              <w:rPr>
                <w:noProof/>
              </w:rPr>
              <w:t>NIE DOT.</w:t>
            </w:r>
          </w:p>
        </w:tc>
        <w:tc>
          <w:tcPr>
            <w:tcW w:w="384" w:type="pct"/>
            <w:shd w:val="clear" w:color="auto" w:fill="C6EFCE"/>
            <w:vAlign w:val="center"/>
            <w:hideMark/>
          </w:tcPr>
          <w:p w14:paraId="1501A170" w14:textId="77777777" w:rsidR="004C6421" w:rsidRDefault="009D1962">
            <w:pPr>
              <w:pStyle w:val="P68B1DB1-Normal4"/>
              <w:jc w:val="center"/>
              <w:rPr>
                <w:noProof/>
              </w:rPr>
            </w:pPr>
            <w:r>
              <w:rPr>
                <w:noProof/>
              </w:rPr>
              <w:t>NIE DOT.</w:t>
            </w:r>
          </w:p>
        </w:tc>
        <w:tc>
          <w:tcPr>
            <w:tcW w:w="275" w:type="pct"/>
            <w:shd w:val="clear" w:color="auto" w:fill="C6EFCE"/>
            <w:vAlign w:val="center"/>
            <w:hideMark/>
          </w:tcPr>
          <w:p w14:paraId="7A9AF63D" w14:textId="77777777" w:rsidR="004C6421" w:rsidRDefault="009D1962">
            <w:pPr>
              <w:pStyle w:val="P68B1DB1-Normal4"/>
              <w:jc w:val="center"/>
              <w:rPr>
                <w:noProof/>
              </w:rPr>
            </w:pPr>
            <w:r>
              <w:rPr>
                <w:noProof/>
              </w:rPr>
              <w:t>III KW.</w:t>
            </w:r>
          </w:p>
        </w:tc>
        <w:tc>
          <w:tcPr>
            <w:tcW w:w="200" w:type="pct"/>
            <w:shd w:val="clear" w:color="auto" w:fill="C6EFCE"/>
            <w:vAlign w:val="center"/>
            <w:hideMark/>
          </w:tcPr>
          <w:p w14:paraId="25E576FA" w14:textId="77777777" w:rsidR="004C6421" w:rsidRDefault="009D1962">
            <w:pPr>
              <w:pStyle w:val="P68B1DB1-Normal4"/>
              <w:jc w:val="center"/>
              <w:rPr>
                <w:noProof/>
              </w:rPr>
            </w:pPr>
            <w:r>
              <w:rPr>
                <w:noProof/>
              </w:rPr>
              <w:t>2022</w:t>
            </w:r>
          </w:p>
        </w:tc>
        <w:tc>
          <w:tcPr>
            <w:tcW w:w="1081" w:type="pct"/>
            <w:shd w:val="clear" w:color="auto" w:fill="C6EFCE"/>
            <w:vAlign w:val="center"/>
            <w:hideMark/>
          </w:tcPr>
          <w:p w14:paraId="6F120F30" w14:textId="77777777" w:rsidR="004C6421" w:rsidRDefault="009D1962">
            <w:pPr>
              <w:pStyle w:val="P68B1DB1-Normal4"/>
              <w:rPr>
                <w:rFonts w:eastAsia="Calibri"/>
                <w:noProof/>
              </w:rPr>
            </w:pPr>
            <w:r>
              <w:rPr>
                <w:noProof/>
              </w:rPr>
              <w:t>W strategii inwestycyjnej funduszu określa się co najmniej: charakter i zakres wspieranych inwestycji, które promują zrównoważone projekty rewitalizacji i rozwoju obszarów miejskich oraz są zgodne z celami RRF, w tym w odniesieniu do zgodności z zasadą „nie czyń poważnych szkód”, jak określono szczegółowo w wytycznych Komisji z dnia 12 lutego 2021 r., (ii) wspieranych operacji, (iii) beneficjentów objętych pomocą, którymi są prywatni promotorzy samowystarczalnych finansowo projektów, w przypadku których wsparcie publiczne jest uzasadnione niedoskonałością rynku lub profilem ryzyka, oraz ich kryteriów kwalifikowalności, (iv) kryteriów kwalifikowalności beneficjentów finansowych i ich wyboru w drodze otwartego zaproszenia; (v) włączenie specjalnej linii budżetowej dotyczącej godnych rozwiązań mieszkaniowych dla pracowników w sektorze rolnym i przemysłowym oraz (vi) przepisów dotyczących ponownego inwestowania potencjalnych środków powracających na te same cele polityki, również po 2026 r.</w:t>
            </w:r>
          </w:p>
          <w:p w14:paraId="22DD9163" w14:textId="77777777" w:rsidR="004C6421" w:rsidRDefault="004C6421">
            <w:pPr>
              <w:rPr>
                <w:rFonts w:ascii="Arial Narrow" w:eastAsia="Calibri" w:hAnsi="Arial Narrow"/>
                <w:noProof/>
                <w:color w:val="006100"/>
                <w:sz w:val="20"/>
              </w:rPr>
            </w:pPr>
          </w:p>
          <w:p w14:paraId="291F3AA3" w14:textId="77777777" w:rsidR="004C6421" w:rsidRDefault="009D1962">
            <w:pPr>
              <w:pStyle w:val="P68B1DB1-Normal4"/>
              <w:rPr>
                <w:noProof/>
              </w:rPr>
            </w:pPr>
            <w:r>
              <w:rPr>
                <w:noProof/>
              </w:rPr>
              <w:t>W umowie z podmiotem, któremu powierzono wykonywanie zadań, wymaga się stosowania wytycznych dotyczących zasady „nie czyń poważnych szkód”.</w:t>
            </w:r>
          </w:p>
        </w:tc>
      </w:tr>
      <w:tr w:rsidR="004C6421" w14:paraId="5AC6A412" w14:textId="77777777">
        <w:trPr>
          <w:trHeight w:val="20"/>
          <w:jc w:val="center"/>
        </w:trPr>
        <w:tc>
          <w:tcPr>
            <w:tcW w:w="384" w:type="pct"/>
            <w:shd w:val="clear" w:color="auto" w:fill="C6EFCE"/>
            <w:vAlign w:val="center"/>
          </w:tcPr>
          <w:p w14:paraId="1D3DE27A" w14:textId="77777777" w:rsidR="004C6421" w:rsidRDefault="009D1962">
            <w:pPr>
              <w:pStyle w:val="P68B1DB1-Normal4"/>
              <w:jc w:val="center"/>
              <w:rPr>
                <w:noProof/>
              </w:rPr>
            </w:pPr>
            <w:r>
              <w:rPr>
                <w:noProof/>
              </w:rPr>
              <w:t>M5C2-18</w:t>
            </w:r>
          </w:p>
        </w:tc>
        <w:tc>
          <w:tcPr>
            <w:tcW w:w="509" w:type="pct"/>
            <w:shd w:val="clear" w:color="auto" w:fill="C6EFCE"/>
            <w:vAlign w:val="center"/>
          </w:tcPr>
          <w:p w14:paraId="6A261F29" w14:textId="77777777" w:rsidR="004C6421" w:rsidRDefault="009D1962">
            <w:pPr>
              <w:pStyle w:val="P68B1DB1-Normal4"/>
              <w:jc w:val="center"/>
              <w:rPr>
                <w:rFonts w:eastAsia="Calibri"/>
                <w:noProof/>
              </w:rPr>
            </w:pPr>
            <w:r>
              <w:rPr>
                <w:noProof/>
              </w:rPr>
              <w:t>Inwestycje 5 – Zintegrowane plany miejskie – Fundusz EBI</w:t>
            </w:r>
          </w:p>
        </w:tc>
        <w:tc>
          <w:tcPr>
            <w:tcW w:w="361" w:type="pct"/>
            <w:shd w:val="clear" w:color="auto" w:fill="C6EFCE"/>
            <w:vAlign w:val="center"/>
          </w:tcPr>
          <w:p w14:paraId="5386549D" w14:textId="77777777" w:rsidR="004C6421" w:rsidRDefault="009D1962">
            <w:pPr>
              <w:pStyle w:val="P68B1DB1-Normal4"/>
              <w:jc w:val="center"/>
              <w:rPr>
                <w:rFonts w:eastAsia="Calibri"/>
                <w:noProof/>
              </w:rPr>
            </w:pPr>
            <w:r>
              <w:rPr>
                <w:noProof/>
              </w:rPr>
              <w:t>Cel</w:t>
            </w:r>
          </w:p>
        </w:tc>
        <w:tc>
          <w:tcPr>
            <w:tcW w:w="505" w:type="pct"/>
            <w:shd w:val="clear" w:color="auto" w:fill="C6EFCE"/>
            <w:vAlign w:val="center"/>
          </w:tcPr>
          <w:p w14:paraId="6368FA60" w14:textId="77777777" w:rsidR="004C6421" w:rsidRDefault="009D1962">
            <w:pPr>
              <w:pStyle w:val="P68B1DB1-Normal4"/>
              <w:jc w:val="center"/>
              <w:rPr>
                <w:noProof/>
              </w:rPr>
            </w:pPr>
            <w:r>
              <w:rPr>
                <w:noProof/>
              </w:rPr>
              <w:t>Wartość pieniężna wkładu do funduszu tematycznego i wsparcie projektów miejskich</w:t>
            </w:r>
          </w:p>
        </w:tc>
        <w:tc>
          <w:tcPr>
            <w:tcW w:w="505" w:type="pct"/>
            <w:shd w:val="clear" w:color="auto" w:fill="C6EFCE"/>
            <w:vAlign w:val="center"/>
          </w:tcPr>
          <w:p w14:paraId="4D5A31EE" w14:textId="77777777" w:rsidR="004C6421" w:rsidRDefault="009D1962">
            <w:pPr>
              <w:pStyle w:val="P68B1DB1-Normal4"/>
              <w:jc w:val="center"/>
              <w:rPr>
                <w:noProof/>
              </w:rPr>
            </w:pPr>
            <w:r>
              <w:rPr>
                <w:noProof/>
              </w:rPr>
              <w:t>NIE DOT.</w:t>
            </w:r>
          </w:p>
        </w:tc>
        <w:tc>
          <w:tcPr>
            <w:tcW w:w="478" w:type="pct"/>
            <w:shd w:val="clear" w:color="auto" w:fill="C6EFCE"/>
            <w:vAlign w:val="center"/>
          </w:tcPr>
          <w:p w14:paraId="183A575F" w14:textId="77777777" w:rsidR="004C6421" w:rsidRDefault="009D1962">
            <w:pPr>
              <w:pStyle w:val="P68B1DB1-Normal4"/>
              <w:jc w:val="center"/>
              <w:rPr>
                <w:noProof/>
              </w:rPr>
            </w:pPr>
            <w:r>
              <w:rPr>
                <w:noProof/>
              </w:rPr>
              <w:t>EUR</w:t>
            </w:r>
          </w:p>
        </w:tc>
        <w:tc>
          <w:tcPr>
            <w:tcW w:w="318" w:type="pct"/>
            <w:shd w:val="clear" w:color="auto" w:fill="C6EFCE"/>
            <w:vAlign w:val="center"/>
          </w:tcPr>
          <w:p w14:paraId="11369E2C" w14:textId="77777777" w:rsidR="004C6421" w:rsidRDefault="009D1962">
            <w:pPr>
              <w:pStyle w:val="P68B1DB1-Normal4"/>
              <w:jc w:val="center"/>
              <w:rPr>
                <w:rFonts w:eastAsia="Calibri"/>
                <w:noProof/>
              </w:rPr>
            </w:pPr>
            <w:r>
              <w:rPr>
                <w:noProof/>
              </w:rPr>
              <w:t>0</w:t>
            </w:r>
          </w:p>
        </w:tc>
        <w:tc>
          <w:tcPr>
            <w:tcW w:w="384" w:type="pct"/>
            <w:shd w:val="clear" w:color="auto" w:fill="C6EFCE"/>
            <w:vAlign w:val="center"/>
          </w:tcPr>
          <w:p w14:paraId="775EBC79" w14:textId="5BDBC412" w:rsidR="004C6421" w:rsidRDefault="009D1962">
            <w:pPr>
              <w:jc w:val="center"/>
              <w:rPr>
                <w:rFonts w:ascii="Arial Narrow" w:hAnsi="Arial Narrow"/>
                <w:noProof/>
                <w:color w:val="006100"/>
                <w:sz w:val="20"/>
              </w:rPr>
            </w:pPr>
            <w:r>
              <w:rPr>
                <w:rFonts w:ascii="Arial Narrow" w:hAnsi="Arial Narrow"/>
                <w:noProof/>
                <w:color w:val="006100"/>
                <w:sz w:val="20"/>
              </w:rPr>
              <w:t>545</w:t>
            </w:r>
            <w:r>
              <w:rPr>
                <w:noProof/>
                <w:sz w:val="23"/>
              </w:rPr>
              <w:t xml:space="preserve"> </w:t>
            </w:r>
            <w:r>
              <w:rPr>
                <w:rFonts w:ascii="Arial Narrow" w:hAnsi="Arial Narrow"/>
                <w:noProof/>
                <w:color w:val="006100"/>
                <w:sz w:val="20"/>
              </w:rPr>
              <w:t>000</w:t>
            </w:r>
            <w:r>
              <w:rPr>
                <w:noProof/>
                <w:sz w:val="23"/>
              </w:rPr>
              <w:t xml:space="preserve"> </w:t>
            </w:r>
            <w:r>
              <w:rPr>
                <w:rFonts w:ascii="Arial Narrow" w:hAnsi="Arial Narrow"/>
                <w:noProof/>
                <w:color w:val="006100"/>
                <w:sz w:val="20"/>
              </w:rPr>
              <w:t>000</w:t>
            </w:r>
          </w:p>
        </w:tc>
        <w:tc>
          <w:tcPr>
            <w:tcW w:w="275" w:type="pct"/>
            <w:shd w:val="clear" w:color="auto" w:fill="C6EFCE"/>
            <w:vAlign w:val="center"/>
          </w:tcPr>
          <w:p w14:paraId="08715A88" w14:textId="77777777" w:rsidR="004C6421" w:rsidRDefault="009D1962">
            <w:pPr>
              <w:pStyle w:val="P68B1DB1-Normal4"/>
              <w:jc w:val="center"/>
              <w:rPr>
                <w:rFonts w:eastAsia="Calibri"/>
                <w:noProof/>
              </w:rPr>
            </w:pPr>
            <w:r>
              <w:rPr>
                <w:noProof/>
              </w:rPr>
              <w:t>II KW.</w:t>
            </w:r>
          </w:p>
        </w:tc>
        <w:tc>
          <w:tcPr>
            <w:tcW w:w="200" w:type="pct"/>
            <w:shd w:val="clear" w:color="auto" w:fill="C6EFCE"/>
            <w:vAlign w:val="center"/>
          </w:tcPr>
          <w:p w14:paraId="7FAACE85" w14:textId="77777777" w:rsidR="004C6421" w:rsidRDefault="009D1962">
            <w:pPr>
              <w:pStyle w:val="P68B1DB1-Normal4"/>
              <w:jc w:val="center"/>
              <w:rPr>
                <w:rFonts w:eastAsia="Calibri"/>
                <w:noProof/>
              </w:rPr>
            </w:pPr>
            <w:r>
              <w:rPr>
                <w:noProof/>
              </w:rPr>
              <w:t>2026</w:t>
            </w:r>
          </w:p>
        </w:tc>
        <w:tc>
          <w:tcPr>
            <w:tcW w:w="1081" w:type="pct"/>
            <w:shd w:val="clear" w:color="auto" w:fill="C6EFCE"/>
            <w:vAlign w:val="center"/>
          </w:tcPr>
          <w:p w14:paraId="56C1D095" w14:textId="77777777" w:rsidR="004C6421" w:rsidRDefault="009D1962">
            <w:pPr>
              <w:pStyle w:val="P68B1DB1-Normal4"/>
              <w:rPr>
                <w:rFonts w:eastAsia="Calibri"/>
                <w:noProof/>
              </w:rPr>
            </w:pPr>
            <w:r>
              <w:rPr>
                <w:noProof/>
              </w:rPr>
              <w:t>Wkład w wysokości co najmniej 545 000 000 EUR do funduszu tematycznego.</w:t>
            </w:r>
          </w:p>
          <w:p w14:paraId="646BBF2A" w14:textId="77777777" w:rsidR="004C6421" w:rsidRDefault="004C6421">
            <w:pPr>
              <w:rPr>
                <w:rFonts w:ascii="Arial Narrow" w:hAnsi="Arial Narrow"/>
                <w:noProof/>
                <w:color w:val="006100"/>
                <w:sz w:val="20"/>
              </w:rPr>
            </w:pPr>
          </w:p>
          <w:p w14:paraId="1491A2B3" w14:textId="77777777" w:rsidR="004C6421" w:rsidRDefault="009D1962">
            <w:pPr>
              <w:pStyle w:val="P68B1DB1-Normal4"/>
              <w:rPr>
                <w:rFonts w:eastAsia="Calibri"/>
                <w:noProof/>
              </w:rPr>
            </w:pPr>
            <w:r>
              <w:rPr>
                <w:noProof/>
              </w:rPr>
              <w:t>Zadowalające osiągnięcie celu zależy również od zadowalającego osiągnięcia celu drugorzędnego: wsparcie dla co najmniej 10 projektów miejskich.</w:t>
            </w:r>
          </w:p>
          <w:p w14:paraId="321B6AD8" w14:textId="77777777" w:rsidR="004C6421" w:rsidRDefault="004C6421">
            <w:pPr>
              <w:rPr>
                <w:rFonts w:ascii="Arial Narrow" w:hAnsi="Arial Narrow"/>
                <w:noProof/>
                <w:color w:val="006100"/>
                <w:sz w:val="20"/>
              </w:rPr>
            </w:pPr>
          </w:p>
          <w:p w14:paraId="60DEB4B0" w14:textId="1CB60675" w:rsidR="004C6421" w:rsidRDefault="009D1962">
            <w:pPr>
              <w:pStyle w:val="P68B1DB1-Normal4"/>
              <w:rPr>
                <w:noProof/>
              </w:rPr>
            </w:pPr>
            <w:r>
              <w:rPr>
                <w:noProof/>
              </w:rPr>
              <w:t>Zatwierdzenie przez Radę Inwestycyjną Funduszu (którego częścią jest Ministerstwo Finansów) projektów na kwotę co najmniej 545 000 000 EUR oraz zatwierdzenie przez Radę Inwestycyjną Funduszu (w której skład wchodzi Ministerstwo Finansów) co najmniej 10 projektów.</w:t>
            </w:r>
          </w:p>
        </w:tc>
      </w:tr>
      <w:tr w:rsidR="004C6421" w14:paraId="545934E1" w14:textId="77777777">
        <w:trPr>
          <w:trHeight w:val="1291"/>
          <w:jc w:val="center"/>
        </w:trPr>
        <w:tc>
          <w:tcPr>
            <w:tcW w:w="384" w:type="pct"/>
            <w:shd w:val="clear" w:color="auto" w:fill="C6EFCE"/>
            <w:vAlign w:val="center"/>
            <w:hideMark/>
          </w:tcPr>
          <w:p w14:paraId="1191221B" w14:textId="77777777" w:rsidR="004C6421" w:rsidRDefault="009D1962">
            <w:pPr>
              <w:pStyle w:val="P68B1DB1-Normal4"/>
              <w:jc w:val="center"/>
              <w:rPr>
                <w:noProof/>
              </w:rPr>
            </w:pPr>
            <w:r>
              <w:rPr>
                <w:noProof/>
              </w:rPr>
              <w:t>M5C2-19</w:t>
            </w:r>
          </w:p>
        </w:tc>
        <w:tc>
          <w:tcPr>
            <w:tcW w:w="509" w:type="pct"/>
            <w:shd w:val="clear" w:color="auto" w:fill="C6EFCE"/>
            <w:vAlign w:val="center"/>
            <w:hideMark/>
          </w:tcPr>
          <w:p w14:paraId="07D617F0" w14:textId="77777777" w:rsidR="004C6421" w:rsidRDefault="009D1962">
            <w:pPr>
              <w:pStyle w:val="P68B1DB1-Normal4"/>
              <w:jc w:val="center"/>
              <w:rPr>
                <w:noProof/>
              </w:rPr>
            </w:pPr>
            <w:r>
              <w:rPr>
                <w:noProof/>
              </w:rPr>
              <w:t>Inwestycje 6 – Program innowacji na rzecz jakości mieszkalnictwa</w:t>
            </w:r>
          </w:p>
        </w:tc>
        <w:tc>
          <w:tcPr>
            <w:tcW w:w="361" w:type="pct"/>
            <w:shd w:val="clear" w:color="auto" w:fill="C6EFCE"/>
            <w:vAlign w:val="center"/>
            <w:hideMark/>
          </w:tcPr>
          <w:p w14:paraId="3B611985" w14:textId="67647619" w:rsidR="004C6421" w:rsidRDefault="00CC179E">
            <w:pPr>
              <w:pStyle w:val="P68B1DB1-Normal4"/>
              <w:jc w:val="center"/>
              <w:rPr>
                <w:noProof/>
              </w:rPr>
            </w:pPr>
            <w:r>
              <w:rPr>
                <w:noProof/>
              </w:rPr>
              <w:t>Milowy</w:t>
            </w:r>
          </w:p>
        </w:tc>
        <w:tc>
          <w:tcPr>
            <w:tcW w:w="505" w:type="pct"/>
            <w:shd w:val="clear" w:color="auto" w:fill="C6EFCE"/>
            <w:vAlign w:val="center"/>
            <w:hideMark/>
          </w:tcPr>
          <w:p w14:paraId="171CDA29" w14:textId="77777777" w:rsidR="004C6421" w:rsidRDefault="009D1962">
            <w:pPr>
              <w:pStyle w:val="P68B1DB1-Normal4"/>
              <w:jc w:val="center"/>
              <w:rPr>
                <w:noProof/>
              </w:rPr>
            </w:pPr>
            <w:r>
              <w:rPr>
                <w:noProof/>
              </w:rPr>
              <w:t>Regiony i prowincje autonomiczne (w tym gminy lub miasta metropolitalne położone na tych terytoriach) podpisały umowy o przebudowie i zwiększeniu liczby mieszkań socjalnych</w:t>
            </w:r>
          </w:p>
        </w:tc>
        <w:tc>
          <w:tcPr>
            <w:tcW w:w="505" w:type="pct"/>
            <w:shd w:val="clear" w:color="auto" w:fill="C6EFCE"/>
            <w:vAlign w:val="center"/>
            <w:hideMark/>
          </w:tcPr>
          <w:p w14:paraId="48EA1E60" w14:textId="77777777" w:rsidR="004C6421" w:rsidRDefault="009D1962">
            <w:pPr>
              <w:pStyle w:val="P68B1DB1-Normal4"/>
              <w:jc w:val="center"/>
              <w:rPr>
                <w:noProof/>
              </w:rPr>
            </w:pPr>
            <w:r>
              <w:rPr>
                <w:noProof/>
              </w:rPr>
              <w:t>Podpisywane są umowy z władzami lokalnymi NIE DOT.</w:t>
            </w:r>
          </w:p>
        </w:tc>
        <w:tc>
          <w:tcPr>
            <w:tcW w:w="478" w:type="pct"/>
            <w:shd w:val="clear" w:color="auto" w:fill="C6EFCE"/>
            <w:vAlign w:val="center"/>
            <w:hideMark/>
          </w:tcPr>
          <w:p w14:paraId="589C2DA7" w14:textId="77777777" w:rsidR="004C6421" w:rsidRDefault="009D1962">
            <w:pPr>
              <w:pStyle w:val="P68B1DB1-Normal4"/>
              <w:jc w:val="center"/>
              <w:rPr>
                <w:noProof/>
              </w:rPr>
            </w:pPr>
            <w:r>
              <w:rPr>
                <w:noProof/>
              </w:rPr>
              <w:t>NIE DOT.</w:t>
            </w:r>
          </w:p>
        </w:tc>
        <w:tc>
          <w:tcPr>
            <w:tcW w:w="318" w:type="pct"/>
            <w:shd w:val="clear" w:color="auto" w:fill="C6EFCE"/>
            <w:vAlign w:val="center"/>
            <w:hideMark/>
          </w:tcPr>
          <w:p w14:paraId="7A904544" w14:textId="77777777" w:rsidR="004C6421" w:rsidRDefault="009D1962">
            <w:pPr>
              <w:pStyle w:val="P68B1DB1-Normal4"/>
              <w:jc w:val="center"/>
              <w:rPr>
                <w:noProof/>
              </w:rPr>
            </w:pPr>
            <w:r>
              <w:rPr>
                <w:noProof/>
              </w:rPr>
              <w:t>NIE DOT.</w:t>
            </w:r>
          </w:p>
        </w:tc>
        <w:tc>
          <w:tcPr>
            <w:tcW w:w="384" w:type="pct"/>
            <w:shd w:val="clear" w:color="auto" w:fill="C6EFCE"/>
            <w:vAlign w:val="center"/>
            <w:hideMark/>
          </w:tcPr>
          <w:p w14:paraId="0BBE4D99" w14:textId="77777777" w:rsidR="004C6421" w:rsidRDefault="009D1962">
            <w:pPr>
              <w:pStyle w:val="P68B1DB1-Normal4"/>
              <w:jc w:val="center"/>
              <w:rPr>
                <w:noProof/>
              </w:rPr>
            </w:pPr>
            <w:r>
              <w:rPr>
                <w:noProof/>
              </w:rPr>
              <w:t>NIE DOT.</w:t>
            </w:r>
          </w:p>
        </w:tc>
        <w:tc>
          <w:tcPr>
            <w:tcW w:w="275" w:type="pct"/>
            <w:shd w:val="clear" w:color="auto" w:fill="C6EFCE"/>
            <w:vAlign w:val="center"/>
            <w:hideMark/>
          </w:tcPr>
          <w:p w14:paraId="1EB39EDB" w14:textId="1413804A" w:rsidR="004C6421" w:rsidRDefault="00CC179E">
            <w:pPr>
              <w:pStyle w:val="P68B1DB1-Normal4"/>
              <w:jc w:val="center"/>
              <w:rPr>
                <w:noProof/>
              </w:rPr>
            </w:pPr>
            <w:r>
              <w:rPr>
                <w:noProof/>
              </w:rPr>
              <w:t>KW. 1</w:t>
            </w:r>
          </w:p>
        </w:tc>
        <w:tc>
          <w:tcPr>
            <w:tcW w:w="200" w:type="pct"/>
            <w:shd w:val="clear" w:color="auto" w:fill="C6EFCE"/>
            <w:vAlign w:val="center"/>
            <w:hideMark/>
          </w:tcPr>
          <w:p w14:paraId="6BE1FAD8" w14:textId="77777777" w:rsidR="004C6421" w:rsidRDefault="009D1962">
            <w:pPr>
              <w:pStyle w:val="P68B1DB1-Normal4"/>
              <w:jc w:val="center"/>
              <w:rPr>
                <w:noProof/>
              </w:rPr>
            </w:pPr>
            <w:r>
              <w:rPr>
                <w:noProof/>
              </w:rPr>
              <w:t>2022</w:t>
            </w:r>
          </w:p>
        </w:tc>
        <w:tc>
          <w:tcPr>
            <w:tcW w:w="1081" w:type="pct"/>
            <w:shd w:val="clear" w:color="auto" w:fill="C6EFCE"/>
            <w:vAlign w:val="center"/>
            <w:hideMark/>
          </w:tcPr>
          <w:p w14:paraId="57610EA7" w14:textId="77777777" w:rsidR="004C6421" w:rsidRDefault="009D1962">
            <w:pPr>
              <w:pStyle w:val="P68B1DB1-Normal4"/>
              <w:rPr>
                <w:noProof/>
              </w:rPr>
            </w:pPr>
            <w:r>
              <w:rPr>
                <w:noProof/>
              </w:rPr>
              <w:t>Co najmniej 15 regionów i prowincji autonomicznych (w tym gminy lub miasta metropolitalne znajdujące się na tych terytoriach) podpisało umowy o przebudowie i zwiększeniu liczby mieszkań socjalnych.</w:t>
            </w:r>
          </w:p>
          <w:p w14:paraId="417C02F2" w14:textId="77777777" w:rsidR="004C6421" w:rsidRDefault="009D1962">
            <w:pPr>
              <w:pStyle w:val="P68B1DB1-Normal4"/>
              <w:rPr>
                <w:noProof/>
              </w:rPr>
            </w:pPr>
            <w:r>
              <w:rPr>
                <w:noProof/>
              </w:rPr>
              <w:t xml:space="preserve"> </w:t>
            </w:r>
          </w:p>
          <w:p w14:paraId="4D89D56E" w14:textId="77777777" w:rsidR="004C6421" w:rsidRDefault="009D1962">
            <w:pPr>
              <w:pStyle w:val="P68B1DB1-Normal4"/>
              <w:rPr>
                <w:rFonts w:eastAsia="Calibri"/>
                <w:noProof/>
              </w:rPr>
            </w:pPr>
            <w:r>
              <w:rPr>
                <w:noProof/>
              </w:rPr>
              <w:t>Umowy podpisane z co najmniej 15 regionami i prowincjami autonomicznymi zaangażowanymi w projekty. </w:t>
            </w:r>
          </w:p>
          <w:p w14:paraId="3BCDBCCB" w14:textId="77777777" w:rsidR="004C6421" w:rsidRDefault="004C6421">
            <w:pPr>
              <w:rPr>
                <w:rFonts w:ascii="Arial Narrow" w:eastAsia="Calibri" w:hAnsi="Arial Narrow"/>
                <w:noProof/>
                <w:color w:val="006100"/>
                <w:sz w:val="20"/>
              </w:rPr>
            </w:pPr>
          </w:p>
          <w:p w14:paraId="5ED09DCC" w14:textId="77777777" w:rsidR="004C6421" w:rsidRDefault="009D1962">
            <w:pPr>
              <w:pStyle w:val="P68B1DB1-Normal4"/>
              <w:rPr>
                <w:rFonts w:eastAsia="Calibri"/>
                <w:noProof/>
              </w:rPr>
            </w:pPr>
            <w:r>
              <w:rPr>
                <w:noProof/>
              </w:rPr>
              <w:t>Budynek: nowe lokale mieszkalne w celu:</w:t>
            </w:r>
          </w:p>
          <w:p w14:paraId="04428416" w14:textId="77777777" w:rsidR="004C6421" w:rsidRDefault="004C6421">
            <w:pPr>
              <w:rPr>
                <w:rFonts w:ascii="Arial Narrow" w:eastAsia="Calibri" w:hAnsi="Arial Narrow"/>
                <w:noProof/>
                <w:color w:val="006100"/>
                <w:sz w:val="20"/>
              </w:rPr>
            </w:pPr>
          </w:p>
          <w:p w14:paraId="06D205D4" w14:textId="77777777" w:rsidR="004C6421" w:rsidRDefault="009D1962">
            <w:pPr>
              <w:pStyle w:val="P68B1DB1-Normal4"/>
              <w:rPr>
                <w:noProof/>
              </w:rPr>
            </w:pPr>
            <w:r>
              <w:rPr>
                <w:noProof/>
              </w:rPr>
              <w:t>— przebudowę, reorganizację i zwiększenie majątku przeznaczonego na mieszkalnictwo publiczne;</w:t>
            </w:r>
          </w:p>
          <w:p w14:paraId="42365495" w14:textId="77777777" w:rsidR="004C6421" w:rsidRDefault="009D1962">
            <w:pPr>
              <w:pStyle w:val="P68B1DB1-Normal4"/>
              <w:rPr>
                <w:noProof/>
              </w:rPr>
            </w:pPr>
            <w:r>
              <w:rPr>
                <w:noProof/>
              </w:rPr>
              <w:t>— przebudowę obszarów, przestrzeni oraz własności publicznej i prywatnej, również poprzez rewitalizację tkanki miejskiej i społeczno-gospodarczej;</w:t>
            </w:r>
          </w:p>
          <w:p w14:paraId="3957A54E" w14:textId="77777777" w:rsidR="004C6421" w:rsidRDefault="009D1962">
            <w:pPr>
              <w:pStyle w:val="P68B1DB1-Normal4"/>
              <w:rPr>
                <w:noProof/>
              </w:rPr>
            </w:pPr>
            <w:r>
              <w:rPr>
                <w:noProof/>
              </w:rPr>
              <w:t>— poprawa dostępności i bezpieczeństwa obszarów miejskich oraz zapewnienie usług i infrastruktury miejsko-lokalnej;</w:t>
            </w:r>
          </w:p>
          <w:p w14:paraId="726D7E9E" w14:textId="77777777" w:rsidR="004C6421" w:rsidRDefault="009D1962">
            <w:pPr>
              <w:pStyle w:val="P68B1DB1-Normal4"/>
              <w:rPr>
                <w:noProof/>
              </w:rPr>
            </w:pPr>
            <w:r>
              <w:rPr>
                <w:noProof/>
              </w:rPr>
              <w:t>— rewitalizacja już wybudowanych obszarów i przestrzeni, poprawa jakości środowiska i poprawa odporności na zmianę klimatu, również poprzez działania mające wpływ na zagęszczenie miast;</w:t>
            </w:r>
          </w:p>
          <w:p w14:paraId="6D9F7911" w14:textId="77777777" w:rsidR="004C6421" w:rsidRDefault="009D1962">
            <w:pPr>
              <w:pStyle w:val="P68B1DB1-Normal4"/>
              <w:rPr>
                <w:rFonts w:eastAsia="Calibri"/>
                <w:noProof/>
              </w:rPr>
            </w:pPr>
            <w:r>
              <w:rPr>
                <w:noProof/>
              </w:rPr>
              <w:t>określenie i wykorzystanie innowacyjnych modeli i narzędzi zarządzania i włączenia społecznego, dobrobytu społecznego i miejskiego, a także procesów partycypacyjnych.</w:t>
            </w:r>
          </w:p>
          <w:p w14:paraId="19F4832E" w14:textId="77777777" w:rsidR="004C6421" w:rsidRDefault="009D1962">
            <w:pPr>
              <w:pStyle w:val="P68B1DB1-Normal4"/>
              <w:rPr>
                <w:noProof/>
              </w:rPr>
            </w:pPr>
            <w:r>
              <w:rPr>
                <w:noProof/>
              </w:rPr>
              <w:t>Lokale mieszkalne i przestrzenie publiczne objęte wsparciem mają na celu czerpanie korzyści z działań opisanych w powiązanym kamieniu Kamień milowy.</w:t>
            </w:r>
          </w:p>
        </w:tc>
      </w:tr>
      <w:tr w:rsidR="004C6421" w14:paraId="3C7BC33E" w14:textId="77777777">
        <w:trPr>
          <w:trHeight w:val="20"/>
          <w:jc w:val="center"/>
        </w:trPr>
        <w:tc>
          <w:tcPr>
            <w:tcW w:w="384" w:type="pct"/>
            <w:shd w:val="clear" w:color="auto" w:fill="C6EFCE"/>
            <w:vAlign w:val="center"/>
            <w:hideMark/>
          </w:tcPr>
          <w:p w14:paraId="7D4E8C47" w14:textId="77777777" w:rsidR="004C6421" w:rsidRDefault="009D1962">
            <w:pPr>
              <w:pStyle w:val="P68B1DB1-Normal4"/>
              <w:jc w:val="center"/>
              <w:rPr>
                <w:noProof/>
              </w:rPr>
            </w:pPr>
            <w:r>
              <w:rPr>
                <w:noProof/>
              </w:rPr>
              <w:t>M5C2-20</w:t>
            </w:r>
          </w:p>
        </w:tc>
        <w:tc>
          <w:tcPr>
            <w:tcW w:w="509" w:type="pct"/>
            <w:shd w:val="clear" w:color="auto" w:fill="C6EFCE"/>
            <w:vAlign w:val="center"/>
            <w:hideMark/>
          </w:tcPr>
          <w:p w14:paraId="49687940" w14:textId="77777777" w:rsidR="004C6421" w:rsidRDefault="009D1962">
            <w:pPr>
              <w:pStyle w:val="P68B1DB1-Normal4"/>
              <w:jc w:val="center"/>
              <w:rPr>
                <w:noProof/>
              </w:rPr>
            </w:pPr>
            <w:r>
              <w:rPr>
                <w:noProof/>
              </w:rPr>
              <w:t>Inwestycje 6 – Program innowacji na rzecz jakości mieszkalnictwa</w:t>
            </w:r>
          </w:p>
        </w:tc>
        <w:tc>
          <w:tcPr>
            <w:tcW w:w="361" w:type="pct"/>
            <w:shd w:val="clear" w:color="auto" w:fill="C6EFCE"/>
            <w:vAlign w:val="center"/>
            <w:hideMark/>
          </w:tcPr>
          <w:p w14:paraId="48007706" w14:textId="77777777" w:rsidR="004C6421" w:rsidRDefault="009D1962">
            <w:pPr>
              <w:pStyle w:val="P68B1DB1-Normal4"/>
              <w:jc w:val="center"/>
              <w:rPr>
                <w:noProof/>
              </w:rPr>
            </w:pPr>
            <w:r>
              <w:rPr>
                <w:noProof/>
              </w:rPr>
              <w:t>Cel</w:t>
            </w:r>
          </w:p>
        </w:tc>
        <w:tc>
          <w:tcPr>
            <w:tcW w:w="505" w:type="pct"/>
            <w:shd w:val="clear" w:color="auto" w:fill="C6EFCE"/>
            <w:vAlign w:val="center"/>
            <w:hideMark/>
          </w:tcPr>
          <w:p w14:paraId="54E2F4CC" w14:textId="77777777" w:rsidR="004C6421" w:rsidRDefault="009D1962">
            <w:pPr>
              <w:pStyle w:val="P68B1DB1-Normal4"/>
              <w:jc w:val="center"/>
              <w:rPr>
                <w:noProof/>
              </w:rPr>
            </w:pPr>
            <w:r>
              <w:rPr>
                <w:noProof/>
              </w:rPr>
              <w:t>Liczba wspartych lokali mieszkalnych (zarówno pod względem budowy, jak i rekultywacji) i metrów kwadratowych przestrzeni publicznych objętych wsparciem</w:t>
            </w:r>
          </w:p>
        </w:tc>
        <w:tc>
          <w:tcPr>
            <w:tcW w:w="505" w:type="pct"/>
            <w:shd w:val="clear" w:color="auto" w:fill="C6EFCE"/>
            <w:vAlign w:val="center"/>
            <w:hideMark/>
          </w:tcPr>
          <w:p w14:paraId="21D62B39" w14:textId="77777777" w:rsidR="004C6421" w:rsidRDefault="009D1962">
            <w:pPr>
              <w:pStyle w:val="P68B1DB1-Normal4"/>
              <w:jc w:val="center"/>
              <w:rPr>
                <w:noProof/>
              </w:rPr>
            </w:pPr>
            <w:r>
              <w:rPr>
                <w:noProof/>
              </w:rPr>
              <w:t>NIE DOT.</w:t>
            </w:r>
          </w:p>
        </w:tc>
        <w:tc>
          <w:tcPr>
            <w:tcW w:w="478" w:type="pct"/>
            <w:shd w:val="clear" w:color="auto" w:fill="C6EFCE"/>
            <w:vAlign w:val="center"/>
            <w:hideMark/>
          </w:tcPr>
          <w:p w14:paraId="3044FFE0" w14:textId="77777777" w:rsidR="004C6421" w:rsidRDefault="009D1962">
            <w:pPr>
              <w:pStyle w:val="P68B1DB1-Normal4"/>
              <w:jc w:val="center"/>
              <w:rPr>
                <w:noProof/>
              </w:rPr>
            </w:pPr>
            <w:r>
              <w:rPr>
                <w:noProof/>
              </w:rPr>
              <w:t>Numer</w:t>
            </w:r>
          </w:p>
        </w:tc>
        <w:tc>
          <w:tcPr>
            <w:tcW w:w="318" w:type="pct"/>
            <w:shd w:val="clear" w:color="auto" w:fill="C6EFCE"/>
            <w:vAlign w:val="center"/>
            <w:hideMark/>
          </w:tcPr>
          <w:p w14:paraId="621909DE" w14:textId="77777777" w:rsidR="004C6421" w:rsidRDefault="009D1962">
            <w:pPr>
              <w:pStyle w:val="P68B1DB1-Normal4"/>
              <w:jc w:val="center"/>
              <w:rPr>
                <w:noProof/>
              </w:rPr>
            </w:pPr>
            <w:r>
              <w:rPr>
                <w:noProof/>
              </w:rPr>
              <w:t>0</w:t>
            </w:r>
          </w:p>
        </w:tc>
        <w:tc>
          <w:tcPr>
            <w:tcW w:w="384" w:type="pct"/>
            <w:shd w:val="clear" w:color="auto" w:fill="C6EFCE"/>
            <w:vAlign w:val="center"/>
            <w:hideMark/>
          </w:tcPr>
          <w:p w14:paraId="759C6D26" w14:textId="7A990166" w:rsidR="004C6421" w:rsidRDefault="009D1962">
            <w:pPr>
              <w:jc w:val="center"/>
              <w:rPr>
                <w:rFonts w:ascii="Arial Narrow" w:hAnsi="Arial Narrow"/>
                <w:noProof/>
                <w:color w:val="006100"/>
                <w:sz w:val="20"/>
              </w:rPr>
            </w:pPr>
            <w:r>
              <w:rPr>
                <w:rFonts w:ascii="Arial Narrow" w:hAnsi="Arial Narrow"/>
                <w:noProof/>
                <w:color w:val="006100"/>
                <w:sz w:val="20"/>
              </w:rPr>
              <w:t>10</w:t>
            </w:r>
            <w:r>
              <w:rPr>
                <w:noProof/>
                <w:sz w:val="23"/>
              </w:rPr>
              <w:t xml:space="preserve"> </w:t>
            </w:r>
            <w:r>
              <w:rPr>
                <w:rFonts w:ascii="Arial Narrow" w:hAnsi="Arial Narrow"/>
                <w:noProof/>
                <w:color w:val="006100"/>
                <w:sz w:val="20"/>
              </w:rPr>
              <w:t>000</w:t>
            </w:r>
          </w:p>
        </w:tc>
        <w:tc>
          <w:tcPr>
            <w:tcW w:w="275" w:type="pct"/>
            <w:shd w:val="clear" w:color="auto" w:fill="C6EFCE"/>
            <w:vAlign w:val="center"/>
            <w:hideMark/>
          </w:tcPr>
          <w:p w14:paraId="0D145367" w14:textId="4B2D5D3D" w:rsidR="004C6421" w:rsidRDefault="00CC179E">
            <w:pPr>
              <w:pStyle w:val="P68B1DB1-Normal4"/>
              <w:jc w:val="center"/>
              <w:rPr>
                <w:noProof/>
              </w:rPr>
            </w:pPr>
            <w:r>
              <w:rPr>
                <w:noProof/>
              </w:rPr>
              <w:t>KW. 1</w:t>
            </w:r>
          </w:p>
        </w:tc>
        <w:tc>
          <w:tcPr>
            <w:tcW w:w="200" w:type="pct"/>
            <w:shd w:val="clear" w:color="auto" w:fill="C6EFCE"/>
            <w:vAlign w:val="center"/>
            <w:hideMark/>
          </w:tcPr>
          <w:p w14:paraId="5FD04EFD" w14:textId="77777777" w:rsidR="004C6421" w:rsidRDefault="009D1962">
            <w:pPr>
              <w:pStyle w:val="P68B1DB1-Normal4"/>
              <w:rPr>
                <w:noProof/>
              </w:rPr>
            </w:pPr>
            <w:r>
              <w:rPr>
                <w:noProof/>
              </w:rPr>
              <w:t>2026</w:t>
            </w:r>
          </w:p>
        </w:tc>
        <w:tc>
          <w:tcPr>
            <w:tcW w:w="1081" w:type="pct"/>
            <w:shd w:val="clear" w:color="auto" w:fill="C6EFCE"/>
            <w:vAlign w:val="center"/>
            <w:hideMark/>
          </w:tcPr>
          <w:p w14:paraId="55731F11" w14:textId="1FA4719F" w:rsidR="004C6421" w:rsidRDefault="009D1962">
            <w:pPr>
              <w:rPr>
                <w:rFonts w:ascii="Arial Narrow" w:hAnsi="Arial Narrow"/>
                <w:noProof/>
                <w:color w:val="006100"/>
                <w:sz w:val="20"/>
              </w:rPr>
            </w:pPr>
            <w:r>
              <w:rPr>
                <w:rFonts w:ascii="Arial Narrow" w:hAnsi="Arial Narrow"/>
                <w:noProof/>
                <w:color w:val="006100"/>
                <w:sz w:val="20"/>
              </w:rPr>
              <w:t>Wsparcie dla co najmniej 10000</w:t>
            </w:r>
            <w:r>
              <w:rPr>
                <w:noProof/>
                <w:sz w:val="23"/>
              </w:rPr>
              <w:t xml:space="preserve"> </w:t>
            </w:r>
            <w:r>
              <w:rPr>
                <w:rFonts w:ascii="Arial Narrow" w:hAnsi="Arial Narrow"/>
                <w:noProof/>
                <w:color w:val="006100"/>
                <w:sz w:val="20"/>
              </w:rPr>
              <w:t>lokali mieszkalnych objętych wsparciem (zarówno pod względem budowy, jak i renowacji). Zadowalające osiągnięcie celu zależy również od zadowalającego osiągnięcia celu drugorzędnego obejmującego co najmniej</w:t>
            </w:r>
            <w:r>
              <w:rPr>
                <w:noProof/>
                <w:sz w:val="23"/>
              </w:rPr>
              <w:t xml:space="preserve"> </w:t>
            </w:r>
            <w:r>
              <w:rPr>
                <w:rFonts w:ascii="Arial Narrow" w:hAnsi="Arial Narrow"/>
                <w:noProof/>
                <w:color w:val="006100"/>
                <w:sz w:val="20"/>
              </w:rPr>
              <w:t>800000 metrów kwadratowych przestrzeni publicznych.</w:t>
            </w:r>
          </w:p>
        </w:tc>
      </w:tr>
      <w:tr w:rsidR="004C6421" w14:paraId="3FA6355A" w14:textId="77777777">
        <w:trPr>
          <w:trHeight w:val="6917"/>
          <w:jc w:val="center"/>
        </w:trPr>
        <w:tc>
          <w:tcPr>
            <w:tcW w:w="384" w:type="pct"/>
            <w:shd w:val="clear" w:color="auto" w:fill="C6EFCE"/>
            <w:vAlign w:val="center"/>
            <w:hideMark/>
          </w:tcPr>
          <w:p w14:paraId="72FDE2DC" w14:textId="77777777" w:rsidR="004C6421" w:rsidRDefault="009D1962">
            <w:pPr>
              <w:pStyle w:val="P68B1DB1-Normal4"/>
              <w:jc w:val="center"/>
              <w:rPr>
                <w:noProof/>
              </w:rPr>
            </w:pPr>
            <w:r>
              <w:rPr>
                <w:noProof/>
              </w:rPr>
              <w:t>M5C2-21</w:t>
            </w:r>
          </w:p>
        </w:tc>
        <w:tc>
          <w:tcPr>
            <w:tcW w:w="509" w:type="pct"/>
            <w:shd w:val="clear" w:color="auto" w:fill="C6EFCE"/>
            <w:vAlign w:val="center"/>
            <w:hideMark/>
          </w:tcPr>
          <w:p w14:paraId="10F4FAC0" w14:textId="77777777" w:rsidR="004C6421" w:rsidRDefault="009D1962">
            <w:pPr>
              <w:pStyle w:val="P68B1DB1-Normal4"/>
              <w:jc w:val="center"/>
              <w:rPr>
                <w:noProof/>
              </w:rPr>
            </w:pPr>
            <w:r>
              <w:rPr>
                <w:noProof/>
              </w:rPr>
              <w:t>Inwestycje 7 – Projekt „Sport i włączenie społeczne”</w:t>
            </w:r>
          </w:p>
        </w:tc>
        <w:tc>
          <w:tcPr>
            <w:tcW w:w="361" w:type="pct"/>
            <w:shd w:val="clear" w:color="auto" w:fill="C6EFCE"/>
            <w:vAlign w:val="center"/>
            <w:hideMark/>
          </w:tcPr>
          <w:p w14:paraId="21444FB9" w14:textId="265EDC81" w:rsidR="004C6421" w:rsidRDefault="00CC179E">
            <w:pPr>
              <w:pStyle w:val="P68B1DB1-Normal4"/>
              <w:jc w:val="center"/>
              <w:rPr>
                <w:noProof/>
              </w:rPr>
            </w:pPr>
            <w:r>
              <w:rPr>
                <w:noProof/>
              </w:rPr>
              <w:t>Milowy</w:t>
            </w:r>
          </w:p>
        </w:tc>
        <w:tc>
          <w:tcPr>
            <w:tcW w:w="505" w:type="pct"/>
            <w:shd w:val="clear" w:color="auto" w:fill="C6EFCE"/>
            <w:vAlign w:val="center"/>
            <w:hideMark/>
          </w:tcPr>
          <w:p w14:paraId="54B339FB" w14:textId="77777777" w:rsidR="004C6421" w:rsidRDefault="009D1962">
            <w:pPr>
              <w:pStyle w:val="P68B1DB1-Normal4"/>
              <w:jc w:val="center"/>
              <w:rPr>
                <w:noProof/>
              </w:rPr>
            </w:pPr>
            <w:r>
              <w:rPr>
                <w:noProof/>
              </w:rPr>
              <w:t>Udzielanie wszystkich zamówień publicznych na projekty dotyczące sportu i włączenia społecznego w następstwie publicznego zaproszenia do składania wniosków</w:t>
            </w:r>
          </w:p>
        </w:tc>
        <w:tc>
          <w:tcPr>
            <w:tcW w:w="505" w:type="pct"/>
            <w:shd w:val="clear" w:color="auto" w:fill="C6EFCE"/>
            <w:vAlign w:val="center"/>
            <w:hideMark/>
          </w:tcPr>
          <w:p w14:paraId="7AC440D9" w14:textId="77777777" w:rsidR="004C6421" w:rsidRDefault="009D1962">
            <w:pPr>
              <w:pStyle w:val="P68B1DB1-Normal4"/>
              <w:jc w:val="center"/>
              <w:rPr>
                <w:noProof/>
              </w:rPr>
            </w:pPr>
            <w:r>
              <w:rPr>
                <w:noProof/>
              </w:rPr>
              <w:t>Powiadomienie o udzieleniu wszystkich zamówień publicznych na projekty dotyczące sportu i włączenia społecznego</w:t>
            </w:r>
          </w:p>
        </w:tc>
        <w:tc>
          <w:tcPr>
            <w:tcW w:w="478" w:type="pct"/>
            <w:shd w:val="clear" w:color="auto" w:fill="C6EFCE"/>
            <w:vAlign w:val="center"/>
            <w:hideMark/>
          </w:tcPr>
          <w:p w14:paraId="55F8CFE6" w14:textId="77777777" w:rsidR="004C6421" w:rsidRDefault="009D1962">
            <w:pPr>
              <w:pStyle w:val="P68B1DB1-Normal4"/>
              <w:jc w:val="center"/>
              <w:rPr>
                <w:noProof/>
              </w:rPr>
            </w:pPr>
            <w:r>
              <w:rPr>
                <w:noProof/>
              </w:rPr>
              <w:t>NIE DOT.</w:t>
            </w:r>
          </w:p>
        </w:tc>
        <w:tc>
          <w:tcPr>
            <w:tcW w:w="318" w:type="pct"/>
            <w:shd w:val="clear" w:color="auto" w:fill="C6EFCE"/>
            <w:vAlign w:val="center"/>
            <w:hideMark/>
          </w:tcPr>
          <w:p w14:paraId="454C8930" w14:textId="77777777" w:rsidR="004C6421" w:rsidRDefault="009D1962">
            <w:pPr>
              <w:pStyle w:val="P68B1DB1-Normal4"/>
              <w:jc w:val="center"/>
              <w:rPr>
                <w:noProof/>
              </w:rPr>
            </w:pPr>
            <w:r>
              <w:rPr>
                <w:noProof/>
              </w:rPr>
              <w:t>NIE DOT.</w:t>
            </w:r>
          </w:p>
        </w:tc>
        <w:tc>
          <w:tcPr>
            <w:tcW w:w="384" w:type="pct"/>
            <w:shd w:val="clear" w:color="auto" w:fill="C6EFCE"/>
            <w:vAlign w:val="center"/>
            <w:hideMark/>
          </w:tcPr>
          <w:p w14:paraId="2437E017" w14:textId="77777777" w:rsidR="004C6421" w:rsidRDefault="009D1962">
            <w:pPr>
              <w:pStyle w:val="P68B1DB1-Normal4"/>
              <w:jc w:val="center"/>
              <w:rPr>
                <w:noProof/>
              </w:rPr>
            </w:pPr>
            <w:r>
              <w:rPr>
                <w:noProof/>
              </w:rPr>
              <w:t>NIE DOT.</w:t>
            </w:r>
          </w:p>
        </w:tc>
        <w:tc>
          <w:tcPr>
            <w:tcW w:w="275" w:type="pct"/>
            <w:shd w:val="clear" w:color="auto" w:fill="C6EFCE"/>
            <w:vAlign w:val="center"/>
            <w:hideMark/>
          </w:tcPr>
          <w:p w14:paraId="0E9C8A2E" w14:textId="203E178F" w:rsidR="004C6421" w:rsidRDefault="00CC179E">
            <w:pPr>
              <w:pStyle w:val="P68B1DB1-Normal4"/>
              <w:jc w:val="center"/>
              <w:rPr>
                <w:noProof/>
              </w:rPr>
            </w:pPr>
            <w:r>
              <w:rPr>
                <w:noProof/>
              </w:rPr>
              <w:t>KW. 1</w:t>
            </w:r>
          </w:p>
        </w:tc>
        <w:tc>
          <w:tcPr>
            <w:tcW w:w="200" w:type="pct"/>
            <w:shd w:val="clear" w:color="auto" w:fill="C6EFCE"/>
            <w:vAlign w:val="center"/>
            <w:hideMark/>
          </w:tcPr>
          <w:p w14:paraId="266DC68D" w14:textId="77777777" w:rsidR="004C6421" w:rsidRDefault="009D1962">
            <w:pPr>
              <w:pStyle w:val="P68B1DB1-Normal4"/>
              <w:jc w:val="center"/>
              <w:rPr>
                <w:noProof/>
              </w:rPr>
            </w:pPr>
            <w:r>
              <w:rPr>
                <w:noProof/>
              </w:rPr>
              <w:t>2023</w:t>
            </w:r>
          </w:p>
        </w:tc>
        <w:tc>
          <w:tcPr>
            <w:tcW w:w="1081" w:type="pct"/>
            <w:shd w:val="clear" w:color="auto" w:fill="C6EFCE"/>
            <w:vAlign w:val="center"/>
            <w:hideMark/>
          </w:tcPr>
          <w:p w14:paraId="5C66DFC5" w14:textId="77777777" w:rsidR="004C6421" w:rsidRDefault="009D1962">
            <w:pPr>
              <w:pStyle w:val="P68B1DB1-Normal4"/>
              <w:rPr>
                <w:rFonts w:eastAsia="Calibri"/>
                <w:noProof/>
              </w:rPr>
            </w:pPr>
            <w:r>
              <w:rPr>
                <w:noProof/>
              </w:rPr>
              <w:t>Powiadomienie o udzieleniu zamówień publicznych, które składa się z co najmniej jednego z następujących elementów:</w:t>
            </w:r>
          </w:p>
          <w:p w14:paraId="71A36C85" w14:textId="77777777" w:rsidR="004C6421" w:rsidRDefault="004C6421">
            <w:pPr>
              <w:rPr>
                <w:rFonts w:ascii="Arial Narrow" w:hAnsi="Arial Narrow"/>
                <w:noProof/>
                <w:color w:val="006100"/>
                <w:sz w:val="20"/>
              </w:rPr>
            </w:pPr>
          </w:p>
          <w:p w14:paraId="25870FFF" w14:textId="77777777" w:rsidR="004C6421" w:rsidRDefault="009D1962">
            <w:pPr>
              <w:pStyle w:val="P68B1DB1-Normal4"/>
              <w:rPr>
                <w:noProof/>
              </w:rPr>
            </w:pPr>
            <w:r>
              <w:rPr>
                <w:noProof/>
              </w:rPr>
              <w:t>1. budowę nowych obiektów sportowych zlokalizowanych na obszarach o niekorzystnych warunkach gospodarowania w kraju;</w:t>
            </w:r>
          </w:p>
          <w:p w14:paraId="497D6FD8" w14:textId="77777777" w:rsidR="004C6421" w:rsidRDefault="009D1962">
            <w:pPr>
              <w:pStyle w:val="P68B1DB1-Normal4"/>
              <w:rPr>
                <w:noProof/>
              </w:rPr>
            </w:pPr>
            <w:r>
              <w:rPr>
                <w:noProof/>
              </w:rPr>
              <w:t>2) dostarczanie sprzętu sportowego, w tym zastosowanie technologii do sportu);</w:t>
            </w:r>
          </w:p>
          <w:p w14:paraId="6C3892E0" w14:textId="77777777" w:rsidR="004C6421" w:rsidRDefault="009D1962">
            <w:pPr>
              <w:pStyle w:val="P68B1DB1-Normal4"/>
              <w:rPr>
                <w:rFonts w:eastAsia="Calibri"/>
                <w:noProof/>
              </w:rPr>
            </w:pPr>
            <w:r>
              <w:rPr>
                <w:noProof/>
              </w:rPr>
              <w:t>3. przekwalifikowywanie i dostosowanie istniejących obiektów sportowych (na przykład: usunięcie barier architektonicznych, efektywność energetyczna itp.).</w:t>
            </w:r>
          </w:p>
          <w:p w14:paraId="51677A4F" w14:textId="77777777" w:rsidR="004C6421" w:rsidRDefault="004C6421">
            <w:pPr>
              <w:rPr>
                <w:rFonts w:ascii="Arial Narrow" w:hAnsi="Arial Narrow"/>
                <w:noProof/>
                <w:color w:val="006100"/>
                <w:sz w:val="20"/>
              </w:rPr>
            </w:pPr>
          </w:p>
          <w:p w14:paraId="09CC07F0" w14:textId="77777777" w:rsidR="004C6421" w:rsidRDefault="009D1962">
            <w:pPr>
              <w:pStyle w:val="P68B1DB1-Normal4"/>
              <w:rPr>
                <w:noProof/>
              </w:rPr>
            </w:pPr>
            <w:r>
              <w:rPr>
                <w:noProof/>
              </w:rPr>
              <w:t>Projekt ma na celu zapewnienie rewitalizacji obszarów miejskich poprzez skupienie się na obiektach sportowych w celu promowania włączenia społecznego i integracji społecznej, zwłaszcza na najbardziej potrzebujących obszarach Włoch.</w:t>
            </w:r>
          </w:p>
          <w:p w14:paraId="7359307E" w14:textId="77777777" w:rsidR="004C6421" w:rsidRDefault="009D1962">
            <w:pPr>
              <w:pStyle w:val="P68B1DB1-Normal4"/>
              <w:rPr>
                <w:noProof/>
              </w:rPr>
            </w:pPr>
            <w:r>
              <w:rPr>
                <w:noProof/>
              </w:rPr>
              <w:t>Kryteria wyboru gwarantują, że co najmniej 50 % inwestycji zostanie przydzielone na nowe konstrukcje, zgodnie z odpowiednimi wymogami w przypisie 5 w załączniku VI do rozporządzenia (UE) 2021/241.</w:t>
            </w:r>
          </w:p>
        </w:tc>
      </w:tr>
      <w:tr w:rsidR="004C6421" w14:paraId="31BE6A92" w14:textId="77777777">
        <w:trPr>
          <w:trHeight w:val="20"/>
          <w:jc w:val="center"/>
        </w:trPr>
        <w:tc>
          <w:tcPr>
            <w:tcW w:w="384" w:type="pct"/>
            <w:shd w:val="clear" w:color="auto" w:fill="C6EFCE"/>
            <w:vAlign w:val="center"/>
            <w:hideMark/>
          </w:tcPr>
          <w:p w14:paraId="6659A6F8" w14:textId="77777777" w:rsidR="004C6421" w:rsidRDefault="009D1962">
            <w:pPr>
              <w:pStyle w:val="P68B1DB1-Normal4"/>
              <w:jc w:val="center"/>
              <w:rPr>
                <w:noProof/>
              </w:rPr>
            </w:pPr>
            <w:r>
              <w:rPr>
                <w:noProof/>
              </w:rPr>
              <w:t>M5C2-22</w:t>
            </w:r>
          </w:p>
        </w:tc>
        <w:tc>
          <w:tcPr>
            <w:tcW w:w="509" w:type="pct"/>
            <w:shd w:val="clear" w:color="auto" w:fill="C6EFCE"/>
            <w:vAlign w:val="center"/>
            <w:hideMark/>
          </w:tcPr>
          <w:p w14:paraId="186759CE" w14:textId="77777777" w:rsidR="004C6421" w:rsidRDefault="009D1962">
            <w:pPr>
              <w:pStyle w:val="P68B1DB1-Normal4"/>
              <w:jc w:val="center"/>
              <w:rPr>
                <w:noProof/>
              </w:rPr>
            </w:pPr>
            <w:r>
              <w:rPr>
                <w:noProof/>
              </w:rPr>
              <w:t>Inwestycje 7 – Projekt „Sport i włączenie społeczne”</w:t>
            </w:r>
          </w:p>
        </w:tc>
        <w:tc>
          <w:tcPr>
            <w:tcW w:w="361" w:type="pct"/>
            <w:shd w:val="clear" w:color="auto" w:fill="C6EFCE"/>
            <w:vAlign w:val="center"/>
            <w:hideMark/>
          </w:tcPr>
          <w:p w14:paraId="4FECE1EB" w14:textId="77777777" w:rsidR="004C6421" w:rsidRDefault="009D1962">
            <w:pPr>
              <w:pStyle w:val="P68B1DB1-Normal4"/>
              <w:jc w:val="center"/>
              <w:rPr>
                <w:noProof/>
              </w:rPr>
            </w:pPr>
            <w:r>
              <w:rPr>
                <w:noProof/>
              </w:rPr>
              <w:t>Cel</w:t>
            </w:r>
          </w:p>
        </w:tc>
        <w:tc>
          <w:tcPr>
            <w:tcW w:w="505" w:type="pct"/>
            <w:shd w:val="clear" w:color="auto" w:fill="C6EFCE"/>
            <w:vAlign w:val="center"/>
            <w:hideMark/>
          </w:tcPr>
          <w:p w14:paraId="4DA3C30C" w14:textId="77777777" w:rsidR="004C6421" w:rsidRDefault="009D1962">
            <w:pPr>
              <w:pStyle w:val="P68B1DB1-Normal4"/>
              <w:jc w:val="center"/>
              <w:rPr>
                <w:noProof/>
              </w:rPr>
            </w:pPr>
            <w:r>
              <w:rPr>
                <w:noProof/>
              </w:rPr>
              <w:t>Interwencje związane z umowami dotyczącymi obiektów sportowych</w:t>
            </w:r>
          </w:p>
        </w:tc>
        <w:tc>
          <w:tcPr>
            <w:tcW w:w="505" w:type="pct"/>
            <w:shd w:val="clear" w:color="auto" w:fill="C6EFCE"/>
            <w:vAlign w:val="center"/>
            <w:hideMark/>
          </w:tcPr>
          <w:p w14:paraId="1E7E7290" w14:textId="77777777" w:rsidR="004C6421" w:rsidRDefault="009D1962">
            <w:pPr>
              <w:pStyle w:val="P68B1DB1-Normal4"/>
              <w:jc w:val="center"/>
              <w:rPr>
                <w:noProof/>
              </w:rPr>
            </w:pPr>
            <w:r>
              <w:rPr>
                <w:noProof/>
              </w:rPr>
              <w:t>NIE DOT.</w:t>
            </w:r>
          </w:p>
        </w:tc>
        <w:tc>
          <w:tcPr>
            <w:tcW w:w="478" w:type="pct"/>
            <w:shd w:val="clear" w:color="auto" w:fill="C6EFCE"/>
            <w:vAlign w:val="center"/>
            <w:hideMark/>
          </w:tcPr>
          <w:p w14:paraId="73FDB190" w14:textId="77777777" w:rsidR="004C6421" w:rsidRDefault="009D1962">
            <w:pPr>
              <w:pStyle w:val="P68B1DB1-Normal4"/>
              <w:jc w:val="center"/>
              <w:rPr>
                <w:noProof/>
              </w:rPr>
            </w:pPr>
            <w:r>
              <w:rPr>
                <w:noProof/>
              </w:rPr>
              <w:t>Numer</w:t>
            </w:r>
          </w:p>
        </w:tc>
        <w:tc>
          <w:tcPr>
            <w:tcW w:w="318" w:type="pct"/>
            <w:shd w:val="clear" w:color="auto" w:fill="C6EFCE"/>
            <w:vAlign w:val="center"/>
            <w:hideMark/>
          </w:tcPr>
          <w:p w14:paraId="6691C471" w14:textId="77777777" w:rsidR="004C6421" w:rsidRDefault="009D1962">
            <w:pPr>
              <w:pStyle w:val="P68B1DB1-Normal4"/>
              <w:jc w:val="center"/>
              <w:rPr>
                <w:noProof/>
              </w:rPr>
            </w:pPr>
            <w:r>
              <w:rPr>
                <w:noProof/>
              </w:rPr>
              <w:t>0</w:t>
            </w:r>
          </w:p>
        </w:tc>
        <w:tc>
          <w:tcPr>
            <w:tcW w:w="384" w:type="pct"/>
            <w:shd w:val="clear" w:color="auto" w:fill="C6EFCE"/>
            <w:vAlign w:val="center"/>
            <w:hideMark/>
          </w:tcPr>
          <w:p w14:paraId="012A08E2" w14:textId="77777777" w:rsidR="004C6421" w:rsidRDefault="009D1962">
            <w:pPr>
              <w:pStyle w:val="P68B1DB1-Normal4"/>
              <w:jc w:val="center"/>
              <w:rPr>
                <w:noProof/>
              </w:rPr>
            </w:pPr>
            <w:r>
              <w:rPr>
                <w:noProof/>
              </w:rPr>
              <w:t>100</w:t>
            </w:r>
          </w:p>
        </w:tc>
        <w:tc>
          <w:tcPr>
            <w:tcW w:w="275" w:type="pct"/>
            <w:shd w:val="clear" w:color="auto" w:fill="C6EFCE"/>
            <w:vAlign w:val="center"/>
            <w:hideMark/>
          </w:tcPr>
          <w:p w14:paraId="44A373CF" w14:textId="77777777" w:rsidR="004C6421" w:rsidRDefault="009D1962">
            <w:pPr>
              <w:pStyle w:val="P68B1DB1-Normal4"/>
              <w:jc w:val="center"/>
              <w:rPr>
                <w:noProof/>
              </w:rPr>
            </w:pPr>
            <w:r>
              <w:rPr>
                <w:noProof/>
              </w:rPr>
              <w:t>II KW.</w:t>
            </w:r>
          </w:p>
        </w:tc>
        <w:tc>
          <w:tcPr>
            <w:tcW w:w="200" w:type="pct"/>
            <w:shd w:val="clear" w:color="auto" w:fill="C6EFCE"/>
            <w:vAlign w:val="center"/>
            <w:hideMark/>
          </w:tcPr>
          <w:p w14:paraId="4D9E9E65" w14:textId="77777777" w:rsidR="004C6421" w:rsidRDefault="009D1962">
            <w:pPr>
              <w:pStyle w:val="P68B1DB1-Normal4"/>
              <w:jc w:val="center"/>
              <w:rPr>
                <w:noProof/>
              </w:rPr>
            </w:pPr>
            <w:r>
              <w:rPr>
                <w:noProof/>
              </w:rPr>
              <w:t>2026</w:t>
            </w:r>
          </w:p>
        </w:tc>
        <w:tc>
          <w:tcPr>
            <w:tcW w:w="1081" w:type="pct"/>
            <w:shd w:val="clear" w:color="auto" w:fill="C6EFCE"/>
            <w:vAlign w:val="center"/>
            <w:hideMark/>
          </w:tcPr>
          <w:p w14:paraId="592F77F5" w14:textId="77777777" w:rsidR="004C6421" w:rsidRDefault="009D1962">
            <w:pPr>
              <w:pStyle w:val="P68B1DB1-Normal4"/>
              <w:rPr>
                <w:rFonts w:eastAsia="Calibri"/>
                <w:noProof/>
              </w:rPr>
            </w:pPr>
            <w:r>
              <w:rPr>
                <w:noProof/>
              </w:rPr>
              <w:t>Co najmniej 100 interwencji związanych z umowami dotyczącymi obiektów sportowych.</w:t>
            </w:r>
          </w:p>
          <w:p w14:paraId="0D19E818" w14:textId="77777777" w:rsidR="004C6421" w:rsidRDefault="004C6421">
            <w:pPr>
              <w:rPr>
                <w:rFonts w:ascii="Arial Narrow" w:hAnsi="Arial Narrow"/>
                <w:noProof/>
                <w:color w:val="006100"/>
                <w:sz w:val="20"/>
              </w:rPr>
            </w:pPr>
          </w:p>
          <w:p w14:paraId="35E99E63" w14:textId="72AF512A" w:rsidR="004C6421" w:rsidRDefault="009D1962">
            <w:pPr>
              <w:rPr>
                <w:rFonts w:ascii="Arial Narrow" w:eastAsia="Calibri" w:hAnsi="Arial Narrow"/>
                <w:noProof/>
                <w:color w:val="006100"/>
                <w:sz w:val="20"/>
              </w:rPr>
            </w:pPr>
            <w:r>
              <w:rPr>
                <w:rFonts w:ascii="Arial Narrow" w:hAnsi="Arial Narrow"/>
                <w:noProof/>
                <w:color w:val="006100"/>
                <w:sz w:val="20"/>
              </w:rPr>
              <w:t>Zadowalające osiągnięcie celu zależy również od zadowalającego osiągnięcia celu drugorzędnego: zakończone interwencje obejmują obszar o powierzchni co najmniej</w:t>
            </w:r>
            <w:r>
              <w:rPr>
                <w:noProof/>
                <w:sz w:val="23"/>
              </w:rPr>
              <w:t xml:space="preserve"> </w:t>
            </w:r>
            <w:r>
              <w:rPr>
                <w:rFonts w:ascii="Arial Narrow" w:hAnsi="Arial Narrow"/>
                <w:noProof/>
                <w:color w:val="006100"/>
                <w:sz w:val="20"/>
              </w:rPr>
              <w:t>200000 metrów kwadratowych.</w:t>
            </w:r>
          </w:p>
          <w:p w14:paraId="5E6E023F" w14:textId="77777777" w:rsidR="004C6421" w:rsidRDefault="004C6421">
            <w:pPr>
              <w:rPr>
                <w:rFonts w:ascii="Arial Narrow" w:hAnsi="Arial Narrow"/>
                <w:noProof/>
                <w:color w:val="006100"/>
                <w:sz w:val="20"/>
              </w:rPr>
            </w:pPr>
          </w:p>
          <w:p w14:paraId="3D591343" w14:textId="77777777" w:rsidR="004C6421" w:rsidRDefault="009D1962">
            <w:pPr>
              <w:pStyle w:val="P68B1DB1-Normal4"/>
              <w:rPr>
                <w:rFonts w:eastAsia="Calibri"/>
                <w:noProof/>
              </w:rPr>
            </w:pPr>
            <w:r>
              <w:rPr>
                <w:noProof/>
              </w:rPr>
              <w:t>Projekt dotyczy kwestii rewitalizacji obszarów miejskich zgodnie z zasadami zrównoważonego rozwoju i odporności, koncentrując się na obiektach sportowych, w celu promowania włączenia społecznego i integracji społecznej, zwłaszcza na najbardziej potrzebujących obszarach Włoch.</w:t>
            </w:r>
          </w:p>
          <w:p w14:paraId="1D44CC28" w14:textId="77777777" w:rsidR="004C6421" w:rsidRDefault="004C6421">
            <w:pPr>
              <w:rPr>
                <w:rFonts w:ascii="Arial Narrow" w:eastAsia="Calibri" w:hAnsi="Arial Narrow"/>
                <w:noProof/>
                <w:color w:val="006100"/>
                <w:sz w:val="20"/>
              </w:rPr>
            </w:pPr>
          </w:p>
          <w:p w14:paraId="7358D3B3" w14:textId="77777777" w:rsidR="004C6421" w:rsidRDefault="009D1962">
            <w:pPr>
              <w:pStyle w:val="P68B1DB1-Normal6"/>
              <w:rPr>
                <w:noProof/>
                <w:color w:val="006100"/>
              </w:rPr>
            </w:pPr>
            <w:r>
              <w:rPr>
                <w:noProof/>
                <w:color w:val="006100"/>
              </w:rPr>
              <w:t>Co najmniej 50 % inwestycji przeznacza się na nowe konstrukcje zgodne z odpowiednimi wymogami w przypisie 5 w załączniku VI do rozporządzenia (UE) 2021/241.</w:t>
            </w:r>
            <w:r>
              <w:rPr>
                <w:noProof/>
                <w:color w:val="000000"/>
              </w:rPr>
              <w:t xml:space="preserve"> </w:t>
            </w:r>
          </w:p>
        </w:tc>
      </w:tr>
    </w:tbl>
    <w:p w14:paraId="710B3648" w14:textId="77777777" w:rsidR="004C6421" w:rsidRDefault="004C6421">
      <w:pPr>
        <w:keepNext/>
        <w:tabs>
          <w:tab w:val="left" w:pos="4252"/>
        </w:tabs>
        <w:spacing w:before="720"/>
        <w:jc w:val="both"/>
        <w:rPr>
          <w:i/>
          <w:noProof/>
        </w:rPr>
        <w:sectPr w:rsidR="004C6421" w:rsidSect="00797973">
          <w:headerReference w:type="even" r:id="rId344"/>
          <w:headerReference w:type="default" r:id="rId345"/>
          <w:footerReference w:type="even" r:id="rId346"/>
          <w:footerReference w:type="default" r:id="rId347"/>
          <w:headerReference w:type="first" r:id="rId348"/>
          <w:footerReference w:type="first" r:id="rId349"/>
          <w:pgSz w:w="20160" w:h="12240" w:orient="landscape"/>
          <w:pgMar w:top="1440" w:right="1440" w:bottom="1440" w:left="1440" w:header="709" w:footer="709" w:gutter="0"/>
          <w:cols w:space="720"/>
          <w:docGrid w:linePitch="360"/>
        </w:sectPr>
      </w:pPr>
    </w:p>
    <w:p w14:paraId="562E60CA" w14:textId="77777777" w:rsidR="004C6421" w:rsidRDefault="009D1962">
      <w:pPr>
        <w:pStyle w:val="Heading2"/>
        <w:numPr>
          <w:ilvl w:val="0"/>
          <w:numId w:val="0"/>
        </w:numPr>
        <w:ind w:left="850" w:hanging="850"/>
        <w:rPr>
          <w:noProof/>
        </w:rPr>
      </w:pPr>
      <w:r>
        <w:rPr>
          <w:noProof/>
        </w:rPr>
        <w:t>N. ZADANIE 5 – KOMPONENT 3: Specjalne interwencje na rzecz spójności terytorialnej</w:t>
      </w:r>
    </w:p>
    <w:p w14:paraId="4C44104E" w14:textId="77777777" w:rsidR="004C6421" w:rsidRDefault="009D1962">
      <w:pPr>
        <w:tabs>
          <w:tab w:val="left" w:pos="1134"/>
        </w:tabs>
        <w:spacing w:before="120" w:after="120"/>
        <w:jc w:val="both"/>
        <w:rPr>
          <w:rFonts w:eastAsia="Calibri"/>
          <w:noProof/>
        </w:rPr>
      </w:pPr>
      <w:r>
        <w:rPr>
          <w:noProof/>
        </w:rPr>
        <w:t xml:space="preserve">Ten element planu odbudowy i zwiększania odporności obejmuje dwa obszary interwencji: plan na rzecz odporności obszarów wewnętrznych, peryferyjnych i górskich; II) Projekty na rzecz rozwoju Południa, w tym inwestycje mające na celu zwalczanie ubóstwa edukacyjnego, konsolidację aptek wiejskich jako lokalnych usług zdrowotnych, wzmocnienie majątku skonfiskowanego z przestępczości zorganizowanej oraz inwestycje infrastrukturalne w specjalnych strefach ekonomicznych.  Środki te mają na celu zniwelowanie różnic terytorialnych w trzech dziedzinach: demografia i usługi; rozwój umiejętności; inwestycje. </w:t>
      </w:r>
    </w:p>
    <w:p w14:paraId="6A3261E4" w14:textId="77777777" w:rsidR="004C6421" w:rsidRDefault="009D1962">
      <w:pPr>
        <w:tabs>
          <w:tab w:val="left" w:pos="1134"/>
        </w:tabs>
        <w:spacing w:before="120" w:after="120"/>
        <w:jc w:val="both"/>
        <w:rPr>
          <w:rFonts w:eastAsia="Calibri"/>
          <w:noProof/>
        </w:rPr>
      </w:pPr>
      <w:r>
        <w:rPr>
          <w:noProof/>
        </w:rPr>
        <w:t xml:space="preserve">Inwestycje i reformy w ramach tego komponentu przyczyniają się do realizacji zaleceń dla poszczególnych krajów skierowanych do Włoch w latach 2019 i 2020 dotyczących potrzeby „ukierunkowania inwestycyjnej polityki gospodarczej na badania naukowe i innowacje oraz jakość infrastruktury, z uwzględnieniem różnic regionalnych” (zalecenie dla poszczególnych krajów 2019.3); </w:t>
      </w:r>
      <w:r>
        <w:rPr>
          <w:rStyle w:val="normaltextrun"/>
          <w:rFonts w:hAnsi="Calibri"/>
          <w:noProof/>
          <w:shd w:val="clear" w:color="auto" w:fill="FFFFFF"/>
        </w:rPr>
        <w:t>„</w:t>
      </w:r>
      <w:r>
        <w:rPr>
          <w:rStyle w:val="normaltextrun"/>
          <w:rFonts w:hAnsi="Calibri"/>
          <w:noProof/>
          <w:shd w:val="clear" w:color="auto" w:fill="FFFFFF"/>
        </w:rPr>
        <w:t>poprawa efekt</w:t>
      </w:r>
      <w:r>
        <w:rPr>
          <w:rStyle w:val="normaltextrun"/>
          <w:rFonts w:hAnsi="Calibri"/>
          <w:noProof/>
          <w:shd w:val="clear" w:color="auto" w:fill="FFFFFF"/>
        </w:rPr>
        <w:t>ó</w:t>
      </w:r>
      <w:r>
        <w:rPr>
          <w:rStyle w:val="normaltextrun"/>
          <w:rFonts w:hAnsi="Calibri"/>
          <w:noProof/>
          <w:shd w:val="clear" w:color="auto" w:fill="FFFFFF"/>
        </w:rPr>
        <w:t>w kszta</w:t>
      </w:r>
      <w:r>
        <w:rPr>
          <w:rStyle w:val="normaltextrun"/>
          <w:rFonts w:hAnsi="Calibri"/>
          <w:noProof/>
          <w:shd w:val="clear" w:color="auto" w:fill="FFFFFF"/>
        </w:rPr>
        <w:t>ł</w:t>
      </w:r>
      <w:r>
        <w:rPr>
          <w:rStyle w:val="normaltextrun"/>
          <w:rFonts w:hAnsi="Calibri"/>
          <w:noProof/>
          <w:shd w:val="clear" w:color="auto" w:fill="FFFFFF"/>
        </w:rPr>
        <w:t>cenia</w:t>
      </w:r>
      <w:r>
        <w:rPr>
          <w:rStyle w:val="normaltextrun"/>
          <w:rFonts w:hAnsi="Calibri"/>
          <w:noProof/>
          <w:shd w:val="clear" w:color="auto" w:fill="FFFFFF"/>
        </w:rPr>
        <w:t>”</w:t>
      </w:r>
      <w:r>
        <w:rPr>
          <w:rStyle w:val="normaltextrun"/>
          <w:rFonts w:hAnsi="Calibri"/>
          <w:noProof/>
          <w:shd w:val="clear" w:color="auto" w:fill="FFFFFF"/>
        </w:rPr>
        <w:t xml:space="preserve"> (zalecenie dla poszczeg</w:t>
      </w:r>
      <w:r>
        <w:rPr>
          <w:rStyle w:val="normaltextrun"/>
          <w:rFonts w:hAnsi="Calibri"/>
          <w:noProof/>
          <w:shd w:val="clear" w:color="auto" w:fill="FFFFFF"/>
        </w:rPr>
        <w:t>ó</w:t>
      </w:r>
      <w:r>
        <w:rPr>
          <w:rStyle w:val="normaltextrun"/>
          <w:rFonts w:hAnsi="Calibri"/>
          <w:noProof/>
          <w:shd w:val="clear" w:color="auto" w:fill="FFFFFF"/>
        </w:rPr>
        <w:t>lnych kraj</w:t>
      </w:r>
      <w:r>
        <w:rPr>
          <w:rStyle w:val="normaltextrun"/>
          <w:rFonts w:hAnsi="Calibri"/>
          <w:noProof/>
          <w:shd w:val="clear" w:color="auto" w:fill="FFFFFF"/>
        </w:rPr>
        <w:t>ó</w:t>
      </w:r>
      <w:r>
        <w:rPr>
          <w:rStyle w:val="normaltextrun"/>
          <w:rFonts w:hAnsi="Calibri"/>
          <w:noProof/>
          <w:shd w:val="clear" w:color="auto" w:fill="FFFFFF"/>
        </w:rPr>
        <w:t>w nr 2019.2);</w:t>
      </w:r>
      <w:r>
        <w:rPr>
          <w:rStyle w:val="normaltextrun"/>
          <w:rFonts w:hAnsi="Calibri"/>
          <w:noProof/>
          <w:shd w:val="clear" w:color="auto" w:fill="FFFFFF"/>
        </w:rPr>
        <w:t> „</w:t>
      </w:r>
      <w:r>
        <w:rPr>
          <w:rStyle w:val="normaltextrun"/>
          <w:rFonts w:hAnsi="Calibri"/>
          <w:noProof/>
          <w:shd w:val="clear" w:color="auto" w:fill="FFFFFF"/>
        </w:rPr>
        <w:t>Wzmocnienie odporno</w:t>
      </w:r>
      <w:r>
        <w:rPr>
          <w:rStyle w:val="normaltextrun"/>
          <w:rFonts w:hAnsi="Calibri"/>
          <w:noProof/>
          <w:shd w:val="clear" w:color="auto" w:fill="FFFFFF"/>
        </w:rPr>
        <w:t>ś</w:t>
      </w:r>
      <w:r>
        <w:rPr>
          <w:rStyle w:val="normaltextrun"/>
          <w:rFonts w:hAnsi="Calibri"/>
          <w:noProof/>
          <w:shd w:val="clear" w:color="auto" w:fill="FFFFFF"/>
        </w:rPr>
        <w:t>ci i zdolno</w:t>
      </w:r>
      <w:r>
        <w:rPr>
          <w:rStyle w:val="normaltextrun"/>
          <w:rFonts w:hAnsi="Calibri"/>
          <w:noProof/>
          <w:shd w:val="clear" w:color="auto" w:fill="FFFFFF"/>
        </w:rPr>
        <w:t>ś</w:t>
      </w:r>
      <w:r>
        <w:rPr>
          <w:rStyle w:val="normaltextrun"/>
          <w:rFonts w:hAnsi="Calibri"/>
          <w:noProof/>
          <w:shd w:val="clear" w:color="auto" w:fill="FFFFFF"/>
        </w:rPr>
        <w:t>ci systemu opieki zdrowotnej</w:t>
      </w:r>
      <w:r>
        <w:rPr>
          <w:rStyle w:val="normaltextrun"/>
          <w:rFonts w:ascii="Calibri" w:hAnsi="Calibri"/>
          <w:noProof/>
          <w:shd w:val="clear" w:color="auto" w:fill="FFFFFF"/>
        </w:rPr>
        <w:t xml:space="preserve"> [...]</w:t>
      </w:r>
      <w:r>
        <w:rPr>
          <w:rStyle w:val="normaltextrun"/>
          <w:noProof/>
          <w:shd w:val="clear" w:color="auto" w:fill="FFFFFF"/>
        </w:rPr>
        <w:t>” (zalecenie dla poszczególnych krajów 2020.1)</w:t>
      </w:r>
      <w:r>
        <w:rPr>
          <w:rStyle w:val="normaltextrun"/>
          <w:rFonts w:ascii="Calibri" w:hAnsi="Calibri"/>
          <w:noProof/>
          <w:shd w:val="clear" w:color="auto" w:fill="FFFFFF"/>
        </w:rPr>
        <w:t>; </w:t>
      </w:r>
      <w:r>
        <w:rPr>
          <w:rStyle w:val="normaltextrun"/>
          <w:noProof/>
          <w:shd w:val="clear" w:color="auto" w:fill="FFFFFF"/>
        </w:rPr>
        <w:t>„zapewnienie odpowiedniego [...] i dostępu do ochrony socjalnej” (zalecenie dla poszczególnych krajów 2020.2)</w:t>
      </w:r>
      <w:r>
        <w:rPr>
          <w:rStyle w:val="normaltextrun"/>
          <w:rFonts w:ascii="Calibri" w:hAnsi="Calibri"/>
          <w:noProof/>
          <w:shd w:val="clear" w:color="auto" w:fill="FFFFFF"/>
        </w:rPr>
        <w:t xml:space="preserve">. </w:t>
      </w:r>
    </w:p>
    <w:p w14:paraId="29E254B3" w14:textId="77777777" w:rsidR="004C6421" w:rsidRDefault="004C6421">
      <w:pPr>
        <w:spacing w:before="120" w:after="120"/>
        <w:jc w:val="both"/>
        <w:rPr>
          <w:noProof/>
        </w:rPr>
      </w:pPr>
    </w:p>
    <w:p w14:paraId="6AD82DF1" w14:textId="77777777" w:rsidR="004C6421" w:rsidRDefault="009D1962">
      <w:pPr>
        <w:pStyle w:val="Heading3"/>
        <w:numPr>
          <w:ilvl w:val="0"/>
          <w:numId w:val="0"/>
        </w:numPr>
        <w:ind w:left="850" w:hanging="850"/>
        <w:rPr>
          <w:b/>
          <w:i w:val="0"/>
          <w:noProof/>
          <w:color w:val="4472C4" w:themeColor="accent1"/>
          <w:u w:val="single"/>
        </w:rPr>
      </w:pPr>
      <w:r>
        <w:rPr>
          <w:b/>
          <w:i w:val="0"/>
          <w:noProof/>
          <w:u w:val="single"/>
        </w:rPr>
        <w:t xml:space="preserve">N.1. </w:t>
      </w:r>
      <w:r>
        <w:rPr>
          <w:noProof/>
        </w:rPr>
        <w:t xml:space="preserve"> </w:t>
      </w:r>
      <w:r>
        <w:rPr>
          <w:b/>
          <w:i w:val="0"/>
          <w:noProof/>
          <w:u w:val="single"/>
        </w:rPr>
        <w:t>Opis reform i inwestycji, które mają być finansowane z bezzwrotnego wsparcia finansowego</w:t>
      </w:r>
    </w:p>
    <w:p w14:paraId="02676B5E" w14:textId="77777777" w:rsidR="004C6421" w:rsidRDefault="009D1962">
      <w:pPr>
        <w:pStyle w:val="P68B1DB1-Normal2"/>
        <w:spacing w:before="120" w:after="120"/>
        <w:jc w:val="both"/>
        <w:rPr>
          <w:noProof/>
        </w:rPr>
      </w:pPr>
      <w:r>
        <w:rPr>
          <w:noProof/>
        </w:rPr>
        <w:t>Inwestycje 1.1. Obszary wewnętrzne – 1: Poprawa usług społecznych i infrastruktury społecznej</w:t>
      </w:r>
    </w:p>
    <w:p w14:paraId="548EAF84" w14:textId="77777777" w:rsidR="004C6421" w:rsidRDefault="009D1962">
      <w:pPr>
        <w:spacing w:before="120" w:after="120"/>
        <w:jc w:val="both"/>
        <w:rPr>
          <w:noProof/>
        </w:rPr>
      </w:pPr>
      <w:r>
        <w:rPr>
          <w:noProof/>
        </w:rPr>
        <w:t xml:space="preserve">Interwencja ma na celu rozwiązanie kwestii wykluczenia społecznego i marginalizacji poprzez zintensyfikowanie świadczenia usług poprzez zwiększenie środków na usługi publiczne świadczone przez władze lokalne (mechanizm świadczenia polega na udzielaniu dotacji gminom). Finansowane projekty mogą dotyczyć: usługi opieki domowej nad osobami starszymi; pielęgniarki i położne Wspólnoty; wzmocnienie małych szpitali (bez pierwszej pomocy) lub niektórych podstawowych usług (tj. radiologii, kardiologii, ginekologii) i ośrodków ambulatoryjnych; infrastruktura na potrzeby ratownictwa śmigłowcowego; wzmocnienie ośrodków dla osób niepełnosprawnych; ośrodki doradztwa, usługi kulturalne, usługi sportowe i przyjmowanie migrantów. Interwencja przewiduje albo stworzenie nowych usług i infrastruktur, albo poprawę istniejących usług i infrastruktur poprzez zwiększenie liczby odbiorców lub poprawę jakości dostaw. </w:t>
      </w:r>
    </w:p>
    <w:p w14:paraId="00F047E8" w14:textId="77777777" w:rsidR="004C6421" w:rsidRDefault="009D1962">
      <w:pPr>
        <w:spacing w:before="120" w:after="120"/>
        <w:jc w:val="both"/>
        <w:rPr>
          <w:noProof/>
        </w:rPr>
      </w:pPr>
      <w:r>
        <w:rPr>
          <w:noProof/>
        </w:rPr>
        <w:t>Aby zapewnić zgodność środka z wytycznymi technicznymi zasady „nie czyń poważnych szkód” (2021/C58/01), kryteria kwalifikowalności zawarte w zakresie wymagań i obowiązków w odniesieniu do przyszłych zaproszeń do składania projektów wykluczają następujący wykaz działań:</w:t>
      </w:r>
      <w:r>
        <w:rPr>
          <w:noProof/>
          <w:color w:val="FF0000"/>
        </w:rPr>
        <w:t xml:space="preserve"> </w:t>
      </w:r>
      <w:r>
        <w:rPr>
          <w:noProof/>
        </w:rPr>
        <w:t>(i) działalności związanej z paliwami kopalnymi, w tym wykorzystania niższego szczebla</w:t>
      </w:r>
      <w:r>
        <w:rPr>
          <w:rStyle w:val="FootnoteReference"/>
          <w:noProof/>
        </w:rPr>
        <w:footnoteReference w:id="111"/>
      </w:r>
      <w:r>
        <w:rPr>
          <w:noProof/>
        </w:rPr>
        <w:t>; (II) działania w ramach unijnego systemu handlu uprawnieniami do emisji (ETS) prowadzące do osiągnięcia prognozowanych emisji gazów cieplarnianych, które nie są niższe niż odpowiednie wskaźniki referencyjne</w:t>
      </w:r>
      <w:r>
        <w:rPr>
          <w:rStyle w:val="FootnoteReference"/>
          <w:noProof/>
        </w:rPr>
        <w:footnoteReference w:id="112"/>
      </w:r>
      <w:r>
        <w:rPr>
          <w:noProof/>
        </w:rPr>
        <w:t>; (III) działania związane ze składowiskami odpadów, spalarniami</w:t>
      </w:r>
      <w:r>
        <w:rPr>
          <w:rStyle w:val="FootnoteReference"/>
          <w:noProof/>
        </w:rPr>
        <w:footnoteReference w:id="113"/>
      </w:r>
      <w:r>
        <w:rPr>
          <w:noProof/>
        </w:rPr>
        <w:t xml:space="preserve"> i zakładami mechaniczno-biologicznego przetwarzania odpadów</w:t>
      </w:r>
      <w:r>
        <w:rPr>
          <w:rStyle w:val="FootnoteReference"/>
          <w:noProof/>
        </w:rPr>
        <w:footnoteReference w:id="114"/>
      </w:r>
      <w:r>
        <w:rPr>
          <w:noProof/>
        </w:rPr>
        <w:t>; oraz (iv) działań, w przypadku których długoterminowe unieszkodliwianie odpadów może szkodzić środowisku naturalnemu. Zakres uprawnień wymaga ponadto, aby można było wybierać wyłącznie działania zgodne z odpowiednimi przepisami unijnymi i krajowymi w zakresie ochrony środowiska.</w:t>
      </w:r>
    </w:p>
    <w:p w14:paraId="1D033772" w14:textId="77777777" w:rsidR="004C6421" w:rsidRDefault="004C6421">
      <w:pPr>
        <w:spacing w:before="120" w:after="120"/>
        <w:jc w:val="both"/>
        <w:rPr>
          <w:b/>
          <w:noProof/>
        </w:rPr>
      </w:pPr>
    </w:p>
    <w:p w14:paraId="1F72D1AE" w14:textId="77777777" w:rsidR="004C6421" w:rsidRDefault="009D1962">
      <w:pPr>
        <w:pStyle w:val="P68B1DB1-Normal2"/>
        <w:spacing w:before="120" w:after="120"/>
        <w:jc w:val="both"/>
        <w:rPr>
          <w:noProof/>
        </w:rPr>
      </w:pPr>
      <w:r>
        <w:rPr>
          <w:noProof/>
        </w:rPr>
        <w:t xml:space="preserve">Inwestycja 1.1.2: Placówki opieki zdrowotnej bliskości terytorialnej </w:t>
      </w:r>
    </w:p>
    <w:p w14:paraId="12E2C735" w14:textId="77777777" w:rsidR="004C6421" w:rsidRDefault="009D1962">
      <w:pPr>
        <w:spacing w:before="120" w:after="120"/>
        <w:jc w:val="both"/>
        <w:rPr>
          <w:noProof/>
        </w:rPr>
      </w:pPr>
      <w:r>
        <w:rPr>
          <w:noProof/>
        </w:rPr>
        <w:t xml:space="preserve">Interwencja ma na celu konsolidację aptek wiejskich jako miejscowych usług zdrowotnych (Aptety wiejskie są zdefiniowane na podstawie L. 27 marca 1968 r., nr 221. Środek ten zapewnia natychmiastowe wsparcie aptekom wiejskim, które w czasie sytuacji nadzwyczajnej związanej z COVID-19 były podstawowym punktem odniesienia dla miejscowej ludności. Umacniając swoją rolę w zapewnianiu placówek opieki zdrowotnej, apteki mogą pozostać centralnym elementem życia społecznego, zbliżając opiekę zdrowotną jak najbliżej obywateli. W szczególności oczekuje się, że apteki te wzmocnią swoją rolę poprzez: (i) uczestnictwo w zintegrowanej usłudze pomocy domowej; (II) świadczenie usług drugiego poziomu, zgodnie ze ścieżkami diagnostyczno-terapeutycznymi przewidzianymi dla określonych patologii; wydawanie leków, które pacjent jest obecnie zmuszony pobierać w szpitalu; (IV) monitorowanie pacjenta za pomocą elektronicznej dokumentacji medycznej i dokumentacji farmaceutycznej. </w:t>
      </w:r>
    </w:p>
    <w:p w14:paraId="210106EC" w14:textId="77777777" w:rsidR="004C6421" w:rsidRDefault="004C6421">
      <w:pPr>
        <w:spacing w:before="120" w:after="120"/>
        <w:jc w:val="both"/>
        <w:rPr>
          <w:b/>
          <w:noProof/>
        </w:rPr>
      </w:pPr>
    </w:p>
    <w:p w14:paraId="3F735294" w14:textId="77777777" w:rsidR="004C6421" w:rsidRDefault="009D1962">
      <w:pPr>
        <w:pStyle w:val="P68B1DB1-Normal2"/>
        <w:spacing w:before="120" w:after="120"/>
        <w:jc w:val="both"/>
        <w:rPr>
          <w:noProof/>
        </w:rPr>
      </w:pPr>
      <w:r>
        <w:rPr>
          <w:noProof/>
        </w:rPr>
        <w:t>Inwestycja 1.3: Zorganizowane interwencje społeczno-edukacyjne mające na celu zwalczanie ubóstwa edukacyjnego na południu, wspierające trzeci sektor</w:t>
      </w:r>
    </w:p>
    <w:p w14:paraId="4633DADC" w14:textId="77777777" w:rsidR="004C6421" w:rsidRDefault="009D1962">
      <w:pPr>
        <w:spacing w:before="120" w:after="120"/>
        <w:jc w:val="both"/>
        <w:rPr>
          <w:noProof/>
        </w:rPr>
      </w:pPr>
      <w:r>
        <w:rPr>
          <w:noProof/>
        </w:rPr>
        <w:t xml:space="preserve">Środek ten ma na celu wspieranie trzeciego sektora w regionach południowych (Abruzja, Basilicata, Kampania, Kalabria, Molise, Apulia, Sardynia i Sycylia) oraz świadczenie usług społeczno-edukacyjnych na rzecz małoletnich w związku z postanowieniami umowy o partnerstwie na okres programowania 2021–2027 europejskiej polityki spójności. </w:t>
      </w:r>
    </w:p>
    <w:p w14:paraId="4E5FF90C" w14:textId="77777777" w:rsidR="004C6421" w:rsidRDefault="009D1962">
      <w:pPr>
        <w:spacing w:before="120" w:after="120"/>
        <w:jc w:val="both"/>
        <w:rPr>
          <w:noProof/>
        </w:rPr>
      </w:pPr>
      <w:r>
        <w:rPr>
          <w:noProof/>
        </w:rPr>
        <w:t>Oczekuje się, że działania społeczno-edukacyjne mające na celu zwalczanie ubóstwa edukacyjnego i wspieranie trzeciego sektora będą miały miejsce w jednym z następujących obszarów:</w:t>
      </w:r>
    </w:p>
    <w:p w14:paraId="52E21401" w14:textId="77777777" w:rsidR="004C6421" w:rsidRDefault="009D1962">
      <w:pPr>
        <w:pStyle w:val="ListParagraph"/>
        <w:numPr>
          <w:ilvl w:val="0"/>
          <w:numId w:val="53"/>
        </w:numPr>
        <w:ind w:left="360"/>
        <w:rPr>
          <w:noProof/>
        </w:rPr>
      </w:pPr>
      <w:r>
        <w:rPr>
          <w:noProof/>
        </w:rPr>
        <w:t xml:space="preserve"> Interwencje na rzecz dzieci w wieku od 0 do 6 lat, mające na celu poprawę warunków dostępu do żłobków i przedszkoli oraz wspieranie rodzicielstwa;</w:t>
      </w:r>
    </w:p>
    <w:p w14:paraId="4626519D" w14:textId="77777777" w:rsidR="004C6421" w:rsidRDefault="009D1962">
      <w:pPr>
        <w:pStyle w:val="ListParagraph"/>
        <w:numPr>
          <w:ilvl w:val="0"/>
          <w:numId w:val="53"/>
        </w:numPr>
        <w:ind w:left="360"/>
        <w:rPr>
          <w:noProof/>
        </w:rPr>
      </w:pPr>
      <w:r>
        <w:rPr>
          <w:noProof/>
        </w:rPr>
        <w:t xml:space="preserve">Interwencje na rzecz dzieci w wieku od 5 do 10 lat, mające na celu zagwarantowanie skutecznych możliwości edukacyjnych i wczesne zapobieganie przedwczesnemu kończeniu nauki, nękaniu i innym niepokojącym zjawiskom; </w:t>
      </w:r>
    </w:p>
    <w:p w14:paraId="4715D96A" w14:textId="77777777" w:rsidR="004C6421" w:rsidRDefault="009D1962">
      <w:pPr>
        <w:pStyle w:val="ListParagraph"/>
        <w:numPr>
          <w:ilvl w:val="0"/>
          <w:numId w:val="53"/>
        </w:numPr>
        <w:ind w:left="360"/>
        <w:rPr>
          <w:noProof/>
        </w:rPr>
      </w:pPr>
      <w:r>
        <w:rPr>
          <w:noProof/>
        </w:rPr>
        <w:t>Działania na rzecz dzieci w wieku 11–17 lat, których celem jest poprawa oferty edukacyjnej i zapobieganie zjawisku przedwczesnego kończenia nauki.</w:t>
      </w:r>
    </w:p>
    <w:p w14:paraId="2C428822" w14:textId="77777777" w:rsidR="004C6421" w:rsidRDefault="009D1962">
      <w:pPr>
        <w:spacing w:before="120" w:after="120"/>
        <w:jc w:val="both"/>
        <w:rPr>
          <w:noProof/>
        </w:rPr>
      </w:pPr>
      <w:r>
        <w:rPr>
          <w:noProof/>
        </w:rPr>
        <w:t>Interwencje zapewniają następujące kluczowe elementy oferty:</w:t>
      </w:r>
    </w:p>
    <w:p w14:paraId="0F6D44EA" w14:textId="414DE689" w:rsidR="004C6421" w:rsidRDefault="009D1962">
      <w:pPr>
        <w:pStyle w:val="ListParagraph"/>
        <w:numPr>
          <w:ilvl w:val="0"/>
          <w:numId w:val="53"/>
        </w:numPr>
        <w:ind w:left="360"/>
        <w:rPr>
          <w:noProof/>
        </w:rPr>
      </w:pPr>
      <w:r>
        <w:rPr>
          <w:noProof/>
        </w:rPr>
        <w:t>Ogłoszenia publiczne wynoszą co najmniej 50 000 000 EUR</w:t>
      </w:r>
      <w:r>
        <w:rPr>
          <w:noProof/>
          <w:sz w:val="23"/>
        </w:rPr>
        <w:t xml:space="preserve">  </w:t>
      </w:r>
      <w:r>
        <w:rPr>
          <w:noProof/>
        </w:rPr>
        <w:t xml:space="preserve">za każde </w:t>
      </w:r>
    </w:p>
    <w:p w14:paraId="6DF98033" w14:textId="77777777" w:rsidR="004C6421" w:rsidRDefault="009D1962">
      <w:pPr>
        <w:pStyle w:val="ListParagraph"/>
        <w:numPr>
          <w:ilvl w:val="0"/>
          <w:numId w:val="53"/>
        </w:numPr>
        <w:ind w:left="360"/>
        <w:rPr>
          <w:noProof/>
        </w:rPr>
      </w:pPr>
      <w:r>
        <w:rPr>
          <w:noProof/>
        </w:rPr>
        <w:t>Projekty podmiotów trzeciego sektora powinny trwać co najmniej jeden rok i maksymalnie dwa lata.”;</w:t>
      </w:r>
    </w:p>
    <w:p w14:paraId="17B81167" w14:textId="77777777" w:rsidR="004C6421" w:rsidRDefault="004C6421">
      <w:pPr>
        <w:rPr>
          <w:noProof/>
        </w:rPr>
      </w:pPr>
    </w:p>
    <w:p w14:paraId="0B804D0D" w14:textId="77777777" w:rsidR="004C6421" w:rsidRDefault="009D1962">
      <w:pPr>
        <w:pStyle w:val="Heading3"/>
        <w:numPr>
          <w:ilvl w:val="0"/>
          <w:numId w:val="0"/>
        </w:numPr>
        <w:ind w:left="850" w:hanging="850"/>
        <w:rPr>
          <w:b/>
          <w:i w:val="0"/>
          <w:noProof/>
        </w:rPr>
      </w:pPr>
      <w:r>
        <w:rPr>
          <w:b/>
          <w:i w:val="0"/>
          <w:noProof/>
        </w:rPr>
        <w:t xml:space="preserve">N.2. </w:t>
      </w:r>
      <w:r>
        <w:rPr>
          <w:noProof/>
        </w:rPr>
        <w:t xml:space="preserve"> </w:t>
      </w:r>
      <w:r>
        <w:rPr>
          <w:b/>
          <w:i w:val="0"/>
          <w:noProof/>
        </w:rPr>
        <w:t>Kamienie milowe, wartości docelowe, wskaźniki i harmonogram monitorowania i realizacji na potrzeby bezzwrotnego wsparcia finansowego</w:t>
      </w:r>
    </w:p>
    <w:p w14:paraId="54189AC7" w14:textId="77777777" w:rsidR="004C6421" w:rsidRDefault="004C6421">
      <w:pPr>
        <w:spacing w:before="120" w:after="120"/>
        <w:ind w:left="709"/>
        <w:jc w:val="both"/>
        <w:rPr>
          <w:noProof/>
        </w:rPr>
        <w:sectPr w:rsidR="004C6421" w:rsidSect="00797973">
          <w:headerReference w:type="even" r:id="rId350"/>
          <w:headerReference w:type="default" r:id="rId351"/>
          <w:footerReference w:type="even" r:id="rId352"/>
          <w:footerReference w:type="default" r:id="rId353"/>
          <w:headerReference w:type="first" r:id="rId354"/>
          <w:footerReference w:type="first" r:id="rId355"/>
          <w:pgSz w:w="11907" w:h="16839"/>
          <w:pgMar w:top="1440" w:right="1440" w:bottom="1440" w:left="1440" w:header="567" w:footer="567" w:gutter="0"/>
          <w:cols w:space="720"/>
          <w:docGrid w:linePitch="360"/>
        </w:sectPr>
      </w:pPr>
    </w:p>
    <w:tbl>
      <w:tblPr>
        <w:tblW w:w="1576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772"/>
        <w:gridCol w:w="1438"/>
        <w:gridCol w:w="1559"/>
        <w:gridCol w:w="1560"/>
        <w:gridCol w:w="1134"/>
        <w:gridCol w:w="1134"/>
        <w:gridCol w:w="992"/>
        <w:gridCol w:w="916"/>
        <w:gridCol w:w="812"/>
        <w:gridCol w:w="3271"/>
      </w:tblGrid>
      <w:tr w:rsidR="004C6421" w14:paraId="34BF88BC" w14:textId="77777777">
        <w:trPr>
          <w:trHeight w:val="927"/>
          <w:tblHeader/>
        </w:trPr>
        <w:tc>
          <w:tcPr>
            <w:tcW w:w="1207" w:type="dxa"/>
            <w:vMerge w:val="restart"/>
            <w:shd w:val="clear" w:color="auto" w:fill="BDD7EE"/>
            <w:vAlign w:val="center"/>
            <w:hideMark/>
          </w:tcPr>
          <w:p w14:paraId="4EF6A0D4" w14:textId="77777777" w:rsidR="004C6421" w:rsidRDefault="009D1962">
            <w:pPr>
              <w:pStyle w:val="P68B1DB1-Normal3"/>
              <w:jc w:val="center"/>
              <w:rPr>
                <w:noProof/>
              </w:rPr>
            </w:pPr>
            <w:r>
              <w:rPr>
                <w:noProof/>
              </w:rPr>
              <w:t>Numer porządkowy</w:t>
            </w:r>
          </w:p>
        </w:tc>
        <w:tc>
          <w:tcPr>
            <w:tcW w:w="1772" w:type="dxa"/>
            <w:vMerge w:val="restart"/>
            <w:shd w:val="clear" w:color="auto" w:fill="BDD7EE"/>
            <w:vAlign w:val="center"/>
            <w:hideMark/>
          </w:tcPr>
          <w:p w14:paraId="6684CB5E" w14:textId="77777777" w:rsidR="004C6421" w:rsidRDefault="009D1962">
            <w:pPr>
              <w:pStyle w:val="P68B1DB1-Normal3"/>
              <w:jc w:val="center"/>
              <w:rPr>
                <w:noProof/>
              </w:rPr>
            </w:pPr>
            <w:r>
              <w:rPr>
                <w:noProof/>
              </w:rPr>
              <w:t>Powiązane działanie (reforma lub inwestycja)</w:t>
            </w:r>
          </w:p>
        </w:tc>
        <w:tc>
          <w:tcPr>
            <w:tcW w:w="1412" w:type="dxa"/>
            <w:vMerge w:val="restart"/>
            <w:shd w:val="clear" w:color="auto" w:fill="BDD7EE"/>
            <w:vAlign w:val="center"/>
            <w:hideMark/>
          </w:tcPr>
          <w:p w14:paraId="0F7AB3A3" w14:textId="77777777" w:rsidR="004C6421" w:rsidRDefault="009D1962">
            <w:pPr>
              <w:pStyle w:val="P68B1DB1-Normal3"/>
              <w:jc w:val="center"/>
              <w:rPr>
                <w:noProof/>
              </w:rPr>
            </w:pPr>
            <w:r>
              <w:rPr>
                <w:noProof/>
              </w:rPr>
              <w:t>Kamień milowy/wartość docelowa</w:t>
            </w:r>
          </w:p>
        </w:tc>
        <w:tc>
          <w:tcPr>
            <w:tcW w:w="1559" w:type="dxa"/>
            <w:vMerge w:val="restart"/>
            <w:shd w:val="clear" w:color="auto" w:fill="BDD7EE"/>
            <w:vAlign w:val="center"/>
            <w:hideMark/>
          </w:tcPr>
          <w:p w14:paraId="714A2990" w14:textId="77777777" w:rsidR="004C6421" w:rsidRDefault="009D1962">
            <w:pPr>
              <w:pStyle w:val="P68B1DB1-Normal3"/>
              <w:jc w:val="center"/>
              <w:rPr>
                <w:noProof/>
              </w:rPr>
            </w:pPr>
            <w:r>
              <w:rPr>
                <w:noProof/>
              </w:rPr>
              <w:t>Nazwa</w:t>
            </w:r>
          </w:p>
        </w:tc>
        <w:tc>
          <w:tcPr>
            <w:tcW w:w="1560" w:type="dxa"/>
            <w:vMerge w:val="restart"/>
            <w:shd w:val="clear" w:color="auto" w:fill="BDD7EE"/>
            <w:vAlign w:val="center"/>
            <w:hideMark/>
          </w:tcPr>
          <w:p w14:paraId="45295FBD" w14:textId="77777777" w:rsidR="004C6421" w:rsidRDefault="009D1962">
            <w:pPr>
              <w:jc w:val="center"/>
              <w:rPr>
                <w:rFonts w:ascii="Arial Narrow" w:hAnsi="Arial Narrow"/>
                <w:b/>
                <w:noProof/>
                <w:sz w:val="20"/>
              </w:rPr>
            </w:pPr>
            <w:r>
              <w:rPr>
                <w:rFonts w:ascii="Arial Narrow" w:hAnsi="Arial Narrow"/>
                <w:b/>
                <w:noProof/>
                <w:sz w:val="20"/>
              </w:rPr>
              <w:t xml:space="preserve">Wskaźniki jakościowe </w:t>
            </w:r>
            <w:r>
              <w:rPr>
                <w:rFonts w:ascii="Arial Narrow" w:hAnsi="Arial Narrow"/>
                <w:noProof/>
                <w:sz w:val="20"/>
              </w:rPr>
              <w:t xml:space="preserve"> </w:t>
            </w:r>
            <w:r>
              <w:rPr>
                <w:noProof/>
              </w:rPr>
              <w:t xml:space="preserve">  </w:t>
            </w:r>
            <w:r>
              <w:rPr>
                <w:noProof/>
              </w:rPr>
              <w:br/>
            </w:r>
            <w:r>
              <w:rPr>
                <w:rFonts w:ascii="Arial Narrow" w:hAnsi="Arial Narrow"/>
                <w:b/>
                <w:noProof/>
                <w:sz w:val="20"/>
              </w:rPr>
              <w:t>(dla kamieni milowych)</w:t>
            </w:r>
          </w:p>
        </w:tc>
        <w:tc>
          <w:tcPr>
            <w:tcW w:w="3260" w:type="dxa"/>
            <w:gridSpan w:val="3"/>
            <w:shd w:val="clear" w:color="auto" w:fill="BDD7EE"/>
            <w:vAlign w:val="center"/>
            <w:hideMark/>
          </w:tcPr>
          <w:p w14:paraId="5F4ABB30" w14:textId="77777777" w:rsidR="004C6421" w:rsidRDefault="009D1962">
            <w:pPr>
              <w:jc w:val="center"/>
              <w:rPr>
                <w:rFonts w:ascii="Arial Narrow" w:hAnsi="Arial Narrow"/>
                <w:b/>
                <w:noProof/>
                <w:sz w:val="20"/>
              </w:rPr>
            </w:pPr>
            <w:r>
              <w:rPr>
                <w:rFonts w:ascii="Arial Narrow" w:hAnsi="Arial Narrow"/>
                <w:b/>
                <w:noProof/>
                <w:sz w:val="20"/>
              </w:rPr>
              <w:t xml:space="preserve">Wskaźniki ilościowe </w:t>
            </w:r>
            <w:r>
              <w:rPr>
                <w:rFonts w:ascii="Arial Narrow" w:hAnsi="Arial Narrow"/>
                <w:noProof/>
                <w:sz w:val="20"/>
              </w:rPr>
              <w:t xml:space="preserve"> </w:t>
            </w:r>
            <w:r>
              <w:rPr>
                <w:noProof/>
              </w:rPr>
              <w:t xml:space="preserve">  </w:t>
            </w:r>
            <w:r>
              <w:rPr>
                <w:noProof/>
              </w:rPr>
              <w:br/>
            </w:r>
            <w:r>
              <w:rPr>
                <w:rFonts w:ascii="Arial Narrow" w:hAnsi="Arial Narrow"/>
                <w:b/>
                <w:noProof/>
                <w:sz w:val="20"/>
              </w:rPr>
              <w:t>(dla wartości docelowych)</w:t>
            </w:r>
          </w:p>
        </w:tc>
        <w:tc>
          <w:tcPr>
            <w:tcW w:w="1728" w:type="dxa"/>
            <w:gridSpan w:val="2"/>
            <w:shd w:val="clear" w:color="auto" w:fill="BDD7EE"/>
            <w:vAlign w:val="center"/>
            <w:hideMark/>
          </w:tcPr>
          <w:p w14:paraId="50FBFEFF" w14:textId="77777777" w:rsidR="004C6421" w:rsidRDefault="009D1962">
            <w:pPr>
              <w:pStyle w:val="P68B1DB1-Normal3"/>
              <w:jc w:val="center"/>
              <w:rPr>
                <w:noProof/>
              </w:rPr>
            </w:pPr>
            <w:r>
              <w:rPr>
                <w:noProof/>
              </w:rPr>
              <w:t>Orientacyjny harmonogram zakończenia działania</w:t>
            </w:r>
          </w:p>
        </w:tc>
        <w:tc>
          <w:tcPr>
            <w:tcW w:w="3271" w:type="dxa"/>
            <w:vMerge w:val="restart"/>
            <w:shd w:val="clear" w:color="auto" w:fill="BDD7EE"/>
            <w:vAlign w:val="center"/>
            <w:hideMark/>
          </w:tcPr>
          <w:p w14:paraId="6E725F51" w14:textId="77777777" w:rsidR="004C6421" w:rsidRDefault="009D1962">
            <w:pPr>
              <w:pStyle w:val="P68B1DB1-Normal3"/>
              <w:jc w:val="center"/>
              <w:rPr>
                <w:noProof/>
              </w:rPr>
            </w:pPr>
            <w:r>
              <w:rPr>
                <w:noProof/>
              </w:rPr>
              <w:t>Opis każdego kamienia milowego i każdej wartości docelowej</w:t>
            </w:r>
          </w:p>
        </w:tc>
      </w:tr>
      <w:tr w:rsidR="004C6421" w14:paraId="79C457BA" w14:textId="77777777">
        <w:trPr>
          <w:trHeight w:val="1013"/>
        </w:trPr>
        <w:tc>
          <w:tcPr>
            <w:tcW w:w="1207" w:type="dxa"/>
            <w:vMerge/>
            <w:vAlign w:val="center"/>
            <w:hideMark/>
          </w:tcPr>
          <w:p w14:paraId="32ED53C3" w14:textId="77777777" w:rsidR="004C6421" w:rsidRDefault="004C6421">
            <w:pPr>
              <w:jc w:val="center"/>
              <w:rPr>
                <w:rFonts w:ascii="Arial Narrow" w:hAnsi="Arial Narrow"/>
                <w:b/>
                <w:noProof/>
                <w:sz w:val="20"/>
              </w:rPr>
            </w:pPr>
          </w:p>
        </w:tc>
        <w:tc>
          <w:tcPr>
            <w:tcW w:w="1772" w:type="dxa"/>
            <w:vMerge/>
            <w:vAlign w:val="center"/>
            <w:hideMark/>
          </w:tcPr>
          <w:p w14:paraId="55B333E9" w14:textId="77777777" w:rsidR="004C6421" w:rsidRDefault="004C6421">
            <w:pPr>
              <w:jc w:val="center"/>
              <w:rPr>
                <w:rFonts w:ascii="Arial Narrow" w:hAnsi="Arial Narrow"/>
                <w:b/>
                <w:noProof/>
                <w:sz w:val="20"/>
              </w:rPr>
            </w:pPr>
          </w:p>
        </w:tc>
        <w:tc>
          <w:tcPr>
            <w:tcW w:w="1412" w:type="dxa"/>
            <w:vMerge/>
            <w:vAlign w:val="center"/>
            <w:hideMark/>
          </w:tcPr>
          <w:p w14:paraId="56DB43D7" w14:textId="77777777" w:rsidR="004C6421" w:rsidRDefault="004C6421">
            <w:pPr>
              <w:jc w:val="center"/>
              <w:rPr>
                <w:rFonts w:ascii="Arial Narrow" w:hAnsi="Arial Narrow"/>
                <w:b/>
                <w:noProof/>
                <w:sz w:val="20"/>
              </w:rPr>
            </w:pPr>
          </w:p>
        </w:tc>
        <w:tc>
          <w:tcPr>
            <w:tcW w:w="1559" w:type="dxa"/>
            <w:vMerge/>
            <w:vAlign w:val="center"/>
            <w:hideMark/>
          </w:tcPr>
          <w:p w14:paraId="34C672E9" w14:textId="77777777" w:rsidR="004C6421" w:rsidRDefault="004C6421">
            <w:pPr>
              <w:jc w:val="center"/>
              <w:rPr>
                <w:rFonts w:ascii="Arial Narrow" w:hAnsi="Arial Narrow"/>
                <w:b/>
                <w:noProof/>
                <w:sz w:val="20"/>
              </w:rPr>
            </w:pPr>
          </w:p>
        </w:tc>
        <w:tc>
          <w:tcPr>
            <w:tcW w:w="1560" w:type="dxa"/>
            <w:vMerge/>
            <w:vAlign w:val="center"/>
            <w:hideMark/>
          </w:tcPr>
          <w:p w14:paraId="3C332C63" w14:textId="77777777" w:rsidR="004C6421" w:rsidRDefault="004C6421">
            <w:pPr>
              <w:jc w:val="center"/>
              <w:rPr>
                <w:rFonts w:ascii="Arial Narrow" w:hAnsi="Arial Narrow"/>
                <w:b/>
                <w:noProof/>
                <w:sz w:val="20"/>
              </w:rPr>
            </w:pPr>
          </w:p>
        </w:tc>
        <w:tc>
          <w:tcPr>
            <w:tcW w:w="1134" w:type="dxa"/>
            <w:shd w:val="clear" w:color="auto" w:fill="BDD7EE"/>
            <w:vAlign w:val="center"/>
            <w:hideMark/>
          </w:tcPr>
          <w:p w14:paraId="123AA058" w14:textId="77777777" w:rsidR="004C6421" w:rsidRDefault="009D1962">
            <w:pPr>
              <w:pStyle w:val="P68B1DB1-Normal3"/>
              <w:jc w:val="center"/>
              <w:rPr>
                <w:noProof/>
              </w:rPr>
            </w:pPr>
            <w:r>
              <w:rPr>
                <w:noProof/>
              </w:rPr>
              <w:t>Jednostka miary</w:t>
            </w:r>
          </w:p>
        </w:tc>
        <w:tc>
          <w:tcPr>
            <w:tcW w:w="1134" w:type="dxa"/>
            <w:shd w:val="clear" w:color="auto" w:fill="BDD7EE"/>
            <w:vAlign w:val="center"/>
            <w:hideMark/>
          </w:tcPr>
          <w:p w14:paraId="6E26034B" w14:textId="77777777" w:rsidR="004C6421" w:rsidRDefault="009D1962">
            <w:pPr>
              <w:pStyle w:val="P68B1DB1-Normal3"/>
              <w:jc w:val="center"/>
              <w:rPr>
                <w:noProof/>
              </w:rPr>
            </w:pPr>
            <w:r>
              <w:rPr>
                <w:noProof/>
              </w:rPr>
              <w:t>Bazowy</w:t>
            </w:r>
          </w:p>
        </w:tc>
        <w:tc>
          <w:tcPr>
            <w:tcW w:w="992" w:type="dxa"/>
            <w:shd w:val="clear" w:color="auto" w:fill="BDD7EE"/>
            <w:vAlign w:val="center"/>
            <w:hideMark/>
          </w:tcPr>
          <w:p w14:paraId="43593E58" w14:textId="77777777" w:rsidR="004C6421" w:rsidRDefault="009D1962">
            <w:pPr>
              <w:pStyle w:val="P68B1DB1-Normal3"/>
              <w:jc w:val="center"/>
              <w:rPr>
                <w:noProof/>
              </w:rPr>
            </w:pPr>
            <w:r>
              <w:rPr>
                <w:noProof/>
              </w:rPr>
              <w:t>Cel</w:t>
            </w:r>
          </w:p>
        </w:tc>
        <w:tc>
          <w:tcPr>
            <w:tcW w:w="916" w:type="dxa"/>
            <w:shd w:val="clear" w:color="auto" w:fill="BDD7EE"/>
            <w:vAlign w:val="center"/>
            <w:hideMark/>
          </w:tcPr>
          <w:p w14:paraId="51B99799" w14:textId="77777777" w:rsidR="004C6421" w:rsidRDefault="009D1962">
            <w:pPr>
              <w:pStyle w:val="P68B1DB1-Normal3"/>
              <w:jc w:val="center"/>
              <w:rPr>
                <w:noProof/>
              </w:rPr>
            </w:pPr>
            <w:r>
              <w:rPr>
                <w:noProof/>
              </w:rPr>
              <w:t>Kwartał</w:t>
            </w:r>
          </w:p>
        </w:tc>
        <w:tc>
          <w:tcPr>
            <w:tcW w:w="812" w:type="dxa"/>
            <w:shd w:val="clear" w:color="auto" w:fill="BDD7EE"/>
            <w:vAlign w:val="center"/>
            <w:hideMark/>
          </w:tcPr>
          <w:p w14:paraId="57F9BC6C" w14:textId="77777777" w:rsidR="004C6421" w:rsidRDefault="009D1962">
            <w:pPr>
              <w:pStyle w:val="P68B1DB1-Normal3"/>
              <w:jc w:val="center"/>
              <w:rPr>
                <w:noProof/>
              </w:rPr>
            </w:pPr>
            <w:r>
              <w:rPr>
                <w:noProof/>
              </w:rPr>
              <w:t>Rok</w:t>
            </w:r>
          </w:p>
        </w:tc>
        <w:tc>
          <w:tcPr>
            <w:tcW w:w="3271" w:type="dxa"/>
            <w:vMerge/>
            <w:vAlign w:val="center"/>
            <w:hideMark/>
          </w:tcPr>
          <w:p w14:paraId="22BE4E08" w14:textId="77777777" w:rsidR="004C6421" w:rsidRDefault="004C6421">
            <w:pPr>
              <w:jc w:val="center"/>
              <w:rPr>
                <w:rFonts w:ascii="Arial Narrow" w:hAnsi="Arial Narrow"/>
                <w:b/>
                <w:noProof/>
                <w:sz w:val="20"/>
              </w:rPr>
            </w:pPr>
          </w:p>
        </w:tc>
      </w:tr>
      <w:tr w:rsidR="004C6421" w14:paraId="00A85799" w14:textId="77777777">
        <w:trPr>
          <w:trHeight w:val="309"/>
        </w:trPr>
        <w:tc>
          <w:tcPr>
            <w:tcW w:w="1207" w:type="dxa"/>
            <w:shd w:val="clear" w:color="auto" w:fill="C6EFCE"/>
            <w:noWrap/>
            <w:vAlign w:val="center"/>
            <w:hideMark/>
          </w:tcPr>
          <w:p w14:paraId="7C667E11" w14:textId="77777777" w:rsidR="004C6421" w:rsidRDefault="009D1962">
            <w:pPr>
              <w:pStyle w:val="P68B1DB1-Normal4"/>
              <w:jc w:val="center"/>
              <w:rPr>
                <w:noProof/>
              </w:rPr>
            </w:pPr>
            <w:r>
              <w:rPr>
                <w:noProof/>
              </w:rPr>
              <w:t>M5C3-1</w:t>
            </w:r>
          </w:p>
        </w:tc>
        <w:tc>
          <w:tcPr>
            <w:tcW w:w="1772" w:type="dxa"/>
            <w:shd w:val="clear" w:color="auto" w:fill="C6EFCE"/>
            <w:noWrap/>
            <w:vAlign w:val="center"/>
            <w:hideMark/>
          </w:tcPr>
          <w:p w14:paraId="02FF49FD" w14:textId="77777777" w:rsidR="004C6421" w:rsidRDefault="009D1962">
            <w:pPr>
              <w:pStyle w:val="P68B1DB1-Normal4"/>
              <w:jc w:val="center"/>
              <w:rPr>
                <w:noProof/>
              </w:rPr>
            </w:pPr>
            <w:r>
              <w:rPr>
                <w:noProof/>
              </w:rPr>
              <w:t>Inwestycja 1.1.1: Obszary wewnętrzne – Wzmocnienie usług społecznych i infrastruktury społecznej</w:t>
            </w:r>
          </w:p>
        </w:tc>
        <w:tc>
          <w:tcPr>
            <w:tcW w:w="1412" w:type="dxa"/>
            <w:shd w:val="clear" w:color="auto" w:fill="C6EFCE"/>
            <w:noWrap/>
            <w:vAlign w:val="center"/>
            <w:hideMark/>
          </w:tcPr>
          <w:p w14:paraId="16C63379" w14:textId="4C07E393" w:rsidR="004C6421" w:rsidRDefault="00CC179E">
            <w:pPr>
              <w:pStyle w:val="P68B1DB1-Normal4"/>
              <w:jc w:val="center"/>
              <w:rPr>
                <w:noProof/>
              </w:rPr>
            </w:pPr>
            <w:r>
              <w:rPr>
                <w:noProof/>
              </w:rPr>
              <w:t>Milowy</w:t>
            </w:r>
          </w:p>
        </w:tc>
        <w:tc>
          <w:tcPr>
            <w:tcW w:w="1559" w:type="dxa"/>
            <w:shd w:val="clear" w:color="auto" w:fill="C6EFCE"/>
            <w:noWrap/>
            <w:vAlign w:val="center"/>
            <w:hideMark/>
          </w:tcPr>
          <w:p w14:paraId="4CB16427" w14:textId="77777777" w:rsidR="004C6421" w:rsidRDefault="009D1962">
            <w:pPr>
              <w:pStyle w:val="P68B1DB1-Normal4"/>
              <w:jc w:val="center"/>
              <w:rPr>
                <w:noProof/>
              </w:rPr>
            </w:pPr>
            <w:r>
              <w:rPr>
                <w:noProof/>
              </w:rPr>
              <w:t>Udzielenie zamówienia na interwencje mające na celu poprawę usług i infrastruktury społecznej na obszarach wewnętrznych oraz wsparcie aptek w gminach o liczbie mieszkańców poniżej 3000</w:t>
            </w:r>
          </w:p>
        </w:tc>
        <w:tc>
          <w:tcPr>
            <w:tcW w:w="1560" w:type="dxa"/>
            <w:shd w:val="clear" w:color="auto" w:fill="C6EFCE"/>
            <w:noWrap/>
            <w:vAlign w:val="center"/>
            <w:hideMark/>
          </w:tcPr>
          <w:p w14:paraId="4C5C09AE" w14:textId="77777777" w:rsidR="004C6421" w:rsidRDefault="009D1962">
            <w:pPr>
              <w:pStyle w:val="P68B1DB1-Normal4"/>
              <w:jc w:val="center"/>
              <w:rPr>
                <w:noProof/>
              </w:rPr>
            </w:pPr>
            <w:r>
              <w:rPr>
                <w:noProof/>
              </w:rPr>
              <w:t>Powiadomienie o udzieleniu wszystkich zamówień publicznych na interwencje</w:t>
            </w:r>
          </w:p>
        </w:tc>
        <w:tc>
          <w:tcPr>
            <w:tcW w:w="1134" w:type="dxa"/>
            <w:shd w:val="clear" w:color="auto" w:fill="C6EFCE"/>
            <w:noWrap/>
            <w:vAlign w:val="center"/>
            <w:hideMark/>
          </w:tcPr>
          <w:p w14:paraId="01EC2611" w14:textId="77777777" w:rsidR="004C6421" w:rsidRDefault="009D1962">
            <w:pPr>
              <w:pStyle w:val="P68B1DB1-Normal4"/>
              <w:jc w:val="center"/>
              <w:rPr>
                <w:noProof/>
              </w:rPr>
            </w:pPr>
            <w:r>
              <w:rPr>
                <w:noProof/>
              </w:rPr>
              <w:t>NIE DOT.</w:t>
            </w:r>
          </w:p>
        </w:tc>
        <w:tc>
          <w:tcPr>
            <w:tcW w:w="1134" w:type="dxa"/>
            <w:shd w:val="clear" w:color="auto" w:fill="C6EFCE"/>
            <w:noWrap/>
            <w:vAlign w:val="center"/>
            <w:hideMark/>
          </w:tcPr>
          <w:p w14:paraId="5B7D0316" w14:textId="77777777" w:rsidR="004C6421" w:rsidRDefault="009D1962">
            <w:pPr>
              <w:pStyle w:val="P68B1DB1-Normal4"/>
              <w:jc w:val="center"/>
              <w:rPr>
                <w:noProof/>
              </w:rPr>
            </w:pPr>
            <w:r>
              <w:rPr>
                <w:noProof/>
              </w:rPr>
              <w:t>NIE DOT.</w:t>
            </w:r>
          </w:p>
        </w:tc>
        <w:tc>
          <w:tcPr>
            <w:tcW w:w="992" w:type="dxa"/>
            <w:shd w:val="clear" w:color="auto" w:fill="C6EFCE"/>
            <w:noWrap/>
            <w:vAlign w:val="center"/>
            <w:hideMark/>
          </w:tcPr>
          <w:p w14:paraId="65EC4393" w14:textId="77777777" w:rsidR="004C6421" w:rsidRDefault="009D1962">
            <w:pPr>
              <w:pStyle w:val="P68B1DB1-Normal4"/>
              <w:jc w:val="center"/>
              <w:rPr>
                <w:noProof/>
              </w:rPr>
            </w:pPr>
            <w:r>
              <w:rPr>
                <w:noProof/>
              </w:rPr>
              <w:t>NIE DOT.</w:t>
            </w:r>
          </w:p>
        </w:tc>
        <w:tc>
          <w:tcPr>
            <w:tcW w:w="916" w:type="dxa"/>
            <w:shd w:val="clear" w:color="auto" w:fill="C6EFCE"/>
            <w:noWrap/>
            <w:vAlign w:val="center"/>
            <w:hideMark/>
          </w:tcPr>
          <w:p w14:paraId="33E9546A" w14:textId="65B25D56" w:rsidR="004C6421" w:rsidRDefault="00CC179E">
            <w:pPr>
              <w:pStyle w:val="P68B1DB1-Normal4"/>
              <w:jc w:val="center"/>
              <w:rPr>
                <w:noProof/>
              </w:rPr>
            </w:pPr>
            <w:r>
              <w:rPr>
                <w:noProof/>
              </w:rPr>
              <w:t>KW. 4</w:t>
            </w:r>
          </w:p>
        </w:tc>
        <w:tc>
          <w:tcPr>
            <w:tcW w:w="812" w:type="dxa"/>
            <w:shd w:val="clear" w:color="auto" w:fill="C6EFCE"/>
            <w:noWrap/>
            <w:vAlign w:val="center"/>
            <w:hideMark/>
          </w:tcPr>
          <w:p w14:paraId="19584392" w14:textId="77777777" w:rsidR="004C6421" w:rsidRDefault="009D1962">
            <w:pPr>
              <w:pStyle w:val="P68B1DB1-Normal4"/>
              <w:jc w:val="center"/>
              <w:rPr>
                <w:noProof/>
              </w:rPr>
            </w:pPr>
            <w:r>
              <w:rPr>
                <w:noProof/>
              </w:rPr>
              <w:t>2022</w:t>
            </w:r>
          </w:p>
        </w:tc>
        <w:tc>
          <w:tcPr>
            <w:tcW w:w="3271" w:type="dxa"/>
            <w:shd w:val="clear" w:color="auto" w:fill="C6EFCE"/>
            <w:noWrap/>
            <w:vAlign w:val="center"/>
            <w:hideMark/>
          </w:tcPr>
          <w:p w14:paraId="6A250271" w14:textId="77777777" w:rsidR="004C6421" w:rsidRDefault="004C6421">
            <w:pPr>
              <w:jc w:val="center"/>
              <w:rPr>
                <w:rFonts w:ascii="Arial Narrow" w:hAnsi="Arial Narrow"/>
                <w:noProof/>
                <w:sz w:val="20"/>
              </w:rPr>
            </w:pPr>
          </w:p>
          <w:p w14:paraId="28DB910E" w14:textId="77777777" w:rsidR="004C6421" w:rsidRDefault="009D1962">
            <w:pPr>
              <w:pStyle w:val="P68B1DB1-Normal4"/>
              <w:rPr>
                <w:noProof/>
              </w:rPr>
            </w:pPr>
            <w:r>
              <w:rPr>
                <w:noProof/>
              </w:rPr>
              <w:t>Interwencja ma na celu stworzenie nowych usług i infrastruktur lub poprawę istniejących usług i infrastruktur poprzez zwiększenie liczby odbiorców lub poprawę jakości dostaw.</w:t>
            </w:r>
          </w:p>
          <w:p w14:paraId="0A587E10" w14:textId="77777777" w:rsidR="004C6421" w:rsidRDefault="004C6421">
            <w:pPr>
              <w:rPr>
                <w:rFonts w:ascii="Arial Narrow" w:hAnsi="Arial Narrow"/>
                <w:noProof/>
                <w:sz w:val="20"/>
              </w:rPr>
            </w:pPr>
          </w:p>
          <w:p w14:paraId="7FE8D339" w14:textId="77777777" w:rsidR="004C6421" w:rsidRDefault="009D1962">
            <w:pPr>
              <w:pStyle w:val="P68B1DB1-Normal4"/>
              <w:rPr>
                <w:noProof/>
              </w:rPr>
            </w:pPr>
            <w:r>
              <w:rPr>
                <w:noProof/>
              </w:rPr>
              <w:t>Ogłaszanie wszystkich konkurencyjnych zaproszeń do składania wniosków odbywa się z uwzględnieniem kryteriów kwalifikowalności zapewniających zgodność wybranych projektów z wytycznymi technicznymi dotyczącymi zasady „nie czyń poważnych szkód” (2021/C58/01) poprzez wykorzystanie listy wykluczenia oraz wymóg zgodności z odpowiednimi unijnymi i krajowymi przepisami w zakresie ochrony środowiska.</w:t>
            </w:r>
          </w:p>
          <w:p w14:paraId="21FC2061" w14:textId="77777777" w:rsidR="004C6421" w:rsidRDefault="004C6421">
            <w:pPr>
              <w:rPr>
                <w:rFonts w:ascii="Arial Narrow" w:hAnsi="Arial Narrow"/>
                <w:noProof/>
                <w:color w:val="006100"/>
                <w:sz w:val="20"/>
              </w:rPr>
            </w:pPr>
          </w:p>
          <w:p w14:paraId="6072E7A7" w14:textId="77777777" w:rsidR="004C6421" w:rsidRDefault="009D1962">
            <w:pPr>
              <w:pStyle w:val="P68B1DB1-Normal4"/>
              <w:rPr>
                <w:noProof/>
              </w:rPr>
            </w:pPr>
            <w:r>
              <w:rPr>
                <w:noProof/>
              </w:rPr>
              <w:t>Obszary wewnętrzne to obszary określone w strategii Nazionale Aree Interne; Apteki wiejskie są definiowane na podstawie ustawy. 27 marca 1968 r., n.221.</w:t>
            </w:r>
          </w:p>
          <w:p w14:paraId="332DD746" w14:textId="77777777" w:rsidR="004C6421" w:rsidRDefault="004C6421">
            <w:pPr>
              <w:jc w:val="center"/>
              <w:rPr>
                <w:rFonts w:ascii="Arial Narrow" w:hAnsi="Arial Narrow"/>
                <w:noProof/>
                <w:sz w:val="20"/>
              </w:rPr>
            </w:pPr>
          </w:p>
        </w:tc>
      </w:tr>
      <w:tr w:rsidR="004C6421" w14:paraId="0D926BEB" w14:textId="77777777">
        <w:trPr>
          <w:trHeight w:val="309"/>
        </w:trPr>
        <w:tc>
          <w:tcPr>
            <w:tcW w:w="1207" w:type="dxa"/>
            <w:shd w:val="clear" w:color="auto" w:fill="C6EFCE"/>
            <w:noWrap/>
            <w:vAlign w:val="center"/>
            <w:hideMark/>
          </w:tcPr>
          <w:p w14:paraId="553540C7" w14:textId="77777777" w:rsidR="004C6421" w:rsidRDefault="009D1962">
            <w:pPr>
              <w:pStyle w:val="P68B1DB1-Normal4"/>
              <w:jc w:val="center"/>
              <w:rPr>
                <w:noProof/>
              </w:rPr>
            </w:pPr>
            <w:r>
              <w:rPr>
                <w:noProof/>
              </w:rPr>
              <w:t>M5C3-3</w:t>
            </w:r>
          </w:p>
        </w:tc>
        <w:tc>
          <w:tcPr>
            <w:tcW w:w="1772" w:type="dxa"/>
            <w:shd w:val="clear" w:color="auto" w:fill="C6EFCE"/>
            <w:noWrap/>
            <w:vAlign w:val="center"/>
            <w:hideMark/>
          </w:tcPr>
          <w:p w14:paraId="7702F4F9" w14:textId="77777777" w:rsidR="004C6421" w:rsidRDefault="009D1962">
            <w:pPr>
              <w:pStyle w:val="P68B1DB1-Normal4"/>
              <w:jc w:val="center"/>
              <w:rPr>
                <w:noProof/>
              </w:rPr>
            </w:pPr>
            <w:r>
              <w:rPr>
                <w:noProof/>
              </w:rPr>
              <w:t>Inwestycja 1.1.2: Lokalna bliskość placówek opieki zdrowotnej</w:t>
            </w:r>
          </w:p>
        </w:tc>
        <w:tc>
          <w:tcPr>
            <w:tcW w:w="1412" w:type="dxa"/>
            <w:shd w:val="clear" w:color="auto" w:fill="C6EFCE"/>
            <w:noWrap/>
            <w:vAlign w:val="center"/>
            <w:hideMark/>
          </w:tcPr>
          <w:p w14:paraId="477CE23A" w14:textId="77777777" w:rsidR="004C6421" w:rsidRDefault="009D1962">
            <w:pPr>
              <w:pStyle w:val="P68B1DB1-Normal4"/>
              <w:jc w:val="center"/>
              <w:rPr>
                <w:noProof/>
              </w:rPr>
            </w:pPr>
            <w:r>
              <w:rPr>
                <w:noProof/>
              </w:rPr>
              <w:t>Cel</w:t>
            </w:r>
          </w:p>
        </w:tc>
        <w:tc>
          <w:tcPr>
            <w:tcW w:w="1559" w:type="dxa"/>
            <w:shd w:val="clear" w:color="auto" w:fill="C6EFCE"/>
            <w:noWrap/>
            <w:vAlign w:val="center"/>
            <w:hideMark/>
          </w:tcPr>
          <w:p w14:paraId="1CFFA8F5" w14:textId="77777777" w:rsidR="004C6421" w:rsidRDefault="009D1962">
            <w:pPr>
              <w:pStyle w:val="P68B1DB1-Normal4"/>
              <w:jc w:val="center"/>
              <w:rPr>
                <w:noProof/>
              </w:rPr>
            </w:pPr>
            <w:r>
              <w:rPr>
                <w:noProof/>
              </w:rPr>
              <w:t>Reforma 1.5: Reforma grup uniwersyteckich; Reforma 1.6: Umożliwienie reformy studiów wyższych</w:t>
            </w:r>
          </w:p>
        </w:tc>
        <w:tc>
          <w:tcPr>
            <w:tcW w:w="1560" w:type="dxa"/>
            <w:shd w:val="clear" w:color="auto" w:fill="C6EFCE"/>
            <w:noWrap/>
            <w:vAlign w:val="center"/>
            <w:hideMark/>
          </w:tcPr>
          <w:p w14:paraId="17018956" w14:textId="77777777" w:rsidR="004C6421" w:rsidRDefault="009D1962">
            <w:pPr>
              <w:pStyle w:val="P68B1DB1-Normal4"/>
              <w:jc w:val="center"/>
              <w:rPr>
                <w:noProof/>
              </w:rPr>
            </w:pPr>
            <w:r>
              <w:rPr>
                <w:noProof/>
              </w:rPr>
              <w:t>NIE DOT.</w:t>
            </w:r>
          </w:p>
        </w:tc>
        <w:tc>
          <w:tcPr>
            <w:tcW w:w="1134" w:type="dxa"/>
            <w:shd w:val="clear" w:color="auto" w:fill="C6EFCE"/>
            <w:noWrap/>
            <w:vAlign w:val="center"/>
            <w:hideMark/>
          </w:tcPr>
          <w:p w14:paraId="30FE62EA" w14:textId="77777777" w:rsidR="004C6421" w:rsidRDefault="009D1962">
            <w:pPr>
              <w:pStyle w:val="P68B1DB1-Normal4"/>
              <w:jc w:val="center"/>
              <w:rPr>
                <w:noProof/>
              </w:rPr>
            </w:pPr>
            <w:r>
              <w:rPr>
                <w:noProof/>
              </w:rPr>
              <w:t>Numer</w:t>
            </w:r>
          </w:p>
        </w:tc>
        <w:tc>
          <w:tcPr>
            <w:tcW w:w="1134" w:type="dxa"/>
            <w:shd w:val="clear" w:color="auto" w:fill="C6EFCE"/>
            <w:noWrap/>
            <w:vAlign w:val="center"/>
            <w:hideMark/>
          </w:tcPr>
          <w:p w14:paraId="2A25671A" w14:textId="77777777" w:rsidR="004C6421" w:rsidRDefault="009D1962">
            <w:pPr>
              <w:pStyle w:val="P68B1DB1-Normal4"/>
              <w:jc w:val="center"/>
              <w:rPr>
                <w:noProof/>
              </w:rPr>
            </w:pPr>
            <w:r>
              <w:rPr>
                <w:noProof/>
              </w:rPr>
              <w:t>0</w:t>
            </w:r>
          </w:p>
        </w:tc>
        <w:tc>
          <w:tcPr>
            <w:tcW w:w="992" w:type="dxa"/>
            <w:shd w:val="clear" w:color="auto" w:fill="C6EFCE"/>
            <w:noWrap/>
            <w:vAlign w:val="center"/>
            <w:hideMark/>
          </w:tcPr>
          <w:p w14:paraId="77F11DD8" w14:textId="77777777" w:rsidR="004C6421" w:rsidRDefault="009D1962">
            <w:pPr>
              <w:pStyle w:val="P68B1DB1-Normal4"/>
              <w:jc w:val="center"/>
              <w:rPr>
                <w:noProof/>
              </w:rPr>
            </w:pPr>
            <w:r>
              <w:rPr>
                <w:noProof/>
              </w:rPr>
              <w:t>500</w:t>
            </w:r>
          </w:p>
        </w:tc>
        <w:tc>
          <w:tcPr>
            <w:tcW w:w="916" w:type="dxa"/>
            <w:shd w:val="clear" w:color="auto" w:fill="C6EFCE"/>
            <w:noWrap/>
            <w:vAlign w:val="center"/>
            <w:hideMark/>
          </w:tcPr>
          <w:p w14:paraId="7812D9A8" w14:textId="06B38B68" w:rsidR="004C6421" w:rsidRDefault="00CC179E">
            <w:pPr>
              <w:pStyle w:val="P68B1DB1-Normal4"/>
              <w:jc w:val="center"/>
              <w:rPr>
                <w:noProof/>
              </w:rPr>
            </w:pPr>
            <w:r>
              <w:rPr>
                <w:noProof/>
              </w:rPr>
              <w:t>KW. 4</w:t>
            </w:r>
          </w:p>
        </w:tc>
        <w:tc>
          <w:tcPr>
            <w:tcW w:w="812" w:type="dxa"/>
            <w:shd w:val="clear" w:color="auto" w:fill="C6EFCE"/>
            <w:noWrap/>
            <w:vAlign w:val="center"/>
            <w:hideMark/>
          </w:tcPr>
          <w:p w14:paraId="0634FB58" w14:textId="77777777" w:rsidR="004C6421" w:rsidRDefault="009D1962">
            <w:pPr>
              <w:pStyle w:val="P68B1DB1-Normal4"/>
              <w:jc w:val="center"/>
              <w:rPr>
                <w:noProof/>
              </w:rPr>
            </w:pPr>
            <w:r>
              <w:rPr>
                <w:noProof/>
              </w:rPr>
              <w:t>2023</w:t>
            </w:r>
          </w:p>
        </w:tc>
        <w:tc>
          <w:tcPr>
            <w:tcW w:w="3271" w:type="dxa"/>
            <w:shd w:val="clear" w:color="auto" w:fill="C6EFCE"/>
            <w:noWrap/>
            <w:vAlign w:val="center"/>
            <w:hideMark/>
          </w:tcPr>
          <w:p w14:paraId="399B1571" w14:textId="4A8B88E8" w:rsidR="004C6421" w:rsidRDefault="009D1962">
            <w:pPr>
              <w:rPr>
                <w:rFonts w:ascii="Arial Narrow" w:hAnsi="Arial Narrow"/>
                <w:noProof/>
                <w:color w:val="006100"/>
                <w:sz w:val="20"/>
              </w:rPr>
            </w:pPr>
            <w:r>
              <w:rPr>
                <w:rFonts w:ascii="Arial Narrow" w:hAnsi="Arial Narrow"/>
                <w:noProof/>
                <w:color w:val="006100"/>
                <w:sz w:val="20"/>
              </w:rPr>
              <w:t>Z interwencji korzysta co najmniej 500 aptek wiejskich w gminach, chomikach lub osiedlach liczących mniej niż 5000 mieszkańców.</w:t>
            </w:r>
          </w:p>
        </w:tc>
      </w:tr>
      <w:tr w:rsidR="004C6421" w14:paraId="36E8447A" w14:textId="77777777">
        <w:trPr>
          <w:trHeight w:val="309"/>
        </w:trPr>
        <w:tc>
          <w:tcPr>
            <w:tcW w:w="1207" w:type="dxa"/>
            <w:shd w:val="clear" w:color="auto" w:fill="C6EFCE"/>
            <w:noWrap/>
            <w:vAlign w:val="center"/>
            <w:hideMark/>
          </w:tcPr>
          <w:p w14:paraId="4542BE02" w14:textId="77777777" w:rsidR="004C6421" w:rsidRDefault="009D1962">
            <w:pPr>
              <w:pStyle w:val="P68B1DB1-Normal4"/>
              <w:jc w:val="center"/>
              <w:rPr>
                <w:noProof/>
              </w:rPr>
            </w:pPr>
            <w:r>
              <w:rPr>
                <w:noProof/>
              </w:rPr>
              <w:t>M5C3-4</w:t>
            </w:r>
          </w:p>
        </w:tc>
        <w:tc>
          <w:tcPr>
            <w:tcW w:w="1772" w:type="dxa"/>
            <w:shd w:val="clear" w:color="auto" w:fill="C6EFCE"/>
            <w:noWrap/>
            <w:vAlign w:val="center"/>
            <w:hideMark/>
          </w:tcPr>
          <w:p w14:paraId="2C802FF0" w14:textId="77777777" w:rsidR="004C6421" w:rsidRDefault="009D1962">
            <w:pPr>
              <w:pStyle w:val="P68B1DB1-Normal4"/>
              <w:jc w:val="center"/>
              <w:rPr>
                <w:noProof/>
              </w:rPr>
            </w:pPr>
            <w:r>
              <w:rPr>
                <w:noProof/>
              </w:rPr>
              <w:t>Inwestycja 1.1.2: Lokalna bliskość placówek opieki zdrowotnej</w:t>
            </w:r>
          </w:p>
        </w:tc>
        <w:tc>
          <w:tcPr>
            <w:tcW w:w="1412" w:type="dxa"/>
            <w:shd w:val="clear" w:color="auto" w:fill="C6EFCE"/>
            <w:noWrap/>
            <w:vAlign w:val="center"/>
            <w:hideMark/>
          </w:tcPr>
          <w:p w14:paraId="4CBBE287" w14:textId="77777777" w:rsidR="004C6421" w:rsidRDefault="009D1962">
            <w:pPr>
              <w:pStyle w:val="P68B1DB1-Normal4"/>
              <w:jc w:val="center"/>
              <w:rPr>
                <w:noProof/>
              </w:rPr>
            </w:pPr>
            <w:r>
              <w:rPr>
                <w:noProof/>
              </w:rPr>
              <w:t>Cel</w:t>
            </w:r>
          </w:p>
        </w:tc>
        <w:tc>
          <w:tcPr>
            <w:tcW w:w="1559" w:type="dxa"/>
            <w:shd w:val="clear" w:color="auto" w:fill="C6EFCE"/>
            <w:noWrap/>
            <w:vAlign w:val="center"/>
            <w:hideMark/>
          </w:tcPr>
          <w:p w14:paraId="5EEE34CD" w14:textId="77777777" w:rsidR="004C6421" w:rsidRDefault="009D1962">
            <w:pPr>
              <w:pStyle w:val="P68B1DB1-Normal4"/>
              <w:jc w:val="center"/>
              <w:rPr>
                <w:noProof/>
              </w:rPr>
            </w:pPr>
            <w:r>
              <w:rPr>
                <w:noProof/>
              </w:rPr>
              <w:t>Wsparcie dla aptek wiejskich w gminach, osadach lub osiedlach liczących mniej niż 5000 mieszkańców (druga partia)</w:t>
            </w:r>
          </w:p>
        </w:tc>
        <w:tc>
          <w:tcPr>
            <w:tcW w:w="1560" w:type="dxa"/>
            <w:shd w:val="clear" w:color="auto" w:fill="C6EFCE"/>
            <w:noWrap/>
            <w:vAlign w:val="center"/>
            <w:hideMark/>
          </w:tcPr>
          <w:p w14:paraId="736C7B8E" w14:textId="77777777" w:rsidR="004C6421" w:rsidRDefault="009D1962">
            <w:pPr>
              <w:pStyle w:val="P68B1DB1-Normal4"/>
              <w:jc w:val="center"/>
              <w:rPr>
                <w:noProof/>
              </w:rPr>
            </w:pPr>
            <w:r>
              <w:rPr>
                <w:noProof/>
              </w:rPr>
              <w:t>NIE DOT.</w:t>
            </w:r>
          </w:p>
        </w:tc>
        <w:tc>
          <w:tcPr>
            <w:tcW w:w="1134" w:type="dxa"/>
            <w:shd w:val="clear" w:color="auto" w:fill="C6EFCE"/>
            <w:noWrap/>
            <w:vAlign w:val="center"/>
            <w:hideMark/>
          </w:tcPr>
          <w:p w14:paraId="23CCE3AF" w14:textId="77777777" w:rsidR="004C6421" w:rsidRDefault="009D1962">
            <w:pPr>
              <w:pStyle w:val="P68B1DB1-Normal4"/>
              <w:jc w:val="center"/>
              <w:rPr>
                <w:noProof/>
              </w:rPr>
            </w:pPr>
            <w:r>
              <w:rPr>
                <w:noProof/>
              </w:rPr>
              <w:t>Numer</w:t>
            </w:r>
          </w:p>
        </w:tc>
        <w:tc>
          <w:tcPr>
            <w:tcW w:w="1134" w:type="dxa"/>
            <w:shd w:val="clear" w:color="auto" w:fill="C6EFCE"/>
            <w:noWrap/>
            <w:vAlign w:val="center"/>
            <w:hideMark/>
          </w:tcPr>
          <w:p w14:paraId="06477609" w14:textId="77777777" w:rsidR="004C6421" w:rsidRDefault="009D1962">
            <w:pPr>
              <w:pStyle w:val="P68B1DB1-Normal4"/>
              <w:jc w:val="center"/>
              <w:rPr>
                <w:noProof/>
              </w:rPr>
            </w:pPr>
            <w:r>
              <w:rPr>
                <w:noProof/>
              </w:rPr>
              <w:t>500</w:t>
            </w:r>
          </w:p>
        </w:tc>
        <w:tc>
          <w:tcPr>
            <w:tcW w:w="992" w:type="dxa"/>
            <w:shd w:val="clear" w:color="auto" w:fill="C6EFCE"/>
            <w:noWrap/>
            <w:vAlign w:val="center"/>
            <w:hideMark/>
          </w:tcPr>
          <w:p w14:paraId="7E87F95A" w14:textId="4B033759" w:rsidR="004C6421" w:rsidRDefault="009D1962">
            <w:pPr>
              <w:jc w:val="center"/>
              <w:rPr>
                <w:rFonts w:ascii="Arial Narrow" w:hAnsi="Arial Narrow"/>
                <w:noProof/>
                <w:color w:val="006100"/>
                <w:sz w:val="20"/>
              </w:rPr>
            </w:pPr>
            <w:r>
              <w:rPr>
                <w:rFonts w:ascii="Arial Narrow" w:hAnsi="Arial Narrow"/>
                <w:noProof/>
                <w:color w:val="006100"/>
                <w:sz w:val="20"/>
              </w:rPr>
              <w:t>2</w:t>
            </w:r>
            <w:r>
              <w:rPr>
                <w:noProof/>
                <w:sz w:val="23"/>
              </w:rPr>
              <w:t xml:space="preserve"> </w:t>
            </w:r>
            <w:r>
              <w:rPr>
                <w:rFonts w:ascii="Arial Narrow" w:hAnsi="Arial Narrow"/>
                <w:noProof/>
                <w:color w:val="006100"/>
                <w:sz w:val="20"/>
              </w:rPr>
              <w:t>000</w:t>
            </w:r>
          </w:p>
        </w:tc>
        <w:tc>
          <w:tcPr>
            <w:tcW w:w="916" w:type="dxa"/>
            <w:shd w:val="clear" w:color="auto" w:fill="C6EFCE"/>
            <w:noWrap/>
            <w:vAlign w:val="center"/>
            <w:hideMark/>
          </w:tcPr>
          <w:p w14:paraId="4175F9D7" w14:textId="77777777" w:rsidR="004C6421" w:rsidRDefault="009D1962">
            <w:pPr>
              <w:pStyle w:val="P68B1DB1-Normal4"/>
              <w:jc w:val="center"/>
              <w:rPr>
                <w:noProof/>
              </w:rPr>
            </w:pPr>
            <w:r>
              <w:rPr>
                <w:noProof/>
              </w:rPr>
              <w:t>II KW.</w:t>
            </w:r>
          </w:p>
        </w:tc>
        <w:tc>
          <w:tcPr>
            <w:tcW w:w="812" w:type="dxa"/>
            <w:shd w:val="clear" w:color="auto" w:fill="C6EFCE"/>
            <w:noWrap/>
            <w:vAlign w:val="center"/>
            <w:hideMark/>
          </w:tcPr>
          <w:p w14:paraId="65FE8897" w14:textId="77777777" w:rsidR="004C6421" w:rsidRDefault="009D1962">
            <w:pPr>
              <w:pStyle w:val="P68B1DB1-Normal4"/>
              <w:jc w:val="center"/>
              <w:rPr>
                <w:noProof/>
              </w:rPr>
            </w:pPr>
            <w:r>
              <w:rPr>
                <w:noProof/>
              </w:rPr>
              <w:t>2026</w:t>
            </w:r>
          </w:p>
        </w:tc>
        <w:tc>
          <w:tcPr>
            <w:tcW w:w="3271" w:type="dxa"/>
            <w:shd w:val="clear" w:color="auto" w:fill="C6EFCE"/>
            <w:noWrap/>
            <w:vAlign w:val="center"/>
            <w:hideMark/>
          </w:tcPr>
          <w:p w14:paraId="70CB00BD" w14:textId="569B7927" w:rsidR="004C6421" w:rsidRDefault="009D1962">
            <w:pPr>
              <w:rPr>
                <w:rFonts w:ascii="Arial Narrow" w:hAnsi="Arial Narrow"/>
                <w:noProof/>
                <w:color w:val="006100"/>
                <w:sz w:val="20"/>
              </w:rPr>
            </w:pPr>
            <w:r>
              <w:rPr>
                <w:rFonts w:ascii="Arial Narrow" w:hAnsi="Arial Narrow"/>
                <w:noProof/>
                <w:color w:val="006100"/>
                <w:sz w:val="20"/>
              </w:rPr>
              <w:t>2 Z interwencji korzysta co najmniej 2000 aptek wiejskich w gminach, a także osiedla liczące mniej niż 5000 mieszkańców.</w:t>
            </w:r>
          </w:p>
        </w:tc>
      </w:tr>
      <w:tr w:rsidR="004C6421" w14:paraId="6B5098C1" w14:textId="77777777">
        <w:trPr>
          <w:trHeight w:val="309"/>
        </w:trPr>
        <w:tc>
          <w:tcPr>
            <w:tcW w:w="1207" w:type="dxa"/>
            <w:shd w:val="clear" w:color="auto" w:fill="C6EFCE"/>
            <w:noWrap/>
            <w:vAlign w:val="center"/>
          </w:tcPr>
          <w:p w14:paraId="0797D2DE" w14:textId="77777777" w:rsidR="004C6421" w:rsidRDefault="009D1962">
            <w:pPr>
              <w:pStyle w:val="P68B1DB1-Normal4"/>
              <w:jc w:val="center"/>
              <w:rPr>
                <w:noProof/>
              </w:rPr>
            </w:pPr>
            <w:r>
              <w:rPr>
                <w:noProof/>
              </w:rPr>
              <w:t>M5C3-8</w:t>
            </w:r>
          </w:p>
        </w:tc>
        <w:tc>
          <w:tcPr>
            <w:tcW w:w="1772" w:type="dxa"/>
            <w:shd w:val="clear" w:color="auto" w:fill="C6EFCE"/>
            <w:noWrap/>
            <w:vAlign w:val="center"/>
          </w:tcPr>
          <w:p w14:paraId="66813A41" w14:textId="77777777" w:rsidR="004C6421" w:rsidRDefault="009D1962">
            <w:pPr>
              <w:pStyle w:val="P68B1DB1-Normal4"/>
              <w:jc w:val="center"/>
              <w:rPr>
                <w:noProof/>
              </w:rPr>
            </w:pPr>
            <w:r>
              <w:rPr>
                <w:noProof/>
              </w:rPr>
              <w:t>Inwestycja 1.3: Zorganizowane interwencje społeczno-edukacyjne mające na celu zwalczanie ubóstwa edukacyjnego na południu, wspierające trzeci sektor</w:t>
            </w:r>
          </w:p>
        </w:tc>
        <w:tc>
          <w:tcPr>
            <w:tcW w:w="1412" w:type="dxa"/>
            <w:shd w:val="clear" w:color="auto" w:fill="C6EFCE"/>
            <w:noWrap/>
            <w:vAlign w:val="center"/>
          </w:tcPr>
          <w:p w14:paraId="06A4C4E1" w14:textId="77777777" w:rsidR="004C6421" w:rsidRDefault="009D1962">
            <w:pPr>
              <w:pStyle w:val="P68B1DB1-Normal4"/>
              <w:jc w:val="center"/>
              <w:rPr>
                <w:noProof/>
              </w:rPr>
            </w:pPr>
            <w:r>
              <w:rPr>
                <w:noProof/>
              </w:rPr>
              <w:t>Cel</w:t>
            </w:r>
          </w:p>
        </w:tc>
        <w:tc>
          <w:tcPr>
            <w:tcW w:w="1559" w:type="dxa"/>
            <w:shd w:val="clear" w:color="auto" w:fill="C6EFCE"/>
            <w:noWrap/>
            <w:vAlign w:val="center"/>
          </w:tcPr>
          <w:p w14:paraId="7A21A97A" w14:textId="77777777" w:rsidR="004C6421" w:rsidRDefault="009D1962">
            <w:pPr>
              <w:pStyle w:val="P68B1DB1-Normal4"/>
              <w:jc w:val="center"/>
              <w:rPr>
                <w:noProof/>
              </w:rPr>
            </w:pPr>
            <w:r>
              <w:rPr>
                <w:noProof/>
              </w:rPr>
              <w:t>Wsparcie edukacyjne dla małoletnich (pierwsza partia)</w:t>
            </w:r>
          </w:p>
        </w:tc>
        <w:tc>
          <w:tcPr>
            <w:tcW w:w="1560" w:type="dxa"/>
            <w:shd w:val="clear" w:color="auto" w:fill="C6EFCE"/>
            <w:noWrap/>
            <w:vAlign w:val="center"/>
          </w:tcPr>
          <w:p w14:paraId="786FA0EE"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6D7DD527" w14:textId="77777777" w:rsidR="004C6421" w:rsidRDefault="009D1962">
            <w:pPr>
              <w:pStyle w:val="P68B1DB1-Normal4"/>
              <w:jc w:val="center"/>
              <w:rPr>
                <w:noProof/>
              </w:rPr>
            </w:pPr>
            <w:r>
              <w:rPr>
                <w:noProof/>
              </w:rPr>
              <w:t>Numer</w:t>
            </w:r>
          </w:p>
        </w:tc>
        <w:tc>
          <w:tcPr>
            <w:tcW w:w="1134" w:type="dxa"/>
            <w:shd w:val="clear" w:color="auto" w:fill="C6EFCE"/>
            <w:noWrap/>
            <w:vAlign w:val="center"/>
          </w:tcPr>
          <w:p w14:paraId="0F671B67" w14:textId="77777777" w:rsidR="004C6421" w:rsidRDefault="009D1962">
            <w:pPr>
              <w:pStyle w:val="P68B1DB1-Normal4"/>
              <w:jc w:val="center"/>
              <w:rPr>
                <w:noProof/>
              </w:rPr>
            </w:pPr>
            <w:r>
              <w:rPr>
                <w:noProof/>
              </w:rPr>
              <w:t>0</w:t>
            </w:r>
          </w:p>
        </w:tc>
        <w:tc>
          <w:tcPr>
            <w:tcW w:w="992" w:type="dxa"/>
            <w:shd w:val="clear" w:color="auto" w:fill="C6EFCE"/>
            <w:noWrap/>
            <w:vAlign w:val="center"/>
          </w:tcPr>
          <w:p w14:paraId="0192F6FE" w14:textId="3ED62EA6" w:rsidR="004C6421" w:rsidRDefault="009D1962">
            <w:pPr>
              <w:jc w:val="center"/>
              <w:rPr>
                <w:rFonts w:ascii="Arial Narrow" w:hAnsi="Arial Narrow"/>
                <w:noProof/>
                <w:color w:val="006100"/>
                <w:sz w:val="20"/>
              </w:rPr>
            </w:pPr>
            <w:r>
              <w:rPr>
                <w:rFonts w:ascii="Arial Narrow" w:hAnsi="Arial Narrow"/>
                <w:noProof/>
                <w:color w:val="006100"/>
                <w:sz w:val="20"/>
              </w:rPr>
              <w:t>20</w:t>
            </w:r>
            <w:r>
              <w:rPr>
                <w:noProof/>
                <w:sz w:val="23"/>
              </w:rPr>
              <w:t xml:space="preserve"> </w:t>
            </w:r>
            <w:r>
              <w:rPr>
                <w:rFonts w:ascii="Arial Narrow" w:hAnsi="Arial Narrow"/>
                <w:noProof/>
                <w:color w:val="006100"/>
                <w:sz w:val="20"/>
              </w:rPr>
              <w:t>000</w:t>
            </w:r>
          </w:p>
        </w:tc>
        <w:tc>
          <w:tcPr>
            <w:tcW w:w="916" w:type="dxa"/>
            <w:shd w:val="clear" w:color="auto" w:fill="C6EFCE"/>
            <w:noWrap/>
            <w:vAlign w:val="center"/>
          </w:tcPr>
          <w:p w14:paraId="7E1A2711" w14:textId="77777777" w:rsidR="004C6421" w:rsidRDefault="009D1962">
            <w:pPr>
              <w:pStyle w:val="P68B1DB1-Normal4"/>
              <w:jc w:val="center"/>
              <w:rPr>
                <w:noProof/>
              </w:rPr>
            </w:pPr>
            <w:r>
              <w:rPr>
                <w:noProof/>
              </w:rPr>
              <w:t>II KW.</w:t>
            </w:r>
          </w:p>
        </w:tc>
        <w:tc>
          <w:tcPr>
            <w:tcW w:w="812" w:type="dxa"/>
            <w:shd w:val="clear" w:color="auto" w:fill="C6EFCE"/>
            <w:noWrap/>
            <w:vAlign w:val="center"/>
          </w:tcPr>
          <w:p w14:paraId="4C59AB3E" w14:textId="77777777" w:rsidR="004C6421" w:rsidRDefault="009D1962">
            <w:pPr>
              <w:pStyle w:val="P68B1DB1-Normal4"/>
              <w:jc w:val="center"/>
              <w:rPr>
                <w:noProof/>
              </w:rPr>
            </w:pPr>
            <w:r>
              <w:rPr>
                <w:noProof/>
              </w:rPr>
              <w:t>2023</w:t>
            </w:r>
          </w:p>
        </w:tc>
        <w:tc>
          <w:tcPr>
            <w:tcW w:w="3271" w:type="dxa"/>
            <w:shd w:val="clear" w:color="auto" w:fill="C6EFCE"/>
            <w:noWrap/>
            <w:vAlign w:val="center"/>
          </w:tcPr>
          <w:p w14:paraId="270B367A" w14:textId="273C4D1D" w:rsidR="004C6421" w:rsidRDefault="009D1962">
            <w:pPr>
              <w:rPr>
                <w:rFonts w:ascii="Arial Narrow" w:hAnsi="Arial Narrow"/>
                <w:noProof/>
                <w:color w:val="006100"/>
                <w:sz w:val="20"/>
              </w:rPr>
            </w:pPr>
            <w:r>
              <w:rPr>
                <w:rFonts w:ascii="Arial Narrow" w:hAnsi="Arial Narrow"/>
                <w:noProof/>
                <w:color w:val="006100"/>
                <w:sz w:val="20"/>
              </w:rPr>
              <w:t>Co najmniej 20000</w:t>
            </w:r>
            <w:r>
              <w:rPr>
                <w:noProof/>
                <w:sz w:val="23"/>
              </w:rPr>
              <w:t xml:space="preserve"> </w:t>
            </w:r>
            <w:r>
              <w:rPr>
                <w:rFonts w:ascii="Arial Narrow" w:hAnsi="Arial Narrow"/>
                <w:noProof/>
                <w:color w:val="006100"/>
                <w:sz w:val="20"/>
              </w:rPr>
              <w:t xml:space="preserve">małoletnich w wieku do 17 r.ż. otrzymuje wsparcie edukacyjne. Projekty wsparcia edukacyjnego koncentrują się na jednym z następujących obszarów: </w:t>
            </w:r>
          </w:p>
          <w:p w14:paraId="7435AEB3" w14:textId="77777777" w:rsidR="004C6421" w:rsidRDefault="004C6421">
            <w:pPr>
              <w:rPr>
                <w:rFonts w:ascii="Arial Narrow" w:hAnsi="Arial Narrow"/>
                <w:noProof/>
                <w:color w:val="006100"/>
                <w:sz w:val="20"/>
              </w:rPr>
            </w:pPr>
          </w:p>
          <w:p w14:paraId="4A7BF4B3" w14:textId="77777777" w:rsidR="004C6421" w:rsidRDefault="009D1962">
            <w:pPr>
              <w:pStyle w:val="P68B1DB1-Normal4"/>
              <w:rPr>
                <w:noProof/>
              </w:rPr>
            </w:pPr>
            <w:r>
              <w:rPr>
                <w:noProof/>
              </w:rPr>
              <w:t xml:space="preserve">• Interwencje na rzecz dzieci w wieku od 0 do 6 lat mające na celu poprawę warunków dostępu do przedszkoli i przedszkoli oraz wspieranie rodzicielstwa; </w:t>
            </w:r>
          </w:p>
          <w:p w14:paraId="1067519E" w14:textId="77777777" w:rsidR="004C6421" w:rsidRDefault="004C6421">
            <w:pPr>
              <w:rPr>
                <w:rFonts w:ascii="Arial Narrow" w:hAnsi="Arial Narrow"/>
                <w:noProof/>
                <w:color w:val="006100"/>
                <w:sz w:val="20"/>
              </w:rPr>
            </w:pPr>
          </w:p>
          <w:p w14:paraId="66B2E506" w14:textId="77777777" w:rsidR="004C6421" w:rsidRDefault="009D1962">
            <w:pPr>
              <w:pStyle w:val="P68B1DB1-Normal4"/>
              <w:rPr>
                <w:noProof/>
              </w:rPr>
            </w:pPr>
            <w:r>
              <w:rPr>
                <w:noProof/>
              </w:rPr>
              <w:t xml:space="preserve">• Interwencje na rzecz dzieci w wieku od pięciu do dziesięciu lat mające na celu zagwarantowanie skutecznych możliwości edukacyjnych i wczesne zapobieganie przedwczesnemu kończeniu nauki, nękaniu i innym zjawiskom niepokoju; </w:t>
            </w:r>
          </w:p>
          <w:p w14:paraId="78091415" w14:textId="77777777" w:rsidR="004C6421" w:rsidRDefault="004C6421">
            <w:pPr>
              <w:rPr>
                <w:rFonts w:ascii="Arial Narrow" w:hAnsi="Arial Narrow"/>
                <w:noProof/>
                <w:color w:val="006100"/>
                <w:sz w:val="20"/>
              </w:rPr>
            </w:pPr>
          </w:p>
          <w:p w14:paraId="0F5461F8" w14:textId="77777777" w:rsidR="004C6421" w:rsidRDefault="009D1962">
            <w:pPr>
              <w:pStyle w:val="P68B1DB1-Normal4"/>
              <w:rPr>
                <w:noProof/>
              </w:rPr>
            </w:pPr>
            <w:r>
              <w:rPr>
                <w:noProof/>
              </w:rPr>
              <w:t>• Interwencje na rzecz dzieci w wieku 11–17 lat, których celem jest poprawa oferty edukacyjnej i zapobieganie zjawisku przedwczesnego kończenia nauki.</w:t>
            </w:r>
          </w:p>
          <w:p w14:paraId="333F0FC8" w14:textId="77777777" w:rsidR="004C6421" w:rsidRDefault="004C6421">
            <w:pPr>
              <w:rPr>
                <w:rFonts w:ascii="Arial Narrow" w:hAnsi="Arial Narrow"/>
                <w:noProof/>
                <w:color w:val="006100"/>
                <w:sz w:val="20"/>
              </w:rPr>
            </w:pPr>
          </w:p>
          <w:p w14:paraId="154D3756" w14:textId="77777777" w:rsidR="004C6421" w:rsidRDefault="009D1962">
            <w:pPr>
              <w:pStyle w:val="P68B1DB1-Normal4"/>
              <w:rPr>
                <w:noProof/>
              </w:rPr>
            </w:pPr>
            <w:r>
              <w:rPr>
                <w:noProof/>
              </w:rPr>
              <w:t>Kluczowe elementy przetargu:</w:t>
            </w:r>
          </w:p>
          <w:p w14:paraId="4E50A340" w14:textId="406C2CA3" w:rsidR="004C6421" w:rsidRDefault="009D1962">
            <w:pPr>
              <w:rPr>
                <w:rFonts w:ascii="Arial Narrow" w:hAnsi="Arial Narrow"/>
                <w:noProof/>
                <w:color w:val="006100"/>
                <w:sz w:val="20"/>
              </w:rPr>
            </w:pPr>
            <w:r>
              <w:rPr>
                <w:rFonts w:ascii="Arial Narrow" w:hAnsi="Arial Narrow"/>
                <w:noProof/>
                <w:color w:val="006100"/>
                <w:sz w:val="20"/>
              </w:rPr>
              <w:t>- Ogłoszenia publiczne wynoszą co najmniej 50 000 000 EUR</w:t>
            </w:r>
            <w:r>
              <w:rPr>
                <w:noProof/>
                <w:sz w:val="23"/>
              </w:rPr>
              <w:t xml:space="preserve">  </w:t>
            </w:r>
            <w:r>
              <w:rPr>
                <w:rFonts w:ascii="Arial Narrow" w:hAnsi="Arial Narrow"/>
                <w:noProof/>
                <w:color w:val="006100"/>
                <w:sz w:val="20"/>
              </w:rPr>
              <w:t xml:space="preserve">za każde </w:t>
            </w:r>
            <w:r>
              <w:rPr>
                <w:rFonts w:ascii="Arial Narrow" w:hAnsi="Arial Narrow"/>
                <w:noProof/>
                <w:sz w:val="20"/>
              </w:rPr>
              <w:t xml:space="preserve"> </w:t>
            </w:r>
            <w:r>
              <w:rPr>
                <w:noProof/>
              </w:rPr>
              <w:t xml:space="preserve">  </w:t>
            </w:r>
            <w:r>
              <w:rPr>
                <w:noProof/>
              </w:rPr>
              <w:br/>
            </w:r>
            <w:r>
              <w:rPr>
                <w:rFonts w:ascii="Arial Narrow" w:hAnsi="Arial Narrow"/>
                <w:noProof/>
                <w:color w:val="006100"/>
                <w:sz w:val="20"/>
              </w:rPr>
              <w:t>— Projekty podmiotów trzeciego sektora trwają co najmniej rok i nie dłużej niż dwa lata.</w:t>
            </w:r>
          </w:p>
          <w:p w14:paraId="0693B342" w14:textId="77777777" w:rsidR="004C6421" w:rsidRDefault="009D1962">
            <w:pPr>
              <w:rPr>
                <w:rFonts w:ascii="Arial Narrow" w:hAnsi="Arial Narrow"/>
                <w:noProof/>
                <w:color w:val="006100"/>
                <w:sz w:val="20"/>
              </w:rPr>
            </w:pPr>
            <w:r>
              <w:rPr>
                <w:noProof/>
              </w:rPr>
              <w:t xml:space="preserve">  </w:t>
            </w:r>
            <w:r>
              <w:rPr>
                <w:noProof/>
              </w:rPr>
              <w:br/>
            </w:r>
            <w:r>
              <w:rPr>
                <w:rFonts w:ascii="Arial Narrow" w:hAnsi="Arial Narrow"/>
                <w:noProof/>
                <w:color w:val="006100"/>
                <w:sz w:val="20"/>
              </w:rPr>
              <w:t>Działania prowadzone są w regionach Abruzja, Basilicata, Kampania, Kalabria, Molise, Apulia, Sardynia i Sycylia.”;</w:t>
            </w:r>
          </w:p>
        </w:tc>
      </w:tr>
      <w:tr w:rsidR="004C6421" w14:paraId="6025094A" w14:textId="77777777">
        <w:trPr>
          <w:trHeight w:val="309"/>
        </w:trPr>
        <w:tc>
          <w:tcPr>
            <w:tcW w:w="1207" w:type="dxa"/>
            <w:shd w:val="clear" w:color="auto" w:fill="C6EFCE"/>
            <w:noWrap/>
            <w:vAlign w:val="center"/>
          </w:tcPr>
          <w:p w14:paraId="0E0123A5" w14:textId="77777777" w:rsidR="004C6421" w:rsidRDefault="009D1962">
            <w:pPr>
              <w:pStyle w:val="P68B1DB1-Normal4"/>
              <w:jc w:val="center"/>
              <w:rPr>
                <w:noProof/>
              </w:rPr>
            </w:pPr>
            <w:r>
              <w:rPr>
                <w:noProof/>
              </w:rPr>
              <w:t>M5C3-9</w:t>
            </w:r>
          </w:p>
        </w:tc>
        <w:tc>
          <w:tcPr>
            <w:tcW w:w="1772" w:type="dxa"/>
            <w:shd w:val="clear" w:color="auto" w:fill="C6EFCE"/>
            <w:noWrap/>
            <w:vAlign w:val="center"/>
          </w:tcPr>
          <w:p w14:paraId="5CC12A69" w14:textId="77777777" w:rsidR="004C6421" w:rsidRDefault="009D1962">
            <w:pPr>
              <w:pStyle w:val="P68B1DB1-Normal4"/>
              <w:jc w:val="center"/>
              <w:rPr>
                <w:noProof/>
              </w:rPr>
            </w:pPr>
            <w:r>
              <w:rPr>
                <w:noProof/>
              </w:rPr>
              <w:t>Inwestycje1.3: Zorganizowane interwencje społeczno-edukacyjne mające na celu zwalczanie ubóstwa edukacyjnego na południu, wspierające trzeci sektor</w:t>
            </w:r>
          </w:p>
        </w:tc>
        <w:tc>
          <w:tcPr>
            <w:tcW w:w="1412" w:type="dxa"/>
            <w:shd w:val="clear" w:color="auto" w:fill="C6EFCE"/>
            <w:noWrap/>
            <w:vAlign w:val="center"/>
          </w:tcPr>
          <w:p w14:paraId="7984E432" w14:textId="77777777" w:rsidR="004C6421" w:rsidRDefault="009D1962">
            <w:pPr>
              <w:pStyle w:val="P68B1DB1-Normal4"/>
              <w:jc w:val="center"/>
              <w:rPr>
                <w:noProof/>
              </w:rPr>
            </w:pPr>
            <w:r>
              <w:rPr>
                <w:noProof/>
              </w:rPr>
              <w:t>Cel</w:t>
            </w:r>
          </w:p>
        </w:tc>
        <w:tc>
          <w:tcPr>
            <w:tcW w:w="1559" w:type="dxa"/>
            <w:shd w:val="clear" w:color="auto" w:fill="C6EFCE"/>
            <w:noWrap/>
            <w:vAlign w:val="center"/>
          </w:tcPr>
          <w:p w14:paraId="7A333B23" w14:textId="77777777" w:rsidR="004C6421" w:rsidRDefault="009D1962">
            <w:pPr>
              <w:pStyle w:val="P68B1DB1-Normal4"/>
              <w:jc w:val="center"/>
              <w:rPr>
                <w:noProof/>
              </w:rPr>
            </w:pPr>
            <w:r>
              <w:rPr>
                <w:noProof/>
              </w:rPr>
              <w:t>Wsparcie edukacyjne dla małoletnich (druga partia)</w:t>
            </w:r>
          </w:p>
        </w:tc>
        <w:tc>
          <w:tcPr>
            <w:tcW w:w="1560" w:type="dxa"/>
            <w:shd w:val="clear" w:color="auto" w:fill="C6EFCE"/>
            <w:noWrap/>
            <w:vAlign w:val="center"/>
          </w:tcPr>
          <w:p w14:paraId="1A7099FD"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6CD04484" w14:textId="77777777" w:rsidR="004C6421" w:rsidRDefault="009D1962">
            <w:pPr>
              <w:pStyle w:val="P68B1DB1-Normal4"/>
              <w:jc w:val="center"/>
              <w:rPr>
                <w:noProof/>
              </w:rPr>
            </w:pPr>
            <w:r>
              <w:rPr>
                <w:noProof/>
              </w:rPr>
              <w:t>Numer</w:t>
            </w:r>
          </w:p>
        </w:tc>
        <w:tc>
          <w:tcPr>
            <w:tcW w:w="1134" w:type="dxa"/>
            <w:shd w:val="clear" w:color="auto" w:fill="C6EFCE"/>
            <w:noWrap/>
            <w:vAlign w:val="center"/>
          </w:tcPr>
          <w:p w14:paraId="0CE17258" w14:textId="44CDAA6C" w:rsidR="004C6421" w:rsidRDefault="009D1962">
            <w:pPr>
              <w:jc w:val="center"/>
              <w:rPr>
                <w:rFonts w:ascii="Arial Narrow" w:hAnsi="Arial Narrow"/>
                <w:noProof/>
                <w:color w:val="006100"/>
                <w:sz w:val="20"/>
              </w:rPr>
            </w:pPr>
            <w:r>
              <w:rPr>
                <w:rFonts w:ascii="Arial Narrow" w:hAnsi="Arial Narrow"/>
                <w:noProof/>
                <w:color w:val="006100"/>
                <w:sz w:val="20"/>
              </w:rPr>
              <w:t>20</w:t>
            </w:r>
            <w:r>
              <w:rPr>
                <w:noProof/>
                <w:sz w:val="23"/>
              </w:rPr>
              <w:t xml:space="preserve"> </w:t>
            </w:r>
            <w:r>
              <w:rPr>
                <w:rFonts w:ascii="Arial Narrow" w:hAnsi="Arial Narrow"/>
                <w:noProof/>
                <w:color w:val="006100"/>
                <w:sz w:val="20"/>
              </w:rPr>
              <w:t>000</w:t>
            </w:r>
          </w:p>
        </w:tc>
        <w:tc>
          <w:tcPr>
            <w:tcW w:w="992" w:type="dxa"/>
            <w:shd w:val="clear" w:color="auto" w:fill="C6EFCE"/>
            <w:noWrap/>
            <w:vAlign w:val="center"/>
          </w:tcPr>
          <w:p w14:paraId="3FEC4D25" w14:textId="76FF7D49" w:rsidR="004C6421" w:rsidRDefault="009D1962">
            <w:pPr>
              <w:jc w:val="center"/>
              <w:rPr>
                <w:rFonts w:ascii="Arial Narrow" w:hAnsi="Arial Narrow"/>
                <w:noProof/>
                <w:color w:val="006100"/>
                <w:sz w:val="20"/>
              </w:rPr>
            </w:pPr>
            <w:r>
              <w:rPr>
                <w:rFonts w:ascii="Arial Narrow" w:hAnsi="Arial Narrow"/>
                <w:noProof/>
                <w:color w:val="006100"/>
                <w:sz w:val="20"/>
              </w:rPr>
              <w:t>44</w:t>
            </w:r>
            <w:r>
              <w:rPr>
                <w:noProof/>
                <w:sz w:val="23"/>
              </w:rPr>
              <w:t xml:space="preserve"> </w:t>
            </w:r>
            <w:r>
              <w:rPr>
                <w:rFonts w:ascii="Arial Narrow" w:hAnsi="Arial Narrow"/>
                <w:noProof/>
                <w:color w:val="006100"/>
                <w:sz w:val="20"/>
              </w:rPr>
              <w:t>000</w:t>
            </w:r>
          </w:p>
        </w:tc>
        <w:tc>
          <w:tcPr>
            <w:tcW w:w="916" w:type="dxa"/>
            <w:shd w:val="clear" w:color="auto" w:fill="C6EFCE"/>
            <w:noWrap/>
            <w:vAlign w:val="center"/>
          </w:tcPr>
          <w:p w14:paraId="6758609A" w14:textId="77777777" w:rsidR="004C6421" w:rsidRDefault="009D1962">
            <w:pPr>
              <w:pStyle w:val="P68B1DB1-Normal4"/>
              <w:jc w:val="center"/>
              <w:rPr>
                <w:noProof/>
              </w:rPr>
            </w:pPr>
            <w:r>
              <w:rPr>
                <w:noProof/>
              </w:rPr>
              <w:t>II KW.</w:t>
            </w:r>
          </w:p>
        </w:tc>
        <w:tc>
          <w:tcPr>
            <w:tcW w:w="812" w:type="dxa"/>
            <w:shd w:val="clear" w:color="auto" w:fill="C6EFCE"/>
            <w:noWrap/>
            <w:vAlign w:val="center"/>
          </w:tcPr>
          <w:p w14:paraId="447EDDD2" w14:textId="77777777" w:rsidR="004C6421" w:rsidRDefault="009D1962">
            <w:pPr>
              <w:pStyle w:val="P68B1DB1-Normal4"/>
              <w:jc w:val="center"/>
              <w:rPr>
                <w:noProof/>
              </w:rPr>
            </w:pPr>
            <w:r>
              <w:rPr>
                <w:noProof/>
              </w:rPr>
              <w:t>2026</w:t>
            </w:r>
          </w:p>
        </w:tc>
        <w:tc>
          <w:tcPr>
            <w:tcW w:w="3271" w:type="dxa"/>
            <w:shd w:val="clear" w:color="auto" w:fill="C6EFCE"/>
            <w:noWrap/>
            <w:vAlign w:val="center"/>
          </w:tcPr>
          <w:p w14:paraId="52108E04" w14:textId="501DCE3C" w:rsidR="004C6421" w:rsidRDefault="009D1962">
            <w:pPr>
              <w:rPr>
                <w:rFonts w:ascii="Arial Narrow" w:hAnsi="Arial Narrow"/>
                <w:noProof/>
                <w:color w:val="006100"/>
                <w:sz w:val="20"/>
              </w:rPr>
            </w:pPr>
            <w:r>
              <w:rPr>
                <w:rFonts w:ascii="Arial Narrow" w:hAnsi="Arial Narrow"/>
                <w:noProof/>
                <w:color w:val="006100"/>
                <w:sz w:val="20"/>
              </w:rPr>
              <w:t>Co najmniej 44000</w:t>
            </w:r>
            <w:r>
              <w:rPr>
                <w:noProof/>
                <w:sz w:val="23"/>
              </w:rPr>
              <w:t xml:space="preserve"> </w:t>
            </w:r>
            <w:r>
              <w:rPr>
                <w:rFonts w:ascii="Arial Narrow" w:hAnsi="Arial Narrow"/>
                <w:noProof/>
                <w:color w:val="006100"/>
                <w:sz w:val="20"/>
              </w:rPr>
              <w:t>małoletnich w wieku od zera do 17 lat otrzymuje wsparcie edukacyjne.</w:t>
            </w:r>
          </w:p>
        </w:tc>
      </w:tr>
    </w:tbl>
    <w:p w14:paraId="07E253EC" w14:textId="77777777" w:rsidR="004C6421" w:rsidRDefault="004C6421">
      <w:pPr>
        <w:spacing w:before="120" w:after="120"/>
        <w:ind w:left="709"/>
        <w:jc w:val="both"/>
        <w:rPr>
          <w:noProof/>
        </w:rPr>
        <w:sectPr w:rsidR="004C6421" w:rsidSect="00797973">
          <w:headerReference w:type="even" r:id="rId356"/>
          <w:headerReference w:type="default" r:id="rId357"/>
          <w:footerReference w:type="even" r:id="rId358"/>
          <w:footerReference w:type="default" r:id="rId359"/>
          <w:headerReference w:type="first" r:id="rId360"/>
          <w:footerReference w:type="first" r:id="rId361"/>
          <w:pgSz w:w="16839" w:h="11907" w:orient="landscape"/>
          <w:pgMar w:top="720" w:right="720" w:bottom="720" w:left="720" w:header="709" w:footer="709" w:gutter="0"/>
          <w:cols w:space="720"/>
          <w:docGrid w:linePitch="360"/>
        </w:sectPr>
      </w:pPr>
    </w:p>
    <w:p w14:paraId="10BA37C4" w14:textId="77777777" w:rsidR="004C6421" w:rsidRDefault="009D1962">
      <w:pPr>
        <w:pStyle w:val="P68B1DB1-Normal9"/>
        <w:spacing w:before="120" w:after="120"/>
        <w:ind w:left="709"/>
        <w:jc w:val="both"/>
        <w:rPr>
          <w:noProof/>
        </w:rPr>
      </w:pPr>
      <w:r>
        <w:rPr>
          <w:noProof/>
        </w:rPr>
        <w:t xml:space="preserve"> </w:t>
      </w:r>
    </w:p>
    <w:p w14:paraId="52FA0210" w14:textId="77777777" w:rsidR="004C6421" w:rsidRDefault="009D1962">
      <w:pPr>
        <w:pStyle w:val="Heading3"/>
        <w:numPr>
          <w:ilvl w:val="0"/>
          <w:numId w:val="0"/>
        </w:numPr>
        <w:ind w:left="850" w:hanging="850"/>
        <w:rPr>
          <w:b/>
          <w:i w:val="0"/>
          <w:noProof/>
          <w:u w:val="single"/>
        </w:rPr>
      </w:pPr>
      <w:r>
        <w:rPr>
          <w:b/>
          <w:i w:val="0"/>
          <w:noProof/>
          <w:u w:val="single"/>
        </w:rPr>
        <w:t xml:space="preserve">N.3. </w:t>
      </w:r>
      <w:r>
        <w:rPr>
          <w:noProof/>
        </w:rPr>
        <w:t xml:space="preserve"> </w:t>
      </w:r>
      <w:r>
        <w:rPr>
          <w:b/>
          <w:i w:val="0"/>
          <w:noProof/>
          <w:u w:val="single"/>
        </w:rPr>
        <w:t xml:space="preserve">Opis reform i inwestycji związanych z pożyczką </w:t>
      </w:r>
    </w:p>
    <w:p w14:paraId="5C2E11ED" w14:textId="77777777" w:rsidR="004C6421" w:rsidRDefault="009D1962">
      <w:pPr>
        <w:pStyle w:val="P68B1DB1-Normal2"/>
        <w:spacing w:before="120" w:after="120"/>
        <w:jc w:val="both"/>
        <w:rPr>
          <w:noProof/>
        </w:rPr>
      </w:pPr>
      <w:r>
        <w:rPr>
          <w:noProof/>
        </w:rPr>
        <w:t>Reforma 1: Uproszczenie procedur i wzmocnienie stanowiska komisarza w specjalnych strefach ekonomicznych</w:t>
      </w:r>
    </w:p>
    <w:p w14:paraId="6E72A370" w14:textId="77777777" w:rsidR="004C6421" w:rsidRDefault="009D1962">
      <w:pPr>
        <w:spacing w:before="120" w:after="120"/>
        <w:jc w:val="both"/>
        <w:rPr>
          <w:noProof/>
        </w:rPr>
      </w:pPr>
      <w:r>
        <w:rPr>
          <w:noProof/>
        </w:rPr>
        <w:t xml:space="preserve">Reforma przyczyni się do uproszczenia systemu zarządzania i skrócenia czasu realizacji interwencji w specjalnych strefach ekonomicznych. W ramach reformy ustanawia się cyfrowy punkt kompleksowej obsługi dla specjalnych stref ekonomicznych oraz wzmocnienie roli Komisji.  </w:t>
      </w:r>
    </w:p>
    <w:p w14:paraId="3EF4E092" w14:textId="77777777" w:rsidR="004C6421" w:rsidRDefault="009D1962">
      <w:pPr>
        <w:pStyle w:val="P68B1DB1-Normal2"/>
        <w:spacing w:before="120" w:after="120"/>
        <w:jc w:val="both"/>
        <w:rPr>
          <w:noProof/>
        </w:rPr>
      </w:pPr>
      <w:r>
        <w:rPr>
          <w:noProof/>
        </w:rPr>
        <w:t xml:space="preserve">Inwestycje 1.4: Inwestycje infrastrukturalne dla specjalnych stref ekonomicznych (SSE)  </w:t>
      </w:r>
    </w:p>
    <w:p w14:paraId="535815A2" w14:textId="77777777" w:rsidR="004C6421" w:rsidRDefault="009D1962">
      <w:pPr>
        <w:spacing w:before="120" w:after="120"/>
        <w:jc w:val="both"/>
        <w:rPr>
          <w:noProof/>
        </w:rPr>
      </w:pPr>
      <w:r>
        <w:rPr>
          <w:noProof/>
        </w:rPr>
        <w:t xml:space="preserve">Celem tych inwestycji jest zapewnienie skuteczności reformy wprowadzającej specjalne strefy ekonomiczne poprzez uniknięcie dalszych opóźnień w rozwoju gospodarczym na obszarach południowych, które już posiadają bazę produkcyjną. </w:t>
      </w:r>
    </w:p>
    <w:p w14:paraId="7542C476" w14:textId="77777777" w:rsidR="004C6421" w:rsidRDefault="009D1962">
      <w:pPr>
        <w:spacing w:before="120" w:after="120"/>
        <w:jc w:val="both"/>
        <w:rPr>
          <w:noProof/>
        </w:rPr>
      </w:pPr>
      <w:r>
        <w:rPr>
          <w:noProof/>
        </w:rPr>
        <w:t>Projekty objęte środkiem wspierają konkurencyjność i rozwój gospodarczy w specjalnych strefach ekonomicznych poprzez podstawowe prace urbanizacyjne – zgodnie z definicją zawartą we włoskim ustawodawstwie – oraz połączenie tych obszarów z sieciami drogowymi i kolejowymi. Celem interwencji jest zachęcenie przedsiębiorstw i przedsiębiorstw do lokalizacji ich działalności produkcyjnej na obszarach SSE. Oczekuje się, że inwestycje infrastrukturalne będą związane z połączeniami ostatniej mili z portami lub obszarami przemysłowymi; roboty związane z logistyką cyfrową, urbanizacją lub efektywnością energetyczną; wzmocnienie odporności portów.</w:t>
      </w:r>
    </w:p>
    <w:p w14:paraId="1D77D031" w14:textId="77777777" w:rsidR="004C6421" w:rsidRDefault="009D1962">
      <w:pPr>
        <w:spacing w:before="120" w:after="120"/>
        <w:jc w:val="both"/>
        <w:rPr>
          <w:i/>
          <w:noProof/>
          <w:color w:val="4472C4" w:themeColor="accent1"/>
        </w:rPr>
      </w:pPr>
      <w:r>
        <w:rPr>
          <w:noProof/>
        </w:rPr>
        <w:t>Aby zapewnić zgodność środka z wytycznymi technicznymi zasady „nie czyń poważnych szkód” (2021/C58/01), kryteria kwalifikowalności zawarte w zakresie wymagań i obowiązków w odniesieniu do przyszłych zaproszeń do składania projektów wykluczają następujący wykaz działań:</w:t>
      </w:r>
      <w:r>
        <w:rPr>
          <w:noProof/>
          <w:color w:val="FF0000"/>
        </w:rPr>
        <w:t xml:space="preserve"> </w:t>
      </w:r>
      <w:r>
        <w:rPr>
          <w:noProof/>
        </w:rPr>
        <w:t>(i) działalności związanej z paliwami kopalnymi, w tym wykorzystania niższego szczebla</w:t>
      </w:r>
      <w:r>
        <w:rPr>
          <w:rStyle w:val="FootnoteReference"/>
          <w:noProof/>
        </w:rPr>
        <w:footnoteReference w:id="115"/>
      </w:r>
      <w:r>
        <w:rPr>
          <w:noProof/>
        </w:rPr>
        <w:t>; (II) działania w ramach unijnego systemu handlu uprawnieniami do emisji (ETS) prowadzące do osiągnięcia prognozowanych emisji gazów cieplarnianych, które nie są niższe niż odpowiednie wskaźniki referencyjne</w:t>
      </w:r>
      <w:r>
        <w:rPr>
          <w:rStyle w:val="FootnoteReference"/>
          <w:noProof/>
        </w:rPr>
        <w:footnoteReference w:id="116"/>
      </w:r>
      <w:r>
        <w:rPr>
          <w:noProof/>
        </w:rPr>
        <w:t>; (III) działania związane ze składowiskami odpadów, spalarniami</w:t>
      </w:r>
      <w:r>
        <w:rPr>
          <w:rStyle w:val="FootnoteReference"/>
          <w:noProof/>
        </w:rPr>
        <w:footnoteReference w:id="117"/>
      </w:r>
      <w:r>
        <w:rPr>
          <w:noProof/>
        </w:rPr>
        <w:t xml:space="preserve"> i zakładami mechaniczno-biologicznego przetwarzania odpadów</w:t>
      </w:r>
      <w:r>
        <w:rPr>
          <w:rStyle w:val="FootnoteReference"/>
          <w:noProof/>
        </w:rPr>
        <w:footnoteReference w:id="118"/>
      </w:r>
      <w:r>
        <w:rPr>
          <w:noProof/>
        </w:rPr>
        <w:t>; oraz (iv) działań, w przypadku których długoterminowe unieszkodliwianie odpadów może szkodzić środowisku naturalnemu. Zakres uprawnień wymaga ponadto, aby można było wybierać wyłącznie działania zgodne z odpowiednimi przepisami unijnymi i krajowymi w zakresie ochrony środowiska.</w:t>
      </w:r>
      <w:r>
        <w:rPr>
          <w:i/>
          <w:noProof/>
          <w:color w:val="4472C4" w:themeColor="accent1"/>
        </w:rPr>
        <w:t xml:space="preserve"> </w:t>
      </w:r>
    </w:p>
    <w:p w14:paraId="187A9BE1" w14:textId="77777777" w:rsidR="004C6421" w:rsidRDefault="004C6421">
      <w:pPr>
        <w:spacing w:before="120" w:after="120"/>
        <w:ind w:left="709"/>
        <w:contextualSpacing/>
        <w:jc w:val="both"/>
        <w:rPr>
          <w:noProof/>
        </w:rPr>
        <w:sectPr w:rsidR="004C6421" w:rsidSect="00797973">
          <w:headerReference w:type="even" r:id="rId362"/>
          <w:headerReference w:type="default" r:id="rId363"/>
          <w:footerReference w:type="even" r:id="rId364"/>
          <w:footerReference w:type="default" r:id="rId365"/>
          <w:headerReference w:type="first" r:id="rId366"/>
          <w:footerReference w:type="first" r:id="rId367"/>
          <w:pgSz w:w="11907" w:h="16839"/>
          <w:pgMar w:top="1134" w:right="1417" w:bottom="1134" w:left="1417" w:header="709" w:footer="709" w:gutter="0"/>
          <w:cols w:space="720"/>
          <w:docGrid w:linePitch="360"/>
        </w:sectPr>
      </w:pPr>
    </w:p>
    <w:p w14:paraId="32BAC36E" w14:textId="77777777" w:rsidR="004C6421" w:rsidRDefault="009D1962">
      <w:pPr>
        <w:pStyle w:val="Heading3"/>
        <w:numPr>
          <w:ilvl w:val="0"/>
          <w:numId w:val="0"/>
        </w:numPr>
        <w:ind w:left="850" w:hanging="850"/>
        <w:rPr>
          <w:b/>
          <w:i w:val="0"/>
          <w:noProof/>
          <w:u w:val="single"/>
        </w:rPr>
      </w:pPr>
      <w:r>
        <w:rPr>
          <w:b/>
          <w:i w:val="0"/>
          <w:noProof/>
          <w:u w:val="single"/>
        </w:rPr>
        <w:t xml:space="preserve">N.4. </w:t>
      </w:r>
      <w:r>
        <w:rPr>
          <w:noProof/>
        </w:rPr>
        <w:t xml:space="preserve"> </w:t>
      </w:r>
      <w:r>
        <w:rPr>
          <w:b/>
          <w:i w:val="0"/>
          <w:noProof/>
          <w:u w:val="single"/>
        </w:rPr>
        <w:t xml:space="preserve">Cele pośrednie, wartości docelowe, wskaźniki i harmonogram monitorowania i realizacji pożyczki </w:t>
      </w:r>
    </w:p>
    <w:tbl>
      <w:tblPr>
        <w:tblW w:w="1535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666"/>
        <w:gridCol w:w="1438"/>
        <w:gridCol w:w="1559"/>
        <w:gridCol w:w="1701"/>
        <w:gridCol w:w="1417"/>
        <w:gridCol w:w="1134"/>
        <w:gridCol w:w="993"/>
        <w:gridCol w:w="992"/>
        <w:gridCol w:w="709"/>
        <w:gridCol w:w="2595"/>
      </w:tblGrid>
      <w:tr w:rsidR="004C6421" w14:paraId="75142801" w14:textId="77777777">
        <w:trPr>
          <w:trHeight w:val="939"/>
          <w:tblHeader/>
        </w:trPr>
        <w:tc>
          <w:tcPr>
            <w:tcW w:w="1419" w:type="dxa"/>
            <w:vMerge w:val="restart"/>
            <w:shd w:val="clear" w:color="auto" w:fill="BDD7EE"/>
            <w:vAlign w:val="center"/>
            <w:hideMark/>
          </w:tcPr>
          <w:p w14:paraId="41E831BF" w14:textId="77777777" w:rsidR="004C6421" w:rsidRDefault="009D1962">
            <w:pPr>
              <w:pStyle w:val="P68B1DB1-Normal3"/>
              <w:jc w:val="center"/>
              <w:rPr>
                <w:rFonts w:eastAsiaTheme="minorEastAsia"/>
                <w:noProof/>
              </w:rPr>
            </w:pPr>
            <w:r>
              <w:rPr>
                <w:noProof/>
              </w:rPr>
              <w:t>Numer porządkowy</w:t>
            </w:r>
          </w:p>
        </w:tc>
        <w:tc>
          <w:tcPr>
            <w:tcW w:w="1666" w:type="dxa"/>
            <w:vMerge w:val="restart"/>
            <w:shd w:val="clear" w:color="auto" w:fill="BDD7EE"/>
            <w:vAlign w:val="center"/>
            <w:hideMark/>
          </w:tcPr>
          <w:p w14:paraId="03C93D9D" w14:textId="77777777" w:rsidR="004C6421" w:rsidRDefault="009D1962">
            <w:pPr>
              <w:pStyle w:val="P68B1DB1-Normal3"/>
              <w:jc w:val="center"/>
              <w:rPr>
                <w:rFonts w:eastAsiaTheme="minorEastAsia"/>
                <w:noProof/>
              </w:rPr>
            </w:pPr>
            <w:r>
              <w:rPr>
                <w:noProof/>
              </w:rPr>
              <w:t>Powiązane działanie (reforma lub inwestycja)</w:t>
            </w:r>
          </w:p>
        </w:tc>
        <w:tc>
          <w:tcPr>
            <w:tcW w:w="1169" w:type="dxa"/>
            <w:vMerge w:val="restart"/>
            <w:shd w:val="clear" w:color="auto" w:fill="BDD7EE"/>
            <w:vAlign w:val="center"/>
            <w:hideMark/>
          </w:tcPr>
          <w:p w14:paraId="5A4D5F9D" w14:textId="77777777" w:rsidR="004C6421" w:rsidRDefault="009D1962">
            <w:pPr>
              <w:pStyle w:val="P68B1DB1-Normal3"/>
              <w:jc w:val="center"/>
              <w:rPr>
                <w:rFonts w:eastAsiaTheme="minorEastAsia"/>
                <w:noProof/>
              </w:rPr>
            </w:pPr>
            <w:r>
              <w:rPr>
                <w:noProof/>
              </w:rPr>
              <w:t>Kamień milowy/wartość docelowa</w:t>
            </w:r>
          </w:p>
        </w:tc>
        <w:tc>
          <w:tcPr>
            <w:tcW w:w="1559" w:type="dxa"/>
            <w:vMerge w:val="restart"/>
            <w:shd w:val="clear" w:color="auto" w:fill="BDD7EE"/>
            <w:vAlign w:val="center"/>
            <w:hideMark/>
          </w:tcPr>
          <w:p w14:paraId="6559F0FC" w14:textId="77777777" w:rsidR="004C6421" w:rsidRDefault="009D1962">
            <w:pPr>
              <w:pStyle w:val="P68B1DB1-Normal3"/>
              <w:jc w:val="center"/>
              <w:rPr>
                <w:rFonts w:eastAsiaTheme="minorEastAsia"/>
                <w:noProof/>
              </w:rPr>
            </w:pPr>
            <w:r>
              <w:rPr>
                <w:noProof/>
              </w:rPr>
              <w:t>Nazwa</w:t>
            </w:r>
          </w:p>
        </w:tc>
        <w:tc>
          <w:tcPr>
            <w:tcW w:w="1701" w:type="dxa"/>
            <w:vMerge w:val="restart"/>
            <w:shd w:val="clear" w:color="auto" w:fill="BDD7EE"/>
            <w:vAlign w:val="center"/>
            <w:hideMark/>
          </w:tcPr>
          <w:p w14:paraId="467EE36A" w14:textId="77777777" w:rsidR="004C6421" w:rsidRDefault="009D1962">
            <w:pPr>
              <w:jc w:val="center"/>
              <w:rPr>
                <w:rFonts w:ascii="Arial Narrow" w:eastAsiaTheme="minorEastAsia" w:hAnsi="Arial Narrow"/>
                <w:b/>
                <w:noProof/>
                <w:sz w:val="20"/>
              </w:rPr>
            </w:pPr>
            <w:r>
              <w:rPr>
                <w:rFonts w:ascii="Arial Narrow" w:hAnsi="Arial Narrow"/>
                <w:b/>
                <w:noProof/>
                <w:sz w:val="20"/>
              </w:rPr>
              <w:t xml:space="preserve">Wskaźniki jakościowe </w:t>
            </w:r>
            <w:r>
              <w:rPr>
                <w:rFonts w:ascii="Arial Narrow" w:hAnsi="Arial Narrow"/>
                <w:noProof/>
                <w:sz w:val="20"/>
              </w:rPr>
              <w:t xml:space="preserve"> </w:t>
            </w:r>
            <w:r>
              <w:rPr>
                <w:noProof/>
              </w:rPr>
              <w:t xml:space="preserve">  </w:t>
            </w:r>
            <w:r>
              <w:rPr>
                <w:noProof/>
              </w:rPr>
              <w:br/>
            </w:r>
            <w:r>
              <w:rPr>
                <w:rFonts w:ascii="Arial Narrow" w:hAnsi="Arial Narrow"/>
                <w:b/>
                <w:noProof/>
                <w:sz w:val="20"/>
              </w:rPr>
              <w:t>(dla kamieni milowych)</w:t>
            </w:r>
          </w:p>
        </w:tc>
        <w:tc>
          <w:tcPr>
            <w:tcW w:w="3544" w:type="dxa"/>
            <w:gridSpan w:val="3"/>
            <w:shd w:val="clear" w:color="auto" w:fill="BDD7EE"/>
            <w:vAlign w:val="center"/>
            <w:hideMark/>
          </w:tcPr>
          <w:p w14:paraId="0CE73A9E" w14:textId="77777777" w:rsidR="004C6421" w:rsidRDefault="009D1962">
            <w:pPr>
              <w:jc w:val="center"/>
              <w:rPr>
                <w:rFonts w:ascii="Arial Narrow" w:eastAsiaTheme="minorEastAsia" w:hAnsi="Arial Narrow"/>
                <w:b/>
                <w:noProof/>
                <w:sz w:val="20"/>
              </w:rPr>
            </w:pPr>
            <w:r>
              <w:rPr>
                <w:rFonts w:ascii="Arial Narrow" w:hAnsi="Arial Narrow"/>
                <w:b/>
                <w:noProof/>
                <w:sz w:val="20"/>
              </w:rPr>
              <w:t xml:space="preserve">Wskaźniki ilościowe </w:t>
            </w:r>
            <w:r>
              <w:rPr>
                <w:rFonts w:ascii="Arial Narrow" w:hAnsi="Arial Narrow"/>
                <w:noProof/>
                <w:sz w:val="20"/>
              </w:rPr>
              <w:t xml:space="preserve"> </w:t>
            </w:r>
            <w:r>
              <w:rPr>
                <w:noProof/>
              </w:rPr>
              <w:t xml:space="preserve">  </w:t>
            </w:r>
            <w:r>
              <w:rPr>
                <w:noProof/>
              </w:rPr>
              <w:br/>
            </w:r>
            <w:r>
              <w:rPr>
                <w:rFonts w:ascii="Arial Narrow" w:hAnsi="Arial Narrow"/>
                <w:b/>
                <w:noProof/>
                <w:sz w:val="20"/>
              </w:rPr>
              <w:t>(dla wartości docelowych)</w:t>
            </w:r>
          </w:p>
        </w:tc>
        <w:tc>
          <w:tcPr>
            <w:tcW w:w="1701" w:type="dxa"/>
            <w:gridSpan w:val="2"/>
            <w:shd w:val="clear" w:color="auto" w:fill="BDD7EE"/>
            <w:vAlign w:val="center"/>
            <w:hideMark/>
          </w:tcPr>
          <w:p w14:paraId="1DC08276" w14:textId="77777777" w:rsidR="004C6421" w:rsidRDefault="009D1962">
            <w:pPr>
              <w:pStyle w:val="P68B1DB1-Normal3"/>
              <w:jc w:val="center"/>
              <w:rPr>
                <w:rFonts w:eastAsiaTheme="minorEastAsia"/>
                <w:noProof/>
              </w:rPr>
            </w:pPr>
            <w:r>
              <w:rPr>
                <w:noProof/>
              </w:rPr>
              <w:t>Orientacyjny harmonogram zakończenia działania</w:t>
            </w:r>
          </w:p>
        </w:tc>
        <w:tc>
          <w:tcPr>
            <w:tcW w:w="2595" w:type="dxa"/>
            <w:vMerge w:val="restart"/>
            <w:shd w:val="clear" w:color="auto" w:fill="BDD7EE"/>
            <w:vAlign w:val="center"/>
            <w:hideMark/>
          </w:tcPr>
          <w:p w14:paraId="7D59B225" w14:textId="77777777" w:rsidR="004C6421" w:rsidRDefault="009D1962">
            <w:pPr>
              <w:pStyle w:val="P68B1DB1-Normal3"/>
              <w:jc w:val="center"/>
              <w:rPr>
                <w:rFonts w:eastAsiaTheme="minorEastAsia"/>
                <w:noProof/>
              </w:rPr>
            </w:pPr>
            <w:r>
              <w:rPr>
                <w:noProof/>
              </w:rPr>
              <w:t>Opis każdego kamienia milowego i każdej wartości docelowej</w:t>
            </w:r>
          </w:p>
        </w:tc>
      </w:tr>
      <w:tr w:rsidR="004C6421" w14:paraId="48AF7174" w14:textId="77777777">
        <w:trPr>
          <w:trHeight w:val="741"/>
        </w:trPr>
        <w:tc>
          <w:tcPr>
            <w:tcW w:w="1419" w:type="dxa"/>
            <w:vMerge/>
            <w:vAlign w:val="center"/>
            <w:hideMark/>
          </w:tcPr>
          <w:p w14:paraId="214FA43A" w14:textId="77777777" w:rsidR="004C6421" w:rsidRDefault="004C6421">
            <w:pPr>
              <w:jc w:val="center"/>
              <w:rPr>
                <w:rFonts w:ascii="Arial Narrow" w:eastAsiaTheme="minorEastAsia" w:hAnsi="Arial Narrow"/>
                <w:b/>
                <w:noProof/>
                <w:sz w:val="20"/>
              </w:rPr>
            </w:pPr>
          </w:p>
        </w:tc>
        <w:tc>
          <w:tcPr>
            <w:tcW w:w="1666" w:type="dxa"/>
            <w:vMerge/>
            <w:vAlign w:val="center"/>
            <w:hideMark/>
          </w:tcPr>
          <w:p w14:paraId="075C1446" w14:textId="77777777" w:rsidR="004C6421" w:rsidRDefault="004C6421">
            <w:pPr>
              <w:jc w:val="center"/>
              <w:rPr>
                <w:rFonts w:ascii="Arial Narrow" w:eastAsiaTheme="minorEastAsia" w:hAnsi="Arial Narrow"/>
                <w:b/>
                <w:noProof/>
                <w:sz w:val="20"/>
              </w:rPr>
            </w:pPr>
          </w:p>
        </w:tc>
        <w:tc>
          <w:tcPr>
            <w:tcW w:w="1169" w:type="dxa"/>
            <w:vMerge/>
            <w:vAlign w:val="center"/>
            <w:hideMark/>
          </w:tcPr>
          <w:p w14:paraId="728274AE" w14:textId="77777777" w:rsidR="004C6421" w:rsidRDefault="004C6421">
            <w:pPr>
              <w:jc w:val="center"/>
              <w:rPr>
                <w:rFonts w:ascii="Arial Narrow" w:eastAsiaTheme="minorEastAsia" w:hAnsi="Arial Narrow"/>
                <w:b/>
                <w:noProof/>
                <w:sz w:val="20"/>
              </w:rPr>
            </w:pPr>
          </w:p>
        </w:tc>
        <w:tc>
          <w:tcPr>
            <w:tcW w:w="1559" w:type="dxa"/>
            <w:vMerge/>
            <w:vAlign w:val="center"/>
            <w:hideMark/>
          </w:tcPr>
          <w:p w14:paraId="11C31A58" w14:textId="77777777" w:rsidR="004C6421" w:rsidRDefault="004C6421">
            <w:pPr>
              <w:jc w:val="center"/>
              <w:rPr>
                <w:rFonts w:ascii="Arial Narrow" w:eastAsiaTheme="minorEastAsia" w:hAnsi="Arial Narrow"/>
                <w:b/>
                <w:noProof/>
                <w:sz w:val="20"/>
              </w:rPr>
            </w:pPr>
          </w:p>
        </w:tc>
        <w:tc>
          <w:tcPr>
            <w:tcW w:w="1701" w:type="dxa"/>
            <w:vMerge/>
            <w:vAlign w:val="center"/>
            <w:hideMark/>
          </w:tcPr>
          <w:p w14:paraId="04D66170" w14:textId="77777777" w:rsidR="004C6421" w:rsidRDefault="004C6421">
            <w:pPr>
              <w:jc w:val="center"/>
              <w:rPr>
                <w:rFonts w:ascii="Arial Narrow" w:eastAsiaTheme="minorEastAsia" w:hAnsi="Arial Narrow"/>
                <w:b/>
                <w:noProof/>
                <w:sz w:val="20"/>
              </w:rPr>
            </w:pPr>
          </w:p>
        </w:tc>
        <w:tc>
          <w:tcPr>
            <w:tcW w:w="1417" w:type="dxa"/>
            <w:shd w:val="clear" w:color="auto" w:fill="BDD7EE"/>
            <w:vAlign w:val="center"/>
            <w:hideMark/>
          </w:tcPr>
          <w:p w14:paraId="2F64B365" w14:textId="77777777" w:rsidR="004C6421" w:rsidRDefault="009D1962">
            <w:pPr>
              <w:pStyle w:val="P68B1DB1-Normal3"/>
              <w:jc w:val="center"/>
              <w:rPr>
                <w:rFonts w:eastAsiaTheme="minorEastAsia"/>
                <w:noProof/>
              </w:rPr>
            </w:pPr>
            <w:r>
              <w:rPr>
                <w:noProof/>
              </w:rPr>
              <w:t>Jednostka miary</w:t>
            </w:r>
          </w:p>
        </w:tc>
        <w:tc>
          <w:tcPr>
            <w:tcW w:w="1134" w:type="dxa"/>
            <w:shd w:val="clear" w:color="auto" w:fill="BDD7EE"/>
            <w:vAlign w:val="center"/>
            <w:hideMark/>
          </w:tcPr>
          <w:p w14:paraId="4542FBE3" w14:textId="77777777" w:rsidR="004C6421" w:rsidRDefault="009D1962">
            <w:pPr>
              <w:pStyle w:val="P68B1DB1-Normal3"/>
              <w:jc w:val="center"/>
              <w:rPr>
                <w:rFonts w:eastAsiaTheme="minorEastAsia"/>
                <w:noProof/>
              </w:rPr>
            </w:pPr>
            <w:r>
              <w:rPr>
                <w:noProof/>
              </w:rPr>
              <w:t>Bazowy</w:t>
            </w:r>
          </w:p>
        </w:tc>
        <w:tc>
          <w:tcPr>
            <w:tcW w:w="993" w:type="dxa"/>
            <w:shd w:val="clear" w:color="auto" w:fill="BDD7EE"/>
            <w:vAlign w:val="center"/>
            <w:hideMark/>
          </w:tcPr>
          <w:p w14:paraId="35C61745" w14:textId="77777777" w:rsidR="004C6421" w:rsidRDefault="009D1962">
            <w:pPr>
              <w:pStyle w:val="P68B1DB1-Normal3"/>
              <w:jc w:val="center"/>
              <w:rPr>
                <w:rFonts w:eastAsiaTheme="minorEastAsia"/>
                <w:noProof/>
              </w:rPr>
            </w:pPr>
            <w:r>
              <w:rPr>
                <w:noProof/>
              </w:rPr>
              <w:t>Cel</w:t>
            </w:r>
          </w:p>
        </w:tc>
        <w:tc>
          <w:tcPr>
            <w:tcW w:w="992" w:type="dxa"/>
            <w:shd w:val="clear" w:color="auto" w:fill="BDD7EE"/>
            <w:vAlign w:val="center"/>
            <w:hideMark/>
          </w:tcPr>
          <w:p w14:paraId="0B7789D0" w14:textId="77777777" w:rsidR="004C6421" w:rsidRDefault="009D1962">
            <w:pPr>
              <w:pStyle w:val="P68B1DB1-Normal3"/>
              <w:jc w:val="center"/>
              <w:rPr>
                <w:rFonts w:eastAsiaTheme="minorEastAsia"/>
                <w:noProof/>
              </w:rPr>
            </w:pPr>
            <w:r>
              <w:rPr>
                <w:noProof/>
              </w:rPr>
              <w:t>Kwartał</w:t>
            </w:r>
          </w:p>
        </w:tc>
        <w:tc>
          <w:tcPr>
            <w:tcW w:w="709" w:type="dxa"/>
            <w:shd w:val="clear" w:color="auto" w:fill="BDD7EE"/>
            <w:vAlign w:val="center"/>
            <w:hideMark/>
          </w:tcPr>
          <w:p w14:paraId="03EE9894" w14:textId="77777777" w:rsidR="004C6421" w:rsidRDefault="009D1962">
            <w:pPr>
              <w:pStyle w:val="P68B1DB1-Normal3"/>
              <w:jc w:val="center"/>
              <w:rPr>
                <w:rFonts w:eastAsiaTheme="minorEastAsia"/>
                <w:noProof/>
              </w:rPr>
            </w:pPr>
            <w:r>
              <w:rPr>
                <w:noProof/>
              </w:rPr>
              <w:t>Rok</w:t>
            </w:r>
          </w:p>
        </w:tc>
        <w:tc>
          <w:tcPr>
            <w:tcW w:w="2595" w:type="dxa"/>
            <w:vMerge/>
            <w:vAlign w:val="center"/>
            <w:hideMark/>
          </w:tcPr>
          <w:p w14:paraId="73601917" w14:textId="77777777" w:rsidR="004C6421" w:rsidRDefault="004C6421">
            <w:pPr>
              <w:jc w:val="center"/>
              <w:rPr>
                <w:rFonts w:ascii="Arial Narrow" w:eastAsiaTheme="minorEastAsia" w:hAnsi="Arial Narrow"/>
                <w:b/>
                <w:noProof/>
                <w:sz w:val="20"/>
              </w:rPr>
            </w:pPr>
          </w:p>
        </w:tc>
      </w:tr>
      <w:tr w:rsidR="004C6421" w14:paraId="12C9D61E" w14:textId="77777777">
        <w:trPr>
          <w:trHeight w:val="313"/>
        </w:trPr>
        <w:tc>
          <w:tcPr>
            <w:tcW w:w="1419" w:type="dxa"/>
            <w:shd w:val="clear" w:color="auto" w:fill="C6EFCE"/>
            <w:noWrap/>
            <w:vAlign w:val="center"/>
          </w:tcPr>
          <w:p w14:paraId="0DA050C7" w14:textId="77777777" w:rsidR="004C6421" w:rsidRDefault="009D1962">
            <w:pPr>
              <w:pStyle w:val="P68B1DB1-Normal4"/>
              <w:jc w:val="center"/>
              <w:rPr>
                <w:rFonts w:eastAsiaTheme="minorEastAsia"/>
                <w:noProof/>
              </w:rPr>
            </w:pPr>
            <w:r>
              <w:rPr>
                <w:noProof/>
              </w:rPr>
              <w:t>M5C3-10</w:t>
            </w:r>
          </w:p>
        </w:tc>
        <w:tc>
          <w:tcPr>
            <w:tcW w:w="1666" w:type="dxa"/>
            <w:shd w:val="clear" w:color="auto" w:fill="C6EFCE"/>
            <w:noWrap/>
            <w:vAlign w:val="center"/>
            <w:hideMark/>
          </w:tcPr>
          <w:p w14:paraId="5A478967" w14:textId="77777777" w:rsidR="004C6421" w:rsidRDefault="009D1962">
            <w:pPr>
              <w:pStyle w:val="P68B1DB1-Normal4"/>
              <w:jc w:val="center"/>
              <w:rPr>
                <w:rFonts w:eastAsiaTheme="minorEastAsia"/>
                <w:noProof/>
              </w:rPr>
            </w:pPr>
            <w:r>
              <w:rPr>
                <w:noProof/>
              </w:rPr>
              <w:t>Reforma1: Uproszczenie procedur i wzmocnienie stanowiska komisarza w specjalnych strefach ekonomicznych</w:t>
            </w:r>
          </w:p>
        </w:tc>
        <w:tc>
          <w:tcPr>
            <w:tcW w:w="1169" w:type="dxa"/>
            <w:shd w:val="clear" w:color="auto" w:fill="C6EFCE"/>
            <w:noWrap/>
            <w:vAlign w:val="center"/>
            <w:hideMark/>
          </w:tcPr>
          <w:p w14:paraId="056F2D95" w14:textId="73A910CD" w:rsidR="004C6421" w:rsidRDefault="00CC179E">
            <w:pPr>
              <w:pStyle w:val="P68B1DB1-Normal4"/>
              <w:jc w:val="center"/>
              <w:rPr>
                <w:rFonts w:eastAsiaTheme="minorEastAsia"/>
                <w:noProof/>
              </w:rPr>
            </w:pPr>
            <w:r>
              <w:rPr>
                <w:noProof/>
              </w:rPr>
              <w:t>Milowy</w:t>
            </w:r>
          </w:p>
        </w:tc>
        <w:tc>
          <w:tcPr>
            <w:tcW w:w="1559" w:type="dxa"/>
            <w:shd w:val="clear" w:color="auto" w:fill="C6EFCE"/>
            <w:noWrap/>
            <w:vAlign w:val="center"/>
            <w:hideMark/>
          </w:tcPr>
          <w:p w14:paraId="15345598" w14:textId="77777777" w:rsidR="004C6421" w:rsidRDefault="009D1962">
            <w:pPr>
              <w:pStyle w:val="P68B1DB1-Normal4"/>
              <w:jc w:val="center"/>
              <w:rPr>
                <w:rFonts w:eastAsiaTheme="minorEastAsia"/>
                <w:noProof/>
              </w:rPr>
            </w:pPr>
            <w:r>
              <w:rPr>
                <w:noProof/>
              </w:rPr>
              <w:t>Wejście w życie rozporządzenia w celu uproszczenia procedur i wzmocnienia roli komisarza w specjalnych strefach ekonomicznych</w:t>
            </w:r>
          </w:p>
        </w:tc>
        <w:tc>
          <w:tcPr>
            <w:tcW w:w="1701" w:type="dxa"/>
            <w:shd w:val="clear" w:color="auto" w:fill="C6EFCE"/>
            <w:noWrap/>
            <w:vAlign w:val="center"/>
            <w:hideMark/>
          </w:tcPr>
          <w:p w14:paraId="13C45EFF" w14:textId="77777777" w:rsidR="004C6421" w:rsidRDefault="009D1962">
            <w:pPr>
              <w:pStyle w:val="P68B1DB1-Normal4"/>
              <w:jc w:val="center"/>
              <w:rPr>
                <w:rFonts w:eastAsiaTheme="minorEastAsia"/>
                <w:noProof/>
              </w:rPr>
            </w:pPr>
            <w:r>
              <w:rPr>
                <w:noProof/>
              </w:rPr>
              <w:t>Przepis rozporządzenia dotyczący wejścia w życie rozporządzenia w celu uproszczenia procedur i wzmocnienia roli komisarza w specjalnych strefach ekonomicznych NIE DOT.</w:t>
            </w:r>
          </w:p>
        </w:tc>
        <w:tc>
          <w:tcPr>
            <w:tcW w:w="1417" w:type="dxa"/>
            <w:shd w:val="clear" w:color="auto" w:fill="C6EFCE"/>
            <w:noWrap/>
            <w:vAlign w:val="center"/>
          </w:tcPr>
          <w:p w14:paraId="6F7D07A5"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2A9B28D3" w14:textId="77777777" w:rsidR="004C6421" w:rsidRDefault="009D1962">
            <w:pPr>
              <w:pStyle w:val="P68B1DB1-Normal4"/>
              <w:jc w:val="center"/>
              <w:rPr>
                <w:noProof/>
              </w:rPr>
            </w:pPr>
            <w:r>
              <w:rPr>
                <w:noProof/>
              </w:rPr>
              <w:t>NIE DOT.</w:t>
            </w:r>
          </w:p>
        </w:tc>
        <w:tc>
          <w:tcPr>
            <w:tcW w:w="993" w:type="dxa"/>
            <w:shd w:val="clear" w:color="auto" w:fill="C6EFCE"/>
            <w:noWrap/>
            <w:vAlign w:val="center"/>
          </w:tcPr>
          <w:p w14:paraId="1D79DF13" w14:textId="77777777" w:rsidR="004C6421" w:rsidRDefault="009D1962">
            <w:pPr>
              <w:pStyle w:val="P68B1DB1-Normal4"/>
              <w:jc w:val="center"/>
              <w:rPr>
                <w:noProof/>
              </w:rPr>
            </w:pPr>
            <w:r>
              <w:rPr>
                <w:noProof/>
              </w:rPr>
              <w:t>NIE DOT.</w:t>
            </w:r>
          </w:p>
        </w:tc>
        <w:tc>
          <w:tcPr>
            <w:tcW w:w="992" w:type="dxa"/>
            <w:shd w:val="clear" w:color="auto" w:fill="C6EFCE"/>
            <w:noWrap/>
            <w:vAlign w:val="center"/>
            <w:hideMark/>
          </w:tcPr>
          <w:p w14:paraId="676FAD1F" w14:textId="37F67B57" w:rsidR="004C6421" w:rsidRDefault="00CC179E">
            <w:pPr>
              <w:pStyle w:val="P68B1DB1-Normal4"/>
              <w:jc w:val="center"/>
              <w:rPr>
                <w:rFonts w:eastAsiaTheme="minorEastAsia"/>
                <w:noProof/>
              </w:rPr>
            </w:pPr>
            <w:r>
              <w:rPr>
                <w:noProof/>
              </w:rPr>
              <w:t>KW. 4</w:t>
            </w:r>
          </w:p>
        </w:tc>
        <w:tc>
          <w:tcPr>
            <w:tcW w:w="709" w:type="dxa"/>
            <w:shd w:val="clear" w:color="auto" w:fill="C6EFCE"/>
            <w:noWrap/>
            <w:vAlign w:val="center"/>
            <w:hideMark/>
          </w:tcPr>
          <w:p w14:paraId="42517A91" w14:textId="77777777" w:rsidR="004C6421" w:rsidRDefault="009D1962">
            <w:pPr>
              <w:pStyle w:val="P68B1DB1-Normal4"/>
              <w:rPr>
                <w:rFonts w:eastAsiaTheme="minorEastAsia"/>
                <w:noProof/>
              </w:rPr>
            </w:pPr>
            <w:r>
              <w:rPr>
                <w:noProof/>
              </w:rPr>
              <w:t>2021</w:t>
            </w:r>
          </w:p>
        </w:tc>
        <w:tc>
          <w:tcPr>
            <w:tcW w:w="2595" w:type="dxa"/>
            <w:shd w:val="clear" w:color="auto" w:fill="C6EFCE"/>
            <w:noWrap/>
            <w:vAlign w:val="center"/>
            <w:hideMark/>
          </w:tcPr>
          <w:p w14:paraId="4AD7F3A0" w14:textId="77777777" w:rsidR="004C6421" w:rsidRDefault="009D1962">
            <w:pPr>
              <w:pStyle w:val="P68B1DB1-Normal4"/>
              <w:rPr>
                <w:noProof/>
              </w:rPr>
            </w:pPr>
            <w:r>
              <w:rPr>
                <w:noProof/>
              </w:rPr>
              <w:t>Rozporządzenie zawiera: przez</w:t>
            </w:r>
          </w:p>
          <w:p w14:paraId="59AA30FE" w14:textId="77777777" w:rsidR="004C6421" w:rsidRDefault="009D1962">
            <w:pPr>
              <w:pStyle w:val="P68B1DB1-Normal4"/>
              <w:rPr>
                <w:noProof/>
              </w:rPr>
            </w:pPr>
            <w:r>
              <w:rPr>
                <w:noProof/>
              </w:rPr>
              <w:t>ustanowienie cyfrowego punktu kompleksowej obsługi dla specjalnych stref ekonomicznych w celu uproszczenia procedur; przepisy mające na celu wzmocnienie roli komisarza w ZES.</w:t>
            </w:r>
          </w:p>
          <w:p w14:paraId="71266161" w14:textId="77777777" w:rsidR="004C6421" w:rsidRDefault="009D1962">
            <w:pPr>
              <w:pStyle w:val="P68B1DB1-Normal4"/>
              <w:rPr>
                <w:noProof/>
              </w:rPr>
            </w:pPr>
            <w:r>
              <w:rPr>
                <w:noProof/>
              </w:rPr>
              <w:t xml:space="preserve"> </w:t>
            </w:r>
          </w:p>
          <w:p w14:paraId="6872AFA9" w14:textId="77777777" w:rsidR="004C6421" w:rsidRDefault="009D1962">
            <w:pPr>
              <w:pStyle w:val="P68B1DB1-Normal4"/>
              <w:rPr>
                <w:rFonts w:eastAsiaTheme="minorEastAsia"/>
                <w:noProof/>
              </w:rPr>
            </w:pPr>
            <w:r>
              <w:rPr>
                <w:noProof/>
              </w:rPr>
              <w:t>Specjalne strefy ekonomiczne to szczególne obszary określone w dekrecie z mocą ustawy 91/2017 (publikacja w Dzienniku Urzędowym 141/2017) przekształconym w ustawę L. 123/2017 (opublikowanym w Dzienniku Urzędowym Mezzogiorno 188/2017).</w:t>
            </w:r>
          </w:p>
        </w:tc>
      </w:tr>
      <w:tr w:rsidR="004C6421" w14:paraId="228827D0" w14:textId="77777777">
        <w:trPr>
          <w:trHeight w:val="313"/>
        </w:trPr>
        <w:tc>
          <w:tcPr>
            <w:tcW w:w="1419" w:type="dxa"/>
            <w:shd w:val="clear" w:color="auto" w:fill="C6EFCE"/>
            <w:noWrap/>
            <w:vAlign w:val="center"/>
            <w:hideMark/>
          </w:tcPr>
          <w:p w14:paraId="6427E9B4" w14:textId="77777777" w:rsidR="004C6421" w:rsidRDefault="009D1962">
            <w:pPr>
              <w:pStyle w:val="P68B1DB1-Normal4"/>
              <w:jc w:val="center"/>
              <w:rPr>
                <w:rFonts w:eastAsiaTheme="minorEastAsia"/>
                <w:noProof/>
              </w:rPr>
            </w:pPr>
            <w:r>
              <w:rPr>
                <w:noProof/>
              </w:rPr>
              <w:t>M5C3-11</w:t>
            </w:r>
          </w:p>
        </w:tc>
        <w:tc>
          <w:tcPr>
            <w:tcW w:w="1666" w:type="dxa"/>
            <w:shd w:val="clear" w:color="auto" w:fill="C6EFCE"/>
            <w:noWrap/>
            <w:vAlign w:val="center"/>
            <w:hideMark/>
          </w:tcPr>
          <w:p w14:paraId="6A3D900E" w14:textId="77777777" w:rsidR="004C6421" w:rsidRDefault="009D1962">
            <w:pPr>
              <w:pStyle w:val="P68B1DB1-Normal4"/>
              <w:jc w:val="center"/>
              <w:rPr>
                <w:rFonts w:eastAsiaTheme="minorEastAsia"/>
                <w:noProof/>
              </w:rPr>
            </w:pPr>
            <w:r>
              <w:rPr>
                <w:noProof/>
              </w:rPr>
              <w:t>Inwestycje 1.4: Inwestycje infrastrukturalne dla specjalnej strefy ekonomicznej</w:t>
            </w:r>
            <w:r>
              <w:rPr>
                <w:noProof/>
                <w:shd w:val="clear" w:color="auto" w:fill="E6E6E6"/>
              </w:rPr>
              <w:t xml:space="preserve"> </w:t>
            </w:r>
          </w:p>
        </w:tc>
        <w:tc>
          <w:tcPr>
            <w:tcW w:w="1169" w:type="dxa"/>
            <w:shd w:val="clear" w:color="auto" w:fill="C6EFCE"/>
            <w:noWrap/>
            <w:vAlign w:val="center"/>
            <w:hideMark/>
          </w:tcPr>
          <w:p w14:paraId="56CC57FB" w14:textId="05E67D9E" w:rsidR="004C6421" w:rsidRDefault="00CC179E">
            <w:pPr>
              <w:pStyle w:val="P68B1DB1-Normal4"/>
              <w:jc w:val="center"/>
              <w:rPr>
                <w:rFonts w:eastAsiaTheme="minorEastAsia"/>
                <w:noProof/>
              </w:rPr>
            </w:pPr>
            <w:r>
              <w:rPr>
                <w:noProof/>
              </w:rPr>
              <w:t>Milowy</w:t>
            </w:r>
          </w:p>
        </w:tc>
        <w:tc>
          <w:tcPr>
            <w:tcW w:w="1559" w:type="dxa"/>
            <w:shd w:val="clear" w:color="auto" w:fill="C6EFCE"/>
            <w:noWrap/>
            <w:vAlign w:val="center"/>
            <w:hideMark/>
          </w:tcPr>
          <w:p w14:paraId="78580B6D" w14:textId="77777777" w:rsidR="004C6421" w:rsidRDefault="009D1962">
            <w:pPr>
              <w:pStyle w:val="P68B1DB1-Normal4"/>
              <w:jc w:val="center"/>
              <w:rPr>
                <w:rFonts w:eastAsiaTheme="minorEastAsia"/>
                <w:noProof/>
              </w:rPr>
            </w:pPr>
            <w:r>
              <w:rPr>
                <w:noProof/>
              </w:rPr>
              <w:t>Wejście w życie dekretów ministerstwa zatwierdzających plany operacyjne dla wszystkich ośmiu specjalnych stref ekonomicznych</w:t>
            </w:r>
          </w:p>
        </w:tc>
        <w:tc>
          <w:tcPr>
            <w:tcW w:w="1701" w:type="dxa"/>
            <w:shd w:val="clear" w:color="auto" w:fill="C6EFCE"/>
            <w:noWrap/>
            <w:vAlign w:val="center"/>
            <w:hideMark/>
          </w:tcPr>
          <w:p w14:paraId="64BB4D3B" w14:textId="77777777" w:rsidR="004C6421" w:rsidRDefault="009D1962">
            <w:pPr>
              <w:pStyle w:val="P68B1DB1-Normal4"/>
              <w:jc w:val="center"/>
              <w:rPr>
                <w:rFonts w:eastAsiaTheme="minorEastAsia"/>
                <w:noProof/>
              </w:rPr>
            </w:pPr>
            <w:r>
              <w:rPr>
                <w:noProof/>
              </w:rPr>
              <w:t>Przepis prawa wskazujący wejście w życie dekretów Ministerstwa. NIE DOT.</w:t>
            </w:r>
          </w:p>
        </w:tc>
        <w:tc>
          <w:tcPr>
            <w:tcW w:w="1417" w:type="dxa"/>
            <w:shd w:val="clear" w:color="auto" w:fill="C6EFCE"/>
            <w:noWrap/>
            <w:vAlign w:val="center"/>
            <w:hideMark/>
          </w:tcPr>
          <w:p w14:paraId="008EBB5C" w14:textId="77777777" w:rsidR="004C6421" w:rsidRDefault="009D1962">
            <w:pPr>
              <w:pStyle w:val="P68B1DB1-Normal4"/>
              <w:jc w:val="center"/>
              <w:rPr>
                <w:noProof/>
              </w:rPr>
            </w:pPr>
            <w:r>
              <w:rPr>
                <w:noProof/>
              </w:rPr>
              <w:t>NIE DOT.</w:t>
            </w:r>
          </w:p>
        </w:tc>
        <w:tc>
          <w:tcPr>
            <w:tcW w:w="1134" w:type="dxa"/>
            <w:shd w:val="clear" w:color="auto" w:fill="C6EFCE"/>
            <w:noWrap/>
            <w:vAlign w:val="center"/>
          </w:tcPr>
          <w:p w14:paraId="7EB6739D" w14:textId="77777777" w:rsidR="004C6421" w:rsidRDefault="009D1962">
            <w:pPr>
              <w:pStyle w:val="P68B1DB1-Normal4"/>
              <w:jc w:val="center"/>
              <w:rPr>
                <w:noProof/>
              </w:rPr>
            </w:pPr>
            <w:r>
              <w:rPr>
                <w:noProof/>
              </w:rPr>
              <w:t>NIE DOT.</w:t>
            </w:r>
          </w:p>
        </w:tc>
        <w:tc>
          <w:tcPr>
            <w:tcW w:w="993" w:type="dxa"/>
            <w:shd w:val="clear" w:color="auto" w:fill="C6EFCE"/>
            <w:noWrap/>
            <w:vAlign w:val="center"/>
          </w:tcPr>
          <w:p w14:paraId="387E3AE8" w14:textId="77777777" w:rsidR="004C6421" w:rsidRDefault="009D1962">
            <w:pPr>
              <w:pStyle w:val="P68B1DB1-Normal4"/>
              <w:jc w:val="center"/>
              <w:rPr>
                <w:noProof/>
              </w:rPr>
            </w:pPr>
            <w:r>
              <w:rPr>
                <w:noProof/>
              </w:rPr>
              <w:t>NIE DOT.</w:t>
            </w:r>
          </w:p>
        </w:tc>
        <w:tc>
          <w:tcPr>
            <w:tcW w:w="992" w:type="dxa"/>
            <w:shd w:val="clear" w:color="auto" w:fill="C6EFCE"/>
            <w:noWrap/>
            <w:vAlign w:val="center"/>
            <w:hideMark/>
          </w:tcPr>
          <w:p w14:paraId="5DA6B8CF" w14:textId="766DD509" w:rsidR="004C6421" w:rsidRDefault="00CC179E">
            <w:pPr>
              <w:pStyle w:val="P68B1DB1-Normal4"/>
              <w:jc w:val="center"/>
              <w:rPr>
                <w:rFonts w:eastAsiaTheme="minorEastAsia"/>
                <w:noProof/>
              </w:rPr>
            </w:pPr>
            <w:r>
              <w:rPr>
                <w:noProof/>
              </w:rPr>
              <w:t>KW. 4</w:t>
            </w:r>
          </w:p>
        </w:tc>
        <w:tc>
          <w:tcPr>
            <w:tcW w:w="709" w:type="dxa"/>
            <w:shd w:val="clear" w:color="auto" w:fill="C6EFCE"/>
            <w:noWrap/>
            <w:vAlign w:val="center"/>
            <w:hideMark/>
          </w:tcPr>
          <w:p w14:paraId="600CD7EE" w14:textId="77777777" w:rsidR="004C6421" w:rsidRDefault="009D1962">
            <w:pPr>
              <w:pStyle w:val="P68B1DB1-Normal4"/>
              <w:jc w:val="center"/>
              <w:rPr>
                <w:rFonts w:eastAsiaTheme="minorEastAsia"/>
                <w:noProof/>
              </w:rPr>
            </w:pPr>
            <w:r>
              <w:rPr>
                <w:noProof/>
              </w:rPr>
              <w:t>2021</w:t>
            </w:r>
          </w:p>
        </w:tc>
        <w:tc>
          <w:tcPr>
            <w:tcW w:w="2595" w:type="dxa"/>
            <w:shd w:val="clear" w:color="auto" w:fill="C6EFCE"/>
            <w:noWrap/>
            <w:vAlign w:val="center"/>
            <w:hideMark/>
          </w:tcPr>
          <w:p w14:paraId="67C4B387" w14:textId="77777777" w:rsidR="004C6421" w:rsidRDefault="009D1962">
            <w:pPr>
              <w:pStyle w:val="P68B1DB1-Normal4"/>
              <w:rPr>
                <w:rFonts w:eastAsiaTheme="minorEastAsia"/>
                <w:noProof/>
              </w:rPr>
            </w:pPr>
            <w:r>
              <w:rPr>
                <w:noProof/>
              </w:rPr>
              <w:t>Dekret przydziela środki podmiotom odpowiedzialnym za wykonanie i określa szczególne warunki w celu uniknięcia jakiegokolwiek wpływu interwencji na środowisko.</w:t>
            </w:r>
          </w:p>
          <w:p w14:paraId="00283BBB" w14:textId="77777777" w:rsidR="004C6421" w:rsidRDefault="009D1962">
            <w:pPr>
              <w:pStyle w:val="P68B1DB1-Normal4"/>
              <w:rPr>
                <w:rFonts w:eastAsiaTheme="minorEastAsia"/>
                <w:noProof/>
              </w:rPr>
            </w:pPr>
            <w:r>
              <w:rPr>
                <w:noProof/>
              </w:rPr>
              <w:t>Ogłaszanie wszystkich konkurencyjnych zaproszeń do składania wniosków odbywa się z uwzględnieniem kryteriów kwalifikowalności zapewniających zgodność wybranych projektów z wytycznymi technicznymi dotyczącymi zasady „nie czyń poważnych szkód” (2021/C58/01) poprzez wykorzystanie listy wykluczenia oraz wymóg zgodności z odpowiednimi unijnymi i krajowymi przepisami w zakresie ochrony środowiska.</w:t>
            </w:r>
          </w:p>
        </w:tc>
      </w:tr>
      <w:tr w:rsidR="004C6421" w14:paraId="08177787" w14:textId="77777777">
        <w:trPr>
          <w:trHeight w:val="313"/>
        </w:trPr>
        <w:tc>
          <w:tcPr>
            <w:tcW w:w="1419" w:type="dxa"/>
            <w:shd w:val="clear" w:color="auto" w:fill="C6EFCE"/>
            <w:noWrap/>
            <w:vAlign w:val="center"/>
            <w:hideMark/>
          </w:tcPr>
          <w:p w14:paraId="5C6C16DA" w14:textId="77777777" w:rsidR="004C6421" w:rsidRDefault="009D1962">
            <w:pPr>
              <w:pStyle w:val="P68B1DB1-Normal4"/>
              <w:jc w:val="center"/>
              <w:rPr>
                <w:rFonts w:eastAsiaTheme="minorEastAsia"/>
                <w:noProof/>
              </w:rPr>
            </w:pPr>
            <w:r>
              <w:rPr>
                <w:noProof/>
              </w:rPr>
              <w:t>M5C3-12</w:t>
            </w:r>
          </w:p>
        </w:tc>
        <w:tc>
          <w:tcPr>
            <w:tcW w:w="1666" w:type="dxa"/>
            <w:shd w:val="clear" w:color="auto" w:fill="C6EFCE"/>
            <w:noWrap/>
            <w:vAlign w:val="center"/>
            <w:hideMark/>
          </w:tcPr>
          <w:p w14:paraId="39B58B94" w14:textId="77777777" w:rsidR="004C6421" w:rsidRDefault="009D1962">
            <w:pPr>
              <w:pStyle w:val="P68B1DB1-Normal4"/>
              <w:jc w:val="center"/>
              <w:rPr>
                <w:rFonts w:eastAsiaTheme="minorEastAsia"/>
                <w:noProof/>
              </w:rPr>
            </w:pPr>
            <w:r>
              <w:rPr>
                <w:noProof/>
              </w:rPr>
              <w:t>Inwestycje 1.4: Inwestycje infrastrukturalne dla specjalnej strefy ekonomicznej</w:t>
            </w:r>
          </w:p>
        </w:tc>
        <w:tc>
          <w:tcPr>
            <w:tcW w:w="1169" w:type="dxa"/>
            <w:shd w:val="clear" w:color="auto" w:fill="C6EFCE"/>
            <w:noWrap/>
            <w:vAlign w:val="center"/>
            <w:hideMark/>
          </w:tcPr>
          <w:p w14:paraId="04B87334" w14:textId="77777777" w:rsidR="004C6421" w:rsidRDefault="009D1962">
            <w:pPr>
              <w:pStyle w:val="P68B1DB1-Normal4"/>
              <w:jc w:val="center"/>
              <w:rPr>
                <w:rFonts w:eastAsiaTheme="minorEastAsia"/>
                <w:noProof/>
              </w:rPr>
            </w:pPr>
            <w:r>
              <w:rPr>
                <w:noProof/>
              </w:rPr>
              <w:t>Cel</w:t>
            </w:r>
          </w:p>
        </w:tc>
        <w:tc>
          <w:tcPr>
            <w:tcW w:w="1559" w:type="dxa"/>
            <w:shd w:val="clear" w:color="auto" w:fill="C6EFCE"/>
            <w:noWrap/>
            <w:vAlign w:val="center"/>
          </w:tcPr>
          <w:p w14:paraId="33283B7A" w14:textId="77777777" w:rsidR="004C6421" w:rsidRDefault="009D1962">
            <w:pPr>
              <w:pStyle w:val="P68B1DB1-Normal4"/>
              <w:jc w:val="center"/>
              <w:rPr>
                <w:rFonts w:eastAsiaTheme="minorEastAsia"/>
                <w:noProof/>
              </w:rPr>
            </w:pPr>
            <w:r>
              <w:rPr>
                <w:noProof/>
              </w:rPr>
              <w:t>Rozpoczęcie interwencji infrastrukturalnych w specjalnych strefach ekonomicznych</w:t>
            </w:r>
          </w:p>
        </w:tc>
        <w:tc>
          <w:tcPr>
            <w:tcW w:w="1701" w:type="dxa"/>
            <w:shd w:val="clear" w:color="auto" w:fill="C6EFCE"/>
            <w:noWrap/>
            <w:vAlign w:val="center"/>
            <w:hideMark/>
          </w:tcPr>
          <w:p w14:paraId="297E89E5" w14:textId="77777777" w:rsidR="004C6421" w:rsidRDefault="009D1962">
            <w:pPr>
              <w:pStyle w:val="P68B1DB1-Normal4"/>
              <w:jc w:val="center"/>
              <w:rPr>
                <w:noProof/>
              </w:rPr>
            </w:pPr>
            <w:r>
              <w:rPr>
                <w:noProof/>
              </w:rPr>
              <w:t>NIE DOT.</w:t>
            </w:r>
          </w:p>
        </w:tc>
        <w:tc>
          <w:tcPr>
            <w:tcW w:w="1417" w:type="dxa"/>
            <w:shd w:val="clear" w:color="auto" w:fill="C6EFCE"/>
            <w:noWrap/>
            <w:vAlign w:val="center"/>
            <w:hideMark/>
          </w:tcPr>
          <w:p w14:paraId="767CD01C" w14:textId="77777777" w:rsidR="004C6421" w:rsidRDefault="009D1962">
            <w:pPr>
              <w:pStyle w:val="P68B1DB1-Normal4"/>
              <w:jc w:val="center"/>
              <w:rPr>
                <w:rFonts w:eastAsiaTheme="minorEastAsia"/>
                <w:noProof/>
              </w:rPr>
            </w:pPr>
            <w:r>
              <w:rPr>
                <w:noProof/>
              </w:rPr>
              <w:t>Numer</w:t>
            </w:r>
          </w:p>
        </w:tc>
        <w:tc>
          <w:tcPr>
            <w:tcW w:w="1134" w:type="dxa"/>
            <w:shd w:val="clear" w:color="auto" w:fill="C6EFCE"/>
            <w:noWrap/>
            <w:vAlign w:val="center"/>
            <w:hideMark/>
          </w:tcPr>
          <w:p w14:paraId="2D48ABAC" w14:textId="77777777" w:rsidR="004C6421" w:rsidRDefault="009D1962">
            <w:pPr>
              <w:pStyle w:val="P68B1DB1-Normal4"/>
              <w:jc w:val="center"/>
              <w:rPr>
                <w:rFonts w:eastAsiaTheme="minorEastAsia"/>
                <w:noProof/>
              </w:rPr>
            </w:pPr>
            <w:r>
              <w:rPr>
                <w:noProof/>
              </w:rPr>
              <w:t>0</w:t>
            </w:r>
          </w:p>
        </w:tc>
        <w:tc>
          <w:tcPr>
            <w:tcW w:w="993" w:type="dxa"/>
            <w:shd w:val="clear" w:color="auto" w:fill="C6EFCE"/>
            <w:noWrap/>
            <w:vAlign w:val="center"/>
            <w:hideMark/>
          </w:tcPr>
          <w:p w14:paraId="57EEB5BB" w14:textId="77777777" w:rsidR="004C6421" w:rsidRDefault="009D1962">
            <w:pPr>
              <w:pStyle w:val="P68B1DB1-Normal4"/>
              <w:jc w:val="center"/>
              <w:rPr>
                <w:rFonts w:eastAsiaTheme="minorEastAsia"/>
                <w:noProof/>
              </w:rPr>
            </w:pPr>
            <w:r>
              <w:rPr>
                <w:noProof/>
              </w:rPr>
              <w:t>41</w:t>
            </w:r>
          </w:p>
        </w:tc>
        <w:tc>
          <w:tcPr>
            <w:tcW w:w="992" w:type="dxa"/>
            <w:shd w:val="clear" w:color="auto" w:fill="C6EFCE"/>
            <w:noWrap/>
            <w:vAlign w:val="center"/>
            <w:hideMark/>
          </w:tcPr>
          <w:p w14:paraId="7BBEB560" w14:textId="6E92B4C6" w:rsidR="004C6421" w:rsidRDefault="00CC179E">
            <w:pPr>
              <w:pStyle w:val="P68B1DB1-Normal4"/>
              <w:jc w:val="center"/>
              <w:rPr>
                <w:rFonts w:eastAsiaTheme="minorEastAsia"/>
                <w:noProof/>
              </w:rPr>
            </w:pPr>
            <w:r>
              <w:rPr>
                <w:noProof/>
              </w:rPr>
              <w:t>KW. 4</w:t>
            </w:r>
          </w:p>
        </w:tc>
        <w:tc>
          <w:tcPr>
            <w:tcW w:w="709" w:type="dxa"/>
            <w:shd w:val="clear" w:color="auto" w:fill="C6EFCE"/>
            <w:noWrap/>
            <w:vAlign w:val="center"/>
            <w:hideMark/>
          </w:tcPr>
          <w:p w14:paraId="5E411A09" w14:textId="77777777" w:rsidR="004C6421" w:rsidRDefault="009D1962">
            <w:pPr>
              <w:pStyle w:val="P68B1DB1-Normal4"/>
              <w:jc w:val="center"/>
              <w:rPr>
                <w:rFonts w:eastAsiaTheme="minorEastAsia"/>
                <w:noProof/>
              </w:rPr>
            </w:pPr>
            <w:r>
              <w:rPr>
                <w:noProof/>
              </w:rPr>
              <w:t>2024</w:t>
            </w:r>
          </w:p>
        </w:tc>
        <w:tc>
          <w:tcPr>
            <w:tcW w:w="2595" w:type="dxa"/>
            <w:shd w:val="clear" w:color="auto" w:fill="C6EFCE"/>
            <w:noWrap/>
            <w:vAlign w:val="center"/>
            <w:hideMark/>
          </w:tcPr>
          <w:p w14:paraId="0290B659" w14:textId="77777777" w:rsidR="004C6421" w:rsidRDefault="009D1962">
            <w:pPr>
              <w:pStyle w:val="P68B1DB1-Normal4"/>
              <w:rPr>
                <w:rFonts w:eastAsiaTheme="minorEastAsia"/>
                <w:noProof/>
              </w:rPr>
            </w:pPr>
            <w:r>
              <w:rPr>
                <w:noProof/>
              </w:rPr>
              <w:t>Planowane interwencje to:</w:t>
            </w:r>
          </w:p>
          <w:p w14:paraId="04B0171A" w14:textId="77777777" w:rsidR="004C6421" w:rsidRDefault="009D1962">
            <w:pPr>
              <w:pStyle w:val="P68B1DB1-Normal4"/>
              <w:rPr>
                <w:rFonts w:eastAsiaTheme="minorEastAsia"/>
                <w:noProof/>
              </w:rPr>
            </w:pPr>
            <w:r>
              <w:rPr>
                <w:noProof/>
              </w:rPr>
              <w:t>— Połączenie „ostatnia mila”: ustanowienie skutecznych połączeń między obszarami przemysłowymi a siecią kolejową TEN-T;</w:t>
            </w:r>
          </w:p>
          <w:p w14:paraId="7272FEB6" w14:textId="77777777" w:rsidR="004C6421" w:rsidRDefault="009D1962">
            <w:pPr>
              <w:pStyle w:val="P68B1DB1-Normal4"/>
              <w:rPr>
                <w:rFonts w:eastAsiaTheme="minorEastAsia"/>
                <w:noProof/>
              </w:rPr>
            </w:pPr>
            <w:r>
              <w:rPr>
                <w:noProof/>
              </w:rPr>
              <w:t>— Prace związane z logistyką cyfrową oraz efektywnością energetyczną i środowiskową;</w:t>
            </w:r>
          </w:p>
          <w:p w14:paraId="40A27AC7" w14:textId="77777777" w:rsidR="004C6421" w:rsidRDefault="009D1962">
            <w:pPr>
              <w:pStyle w:val="P68B1DB1-Normal4"/>
              <w:rPr>
                <w:rFonts w:eastAsiaTheme="minorEastAsia"/>
                <w:noProof/>
              </w:rPr>
            </w:pPr>
            <w:r>
              <w:rPr>
                <w:noProof/>
              </w:rPr>
              <w:t>— Wzmocnienie odporności i bezpieczeństwa infrastruktury w odniesieniu do dostępu do portów.</w:t>
            </w:r>
          </w:p>
          <w:p w14:paraId="344CF9CA" w14:textId="77777777" w:rsidR="004C6421" w:rsidRDefault="009D1962">
            <w:pPr>
              <w:pStyle w:val="P68B1DB1-Normal4"/>
              <w:rPr>
                <w:rFonts w:eastAsiaTheme="minorEastAsia"/>
                <w:noProof/>
              </w:rPr>
            </w:pPr>
            <w:r>
              <w:rPr>
                <w:noProof/>
              </w:rPr>
              <w:t>Interwencje muszą się rozpocząć (co potwierdza certyfikat rozpoczęcia prac) w odniesieniu do co najmniej 22 połączeń ostatniej mili z portami lub obszarami przemysłowymi ZES; co najmniej 15 interwencji na rzecz logistyki cyfrowej, urbanizacji lub efektywności energetycznej na tych samych obszarach; cztery interwencje zwiększające odporność portów.</w:t>
            </w:r>
          </w:p>
        </w:tc>
      </w:tr>
      <w:tr w:rsidR="004C6421" w14:paraId="4058253A" w14:textId="77777777">
        <w:trPr>
          <w:trHeight w:val="313"/>
        </w:trPr>
        <w:tc>
          <w:tcPr>
            <w:tcW w:w="1419" w:type="dxa"/>
            <w:shd w:val="clear" w:color="auto" w:fill="C6EFCE"/>
            <w:noWrap/>
            <w:vAlign w:val="center"/>
            <w:hideMark/>
          </w:tcPr>
          <w:p w14:paraId="075131EA" w14:textId="77777777" w:rsidR="004C6421" w:rsidRDefault="009D1962">
            <w:pPr>
              <w:pStyle w:val="P68B1DB1-Normal4"/>
              <w:jc w:val="center"/>
              <w:rPr>
                <w:rFonts w:eastAsiaTheme="minorEastAsia"/>
                <w:noProof/>
              </w:rPr>
            </w:pPr>
            <w:r>
              <w:rPr>
                <w:noProof/>
              </w:rPr>
              <w:t>M5C3-13</w:t>
            </w:r>
          </w:p>
        </w:tc>
        <w:tc>
          <w:tcPr>
            <w:tcW w:w="1666" w:type="dxa"/>
            <w:shd w:val="clear" w:color="auto" w:fill="C6EFCE"/>
            <w:noWrap/>
            <w:vAlign w:val="center"/>
            <w:hideMark/>
          </w:tcPr>
          <w:p w14:paraId="50F49681" w14:textId="77777777" w:rsidR="004C6421" w:rsidRDefault="009D1962">
            <w:pPr>
              <w:pStyle w:val="P68B1DB1-Normal4"/>
              <w:jc w:val="center"/>
              <w:rPr>
                <w:rFonts w:eastAsiaTheme="minorEastAsia"/>
                <w:noProof/>
              </w:rPr>
            </w:pPr>
            <w:r>
              <w:rPr>
                <w:noProof/>
              </w:rPr>
              <w:t>Inwestycje 1.4: Inwestycje infrastrukturalne dla specjalnej strefy ekonomicznej</w:t>
            </w:r>
          </w:p>
        </w:tc>
        <w:tc>
          <w:tcPr>
            <w:tcW w:w="1169" w:type="dxa"/>
            <w:shd w:val="clear" w:color="auto" w:fill="C6EFCE"/>
            <w:noWrap/>
            <w:vAlign w:val="center"/>
            <w:hideMark/>
          </w:tcPr>
          <w:p w14:paraId="523EAB0E" w14:textId="77777777" w:rsidR="004C6421" w:rsidRDefault="009D1962">
            <w:pPr>
              <w:pStyle w:val="P68B1DB1-Normal4"/>
              <w:jc w:val="center"/>
              <w:rPr>
                <w:rFonts w:eastAsiaTheme="minorEastAsia"/>
                <w:noProof/>
              </w:rPr>
            </w:pPr>
            <w:r>
              <w:rPr>
                <w:noProof/>
              </w:rPr>
              <w:t>Cel</w:t>
            </w:r>
          </w:p>
        </w:tc>
        <w:tc>
          <w:tcPr>
            <w:tcW w:w="1559" w:type="dxa"/>
            <w:shd w:val="clear" w:color="auto" w:fill="C6EFCE"/>
            <w:noWrap/>
            <w:vAlign w:val="center"/>
            <w:hideMark/>
          </w:tcPr>
          <w:p w14:paraId="493509E8" w14:textId="77777777" w:rsidR="004C6421" w:rsidRDefault="009D1962">
            <w:pPr>
              <w:pStyle w:val="P68B1DB1-Normal4"/>
              <w:jc w:val="center"/>
              <w:rPr>
                <w:rFonts w:eastAsia="Calibri"/>
                <w:noProof/>
              </w:rPr>
            </w:pPr>
            <w:r>
              <w:rPr>
                <w:noProof/>
              </w:rPr>
              <w:t>Zakończenie interwencji infrastrukturalnych w specjalnych strefach ekonomicznych.</w:t>
            </w:r>
          </w:p>
        </w:tc>
        <w:tc>
          <w:tcPr>
            <w:tcW w:w="1701" w:type="dxa"/>
            <w:shd w:val="clear" w:color="auto" w:fill="C6EFCE"/>
            <w:noWrap/>
            <w:vAlign w:val="center"/>
            <w:hideMark/>
          </w:tcPr>
          <w:p w14:paraId="12C9F09C" w14:textId="77777777" w:rsidR="004C6421" w:rsidRDefault="009D1962">
            <w:pPr>
              <w:pStyle w:val="P68B1DB1-Normal4"/>
              <w:jc w:val="center"/>
              <w:rPr>
                <w:noProof/>
              </w:rPr>
            </w:pPr>
            <w:r>
              <w:rPr>
                <w:noProof/>
              </w:rPr>
              <w:t>NIE DOT.</w:t>
            </w:r>
          </w:p>
        </w:tc>
        <w:tc>
          <w:tcPr>
            <w:tcW w:w="1417" w:type="dxa"/>
            <w:shd w:val="clear" w:color="auto" w:fill="C6EFCE"/>
            <w:noWrap/>
            <w:vAlign w:val="center"/>
            <w:hideMark/>
          </w:tcPr>
          <w:p w14:paraId="682056A7" w14:textId="77777777" w:rsidR="004C6421" w:rsidRDefault="009D1962">
            <w:pPr>
              <w:pStyle w:val="P68B1DB1-Normal4"/>
              <w:jc w:val="center"/>
              <w:rPr>
                <w:rFonts w:eastAsiaTheme="minorEastAsia"/>
                <w:noProof/>
              </w:rPr>
            </w:pPr>
            <w:r>
              <w:rPr>
                <w:noProof/>
              </w:rPr>
              <w:t>Numer</w:t>
            </w:r>
          </w:p>
        </w:tc>
        <w:tc>
          <w:tcPr>
            <w:tcW w:w="1134" w:type="dxa"/>
            <w:shd w:val="clear" w:color="auto" w:fill="C6EFCE"/>
            <w:noWrap/>
            <w:vAlign w:val="center"/>
            <w:hideMark/>
          </w:tcPr>
          <w:p w14:paraId="3BA93789" w14:textId="77777777" w:rsidR="004C6421" w:rsidRDefault="009D1962">
            <w:pPr>
              <w:pStyle w:val="P68B1DB1-Normal4"/>
              <w:jc w:val="center"/>
              <w:rPr>
                <w:rFonts w:eastAsiaTheme="minorEastAsia"/>
                <w:noProof/>
              </w:rPr>
            </w:pPr>
            <w:r>
              <w:rPr>
                <w:noProof/>
              </w:rPr>
              <w:t>0</w:t>
            </w:r>
          </w:p>
        </w:tc>
        <w:tc>
          <w:tcPr>
            <w:tcW w:w="993" w:type="dxa"/>
            <w:shd w:val="clear" w:color="auto" w:fill="C6EFCE"/>
            <w:noWrap/>
            <w:vAlign w:val="center"/>
            <w:hideMark/>
          </w:tcPr>
          <w:p w14:paraId="65C447B4" w14:textId="77777777" w:rsidR="004C6421" w:rsidRDefault="009D1962">
            <w:pPr>
              <w:pStyle w:val="P68B1DB1-Normal4"/>
              <w:jc w:val="center"/>
              <w:rPr>
                <w:rFonts w:eastAsiaTheme="minorEastAsia"/>
                <w:noProof/>
              </w:rPr>
            </w:pPr>
            <w:r>
              <w:rPr>
                <w:noProof/>
              </w:rPr>
              <w:t>41</w:t>
            </w:r>
          </w:p>
        </w:tc>
        <w:tc>
          <w:tcPr>
            <w:tcW w:w="992" w:type="dxa"/>
            <w:shd w:val="clear" w:color="auto" w:fill="C6EFCE"/>
            <w:noWrap/>
            <w:vAlign w:val="center"/>
            <w:hideMark/>
          </w:tcPr>
          <w:p w14:paraId="35FFA26D" w14:textId="77777777" w:rsidR="004C6421" w:rsidRDefault="009D1962">
            <w:pPr>
              <w:pStyle w:val="P68B1DB1-Normal4"/>
              <w:jc w:val="center"/>
              <w:rPr>
                <w:rFonts w:eastAsiaTheme="minorEastAsia"/>
                <w:noProof/>
              </w:rPr>
            </w:pPr>
            <w:r>
              <w:rPr>
                <w:noProof/>
              </w:rPr>
              <w:t>II KW.</w:t>
            </w:r>
          </w:p>
        </w:tc>
        <w:tc>
          <w:tcPr>
            <w:tcW w:w="709" w:type="dxa"/>
            <w:shd w:val="clear" w:color="auto" w:fill="C6EFCE"/>
            <w:noWrap/>
            <w:vAlign w:val="center"/>
            <w:hideMark/>
          </w:tcPr>
          <w:p w14:paraId="2B0707DD" w14:textId="77777777" w:rsidR="004C6421" w:rsidRDefault="009D1962">
            <w:pPr>
              <w:pStyle w:val="P68B1DB1-Normal4"/>
              <w:jc w:val="center"/>
              <w:rPr>
                <w:rFonts w:eastAsiaTheme="minorEastAsia"/>
                <w:noProof/>
              </w:rPr>
            </w:pPr>
            <w:r>
              <w:rPr>
                <w:noProof/>
              </w:rPr>
              <w:t>2026</w:t>
            </w:r>
          </w:p>
        </w:tc>
        <w:tc>
          <w:tcPr>
            <w:tcW w:w="2595" w:type="dxa"/>
            <w:shd w:val="clear" w:color="auto" w:fill="C6EFCE"/>
            <w:noWrap/>
            <w:vAlign w:val="center"/>
          </w:tcPr>
          <w:p w14:paraId="47C58213" w14:textId="77777777" w:rsidR="004C6421" w:rsidRDefault="009D1962">
            <w:pPr>
              <w:pStyle w:val="P68B1DB1-Normal4"/>
              <w:rPr>
                <w:rFonts w:eastAsia="Calibri"/>
                <w:noProof/>
              </w:rPr>
            </w:pPr>
            <w:r>
              <w:rPr>
                <w:noProof/>
              </w:rPr>
              <w:t>Ukończenie co najmniej 22 połączeń ostatniej mili z portami lub obszarami przemysłowymi ZES; co najmniej 15 interwencji na rzecz logistyki cyfrowej, urbanizacji lub efektywności energetycznej na tych samych obszarach; zakończono również co najmniej 4 interwencje zwiększające odporność portów.</w:t>
            </w:r>
          </w:p>
          <w:p w14:paraId="7F1BF61B" w14:textId="77777777" w:rsidR="004C6421" w:rsidRDefault="004C6421">
            <w:pPr>
              <w:rPr>
                <w:rFonts w:ascii="Arial Narrow" w:eastAsiaTheme="minorEastAsia" w:hAnsi="Arial Narrow"/>
                <w:noProof/>
                <w:color w:val="006100"/>
                <w:sz w:val="20"/>
              </w:rPr>
            </w:pPr>
          </w:p>
          <w:p w14:paraId="6EBD5687" w14:textId="77777777" w:rsidR="004C6421" w:rsidRDefault="009D1962">
            <w:pPr>
              <w:pStyle w:val="P68B1DB1-Normal4"/>
              <w:rPr>
                <w:rFonts w:eastAsiaTheme="minorEastAsia"/>
                <w:noProof/>
              </w:rPr>
            </w:pPr>
            <w:r>
              <w:rPr>
                <w:noProof/>
              </w:rPr>
              <w:t>Wykaz interwencji e obejmuje na przykład następujące środki lub środki równoważne:</w:t>
            </w:r>
          </w:p>
          <w:p w14:paraId="70AD6875" w14:textId="77777777" w:rsidR="004C6421" w:rsidRDefault="004C6421">
            <w:pPr>
              <w:rPr>
                <w:rFonts w:ascii="Arial Narrow" w:eastAsiaTheme="minorEastAsia" w:hAnsi="Arial Narrow"/>
                <w:noProof/>
                <w:color w:val="006100"/>
                <w:sz w:val="20"/>
              </w:rPr>
            </w:pPr>
          </w:p>
          <w:p w14:paraId="478D549A" w14:textId="77777777" w:rsidR="004C6421" w:rsidRDefault="009D1962">
            <w:pPr>
              <w:pStyle w:val="P68B1DB1-Normal4"/>
              <w:rPr>
                <w:rFonts w:eastAsiaTheme="minorEastAsia"/>
                <w:noProof/>
              </w:rPr>
            </w:pPr>
            <w:r>
              <w:rPr>
                <w:noProof/>
              </w:rPr>
              <w:t>• Ukończenie infrastruktury sieci kompleksowej TEN-T w portach Vasto i Ortona oraz na obszarach przemysłowych Saletti i Manoppello (Abruzzo)</w:t>
            </w:r>
          </w:p>
          <w:p w14:paraId="13F37AC7" w14:textId="77777777" w:rsidR="004C6421" w:rsidRDefault="009D1962">
            <w:pPr>
              <w:pStyle w:val="P68B1DB1-Normal4"/>
              <w:rPr>
                <w:rFonts w:eastAsiaTheme="minorEastAsia"/>
                <w:noProof/>
              </w:rPr>
            </w:pPr>
            <w:r>
              <w:rPr>
                <w:noProof/>
              </w:rPr>
              <w:t>•Infrastruktura w porcie Salerno oraz obszary przemysłowe Ufita, Marcianise, Battipaglia i Nola (Kampania)</w:t>
            </w:r>
          </w:p>
          <w:p w14:paraId="7EB9EE2B" w14:textId="77777777" w:rsidR="004C6421" w:rsidRDefault="009D1962">
            <w:pPr>
              <w:pStyle w:val="P68B1DB1-Normal4"/>
              <w:rPr>
                <w:rFonts w:eastAsiaTheme="minorEastAsia"/>
                <w:noProof/>
              </w:rPr>
            </w:pPr>
            <w:r>
              <w:rPr>
                <w:noProof/>
              </w:rPr>
              <w:t>•Połączenia między portem w Manfredonii a obszarami miejskimi Termoli, Brindisi i Lecce (Auglia i Molise).</w:t>
            </w:r>
          </w:p>
          <w:p w14:paraId="3DF2EB92" w14:textId="77777777" w:rsidR="004C6421" w:rsidRDefault="004C6421">
            <w:pPr>
              <w:rPr>
                <w:rFonts w:ascii="Arial Narrow" w:eastAsiaTheme="minorEastAsia" w:hAnsi="Arial Narrow"/>
                <w:noProof/>
                <w:color w:val="006100"/>
                <w:sz w:val="20"/>
              </w:rPr>
            </w:pPr>
          </w:p>
          <w:p w14:paraId="2B4414EF" w14:textId="77777777" w:rsidR="004C6421" w:rsidRDefault="009D1962">
            <w:pPr>
              <w:pStyle w:val="P68B1DB1-Normal4"/>
              <w:rPr>
                <w:rFonts w:eastAsiaTheme="minorEastAsia"/>
                <w:noProof/>
              </w:rPr>
            </w:pPr>
            <w:r>
              <w:rPr>
                <w:noProof/>
              </w:rPr>
              <w:t>• Połączenia międzysystemowe między portem w Tarencie a obszarami miejskimi Taranto, Potenza i Matera (Puglia i Basilicata).</w:t>
            </w:r>
          </w:p>
          <w:p w14:paraId="6DE3E6F1" w14:textId="77777777" w:rsidR="004C6421" w:rsidRDefault="004C6421">
            <w:pPr>
              <w:jc w:val="center"/>
              <w:rPr>
                <w:rFonts w:ascii="Arial Narrow" w:eastAsiaTheme="minorEastAsia" w:hAnsi="Arial Narrow"/>
                <w:noProof/>
                <w:color w:val="006100"/>
                <w:sz w:val="20"/>
              </w:rPr>
            </w:pPr>
          </w:p>
          <w:p w14:paraId="5B1FAEC0" w14:textId="77777777" w:rsidR="004C6421" w:rsidRDefault="009D1962">
            <w:pPr>
              <w:pStyle w:val="P68B1DB1-Normal4"/>
              <w:rPr>
                <w:rFonts w:eastAsiaTheme="minorEastAsia"/>
                <w:noProof/>
              </w:rPr>
            </w:pPr>
            <w:r>
              <w:rPr>
                <w:noProof/>
              </w:rPr>
              <w:t>• Interwencje infrastrukturalne na rzecz dostępności portu Gioia Tauro (Kalabria).</w:t>
            </w:r>
          </w:p>
          <w:p w14:paraId="697FD7AF" w14:textId="77777777" w:rsidR="004C6421" w:rsidRDefault="004C6421">
            <w:pPr>
              <w:rPr>
                <w:rFonts w:ascii="Arial Narrow" w:eastAsiaTheme="minorEastAsia" w:hAnsi="Arial Narrow"/>
                <w:noProof/>
                <w:color w:val="006100"/>
                <w:sz w:val="20"/>
              </w:rPr>
            </w:pPr>
          </w:p>
          <w:p w14:paraId="68824FE7" w14:textId="77777777" w:rsidR="004C6421" w:rsidRDefault="009D1962">
            <w:pPr>
              <w:pStyle w:val="P68B1DB1-Normal4"/>
              <w:rPr>
                <w:rFonts w:eastAsiaTheme="minorEastAsia"/>
                <w:noProof/>
              </w:rPr>
            </w:pPr>
            <w:r>
              <w:rPr>
                <w:noProof/>
              </w:rPr>
              <w:t>•Dostępność infrastruktury do portu w Cagliari (Sardegna)</w:t>
            </w:r>
          </w:p>
          <w:p w14:paraId="6A40505E" w14:textId="77777777" w:rsidR="004C6421" w:rsidRDefault="009D1962">
            <w:pPr>
              <w:pStyle w:val="P68B1DB1-Normal4"/>
              <w:rPr>
                <w:rFonts w:eastAsiaTheme="minorEastAsia"/>
                <w:noProof/>
              </w:rPr>
            </w:pPr>
            <w:r>
              <w:rPr>
                <w:noProof/>
              </w:rPr>
              <w:t>•Infrastrukturalne interwencje na rzecz dostępności do portów Augusta, Riporto, Sant’Agata di Militello i Gela (Sycylia).</w:t>
            </w:r>
          </w:p>
        </w:tc>
      </w:tr>
    </w:tbl>
    <w:p w14:paraId="1098FE4F" w14:textId="77777777" w:rsidR="004C6421" w:rsidRDefault="004C6421">
      <w:pPr>
        <w:spacing w:before="120" w:after="120"/>
        <w:rPr>
          <w:noProof/>
        </w:rPr>
        <w:sectPr w:rsidR="004C6421" w:rsidSect="00797973">
          <w:headerReference w:type="even" r:id="rId368"/>
          <w:headerReference w:type="default" r:id="rId369"/>
          <w:footerReference w:type="even" r:id="rId370"/>
          <w:footerReference w:type="default" r:id="rId371"/>
          <w:headerReference w:type="first" r:id="rId372"/>
          <w:footerReference w:type="first" r:id="rId373"/>
          <w:pgSz w:w="16839" w:h="11907" w:orient="landscape"/>
          <w:pgMar w:top="1440" w:right="1440" w:bottom="1440" w:left="1440" w:header="567" w:footer="567" w:gutter="0"/>
          <w:cols w:space="720"/>
          <w:docGrid w:linePitch="360"/>
        </w:sectPr>
      </w:pPr>
    </w:p>
    <w:p w14:paraId="5860E72D" w14:textId="46618272" w:rsidR="004C6421" w:rsidRDefault="002175A3">
      <w:pPr>
        <w:pStyle w:val="Heading2"/>
        <w:numPr>
          <w:ilvl w:val="0"/>
          <w:numId w:val="0"/>
        </w:numPr>
        <w:ind w:left="850" w:hanging="850"/>
        <w:rPr>
          <w:noProof/>
        </w:rPr>
      </w:pPr>
      <w:r>
        <w:rPr>
          <w:noProof/>
        </w:rPr>
        <w:t>ZADANIE 6 – KOMPONENT 1: Sieci zbliżeniowe, obiekty i telemedycyna do celów terytorialnej pomocy zdrowotnej</w:t>
      </w:r>
    </w:p>
    <w:p w14:paraId="18919852" w14:textId="77777777" w:rsidR="004C6421" w:rsidRDefault="009D1962">
      <w:pPr>
        <w:spacing w:before="120"/>
        <w:jc w:val="both"/>
        <w:rPr>
          <w:noProof/>
        </w:rPr>
      </w:pPr>
      <w:r>
        <w:rPr>
          <w:noProof/>
        </w:rPr>
        <w:t xml:space="preserve">Celem tego komponentu jest wzmocnienie włoskiej krajowej służby zdrowia (NHS) między innymi poprzez zwiększenie ochrony przed zagrożeniami dla zdrowia związanymi ze środowiskiem i zmianą klimatu oraz lepsze reagowanie na potrzeby społeczności w zakresie lokalnej opieki i pomocy. Lokalna pomoc w zakresie opieki zdrowotnej jest rozdrobniona i podlega dysproporcjom regionalnym, co skutkuje różnymi poziomami świadczenia opieki zdrowotnej i różnymi wynikami zdrowotnymi w poszczególnych regionach. Uznaje się, że świadczenie zintegrowanych usług opieki domowej jest niskie, a różne podmioty świadczące opiekę zdrowotną i społeczną uznaje się za słabo zintegrowane. Ponadto zdolność włoskiej krajowej służby zdrowia (NHS) do przeciwdziałania zagrożeniom dla zdrowia związanym z narażeniem na środowisko i zmianą klimatu została przetestowana w ramach kilku kryzysów środowiskowych i sytuacji nadzwyczajnych, które uwypukliły wyzwania wynikające z braku wystarczających działań zapobiegawczych. Celem tego komponentu włoskiego planu odbudowy i zwiększania odporności jest wzmocnienie włoskiej krajowej służby zdrowia poprzez m.in. zwiększenie ochrony przed zagrożeniami dla zdrowia związanymi ze środowiskiem i zmianą klimatu oraz lepsze reagowanie na potrzeby społeczności w zakresie lokalnej opieki i pomocy. </w:t>
      </w:r>
    </w:p>
    <w:p w14:paraId="248D35A4" w14:textId="77777777" w:rsidR="004C6421" w:rsidRDefault="009D1962">
      <w:pPr>
        <w:spacing w:before="120"/>
        <w:jc w:val="both"/>
        <w:rPr>
          <w:noProof/>
        </w:rPr>
      </w:pPr>
      <w:r>
        <w:rPr>
          <w:noProof/>
        </w:rPr>
        <w:t>Inwestycje i reformy w ramach tego komponentu przyczyniają się do realizacji zaleceń krajowych skierowanych do Włoch w latach 2019 i 2020 dotyczących potrzeby</w:t>
      </w:r>
      <w:r>
        <w:rPr>
          <w:noProof/>
          <w:color w:val="333333"/>
        </w:rPr>
        <w:t xml:space="preserve"> „koncentrowania inwestycyjnej polityki gospodarczej na badaniach naukowych i innowacjach oraz na jakości infrastruktury, z uwzględnieniem różnic regionalnych</w:t>
      </w:r>
      <w:r>
        <w:rPr>
          <w:noProof/>
        </w:rPr>
        <w:t xml:space="preserve"> (zalecenie krajowe nr 3, 2019 r.), „wzmocnienia odporności i zdolności systemu opieki zdrowotnej w obszarach pracowników służby zdrowia, produktów i infrastruktury medycznej o krytycznym znaczeniu” (zalecenie krajowe nr 1, 2020) oraz „koncentrowania inwestycji na transformację ekologiczną i cyfrową, w szczególności na [...] wzmocnioną infrastrukturę cyfrową w celu zapewnienia świadczenia podstawowych usług” (zalecenie dla poszczególnych krajów nr 3, 2020).</w:t>
      </w:r>
    </w:p>
    <w:p w14:paraId="584FA2BA" w14:textId="77777777" w:rsidR="004C6421" w:rsidRDefault="004C6421">
      <w:pPr>
        <w:spacing w:before="120"/>
        <w:jc w:val="both"/>
        <w:rPr>
          <w:noProof/>
        </w:rPr>
      </w:pPr>
    </w:p>
    <w:p w14:paraId="0222A4B9" w14:textId="77777777" w:rsidR="004C6421" w:rsidRDefault="009D1962">
      <w:pPr>
        <w:pStyle w:val="Heading3"/>
        <w:numPr>
          <w:ilvl w:val="0"/>
          <w:numId w:val="0"/>
        </w:numPr>
        <w:ind w:left="850" w:hanging="850"/>
        <w:rPr>
          <w:b/>
          <w:i w:val="0"/>
          <w:noProof/>
          <w:color w:val="4472C4" w:themeColor="accent1"/>
          <w:u w:val="single"/>
        </w:rPr>
      </w:pPr>
      <w:r>
        <w:rPr>
          <w:b/>
          <w:i w:val="0"/>
          <w:noProof/>
          <w:u w:val="single"/>
        </w:rPr>
        <w:t xml:space="preserve">O.1. </w:t>
      </w:r>
      <w:r>
        <w:rPr>
          <w:noProof/>
        </w:rPr>
        <w:t xml:space="preserve"> </w:t>
      </w:r>
      <w:r>
        <w:rPr>
          <w:b/>
          <w:i w:val="0"/>
          <w:noProof/>
          <w:u w:val="single"/>
        </w:rPr>
        <w:t>Opis reform i inwestycji, które mają być finansowane z bezzwrotnego wsparcia finansowego</w:t>
      </w:r>
    </w:p>
    <w:p w14:paraId="0615F6F2" w14:textId="77777777" w:rsidR="004C6421" w:rsidRDefault="009D1962">
      <w:pPr>
        <w:pStyle w:val="P68B1DB1-Normal10"/>
        <w:spacing w:before="120" w:after="120"/>
        <w:jc w:val="both"/>
        <w:rPr>
          <w:noProof/>
        </w:rPr>
      </w:pPr>
      <w:r>
        <w:rPr>
          <w:noProof/>
        </w:rPr>
        <w:t>NIE DOT.</w:t>
      </w:r>
    </w:p>
    <w:p w14:paraId="13AF5C10" w14:textId="77777777" w:rsidR="004C6421" w:rsidRDefault="009D1962">
      <w:pPr>
        <w:pStyle w:val="Heading3"/>
        <w:numPr>
          <w:ilvl w:val="0"/>
          <w:numId w:val="0"/>
        </w:numPr>
        <w:ind w:left="850" w:hanging="850"/>
        <w:rPr>
          <w:b/>
          <w:i w:val="0"/>
          <w:noProof/>
          <w:u w:val="single"/>
        </w:rPr>
      </w:pPr>
      <w:r>
        <w:rPr>
          <w:b/>
          <w:i w:val="0"/>
          <w:noProof/>
          <w:u w:val="single"/>
        </w:rPr>
        <w:t xml:space="preserve">O.2. </w:t>
      </w:r>
      <w:r>
        <w:rPr>
          <w:noProof/>
        </w:rPr>
        <w:t xml:space="preserve"> </w:t>
      </w:r>
      <w:r>
        <w:rPr>
          <w:b/>
          <w:i w:val="0"/>
          <w:noProof/>
          <w:u w:val="single"/>
        </w:rPr>
        <w:t>Kamienie milowe, wartości docelowe, wskaźniki i harmonogram monitorowania i realizacji na potrzeby bezzwrotnego wsparcia finansowego</w:t>
      </w:r>
    </w:p>
    <w:p w14:paraId="496B9A7C" w14:textId="77777777" w:rsidR="004C6421" w:rsidRDefault="009D1962">
      <w:pPr>
        <w:pStyle w:val="P68B1DB1-Normal10"/>
        <w:spacing w:before="120" w:after="120"/>
        <w:jc w:val="both"/>
        <w:rPr>
          <w:noProof/>
        </w:rPr>
      </w:pPr>
      <w:r>
        <w:rPr>
          <w:noProof/>
        </w:rPr>
        <w:t>NIE DOT.</w:t>
      </w:r>
    </w:p>
    <w:p w14:paraId="401258FB" w14:textId="77777777" w:rsidR="004C6421" w:rsidRDefault="009D1962">
      <w:pPr>
        <w:spacing w:after="200" w:line="276" w:lineRule="auto"/>
        <w:rPr>
          <w:noProof/>
        </w:rPr>
      </w:pPr>
      <w:r>
        <w:rPr>
          <w:noProof/>
        </w:rPr>
        <w:br w:type="page"/>
      </w:r>
    </w:p>
    <w:p w14:paraId="1AEC73BF" w14:textId="77777777" w:rsidR="004C6421" w:rsidRDefault="009D1962">
      <w:pPr>
        <w:pStyle w:val="Heading3"/>
        <w:numPr>
          <w:ilvl w:val="2"/>
          <w:numId w:val="0"/>
        </w:numPr>
        <w:ind w:left="850" w:hanging="850"/>
        <w:rPr>
          <w:b/>
          <w:i w:val="0"/>
          <w:noProof/>
          <w:color w:val="4472C4" w:themeColor="accent1"/>
          <w:u w:val="single"/>
        </w:rPr>
      </w:pPr>
      <w:r>
        <w:rPr>
          <w:b/>
          <w:i w:val="0"/>
          <w:noProof/>
          <w:u w:val="single"/>
        </w:rPr>
        <w:t xml:space="preserve">O.3. </w:t>
      </w:r>
      <w:r>
        <w:rPr>
          <w:noProof/>
        </w:rPr>
        <w:t xml:space="preserve"> </w:t>
      </w:r>
      <w:r>
        <w:rPr>
          <w:b/>
          <w:i w:val="0"/>
          <w:noProof/>
          <w:u w:val="single"/>
        </w:rPr>
        <w:t xml:space="preserve">Opis reform i inwestycji związanych z pożyczką </w:t>
      </w:r>
    </w:p>
    <w:p w14:paraId="7C2122B3" w14:textId="77777777" w:rsidR="004C6421" w:rsidRDefault="009D1962">
      <w:pPr>
        <w:pStyle w:val="P68B1DB1-Normal2"/>
        <w:spacing w:before="120" w:after="120"/>
        <w:jc w:val="both"/>
        <w:rPr>
          <w:rFonts w:eastAsia="Calibri"/>
          <w:noProof/>
        </w:rPr>
      </w:pPr>
      <w:r>
        <w:rPr>
          <w:noProof/>
        </w:rPr>
        <w:t>Reforma 1:  Określenie nowego modelu organizacyjnego dla terytorialnej sieci pomocy zdrowotnej.</w:t>
      </w:r>
    </w:p>
    <w:p w14:paraId="1E3D35B3" w14:textId="77777777" w:rsidR="004C6421" w:rsidRDefault="009D1962">
      <w:pPr>
        <w:spacing w:before="120" w:after="120"/>
        <w:jc w:val="both"/>
        <w:rPr>
          <w:rFonts w:eastAsia="Calibri"/>
          <w:noProof/>
        </w:rPr>
      </w:pPr>
      <w:r>
        <w:rPr>
          <w:noProof/>
        </w:rPr>
        <w:t>Reforma stanowi element przygotowawczy do inwestycji w ramach tego komponentu. Ustanawia nowy model terytorialnej pomocy zdrowotnej i tworzy nową strukturę instytucjonalną profilaktyki zdrowotnej, środowiska i klimatu. Osiąga się to poprzez:</w:t>
      </w:r>
    </w:p>
    <w:p w14:paraId="2D41D37E" w14:textId="77777777" w:rsidR="004C6421" w:rsidRDefault="009D1962">
      <w:pPr>
        <w:numPr>
          <w:ilvl w:val="0"/>
          <w:numId w:val="49"/>
        </w:numPr>
        <w:spacing w:before="120" w:after="120"/>
        <w:ind w:left="360"/>
        <w:jc w:val="both"/>
        <w:rPr>
          <w:rFonts w:eastAsiaTheme="minorEastAsia"/>
          <w:noProof/>
        </w:rPr>
      </w:pPr>
      <w:r>
        <w:rPr>
          <w:noProof/>
        </w:rPr>
        <w:t>Ustanowienie nowego modelu organizacyjnego dla terytorialnej sieci pomocy w zakresie opieki zdrowotnej poprzez określenie ram regulacyjnych określających standardy strukturalne, technologiczne i organizacyjne.</w:t>
      </w:r>
    </w:p>
    <w:p w14:paraId="515B5CD8" w14:textId="77777777" w:rsidR="004C6421" w:rsidRDefault="009D1962">
      <w:pPr>
        <w:numPr>
          <w:ilvl w:val="0"/>
          <w:numId w:val="49"/>
        </w:numPr>
        <w:spacing w:before="120" w:after="120"/>
        <w:ind w:left="360"/>
        <w:jc w:val="both"/>
        <w:rPr>
          <w:rFonts w:eastAsiaTheme="minorEastAsia"/>
          <w:noProof/>
        </w:rPr>
      </w:pPr>
      <w:r>
        <w:rPr>
          <w:noProof/>
        </w:rPr>
        <w:t>Określenie nowej struktury instytucjonalnej profilaktyki zdrowotnej, środowiska i klimatu zgodnie ze zintegrowanym podejściem („Jedno zdrowie”) i całościową wizją („Zdrowie planety”).</w:t>
      </w:r>
    </w:p>
    <w:p w14:paraId="39059CAA" w14:textId="77777777" w:rsidR="004C6421" w:rsidRDefault="009D1962">
      <w:pPr>
        <w:pStyle w:val="P68B1DB1-Normal2"/>
        <w:spacing w:before="120" w:after="120"/>
        <w:jc w:val="both"/>
        <w:rPr>
          <w:rFonts w:eastAsia="Calibri"/>
          <w:noProof/>
        </w:rPr>
      </w:pPr>
      <w:r>
        <w:rPr>
          <w:noProof/>
        </w:rPr>
        <w:t>Inwestycje 1.1: Wspólnotowe Domy Zdrowia w celu poprawy terytorialnej pomocy zdrowotnej.</w:t>
      </w:r>
    </w:p>
    <w:p w14:paraId="27580990" w14:textId="77777777" w:rsidR="004C6421" w:rsidRDefault="009D1962">
      <w:pPr>
        <w:spacing w:before="120" w:after="120"/>
        <w:jc w:val="both"/>
        <w:rPr>
          <w:rFonts w:eastAsia="Calibri"/>
          <w:noProof/>
        </w:rPr>
      </w:pPr>
      <w:r>
        <w:rPr>
          <w:noProof/>
        </w:rPr>
        <w:t>Projekt inwestycyjny polega na utworzeniu i uruchomieniu co najmniej 1038 Wspólnotowych Domów Zdrowia poprzez aktywizację, rozwój i agregację usług podstawowej opieki zdrowotnej oraz wdrożenie (efektywnych energetycznie) ośrodków udzielania pomocy w celu zintegrowanego reagowania na potrzeby w zakresie opieki.</w:t>
      </w:r>
    </w:p>
    <w:p w14:paraId="7773B10D" w14:textId="77777777" w:rsidR="004C6421" w:rsidRDefault="009D1962">
      <w:pPr>
        <w:pStyle w:val="P68B1DB1-Normal2"/>
        <w:spacing w:before="120" w:after="120"/>
        <w:jc w:val="both"/>
        <w:rPr>
          <w:rFonts w:eastAsia="Calibri"/>
          <w:noProof/>
        </w:rPr>
      </w:pPr>
      <w:r>
        <w:rPr>
          <w:noProof/>
        </w:rPr>
        <w:t>Inwestycje 1.2: Dom jako pierwsze miejsce opieki i telemedycyny</w:t>
      </w:r>
    </w:p>
    <w:p w14:paraId="2C5C3476" w14:textId="77777777" w:rsidR="004C6421" w:rsidRDefault="009D1962">
      <w:pPr>
        <w:spacing w:before="120" w:after="120"/>
        <w:jc w:val="both"/>
        <w:rPr>
          <w:rFonts w:eastAsia="Calibri"/>
          <w:noProof/>
        </w:rPr>
      </w:pPr>
      <w:r>
        <w:rPr>
          <w:noProof/>
        </w:rPr>
        <w:t>Inwestycja polega na przyjęciu na szeroką skalę rozwiązań telemedycznych i wspieraniu innowacji w dziedzinie opieki zdrowotnej za pomocą następujących środków:</w:t>
      </w:r>
    </w:p>
    <w:p w14:paraId="68556CB4" w14:textId="77777777" w:rsidR="004C6421" w:rsidRDefault="009D1962">
      <w:pPr>
        <w:numPr>
          <w:ilvl w:val="0"/>
          <w:numId w:val="48"/>
        </w:numPr>
        <w:spacing w:before="120" w:after="120"/>
        <w:ind w:left="357" w:hanging="357"/>
        <w:jc w:val="both"/>
        <w:rPr>
          <w:rFonts w:eastAsiaTheme="minorEastAsia"/>
          <w:noProof/>
        </w:rPr>
      </w:pPr>
      <w:r>
        <w:rPr>
          <w:noProof/>
        </w:rPr>
        <w:t xml:space="preserve">Opieka domowa jako pierwszy punkt pomocy (inwestycja 1.2.1) – Celem jest zwiększenie liczby osób leczonych w domu do 10 % ludności w wieku powyżej 65 lat poprzez inwestycje w sprzęt i zwiększone świadczenie usług.   </w:t>
      </w:r>
    </w:p>
    <w:p w14:paraId="30382D6D" w14:textId="77777777" w:rsidR="004C6421" w:rsidRDefault="009D1962">
      <w:pPr>
        <w:numPr>
          <w:ilvl w:val="0"/>
          <w:numId w:val="48"/>
        </w:numPr>
        <w:spacing w:before="120" w:after="120"/>
        <w:ind w:left="357" w:hanging="357"/>
        <w:jc w:val="both"/>
        <w:rPr>
          <w:rFonts w:eastAsiaTheme="minorEastAsia"/>
          <w:noProof/>
        </w:rPr>
      </w:pPr>
      <w:r>
        <w:rPr>
          <w:noProof/>
        </w:rPr>
        <w:t>Terytorialne ośrodki koordynacji (inwestycja 1.2.2) – planowana inwestycja dotyczy utworzenia co najmniej 480 ośrodków koordynacji terytorialnej („Centrali oper Territoriali”) mających na celu połączenie i koordynację różnych usług terytorialnych, społecznych i zdrowotnych oraz usług szpitalnych, a także sieci w sytuacjach nadzwyczajnych. Oczekuje się, że terytorialne centra koordynacyjne zapewnią zdalne sterowanie wyrobami dostarczanymi pacjentom, będą wspierać wymianę informacji między pracownikami służby zdrowia i stanowić punkt odniesienia dla opiekunów i potrzeb pacjentów.</w:t>
      </w:r>
    </w:p>
    <w:p w14:paraId="763387FC" w14:textId="77777777" w:rsidR="004C6421" w:rsidRDefault="009D1962">
      <w:pPr>
        <w:numPr>
          <w:ilvl w:val="0"/>
          <w:numId w:val="48"/>
        </w:numPr>
        <w:spacing w:before="120" w:after="120"/>
        <w:ind w:left="357" w:hanging="357"/>
        <w:jc w:val="both"/>
        <w:rPr>
          <w:rFonts w:eastAsiaTheme="minorEastAsia"/>
          <w:noProof/>
        </w:rPr>
      </w:pPr>
      <w:r>
        <w:rPr>
          <w:noProof/>
        </w:rPr>
        <w:t>Telemedycyna w celu lepszego wspierania pacjentów z chorobami przewlekłymi (inwestycja 1.2.3) – inwestycja ma na celu 1) finansowanie projektów umożliwiających zdalne interakcje między lekarzem a pacjentem, w szczególności diagnostykę i monitorowanie, 2) utworzenie krajowej platformy badań projektów telemedycznych (powiązanych z misją 6 komponent 2 inwestycja 1.3) oraz (3) finansowanie doraźnych inicjatyw badawczych dotyczących cyfrowych technologii w dziedzinie zdrowia i opieki.</w:t>
      </w:r>
    </w:p>
    <w:p w14:paraId="31F4C323" w14:textId="77777777" w:rsidR="004C6421" w:rsidRDefault="009D1962">
      <w:pPr>
        <w:spacing w:before="120" w:after="120"/>
        <w:jc w:val="both"/>
        <w:rPr>
          <w:rFonts w:eastAsiaTheme="minorEastAsia"/>
          <w:noProof/>
        </w:rPr>
      </w:pPr>
      <w:r>
        <w:rPr>
          <w:noProof/>
        </w:rPr>
        <w:t>Dodatkowe interwencje powiązane z opieką domową wymieniono w misji 5, komponent 2, w szczególności reformy 1 i 2 oraz inwestycje 1 i 2.</w:t>
      </w:r>
    </w:p>
    <w:p w14:paraId="15EEE178" w14:textId="77777777" w:rsidR="004C6421" w:rsidRDefault="009D1962">
      <w:pPr>
        <w:pStyle w:val="P68B1DB1-Normal2"/>
        <w:spacing w:before="120" w:after="120"/>
        <w:jc w:val="both"/>
        <w:rPr>
          <w:rFonts w:eastAsia="Calibri"/>
          <w:noProof/>
        </w:rPr>
      </w:pPr>
      <w:r>
        <w:rPr>
          <w:noProof/>
        </w:rPr>
        <w:t>Inwestycja 1.3: Wzmocnienie pośredniej opieki zdrowotnej i jej placówek (szpitale społecznościowe)</w:t>
      </w:r>
    </w:p>
    <w:p w14:paraId="084C8493" w14:textId="77777777" w:rsidR="004C6421" w:rsidRDefault="009D1962">
      <w:pPr>
        <w:spacing w:before="120" w:after="120"/>
        <w:jc w:val="both"/>
        <w:rPr>
          <w:noProof/>
        </w:rPr>
      </w:pPr>
      <w:r>
        <w:rPr>
          <w:noProof/>
        </w:rPr>
        <w:t>Inwestycja ma na celu utworzenie co najmniej 307 szpitali społecznych, tj. placówek opieki zdrowotnej dla pacjentów, którzy w następstwie wystąpienia przypadków małej ostrości lub nawrotu chorób przewlekłych wymagają interwencji klinicznych o niskiej intensywności i krótkoterminowych interwencji klinicznych.</w:t>
      </w:r>
    </w:p>
    <w:p w14:paraId="7A86B5EB" w14:textId="77777777" w:rsidR="004C6421" w:rsidRDefault="009D1962">
      <w:pPr>
        <w:pStyle w:val="Heading3"/>
        <w:numPr>
          <w:ilvl w:val="0"/>
          <w:numId w:val="0"/>
        </w:numPr>
        <w:ind w:left="850" w:hanging="850"/>
        <w:rPr>
          <w:b/>
          <w:i w:val="0"/>
          <w:noProof/>
          <w:u w:val="single"/>
        </w:rPr>
      </w:pPr>
      <w:r>
        <w:rPr>
          <w:b/>
          <w:i w:val="0"/>
          <w:noProof/>
          <w:u w:val="single"/>
        </w:rPr>
        <w:t xml:space="preserve">O.4. </w:t>
      </w:r>
      <w:r>
        <w:rPr>
          <w:noProof/>
        </w:rPr>
        <w:t xml:space="preserve"> </w:t>
      </w:r>
      <w:r>
        <w:rPr>
          <w:b/>
          <w:i w:val="0"/>
          <w:noProof/>
          <w:u w:val="single"/>
        </w:rPr>
        <w:t xml:space="preserve">Cele pośrednie, wartości docelowe, wskaźniki i harmonogram monitorowania i realizacji pożyczki </w:t>
      </w:r>
    </w:p>
    <w:p w14:paraId="1CFDF342" w14:textId="77777777" w:rsidR="004C6421" w:rsidRDefault="004C6421">
      <w:pPr>
        <w:spacing w:before="120" w:after="120"/>
        <w:ind w:left="709"/>
        <w:contextualSpacing/>
        <w:jc w:val="both"/>
        <w:rPr>
          <w:noProof/>
        </w:rPr>
        <w:sectPr w:rsidR="004C6421" w:rsidSect="00797973">
          <w:headerReference w:type="even" r:id="rId374"/>
          <w:headerReference w:type="default" r:id="rId375"/>
          <w:footerReference w:type="even" r:id="rId376"/>
          <w:footerReference w:type="default" r:id="rId377"/>
          <w:headerReference w:type="first" r:id="rId378"/>
          <w:footerReference w:type="first" r:id="rId379"/>
          <w:pgSz w:w="11907" w:h="16839"/>
          <w:pgMar w:top="1134" w:right="1417" w:bottom="1134" w:left="1417" w:header="709" w:footer="709" w:gutter="0"/>
          <w:cols w:space="720"/>
          <w:docGrid w:linePitch="360"/>
        </w:sectPr>
      </w:pPr>
    </w:p>
    <w:tbl>
      <w:tblPr>
        <w:tblW w:w="151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701"/>
        <w:gridCol w:w="1134"/>
        <w:gridCol w:w="1417"/>
        <w:gridCol w:w="1363"/>
        <w:gridCol w:w="948"/>
        <w:gridCol w:w="950"/>
        <w:gridCol w:w="992"/>
        <w:gridCol w:w="992"/>
        <w:gridCol w:w="709"/>
        <w:gridCol w:w="3634"/>
      </w:tblGrid>
      <w:tr w:rsidR="004C6421" w14:paraId="07535517" w14:textId="77777777">
        <w:trPr>
          <w:trHeight w:val="945"/>
          <w:tblHeader/>
        </w:trPr>
        <w:tc>
          <w:tcPr>
            <w:tcW w:w="1277" w:type="dxa"/>
            <w:vMerge w:val="restart"/>
            <w:shd w:val="clear" w:color="auto" w:fill="BDD7EE"/>
            <w:vAlign w:val="center"/>
          </w:tcPr>
          <w:p w14:paraId="5569DA41" w14:textId="77777777" w:rsidR="004C6421" w:rsidRDefault="009D1962">
            <w:pPr>
              <w:pStyle w:val="P68B1DB1-Normal3"/>
              <w:jc w:val="center"/>
              <w:rPr>
                <w:noProof/>
              </w:rPr>
            </w:pPr>
            <w:r>
              <w:rPr>
                <w:noProof/>
              </w:rPr>
              <w:t>Numer porządkowy</w:t>
            </w:r>
          </w:p>
        </w:tc>
        <w:tc>
          <w:tcPr>
            <w:tcW w:w="1701" w:type="dxa"/>
            <w:vMerge w:val="restart"/>
            <w:shd w:val="clear" w:color="auto" w:fill="BDD7EE"/>
            <w:vAlign w:val="center"/>
          </w:tcPr>
          <w:p w14:paraId="58E6E10E" w14:textId="77777777" w:rsidR="004C6421" w:rsidRDefault="009D1962">
            <w:pPr>
              <w:pStyle w:val="P68B1DB1-Normal3"/>
              <w:jc w:val="center"/>
              <w:rPr>
                <w:noProof/>
              </w:rPr>
            </w:pPr>
            <w:r>
              <w:rPr>
                <w:noProof/>
              </w:rPr>
              <w:t>Powiązane działanie (reforma lub inwestycja)</w:t>
            </w:r>
          </w:p>
        </w:tc>
        <w:tc>
          <w:tcPr>
            <w:tcW w:w="1134" w:type="dxa"/>
            <w:vMerge w:val="restart"/>
            <w:shd w:val="clear" w:color="auto" w:fill="BDD7EE"/>
            <w:vAlign w:val="center"/>
          </w:tcPr>
          <w:p w14:paraId="2C54B014" w14:textId="77777777" w:rsidR="004C6421" w:rsidRDefault="009D1962">
            <w:pPr>
              <w:pStyle w:val="P68B1DB1-Normal3"/>
              <w:jc w:val="center"/>
              <w:rPr>
                <w:noProof/>
              </w:rPr>
            </w:pPr>
            <w:r>
              <w:rPr>
                <w:noProof/>
              </w:rPr>
              <w:t>Kamień milowy/wartość docelowa</w:t>
            </w:r>
          </w:p>
        </w:tc>
        <w:tc>
          <w:tcPr>
            <w:tcW w:w="1417" w:type="dxa"/>
            <w:vMerge w:val="restart"/>
            <w:shd w:val="clear" w:color="auto" w:fill="BDD7EE"/>
            <w:vAlign w:val="center"/>
          </w:tcPr>
          <w:p w14:paraId="47F3A883" w14:textId="77777777" w:rsidR="004C6421" w:rsidRDefault="009D1962">
            <w:pPr>
              <w:pStyle w:val="P68B1DB1-Normal3"/>
              <w:jc w:val="center"/>
              <w:rPr>
                <w:noProof/>
              </w:rPr>
            </w:pPr>
            <w:r>
              <w:rPr>
                <w:noProof/>
              </w:rPr>
              <w:t>Nazwa</w:t>
            </w:r>
          </w:p>
        </w:tc>
        <w:tc>
          <w:tcPr>
            <w:tcW w:w="1363" w:type="dxa"/>
            <w:vMerge w:val="restart"/>
            <w:shd w:val="clear" w:color="auto" w:fill="BDD7EE"/>
            <w:vAlign w:val="center"/>
          </w:tcPr>
          <w:p w14:paraId="69947ABC" w14:textId="77777777" w:rsidR="004C6421" w:rsidRDefault="009D1962">
            <w:pPr>
              <w:jc w:val="center"/>
              <w:rPr>
                <w:rFonts w:ascii="Arial Narrow" w:hAnsi="Arial Narrow"/>
                <w:b/>
                <w:noProof/>
                <w:sz w:val="20"/>
              </w:rPr>
            </w:pPr>
            <w:r>
              <w:rPr>
                <w:rFonts w:ascii="Arial Narrow" w:hAnsi="Arial Narrow"/>
                <w:b/>
                <w:noProof/>
                <w:sz w:val="20"/>
              </w:rPr>
              <w:t xml:space="preserve">Wskaźniki jakościowe </w:t>
            </w:r>
            <w:r>
              <w:rPr>
                <w:rFonts w:ascii="Arial Narrow" w:hAnsi="Arial Narrow"/>
                <w:noProof/>
              </w:rPr>
              <w:t xml:space="preserve"> </w:t>
            </w:r>
            <w:r>
              <w:rPr>
                <w:noProof/>
              </w:rPr>
              <w:t xml:space="preserve">  </w:t>
            </w:r>
            <w:r>
              <w:rPr>
                <w:noProof/>
              </w:rPr>
              <w:br/>
            </w:r>
            <w:r>
              <w:rPr>
                <w:rFonts w:ascii="Arial Narrow" w:hAnsi="Arial Narrow"/>
                <w:b/>
                <w:noProof/>
                <w:sz w:val="20"/>
              </w:rPr>
              <w:t>(dla kamieni milowych)</w:t>
            </w:r>
          </w:p>
        </w:tc>
        <w:tc>
          <w:tcPr>
            <w:tcW w:w="2890" w:type="dxa"/>
            <w:gridSpan w:val="3"/>
            <w:shd w:val="clear" w:color="auto" w:fill="BDD7EE"/>
            <w:vAlign w:val="center"/>
          </w:tcPr>
          <w:p w14:paraId="003573A4" w14:textId="77777777" w:rsidR="004C6421" w:rsidRDefault="009D1962">
            <w:pPr>
              <w:jc w:val="center"/>
              <w:rPr>
                <w:rFonts w:ascii="Arial Narrow" w:hAnsi="Arial Narrow"/>
                <w:b/>
                <w:noProof/>
                <w:sz w:val="20"/>
              </w:rPr>
            </w:pPr>
            <w:r>
              <w:rPr>
                <w:rFonts w:ascii="Arial Narrow" w:hAnsi="Arial Narrow"/>
                <w:b/>
                <w:noProof/>
                <w:sz w:val="20"/>
              </w:rPr>
              <w:t xml:space="preserve">Wskaźniki ilościowe </w:t>
            </w:r>
            <w:r>
              <w:rPr>
                <w:rFonts w:ascii="Arial Narrow" w:hAnsi="Arial Narrow"/>
                <w:noProof/>
              </w:rPr>
              <w:t xml:space="preserve"> </w:t>
            </w:r>
            <w:r>
              <w:rPr>
                <w:noProof/>
              </w:rPr>
              <w:t xml:space="preserve">  </w:t>
            </w:r>
            <w:r>
              <w:rPr>
                <w:noProof/>
              </w:rPr>
              <w:br/>
            </w:r>
            <w:r>
              <w:rPr>
                <w:rFonts w:ascii="Arial Narrow" w:hAnsi="Arial Narrow"/>
                <w:b/>
                <w:noProof/>
                <w:sz w:val="20"/>
              </w:rPr>
              <w:t>(dla wartości docelowych)</w:t>
            </w:r>
          </w:p>
        </w:tc>
        <w:tc>
          <w:tcPr>
            <w:tcW w:w="1701" w:type="dxa"/>
            <w:gridSpan w:val="2"/>
            <w:shd w:val="clear" w:color="auto" w:fill="BDD7EE"/>
            <w:vAlign w:val="center"/>
          </w:tcPr>
          <w:p w14:paraId="1DA1F8ED" w14:textId="77777777" w:rsidR="004C6421" w:rsidRDefault="009D1962">
            <w:pPr>
              <w:pStyle w:val="P68B1DB1-Normal3"/>
              <w:jc w:val="center"/>
              <w:rPr>
                <w:noProof/>
              </w:rPr>
            </w:pPr>
            <w:r>
              <w:rPr>
                <w:noProof/>
              </w:rPr>
              <w:t>Orientacyjny harmonogram zakończenia działania</w:t>
            </w:r>
          </w:p>
        </w:tc>
        <w:tc>
          <w:tcPr>
            <w:tcW w:w="3634" w:type="dxa"/>
            <w:vMerge w:val="restart"/>
            <w:shd w:val="clear" w:color="auto" w:fill="BDD7EE"/>
            <w:vAlign w:val="center"/>
          </w:tcPr>
          <w:p w14:paraId="69D7653A" w14:textId="77777777" w:rsidR="004C6421" w:rsidRDefault="009D1962">
            <w:pPr>
              <w:pStyle w:val="P68B1DB1-Normal3"/>
              <w:jc w:val="center"/>
              <w:rPr>
                <w:noProof/>
              </w:rPr>
            </w:pPr>
            <w:r>
              <w:rPr>
                <w:noProof/>
              </w:rPr>
              <w:t>Opis każdego kamienia milowego i każdej wartości docelowej</w:t>
            </w:r>
          </w:p>
        </w:tc>
      </w:tr>
      <w:tr w:rsidR="004C6421" w14:paraId="4DBCD4E8" w14:textId="77777777">
        <w:trPr>
          <w:trHeight w:val="737"/>
        </w:trPr>
        <w:tc>
          <w:tcPr>
            <w:tcW w:w="1277" w:type="dxa"/>
            <w:vMerge/>
            <w:vAlign w:val="center"/>
          </w:tcPr>
          <w:p w14:paraId="22F3FFDD" w14:textId="77777777" w:rsidR="004C6421" w:rsidRDefault="004C6421">
            <w:pPr>
              <w:jc w:val="center"/>
              <w:rPr>
                <w:rFonts w:ascii="Arial Narrow" w:hAnsi="Arial Narrow"/>
                <w:noProof/>
                <w:sz w:val="20"/>
              </w:rPr>
            </w:pPr>
          </w:p>
        </w:tc>
        <w:tc>
          <w:tcPr>
            <w:tcW w:w="1701" w:type="dxa"/>
            <w:vMerge/>
            <w:vAlign w:val="center"/>
          </w:tcPr>
          <w:p w14:paraId="05AB9715" w14:textId="77777777" w:rsidR="004C6421" w:rsidRDefault="004C6421">
            <w:pPr>
              <w:jc w:val="center"/>
              <w:rPr>
                <w:rFonts w:ascii="Arial Narrow" w:hAnsi="Arial Narrow"/>
                <w:noProof/>
                <w:sz w:val="20"/>
              </w:rPr>
            </w:pPr>
          </w:p>
        </w:tc>
        <w:tc>
          <w:tcPr>
            <w:tcW w:w="1134" w:type="dxa"/>
            <w:vMerge/>
            <w:vAlign w:val="center"/>
          </w:tcPr>
          <w:p w14:paraId="22CFB348" w14:textId="77777777" w:rsidR="004C6421" w:rsidRDefault="004C6421">
            <w:pPr>
              <w:jc w:val="center"/>
              <w:rPr>
                <w:rFonts w:ascii="Arial Narrow" w:hAnsi="Arial Narrow"/>
                <w:noProof/>
                <w:sz w:val="20"/>
              </w:rPr>
            </w:pPr>
          </w:p>
        </w:tc>
        <w:tc>
          <w:tcPr>
            <w:tcW w:w="1417" w:type="dxa"/>
            <w:vMerge/>
            <w:vAlign w:val="center"/>
          </w:tcPr>
          <w:p w14:paraId="151DA2E8" w14:textId="77777777" w:rsidR="004C6421" w:rsidRDefault="004C6421">
            <w:pPr>
              <w:jc w:val="center"/>
              <w:rPr>
                <w:rFonts w:ascii="Arial Narrow" w:hAnsi="Arial Narrow"/>
                <w:noProof/>
                <w:sz w:val="20"/>
              </w:rPr>
            </w:pPr>
          </w:p>
        </w:tc>
        <w:tc>
          <w:tcPr>
            <w:tcW w:w="1363" w:type="dxa"/>
            <w:vMerge/>
            <w:vAlign w:val="center"/>
          </w:tcPr>
          <w:p w14:paraId="2CFF5847" w14:textId="77777777" w:rsidR="004C6421" w:rsidRDefault="004C6421">
            <w:pPr>
              <w:jc w:val="center"/>
              <w:rPr>
                <w:rFonts w:ascii="Arial Narrow" w:hAnsi="Arial Narrow"/>
                <w:noProof/>
                <w:sz w:val="20"/>
              </w:rPr>
            </w:pPr>
          </w:p>
        </w:tc>
        <w:tc>
          <w:tcPr>
            <w:tcW w:w="948" w:type="dxa"/>
            <w:shd w:val="clear" w:color="auto" w:fill="BDD7EE"/>
            <w:vAlign w:val="center"/>
          </w:tcPr>
          <w:p w14:paraId="5AEA65E5" w14:textId="77777777" w:rsidR="004C6421" w:rsidRDefault="009D1962">
            <w:pPr>
              <w:pStyle w:val="P68B1DB1-Normal3"/>
              <w:jc w:val="center"/>
              <w:rPr>
                <w:noProof/>
              </w:rPr>
            </w:pPr>
            <w:r>
              <w:rPr>
                <w:noProof/>
              </w:rPr>
              <w:t>Jednostka miary</w:t>
            </w:r>
          </w:p>
        </w:tc>
        <w:tc>
          <w:tcPr>
            <w:tcW w:w="950" w:type="dxa"/>
            <w:shd w:val="clear" w:color="auto" w:fill="BDD7EE"/>
            <w:vAlign w:val="center"/>
          </w:tcPr>
          <w:p w14:paraId="6D53F4AE" w14:textId="77777777" w:rsidR="004C6421" w:rsidRDefault="009D1962">
            <w:pPr>
              <w:pStyle w:val="P68B1DB1-Normal3"/>
              <w:jc w:val="center"/>
              <w:rPr>
                <w:noProof/>
              </w:rPr>
            </w:pPr>
            <w:r>
              <w:rPr>
                <w:noProof/>
              </w:rPr>
              <w:t>Bazowy</w:t>
            </w:r>
          </w:p>
        </w:tc>
        <w:tc>
          <w:tcPr>
            <w:tcW w:w="992" w:type="dxa"/>
            <w:shd w:val="clear" w:color="auto" w:fill="BDD7EE"/>
            <w:vAlign w:val="center"/>
          </w:tcPr>
          <w:p w14:paraId="48DEA608" w14:textId="77777777" w:rsidR="004C6421" w:rsidRDefault="009D1962">
            <w:pPr>
              <w:pStyle w:val="P68B1DB1-Normal3"/>
              <w:jc w:val="center"/>
              <w:rPr>
                <w:noProof/>
              </w:rPr>
            </w:pPr>
            <w:r>
              <w:rPr>
                <w:noProof/>
              </w:rPr>
              <w:t>Cel</w:t>
            </w:r>
          </w:p>
        </w:tc>
        <w:tc>
          <w:tcPr>
            <w:tcW w:w="992" w:type="dxa"/>
            <w:shd w:val="clear" w:color="auto" w:fill="BDD7EE"/>
            <w:vAlign w:val="center"/>
          </w:tcPr>
          <w:p w14:paraId="20944D43" w14:textId="77777777" w:rsidR="004C6421" w:rsidRDefault="009D1962">
            <w:pPr>
              <w:pStyle w:val="P68B1DB1-Normal3"/>
              <w:jc w:val="center"/>
              <w:rPr>
                <w:noProof/>
              </w:rPr>
            </w:pPr>
            <w:r>
              <w:rPr>
                <w:noProof/>
              </w:rPr>
              <w:t>Kwartał</w:t>
            </w:r>
          </w:p>
        </w:tc>
        <w:tc>
          <w:tcPr>
            <w:tcW w:w="709" w:type="dxa"/>
            <w:shd w:val="clear" w:color="auto" w:fill="BDD7EE"/>
            <w:vAlign w:val="center"/>
          </w:tcPr>
          <w:p w14:paraId="7464BA56" w14:textId="77777777" w:rsidR="004C6421" w:rsidRDefault="009D1962">
            <w:pPr>
              <w:pStyle w:val="P68B1DB1-Normal3"/>
              <w:jc w:val="center"/>
              <w:rPr>
                <w:noProof/>
              </w:rPr>
            </w:pPr>
            <w:r>
              <w:rPr>
                <w:noProof/>
              </w:rPr>
              <w:t>Rok</w:t>
            </w:r>
          </w:p>
        </w:tc>
        <w:tc>
          <w:tcPr>
            <w:tcW w:w="3634" w:type="dxa"/>
            <w:vMerge/>
            <w:vAlign w:val="center"/>
          </w:tcPr>
          <w:p w14:paraId="574D5B85" w14:textId="77777777" w:rsidR="004C6421" w:rsidRDefault="004C6421">
            <w:pPr>
              <w:rPr>
                <w:rFonts w:ascii="Arial Narrow" w:hAnsi="Arial Narrow"/>
                <w:noProof/>
                <w:sz w:val="20"/>
              </w:rPr>
            </w:pPr>
          </w:p>
        </w:tc>
      </w:tr>
      <w:tr w:rsidR="004C6421" w14:paraId="2E83D0B9" w14:textId="77777777">
        <w:trPr>
          <w:trHeight w:val="315"/>
        </w:trPr>
        <w:tc>
          <w:tcPr>
            <w:tcW w:w="1277" w:type="dxa"/>
            <w:shd w:val="clear" w:color="auto" w:fill="C6EFCE"/>
            <w:vAlign w:val="center"/>
          </w:tcPr>
          <w:p w14:paraId="6040AF15" w14:textId="77777777" w:rsidR="004C6421" w:rsidRDefault="009D1962">
            <w:pPr>
              <w:pStyle w:val="P68B1DB1-Normal4"/>
              <w:jc w:val="center"/>
              <w:rPr>
                <w:rFonts w:eastAsiaTheme="minorEastAsia"/>
                <w:noProof/>
              </w:rPr>
            </w:pPr>
            <w:r>
              <w:rPr>
                <w:noProof/>
              </w:rPr>
              <w:t>M6C1-1</w:t>
            </w:r>
          </w:p>
        </w:tc>
        <w:tc>
          <w:tcPr>
            <w:tcW w:w="1701" w:type="dxa"/>
            <w:shd w:val="clear" w:color="auto" w:fill="C6EFCE"/>
            <w:vAlign w:val="center"/>
          </w:tcPr>
          <w:p w14:paraId="2C899A90" w14:textId="77777777" w:rsidR="004C6421" w:rsidRDefault="009D1962">
            <w:pPr>
              <w:pStyle w:val="P68B1DB1-Normal4"/>
              <w:jc w:val="center"/>
              <w:rPr>
                <w:rFonts w:eastAsiaTheme="minorEastAsia"/>
                <w:noProof/>
              </w:rPr>
            </w:pPr>
            <w:r>
              <w:rPr>
                <w:noProof/>
              </w:rPr>
              <w:t>Reforma 1:  Definicja nowego modelu organizacyjnego dla terytorialnej sieci pomocy zdrowotnej</w:t>
            </w:r>
          </w:p>
        </w:tc>
        <w:tc>
          <w:tcPr>
            <w:tcW w:w="1134" w:type="dxa"/>
            <w:shd w:val="clear" w:color="auto" w:fill="C6EFCE"/>
            <w:vAlign w:val="center"/>
          </w:tcPr>
          <w:p w14:paraId="35FB494D" w14:textId="7EF2BDC7" w:rsidR="004C6421" w:rsidRDefault="00CC179E">
            <w:pPr>
              <w:pStyle w:val="P68B1DB1-Normal4"/>
              <w:jc w:val="center"/>
              <w:rPr>
                <w:rFonts w:eastAsiaTheme="minorEastAsia"/>
                <w:noProof/>
              </w:rPr>
            </w:pPr>
            <w:r>
              <w:rPr>
                <w:noProof/>
              </w:rPr>
              <w:t>Milowy</w:t>
            </w:r>
          </w:p>
        </w:tc>
        <w:tc>
          <w:tcPr>
            <w:tcW w:w="1417" w:type="dxa"/>
            <w:shd w:val="clear" w:color="auto" w:fill="C6EFCE"/>
            <w:vAlign w:val="center"/>
          </w:tcPr>
          <w:p w14:paraId="0437D14A" w14:textId="77777777" w:rsidR="004C6421" w:rsidRDefault="009D1962">
            <w:pPr>
              <w:pStyle w:val="P68B1DB1-Normal4"/>
              <w:jc w:val="center"/>
              <w:rPr>
                <w:rFonts w:eastAsiaTheme="minorEastAsia"/>
                <w:noProof/>
              </w:rPr>
            </w:pPr>
            <w:r>
              <w:rPr>
                <w:noProof/>
              </w:rPr>
              <w:t>Wejście w życie prawa wtórnego (dekret ministerialny) przewidującego reformę organizacji opieki zdrowotnej.</w:t>
            </w:r>
          </w:p>
        </w:tc>
        <w:tc>
          <w:tcPr>
            <w:tcW w:w="1363" w:type="dxa"/>
            <w:shd w:val="clear" w:color="auto" w:fill="C6EFCE"/>
            <w:vAlign w:val="center"/>
          </w:tcPr>
          <w:p w14:paraId="6C64ADD7" w14:textId="77777777" w:rsidR="004C6421" w:rsidRDefault="009D1962">
            <w:pPr>
              <w:pStyle w:val="P68B1DB1-Normal4"/>
              <w:jc w:val="center"/>
              <w:rPr>
                <w:rFonts w:eastAsiaTheme="minorEastAsia"/>
                <w:noProof/>
              </w:rPr>
            </w:pPr>
            <w:r>
              <w:rPr>
                <w:noProof/>
              </w:rPr>
              <w:t xml:space="preserve">Przepis ustawy wskazujący na wejście w życie ustawy NIE DOT. </w:t>
            </w:r>
          </w:p>
        </w:tc>
        <w:tc>
          <w:tcPr>
            <w:tcW w:w="948" w:type="dxa"/>
            <w:shd w:val="clear" w:color="auto" w:fill="C6EFCE"/>
            <w:vAlign w:val="center"/>
          </w:tcPr>
          <w:p w14:paraId="6D6E0684" w14:textId="77777777" w:rsidR="004C6421" w:rsidRDefault="009D1962">
            <w:pPr>
              <w:pStyle w:val="P68B1DB1-Normal4"/>
              <w:jc w:val="center"/>
              <w:rPr>
                <w:rFonts w:eastAsiaTheme="minorEastAsia"/>
                <w:noProof/>
              </w:rPr>
            </w:pPr>
            <w:r>
              <w:rPr>
                <w:noProof/>
              </w:rPr>
              <w:t>NIE DOT.</w:t>
            </w:r>
          </w:p>
        </w:tc>
        <w:tc>
          <w:tcPr>
            <w:tcW w:w="950" w:type="dxa"/>
            <w:shd w:val="clear" w:color="auto" w:fill="C6EFCE"/>
            <w:vAlign w:val="center"/>
          </w:tcPr>
          <w:p w14:paraId="30FCE812" w14:textId="77777777" w:rsidR="004C6421" w:rsidRDefault="009D1962">
            <w:pPr>
              <w:pStyle w:val="P68B1DB1-Normal4"/>
              <w:jc w:val="center"/>
              <w:rPr>
                <w:rFonts w:eastAsiaTheme="minorEastAsia"/>
                <w:noProof/>
              </w:rPr>
            </w:pPr>
            <w:r>
              <w:rPr>
                <w:noProof/>
              </w:rPr>
              <w:t>NIE DOT.</w:t>
            </w:r>
          </w:p>
        </w:tc>
        <w:tc>
          <w:tcPr>
            <w:tcW w:w="992" w:type="dxa"/>
            <w:shd w:val="clear" w:color="auto" w:fill="C6EFCE"/>
            <w:vAlign w:val="center"/>
          </w:tcPr>
          <w:p w14:paraId="715FC697" w14:textId="77777777" w:rsidR="004C6421" w:rsidRDefault="009D1962">
            <w:pPr>
              <w:pStyle w:val="P68B1DB1-Normal4"/>
              <w:jc w:val="center"/>
              <w:rPr>
                <w:rFonts w:eastAsiaTheme="minorEastAsia"/>
                <w:noProof/>
              </w:rPr>
            </w:pPr>
            <w:r>
              <w:rPr>
                <w:noProof/>
              </w:rPr>
              <w:t>NIE DOT.</w:t>
            </w:r>
          </w:p>
        </w:tc>
        <w:tc>
          <w:tcPr>
            <w:tcW w:w="992" w:type="dxa"/>
            <w:shd w:val="clear" w:color="auto" w:fill="C6EFCE"/>
            <w:vAlign w:val="center"/>
          </w:tcPr>
          <w:p w14:paraId="025276B6" w14:textId="77777777" w:rsidR="004C6421" w:rsidRDefault="009D1962">
            <w:pPr>
              <w:pStyle w:val="P68B1DB1-Normal4"/>
              <w:jc w:val="center"/>
              <w:rPr>
                <w:rFonts w:eastAsiaTheme="minorEastAsia"/>
                <w:noProof/>
              </w:rPr>
            </w:pPr>
            <w:r>
              <w:rPr>
                <w:noProof/>
              </w:rPr>
              <w:t>II KW.</w:t>
            </w:r>
          </w:p>
        </w:tc>
        <w:tc>
          <w:tcPr>
            <w:tcW w:w="709" w:type="dxa"/>
            <w:shd w:val="clear" w:color="auto" w:fill="C6EFCE"/>
            <w:vAlign w:val="center"/>
          </w:tcPr>
          <w:p w14:paraId="30A0CE4E" w14:textId="77777777" w:rsidR="004C6421" w:rsidRDefault="009D1962">
            <w:pPr>
              <w:pStyle w:val="P68B1DB1-Normal4"/>
              <w:jc w:val="center"/>
              <w:rPr>
                <w:rFonts w:eastAsiaTheme="minorEastAsia"/>
                <w:noProof/>
              </w:rPr>
            </w:pPr>
            <w:r>
              <w:rPr>
                <w:noProof/>
              </w:rPr>
              <w:t>2022</w:t>
            </w:r>
          </w:p>
        </w:tc>
        <w:tc>
          <w:tcPr>
            <w:tcW w:w="3634" w:type="dxa"/>
            <w:shd w:val="clear" w:color="auto" w:fill="C6EFCE"/>
            <w:vAlign w:val="center"/>
          </w:tcPr>
          <w:p w14:paraId="241743EE" w14:textId="77777777" w:rsidR="004C6421" w:rsidRDefault="009D1962">
            <w:pPr>
              <w:pStyle w:val="P68B1DB1-Normal4"/>
              <w:rPr>
                <w:rFonts w:eastAsiaTheme="minorEastAsia"/>
                <w:noProof/>
              </w:rPr>
            </w:pPr>
            <w:r>
              <w:rPr>
                <w:noProof/>
              </w:rPr>
              <w:t>Wejście w życie prawa wtórnego (dekret ministerialny) przewidującego:</w:t>
            </w:r>
          </w:p>
          <w:p w14:paraId="2B95D7C8" w14:textId="77777777" w:rsidR="004C6421" w:rsidRDefault="009D1962">
            <w:pPr>
              <w:pStyle w:val="P68B1DB1-Normal4"/>
              <w:rPr>
                <w:rFonts w:eastAsiaTheme="minorEastAsia"/>
                <w:noProof/>
              </w:rPr>
            </w:pPr>
            <w:r>
              <w:rPr>
                <w:noProof/>
              </w:rPr>
              <w:t>— Określenie nowego modelu organizacyjnego sieci pomocy terytorialnej w zakresie opieki zdrowotnej poprzez określenie ram regulacyjnych określających normy strukturalne, technologiczne i organizacyjne w poszczególnych regionach; określenie nowej struktury instytucjonalnej profilaktyki zdrowotnej, środowiska i klimatu zgodnie z podejściem „Jedno zdrowie”.</w:t>
            </w:r>
          </w:p>
        </w:tc>
      </w:tr>
      <w:tr w:rsidR="004C6421" w14:paraId="433799BF" w14:textId="77777777">
        <w:trPr>
          <w:trHeight w:val="315"/>
        </w:trPr>
        <w:tc>
          <w:tcPr>
            <w:tcW w:w="1277" w:type="dxa"/>
            <w:shd w:val="clear" w:color="auto" w:fill="C6EFCE"/>
            <w:vAlign w:val="center"/>
          </w:tcPr>
          <w:p w14:paraId="11EB2479" w14:textId="77777777" w:rsidR="004C6421" w:rsidRDefault="009D1962">
            <w:pPr>
              <w:pStyle w:val="P68B1DB1-Normal4"/>
              <w:jc w:val="center"/>
              <w:rPr>
                <w:rFonts w:eastAsiaTheme="minorEastAsia"/>
                <w:noProof/>
              </w:rPr>
            </w:pPr>
            <w:r>
              <w:rPr>
                <w:noProof/>
              </w:rPr>
              <w:t>M6C1-2</w:t>
            </w:r>
          </w:p>
        </w:tc>
        <w:tc>
          <w:tcPr>
            <w:tcW w:w="1701" w:type="dxa"/>
            <w:shd w:val="clear" w:color="auto" w:fill="C6EFCE"/>
            <w:vAlign w:val="center"/>
          </w:tcPr>
          <w:p w14:paraId="04E2F294" w14:textId="77777777" w:rsidR="004C6421" w:rsidRDefault="009D1962">
            <w:pPr>
              <w:pStyle w:val="P68B1DB1-Normal4"/>
              <w:jc w:val="center"/>
              <w:rPr>
                <w:rFonts w:eastAsiaTheme="minorEastAsia"/>
                <w:noProof/>
              </w:rPr>
            </w:pPr>
            <w:r>
              <w:rPr>
                <w:noProof/>
              </w:rPr>
              <w:t>Inwestycje 1.1: Wspólnotowe Domy Zdrowia w celu poprawy terytorialnej pomocy zdrowotnej</w:t>
            </w:r>
          </w:p>
        </w:tc>
        <w:tc>
          <w:tcPr>
            <w:tcW w:w="1134" w:type="dxa"/>
            <w:shd w:val="clear" w:color="auto" w:fill="C6EFCE"/>
            <w:vAlign w:val="center"/>
          </w:tcPr>
          <w:p w14:paraId="1180C939" w14:textId="41677C78" w:rsidR="004C6421" w:rsidRDefault="00CC179E">
            <w:pPr>
              <w:pStyle w:val="P68B1DB1-Normal4"/>
              <w:jc w:val="center"/>
              <w:rPr>
                <w:rFonts w:eastAsiaTheme="minorEastAsia"/>
                <w:noProof/>
              </w:rPr>
            </w:pPr>
            <w:r>
              <w:rPr>
                <w:noProof/>
              </w:rPr>
              <w:t>Milowy</w:t>
            </w:r>
          </w:p>
        </w:tc>
        <w:tc>
          <w:tcPr>
            <w:tcW w:w="1417" w:type="dxa"/>
            <w:shd w:val="clear" w:color="auto" w:fill="C6EFCE"/>
            <w:vAlign w:val="center"/>
          </w:tcPr>
          <w:p w14:paraId="14B43EB1" w14:textId="77777777" w:rsidR="004C6421" w:rsidRDefault="009D1962">
            <w:pPr>
              <w:pStyle w:val="P68B1DB1-Normal4"/>
              <w:jc w:val="center"/>
              <w:rPr>
                <w:rFonts w:eastAsiaTheme="minorEastAsia"/>
                <w:noProof/>
              </w:rPr>
            </w:pPr>
            <w:r>
              <w:rPr>
                <w:noProof/>
              </w:rPr>
              <w:t xml:space="preserve">Zatwierdzenie umowy o rozwój instytucjonalny </w:t>
            </w:r>
          </w:p>
        </w:tc>
        <w:tc>
          <w:tcPr>
            <w:tcW w:w="1363" w:type="dxa"/>
            <w:shd w:val="clear" w:color="auto" w:fill="C6EFCE"/>
            <w:vAlign w:val="center"/>
          </w:tcPr>
          <w:p w14:paraId="61D5BB81" w14:textId="77777777" w:rsidR="004C6421" w:rsidRDefault="009D1962">
            <w:pPr>
              <w:pStyle w:val="P68B1DB1-Normal4"/>
              <w:jc w:val="center"/>
              <w:rPr>
                <w:rFonts w:eastAsiaTheme="minorEastAsia"/>
                <w:noProof/>
              </w:rPr>
            </w:pPr>
            <w:r>
              <w:rPr>
                <w:noProof/>
              </w:rPr>
              <w:t>Powiadomienie o zatwierdzeniu przez Ministerstwo Zdrowia i regiony</w:t>
            </w:r>
          </w:p>
        </w:tc>
        <w:tc>
          <w:tcPr>
            <w:tcW w:w="948" w:type="dxa"/>
            <w:shd w:val="clear" w:color="auto" w:fill="C6EFCE"/>
            <w:vAlign w:val="center"/>
          </w:tcPr>
          <w:p w14:paraId="5F872E56" w14:textId="77777777" w:rsidR="004C6421" w:rsidRDefault="009D1962">
            <w:pPr>
              <w:pStyle w:val="P68B1DB1-Normal4"/>
              <w:jc w:val="center"/>
              <w:rPr>
                <w:rFonts w:eastAsiaTheme="minorEastAsia"/>
                <w:noProof/>
              </w:rPr>
            </w:pPr>
            <w:r>
              <w:rPr>
                <w:noProof/>
              </w:rPr>
              <w:t>NIE DOT.</w:t>
            </w:r>
          </w:p>
        </w:tc>
        <w:tc>
          <w:tcPr>
            <w:tcW w:w="950" w:type="dxa"/>
            <w:shd w:val="clear" w:color="auto" w:fill="C6EFCE"/>
            <w:vAlign w:val="center"/>
          </w:tcPr>
          <w:p w14:paraId="6009775A" w14:textId="77777777" w:rsidR="004C6421" w:rsidRDefault="009D1962">
            <w:pPr>
              <w:pStyle w:val="P68B1DB1-Normal4"/>
              <w:jc w:val="center"/>
              <w:rPr>
                <w:rFonts w:eastAsiaTheme="minorEastAsia"/>
                <w:noProof/>
              </w:rPr>
            </w:pPr>
            <w:r>
              <w:rPr>
                <w:noProof/>
              </w:rPr>
              <w:t>NIE DOT.</w:t>
            </w:r>
          </w:p>
        </w:tc>
        <w:tc>
          <w:tcPr>
            <w:tcW w:w="992" w:type="dxa"/>
            <w:shd w:val="clear" w:color="auto" w:fill="C6EFCE"/>
            <w:vAlign w:val="center"/>
          </w:tcPr>
          <w:p w14:paraId="663496ED" w14:textId="77777777" w:rsidR="004C6421" w:rsidRDefault="009D1962">
            <w:pPr>
              <w:pStyle w:val="P68B1DB1-Normal4"/>
              <w:jc w:val="center"/>
              <w:rPr>
                <w:rFonts w:eastAsiaTheme="minorEastAsia"/>
                <w:noProof/>
              </w:rPr>
            </w:pPr>
            <w:r>
              <w:rPr>
                <w:noProof/>
              </w:rPr>
              <w:t>NIE DOT.</w:t>
            </w:r>
          </w:p>
        </w:tc>
        <w:tc>
          <w:tcPr>
            <w:tcW w:w="992" w:type="dxa"/>
            <w:shd w:val="clear" w:color="auto" w:fill="C6EFCE"/>
            <w:vAlign w:val="center"/>
          </w:tcPr>
          <w:p w14:paraId="0A8EFD22" w14:textId="77777777" w:rsidR="004C6421" w:rsidRDefault="009D1962">
            <w:pPr>
              <w:pStyle w:val="P68B1DB1-Normal4"/>
              <w:jc w:val="center"/>
              <w:rPr>
                <w:rFonts w:eastAsiaTheme="minorEastAsia"/>
                <w:noProof/>
              </w:rPr>
            </w:pPr>
            <w:r>
              <w:rPr>
                <w:noProof/>
              </w:rPr>
              <w:t>II KW.</w:t>
            </w:r>
          </w:p>
        </w:tc>
        <w:tc>
          <w:tcPr>
            <w:tcW w:w="709" w:type="dxa"/>
            <w:shd w:val="clear" w:color="auto" w:fill="C6EFCE"/>
            <w:vAlign w:val="center"/>
          </w:tcPr>
          <w:p w14:paraId="2A91BE92" w14:textId="77777777" w:rsidR="004C6421" w:rsidRDefault="009D1962">
            <w:pPr>
              <w:pStyle w:val="P68B1DB1-Normal4"/>
              <w:jc w:val="center"/>
              <w:rPr>
                <w:rFonts w:eastAsiaTheme="minorEastAsia"/>
                <w:noProof/>
              </w:rPr>
            </w:pPr>
            <w:r>
              <w:rPr>
                <w:noProof/>
              </w:rPr>
              <w:t>2022</w:t>
            </w:r>
          </w:p>
        </w:tc>
        <w:tc>
          <w:tcPr>
            <w:tcW w:w="3634" w:type="dxa"/>
            <w:shd w:val="clear" w:color="auto" w:fill="C6EFCE"/>
            <w:vAlign w:val="center"/>
          </w:tcPr>
          <w:p w14:paraId="3448A9E0" w14:textId="77777777" w:rsidR="004C6421" w:rsidRDefault="009D1962">
            <w:pPr>
              <w:pStyle w:val="P68B1DB1-Normal4"/>
              <w:rPr>
                <w:rFonts w:eastAsiaTheme="minorEastAsia"/>
                <w:noProof/>
              </w:rPr>
            </w:pPr>
            <w:r>
              <w:rPr>
                <w:noProof/>
              </w:rPr>
              <w:t>Zatwierdzenie umowy na rzecz rozwoju instytucjonalnego (Contratto Istituzionale di Sviluppo) z włoskim Ministerstwem Zdrowia jako organem odpowiedzialnym i wykonawczym oraz z udziałem administracji regionalnych wraz z innymi zainteresowanymi podmiotami w odniesieniu do Wspólnotowych Domów Zdrowia:</w:t>
            </w:r>
          </w:p>
          <w:p w14:paraId="62A9D11D" w14:textId="77777777" w:rsidR="004C6421" w:rsidRDefault="009D1962">
            <w:pPr>
              <w:pStyle w:val="P68B1DB1-Normal4"/>
              <w:rPr>
                <w:rFonts w:eastAsiaTheme="minorEastAsia"/>
                <w:noProof/>
              </w:rPr>
            </w:pPr>
            <w:r>
              <w:rPr>
                <w:noProof/>
              </w:rPr>
              <w:t xml:space="preserve">Umowa na rzecz rozwoju instytucjonalnego jest narzędziem zarządzania, które zawiera wykaz wszystkich odpowiednich stron wskazanych do celów wdrożenia Wspólnotowego Domu Zdrowia w celu poprawy terytorialnej pomocy zdrowotnej. Umowa określa również zobowiązania podjęte przez każdy region Włoch w celu zagwarantowania osiągnięcia oczekiwanych wyników w odniesieniu do Wspólnotowego Domu Zdrowia. </w:t>
            </w:r>
          </w:p>
          <w:p w14:paraId="27C81E1A" w14:textId="77777777" w:rsidR="004C6421" w:rsidRDefault="009D1962">
            <w:pPr>
              <w:pStyle w:val="P68B1DB1-Normal4"/>
              <w:rPr>
                <w:rFonts w:eastAsiaTheme="minorEastAsia"/>
                <w:noProof/>
              </w:rPr>
            </w:pPr>
            <w:r>
              <w:rPr>
                <w:noProof/>
              </w:rPr>
              <w:t xml:space="preserve"> Umowa miała na celu wspieranie spójności terytorialnej, rozwoju i wzrostu gospodarczego oraz przyspieszenie realizacji złożonych interwencji. Umowa na rzecz rozwoju instytucjonalnego jest szczególnie przydatna w przypadku dużych projektów lub inwestycji przedstawionych w ramach poszczególnych interwencji funkcjonalnie powiązanych ze sobą, które wymagają zintegrowanego podejścia oraz wykorzystania europejskich inwestycyjnych funduszy strukturalnych i funduszy krajowych również zawartych w planach i programach operacyjnych finansowanych ze środków krajowych i europejskich.</w:t>
            </w:r>
          </w:p>
        </w:tc>
      </w:tr>
      <w:tr w:rsidR="004C6421" w14:paraId="5EA2F974" w14:textId="77777777">
        <w:trPr>
          <w:trHeight w:val="315"/>
        </w:trPr>
        <w:tc>
          <w:tcPr>
            <w:tcW w:w="1277" w:type="dxa"/>
            <w:shd w:val="clear" w:color="auto" w:fill="C6EFCE"/>
            <w:vAlign w:val="center"/>
          </w:tcPr>
          <w:p w14:paraId="4712071C" w14:textId="77777777" w:rsidR="004C6421" w:rsidRDefault="009D1962">
            <w:pPr>
              <w:pStyle w:val="P68B1DB1-Normal4"/>
              <w:jc w:val="center"/>
              <w:rPr>
                <w:rFonts w:eastAsiaTheme="minorEastAsia"/>
                <w:noProof/>
              </w:rPr>
            </w:pPr>
            <w:r>
              <w:rPr>
                <w:noProof/>
              </w:rPr>
              <w:t>M6C1-3</w:t>
            </w:r>
          </w:p>
        </w:tc>
        <w:tc>
          <w:tcPr>
            <w:tcW w:w="1701" w:type="dxa"/>
            <w:shd w:val="clear" w:color="auto" w:fill="C6EFCE"/>
            <w:vAlign w:val="center"/>
          </w:tcPr>
          <w:p w14:paraId="19A78508" w14:textId="77777777" w:rsidR="004C6421" w:rsidRDefault="009D1962">
            <w:pPr>
              <w:pStyle w:val="P68B1DB1-Normal4"/>
              <w:jc w:val="center"/>
              <w:rPr>
                <w:rFonts w:eastAsiaTheme="minorEastAsia"/>
                <w:noProof/>
              </w:rPr>
            </w:pPr>
            <w:bookmarkStart w:id="13" w:name="_Hlk160472482"/>
            <w:r>
              <w:rPr>
                <w:noProof/>
              </w:rPr>
              <w:t>Inwestycje 1.1: Wspólnotowe Domy Zdrowia w celu poprawy terytorialnej pomocy zdrowotnej</w:t>
            </w:r>
            <w:bookmarkEnd w:id="13"/>
          </w:p>
        </w:tc>
        <w:tc>
          <w:tcPr>
            <w:tcW w:w="1134" w:type="dxa"/>
            <w:shd w:val="clear" w:color="auto" w:fill="C6EFCE"/>
            <w:vAlign w:val="center"/>
          </w:tcPr>
          <w:p w14:paraId="4AA73ECD" w14:textId="77777777" w:rsidR="004C6421" w:rsidRDefault="009D1962">
            <w:pPr>
              <w:pStyle w:val="P68B1DB1-Normal4"/>
              <w:jc w:val="center"/>
              <w:rPr>
                <w:rFonts w:eastAsiaTheme="minorEastAsia"/>
                <w:noProof/>
              </w:rPr>
            </w:pPr>
            <w:r>
              <w:rPr>
                <w:noProof/>
              </w:rPr>
              <w:t>Cel</w:t>
            </w:r>
          </w:p>
        </w:tc>
        <w:tc>
          <w:tcPr>
            <w:tcW w:w="1417" w:type="dxa"/>
            <w:shd w:val="clear" w:color="auto" w:fill="C6EFCE"/>
            <w:vAlign w:val="center"/>
          </w:tcPr>
          <w:p w14:paraId="0D210F79" w14:textId="77777777" w:rsidR="004C6421" w:rsidRDefault="009D1962">
            <w:pPr>
              <w:pStyle w:val="P68B1DB1-Normal4"/>
              <w:jc w:val="center"/>
              <w:rPr>
                <w:rFonts w:eastAsiaTheme="minorEastAsia"/>
                <w:noProof/>
              </w:rPr>
            </w:pPr>
            <w:r>
              <w:rPr>
                <w:noProof/>
              </w:rPr>
              <w:t>Udostępnione i wyposażone technologicznie domy zdrowia (pierwsza partia)</w:t>
            </w:r>
          </w:p>
        </w:tc>
        <w:tc>
          <w:tcPr>
            <w:tcW w:w="1363" w:type="dxa"/>
            <w:shd w:val="clear" w:color="auto" w:fill="C6EFCE"/>
            <w:vAlign w:val="center"/>
          </w:tcPr>
          <w:p w14:paraId="485B55FF" w14:textId="77777777" w:rsidR="004C6421" w:rsidRDefault="009D1962">
            <w:pPr>
              <w:pStyle w:val="P68B1DB1-Normal4"/>
              <w:jc w:val="center"/>
              <w:rPr>
                <w:rFonts w:eastAsiaTheme="minorEastAsia"/>
                <w:noProof/>
              </w:rPr>
            </w:pPr>
            <w:r>
              <w:rPr>
                <w:noProof/>
              </w:rPr>
              <w:t>NIE DOT.</w:t>
            </w:r>
          </w:p>
        </w:tc>
        <w:tc>
          <w:tcPr>
            <w:tcW w:w="948" w:type="dxa"/>
            <w:shd w:val="clear" w:color="auto" w:fill="C6EFCE"/>
            <w:vAlign w:val="center"/>
          </w:tcPr>
          <w:p w14:paraId="72FEE496" w14:textId="77777777" w:rsidR="004C6421" w:rsidRDefault="009D1962">
            <w:pPr>
              <w:pStyle w:val="P68B1DB1-Normal4"/>
              <w:jc w:val="center"/>
              <w:rPr>
                <w:rFonts w:eastAsiaTheme="minorEastAsia"/>
                <w:noProof/>
              </w:rPr>
            </w:pPr>
            <w:r>
              <w:rPr>
                <w:noProof/>
              </w:rPr>
              <w:t>Numer</w:t>
            </w:r>
          </w:p>
        </w:tc>
        <w:tc>
          <w:tcPr>
            <w:tcW w:w="950" w:type="dxa"/>
            <w:shd w:val="clear" w:color="auto" w:fill="C6EFCE"/>
            <w:vAlign w:val="center"/>
          </w:tcPr>
          <w:p w14:paraId="37943D3D" w14:textId="77777777" w:rsidR="004C6421" w:rsidRDefault="009D1962">
            <w:pPr>
              <w:pStyle w:val="P68B1DB1-Normal4"/>
              <w:jc w:val="center"/>
              <w:rPr>
                <w:rFonts w:eastAsiaTheme="minorEastAsia"/>
                <w:noProof/>
              </w:rPr>
            </w:pPr>
            <w:r>
              <w:rPr>
                <w:noProof/>
              </w:rPr>
              <w:t>0</w:t>
            </w:r>
          </w:p>
        </w:tc>
        <w:tc>
          <w:tcPr>
            <w:tcW w:w="992" w:type="dxa"/>
            <w:shd w:val="clear" w:color="auto" w:fill="C6EFCE"/>
            <w:vAlign w:val="center"/>
          </w:tcPr>
          <w:p w14:paraId="4CFE129E" w14:textId="77777777" w:rsidR="004C6421" w:rsidRDefault="009D1962">
            <w:pPr>
              <w:pStyle w:val="P68B1DB1-Normal4"/>
              <w:jc w:val="center"/>
              <w:rPr>
                <w:rFonts w:eastAsiaTheme="minorEastAsia"/>
                <w:noProof/>
              </w:rPr>
            </w:pPr>
            <w:r>
              <w:rPr>
                <w:noProof/>
              </w:rPr>
              <w:t>1 038</w:t>
            </w:r>
          </w:p>
        </w:tc>
        <w:tc>
          <w:tcPr>
            <w:tcW w:w="992" w:type="dxa"/>
            <w:shd w:val="clear" w:color="auto" w:fill="C6EFCE"/>
            <w:vAlign w:val="center"/>
          </w:tcPr>
          <w:p w14:paraId="4A1D1FD9" w14:textId="77777777" w:rsidR="004C6421" w:rsidRDefault="009D1962">
            <w:pPr>
              <w:pStyle w:val="P68B1DB1-Normal4"/>
              <w:jc w:val="center"/>
              <w:rPr>
                <w:rFonts w:eastAsiaTheme="minorEastAsia"/>
                <w:noProof/>
              </w:rPr>
            </w:pPr>
            <w:r>
              <w:rPr>
                <w:noProof/>
              </w:rPr>
              <w:t>II KW.</w:t>
            </w:r>
          </w:p>
        </w:tc>
        <w:tc>
          <w:tcPr>
            <w:tcW w:w="709" w:type="dxa"/>
            <w:shd w:val="clear" w:color="auto" w:fill="C6EFCE"/>
            <w:vAlign w:val="center"/>
          </w:tcPr>
          <w:p w14:paraId="5A5BA99D" w14:textId="77777777" w:rsidR="004C6421" w:rsidRDefault="009D1962">
            <w:pPr>
              <w:pStyle w:val="P68B1DB1-Normal4"/>
              <w:jc w:val="center"/>
              <w:rPr>
                <w:rFonts w:eastAsiaTheme="minorEastAsia"/>
                <w:noProof/>
              </w:rPr>
            </w:pPr>
            <w:r>
              <w:rPr>
                <w:noProof/>
              </w:rPr>
              <w:t>2026</w:t>
            </w:r>
          </w:p>
        </w:tc>
        <w:tc>
          <w:tcPr>
            <w:tcW w:w="3634" w:type="dxa"/>
            <w:shd w:val="clear" w:color="auto" w:fill="C6EFCE"/>
            <w:vAlign w:val="center"/>
          </w:tcPr>
          <w:p w14:paraId="0986C774" w14:textId="77777777" w:rsidR="004C6421" w:rsidRDefault="009D1962">
            <w:pPr>
              <w:pStyle w:val="P68B1DB1-Normal4"/>
              <w:rPr>
                <w:noProof/>
              </w:rPr>
            </w:pPr>
            <w:r>
              <w:rPr>
                <w:noProof/>
              </w:rPr>
              <w:t>Należy udostępnić i wyposażyć technologicznie co najmniej 1038 Wspólnotowych Domów Zdrowia w celu zapewnienia równego dostępu, bliskości terytorialnej i jakości opieki dla osób bez względu na wiek i ich obraz kliniczny (chronicznie chorych pacjentów, osób niesamodzielnych wymagających opieki długoterminowej, osób niepełnosprawnych, cierpiących na zaburzenia psychiczne, ubóstwa) poprzez aktywizację, rozwój i łączenie usług podstawowej opieki zdrowotnej oraz wdrożenie ośrodków udzielania pomocy (efektywnych energetycznie) w celu reagowania wielozawodowego.</w:t>
            </w:r>
          </w:p>
          <w:p w14:paraId="129E5156" w14:textId="77777777" w:rsidR="004C6421" w:rsidRDefault="009D1962">
            <w:pPr>
              <w:pStyle w:val="P68B1DB1-Normal4"/>
              <w:rPr>
                <w:rFonts w:eastAsiaTheme="minorEastAsia"/>
                <w:noProof/>
              </w:rPr>
            </w:pPr>
            <w:r>
              <w:rPr>
                <w:noProof/>
              </w:rPr>
              <w:t>Co najmniej 50 % wsparcia z RRF na koszty inwestycji przeznacza się na budowę nowych budynków (pole interwencji 025 ter) zgodnych z wymogami określonymi w przypisie 5 w załączniku VI do rozporządzenia (UE) 2021/241 lub na renowację budynków (pole interwencji 026).</w:t>
            </w:r>
          </w:p>
        </w:tc>
      </w:tr>
      <w:tr w:rsidR="004C6421" w14:paraId="136596EE" w14:textId="77777777">
        <w:trPr>
          <w:trHeight w:val="315"/>
        </w:trPr>
        <w:tc>
          <w:tcPr>
            <w:tcW w:w="1277" w:type="dxa"/>
            <w:shd w:val="clear" w:color="auto" w:fill="C6EFCE"/>
            <w:vAlign w:val="center"/>
          </w:tcPr>
          <w:p w14:paraId="2D48AD3C" w14:textId="77777777" w:rsidR="004C6421" w:rsidRDefault="009D1962">
            <w:pPr>
              <w:pStyle w:val="P68B1DB1-Normal4"/>
              <w:jc w:val="center"/>
              <w:rPr>
                <w:rFonts w:eastAsiaTheme="minorEastAsia"/>
                <w:noProof/>
              </w:rPr>
            </w:pPr>
            <w:r>
              <w:rPr>
                <w:noProof/>
              </w:rPr>
              <w:t>M6C1-4</w:t>
            </w:r>
          </w:p>
        </w:tc>
        <w:tc>
          <w:tcPr>
            <w:tcW w:w="1701" w:type="dxa"/>
            <w:shd w:val="clear" w:color="auto" w:fill="C6EFCE"/>
            <w:vAlign w:val="center"/>
          </w:tcPr>
          <w:p w14:paraId="582AA552" w14:textId="77777777" w:rsidR="004C6421" w:rsidRDefault="009D1962">
            <w:pPr>
              <w:pStyle w:val="P68B1DB1-Normal4"/>
              <w:jc w:val="center"/>
              <w:rPr>
                <w:rFonts w:eastAsiaTheme="minorEastAsia"/>
                <w:noProof/>
              </w:rPr>
            </w:pPr>
            <w:r>
              <w:rPr>
                <w:noProof/>
              </w:rPr>
              <w:t>Inwestycje 1.2: Dom jako pierwsze miejsce opieki i telemedycyny</w:t>
            </w:r>
          </w:p>
        </w:tc>
        <w:tc>
          <w:tcPr>
            <w:tcW w:w="1134" w:type="dxa"/>
            <w:shd w:val="clear" w:color="auto" w:fill="C6EFCE"/>
            <w:vAlign w:val="center"/>
          </w:tcPr>
          <w:p w14:paraId="77152269" w14:textId="3A1EE721" w:rsidR="004C6421" w:rsidRDefault="00CC179E">
            <w:pPr>
              <w:pStyle w:val="P68B1DB1-Normal4"/>
              <w:jc w:val="center"/>
              <w:rPr>
                <w:rFonts w:eastAsiaTheme="minorEastAsia"/>
                <w:noProof/>
              </w:rPr>
            </w:pPr>
            <w:r>
              <w:rPr>
                <w:noProof/>
              </w:rPr>
              <w:t>Milowy</w:t>
            </w:r>
          </w:p>
        </w:tc>
        <w:tc>
          <w:tcPr>
            <w:tcW w:w="1417" w:type="dxa"/>
            <w:shd w:val="clear" w:color="auto" w:fill="C6EFCE"/>
            <w:vAlign w:val="center"/>
          </w:tcPr>
          <w:p w14:paraId="00D61E5E" w14:textId="77777777" w:rsidR="004C6421" w:rsidRDefault="009D1962">
            <w:pPr>
              <w:pStyle w:val="P68B1DB1-Normal4"/>
              <w:jc w:val="center"/>
              <w:rPr>
                <w:rFonts w:eastAsiaTheme="minorEastAsia"/>
                <w:noProof/>
              </w:rPr>
            </w:pPr>
            <w:r>
              <w:rPr>
                <w:noProof/>
              </w:rPr>
              <w:t>Zatwierdzenie wytycznych zawierających cyfrowy model wdrażania opieki domowej</w:t>
            </w:r>
          </w:p>
        </w:tc>
        <w:tc>
          <w:tcPr>
            <w:tcW w:w="1363" w:type="dxa"/>
            <w:shd w:val="clear" w:color="auto" w:fill="C6EFCE"/>
            <w:vAlign w:val="center"/>
          </w:tcPr>
          <w:p w14:paraId="3157B851" w14:textId="77777777" w:rsidR="004C6421" w:rsidRDefault="009D1962">
            <w:pPr>
              <w:pStyle w:val="P68B1DB1-Normal4"/>
              <w:jc w:val="center"/>
              <w:rPr>
                <w:rFonts w:eastAsiaTheme="minorEastAsia"/>
                <w:noProof/>
              </w:rPr>
            </w:pPr>
            <w:r>
              <w:rPr>
                <w:noProof/>
              </w:rPr>
              <w:t>Wytyczne zatwierdzone przez Ministerstwo Zdrowia</w:t>
            </w:r>
          </w:p>
        </w:tc>
        <w:tc>
          <w:tcPr>
            <w:tcW w:w="948" w:type="dxa"/>
            <w:shd w:val="clear" w:color="auto" w:fill="C6EFCE"/>
            <w:vAlign w:val="center"/>
          </w:tcPr>
          <w:p w14:paraId="0D46CFCD" w14:textId="77777777" w:rsidR="004C6421" w:rsidRDefault="009D1962">
            <w:pPr>
              <w:pStyle w:val="P68B1DB1-Normal4"/>
              <w:jc w:val="center"/>
              <w:rPr>
                <w:rFonts w:eastAsiaTheme="minorEastAsia"/>
                <w:noProof/>
              </w:rPr>
            </w:pPr>
            <w:r>
              <w:rPr>
                <w:noProof/>
              </w:rPr>
              <w:t>NIE DOT.</w:t>
            </w:r>
          </w:p>
        </w:tc>
        <w:tc>
          <w:tcPr>
            <w:tcW w:w="950" w:type="dxa"/>
            <w:shd w:val="clear" w:color="auto" w:fill="C6EFCE"/>
            <w:vAlign w:val="center"/>
          </w:tcPr>
          <w:p w14:paraId="709E9851" w14:textId="77777777" w:rsidR="004C6421" w:rsidRDefault="009D1962">
            <w:pPr>
              <w:pStyle w:val="P68B1DB1-Normal4"/>
              <w:jc w:val="center"/>
              <w:rPr>
                <w:rFonts w:eastAsiaTheme="minorEastAsia"/>
                <w:noProof/>
              </w:rPr>
            </w:pPr>
            <w:r>
              <w:rPr>
                <w:noProof/>
              </w:rPr>
              <w:t>NIE DOT.</w:t>
            </w:r>
          </w:p>
        </w:tc>
        <w:tc>
          <w:tcPr>
            <w:tcW w:w="992" w:type="dxa"/>
            <w:shd w:val="clear" w:color="auto" w:fill="C6EFCE"/>
            <w:vAlign w:val="center"/>
          </w:tcPr>
          <w:p w14:paraId="0F463D66" w14:textId="77777777" w:rsidR="004C6421" w:rsidRDefault="009D1962">
            <w:pPr>
              <w:pStyle w:val="P68B1DB1-Normal4"/>
              <w:jc w:val="center"/>
              <w:rPr>
                <w:rFonts w:eastAsiaTheme="minorEastAsia"/>
                <w:noProof/>
              </w:rPr>
            </w:pPr>
            <w:r>
              <w:rPr>
                <w:noProof/>
              </w:rPr>
              <w:t>NIE DOT.</w:t>
            </w:r>
          </w:p>
        </w:tc>
        <w:tc>
          <w:tcPr>
            <w:tcW w:w="992" w:type="dxa"/>
            <w:shd w:val="clear" w:color="auto" w:fill="C6EFCE"/>
            <w:vAlign w:val="center"/>
          </w:tcPr>
          <w:p w14:paraId="14AE2562" w14:textId="77777777" w:rsidR="004C6421" w:rsidRDefault="009D1962">
            <w:pPr>
              <w:pStyle w:val="P68B1DB1-Normal4"/>
              <w:jc w:val="center"/>
              <w:rPr>
                <w:rFonts w:eastAsiaTheme="minorEastAsia"/>
                <w:noProof/>
              </w:rPr>
            </w:pPr>
            <w:r>
              <w:rPr>
                <w:noProof/>
              </w:rPr>
              <w:t>II KW.</w:t>
            </w:r>
          </w:p>
        </w:tc>
        <w:tc>
          <w:tcPr>
            <w:tcW w:w="709" w:type="dxa"/>
            <w:shd w:val="clear" w:color="auto" w:fill="C6EFCE"/>
            <w:vAlign w:val="center"/>
          </w:tcPr>
          <w:p w14:paraId="77DCE455" w14:textId="77777777" w:rsidR="004C6421" w:rsidRDefault="009D1962">
            <w:pPr>
              <w:pStyle w:val="P68B1DB1-Normal4"/>
              <w:jc w:val="center"/>
              <w:rPr>
                <w:rFonts w:eastAsiaTheme="minorEastAsia"/>
                <w:noProof/>
              </w:rPr>
            </w:pPr>
            <w:r>
              <w:rPr>
                <w:noProof/>
              </w:rPr>
              <w:t>2022</w:t>
            </w:r>
          </w:p>
        </w:tc>
        <w:tc>
          <w:tcPr>
            <w:tcW w:w="3634" w:type="dxa"/>
            <w:shd w:val="clear" w:color="auto" w:fill="C6EFCE"/>
            <w:vAlign w:val="center"/>
          </w:tcPr>
          <w:p w14:paraId="703098DF" w14:textId="77777777" w:rsidR="004C6421" w:rsidRDefault="009D1962">
            <w:pPr>
              <w:pStyle w:val="P68B1DB1-Normal4"/>
              <w:rPr>
                <w:rFonts w:eastAsiaTheme="minorEastAsia"/>
                <w:noProof/>
              </w:rPr>
            </w:pPr>
            <w:r>
              <w:rPr>
                <w:noProof/>
              </w:rPr>
              <w:t>Wytyczne usprawniają procesy niezbędne do poprawy opieki domowej poprzez rozwój technik zdalnego monitorowania i automatyzację domu.</w:t>
            </w:r>
          </w:p>
        </w:tc>
      </w:tr>
      <w:tr w:rsidR="004C6421" w14:paraId="59DFC677" w14:textId="77777777">
        <w:trPr>
          <w:trHeight w:val="315"/>
        </w:trPr>
        <w:tc>
          <w:tcPr>
            <w:tcW w:w="1277" w:type="dxa"/>
            <w:shd w:val="clear" w:color="auto" w:fill="C6EFCE"/>
            <w:vAlign w:val="center"/>
          </w:tcPr>
          <w:p w14:paraId="3B5BDBF0" w14:textId="77777777" w:rsidR="004C6421" w:rsidRDefault="009D1962">
            <w:pPr>
              <w:pStyle w:val="P68B1DB1-Normal4"/>
              <w:jc w:val="center"/>
              <w:rPr>
                <w:rFonts w:eastAsiaTheme="minorEastAsia"/>
                <w:noProof/>
              </w:rPr>
            </w:pPr>
            <w:r>
              <w:rPr>
                <w:noProof/>
              </w:rPr>
              <w:t>M6C1-5</w:t>
            </w:r>
          </w:p>
        </w:tc>
        <w:tc>
          <w:tcPr>
            <w:tcW w:w="1701" w:type="dxa"/>
            <w:shd w:val="clear" w:color="auto" w:fill="C6EFCE"/>
            <w:vAlign w:val="center"/>
          </w:tcPr>
          <w:p w14:paraId="4E1157DC" w14:textId="77777777" w:rsidR="004C6421" w:rsidRDefault="009D1962">
            <w:pPr>
              <w:pStyle w:val="P68B1DB1-Normal4"/>
              <w:jc w:val="center"/>
              <w:rPr>
                <w:rFonts w:eastAsiaTheme="minorEastAsia"/>
                <w:noProof/>
              </w:rPr>
            </w:pPr>
            <w:r>
              <w:rPr>
                <w:noProof/>
              </w:rPr>
              <w:t>Inwestycje 1.2: Dom jako pierwsze miejsce opieki i telemedycyny</w:t>
            </w:r>
          </w:p>
        </w:tc>
        <w:tc>
          <w:tcPr>
            <w:tcW w:w="1134" w:type="dxa"/>
            <w:shd w:val="clear" w:color="auto" w:fill="C6EFCE"/>
            <w:vAlign w:val="center"/>
          </w:tcPr>
          <w:p w14:paraId="0A646C51" w14:textId="4E95A72B" w:rsidR="004C6421" w:rsidRDefault="00CC179E">
            <w:pPr>
              <w:pStyle w:val="P68B1DB1-Normal4"/>
              <w:jc w:val="center"/>
              <w:rPr>
                <w:rFonts w:eastAsiaTheme="minorEastAsia"/>
                <w:noProof/>
              </w:rPr>
            </w:pPr>
            <w:r>
              <w:rPr>
                <w:noProof/>
              </w:rPr>
              <w:t>Milowy</w:t>
            </w:r>
          </w:p>
        </w:tc>
        <w:tc>
          <w:tcPr>
            <w:tcW w:w="1417" w:type="dxa"/>
            <w:shd w:val="clear" w:color="auto" w:fill="C6EFCE"/>
            <w:vAlign w:val="center"/>
          </w:tcPr>
          <w:p w14:paraId="499C074A" w14:textId="77777777" w:rsidR="004C6421" w:rsidRDefault="009D1962">
            <w:pPr>
              <w:pStyle w:val="P68B1DB1-Normal4"/>
              <w:jc w:val="center"/>
              <w:rPr>
                <w:rFonts w:eastAsiaTheme="minorEastAsia"/>
                <w:noProof/>
              </w:rPr>
            </w:pPr>
            <w:r>
              <w:rPr>
                <w:noProof/>
              </w:rPr>
              <w:t xml:space="preserve">Umowa na rzecz rozwoju instytucjonalnego zatwierdzona przez Ministerstwo Zdrowia i regionów </w:t>
            </w:r>
          </w:p>
        </w:tc>
        <w:tc>
          <w:tcPr>
            <w:tcW w:w="1363" w:type="dxa"/>
            <w:shd w:val="clear" w:color="auto" w:fill="C6EFCE"/>
            <w:vAlign w:val="center"/>
          </w:tcPr>
          <w:p w14:paraId="01D06DA4" w14:textId="77777777" w:rsidR="004C6421" w:rsidRDefault="009D1962">
            <w:pPr>
              <w:pStyle w:val="P68B1DB1-Normal4"/>
              <w:jc w:val="center"/>
              <w:rPr>
                <w:rFonts w:eastAsiaTheme="minorEastAsia"/>
                <w:noProof/>
              </w:rPr>
            </w:pPr>
            <w:r>
              <w:rPr>
                <w:noProof/>
              </w:rPr>
              <w:t>Powiadomienie o zatwierdzonej umowie</w:t>
            </w:r>
          </w:p>
        </w:tc>
        <w:tc>
          <w:tcPr>
            <w:tcW w:w="948" w:type="dxa"/>
            <w:shd w:val="clear" w:color="auto" w:fill="C6EFCE"/>
            <w:vAlign w:val="center"/>
          </w:tcPr>
          <w:p w14:paraId="340AD231" w14:textId="77777777" w:rsidR="004C6421" w:rsidRDefault="009D1962">
            <w:pPr>
              <w:pStyle w:val="P68B1DB1-Normal4"/>
              <w:jc w:val="center"/>
              <w:rPr>
                <w:rFonts w:eastAsiaTheme="minorEastAsia"/>
                <w:noProof/>
              </w:rPr>
            </w:pPr>
            <w:r>
              <w:rPr>
                <w:noProof/>
              </w:rPr>
              <w:t>NIE DOT.</w:t>
            </w:r>
          </w:p>
        </w:tc>
        <w:tc>
          <w:tcPr>
            <w:tcW w:w="950" w:type="dxa"/>
            <w:shd w:val="clear" w:color="auto" w:fill="C6EFCE"/>
            <w:vAlign w:val="center"/>
          </w:tcPr>
          <w:p w14:paraId="1E2E82B0" w14:textId="77777777" w:rsidR="004C6421" w:rsidRDefault="009D1962">
            <w:pPr>
              <w:pStyle w:val="P68B1DB1-Normal4"/>
              <w:jc w:val="center"/>
              <w:rPr>
                <w:rFonts w:eastAsiaTheme="minorEastAsia"/>
                <w:noProof/>
              </w:rPr>
            </w:pPr>
            <w:r>
              <w:rPr>
                <w:noProof/>
              </w:rPr>
              <w:t>NIE DOT.</w:t>
            </w:r>
          </w:p>
        </w:tc>
        <w:tc>
          <w:tcPr>
            <w:tcW w:w="992" w:type="dxa"/>
            <w:shd w:val="clear" w:color="auto" w:fill="C6EFCE"/>
            <w:vAlign w:val="center"/>
          </w:tcPr>
          <w:p w14:paraId="79585F18" w14:textId="77777777" w:rsidR="004C6421" w:rsidRDefault="009D1962">
            <w:pPr>
              <w:pStyle w:val="P68B1DB1-Normal4"/>
              <w:jc w:val="center"/>
              <w:rPr>
                <w:rFonts w:eastAsiaTheme="minorEastAsia"/>
                <w:noProof/>
              </w:rPr>
            </w:pPr>
            <w:r>
              <w:rPr>
                <w:noProof/>
              </w:rPr>
              <w:t>NIE DOT.</w:t>
            </w:r>
          </w:p>
        </w:tc>
        <w:tc>
          <w:tcPr>
            <w:tcW w:w="992" w:type="dxa"/>
            <w:shd w:val="clear" w:color="auto" w:fill="C6EFCE"/>
            <w:vAlign w:val="center"/>
          </w:tcPr>
          <w:p w14:paraId="4E450EA9" w14:textId="77777777" w:rsidR="004C6421" w:rsidRDefault="009D1962">
            <w:pPr>
              <w:pStyle w:val="P68B1DB1-Normal4"/>
              <w:jc w:val="center"/>
              <w:rPr>
                <w:rFonts w:eastAsiaTheme="minorEastAsia"/>
                <w:noProof/>
              </w:rPr>
            </w:pPr>
            <w:r>
              <w:rPr>
                <w:noProof/>
              </w:rPr>
              <w:t>II KW.</w:t>
            </w:r>
          </w:p>
        </w:tc>
        <w:tc>
          <w:tcPr>
            <w:tcW w:w="709" w:type="dxa"/>
            <w:shd w:val="clear" w:color="auto" w:fill="C6EFCE"/>
            <w:vAlign w:val="center"/>
          </w:tcPr>
          <w:p w14:paraId="4A503572" w14:textId="77777777" w:rsidR="004C6421" w:rsidRDefault="009D1962">
            <w:pPr>
              <w:pStyle w:val="P68B1DB1-Normal4"/>
              <w:jc w:val="center"/>
              <w:rPr>
                <w:rFonts w:eastAsiaTheme="minorEastAsia"/>
                <w:noProof/>
              </w:rPr>
            </w:pPr>
            <w:r>
              <w:rPr>
                <w:noProof/>
              </w:rPr>
              <w:t>2022</w:t>
            </w:r>
          </w:p>
        </w:tc>
        <w:tc>
          <w:tcPr>
            <w:tcW w:w="3634" w:type="dxa"/>
            <w:shd w:val="clear" w:color="auto" w:fill="C6EFCE"/>
            <w:vAlign w:val="center"/>
          </w:tcPr>
          <w:p w14:paraId="021F3E45" w14:textId="77777777" w:rsidR="004C6421" w:rsidRDefault="009D1962">
            <w:pPr>
              <w:pStyle w:val="P68B1DB1-Normal4"/>
              <w:rPr>
                <w:rFonts w:eastAsiaTheme="minorEastAsia"/>
                <w:noProof/>
              </w:rPr>
            </w:pPr>
            <w:r>
              <w:rPr>
                <w:noProof/>
              </w:rPr>
              <w:t>Zatwierdzenie umowy o rozwój instytucjonalny (Contratto Istituzionale di Sviluppo), z włoskim Ministerstwem Zdrowia jako organem odpowiedzialnym i wdrażającym oraz udział administracji regionalnych wraz z innymi podmiotami zajmującymi się opieką domową.</w:t>
            </w:r>
          </w:p>
          <w:p w14:paraId="03A4871B" w14:textId="77777777" w:rsidR="004C6421" w:rsidRDefault="009D1962">
            <w:pPr>
              <w:pStyle w:val="P68B1DB1-Normal4"/>
              <w:rPr>
                <w:rFonts w:eastAsiaTheme="minorEastAsia"/>
                <w:noProof/>
              </w:rPr>
            </w:pPr>
            <w:r>
              <w:rPr>
                <w:noProof/>
              </w:rPr>
              <w:t>W umowie na rzecz rozwoju instytucjonalnego określa się dla każdej interwencji lub kategorii interwencji harmonogram, obowiązki wykonawców, kryteria oceny i monitorowania oraz sankcje za wszelkie niezgodności. Określono w nim również warunki ewentualnego częściowego umorzenia interwencji lub przeznaczenia odpowiednich zasobów na inny szczebel sprawowania rządów, zgodnie z zasadą pomocniczości.</w:t>
            </w:r>
          </w:p>
        </w:tc>
      </w:tr>
      <w:tr w:rsidR="004C6421" w14:paraId="15C56122" w14:textId="77777777">
        <w:trPr>
          <w:trHeight w:val="315"/>
        </w:trPr>
        <w:tc>
          <w:tcPr>
            <w:tcW w:w="1277" w:type="dxa"/>
            <w:shd w:val="clear" w:color="auto" w:fill="C6EFCE"/>
            <w:vAlign w:val="center"/>
          </w:tcPr>
          <w:p w14:paraId="78CDA1C7" w14:textId="77777777" w:rsidR="004C6421" w:rsidRDefault="009D1962">
            <w:pPr>
              <w:pStyle w:val="P68B1DB1-Normal4"/>
              <w:jc w:val="center"/>
              <w:rPr>
                <w:rFonts w:eastAsiaTheme="minorEastAsia"/>
                <w:noProof/>
              </w:rPr>
            </w:pPr>
            <w:r>
              <w:rPr>
                <w:noProof/>
              </w:rPr>
              <w:t>M6C1-6</w:t>
            </w:r>
          </w:p>
        </w:tc>
        <w:tc>
          <w:tcPr>
            <w:tcW w:w="1701" w:type="dxa"/>
            <w:shd w:val="clear" w:color="auto" w:fill="C6EFCE"/>
            <w:vAlign w:val="center"/>
          </w:tcPr>
          <w:p w14:paraId="03C4490E" w14:textId="77777777" w:rsidR="004C6421" w:rsidRDefault="009D1962">
            <w:pPr>
              <w:pStyle w:val="P68B1DB1-Normal4"/>
              <w:jc w:val="center"/>
              <w:rPr>
                <w:rFonts w:eastAsiaTheme="minorEastAsia"/>
                <w:noProof/>
              </w:rPr>
            </w:pPr>
            <w:r>
              <w:rPr>
                <w:noProof/>
              </w:rPr>
              <w:t>Inwestycje 1.2: Dom jako pierwsze miejsce opieki i telemedycyny</w:t>
            </w:r>
          </w:p>
        </w:tc>
        <w:tc>
          <w:tcPr>
            <w:tcW w:w="1134" w:type="dxa"/>
            <w:shd w:val="clear" w:color="auto" w:fill="C6EFCE"/>
            <w:vAlign w:val="center"/>
          </w:tcPr>
          <w:p w14:paraId="1C335802" w14:textId="77777777" w:rsidR="004C6421" w:rsidRDefault="009D1962">
            <w:pPr>
              <w:pStyle w:val="P68B1DB1-Normal4"/>
              <w:jc w:val="center"/>
              <w:rPr>
                <w:rFonts w:eastAsiaTheme="minorEastAsia"/>
                <w:noProof/>
              </w:rPr>
            </w:pPr>
            <w:r>
              <w:rPr>
                <w:noProof/>
              </w:rPr>
              <w:t>Cel</w:t>
            </w:r>
          </w:p>
        </w:tc>
        <w:tc>
          <w:tcPr>
            <w:tcW w:w="1417" w:type="dxa"/>
            <w:shd w:val="clear" w:color="auto" w:fill="C6EFCE"/>
            <w:vAlign w:val="center"/>
          </w:tcPr>
          <w:p w14:paraId="78C407DC" w14:textId="77777777" w:rsidR="004C6421" w:rsidRDefault="009D1962">
            <w:pPr>
              <w:pStyle w:val="P68B1DB1-Normal4"/>
              <w:jc w:val="center"/>
              <w:rPr>
                <w:rFonts w:eastAsiaTheme="minorEastAsia"/>
                <w:noProof/>
              </w:rPr>
            </w:pPr>
            <w:r>
              <w:rPr>
                <w:noProof/>
              </w:rPr>
              <w:t>Dodatkowe osoby leczone w domu (pierwsza partia)</w:t>
            </w:r>
          </w:p>
        </w:tc>
        <w:tc>
          <w:tcPr>
            <w:tcW w:w="1363" w:type="dxa"/>
            <w:shd w:val="clear" w:color="auto" w:fill="C6EFCE"/>
            <w:vAlign w:val="center"/>
          </w:tcPr>
          <w:p w14:paraId="136E7989" w14:textId="77777777" w:rsidR="004C6421" w:rsidRDefault="009D1962">
            <w:pPr>
              <w:pStyle w:val="P68B1DB1-Normal4"/>
              <w:jc w:val="center"/>
              <w:rPr>
                <w:rFonts w:eastAsiaTheme="minorEastAsia"/>
                <w:noProof/>
              </w:rPr>
            </w:pPr>
            <w:r>
              <w:rPr>
                <w:noProof/>
              </w:rPr>
              <w:t>NIE DOT.</w:t>
            </w:r>
          </w:p>
        </w:tc>
        <w:tc>
          <w:tcPr>
            <w:tcW w:w="948" w:type="dxa"/>
            <w:shd w:val="clear" w:color="auto" w:fill="C6EFCE"/>
            <w:vAlign w:val="center"/>
          </w:tcPr>
          <w:p w14:paraId="103944EE" w14:textId="77777777" w:rsidR="004C6421" w:rsidRDefault="009D1962">
            <w:pPr>
              <w:pStyle w:val="P68B1DB1-Normal4"/>
              <w:jc w:val="center"/>
              <w:rPr>
                <w:rFonts w:eastAsiaTheme="minorEastAsia"/>
                <w:noProof/>
              </w:rPr>
            </w:pPr>
            <w:r>
              <w:rPr>
                <w:noProof/>
              </w:rPr>
              <w:t>Numer</w:t>
            </w:r>
          </w:p>
        </w:tc>
        <w:tc>
          <w:tcPr>
            <w:tcW w:w="950" w:type="dxa"/>
            <w:shd w:val="clear" w:color="auto" w:fill="C6EFCE"/>
            <w:vAlign w:val="center"/>
          </w:tcPr>
          <w:p w14:paraId="00160EDE" w14:textId="77777777" w:rsidR="004C6421" w:rsidRDefault="009D1962">
            <w:pPr>
              <w:pStyle w:val="P68B1DB1-Normal4"/>
              <w:jc w:val="center"/>
              <w:rPr>
                <w:rFonts w:eastAsiaTheme="minorEastAsia"/>
                <w:noProof/>
              </w:rPr>
            </w:pPr>
            <w:r>
              <w:rPr>
                <w:noProof/>
              </w:rPr>
              <w:t>0</w:t>
            </w:r>
          </w:p>
        </w:tc>
        <w:tc>
          <w:tcPr>
            <w:tcW w:w="992" w:type="dxa"/>
            <w:shd w:val="clear" w:color="auto" w:fill="C6EFCE"/>
            <w:vAlign w:val="center"/>
          </w:tcPr>
          <w:p w14:paraId="69451B29" w14:textId="77777777" w:rsidR="004C6421" w:rsidRDefault="009D1962">
            <w:pPr>
              <w:pStyle w:val="P68B1DB1-Normal4"/>
              <w:jc w:val="center"/>
              <w:rPr>
                <w:rFonts w:eastAsiaTheme="minorEastAsia"/>
                <w:noProof/>
              </w:rPr>
            </w:pPr>
            <w:r>
              <w:rPr>
                <w:noProof/>
              </w:rPr>
              <w:t>842 000</w:t>
            </w:r>
          </w:p>
        </w:tc>
        <w:tc>
          <w:tcPr>
            <w:tcW w:w="992" w:type="dxa"/>
            <w:shd w:val="clear" w:color="auto" w:fill="C6EFCE"/>
            <w:vAlign w:val="center"/>
          </w:tcPr>
          <w:p w14:paraId="1B2FDCCC" w14:textId="77777777" w:rsidR="004C6421" w:rsidRDefault="009D1962">
            <w:pPr>
              <w:pStyle w:val="P68B1DB1-Normal4"/>
              <w:jc w:val="center"/>
              <w:rPr>
                <w:rFonts w:eastAsiaTheme="minorEastAsia"/>
                <w:noProof/>
              </w:rPr>
            </w:pPr>
            <w:r>
              <w:rPr>
                <w:noProof/>
              </w:rPr>
              <w:t>II KW.</w:t>
            </w:r>
          </w:p>
        </w:tc>
        <w:tc>
          <w:tcPr>
            <w:tcW w:w="709" w:type="dxa"/>
            <w:shd w:val="clear" w:color="auto" w:fill="C6EFCE"/>
            <w:vAlign w:val="center"/>
          </w:tcPr>
          <w:p w14:paraId="16364A9D" w14:textId="77777777" w:rsidR="004C6421" w:rsidRDefault="009D1962">
            <w:pPr>
              <w:pStyle w:val="P68B1DB1-Normal4"/>
              <w:jc w:val="center"/>
              <w:rPr>
                <w:rFonts w:eastAsiaTheme="minorEastAsia"/>
                <w:noProof/>
              </w:rPr>
            </w:pPr>
            <w:r>
              <w:rPr>
                <w:noProof/>
              </w:rPr>
              <w:t>2026</w:t>
            </w:r>
          </w:p>
        </w:tc>
        <w:tc>
          <w:tcPr>
            <w:tcW w:w="3634" w:type="dxa"/>
            <w:shd w:val="clear" w:color="auto" w:fill="C6EFCE"/>
            <w:vAlign w:val="center"/>
          </w:tcPr>
          <w:p w14:paraId="3BD92DF8" w14:textId="77777777" w:rsidR="004C6421" w:rsidRDefault="009D1962">
            <w:pPr>
              <w:pStyle w:val="P68B1DB1-Normal4"/>
              <w:rPr>
                <w:rFonts w:eastAsiaTheme="minorEastAsia"/>
                <w:noProof/>
              </w:rPr>
            </w:pPr>
            <w:r>
              <w:rPr>
                <w:noProof/>
              </w:rPr>
              <w:t>Zwiększenie liczby osób leczonych w domu do 10 % populacji w wieku powyżej 65 lat (szacunkowo 1,5 mln osób w 2026 r.). Aby osiągnąć ten cel, konieczne jest zwiększenie liczby osób w wieku powyżej 65 lat leczonych w opiece domowej o co najmniej 842000 w 2026 r. Zintegrowana opieka domowa to usługa dla osób w każdym wieku cierpiących na co najmniej jedną chorobę przewlekłą lub schorzenia kliniczne wymagające ciągłej i wysoce specjalistycznej profesjonalnej opieki zdrowotnej i społecznej.</w:t>
            </w:r>
          </w:p>
        </w:tc>
      </w:tr>
      <w:tr w:rsidR="004C6421" w14:paraId="623D5740" w14:textId="77777777">
        <w:trPr>
          <w:trHeight w:val="315"/>
        </w:trPr>
        <w:tc>
          <w:tcPr>
            <w:tcW w:w="1277" w:type="dxa"/>
            <w:shd w:val="clear" w:color="auto" w:fill="C6EFCE"/>
            <w:vAlign w:val="center"/>
          </w:tcPr>
          <w:p w14:paraId="502C0741" w14:textId="77777777" w:rsidR="004C6421" w:rsidRDefault="009D1962">
            <w:pPr>
              <w:pStyle w:val="P68B1DB1-Normal4"/>
              <w:jc w:val="center"/>
              <w:rPr>
                <w:rFonts w:eastAsiaTheme="minorEastAsia"/>
                <w:noProof/>
              </w:rPr>
            </w:pPr>
            <w:r>
              <w:rPr>
                <w:noProof/>
              </w:rPr>
              <w:t>M6C1-7</w:t>
            </w:r>
          </w:p>
        </w:tc>
        <w:tc>
          <w:tcPr>
            <w:tcW w:w="1701" w:type="dxa"/>
            <w:shd w:val="clear" w:color="auto" w:fill="C6EFCE"/>
            <w:vAlign w:val="center"/>
          </w:tcPr>
          <w:p w14:paraId="441F2167" w14:textId="77777777" w:rsidR="004C6421" w:rsidRDefault="009D1962">
            <w:pPr>
              <w:pStyle w:val="P68B1DB1-Normal4"/>
              <w:jc w:val="center"/>
              <w:rPr>
                <w:rFonts w:eastAsiaTheme="minorEastAsia"/>
                <w:noProof/>
              </w:rPr>
            </w:pPr>
            <w:r>
              <w:rPr>
                <w:noProof/>
              </w:rPr>
              <w:t>Inwestycje 1.2: Dom jako pierwsze miejsce opieki i telemedycyny</w:t>
            </w:r>
          </w:p>
        </w:tc>
        <w:tc>
          <w:tcPr>
            <w:tcW w:w="1134" w:type="dxa"/>
            <w:shd w:val="clear" w:color="auto" w:fill="C6EFCE"/>
            <w:vAlign w:val="center"/>
          </w:tcPr>
          <w:p w14:paraId="79514F9F" w14:textId="77777777" w:rsidR="004C6421" w:rsidRDefault="009D1962">
            <w:pPr>
              <w:pStyle w:val="P68B1DB1-Normal4"/>
              <w:jc w:val="center"/>
              <w:rPr>
                <w:rFonts w:eastAsiaTheme="minorEastAsia"/>
                <w:noProof/>
              </w:rPr>
            </w:pPr>
            <w:r>
              <w:rPr>
                <w:noProof/>
              </w:rPr>
              <w:t>Cel</w:t>
            </w:r>
          </w:p>
        </w:tc>
        <w:tc>
          <w:tcPr>
            <w:tcW w:w="1417" w:type="dxa"/>
            <w:shd w:val="clear" w:color="auto" w:fill="C6EFCE"/>
            <w:vAlign w:val="center"/>
          </w:tcPr>
          <w:p w14:paraId="3F68737C" w14:textId="77777777" w:rsidR="004C6421" w:rsidRDefault="009D1962">
            <w:pPr>
              <w:pStyle w:val="P68B1DB1-Normal4"/>
              <w:jc w:val="center"/>
              <w:rPr>
                <w:rFonts w:eastAsiaTheme="minorEastAsia"/>
                <w:noProof/>
              </w:rPr>
            </w:pPr>
            <w:r>
              <w:rPr>
                <w:noProof/>
              </w:rPr>
              <w:t>Centra koordynacyjne w pełni operacyjne (druga partia)</w:t>
            </w:r>
          </w:p>
        </w:tc>
        <w:tc>
          <w:tcPr>
            <w:tcW w:w="1363" w:type="dxa"/>
            <w:shd w:val="clear" w:color="auto" w:fill="C6EFCE"/>
            <w:vAlign w:val="center"/>
          </w:tcPr>
          <w:p w14:paraId="2523251B" w14:textId="77777777" w:rsidR="004C6421" w:rsidRDefault="009D1962">
            <w:pPr>
              <w:pStyle w:val="P68B1DB1-Normal4"/>
              <w:jc w:val="center"/>
              <w:rPr>
                <w:rFonts w:eastAsiaTheme="minorEastAsia"/>
                <w:noProof/>
              </w:rPr>
            </w:pPr>
            <w:r>
              <w:rPr>
                <w:noProof/>
              </w:rPr>
              <w:t>NIE DOT.</w:t>
            </w:r>
          </w:p>
        </w:tc>
        <w:tc>
          <w:tcPr>
            <w:tcW w:w="948" w:type="dxa"/>
            <w:shd w:val="clear" w:color="auto" w:fill="C6EFCE"/>
            <w:vAlign w:val="center"/>
          </w:tcPr>
          <w:p w14:paraId="5053341B" w14:textId="77777777" w:rsidR="004C6421" w:rsidRDefault="009D1962">
            <w:pPr>
              <w:pStyle w:val="P68B1DB1-Normal4"/>
              <w:jc w:val="center"/>
              <w:rPr>
                <w:rFonts w:eastAsiaTheme="minorEastAsia"/>
                <w:noProof/>
              </w:rPr>
            </w:pPr>
            <w:r>
              <w:rPr>
                <w:noProof/>
              </w:rPr>
              <w:t>Numer</w:t>
            </w:r>
          </w:p>
        </w:tc>
        <w:tc>
          <w:tcPr>
            <w:tcW w:w="950" w:type="dxa"/>
            <w:shd w:val="clear" w:color="auto" w:fill="C6EFCE"/>
            <w:vAlign w:val="center"/>
          </w:tcPr>
          <w:p w14:paraId="2302CB99" w14:textId="77777777" w:rsidR="004C6421" w:rsidRDefault="009D1962">
            <w:pPr>
              <w:pStyle w:val="P68B1DB1-Normal4"/>
              <w:jc w:val="center"/>
              <w:rPr>
                <w:rFonts w:eastAsiaTheme="minorEastAsia"/>
                <w:noProof/>
              </w:rPr>
            </w:pPr>
            <w:r>
              <w:rPr>
                <w:noProof/>
              </w:rPr>
              <w:t>0</w:t>
            </w:r>
          </w:p>
        </w:tc>
        <w:tc>
          <w:tcPr>
            <w:tcW w:w="992" w:type="dxa"/>
            <w:shd w:val="clear" w:color="auto" w:fill="C6EFCE"/>
            <w:vAlign w:val="center"/>
          </w:tcPr>
          <w:p w14:paraId="3D49739D" w14:textId="77777777" w:rsidR="004C6421" w:rsidRDefault="009D1962">
            <w:pPr>
              <w:pStyle w:val="P68B1DB1-Normal4"/>
              <w:jc w:val="center"/>
              <w:rPr>
                <w:rFonts w:eastAsiaTheme="minorEastAsia"/>
                <w:noProof/>
              </w:rPr>
            </w:pPr>
            <w:r>
              <w:rPr>
                <w:noProof/>
              </w:rPr>
              <w:t>480</w:t>
            </w:r>
          </w:p>
        </w:tc>
        <w:tc>
          <w:tcPr>
            <w:tcW w:w="992" w:type="dxa"/>
            <w:shd w:val="clear" w:color="auto" w:fill="C6EFCE"/>
            <w:vAlign w:val="center"/>
          </w:tcPr>
          <w:p w14:paraId="45E52F5E" w14:textId="5E3AEFB7" w:rsidR="004C6421" w:rsidRDefault="00CC179E">
            <w:pPr>
              <w:pStyle w:val="P68B1DB1-Normal4"/>
              <w:jc w:val="center"/>
              <w:rPr>
                <w:rFonts w:eastAsiaTheme="minorEastAsia"/>
                <w:noProof/>
              </w:rPr>
            </w:pPr>
            <w:r>
              <w:rPr>
                <w:noProof/>
              </w:rPr>
              <w:t>KW. 4</w:t>
            </w:r>
          </w:p>
        </w:tc>
        <w:tc>
          <w:tcPr>
            <w:tcW w:w="709" w:type="dxa"/>
            <w:shd w:val="clear" w:color="auto" w:fill="C6EFCE"/>
            <w:vAlign w:val="center"/>
          </w:tcPr>
          <w:p w14:paraId="0457011E" w14:textId="77777777" w:rsidR="004C6421" w:rsidRDefault="009D1962">
            <w:pPr>
              <w:pStyle w:val="P68B1DB1-Normal4"/>
              <w:jc w:val="center"/>
              <w:rPr>
                <w:rFonts w:eastAsiaTheme="minorEastAsia"/>
                <w:noProof/>
              </w:rPr>
            </w:pPr>
            <w:r>
              <w:rPr>
                <w:noProof/>
              </w:rPr>
              <w:t>2024</w:t>
            </w:r>
          </w:p>
        </w:tc>
        <w:tc>
          <w:tcPr>
            <w:tcW w:w="3634" w:type="dxa"/>
            <w:shd w:val="clear" w:color="auto" w:fill="C6EFCE"/>
            <w:vAlign w:val="center"/>
          </w:tcPr>
          <w:p w14:paraId="18D298D1" w14:textId="77777777" w:rsidR="004C6421" w:rsidRDefault="009D1962">
            <w:pPr>
              <w:pStyle w:val="P68B1DB1-Normal4"/>
              <w:rPr>
                <w:rFonts w:eastAsiaTheme="minorEastAsia"/>
                <w:noProof/>
              </w:rPr>
            </w:pPr>
            <w:r>
              <w:rPr>
                <w:noProof/>
              </w:rPr>
              <w:t>Kluczowym elementem tej interwencji jest uruchomienie co najmniej 480 terytorialnych centrów koordynacyjnych („Centrali Opera Territoriali”), których zadaniem jest koordynowanie i łączenie różnych usług opieki zdrowotnej na szczeblu terytorialnym, społecznym i szpitalnym, a także sieci ratownictwa medycznego w celu zapewnienia ciągłości, dostępności i integracji opieki.</w:t>
            </w:r>
          </w:p>
        </w:tc>
      </w:tr>
      <w:tr w:rsidR="004C6421" w14:paraId="590F294E" w14:textId="77777777">
        <w:trPr>
          <w:trHeight w:val="315"/>
        </w:trPr>
        <w:tc>
          <w:tcPr>
            <w:tcW w:w="1277" w:type="dxa"/>
            <w:shd w:val="clear" w:color="auto" w:fill="C6EFCE"/>
            <w:vAlign w:val="center"/>
          </w:tcPr>
          <w:p w14:paraId="66491D78" w14:textId="77777777" w:rsidR="004C6421" w:rsidRDefault="009D1962">
            <w:pPr>
              <w:pStyle w:val="P68B1DB1-Normal4"/>
              <w:jc w:val="center"/>
              <w:rPr>
                <w:rFonts w:eastAsiaTheme="minorEastAsia"/>
                <w:noProof/>
              </w:rPr>
            </w:pPr>
            <w:r>
              <w:rPr>
                <w:noProof/>
              </w:rPr>
              <w:t>M6C1-8</w:t>
            </w:r>
          </w:p>
        </w:tc>
        <w:tc>
          <w:tcPr>
            <w:tcW w:w="1701" w:type="dxa"/>
            <w:shd w:val="clear" w:color="auto" w:fill="C6EFCE"/>
            <w:vAlign w:val="center"/>
          </w:tcPr>
          <w:p w14:paraId="1DFC8207" w14:textId="77777777" w:rsidR="004C6421" w:rsidRDefault="009D1962">
            <w:pPr>
              <w:pStyle w:val="P68B1DB1-Normal4"/>
              <w:jc w:val="center"/>
              <w:rPr>
                <w:rFonts w:eastAsiaTheme="minorEastAsia"/>
                <w:noProof/>
              </w:rPr>
            </w:pPr>
            <w:r>
              <w:rPr>
                <w:noProof/>
              </w:rPr>
              <w:t>Inwestycje 1.2: Dom jako pierwsze miejsce opieki i telemedycyny</w:t>
            </w:r>
          </w:p>
        </w:tc>
        <w:tc>
          <w:tcPr>
            <w:tcW w:w="1134" w:type="dxa"/>
            <w:shd w:val="clear" w:color="auto" w:fill="C6EFCE"/>
            <w:vAlign w:val="center"/>
          </w:tcPr>
          <w:p w14:paraId="7B14FC90" w14:textId="77777777" w:rsidR="004C6421" w:rsidRDefault="009D1962">
            <w:pPr>
              <w:pStyle w:val="P68B1DB1-Normal4"/>
              <w:jc w:val="center"/>
              <w:rPr>
                <w:rFonts w:eastAsiaTheme="minorEastAsia"/>
                <w:noProof/>
              </w:rPr>
            </w:pPr>
            <w:r>
              <w:rPr>
                <w:noProof/>
              </w:rPr>
              <w:t>Cel</w:t>
            </w:r>
          </w:p>
        </w:tc>
        <w:tc>
          <w:tcPr>
            <w:tcW w:w="1417" w:type="dxa"/>
            <w:shd w:val="clear" w:color="auto" w:fill="C6EFCE"/>
            <w:vAlign w:val="center"/>
          </w:tcPr>
          <w:p w14:paraId="6F2A1F17" w14:textId="77777777" w:rsidR="004C6421" w:rsidRDefault="009D1962">
            <w:pPr>
              <w:pStyle w:val="P68B1DB1-Normal4"/>
              <w:jc w:val="center"/>
              <w:rPr>
                <w:rFonts w:eastAsiaTheme="minorEastAsia"/>
                <w:noProof/>
              </w:rPr>
            </w:pPr>
            <w:r>
              <w:rPr>
                <w:noProof/>
              </w:rPr>
              <w:t>Co najmniej jeden projekt telemedyczny przypisany do każdego regionu (z uwzględnieniem zarówno projektów, które będą realizowane w danym regionie, jak i projektów, które mogą być realizowane w ramach konsorcjów między regionami)</w:t>
            </w:r>
          </w:p>
        </w:tc>
        <w:tc>
          <w:tcPr>
            <w:tcW w:w="1363" w:type="dxa"/>
            <w:shd w:val="clear" w:color="auto" w:fill="C6EFCE"/>
            <w:vAlign w:val="center"/>
          </w:tcPr>
          <w:p w14:paraId="3DF79C15" w14:textId="77777777" w:rsidR="004C6421" w:rsidRDefault="009D1962">
            <w:pPr>
              <w:pStyle w:val="P68B1DB1-Normal4"/>
              <w:jc w:val="center"/>
              <w:rPr>
                <w:rFonts w:eastAsiaTheme="minorEastAsia"/>
                <w:noProof/>
              </w:rPr>
            </w:pPr>
            <w:r>
              <w:rPr>
                <w:noProof/>
              </w:rPr>
              <w:t>NIE DOT.</w:t>
            </w:r>
          </w:p>
        </w:tc>
        <w:tc>
          <w:tcPr>
            <w:tcW w:w="948" w:type="dxa"/>
            <w:shd w:val="clear" w:color="auto" w:fill="C6EFCE"/>
            <w:vAlign w:val="center"/>
          </w:tcPr>
          <w:p w14:paraId="5F2BACAA" w14:textId="77777777" w:rsidR="004C6421" w:rsidRDefault="009D1962">
            <w:pPr>
              <w:pStyle w:val="P68B1DB1-Normal4"/>
              <w:jc w:val="center"/>
              <w:rPr>
                <w:rFonts w:eastAsiaTheme="minorEastAsia"/>
                <w:noProof/>
              </w:rPr>
            </w:pPr>
            <w:r>
              <w:rPr>
                <w:noProof/>
              </w:rPr>
              <w:t>Numer</w:t>
            </w:r>
          </w:p>
        </w:tc>
        <w:tc>
          <w:tcPr>
            <w:tcW w:w="950" w:type="dxa"/>
            <w:shd w:val="clear" w:color="auto" w:fill="C6EFCE"/>
            <w:vAlign w:val="center"/>
          </w:tcPr>
          <w:p w14:paraId="298BEA33" w14:textId="77777777" w:rsidR="004C6421" w:rsidRDefault="009D1962">
            <w:pPr>
              <w:pStyle w:val="P68B1DB1-Normal4"/>
              <w:jc w:val="center"/>
              <w:rPr>
                <w:rFonts w:eastAsiaTheme="minorEastAsia"/>
                <w:noProof/>
              </w:rPr>
            </w:pPr>
            <w:r>
              <w:rPr>
                <w:noProof/>
              </w:rPr>
              <w:t>0</w:t>
            </w:r>
          </w:p>
        </w:tc>
        <w:tc>
          <w:tcPr>
            <w:tcW w:w="992" w:type="dxa"/>
            <w:shd w:val="clear" w:color="auto" w:fill="C6EFCE"/>
            <w:vAlign w:val="center"/>
          </w:tcPr>
          <w:p w14:paraId="77A46457" w14:textId="77777777" w:rsidR="004C6421" w:rsidRDefault="009D1962">
            <w:pPr>
              <w:pStyle w:val="P68B1DB1-Normal4"/>
              <w:jc w:val="center"/>
              <w:rPr>
                <w:rFonts w:eastAsiaTheme="minorEastAsia"/>
                <w:noProof/>
              </w:rPr>
            </w:pPr>
            <w:r>
              <w:rPr>
                <w:noProof/>
              </w:rPr>
              <w:t>20</w:t>
            </w:r>
          </w:p>
        </w:tc>
        <w:tc>
          <w:tcPr>
            <w:tcW w:w="992" w:type="dxa"/>
            <w:shd w:val="clear" w:color="auto" w:fill="C6EFCE"/>
            <w:vAlign w:val="center"/>
          </w:tcPr>
          <w:p w14:paraId="78AA582F" w14:textId="160B2A2E" w:rsidR="004C6421" w:rsidRDefault="00CC179E">
            <w:pPr>
              <w:pStyle w:val="P68B1DB1-Normal4"/>
              <w:jc w:val="center"/>
              <w:rPr>
                <w:rFonts w:eastAsiaTheme="minorEastAsia"/>
                <w:noProof/>
              </w:rPr>
            </w:pPr>
            <w:r>
              <w:rPr>
                <w:noProof/>
              </w:rPr>
              <w:t>KW. 4</w:t>
            </w:r>
          </w:p>
        </w:tc>
        <w:tc>
          <w:tcPr>
            <w:tcW w:w="709" w:type="dxa"/>
            <w:shd w:val="clear" w:color="auto" w:fill="C6EFCE"/>
            <w:vAlign w:val="center"/>
          </w:tcPr>
          <w:p w14:paraId="3A060992" w14:textId="77777777" w:rsidR="004C6421" w:rsidRDefault="009D1962">
            <w:pPr>
              <w:pStyle w:val="P68B1DB1-Normal4"/>
              <w:jc w:val="center"/>
              <w:rPr>
                <w:rFonts w:eastAsiaTheme="minorEastAsia"/>
                <w:noProof/>
              </w:rPr>
            </w:pPr>
            <w:r>
              <w:rPr>
                <w:noProof/>
              </w:rPr>
              <w:t>2023</w:t>
            </w:r>
          </w:p>
        </w:tc>
        <w:tc>
          <w:tcPr>
            <w:tcW w:w="3634" w:type="dxa"/>
            <w:shd w:val="clear" w:color="auto" w:fill="C6EFCE"/>
            <w:vAlign w:val="center"/>
          </w:tcPr>
          <w:p w14:paraId="14AA01AE" w14:textId="77777777" w:rsidR="004C6421" w:rsidRDefault="009D1962">
            <w:pPr>
              <w:pStyle w:val="P68B1DB1-Normal4"/>
              <w:rPr>
                <w:rFonts w:eastAsiaTheme="minorEastAsia"/>
                <w:noProof/>
              </w:rPr>
            </w:pPr>
            <w:r>
              <w:rPr>
                <w:noProof/>
              </w:rPr>
              <w:t>Krajowa strategia w dziedzinie telemedycyny promuje i finansuje opracowywanie i zwiększanie skali nowych projektów i rozwiązań w dziedzinie telemedycyny w ramach regionalnych systemów opieki zdrowotnej i jako taka stanowi kluczowy (technologiczny) czynnik umożliwiający wdrożenie wzmocnionego podejścia do opieki zdalnej w dziedzinie zdrowia, ze szczególnym uwzględnieniem pacjentów przewlekłych.</w:t>
            </w:r>
          </w:p>
        </w:tc>
      </w:tr>
      <w:tr w:rsidR="004C6421" w14:paraId="6F406D2A" w14:textId="77777777">
        <w:trPr>
          <w:trHeight w:val="315"/>
        </w:trPr>
        <w:tc>
          <w:tcPr>
            <w:tcW w:w="1277" w:type="dxa"/>
            <w:shd w:val="clear" w:color="auto" w:fill="C6EFCE"/>
            <w:vAlign w:val="center"/>
          </w:tcPr>
          <w:p w14:paraId="35B07EE9" w14:textId="77777777" w:rsidR="004C6421" w:rsidRDefault="009D1962">
            <w:pPr>
              <w:pStyle w:val="P68B1DB1-Normal4"/>
              <w:jc w:val="center"/>
              <w:rPr>
                <w:rFonts w:eastAsiaTheme="minorEastAsia"/>
                <w:noProof/>
              </w:rPr>
            </w:pPr>
            <w:r>
              <w:rPr>
                <w:noProof/>
              </w:rPr>
              <w:t>M6C1-9</w:t>
            </w:r>
          </w:p>
        </w:tc>
        <w:tc>
          <w:tcPr>
            <w:tcW w:w="1701" w:type="dxa"/>
            <w:shd w:val="clear" w:color="auto" w:fill="C6EFCE"/>
            <w:vAlign w:val="center"/>
          </w:tcPr>
          <w:p w14:paraId="4F0187DC" w14:textId="77777777" w:rsidR="004C6421" w:rsidRDefault="009D1962">
            <w:pPr>
              <w:pStyle w:val="P68B1DB1-Normal4"/>
              <w:jc w:val="center"/>
              <w:rPr>
                <w:rFonts w:eastAsiaTheme="minorEastAsia"/>
                <w:noProof/>
              </w:rPr>
            </w:pPr>
            <w:r>
              <w:rPr>
                <w:noProof/>
              </w:rPr>
              <w:t>Inwestycje 1.2: Dom jako pierwsze miejsce opieki i telemedycyny</w:t>
            </w:r>
          </w:p>
        </w:tc>
        <w:tc>
          <w:tcPr>
            <w:tcW w:w="1134" w:type="dxa"/>
            <w:shd w:val="clear" w:color="auto" w:fill="C6EFCE"/>
            <w:vAlign w:val="center"/>
          </w:tcPr>
          <w:p w14:paraId="08C5ED40" w14:textId="77777777" w:rsidR="004C6421" w:rsidRDefault="009D1962">
            <w:pPr>
              <w:pStyle w:val="P68B1DB1-Normal4"/>
              <w:jc w:val="center"/>
              <w:rPr>
                <w:rFonts w:eastAsiaTheme="minorEastAsia"/>
                <w:noProof/>
              </w:rPr>
            </w:pPr>
            <w:r>
              <w:rPr>
                <w:noProof/>
              </w:rPr>
              <w:t>Cel</w:t>
            </w:r>
          </w:p>
        </w:tc>
        <w:tc>
          <w:tcPr>
            <w:tcW w:w="1417" w:type="dxa"/>
            <w:shd w:val="clear" w:color="auto" w:fill="C6EFCE"/>
            <w:vAlign w:val="center"/>
          </w:tcPr>
          <w:p w14:paraId="2C2B5A10" w14:textId="77777777" w:rsidR="004C6421" w:rsidRDefault="009D1962">
            <w:pPr>
              <w:pStyle w:val="P68B1DB1-Normal4"/>
              <w:jc w:val="center"/>
              <w:rPr>
                <w:rFonts w:eastAsiaTheme="minorEastAsia"/>
                <w:noProof/>
              </w:rPr>
            </w:pPr>
            <w:r>
              <w:rPr>
                <w:noProof/>
              </w:rPr>
              <w:t>Liczba osób wspomaganych narzędziami telemedycyny (trzecia partia)</w:t>
            </w:r>
          </w:p>
        </w:tc>
        <w:tc>
          <w:tcPr>
            <w:tcW w:w="1363" w:type="dxa"/>
            <w:shd w:val="clear" w:color="auto" w:fill="C6EFCE"/>
            <w:vAlign w:val="center"/>
          </w:tcPr>
          <w:p w14:paraId="162AD8EE" w14:textId="77777777" w:rsidR="004C6421" w:rsidRDefault="009D1962">
            <w:pPr>
              <w:pStyle w:val="P68B1DB1-Normal4"/>
              <w:jc w:val="center"/>
              <w:rPr>
                <w:rFonts w:eastAsiaTheme="minorEastAsia"/>
                <w:noProof/>
              </w:rPr>
            </w:pPr>
            <w:r>
              <w:rPr>
                <w:noProof/>
              </w:rPr>
              <w:t>NIE DOT.</w:t>
            </w:r>
          </w:p>
        </w:tc>
        <w:tc>
          <w:tcPr>
            <w:tcW w:w="948" w:type="dxa"/>
            <w:shd w:val="clear" w:color="auto" w:fill="C6EFCE"/>
            <w:vAlign w:val="center"/>
          </w:tcPr>
          <w:p w14:paraId="04D0D005" w14:textId="77777777" w:rsidR="004C6421" w:rsidRDefault="009D1962">
            <w:pPr>
              <w:pStyle w:val="P68B1DB1-Normal4"/>
              <w:jc w:val="center"/>
              <w:rPr>
                <w:rFonts w:eastAsiaTheme="minorEastAsia"/>
                <w:noProof/>
              </w:rPr>
            </w:pPr>
            <w:r>
              <w:rPr>
                <w:noProof/>
              </w:rPr>
              <w:t>Numer</w:t>
            </w:r>
          </w:p>
        </w:tc>
        <w:tc>
          <w:tcPr>
            <w:tcW w:w="950" w:type="dxa"/>
            <w:shd w:val="clear" w:color="auto" w:fill="C6EFCE"/>
            <w:vAlign w:val="center"/>
          </w:tcPr>
          <w:p w14:paraId="59C91413" w14:textId="77777777" w:rsidR="004C6421" w:rsidRDefault="009D1962">
            <w:pPr>
              <w:pStyle w:val="P68B1DB1-Normal4"/>
              <w:jc w:val="center"/>
              <w:rPr>
                <w:rFonts w:eastAsiaTheme="minorEastAsia"/>
                <w:noProof/>
              </w:rPr>
            </w:pPr>
            <w:r>
              <w:rPr>
                <w:noProof/>
              </w:rPr>
              <w:t>0</w:t>
            </w:r>
          </w:p>
        </w:tc>
        <w:tc>
          <w:tcPr>
            <w:tcW w:w="992" w:type="dxa"/>
            <w:shd w:val="clear" w:color="auto" w:fill="C6EFCE"/>
            <w:vAlign w:val="center"/>
          </w:tcPr>
          <w:p w14:paraId="121408F4" w14:textId="77777777" w:rsidR="004C6421" w:rsidRDefault="009D1962">
            <w:pPr>
              <w:pStyle w:val="P68B1DB1-Normal4"/>
              <w:jc w:val="center"/>
              <w:rPr>
                <w:rFonts w:eastAsiaTheme="minorEastAsia"/>
                <w:noProof/>
              </w:rPr>
            </w:pPr>
            <w:r>
              <w:rPr>
                <w:noProof/>
              </w:rPr>
              <w:t>300 000</w:t>
            </w:r>
          </w:p>
        </w:tc>
        <w:tc>
          <w:tcPr>
            <w:tcW w:w="992" w:type="dxa"/>
            <w:shd w:val="clear" w:color="auto" w:fill="C6EFCE"/>
            <w:vAlign w:val="center"/>
          </w:tcPr>
          <w:p w14:paraId="25A82945" w14:textId="455DF35D" w:rsidR="004C6421" w:rsidRDefault="00CC179E">
            <w:pPr>
              <w:pStyle w:val="P68B1DB1-Normal4"/>
              <w:jc w:val="center"/>
              <w:rPr>
                <w:rFonts w:eastAsiaTheme="minorEastAsia"/>
                <w:noProof/>
              </w:rPr>
            </w:pPr>
            <w:r>
              <w:rPr>
                <w:noProof/>
              </w:rPr>
              <w:t>KW. 4</w:t>
            </w:r>
          </w:p>
        </w:tc>
        <w:tc>
          <w:tcPr>
            <w:tcW w:w="709" w:type="dxa"/>
            <w:shd w:val="clear" w:color="auto" w:fill="C6EFCE"/>
            <w:vAlign w:val="center"/>
          </w:tcPr>
          <w:p w14:paraId="3F44117C" w14:textId="77777777" w:rsidR="004C6421" w:rsidRDefault="009D1962">
            <w:pPr>
              <w:pStyle w:val="P68B1DB1-Normal4"/>
              <w:jc w:val="center"/>
              <w:rPr>
                <w:rFonts w:eastAsiaTheme="minorEastAsia"/>
                <w:noProof/>
              </w:rPr>
            </w:pPr>
            <w:r>
              <w:rPr>
                <w:noProof/>
              </w:rPr>
              <w:t>2025</w:t>
            </w:r>
          </w:p>
        </w:tc>
        <w:tc>
          <w:tcPr>
            <w:tcW w:w="3634" w:type="dxa"/>
            <w:shd w:val="clear" w:color="auto" w:fill="C6EFCE"/>
            <w:vAlign w:val="center"/>
          </w:tcPr>
          <w:p w14:paraId="315F9E96" w14:textId="77777777" w:rsidR="004C6421" w:rsidRDefault="009D1962">
            <w:pPr>
              <w:pStyle w:val="P68B1DB1-Normal4"/>
              <w:rPr>
                <w:rFonts w:eastAsiaTheme="minorEastAsia"/>
                <w:noProof/>
              </w:rPr>
            </w:pPr>
            <w:r>
              <w:rPr>
                <w:noProof/>
              </w:rPr>
              <w:t>Co najmniej 300000 osób wspomaganych narzędziami telemedycyny.</w:t>
            </w:r>
          </w:p>
          <w:p w14:paraId="3C53A07B" w14:textId="77777777" w:rsidR="004C6421" w:rsidRDefault="009D1962">
            <w:pPr>
              <w:pStyle w:val="P68B1DB1-Normal4"/>
              <w:rPr>
                <w:rFonts w:eastAsiaTheme="minorEastAsia"/>
                <w:noProof/>
              </w:rPr>
            </w:pPr>
            <w:r>
              <w:rPr>
                <w:noProof/>
              </w:rPr>
              <w:t>Interwencja obejmuje finansowanie doraźnych inicjatyw badawczych w zakresie technologii cyfrowych w dziedzinie zdrowia i opieki.</w:t>
            </w:r>
          </w:p>
        </w:tc>
      </w:tr>
      <w:tr w:rsidR="004C6421" w14:paraId="416866FD" w14:textId="77777777">
        <w:trPr>
          <w:trHeight w:val="315"/>
        </w:trPr>
        <w:tc>
          <w:tcPr>
            <w:tcW w:w="1277" w:type="dxa"/>
            <w:shd w:val="clear" w:color="auto" w:fill="C6EFCE"/>
            <w:vAlign w:val="center"/>
          </w:tcPr>
          <w:p w14:paraId="15A8E656" w14:textId="77777777" w:rsidR="004C6421" w:rsidRDefault="009D1962">
            <w:pPr>
              <w:pStyle w:val="P68B1DB1-Normal4"/>
              <w:jc w:val="center"/>
              <w:rPr>
                <w:rFonts w:eastAsiaTheme="minorEastAsia"/>
                <w:noProof/>
              </w:rPr>
            </w:pPr>
            <w:r>
              <w:rPr>
                <w:noProof/>
              </w:rPr>
              <w:t>M6C1-10</w:t>
            </w:r>
          </w:p>
        </w:tc>
        <w:tc>
          <w:tcPr>
            <w:tcW w:w="1701" w:type="dxa"/>
            <w:shd w:val="clear" w:color="auto" w:fill="C6EFCE"/>
            <w:vAlign w:val="center"/>
          </w:tcPr>
          <w:p w14:paraId="0B99314F" w14:textId="77777777" w:rsidR="004C6421" w:rsidRDefault="009D1962">
            <w:pPr>
              <w:pStyle w:val="P68B1DB1-Normal4"/>
              <w:jc w:val="center"/>
              <w:rPr>
                <w:rFonts w:eastAsiaTheme="minorEastAsia"/>
                <w:noProof/>
              </w:rPr>
            </w:pPr>
            <w:r>
              <w:rPr>
                <w:noProof/>
              </w:rPr>
              <w:t>Inwestycja 1.3: Wzmocnienie pośredniej opieki zdrowotnej i jej placówek (szpitale społecznościowe)</w:t>
            </w:r>
          </w:p>
        </w:tc>
        <w:tc>
          <w:tcPr>
            <w:tcW w:w="1134" w:type="dxa"/>
            <w:shd w:val="clear" w:color="auto" w:fill="C6EFCE"/>
            <w:vAlign w:val="center"/>
          </w:tcPr>
          <w:p w14:paraId="0F0562CB" w14:textId="404E09A8" w:rsidR="004C6421" w:rsidRDefault="00CC179E">
            <w:pPr>
              <w:pStyle w:val="P68B1DB1-Normal4"/>
              <w:jc w:val="center"/>
              <w:rPr>
                <w:rFonts w:eastAsiaTheme="minorEastAsia"/>
                <w:noProof/>
              </w:rPr>
            </w:pPr>
            <w:r>
              <w:rPr>
                <w:noProof/>
              </w:rPr>
              <w:t>Milowy</w:t>
            </w:r>
          </w:p>
        </w:tc>
        <w:tc>
          <w:tcPr>
            <w:tcW w:w="1417" w:type="dxa"/>
            <w:shd w:val="clear" w:color="auto" w:fill="C6EFCE"/>
            <w:vAlign w:val="center"/>
          </w:tcPr>
          <w:p w14:paraId="5CABB6F9" w14:textId="77777777" w:rsidR="004C6421" w:rsidRDefault="009D1962">
            <w:pPr>
              <w:pStyle w:val="P68B1DB1-Normal4"/>
              <w:jc w:val="center"/>
              <w:rPr>
                <w:rFonts w:eastAsiaTheme="minorEastAsia"/>
                <w:noProof/>
              </w:rPr>
            </w:pPr>
            <w:r>
              <w:rPr>
                <w:noProof/>
              </w:rPr>
              <w:t>Zatwierdzenie umowy o rozwój instytucjonalny (Contratto Istituzionale di Sviluppo)</w:t>
            </w:r>
          </w:p>
        </w:tc>
        <w:tc>
          <w:tcPr>
            <w:tcW w:w="1363" w:type="dxa"/>
            <w:shd w:val="clear" w:color="auto" w:fill="C6EFCE"/>
            <w:vAlign w:val="center"/>
          </w:tcPr>
          <w:p w14:paraId="42975542" w14:textId="77777777" w:rsidR="004C6421" w:rsidRDefault="009D1962">
            <w:pPr>
              <w:pStyle w:val="P68B1DB1-Normal4"/>
              <w:jc w:val="center"/>
              <w:rPr>
                <w:rFonts w:eastAsiaTheme="minorEastAsia"/>
                <w:noProof/>
              </w:rPr>
            </w:pPr>
            <w:r>
              <w:rPr>
                <w:noProof/>
              </w:rPr>
              <w:t>Powiadomienie o zatwierdzeniu umowy dotyczącej rozwoju instytucjonalnego</w:t>
            </w:r>
          </w:p>
        </w:tc>
        <w:tc>
          <w:tcPr>
            <w:tcW w:w="948" w:type="dxa"/>
            <w:shd w:val="clear" w:color="auto" w:fill="C6EFCE"/>
            <w:vAlign w:val="center"/>
          </w:tcPr>
          <w:p w14:paraId="42AEA6E8" w14:textId="77777777" w:rsidR="004C6421" w:rsidRDefault="009D1962">
            <w:pPr>
              <w:pStyle w:val="P68B1DB1-Normal4"/>
              <w:jc w:val="center"/>
              <w:rPr>
                <w:rFonts w:eastAsiaTheme="minorEastAsia"/>
                <w:noProof/>
              </w:rPr>
            </w:pPr>
            <w:r>
              <w:rPr>
                <w:noProof/>
              </w:rPr>
              <w:t>NIE DOT.</w:t>
            </w:r>
          </w:p>
        </w:tc>
        <w:tc>
          <w:tcPr>
            <w:tcW w:w="950" w:type="dxa"/>
            <w:shd w:val="clear" w:color="auto" w:fill="C6EFCE"/>
            <w:vAlign w:val="center"/>
          </w:tcPr>
          <w:p w14:paraId="4145FBA1" w14:textId="77777777" w:rsidR="004C6421" w:rsidRDefault="009D1962">
            <w:pPr>
              <w:pStyle w:val="P68B1DB1-Normal4"/>
              <w:jc w:val="center"/>
              <w:rPr>
                <w:rFonts w:eastAsiaTheme="minorEastAsia"/>
                <w:noProof/>
              </w:rPr>
            </w:pPr>
            <w:r>
              <w:rPr>
                <w:noProof/>
              </w:rPr>
              <w:t>NIE DOT.</w:t>
            </w:r>
          </w:p>
        </w:tc>
        <w:tc>
          <w:tcPr>
            <w:tcW w:w="992" w:type="dxa"/>
            <w:shd w:val="clear" w:color="auto" w:fill="C6EFCE"/>
            <w:vAlign w:val="center"/>
          </w:tcPr>
          <w:p w14:paraId="34D3382A" w14:textId="77777777" w:rsidR="004C6421" w:rsidRDefault="009D1962">
            <w:pPr>
              <w:pStyle w:val="P68B1DB1-Normal4"/>
              <w:jc w:val="center"/>
              <w:rPr>
                <w:rFonts w:eastAsiaTheme="minorEastAsia"/>
                <w:noProof/>
              </w:rPr>
            </w:pPr>
            <w:r>
              <w:rPr>
                <w:noProof/>
              </w:rPr>
              <w:t>NIE DOT.</w:t>
            </w:r>
          </w:p>
        </w:tc>
        <w:tc>
          <w:tcPr>
            <w:tcW w:w="992" w:type="dxa"/>
            <w:shd w:val="clear" w:color="auto" w:fill="C6EFCE"/>
            <w:vAlign w:val="center"/>
          </w:tcPr>
          <w:p w14:paraId="261E7395" w14:textId="77777777" w:rsidR="004C6421" w:rsidRDefault="009D1962">
            <w:pPr>
              <w:pStyle w:val="P68B1DB1-Normal4"/>
              <w:jc w:val="center"/>
              <w:rPr>
                <w:rFonts w:eastAsiaTheme="minorEastAsia"/>
                <w:noProof/>
              </w:rPr>
            </w:pPr>
            <w:r>
              <w:rPr>
                <w:noProof/>
              </w:rPr>
              <w:t>II KW.</w:t>
            </w:r>
          </w:p>
        </w:tc>
        <w:tc>
          <w:tcPr>
            <w:tcW w:w="709" w:type="dxa"/>
            <w:shd w:val="clear" w:color="auto" w:fill="C6EFCE"/>
            <w:vAlign w:val="center"/>
          </w:tcPr>
          <w:p w14:paraId="7944EA2D" w14:textId="77777777" w:rsidR="004C6421" w:rsidRDefault="009D1962">
            <w:pPr>
              <w:pStyle w:val="P68B1DB1-Normal4"/>
              <w:jc w:val="center"/>
              <w:rPr>
                <w:rFonts w:eastAsiaTheme="minorEastAsia"/>
                <w:noProof/>
              </w:rPr>
            </w:pPr>
            <w:r>
              <w:rPr>
                <w:noProof/>
              </w:rPr>
              <w:t>2022</w:t>
            </w:r>
          </w:p>
        </w:tc>
        <w:tc>
          <w:tcPr>
            <w:tcW w:w="3634" w:type="dxa"/>
            <w:shd w:val="clear" w:color="auto" w:fill="C6EFCE"/>
            <w:vAlign w:val="center"/>
          </w:tcPr>
          <w:p w14:paraId="63D8B263" w14:textId="77777777" w:rsidR="004C6421" w:rsidRDefault="009D1962">
            <w:pPr>
              <w:pStyle w:val="P68B1DB1-Normal4"/>
              <w:rPr>
                <w:rFonts w:eastAsiaTheme="minorEastAsia"/>
                <w:noProof/>
              </w:rPr>
            </w:pPr>
            <w:r>
              <w:rPr>
                <w:noProof/>
              </w:rPr>
              <w:t>Zatwierdzenie umowy na rzecz rozwoju instytucjonalnego (Contratto Istituzionale di Sviluppo) z włoskim Ministerstwem Zdrowia jako organem odpowiedzialnym i wykonawczym oraz z udziałem administracji regionalnych wraz z innymi zainteresowanymi podmiotami w odniesieniu do szpitali wspólnotowych.</w:t>
            </w:r>
          </w:p>
          <w:p w14:paraId="0B406B7E" w14:textId="77777777" w:rsidR="004C6421" w:rsidRDefault="009D1962">
            <w:pPr>
              <w:pStyle w:val="P68B1DB1-Normal4"/>
              <w:rPr>
                <w:rFonts w:eastAsiaTheme="minorEastAsia"/>
                <w:noProof/>
              </w:rPr>
            </w:pPr>
            <w:r>
              <w:rPr>
                <w:noProof/>
              </w:rPr>
              <w:t>Umowa o rozwój instytucjonalny zawiera wykaz wszystkich odpowiednich miejsc wskazanych dla inwestycji, jak również zobowiązań, które każdy region przyjmuje w celu zagwarantowania osiągnięcia zamierzonego rezultatu. W przypadku naruszenia przepisów przez jakikolwiek region Ministerstwo Zdrowia przystępuje do komisarza „ad acta”. W odniesieniu do parku technologicznego obiektów, tj. wszystkich narzędzi, licencji i połączeń międzysystemowych, pierwszeństwo mają metody udzielania zamówień zbiorczych.</w:t>
            </w:r>
          </w:p>
        </w:tc>
      </w:tr>
      <w:tr w:rsidR="004C6421" w14:paraId="18F43A4C" w14:textId="77777777">
        <w:trPr>
          <w:trHeight w:val="315"/>
        </w:trPr>
        <w:tc>
          <w:tcPr>
            <w:tcW w:w="1277" w:type="dxa"/>
            <w:shd w:val="clear" w:color="auto" w:fill="C6EFCE"/>
            <w:vAlign w:val="center"/>
          </w:tcPr>
          <w:p w14:paraId="5D43C3D0" w14:textId="77777777" w:rsidR="004C6421" w:rsidRDefault="009D1962">
            <w:pPr>
              <w:pStyle w:val="P68B1DB1-Normal4"/>
              <w:jc w:val="center"/>
              <w:rPr>
                <w:rFonts w:eastAsiaTheme="minorEastAsia"/>
                <w:noProof/>
              </w:rPr>
            </w:pPr>
            <w:r>
              <w:rPr>
                <w:noProof/>
              </w:rPr>
              <w:t>M6C1-11</w:t>
            </w:r>
          </w:p>
        </w:tc>
        <w:tc>
          <w:tcPr>
            <w:tcW w:w="1701" w:type="dxa"/>
            <w:shd w:val="clear" w:color="auto" w:fill="C6EFCE"/>
            <w:vAlign w:val="center"/>
          </w:tcPr>
          <w:p w14:paraId="0BBBDC7B" w14:textId="77777777" w:rsidR="004C6421" w:rsidRDefault="009D1962">
            <w:pPr>
              <w:pStyle w:val="P68B1DB1-Normal4"/>
              <w:jc w:val="center"/>
              <w:rPr>
                <w:rFonts w:eastAsiaTheme="minorEastAsia"/>
                <w:noProof/>
              </w:rPr>
            </w:pPr>
            <w:r>
              <w:rPr>
                <w:noProof/>
              </w:rPr>
              <w:t>Inwestycja 1.3: Wzmocnienie pośredniej opieki zdrowotnej i jej placówek (szpitale społecznościowe)</w:t>
            </w:r>
          </w:p>
        </w:tc>
        <w:tc>
          <w:tcPr>
            <w:tcW w:w="1134" w:type="dxa"/>
            <w:shd w:val="clear" w:color="auto" w:fill="C6EFCE"/>
            <w:vAlign w:val="center"/>
          </w:tcPr>
          <w:p w14:paraId="41060CF6" w14:textId="77777777" w:rsidR="004C6421" w:rsidRDefault="009D1962">
            <w:pPr>
              <w:pStyle w:val="P68B1DB1-Normal4"/>
              <w:jc w:val="center"/>
              <w:rPr>
                <w:rFonts w:eastAsiaTheme="minorEastAsia"/>
                <w:noProof/>
              </w:rPr>
            </w:pPr>
            <w:r>
              <w:rPr>
                <w:noProof/>
              </w:rPr>
              <w:t>Cel</w:t>
            </w:r>
          </w:p>
        </w:tc>
        <w:tc>
          <w:tcPr>
            <w:tcW w:w="1417" w:type="dxa"/>
            <w:shd w:val="clear" w:color="auto" w:fill="C6EFCE"/>
            <w:vAlign w:val="center"/>
          </w:tcPr>
          <w:p w14:paraId="202C0EA3" w14:textId="77777777" w:rsidR="004C6421" w:rsidRDefault="009D1962">
            <w:pPr>
              <w:pStyle w:val="P68B1DB1-Normal4"/>
              <w:jc w:val="center"/>
              <w:rPr>
                <w:rFonts w:eastAsiaTheme="minorEastAsia"/>
                <w:noProof/>
              </w:rPr>
            </w:pPr>
            <w:r>
              <w:rPr>
                <w:noProof/>
              </w:rPr>
              <w:t>Szpitale społecznościowe odnowione, połączone ze sobą i wyposażone technologicznie (pierwsza partia)</w:t>
            </w:r>
          </w:p>
        </w:tc>
        <w:tc>
          <w:tcPr>
            <w:tcW w:w="1363" w:type="dxa"/>
            <w:shd w:val="clear" w:color="auto" w:fill="C6EFCE"/>
            <w:vAlign w:val="center"/>
          </w:tcPr>
          <w:p w14:paraId="553A51D0" w14:textId="77777777" w:rsidR="004C6421" w:rsidRDefault="009D1962">
            <w:pPr>
              <w:pStyle w:val="P68B1DB1-Normal4"/>
              <w:jc w:val="center"/>
              <w:rPr>
                <w:rFonts w:eastAsiaTheme="minorEastAsia"/>
                <w:noProof/>
              </w:rPr>
            </w:pPr>
            <w:r>
              <w:rPr>
                <w:noProof/>
              </w:rPr>
              <w:t>NIE DOT.</w:t>
            </w:r>
          </w:p>
        </w:tc>
        <w:tc>
          <w:tcPr>
            <w:tcW w:w="948" w:type="dxa"/>
            <w:shd w:val="clear" w:color="auto" w:fill="C6EFCE"/>
            <w:vAlign w:val="center"/>
          </w:tcPr>
          <w:p w14:paraId="39618728" w14:textId="77777777" w:rsidR="004C6421" w:rsidRDefault="009D1962">
            <w:pPr>
              <w:pStyle w:val="P68B1DB1-Normal4"/>
              <w:jc w:val="center"/>
              <w:rPr>
                <w:rFonts w:eastAsiaTheme="minorEastAsia"/>
                <w:noProof/>
              </w:rPr>
            </w:pPr>
            <w:r>
              <w:rPr>
                <w:noProof/>
              </w:rPr>
              <w:t>Numer</w:t>
            </w:r>
          </w:p>
        </w:tc>
        <w:tc>
          <w:tcPr>
            <w:tcW w:w="950" w:type="dxa"/>
            <w:shd w:val="clear" w:color="auto" w:fill="C6EFCE"/>
            <w:vAlign w:val="center"/>
          </w:tcPr>
          <w:p w14:paraId="6D8AE744" w14:textId="77777777" w:rsidR="004C6421" w:rsidRDefault="009D1962">
            <w:pPr>
              <w:pStyle w:val="P68B1DB1-Normal4"/>
              <w:jc w:val="center"/>
              <w:rPr>
                <w:rFonts w:eastAsiaTheme="minorEastAsia"/>
                <w:noProof/>
              </w:rPr>
            </w:pPr>
            <w:r>
              <w:rPr>
                <w:noProof/>
              </w:rPr>
              <w:t>0</w:t>
            </w:r>
          </w:p>
        </w:tc>
        <w:tc>
          <w:tcPr>
            <w:tcW w:w="992" w:type="dxa"/>
            <w:shd w:val="clear" w:color="auto" w:fill="C6EFCE"/>
            <w:vAlign w:val="center"/>
          </w:tcPr>
          <w:p w14:paraId="04D6FE76" w14:textId="77777777" w:rsidR="004C6421" w:rsidRDefault="009D1962">
            <w:pPr>
              <w:pStyle w:val="P68B1DB1-Normal4"/>
              <w:jc w:val="center"/>
              <w:rPr>
                <w:rFonts w:eastAsiaTheme="minorEastAsia"/>
                <w:noProof/>
              </w:rPr>
            </w:pPr>
            <w:r>
              <w:rPr>
                <w:noProof/>
              </w:rPr>
              <w:t>307</w:t>
            </w:r>
          </w:p>
        </w:tc>
        <w:tc>
          <w:tcPr>
            <w:tcW w:w="992" w:type="dxa"/>
            <w:shd w:val="clear" w:color="auto" w:fill="C6EFCE"/>
            <w:vAlign w:val="center"/>
          </w:tcPr>
          <w:p w14:paraId="46ECB7EE" w14:textId="77777777" w:rsidR="004C6421" w:rsidRDefault="009D1962">
            <w:pPr>
              <w:pStyle w:val="P68B1DB1-Normal4"/>
              <w:jc w:val="center"/>
              <w:rPr>
                <w:rFonts w:eastAsiaTheme="minorEastAsia"/>
                <w:noProof/>
              </w:rPr>
            </w:pPr>
            <w:r>
              <w:rPr>
                <w:noProof/>
              </w:rPr>
              <w:t>II KW.</w:t>
            </w:r>
          </w:p>
        </w:tc>
        <w:tc>
          <w:tcPr>
            <w:tcW w:w="709" w:type="dxa"/>
            <w:shd w:val="clear" w:color="auto" w:fill="C6EFCE"/>
            <w:vAlign w:val="center"/>
          </w:tcPr>
          <w:p w14:paraId="0258EEBF" w14:textId="77777777" w:rsidR="004C6421" w:rsidRDefault="009D1962">
            <w:pPr>
              <w:pStyle w:val="P68B1DB1-Normal4"/>
              <w:jc w:val="center"/>
              <w:rPr>
                <w:rFonts w:eastAsiaTheme="minorEastAsia"/>
                <w:noProof/>
              </w:rPr>
            </w:pPr>
            <w:r>
              <w:rPr>
                <w:noProof/>
              </w:rPr>
              <w:t>2026</w:t>
            </w:r>
          </w:p>
        </w:tc>
        <w:tc>
          <w:tcPr>
            <w:tcW w:w="3634" w:type="dxa"/>
            <w:shd w:val="clear" w:color="auto" w:fill="C6EFCE"/>
            <w:vAlign w:val="center"/>
          </w:tcPr>
          <w:p w14:paraId="28CBBB3A" w14:textId="77777777" w:rsidR="004C6421" w:rsidRDefault="009D1962">
            <w:pPr>
              <w:pStyle w:val="P68B1DB1-Normal4"/>
              <w:rPr>
                <w:rFonts w:eastAsiaTheme="minorEastAsia"/>
                <w:noProof/>
              </w:rPr>
            </w:pPr>
            <w:r>
              <w:rPr>
                <w:noProof/>
              </w:rPr>
              <w:t>Co najmniej 307 szpitali społecznych odnowionych, wzajemnie połączonych i wyposażonych technologicznie</w:t>
            </w:r>
          </w:p>
          <w:p w14:paraId="2ADA6F80" w14:textId="77777777" w:rsidR="004C6421" w:rsidRDefault="009D1962">
            <w:pPr>
              <w:pStyle w:val="P68B1DB1-Normal4"/>
              <w:rPr>
                <w:rFonts w:eastAsiaTheme="minorEastAsia"/>
                <w:noProof/>
              </w:rPr>
            </w:pPr>
            <w:r>
              <w:rPr>
                <w:noProof/>
              </w:rPr>
              <w:t>Szpitale lokalne są placówkami opieki zdrowotnej dla pacjentów, którzy w następstwie niepełnoletniej ostrości lub nawrotu chorób przewlekłych wymagają leczenia klinicznego o niskiej intensywności i krótkotrwałych zabiegów klinicznych, które można potencjalnie zapewnić w domu, ale którzy są przyjmowani do tych placówek ze względu na nieodpowiedni charakter samego domu (strukturalnego lub rodzinnego).</w:t>
            </w:r>
          </w:p>
        </w:tc>
      </w:tr>
    </w:tbl>
    <w:p w14:paraId="6C6D434F" w14:textId="77777777" w:rsidR="004C6421" w:rsidRDefault="004C6421">
      <w:pPr>
        <w:keepNext/>
        <w:tabs>
          <w:tab w:val="left" w:pos="4252"/>
        </w:tabs>
        <w:spacing w:before="720"/>
        <w:jc w:val="both"/>
        <w:rPr>
          <w:i/>
          <w:noProof/>
        </w:rPr>
        <w:sectPr w:rsidR="004C6421" w:rsidSect="00797973">
          <w:headerReference w:type="even" r:id="rId380"/>
          <w:headerReference w:type="default" r:id="rId381"/>
          <w:footerReference w:type="even" r:id="rId382"/>
          <w:footerReference w:type="default" r:id="rId383"/>
          <w:headerReference w:type="first" r:id="rId384"/>
          <w:footerReference w:type="first" r:id="rId385"/>
          <w:pgSz w:w="16839" w:h="11907" w:orient="landscape"/>
          <w:pgMar w:top="1417" w:right="1134" w:bottom="1417" w:left="1134" w:header="709" w:footer="709" w:gutter="0"/>
          <w:cols w:space="720"/>
          <w:docGrid w:linePitch="360"/>
        </w:sectPr>
      </w:pPr>
    </w:p>
    <w:p w14:paraId="36BC1567" w14:textId="77777777" w:rsidR="004C6421" w:rsidRDefault="009D1962">
      <w:pPr>
        <w:pStyle w:val="Heading2"/>
        <w:numPr>
          <w:ilvl w:val="0"/>
          <w:numId w:val="0"/>
        </w:numPr>
        <w:ind w:left="850" w:hanging="850"/>
        <w:rPr>
          <w:noProof/>
        </w:rPr>
      </w:pPr>
      <w:r>
        <w:rPr>
          <w:noProof/>
        </w:rPr>
        <w:t>P. ZADANIE 6 – KOMPONENT 2: Innowacje, badania i cyfryzacja krajowych służb opieki zdrowotnej</w:t>
      </w:r>
    </w:p>
    <w:p w14:paraId="688DD2E1" w14:textId="77777777" w:rsidR="004C6421" w:rsidRDefault="004C6421">
      <w:pPr>
        <w:tabs>
          <w:tab w:val="left" w:pos="1134"/>
        </w:tabs>
        <w:spacing w:before="120" w:after="120"/>
        <w:jc w:val="both"/>
        <w:rPr>
          <w:i/>
          <w:smallCaps/>
          <w:noProof/>
          <w:color w:val="4472C4" w:themeColor="accent1"/>
        </w:rPr>
      </w:pPr>
    </w:p>
    <w:p w14:paraId="23DFE000" w14:textId="77777777" w:rsidR="004C6421" w:rsidRDefault="009D1962">
      <w:pPr>
        <w:spacing w:before="120" w:after="120"/>
        <w:jc w:val="both"/>
        <w:rPr>
          <w:noProof/>
        </w:rPr>
      </w:pPr>
      <w:r>
        <w:rPr>
          <w:noProof/>
        </w:rPr>
        <w:t>Ten element włoskiego planu odbudowy i zwiększania odporności ma na celu zapewnienie niezbędnych warunków umożliwiających zwiększenie odporności krajowej służby zdrowia poprzez: (i) zastąpienie przestarzałych technologii opieki zdrowotnej w szpitalach; (II) rozwój znaczącej poprawy strukturalnej w zakresie bezpieczeństwa budynków szpitalnych; (III) poprawę systemów informacji zdrowotnej i narzędzi cyfrowych; promowanie i wzmacnianie sektora badań naukowych; zwiększenie zasobów ludzkich.</w:t>
      </w:r>
    </w:p>
    <w:p w14:paraId="5EA126CE" w14:textId="77777777" w:rsidR="004C6421" w:rsidRDefault="009D1962">
      <w:pPr>
        <w:spacing w:before="120" w:after="120"/>
        <w:jc w:val="both"/>
        <w:rPr>
          <w:noProof/>
        </w:rPr>
      </w:pPr>
      <w:r>
        <w:rPr>
          <w:noProof/>
        </w:rPr>
        <w:t>Inwestycje i reformy w ramach tego komponentu przyczyniają się do realizacji zaleceń krajowych skierowanych do Włoch w latach 2020 i 2019 dotyczących potrzeby „wzmocnienia odporności i zdolności systemu opieki zdrowotnej w obszarach pracowników służby zdrowia, krytycznych produktów medycznych i infrastruktury medycznej” (zalecenie krajowe nr 1, 2020), „koncentrowania inwestycji na transformację ekologiczną i cyfrową, w szczególności na [...] wzmocnioną infrastrukturę cyfrową w celu zapewnienia świadczenia podstawowych usług” (zalecenie krajowe nr 3, 2020) oraz „koncentrowanie polityki gospodarczej związanej z inwestycjami na badaniach naukowych i innowacjach oraz na jakości infrastruktury, z uwzględnieniem różnic regionalnych” (zalecenie dla poszczególnych krajów nr 3, 2019). </w:t>
      </w:r>
    </w:p>
    <w:p w14:paraId="675A9FA0" w14:textId="77777777" w:rsidR="004C6421" w:rsidRDefault="004C6421">
      <w:pPr>
        <w:spacing w:before="120" w:after="120"/>
        <w:jc w:val="both"/>
        <w:rPr>
          <w:noProof/>
        </w:rPr>
      </w:pPr>
    </w:p>
    <w:p w14:paraId="1AAAA175" w14:textId="77777777" w:rsidR="004C6421" w:rsidRDefault="009D1962">
      <w:pPr>
        <w:pStyle w:val="Heading3"/>
        <w:numPr>
          <w:ilvl w:val="0"/>
          <w:numId w:val="0"/>
        </w:numPr>
        <w:ind w:left="850" w:hanging="850"/>
        <w:rPr>
          <w:b/>
          <w:i w:val="0"/>
          <w:noProof/>
          <w:u w:val="single"/>
        </w:rPr>
      </w:pPr>
      <w:r>
        <w:rPr>
          <w:b/>
          <w:i w:val="0"/>
          <w:noProof/>
          <w:u w:val="single"/>
        </w:rPr>
        <w:t xml:space="preserve">P.1. </w:t>
      </w:r>
      <w:r>
        <w:rPr>
          <w:noProof/>
        </w:rPr>
        <w:t xml:space="preserve"> </w:t>
      </w:r>
      <w:r>
        <w:rPr>
          <w:b/>
          <w:i w:val="0"/>
          <w:noProof/>
          <w:u w:val="single"/>
        </w:rPr>
        <w:t>Opis reform i inwestycji, które mają być finansowane z bezzwrotnego wsparcia finansowego</w:t>
      </w:r>
    </w:p>
    <w:p w14:paraId="1F00C14D" w14:textId="77777777" w:rsidR="004C6421" w:rsidRDefault="009D1962">
      <w:pPr>
        <w:pStyle w:val="P68B1DB1-Normal2"/>
        <w:spacing w:before="120" w:after="120"/>
        <w:jc w:val="both"/>
        <w:rPr>
          <w:noProof/>
        </w:rPr>
      </w:pPr>
      <w:r>
        <w:rPr>
          <w:noProof/>
        </w:rPr>
        <w:t>Reforma 1: Przegląd i aktualizacja obecnych ram prawnych instytutów naukowych ds. szpitali i opieki (IRCCS)</w:t>
      </w:r>
    </w:p>
    <w:p w14:paraId="7B04587F" w14:textId="77777777" w:rsidR="004C6421" w:rsidRDefault="009D1962">
      <w:pPr>
        <w:spacing w:before="120" w:after="160" w:line="259" w:lineRule="auto"/>
        <w:jc w:val="both"/>
        <w:rPr>
          <w:noProof/>
        </w:rPr>
      </w:pPr>
      <w:r>
        <w:rPr>
          <w:noProof/>
        </w:rPr>
        <w:t xml:space="preserve">Reforma ma na celu reorganizację sieci instytutów naukowych ds. szpitali i opieki (IRCCS) w celu (i) poprawy jakości krajowego systemu opieki zdrowotnej (NHS), (ii) poprawy relacji między zdrowiem a badaniami naukowymi oraz (iii) przeglądu systemu prawnego IRCCS i polityki badawczej wchodzącej w zakres kompetencji włoskiego Ministerstwa Zdrowia. </w:t>
      </w:r>
    </w:p>
    <w:p w14:paraId="70C402CF" w14:textId="77777777" w:rsidR="004C6421" w:rsidRDefault="009D1962">
      <w:pPr>
        <w:spacing w:before="120" w:after="160" w:line="259" w:lineRule="auto"/>
        <w:jc w:val="both"/>
        <w:rPr>
          <w:noProof/>
        </w:rPr>
      </w:pPr>
      <w:r>
        <w:rPr>
          <w:noProof/>
        </w:rPr>
        <w:t xml:space="preserve">Reforma ma na celu poprawę zarządzania publicznymi IRCCS poprzez (i) usprawnienie zarządzania strategicznego, (ii) lepsze zdefiniowanie uprawnień i obszarów kompetencji oraz (iii) kompleksowe określenie zasad dotyczących statusu dyrektora naukowego publicznych IRCCS i personelu badawczego. </w:t>
      </w:r>
    </w:p>
    <w:p w14:paraId="2AACB703" w14:textId="77777777" w:rsidR="004C6421" w:rsidRDefault="009D1962">
      <w:pPr>
        <w:spacing w:before="120" w:after="160" w:line="259" w:lineRule="auto"/>
        <w:jc w:val="both"/>
        <w:rPr>
          <w:noProof/>
        </w:rPr>
      </w:pPr>
      <w:r>
        <w:rPr>
          <w:noProof/>
        </w:rPr>
        <w:t>Ponadto konkretne poddziałanie różnicujące IRCCS w zależności od ich działalności (jednospecjalista lub specjalista), utworzenie zintegrowanej sieci IRCCS i ułatwienie wymiany wiedzy specjalistycznej między samymi IRCCS a innymi strukturami włoskiego NHS.</w:t>
      </w:r>
    </w:p>
    <w:p w14:paraId="3EF5B2A6" w14:textId="77777777" w:rsidR="004C6421" w:rsidRDefault="009D1962">
      <w:pPr>
        <w:pStyle w:val="P68B1DB1-Normal2"/>
        <w:spacing w:before="120" w:after="120"/>
        <w:jc w:val="both"/>
        <w:rPr>
          <w:noProof/>
        </w:rPr>
      </w:pPr>
      <w:r>
        <w:rPr>
          <w:noProof/>
        </w:rPr>
        <w:t>Inwestycja 2.1: Wzmocnienie i udoskonalenie badań biomedycznych NHS</w:t>
      </w:r>
    </w:p>
    <w:p w14:paraId="72D36BDC" w14:textId="77777777" w:rsidR="004C6421" w:rsidRDefault="009D1962">
      <w:pPr>
        <w:spacing w:before="120" w:after="120"/>
        <w:jc w:val="both"/>
        <w:rPr>
          <w:noProof/>
        </w:rPr>
      </w:pPr>
      <w:r>
        <w:rPr>
          <w:noProof/>
        </w:rPr>
        <w:t>Inwestycja ta polega na wzmocnieniu systemu badań biomedycznych za pomocą dwóch linii interwencji: a) uruchamianie</w:t>
      </w:r>
      <w:r>
        <w:rPr>
          <w:noProof/>
          <w:color w:val="000000"/>
        </w:rPr>
        <w:t xml:space="preserve">projektów weryfikacji poprawności projektu (PoC) wspierających rozwój technologii o niskim stopniu zaawansowania technologicznego, a także wspierających transfer technologii do przemysłu, b) finansowanie programów/projektów badawczych w dziedzinie rzadkich chorób, rzadkich nowotworów i </w:t>
      </w:r>
      <w:r>
        <w:rPr>
          <w:noProof/>
        </w:rPr>
        <w:t>innych chorób o dużym wpływie na zdrowie.</w:t>
      </w:r>
    </w:p>
    <w:p w14:paraId="33DDC3CB" w14:textId="77777777" w:rsidR="004C6421" w:rsidRDefault="004C6421">
      <w:pPr>
        <w:spacing w:before="120" w:after="120"/>
        <w:ind w:left="709"/>
        <w:jc w:val="both"/>
        <w:rPr>
          <w:noProof/>
        </w:rPr>
        <w:sectPr w:rsidR="004C6421" w:rsidSect="00797973">
          <w:headerReference w:type="even" r:id="rId386"/>
          <w:headerReference w:type="default" r:id="rId387"/>
          <w:footerReference w:type="even" r:id="rId388"/>
          <w:footerReference w:type="default" r:id="rId389"/>
          <w:headerReference w:type="first" r:id="rId390"/>
          <w:footerReference w:type="first" r:id="rId391"/>
          <w:pgSz w:w="11907" w:h="16839"/>
          <w:pgMar w:top="1134" w:right="1417" w:bottom="1134" w:left="1417" w:header="709" w:footer="709" w:gutter="0"/>
          <w:cols w:space="720"/>
          <w:docGrid w:linePitch="360"/>
        </w:sectPr>
      </w:pPr>
    </w:p>
    <w:p w14:paraId="5DAD19BD" w14:textId="77777777" w:rsidR="004C6421" w:rsidRDefault="009D1962">
      <w:pPr>
        <w:spacing w:before="120" w:after="120"/>
        <w:jc w:val="both"/>
        <w:rPr>
          <w:b/>
          <w:i/>
          <w:noProof/>
          <w:u w:val="single"/>
        </w:rPr>
      </w:pPr>
      <w:r>
        <w:rPr>
          <w:b/>
          <w:noProof/>
          <w:u w:val="single"/>
        </w:rPr>
        <w:t xml:space="preserve">P.2. </w:t>
      </w:r>
      <w:r>
        <w:rPr>
          <w:noProof/>
        </w:rPr>
        <w:t xml:space="preserve"> </w:t>
      </w:r>
      <w:r>
        <w:rPr>
          <w:b/>
          <w:noProof/>
          <w:u w:val="single"/>
        </w:rPr>
        <w:t>Kamienie milowe, wartości docelowe, wskaźniki i harmonogram monitorowania i realizacji na potrzeby bezzwrotnego wsparcia finansowego</w:t>
      </w:r>
    </w:p>
    <w:tbl>
      <w:tblPr>
        <w:tblW w:w="5000" w:type="pct"/>
        <w:tblInd w:w="113" w:type="dxa"/>
        <w:tblLayout w:type="fixed"/>
        <w:tblLook w:val="04A0" w:firstRow="1" w:lastRow="0" w:firstColumn="1" w:lastColumn="0" w:noHBand="0" w:noVBand="1"/>
      </w:tblPr>
      <w:tblGrid>
        <w:gridCol w:w="1158"/>
        <w:gridCol w:w="1985"/>
        <w:gridCol w:w="1275"/>
        <w:gridCol w:w="1843"/>
        <w:gridCol w:w="1701"/>
        <w:gridCol w:w="992"/>
        <w:gridCol w:w="1134"/>
        <w:gridCol w:w="851"/>
        <w:gridCol w:w="850"/>
        <w:gridCol w:w="709"/>
        <w:gridCol w:w="2891"/>
      </w:tblGrid>
      <w:tr w:rsidR="004C6421" w14:paraId="440101E2" w14:textId="77777777">
        <w:trPr>
          <w:trHeight w:val="927"/>
          <w:tblHeader/>
        </w:trPr>
        <w:tc>
          <w:tcPr>
            <w:tcW w:w="115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4C13D14" w14:textId="77777777" w:rsidR="004C6421" w:rsidRDefault="009D1962">
            <w:pPr>
              <w:pStyle w:val="P68B1DB1-Normal3"/>
              <w:spacing w:before="120" w:after="120"/>
              <w:jc w:val="center"/>
              <w:rPr>
                <w:noProof/>
              </w:rPr>
            </w:pPr>
            <w:r>
              <w:rPr>
                <w:noProof/>
              </w:rPr>
              <w:t>Numer porządkowy</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45104CE" w14:textId="77777777" w:rsidR="004C6421" w:rsidRDefault="009D1962">
            <w:pPr>
              <w:pStyle w:val="P68B1DB1-Normal3"/>
              <w:spacing w:before="120" w:after="120"/>
              <w:jc w:val="center"/>
              <w:rPr>
                <w:noProof/>
              </w:rPr>
            </w:pPr>
            <w:r>
              <w:rPr>
                <w:noProof/>
              </w:rPr>
              <w:t>Powiązane działanie (reforma lub inwestycja)</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33212D4" w14:textId="77777777" w:rsidR="004C6421" w:rsidRDefault="009D1962">
            <w:pPr>
              <w:pStyle w:val="P68B1DB1-Normal3"/>
              <w:spacing w:before="120" w:after="120"/>
              <w:jc w:val="center"/>
              <w:rPr>
                <w:noProof/>
              </w:rPr>
            </w:pPr>
            <w:r>
              <w:rPr>
                <w:noProof/>
              </w:rPr>
              <w:t>Kamień milowy/wartość docelowa</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3090723" w14:textId="77777777" w:rsidR="004C6421" w:rsidRDefault="009D1962">
            <w:pPr>
              <w:pStyle w:val="P68B1DB1-Normal3"/>
              <w:spacing w:before="120" w:after="120"/>
              <w:jc w:val="center"/>
              <w:rPr>
                <w:noProof/>
              </w:rPr>
            </w:pPr>
            <w:r>
              <w:rPr>
                <w:noProof/>
              </w:rPr>
              <w:t>Nazwa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C63A56D" w14:textId="77777777" w:rsidR="004C6421" w:rsidRDefault="009D1962">
            <w:pPr>
              <w:spacing w:before="120" w:after="120"/>
              <w:jc w:val="center"/>
              <w:rPr>
                <w:rFonts w:ascii="Arial Narrow" w:hAnsi="Arial Narrow"/>
                <w:b/>
                <w:noProof/>
                <w:sz w:val="20"/>
              </w:rPr>
            </w:pPr>
            <w:r>
              <w:rPr>
                <w:rFonts w:ascii="Arial Narrow" w:hAnsi="Arial Narrow"/>
                <w:b/>
                <w:noProof/>
                <w:sz w:val="20"/>
              </w:rPr>
              <w:t xml:space="preserve">Wskaźniki jakościowe </w:t>
            </w:r>
            <w:r>
              <w:rPr>
                <w:rFonts w:ascii="Arial Narrow" w:hAnsi="Arial Narrow"/>
                <w:noProof/>
              </w:rPr>
              <w:t xml:space="preserve"> </w:t>
            </w:r>
            <w:r>
              <w:rPr>
                <w:noProof/>
              </w:rPr>
              <w:t xml:space="preserve">  </w:t>
            </w:r>
            <w:r>
              <w:rPr>
                <w:noProof/>
              </w:rPr>
              <w:br/>
            </w:r>
            <w:r>
              <w:rPr>
                <w:rFonts w:ascii="Arial Narrow" w:hAnsi="Arial Narrow"/>
                <w:b/>
                <w:noProof/>
                <w:sz w:val="20"/>
              </w:rPr>
              <w:t>(dla kamieni milowych)</w:t>
            </w:r>
          </w:p>
        </w:tc>
        <w:tc>
          <w:tcPr>
            <w:tcW w:w="2977"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15CE4408" w14:textId="77777777" w:rsidR="004C6421" w:rsidRDefault="009D1962">
            <w:pPr>
              <w:spacing w:before="120" w:after="120"/>
              <w:jc w:val="center"/>
              <w:rPr>
                <w:rFonts w:ascii="Arial Narrow" w:hAnsi="Arial Narrow"/>
                <w:b/>
                <w:noProof/>
                <w:sz w:val="20"/>
              </w:rPr>
            </w:pPr>
            <w:r>
              <w:rPr>
                <w:rFonts w:ascii="Arial Narrow" w:hAnsi="Arial Narrow"/>
                <w:b/>
                <w:noProof/>
                <w:sz w:val="20"/>
              </w:rPr>
              <w:t xml:space="preserve">Wskaźniki ilościowe </w:t>
            </w:r>
            <w:r>
              <w:rPr>
                <w:rFonts w:ascii="Arial Narrow" w:hAnsi="Arial Narrow"/>
                <w:noProof/>
              </w:rPr>
              <w:t xml:space="preserve"> </w:t>
            </w:r>
            <w:r>
              <w:rPr>
                <w:noProof/>
              </w:rPr>
              <w:t xml:space="preserve">  </w:t>
            </w:r>
            <w:r>
              <w:rPr>
                <w:noProof/>
              </w:rPr>
              <w:br/>
            </w:r>
            <w:r>
              <w:rPr>
                <w:rFonts w:ascii="Arial Narrow" w:hAnsi="Arial Narrow"/>
                <w:b/>
                <w:noProof/>
                <w:sz w:val="20"/>
              </w:rPr>
              <w:t>(dla wartości docelowych)</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14:paraId="25149D15" w14:textId="77777777" w:rsidR="004C6421" w:rsidRDefault="009D1962">
            <w:pPr>
              <w:pStyle w:val="P68B1DB1-Normal3"/>
              <w:spacing w:before="120" w:after="120"/>
              <w:jc w:val="center"/>
              <w:rPr>
                <w:noProof/>
              </w:rPr>
            </w:pPr>
            <w:r>
              <w:rPr>
                <w:noProof/>
              </w:rPr>
              <w:t>Orientacyjny harmonogram zakończenia działania</w:t>
            </w:r>
          </w:p>
        </w:tc>
        <w:tc>
          <w:tcPr>
            <w:tcW w:w="289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2DAEE9F" w14:textId="77777777" w:rsidR="004C6421" w:rsidRDefault="009D1962">
            <w:pPr>
              <w:pStyle w:val="P68B1DB1-Normal3"/>
              <w:spacing w:before="120" w:after="120"/>
              <w:jc w:val="center"/>
              <w:rPr>
                <w:noProof/>
              </w:rPr>
            </w:pPr>
            <w:r>
              <w:rPr>
                <w:noProof/>
              </w:rPr>
              <w:t>Opis każdego kamienia milowego i każdej wartości docelowej</w:t>
            </w:r>
          </w:p>
        </w:tc>
      </w:tr>
      <w:tr w:rsidR="004C6421" w14:paraId="6387AAAA" w14:textId="77777777">
        <w:trPr>
          <w:trHeight w:val="703"/>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75B216D0" w14:textId="77777777" w:rsidR="004C6421" w:rsidRDefault="004C6421">
            <w:pPr>
              <w:spacing w:before="120" w:after="120"/>
              <w:jc w:val="center"/>
              <w:rPr>
                <w:rFonts w:ascii="Arial Narrow" w:hAnsi="Arial Narrow"/>
                <w:b/>
                <w:noProof/>
                <w:sz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C220FFD" w14:textId="77777777" w:rsidR="004C6421" w:rsidRDefault="004C6421">
            <w:pPr>
              <w:spacing w:before="120" w:after="120"/>
              <w:jc w:val="center"/>
              <w:rPr>
                <w:rFonts w:ascii="Arial Narrow" w:hAnsi="Arial Narrow"/>
                <w:b/>
                <w:noProof/>
                <w:sz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1CC4270" w14:textId="77777777" w:rsidR="004C6421" w:rsidRDefault="004C6421">
            <w:pPr>
              <w:spacing w:before="120" w:after="120"/>
              <w:jc w:val="center"/>
              <w:rPr>
                <w:rFonts w:ascii="Arial Narrow" w:hAnsi="Arial Narrow"/>
                <w:b/>
                <w:noProof/>
                <w:sz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41DA140" w14:textId="77777777" w:rsidR="004C6421" w:rsidRDefault="004C6421">
            <w:pPr>
              <w:spacing w:before="120" w:after="120"/>
              <w:jc w:val="center"/>
              <w:rPr>
                <w:rFonts w:ascii="Arial Narrow" w:hAnsi="Arial Narrow"/>
                <w:b/>
                <w:noProof/>
                <w:sz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FBFD092" w14:textId="77777777" w:rsidR="004C6421" w:rsidRDefault="004C6421">
            <w:pPr>
              <w:spacing w:before="120" w:after="120"/>
              <w:jc w:val="center"/>
              <w:rPr>
                <w:rFonts w:ascii="Arial Narrow" w:hAnsi="Arial Narrow"/>
                <w:b/>
                <w:noProof/>
                <w:sz w:val="20"/>
              </w:rPr>
            </w:pPr>
          </w:p>
        </w:tc>
        <w:tc>
          <w:tcPr>
            <w:tcW w:w="992"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1CB12CFC" w14:textId="77777777" w:rsidR="004C6421" w:rsidRDefault="009D1962">
            <w:pPr>
              <w:pStyle w:val="P68B1DB1-Normal3"/>
              <w:spacing w:before="120" w:after="120"/>
              <w:jc w:val="center"/>
              <w:rPr>
                <w:noProof/>
              </w:rPr>
            </w:pPr>
            <w:r>
              <w:rPr>
                <w:noProof/>
              </w:rPr>
              <w:t>Jednostka miary</w:t>
            </w:r>
          </w:p>
        </w:tc>
        <w:tc>
          <w:tcPr>
            <w:tcW w:w="1134" w:type="dxa"/>
            <w:tcBorders>
              <w:top w:val="single" w:sz="4" w:space="0" w:color="auto"/>
              <w:left w:val="nil"/>
              <w:bottom w:val="single" w:sz="4" w:space="0" w:color="auto"/>
              <w:right w:val="single" w:sz="4" w:space="0" w:color="auto"/>
            </w:tcBorders>
            <w:shd w:val="clear" w:color="auto" w:fill="BDD7EE"/>
            <w:vAlign w:val="center"/>
            <w:hideMark/>
          </w:tcPr>
          <w:p w14:paraId="54177F03" w14:textId="77777777" w:rsidR="004C6421" w:rsidRDefault="009D1962">
            <w:pPr>
              <w:pStyle w:val="P68B1DB1-Normal3"/>
              <w:spacing w:before="120" w:after="120"/>
              <w:jc w:val="center"/>
              <w:rPr>
                <w:noProof/>
              </w:rPr>
            </w:pPr>
            <w:r>
              <w:rPr>
                <w:noProof/>
              </w:rPr>
              <w:t>Bazowy</w:t>
            </w:r>
          </w:p>
        </w:tc>
        <w:tc>
          <w:tcPr>
            <w:tcW w:w="851" w:type="dxa"/>
            <w:tcBorders>
              <w:top w:val="single" w:sz="4" w:space="0" w:color="auto"/>
              <w:left w:val="nil"/>
              <w:bottom w:val="single" w:sz="4" w:space="0" w:color="auto"/>
              <w:right w:val="single" w:sz="4" w:space="0" w:color="auto"/>
            </w:tcBorders>
            <w:shd w:val="clear" w:color="auto" w:fill="BDD7EE"/>
            <w:vAlign w:val="center"/>
            <w:hideMark/>
          </w:tcPr>
          <w:p w14:paraId="24706A29" w14:textId="77777777" w:rsidR="004C6421" w:rsidRDefault="009D1962">
            <w:pPr>
              <w:pStyle w:val="P68B1DB1-Normal3"/>
              <w:spacing w:before="120" w:after="120"/>
              <w:jc w:val="center"/>
              <w:rPr>
                <w:noProof/>
              </w:rPr>
            </w:pPr>
            <w:r>
              <w:rPr>
                <w:noProof/>
              </w:rPr>
              <w:t>Cel</w:t>
            </w:r>
          </w:p>
        </w:tc>
        <w:tc>
          <w:tcPr>
            <w:tcW w:w="850" w:type="dxa"/>
            <w:tcBorders>
              <w:top w:val="single" w:sz="4" w:space="0" w:color="auto"/>
              <w:left w:val="nil"/>
              <w:bottom w:val="single" w:sz="4" w:space="0" w:color="auto"/>
              <w:right w:val="single" w:sz="4" w:space="0" w:color="auto"/>
            </w:tcBorders>
            <w:shd w:val="clear" w:color="auto" w:fill="BDD7EE"/>
            <w:vAlign w:val="center"/>
            <w:hideMark/>
          </w:tcPr>
          <w:p w14:paraId="07A57918" w14:textId="77777777" w:rsidR="004C6421" w:rsidRDefault="009D1962">
            <w:pPr>
              <w:pStyle w:val="P68B1DB1-Normal3"/>
              <w:spacing w:before="120" w:after="120"/>
              <w:jc w:val="center"/>
              <w:rPr>
                <w:noProof/>
              </w:rPr>
            </w:pPr>
            <w:r>
              <w:rPr>
                <w:noProof/>
              </w:rPr>
              <w:t>Kwartał</w:t>
            </w:r>
          </w:p>
        </w:tc>
        <w:tc>
          <w:tcPr>
            <w:tcW w:w="709" w:type="dxa"/>
            <w:tcBorders>
              <w:top w:val="single" w:sz="4" w:space="0" w:color="auto"/>
              <w:left w:val="nil"/>
              <w:bottom w:val="single" w:sz="4" w:space="0" w:color="auto"/>
              <w:right w:val="single" w:sz="4" w:space="0" w:color="auto"/>
            </w:tcBorders>
            <w:shd w:val="clear" w:color="auto" w:fill="BDD7EE"/>
            <w:vAlign w:val="center"/>
            <w:hideMark/>
          </w:tcPr>
          <w:p w14:paraId="72234B28" w14:textId="77777777" w:rsidR="004C6421" w:rsidRDefault="009D1962">
            <w:pPr>
              <w:pStyle w:val="P68B1DB1-Normal3"/>
              <w:spacing w:before="120" w:after="120"/>
              <w:jc w:val="center"/>
              <w:rPr>
                <w:noProof/>
              </w:rPr>
            </w:pPr>
            <w:r>
              <w:rPr>
                <w:noProof/>
              </w:rPr>
              <w:t>Rok</w:t>
            </w:r>
          </w:p>
        </w:tc>
        <w:tc>
          <w:tcPr>
            <w:tcW w:w="2891" w:type="dxa"/>
            <w:vMerge/>
            <w:tcBorders>
              <w:top w:val="single" w:sz="4" w:space="0" w:color="auto"/>
              <w:bottom w:val="single" w:sz="4" w:space="0" w:color="auto"/>
              <w:right w:val="single" w:sz="4" w:space="0" w:color="auto"/>
            </w:tcBorders>
            <w:vAlign w:val="center"/>
            <w:hideMark/>
          </w:tcPr>
          <w:p w14:paraId="4F073BA3" w14:textId="77777777" w:rsidR="004C6421" w:rsidRDefault="004C6421">
            <w:pPr>
              <w:spacing w:before="120" w:after="120"/>
              <w:rPr>
                <w:rFonts w:ascii="Arial Narrow" w:hAnsi="Arial Narrow"/>
                <w:b/>
                <w:noProof/>
                <w:sz w:val="20"/>
              </w:rPr>
            </w:pPr>
          </w:p>
        </w:tc>
      </w:tr>
      <w:tr w:rsidR="004C6421" w14:paraId="19CFFC8D" w14:textId="77777777">
        <w:trPr>
          <w:trHeight w:val="309"/>
        </w:trPr>
        <w:tc>
          <w:tcPr>
            <w:tcW w:w="115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6AB1C6A" w14:textId="77777777" w:rsidR="004C6421" w:rsidRDefault="009D1962">
            <w:pPr>
              <w:pStyle w:val="P68B1DB1-Normal4"/>
              <w:jc w:val="center"/>
              <w:rPr>
                <w:rFonts w:eastAsiaTheme="minorEastAsia"/>
                <w:noProof/>
              </w:rPr>
            </w:pPr>
            <w:r>
              <w:rPr>
                <w:noProof/>
              </w:rPr>
              <w:t>M6C2-1</w:t>
            </w:r>
          </w:p>
        </w:tc>
        <w:tc>
          <w:tcPr>
            <w:tcW w:w="1985" w:type="dxa"/>
            <w:tcBorders>
              <w:top w:val="single" w:sz="4" w:space="0" w:color="auto"/>
              <w:left w:val="nil"/>
              <w:bottom w:val="single" w:sz="4" w:space="0" w:color="auto"/>
              <w:right w:val="single" w:sz="4" w:space="0" w:color="auto"/>
            </w:tcBorders>
            <w:shd w:val="clear" w:color="auto" w:fill="C6EFCE"/>
            <w:noWrap/>
            <w:vAlign w:val="center"/>
          </w:tcPr>
          <w:p w14:paraId="4D6DF47C" w14:textId="77777777" w:rsidR="004C6421" w:rsidRDefault="009D1962">
            <w:pPr>
              <w:pStyle w:val="P68B1DB1-Normal4"/>
              <w:jc w:val="center"/>
              <w:rPr>
                <w:rFonts w:eastAsiaTheme="minorEastAsia"/>
                <w:noProof/>
              </w:rPr>
            </w:pPr>
            <w:r>
              <w:rPr>
                <w:noProof/>
              </w:rPr>
              <w:t>Reforma 1: Przegląd i aktualizacja obecnych ram prawnych instytutów naukowych ds. szpitali i opieki (IRCCS) oraz polityki badawczej Ministerstwa Zdrowia w celu wzmocnienia powiązań między badaniami, innowacjami i opieką zdrowotną</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14:paraId="0E491B0E" w14:textId="59736AB3" w:rsidR="004C6421" w:rsidRDefault="00CC179E">
            <w:pPr>
              <w:pStyle w:val="P68B1DB1-Normal4"/>
              <w:jc w:val="center"/>
              <w:rPr>
                <w:rFonts w:eastAsiaTheme="minorEastAsia"/>
                <w:noProof/>
              </w:rPr>
            </w:pPr>
            <w:r>
              <w:rPr>
                <w:noProof/>
              </w:rPr>
              <w:t>Milowy</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259FB20B" w14:textId="77777777" w:rsidR="004C6421" w:rsidRDefault="009D1962">
            <w:pPr>
              <w:pStyle w:val="P68B1DB1-Normal4"/>
              <w:jc w:val="center"/>
              <w:rPr>
                <w:rFonts w:eastAsiaTheme="minorEastAsia"/>
                <w:noProof/>
              </w:rPr>
            </w:pPr>
            <w:r>
              <w:rPr>
                <w:noProof/>
              </w:rPr>
              <w:t>Wejście w życie dekretu ustawodawczego przewidującego reorganizację rozporządzeń dotyczących naukowych instytutów hospitalizacji i opieki (IRCSS)</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7A7E0E2F" w14:textId="77777777" w:rsidR="004C6421" w:rsidRDefault="009D1962">
            <w:pPr>
              <w:pStyle w:val="P68B1DB1-Normal4"/>
              <w:jc w:val="center"/>
              <w:rPr>
                <w:rFonts w:eastAsiaTheme="minorEastAsia"/>
                <w:noProof/>
              </w:rPr>
            </w:pPr>
            <w:r>
              <w:rPr>
                <w:noProof/>
              </w:rPr>
              <w:t>Przepis w dekrecie wskazujący na wejście w życie NIE DOT.</w:t>
            </w:r>
          </w:p>
        </w:tc>
        <w:tc>
          <w:tcPr>
            <w:tcW w:w="992" w:type="dxa"/>
            <w:tcBorders>
              <w:top w:val="nil"/>
              <w:left w:val="nil"/>
              <w:bottom w:val="single" w:sz="4" w:space="0" w:color="auto"/>
              <w:right w:val="single" w:sz="4" w:space="0" w:color="auto"/>
            </w:tcBorders>
            <w:shd w:val="clear" w:color="auto" w:fill="C6EFCE"/>
            <w:noWrap/>
            <w:vAlign w:val="center"/>
          </w:tcPr>
          <w:p w14:paraId="50F31822" w14:textId="77777777" w:rsidR="004C6421" w:rsidRDefault="009D1962">
            <w:pPr>
              <w:pStyle w:val="P68B1DB1-Normal4"/>
              <w:jc w:val="center"/>
              <w:rPr>
                <w:rFonts w:eastAsiaTheme="minorEastAsia"/>
                <w:noProof/>
              </w:rPr>
            </w:pPr>
            <w:r>
              <w:rPr>
                <w:noProof/>
              </w:rPr>
              <w:t>NIE DOT.</w:t>
            </w:r>
          </w:p>
        </w:tc>
        <w:tc>
          <w:tcPr>
            <w:tcW w:w="1134" w:type="dxa"/>
            <w:tcBorders>
              <w:top w:val="nil"/>
              <w:left w:val="nil"/>
              <w:bottom w:val="single" w:sz="4" w:space="0" w:color="auto"/>
              <w:right w:val="single" w:sz="4" w:space="0" w:color="auto"/>
            </w:tcBorders>
            <w:shd w:val="clear" w:color="auto" w:fill="C6EFCE"/>
            <w:noWrap/>
            <w:vAlign w:val="center"/>
          </w:tcPr>
          <w:p w14:paraId="18F1C252" w14:textId="77777777" w:rsidR="004C6421" w:rsidRDefault="009D1962">
            <w:pPr>
              <w:pStyle w:val="P68B1DB1-Normal4"/>
              <w:jc w:val="center"/>
              <w:rPr>
                <w:rFonts w:eastAsiaTheme="minorEastAsia"/>
                <w:noProof/>
              </w:rPr>
            </w:pPr>
            <w:r>
              <w:rPr>
                <w:noProof/>
              </w:rPr>
              <w:t>NIE DOT.</w:t>
            </w:r>
          </w:p>
        </w:tc>
        <w:tc>
          <w:tcPr>
            <w:tcW w:w="851" w:type="dxa"/>
            <w:tcBorders>
              <w:top w:val="nil"/>
              <w:left w:val="nil"/>
              <w:bottom w:val="single" w:sz="4" w:space="0" w:color="auto"/>
              <w:right w:val="single" w:sz="4" w:space="0" w:color="auto"/>
            </w:tcBorders>
            <w:shd w:val="clear" w:color="auto" w:fill="C6EFCE"/>
            <w:noWrap/>
            <w:vAlign w:val="center"/>
          </w:tcPr>
          <w:p w14:paraId="0DB881D5" w14:textId="77777777" w:rsidR="004C6421" w:rsidRDefault="009D1962">
            <w:pPr>
              <w:pStyle w:val="P68B1DB1-Normal4"/>
              <w:jc w:val="center"/>
              <w:rPr>
                <w:rFonts w:eastAsiaTheme="minorEastAsia"/>
                <w:noProof/>
              </w:rPr>
            </w:pPr>
            <w:r>
              <w:rPr>
                <w:noProof/>
              </w:rPr>
              <w:t>NIE DOT.</w:t>
            </w:r>
          </w:p>
        </w:tc>
        <w:tc>
          <w:tcPr>
            <w:tcW w:w="850" w:type="dxa"/>
            <w:tcBorders>
              <w:top w:val="nil"/>
              <w:left w:val="nil"/>
              <w:bottom w:val="single" w:sz="4" w:space="0" w:color="auto"/>
              <w:right w:val="single" w:sz="4" w:space="0" w:color="auto"/>
            </w:tcBorders>
            <w:shd w:val="clear" w:color="auto" w:fill="C6EFCE"/>
            <w:noWrap/>
            <w:vAlign w:val="center"/>
          </w:tcPr>
          <w:p w14:paraId="7A598B23" w14:textId="3BD14366" w:rsidR="004C6421" w:rsidRDefault="00CC179E">
            <w:pPr>
              <w:pStyle w:val="P68B1DB1-Normal4"/>
              <w:jc w:val="center"/>
              <w:rPr>
                <w:rFonts w:eastAsiaTheme="minorEastAsia"/>
                <w:noProof/>
              </w:rPr>
            </w:pPr>
            <w:r>
              <w:rPr>
                <w:noProof/>
              </w:rPr>
              <w:t>KW. 4</w:t>
            </w:r>
          </w:p>
        </w:tc>
        <w:tc>
          <w:tcPr>
            <w:tcW w:w="709" w:type="dxa"/>
            <w:tcBorders>
              <w:top w:val="nil"/>
              <w:left w:val="nil"/>
              <w:bottom w:val="single" w:sz="4" w:space="0" w:color="auto"/>
              <w:right w:val="single" w:sz="4" w:space="0" w:color="auto"/>
            </w:tcBorders>
            <w:shd w:val="clear" w:color="auto" w:fill="C6EFCE"/>
            <w:noWrap/>
            <w:vAlign w:val="center"/>
          </w:tcPr>
          <w:p w14:paraId="583BB7D9" w14:textId="77777777" w:rsidR="004C6421" w:rsidRDefault="009D1962">
            <w:pPr>
              <w:pStyle w:val="P68B1DB1-Normal4"/>
              <w:jc w:val="center"/>
              <w:rPr>
                <w:rFonts w:eastAsiaTheme="minorEastAsia"/>
                <w:noProof/>
              </w:rPr>
            </w:pPr>
            <w:r>
              <w:rPr>
                <w:noProof/>
              </w:rPr>
              <w:t>2022</w:t>
            </w:r>
          </w:p>
        </w:tc>
        <w:tc>
          <w:tcPr>
            <w:tcW w:w="2891" w:type="dxa"/>
            <w:tcBorders>
              <w:top w:val="single" w:sz="4" w:space="0" w:color="auto"/>
              <w:left w:val="nil"/>
              <w:bottom w:val="single" w:sz="4" w:space="0" w:color="auto"/>
              <w:right w:val="single" w:sz="4" w:space="0" w:color="auto"/>
            </w:tcBorders>
            <w:shd w:val="clear" w:color="auto" w:fill="C6EFCE"/>
            <w:noWrap/>
            <w:vAlign w:val="center"/>
          </w:tcPr>
          <w:p w14:paraId="0608DCAC" w14:textId="77777777" w:rsidR="004C6421" w:rsidRDefault="009D1962">
            <w:pPr>
              <w:pStyle w:val="P68B1DB1-Normal4"/>
              <w:rPr>
                <w:rFonts w:eastAsiaTheme="minorEastAsia"/>
                <w:noProof/>
              </w:rPr>
            </w:pPr>
            <w:r>
              <w:rPr>
                <w:noProof/>
              </w:rPr>
              <w:t>Reforma ma na celu reorganizację sieci IRCCS w celu poprawy jakości i doskonałości NHS, poprawy relacji między zdrowiem a badaniami naukowymi, przeglądu systemu prawnego IRCCS i polityki badawczej wchodzącej w zakres kompetencji włoskiego Ministerstwa Zdrowia.</w:t>
            </w:r>
          </w:p>
          <w:p w14:paraId="1D0667FC" w14:textId="77777777" w:rsidR="004C6421" w:rsidRDefault="009D1962">
            <w:pPr>
              <w:pStyle w:val="P68B1DB1-Normal4"/>
              <w:rPr>
                <w:rFonts w:eastAsiaTheme="minorEastAsia"/>
                <w:noProof/>
              </w:rPr>
            </w:pPr>
            <w:r>
              <w:rPr>
                <w:noProof/>
              </w:rPr>
              <w:t>Reforma obejmuje środki mające na celu: wzmocnienie powiązań między badaniami naukowymi, innowacjami i opieką zdrowotną; poprawa zarządzania publicznymi IRCCS poprzez wzmocnienie zarządzania strategicznego i lepsze określenie uprawnień i obszarów kompetencji.</w:t>
            </w:r>
          </w:p>
        </w:tc>
      </w:tr>
      <w:tr w:rsidR="004C6421" w14:paraId="7AB1A159" w14:textId="77777777">
        <w:trPr>
          <w:trHeight w:val="309"/>
        </w:trPr>
        <w:tc>
          <w:tcPr>
            <w:tcW w:w="1158" w:type="dxa"/>
            <w:tcBorders>
              <w:top w:val="nil"/>
              <w:left w:val="single" w:sz="4" w:space="0" w:color="auto"/>
              <w:bottom w:val="single" w:sz="4" w:space="0" w:color="auto"/>
              <w:right w:val="single" w:sz="4" w:space="0" w:color="auto"/>
            </w:tcBorders>
            <w:shd w:val="clear" w:color="auto" w:fill="C6EFCE"/>
            <w:noWrap/>
            <w:vAlign w:val="center"/>
            <w:hideMark/>
          </w:tcPr>
          <w:p w14:paraId="5B186412" w14:textId="77777777" w:rsidR="004C6421" w:rsidRDefault="009D1962">
            <w:pPr>
              <w:pStyle w:val="P68B1DB1-Normal4"/>
              <w:jc w:val="center"/>
              <w:rPr>
                <w:rFonts w:eastAsiaTheme="minorEastAsia"/>
                <w:noProof/>
              </w:rPr>
            </w:pPr>
            <w:r>
              <w:rPr>
                <w:noProof/>
              </w:rPr>
              <w:t>M6C2-2</w:t>
            </w:r>
          </w:p>
        </w:tc>
        <w:tc>
          <w:tcPr>
            <w:tcW w:w="1985" w:type="dxa"/>
            <w:tcBorders>
              <w:top w:val="nil"/>
              <w:left w:val="nil"/>
              <w:bottom w:val="single" w:sz="4" w:space="0" w:color="auto"/>
              <w:right w:val="single" w:sz="4" w:space="0" w:color="auto"/>
            </w:tcBorders>
            <w:shd w:val="clear" w:color="auto" w:fill="C6EFCE"/>
            <w:noWrap/>
            <w:vAlign w:val="center"/>
            <w:hideMark/>
          </w:tcPr>
          <w:p w14:paraId="51C3DEE1" w14:textId="77777777" w:rsidR="004C6421" w:rsidRDefault="009D1962">
            <w:pPr>
              <w:pStyle w:val="P68B1DB1-Normal4"/>
              <w:jc w:val="center"/>
              <w:rPr>
                <w:rFonts w:eastAsiaTheme="minorEastAsia"/>
                <w:noProof/>
              </w:rPr>
            </w:pPr>
            <w:r>
              <w:rPr>
                <w:noProof/>
              </w:rPr>
              <w:t>Inwestycja 2.1: Wzmocnienie i udoskonalenie badań biomedycznych NHS</w:t>
            </w:r>
          </w:p>
        </w:tc>
        <w:tc>
          <w:tcPr>
            <w:tcW w:w="1275" w:type="dxa"/>
            <w:tcBorders>
              <w:top w:val="nil"/>
              <w:left w:val="nil"/>
              <w:bottom w:val="single" w:sz="4" w:space="0" w:color="auto"/>
              <w:right w:val="single" w:sz="4" w:space="0" w:color="auto"/>
            </w:tcBorders>
            <w:shd w:val="clear" w:color="auto" w:fill="C6EFCE"/>
            <w:noWrap/>
            <w:vAlign w:val="center"/>
            <w:hideMark/>
          </w:tcPr>
          <w:p w14:paraId="624A3D7F" w14:textId="77777777" w:rsidR="004C6421" w:rsidRDefault="009D1962">
            <w:pPr>
              <w:pStyle w:val="P68B1DB1-Normal4"/>
              <w:jc w:val="center"/>
              <w:rPr>
                <w:rFonts w:eastAsiaTheme="minorEastAsia"/>
                <w:noProof/>
              </w:rPr>
            </w:pPr>
            <w:r>
              <w:rPr>
                <w:noProof/>
              </w:rPr>
              <w:t>Cel</w:t>
            </w:r>
          </w:p>
        </w:tc>
        <w:tc>
          <w:tcPr>
            <w:tcW w:w="1843" w:type="dxa"/>
            <w:tcBorders>
              <w:top w:val="nil"/>
              <w:left w:val="nil"/>
              <w:bottom w:val="single" w:sz="4" w:space="0" w:color="auto"/>
              <w:right w:val="single" w:sz="4" w:space="0" w:color="auto"/>
            </w:tcBorders>
            <w:shd w:val="clear" w:color="auto" w:fill="C6EFCE"/>
            <w:noWrap/>
            <w:vAlign w:val="center"/>
            <w:hideMark/>
          </w:tcPr>
          <w:p w14:paraId="55261038" w14:textId="77777777" w:rsidR="004C6421" w:rsidRDefault="009D1962">
            <w:pPr>
              <w:pStyle w:val="P68B1DB1-Normal4"/>
              <w:jc w:val="center"/>
              <w:rPr>
                <w:rFonts w:eastAsiaTheme="minorEastAsia"/>
                <w:noProof/>
              </w:rPr>
            </w:pPr>
            <w:r>
              <w:rPr>
                <w:noProof/>
              </w:rPr>
              <w:t>Finansowane projekty badawcze dotyczące rzadkich nowotworów i chorób</w:t>
            </w:r>
          </w:p>
        </w:tc>
        <w:tc>
          <w:tcPr>
            <w:tcW w:w="1701" w:type="dxa"/>
            <w:tcBorders>
              <w:top w:val="nil"/>
              <w:left w:val="nil"/>
              <w:bottom w:val="single" w:sz="4" w:space="0" w:color="auto"/>
              <w:right w:val="single" w:sz="4" w:space="0" w:color="auto"/>
            </w:tcBorders>
            <w:shd w:val="clear" w:color="auto" w:fill="C6EFCE"/>
            <w:noWrap/>
            <w:vAlign w:val="center"/>
          </w:tcPr>
          <w:p w14:paraId="30492171" w14:textId="77777777" w:rsidR="004C6421" w:rsidRDefault="009D1962">
            <w:pPr>
              <w:pStyle w:val="P68B1DB1-Normal4"/>
              <w:jc w:val="center"/>
              <w:rPr>
                <w:rFonts w:eastAsiaTheme="minorEastAsia"/>
                <w:noProof/>
              </w:rPr>
            </w:pPr>
            <w:r>
              <w:rPr>
                <w:noProof/>
              </w:rPr>
              <w:t>NIE DOT.</w:t>
            </w:r>
          </w:p>
        </w:tc>
        <w:tc>
          <w:tcPr>
            <w:tcW w:w="992" w:type="dxa"/>
            <w:tcBorders>
              <w:top w:val="nil"/>
              <w:left w:val="nil"/>
              <w:bottom w:val="single" w:sz="4" w:space="0" w:color="auto"/>
              <w:right w:val="single" w:sz="4" w:space="0" w:color="auto"/>
            </w:tcBorders>
            <w:shd w:val="clear" w:color="auto" w:fill="C6EFCE"/>
            <w:noWrap/>
            <w:vAlign w:val="center"/>
            <w:hideMark/>
          </w:tcPr>
          <w:p w14:paraId="0094B183" w14:textId="77777777" w:rsidR="004C6421" w:rsidRDefault="009D1962">
            <w:pPr>
              <w:pStyle w:val="P68B1DB1-Normal4"/>
              <w:jc w:val="center"/>
              <w:rPr>
                <w:rFonts w:eastAsiaTheme="minorEastAsia"/>
                <w:noProof/>
              </w:rPr>
            </w:pPr>
            <w:r>
              <w:rPr>
                <w:noProof/>
              </w:rPr>
              <w:t>Numer</w:t>
            </w:r>
          </w:p>
        </w:tc>
        <w:tc>
          <w:tcPr>
            <w:tcW w:w="1134" w:type="dxa"/>
            <w:tcBorders>
              <w:top w:val="nil"/>
              <w:left w:val="nil"/>
              <w:bottom w:val="single" w:sz="4" w:space="0" w:color="auto"/>
              <w:right w:val="single" w:sz="4" w:space="0" w:color="auto"/>
            </w:tcBorders>
            <w:shd w:val="clear" w:color="auto" w:fill="C6EFCE"/>
            <w:noWrap/>
            <w:vAlign w:val="center"/>
            <w:hideMark/>
          </w:tcPr>
          <w:p w14:paraId="636AB0AD" w14:textId="77777777" w:rsidR="004C6421" w:rsidRDefault="009D1962">
            <w:pPr>
              <w:pStyle w:val="P68B1DB1-Normal4"/>
              <w:jc w:val="center"/>
              <w:rPr>
                <w:rFonts w:eastAsiaTheme="minorEastAsia"/>
                <w:noProof/>
              </w:rPr>
            </w:pPr>
            <w:r>
              <w:rPr>
                <w:noProof/>
              </w:rPr>
              <w:t>0</w:t>
            </w:r>
          </w:p>
        </w:tc>
        <w:tc>
          <w:tcPr>
            <w:tcW w:w="851" w:type="dxa"/>
            <w:tcBorders>
              <w:top w:val="nil"/>
              <w:left w:val="nil"/>
              <w:bottom w:val="single" w:sz="4" w:space="0" w:color="auto"/>
              <w:right w:val="single" w:sz="4" w:space="0" w:color="auto"/>
            </w:tcBorders>
            <w:shd w:val="clear" w:color="auto" w:fill="C6EFCE"/>
            <w:noWrap/>
            <w:vAlign w:val="center"/>
            <w:hideMark/>
          </w:tcPr>
          <w:p w14:paraId="0F08BEA2" w14:textId="77777777" w:rsidR="004C6421" w:rsidRDefault="009D1962">
            <w:pPr>
              <w:pStyle w:val="P68B1DB1-Normal4"/>
              <w:jc w:val="center"/>
              <w:rPr>
                <w:rFonts w:eastAsiaTheme="minorEastAsia"/>
                <w:noProof/>
              </w:rPr>
            </w:pPr>
            <w:r>
              <w:rPr>
                <w:noProof/>
              </w:rPr>
              <w:t>100</w:t>
            </w:r>
          </w:p>
        </w:tc>
        <w:tc>
          <w:tcPr>
            <w:tcW w:w="850" w:type="dxa"/>
            <w:tcBorders>
              <w:top w:val="nil"/>
              <w:left w:val="nil"/>
              <w:bottom w:val="single" w:sz="4" w:space="0" w:color="auto"/>
              <w:right w:val="single" w:sz="4" w:space="0" w:color="auto"/>
            </w:tcBorders>
            <w:shd w:val="clear" w:color="auto" w:fill="C6EFCE"/>
            <w:noWrap/>
            <w:vAlign w:val="center"/>
            <w:hideMark/>
          </w:tcPr>
          <w:p w14:paraId="5D860D5D" w14:textId="661368E2" w:rsidR="004C6421" w:rsidRDefault="00CC179E">
            <w:pPr>
              <w:pStyle w:val="P68B1DB1-Normal4"/>
              <w:jc w:val="center"/>
              <w:rPr>
                <w:rFonts w:eastAsiaTheme="minorEastAsia"/>
                <w:noProof/>
              </w:rPr>
            </w:pPr>
            <w:r>
              <w:rPr>
                <w:noProof/>
              </w:rPr>
              <w:t>KW. 4</w:t>
            </w:r>
          </w:p>
        </w:tc>
        <w:tc>
          <w:tcPr>
            <w:tcW w:w="709" w:type="dxa"/>
            <w:tcBorders>
              <w:top w:val="nil"/>
              <w:left w:val="nil"/>
              <w:bottom w:val="single" w:sz="4" w:space="0" w:color="auto"/>
              <w:right w:val="single" w:sz="4" w:space="0" w:color="auto"/>
            </w:tcBorders>
            <w:shd w:val="clear" w:color="auto" w:fill="C6EFCE"/>
            <w:noWrap/>
            <w:vAlign w:val="center"/>
            <w:hideMark/>
          </w:tcPr>
          <w:p w14:paraId="7ABB91AE" w14:textId="77777777" w:rsidR="004C6421" w:rsidRDefault="009D1962">
            <w:pPr>
              <w:pStyle w:val="P68B1DB1-Normal4"/>
              <w:jc w:val="center"/>
              <w:rPr>
                <w:rFonts w:eastAsiaTheme="minorEastAsia"/>
                <w:noProof/>
              </w:rPr>
            </w:pPr>
            <w:r>
              <w:rPr>
                <w:noProof/>
              </w:rPr>
              <w:t>2025</w:t>
            </w:r>
          </w:p>
        </w:tc>
        <w:tc>
          <w:tcPr>
            <w:tcW w:w="2891" w:type="dxa"/>
            <w:tcBorders>
              <w:top w:val="nil"/>
              <w:left w:val="nil"/>
              <w:bottom w:val="single" w:sz="4" w:space="0" w:color="auto"/>
              <w:right w:val="single" w:sz="4" w:space="0" w:color="auto"/>
            </w:tcBorders>
            <w:shd w:val="clear" w:color="auto" w:fill="C6EFCE"/>
            <w:noWrap/>
            <w:vAlign w:val="center"/>
            <w:hideMark/>
          </w:tcPr>
          <w:p w14:paraId="08D0CBCE" w14:textId="77777777" w:rsidR="004C6421" w:rsidRDefault="009D1962">
            <w:pPr>
              <w:rPr>
                <w:rFonts w:ascii="Arial Narrow" w:eastAsiaTheme="minorEastAsia" w:hAnsi="Arial Narrow"/>
                <w:noProof/>
                <w:color w:val="006100"/>
                <w:sz w:val="20"/>
              </w:rPr>
            </w:pPr>
            <w:r>
              <w:rPr>
                <w:rFonts w:ascii="Arial Narrow" w:hAnsi="Arial Narrow"/>
                <w:noProof/>
                <w:color w:val="006100"/>
                <w:sz w:val="20"/>
              </w:rPr>
              <w:t>Przyznanie finansowania programom/projektom badawczym w dziedzinie rzadkich chorób i rzadkich nowotworów. Patologie te, charakteryzujące się dużą złożonością biomedyczną i często ekspresją wieloorganiczną, wymagają połączenia wysokich kompetencji klinicznych oraz zaawansowanych działań diagnostycznych i badawczych, a także wymagają doskonałych technologii i koordynacji sieci współpracy na szczeblu krajowym i europejskim.</w:t>
            </w:r>
            <w:r>
              <w:rPr>
                <w:rFonts w:ascii="Arial Narrow" w:hAnsi="Arial Narrow"/>
                <w:noProof/>
              </w:rPr>
              <w:t xml:space="preserve"> </w:t>
            </w:r>
            <w:r>
              <w:rPr>
                <w:noProof/>
              </w:rPr>
              <w:t xml:space="preserve">  </w:t>
            </w:r>
            <w:r>
              <w:rPr>
                <w:noProof/>
              </w:rPr>
              <w:br/>
            </w:r>
            <w:r>
              <w:rPr>
                <w:rFonts w:ascii="Arial Narrow" w:hAnsi="Arial Narrow"/>
                <w:noProof/>
                <w:color w:val="006100"/>
                <w:sz w:val="20"/>
              </w:rPr>
              <w:t>Przyznawanie finansowania na projekty badawcze dotyczące rzadkich chorób i rzadkich nowotworów odbywa się w drodze procedury przetargowej.</w:t>
            </w:r>
          </w:p>
          <w:p w14:paraId="4D276099" w14:textId="77777777" w:rsidR="004C6421" w:rsidRDefault="009D1962">
            <w:pPr>
              <w:pStyle w:val="P68B1DB1-Normal4"/>
              <w:rPr>
                <w:rFonts w:eastAsiaTheme="minorEastAsia"/>
                <w:noProof/>
              </w:rPr>
            </w:pPr>
            <w:r>
              <w:rPr>
                <w:noProof/>
              </w:rPr>
              <w:t>Co najmniej 100 projektów badawczych otrzymało pierwszą transzę finansowania.</w:t>
            </w:r>
          </w:p>
        </w:tc>
      </w:tr>
      <w:tr w:rsidR="004C6421" w14:paraId="7B45C98E" w14:textId="77777777">
        <w:trPr>
          <w:trHeight w:val="309"/>
        </w:trPr>
        <w:tc>
          <w:tcPr>
            <w:tcW w:w="115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B87D663" w14:textId="77777777" w:rsidR="004C6421" w:rsidRDefault="009D1962">
            <w:pPr>
              <w:pStyle w:val="P68B1DB1-Normal4"/>
              <w:jc w:val="center"/>
              <w:rPr>
                <w:rFonts w:eastAsiaTheme="minorEastAsia"/>
                <w:noProof/>
              </w:rPr>
            </w:pPr>
            <w:r>
              <w:rPr>
                <w:noProof/>
              </w:rPr>
              <w:t>M6C2-3</w:t>
            </w:r>
          </w:p>
        </w:tc>
        <w:tc>
          <w:tcPr>
            <w:tcW w:w="1985" w:type="dxa"/>
            <w:tcBorders>
              <w:top w:val="single" w:sz="4" w:space="0" w:color="auto"/>
              <w:left w:val="nil"/>
              <w:bottom w:val="single" w:sz="4" w:space="0" w:color="auto"/>
              <w:right w:val="single" w:sz="4" w:space="0" w:color="auto"/>
            </w:tcBorders>
            <w:shd w:val="clear" w:color="auto" w:fill="C6EFCE"/>
            <w:noWrap/>
            <w:vAlign w:val="center"/>
          </w:tcPr>
          <w:p w14:paraId="75383B99" w14:textId="77777777" w:rsidR="004C6421" w:rsidRDefault="009D1962">
            <w:pPr>
              <w:pStyle w:val="P68B1DB1-Normal4"/>
              <w:jc w:val="center"/>
              <w:rPr>
                <w:rFonts w:eastAsiaTheme="minorEastAsia"/>
                <w:noProof/>
              </w:rPr>
            </w:pPr>
            <w:r>
              <w:rPr>
                <w:noProof/>
              </w:rPr>
              <w:t>Inwestycja 2.1: Wzmocnienie i udoskonalenie badań biomedycznych NHS</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14:paraId="09536029" w14:textId="77777777" w:rsidR="004C6421" w:rsidRDefault="009D1962">
            <w:pPr>
              <w:pStyle w:val="P68B1DB1-Normal4"/>
              <w:jc w:val="center"/>
              <w:rPr>
                <w:rFonts w:eastAsiaTheme="minorEastAsia"/>
                <w:noProof/>
              </w:rPr>
            </w:pPr>
            <w:r>
              <w:rPr>
                <w:noProof/>
              </w:rPr>
              <w:t>Cel</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5E9CB6DF" w14:textId="77777777" w:rsidR="004C6421" w:rsidRDefault="009D1962">
            <w:pPr>
              <w:pStyle w:val="P68B1DB1-Normal4"/>
              <w:jc w:val="center"/>
              <w:rPr>
                <w:rFonts w:eastAsiaTheme="minorEastAsia"/>
                <w:noProof/>
              </w:rPr>
            </w:pPr>
            <w:r>
              <w:rPr>
                <w:noProof/>
              </w:rPr>
              <w:t>Finansowane projekty badawcze dotyczące chorób o dużym wpływie na zdrowie</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3D2068C5" w14:textId="77777777" w:rsidR="004C6421" w:rsidRDefault="009D1962">
            <w:pPr>
              <w:pStyle w:val="P68B1DB1-Normal4"/>
              <w:jc w:val="center"/>
              <w:rPr>
                <w:rFonts w:eastAsiaTheme="minorEastAsia"/>
                <w:noProof/>
              </w:rPr>
            </w:pPr>
            <w:r>
              <w:rPr>
                <w:noProof/>
              </w:rPr>
              <w:t>NIE DOT.</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1F602CA7" w14:textId="77777777" w:rsidR="004C6421" w:rsidRDefault="009D1962">
            <w:pPr>
              <w:pStyle w:val="P68B1DB1-Normal4"/>
              <w:jc w:val="center"/>
              <w:rPr>
                <w:rFonts w:eastAsiaTheme="minorEastAsia"/>
                <w:noProof/>
              </w:rPr>
            </w:pPr>
            <w:r>
              <w:rPr>
                <w:noProof/>
              </w:rPr>
              <w:t>Numer</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479DC966" w14:textId="77777777" w:rsidR="004C6421" w:rsidRDefault="009D1962">
            <w:pPr>
              <w:pStyle w:val="P68B1DB1-Normal4"/>
              <w:jc w:val="center"/>
              <w:rPr>
                <w:rFonts w:eastAsiaTheme="minorEastAsia"/>
                <w:noProof/>
              </w:rPr>
            </w:pPr>
            <w:r>
              <w:rPr>
                <w:noProof/>
              </w:rPr>
              <w:t>0</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0B4439E1" w14:textId="77777777" w:rsidR="004C6421" w:rsidRDefault="009D1962">
            <w:pPr>
              <w:pStyle w:val="P68B1DB1-Normal4"/>
              <w:jc w:val="center"/>
              <w:rPr>
                <w:rFonts w:eastAsiaTheme="minorEastAsia"/>
                <w:noProof/>
              </w:rPr>
            </w:pPr>
            <w:r>
              <w:rPr>
                <w:noProof/>
              </w:rPr>
              <w:t>324</w:t>
            </w:r>
          </w:p>
        </w:tc>
        <w:tc>
          <w:tcPr>
            <w:tcW w:w="850" w:type="dxa"/>
            <w:tcBorders>
              <w:top w:val="single" w:sz="4" w:space="0" w:color="auto"/>
              <w:left w:val="nil"/>
              <w:bottom w:val="single" w:sz="4" w:space="0" w:color="auto"/>
              <w:right w:val="single" w:sz="4" w:space="0" w:color="auto"/>
            </w:tcBorders>
            <w:shd w:val="clear" w:color="auto" w:fill="C6EFCE"/>
            <w:noWrap/>
            <w:vAlign w:val="center"/>
          </w:tcPr>
          <w:p w14:paraId="536D2ED3" w14:textId="11AB9539" w:rsidR="004C6421" w:rsidRDefault="00CC179E">
            <w:pPr>
              <w:pStyle w:val="P68B1DB1-Normal4"/>
              <w:jc w:val="center"/>
              <w:rPr>
                <w:rFonts w:eastAsiaTheme="minorEastAsia"/>
                <w:noProof/>
              </w:rPr>
            </w:pPr>
            <w:r>
              <w:rPr>
                <w:noProof/>
              </w:rPr>
              <w:t>KW. 4</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1EAA3670" w14:textId="77777777" w:rsidR="004C6421" w:rsidRDefault="009D1962">
            <w:pPr>
              <w:pStyle w:val="P68B1DB1-Normal4"/>
              <w:jc w:val="center"/>
              <w:rPr>
                <w:rFonts w:eastAsiaTheme="minorEastAsia"/>
                <w:noProof/>
              </w:rPr>
            </w:pPr>
            <w:r>
              <w:rPr>
                <w:noProof/>
              </w:rPr>
              <w:t>2025</w:t>
            </w:r>
          </w:p>
        </w:tc>
        <w:tc>
          <w:tcPr>
            <w:tcW w:w="2891" w:type="dxa"/>
            <w:tcBorders>
              <w:top w:val="single" w:sz="4" w:space="0" w:color="auto"/>
              <w:left w:val="nil"/>
              <w:bottom w:val="single" w:sz="4" w:space="0" w:color="auto"/>
              <w:right w:val="single" w:sz="4" w:space="0" w:color="auto"/>
            </w:tcBorders>
            <w:shd w:val="clear" w:color="auto" w:fill="C6EFCE"/>
            <w:noWrap/>
            <w:vAlign w:val="center"/>
          </w:tcPr>
          <w:p w14:paraId="02F71BBE" w14:textId="77777777" w:rsidR="004C6421" w:rsidRDefault="009D1962">
            <w:pPr>
              <w:rPr>
                <w:rFonts w:ascii="Arial Narrow" w:eastAsiaTheme="minorEastAsia" w:hAnsi="Arial Narrow"/>
                <w:noProof/>
                <w:color w:val="006100"/>
                <w:sz w:val="20"/>
              </w:rPr>
            </w:pPr>
            <w:r>
              <w:rPr>
                <w:rFonts w:ascii="Arial Narrow" w:hAnsi="Arial Narrow"/>
                <w:noProof/>
                <w:color w:val="006100"/>
                <w:sz w:val="20"/>
              </w:rPr>
              <w:t>Przyznanie finansowania programom/projektom badawczym w dziedzinie chorób o dużym wpływie na zdrowie.</w:t>
            </w:r>
            <w:r>
              <w:rPr>
                <w:rFonts w:ascii="Arial Narrow" w:hAnsi="Arial Narrow"/>
                <w:noProof/>
              </w:rPr>
              <w:t xml:space="preserve"> </w:t>
            </w:r>
            <w:r>
              <w:rPr>
                <w:noProof/>
              </w:rPr>
              <w:t xml:space="preserve">  </w:t>
            </w:r>
            <w:r>
              <w:rPr>
                <w:noProof/>
              </w:rPr>
              <w:br/>
            </w:r>
            <w:r>
              <w:rPr>
                <w:rFonts w:ascii="Arial Narrow" w:hAnsi="Arial Narrow"/>
                <w:noProof/>
                <w:color w:val="006100"/>
                <w:sz w:val="20"/>
              </w:rPr>
              <w:t>Przyznawanie środków finansowych na projekty badawcze dotyczące chorób o dużym wpływie na zdrowie odbywa się w drodze przetargu publicznego.</w:t>
            </w:r>
          </w:p>
          <w:p w14:paraId="5CEFEC36" w14:textId="77777777" w:rsidR="004C6421" w:rsidRDefault="009D1962">
            <w:pPr>
              <w:pStyle w:val="P68B1DB1-Normal4"/>
              <w:rPr>
                <w:rFonts w:eastAsiaTheme="minorEastAsia"/>
                <w:noProof/>
              </w:rPr>
            </w:pPr>
            <w:r>
              <w:rPr>
                <w:noProof/>
              </w:rPr>
              <w:t>Co najmniej 324 projekty badawcze otrzymały pierwszą transzę finansowania.</w:t>
            </w:r>
          </w:p>
        </w:tc>
      </w:tr>
    </w:tbl>
    <w:p w14:paraId="3F5239AF" w14:textId="77777777" w:rsidR="004C6421" w:rsidRDefault="004C6421">
      <w:pPr>
        <w:spacing w:before="120" w:after="120"/>
        <w:ind w:left="709"/>
        <w:jc w:val="both"/>
        <w:rPr>
          <w:noProof/>
        </w:rPr>
      </w:pPr>
    </w:p>
    <w:p w14:paraId="507BB408" w14:textId="77777777" w:rsidR="004C6421" w:rsidRDefault="004C6421">
      <w:pPr>
        <w:spacing w:before="120" w:after="120"/>
        <w:ind w:left="709"/>
        <w:jc w:val="both"/>
        <w:rPr>
          <w:noProof/>
        </w:rPr>
        <w:sectPr w:rsidR="004C6421" w:rsidSect="00797973">
          <w:headerReference w:type="even" r:id="rId392"/>
          <w:headerReference w:type="default" r:id="rId393"/>
          <w:footerReference w:type="even" r:id="rId394"/>
          <w:footerReference w:type="default" r:id="rId395"/>
          <w:headerReference w:type="first" r:id="rId396"/>
          <w:footerReference w:type="first" r:id="rId397"/>
          <w:pgSz w:w="16839" w:h="11907" w:orient="landscape"/>
          <w:pgMar w:top="720" w:right="720" w:bottom="720" w:left="720" w:header="709" w:footer="709" w:gutter="0"/>
          <w:cols w:space="720"/>
          <w:docGrid w:linePitch="360"/>
        </w:sectPr>
      </w:pPr>
    </w:p>
    <w:p w14:paraId="34B67F5B" w14:textId="77777777" w:rsidR="004C6421" w:rsidRDefault="009D1962">
      <w:pPr>
        <w:pStyle w:val="Heading3"/>
        <w:numPr>
          <w:ilvl w:val="0"/>
          <w:numId w:val="0"/>
        </w:numPr>
        <w:ind w:left="850" w:hanging="850"/>
        <w:rPr>
          <w:b/>
          <w:i w:val="0"/>
          <w:noProof/>
          <w:color w:val="4472C4" w:themeColor="accent1"/>
          <w:u w:val="single"/>
        </w:rPr>
      </w:pPr>
      <w:r>
        <w:rPr>
          <w:b/>
          <w:i w:val="0"/>
          <w:noProof/>
          <w:u w:val="single"/>
        </w:rPr>
        <w:t xml:space="preserve">P.3. </w:t>
      </w:r>
      <w:r>
        <w:rPr>
          <w:noProof/>
        </w:rPr>
        <w:t xml:space="preserve"> </w:t>
      </w:r>
      <w:r>
        <w:rPr>
          <w:b/>
          <w:i w:val="0"/>
          <w:noProof/>
          <w:u w:val="single"/>
        </w:rPr>
        <w:t xml:space="preserve">Opis reform i inwestycji związanych z pożyczką </w:t>
      </w:r>
    </w:p>
    <w:p w14:paraId="5840A7D7" w14:textId="77777777" w:rsidR="004C6421" w:rsidRDefault="009D1962">
      <w:pPr>
        <w:pStyle w:val="P68B1DB1-Normal2"/>
        <w:spacing w:before="120" w:after="120"/>
        <w:jc w:val="both"/>
        <w:rPr>
          <w:noProof/>
        </w:rPr>
      </w:pPr>
      <w:r>
        <w:rPr>
          <w:noProof/>
        </w:rPr>
        <w:t>Inwestycje 1.1: Cyfrowa aktualizacja sprzętu technologicznego szpitali</w:t>
      </w:r>
    </w:p>
    <w:p w14:paraId="4373BE85" w14:textId="77777777" w:rsidR="004C6421" w:rsidRDefault="009D1962">
      <w:pPr>
        <w:spacing w:before="120" w:after="120" w:line="259" w:lineRule="auto"/>
        <w:jc w:val="both"/>
        <w:rPr>
          <w:noProof/>
        </w:rPr>
      </w:pPr>
      <w:r>
        <w:rPr>
          <w:noProof/>
        </w:rPr>
        <w:t>Inwestycja ta polega na poprawie cyfryzacji opieki zdrowotnej w celu zwiększenia wydajności personelu, poprawy jakości procesów, zapewnienia bezpieczeństwa pacjentów i wysokiej jakości świadczenia usług. Inwestycja ma trzy linie interwencji:</w:t>
      </w:r>
    </w:p>
    <w:p w14:paraId="4A60BEDF" w14:textId="77777777" w:rsidR="004C6421" w:rsidRDefault="009D1962">
      <w:pPr>
        <w:numPr>
          <w:ilvl w:val="0"/>
          <w:numId w:val="50"/>
        </w:numPr>
        <w:spacing w:before="120" w:after="120" w:line="259" w:lineRule="auto"/>
        <w:ind w:left="360"/>
        <w:contextualSpacing/>
        <w:jc w:val="both"/>
        <w:rPr>
          <w:noProof/>
        </w:rPr>
      </w:pPr>
      <w:r>
        <w:rPr>
          <w:noProof/>
        </w:rPr>
        <w:t>Modernizacja dużego sprzętu medycznego poprzez zastąpienie przestarzałych modeli zaawansowanymi technologicznie. Zastępowany sprzęt może zostać zbyty lub przeniesiony do innych ośrodków krajowej służby zdrowia.</w:t>
      </w:r>
    </w:p>
    <w:p w14:paraId="7C874095" w14:textId="77777777" w:rsidR="004C6421" w:rsidRDefault="009D1962">
      <w:pPr>
        <w:numPr>
          <w:ilvl w:val="0"/>
          <w:numId w:val="50"/>
        </w:numPr>
        <w:spacing w:before="120" w:after="120" w:line="259" w:lineRule="auto"/>
        <w:ind w:left="360"/>
        <w:contextualSpacing/>
        <w:jc w:val="both"/>
        <w:rPr>
          <w:noProof/>
        </w:rPr>
      </w:pPr>
      <w:r>
        <w:rPr>
          <w:noProof/>
        </w:rPr>
        <w:t>Informatyzacja procesów szpitali z wydziałem ratunkowym pierwszego i drugiego stopnia („Dipartimenti Emergenza e Accettazione”, DEA).</w:t>
      </w:r>
    </w:p>
    <w:p w14:paraId="6BC59095" w14:textId="77777777" w:rsidR="004C6421" w:rsidRDefault="009D1962">
      <w:pPr>
        <w:numPr>
          <w:ilvl w:val="0"/>
          <w:numId w:val="50"/>
        </w:numPr>
        <w:spacing w:before="120" w:after="120" w:line="259" w:lineRule="auto"/>
        <w:ind w:left="360"/>
        <w:contextualSpacing/>
        <w:jc w:val="both"/>
        <w:rPr>
          <w:noProof/>
        </w:rPr>
      </w:pPr>
      <w:r>
        <w:rPr>
          <w:noProof/>
        </w:rPr>
        <w:t>Zwiększenie liczby łóżek w oddziałach intensywnej i półintensywnej opieki zdrowotnej w szpitalach krajowej służby zdrowia.</w:t>
      </w:r>
    </w:p>
    <w:p w14:paraId="15489918" w14:textId="77777777" w:rsidR="004C6421" w:rsidRDefault="009D1962">
      <w:pPr>
        <w:pStyle w:val="P68B1DB1-Normal2"/>
        <w:spacing w:before="120" w:after="120"/>
        <w:jc w:val="both"/>
        <w:rPr>
          <w:noProof/>
        </w:rPr>
      </w:pPr>
      <w:r>
        <w:rPr>
          <w:noProof/>
        </w:rPr>
        <w:t>Inwestycje 1.2: W kierunku bezpiecznego i zrównoważonego szpitala</w:t>
      </w:r>
    </w:p>
    <w:p w14:paraId="1D25F607" w14:textId="77777777" w:rsidR="004C6421" w:rsidRDefault="009D1962">
      <w:pPr>
        <w:spacing w:before="120" w:after="120" w:line="259" w:lineRule="auto"/>
        <w:jc w:val="both"/>
        <w:rPr>
          <w:noProof/>
        </w:rPr>
      </w:pPr>
      <w:r>
        <w:rPr>
          <w:noProof/>
        </w:rPr>
        <w:t>Inwestycja ta polega na dostosowaniu szpitali do przepisów antysejsmicznych. W tym celu przewiduje się dwie różne linie inwestycyjne:</w:t>
      </w:r>
    </w:p>
    <w:p w14:paraId="545C28E2" w14:textId="77777777" w:rsidR="004C6421" w:rsidRDefault="009D1962">
      <w:pPr>
        <w:pStyle w:val="ListParagraph"/>
        <w:numPr>
          <w:ilvl w:val="0"/>
          <w:numId w:val="52"/>
        </w:numPr>
        <w:spacing w:line="259" w:lineRule="auto"/>
        <w:ind w:left="360"/>
        <w:rPr>
          <w:noProof/>
        </w:rPr>
      </w:pPr>
      <w:r>
        <w:rPr>
          <w:noProof/>
        </w:rPr>
        <w:t>Działania w zakresie modernizacji i poprawy stanu sejsmicznego obiektów szpitalnych określone w badaniu potrzeb wyrażonych przez regiony.</w:t>
      </w:r>
    </w:p>
    <w:p w14:paraId="6E9944BC" w14:textId="77777777" w:rsidR="004C6421" w:rsidRDefault="009D1962">
      <w:pPr>
        <w:pStyle w:val="ListParagraph"/>
        <w:numPr>
          <w:ilvl w:val="0"/>
          <w:numId w:val="52"/>
        </w:numPr>
        <w:spacing w:line="259" w:lineRule="auto"/>
        <w:ind w:left="360"/>
        <w:rPr>
          <w:noProof/>
        </w:rPr>
      </w:pPr>
      <w:r>
        <w:rPr>
          <w:noProof/>
        </w:rPr>
        <w:t>Wieloletnia interwencja mająca na celu renowację i modernizację fizycznych i technologicznych ram nieruchomości w dziedzinie zdrowia publicznego.</w:t>
      </w:r>
    </w:p>
    <w:p w14:paraId="08EEC9F3" w14:textId="77777777" w:rsidR="004C6421" w:rsidRDefault="009D1962">
      <w:pPr>
        <w:pStyle w:val="P68B1DB1-Normal2"/>
        <w:spacing w:before="120" w:after="120"/>
        <w:jc w:val="both"/>
        <w:rPr>
          <w:noProof/>
        </w:rPr>
      </w:pPr>
      <w:r>
        <w:rPr>
          <w:noProof/>
        </w:rPr>
        <w:t>Inwestycja 1.3: Wzmocnienie infrastruktury technologicznej i narzędzi gromadzenia, przetwarzania danych, analizy i symulacji danych</w:t>
      </w:r>
    </w:p>
    <w:p w14:paraId="4BC62740" w14:textId="77777777" w:rsidR="004C6421" w:rsidRDefault="009D1962">
      <w:pPr>
        <w:spacing w:before="120" w:after="120" w:line="259" w:lineRule="auto"/>
        <w:jc w:val="both"/>
        <w:rPr>
          <w:noProof/>
        </w:rPr>
      </w:pPr>
      <w:r>
        <w:rPr>
          <w:noProof/>
        </w:rPr>
        <w:t>Inwestycja ta polega na znacznej poprawie infrastruktury technologicznej, która stanowi podstawę świadczenia opieki, analizy opieki zdrowotnej i zdolności prognostycznej włoskiego NHS. Inwestycja składa się z dwóch różnych projektów:</w:t>
      </w:r>
    </w:p>
    <w:p w14:paraId="0BDC9007" w14:textId="6C2D2F6A" w:rsidR="004C6421" w:rsidRDefault="009D1962">
      <w:pPr>
        <w:numPr>
          <w:ilvl w:val="0"/>
          <w:numId w:val="51"/>
        </w:numPr>
        <w:spacing w:before="120" w:after="120" w:line="259" w:lineRule="auto"/>
        <w:ind w:left="360"/>
        <w:contextualSpacing/>
        <w:jc w:val="both"/>
        <w:rPr>
          <w:noProof/>
          <w:u w:val="single"/>
        </w:rPr>
      </w:pPr>
      <w:r>
        <w:rPr>
          <w:noProof/>
        </w:rPr>
        <w:t>Wzmocnienie infrastruktury i wykorzystania istniejącej elektronicznej dokumentacji medycznej (EHR). Należy to osiągnąć, czyniąc je w pełni cyfrowym środowiskiem danych, a zatem jednorodnym, spójnym i przenośnym na całym terytorium kraju. Elektroniczna dokumentacja dokumentacji medycznej pełni trzy podstawowe funkcje: po pierwsze, umożliwia pracownikom służby zdrowia poleganie na tym samym źródle informacji klinicznych wyszczególniających całą historię medyczną pacjenta; po drugie, stanie się ona punktem dostępu obywateli i pacjentów do podstawowych usług świadczonych przez krajowe i regionalne systemy opieki zdrowotnej; po trzecie, administracje służby zdrowia są uprawnione do wykorzystywania danych klinicznych do przeprowadzania analizy zdrowia i poprawy świadczenia opieki zdrowotnej.</w:t>
      </w:r>
    </w:p>
    <w:p w14:paraId="278E24DA" w14:textId="77777777" w:rsidR="004C6421" w:rsidRDefault="009D1962">
      <w:pPr>
        <w:numPr>
          <w:ilvl w:val="0"/>
          <w:numId w:val="51"/>
        </w:numPr>
        <w:spacing w:before="120" w:after="120"/>
        <w:ind w:left="360"/>
        <w:contextualSpacing/>
        <w:jc w:val="both"/>
        <w:rPr>
          <w:noProof/>
          <w:u w:val="single"/>
        </w:rPr>
      </w:pPr>
      <w:r>
        <w:rPr>
          <w:noProof/>
        </w:rPr>
        <w:t xml:space="preserve">Wzmocnienie infrastruktury oraz instrumentów technologicznych i analitycznych Ministerstwa Zdrowia w celu monitorowania niezbędnych poziomów pomocy (LEA, tj. usług gwarantowanych przez ogólnokrajowe służby zdrowia) oraz planowania pomocy i usług opieki zdrowotnej zgodnie z potrzebami ludności i zmianami w zakresie tendencji demograficznych, innowacji i epidemiologii. Ten kluczowy i główny cel włoskiego Ministerstwa Zdrowia jest realizowany poprzez realizację następujących i zintegrowanych czterech celów cząstkowych: wzmocnienie infrastruktury włoskiego Ministerstwa Zdrowia, zintegrowanie danych klinicznych elektronicznej dokumentacji medycznej z danymi klinicznymi, administracyjnymi i dotyczącymi kosztów nowego systemu informacji o zdrowiu (NSIS) oraz z innymi informacjami i danymi dotyczącymi zdrowia w ramach podejścia „Jedno zdrowie” w celu monitorowania „LEA” oraz zapewnienia nadzoru nad zdrowiem i obserwacji zdrowia; (II) usprawnienie gromadzenia, przetwarzania i generowania danych NSIS na szczeblu lokalnym, przeprojektowanie i standaryzację procesu generowania danych na szczeblu regionalnym i lokalnym w celu udoskonalenia narzędzia NSIS służącego do pomiaru jakości, skuteczności i adekwatności NHS; (III) opracowanie zaawansowanych narzędzi analitycznych w celu oceny złożonych zjawisk i prognozowania scenariuszy w celu poprawy centralnej zdolności do planowania usług opieki zdrowotnej i wykrywania nowo pojawiających się chorób; (IV) utworzenie krajowej platformy, na której mogą się spotkać podaż i popyt na usługi telemedycyny ze strony akredytowanych usługodawców. </w:t>
      </w:r>
    </w:p>
    <w:p w14:paraId="13287D8A" w14:textId="77777777" w:rsidR="004C6421" w:rsidRDefault="009D1962">
      <w:pPr>
        <w:pStyle w:val="P68B1DB1-Normal2"/>
        <w:spacing w:before="120" w:after="120"/>
        <w:jc w:val="both"/>
        <w:rPr>
          <w:noProof/>
        </w:rPr>
      </w:pPr>
      <w:r>
        <w:rPr>
          <w:noProof/>
        </w:rPr>
        <w:t>Inwestycje 2.2: Rozwój umiejętności technicznych i zawodowych, cyfrowych i kierowniczych specjalistów w systemie opieki zdrowotnej</w:t>
      </w:r>
    </w:p>
    <w:p w14:paraId="1364CF68" w14:textId="77777777" w:rsidR="004C6421" w:rsidRDefault="009D1962">
      <w:pPr>
        <w:spacing w:before="120" w:after="120"/>
        <w:jc w:val="both"/>
        <w:rPr>
          <w:noProof/>
          <w:u w:val="single"/>
        </w:rPr>
      </w:pPr>
      <w:r>
        <w:rPr>
          <w:noProof/>
        </w:rPr>
        <w:t>Inwestycja ta polega na zwiększeniu stypendiów dla konkretnego kursu medycyny ogólnej; uruchomienie planu szkoleń w zakresie bezpieczeństwa w zakresie zakażeń szpitalnych dla wszystkich pracowników NHS; uruchomienie ścieżki szkoleniowej dla pracowników pełniących najwyższe funkcje w organach NHS w zakresie umiejętności kierowniczych i cyfrowych oraz finansowanie umów o specjalistyczne szkolenia medyczne.</w:t>
      </w:r>
    </w:p>
    <w:p w14:paraId="1D758C12" w14:textId="77777777" w:rsidR="004C6421" w:rsidRDefault="009D1962">
      <w:pPr>
        <w:pStyle w:val="Heading3"/>
        <w:numPr>
          <w:ilvl w:val="0"/>
          <w:numId w:val="0"/>
        </w:numPr>
        <w:ind w:left="850" w:hanging="850"/>
        <w:rPr>
          <w:b/>
          <w:i w:val="0"/>
          <w:noProof/>
          <w:u w:val="single"/>
        </w:rPr>
      </w:pPr>
      <w:r>
        <w:rPr>
          <w:b/>
          <w:i w:val="0"/>
          <w:noProof/>
          <w:u w:val="single"/>
        </w:rPr>
        <w:t xml:space="preserve">P.4. </w:t>
      </w:r>
      <w:r>
        <w:rPr>
          <w:noProof/>
        </w:rPr>
        <w:t xml:space="preserve"> </w:t>
      </w:r>
      <w:r>
        <w:rPr>
          <w:b/>
          <w:i w:val="0"/>
          <w:noProof/>
          <w:u w:val="single"/>
        </w:rPr>
        <w:t xml:space="preserve">Cele pośrednie, wartości docelowe, wskaźniki i harmonogram monitorowania i realizacji pożyczki </w:t>
      </w:r>
    </w:p>
    <w:p w14:paraId="418B465C" w14:textId="77777777" w:rsidR="004C6421" w:rsidRDefault="009D1962">
      <w:pPr>
        <w:pStyle w:val="P68B1DB1-Normal26"/>
        <w:spacing w:before="120" w:after="120"/>
        <w:ind w:left="709"/>
        <w:jc w:val="both"/>
        <w:rPr>
          <w:noProof/>
        </w:rPr>
      </w:pPr>
      <w:r>
        <w:rPr>
          <w:noProof/>
        </w:rPr>
        <w:t xml:space="preserve"> </w:t>
      </w:r>
    </w:p>
    <w:p w14:paraId="17171DA0" w14:textId="77777777" w:rsidR="004C6421" w:rsidRDefault="004C6421">
      <w:pPr>
        <w:spacing w:before="120" w:after="120"/>
        <w:ind w:left="709"/>
        <w:contextualSpacing/>
        <w:jc w:val="both"/>
        <w:rPr>
          <w:noProof/>
        </w:rPr>
        <w:sectPr w:rsidR="004C6421" w:rsidSect="00797973">
          <w:headerReference w:type="even" r:id="rId398"/>
          <w:headerReference w:type="default" r:id="rId399"/>
          <w:footerReference w:type="even" r:id="rId400"/>
          <w:footerReference w:type="default" r:id="rId401"/>
          <w:headerReference w:type="first" r:id="rId402"/>
          <w:footerReference w:type="first" r:id="rId403"/>
          <w:pgSz w:w="11907" w:h="16839"/>
          <w:pgMar w:top="1134" w:right="1417" w:bottom="1134" w:left="1417" w:header="709" w:footer="709" w:gutter="0"/>
          <w:cols w:space="720"/>
          <w:docGrid w:linePitch="360"/>
        </w:sectPr>
      </w:pPr>
    </w:p>
    <w:tbl>
      <w:tblPr>
        <w:tblW w:w="5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701"/>
        <w:gridCol w:w="1134"/>
        <w:gridCol w:w="1560"/>
        <w:gridCol w:w="1559"/>
        <w:gridCol w:w="1276"/>
        <w:gridCol w:w="992"/>
        <w:gridCol w:w="850"/>
        <w:gridCol w:w="851"/>
        <w:gridCol w:w="709"/>
        <w:gridCol w:w="2835"/>
      </w:tblGrid>
      <w:tr w:rsidR="004C6421" w14:paraId="5496D524" w14:textId="77777777">
        <w:trPr>
          <w:trHeight w:val="939"/>
          <w:tblHeader/>
          <w:jc w:val="center"/>
        </w:trPr>
        <w:tc>
          <w:tcPr>
            <w:tcW w:w="1129" w:type="dxa"/>
            <w:vMerge w:val="restart"/>
            <w:shd w:val="clear" w:color="auto" w:fill="BDD7EE"/>
            <w:vAlign w:val="center"/>
            <w:hideMark/>
          </w:tcPr>
          <w:p w14:paraId="6CD853AC" w14:textId="77777777" w:rsidR="004C6421" w:rsidRDefault="009D1962">
            <w:pPr>
              <w:pStyle w:val="P68B1DB1-Normal3"/>
              <w:spacing w:before="120" w:after="120"/>
              <w:jc w:val="center"/>
              <w:rPr>
                <w:noProof/>
              </w:rPr>
            </w:pPr>
            <w:r>
              <w:rPr>
                <w:noProof/>
              </w:rPr>
              <w:t>Numer porządkowy</w:t>
            </w:r>
          </w:p>
        </w:tc>
        <w:tc>
          <w:tcPr>
            <w:tcW w:w="1701" w:type="dxa"/>
            <w:vMerge w:val="restart"/>
            <w:shd w:val="clear" w:color="auto" w:fill="BDD7EE"/>
            <w:vAlign w:val="center"/>
            <w:hideMark/>
          </w:tcPr>
          <w:p w14:paraId="420ED170" w14:textId="77777777" w:rsidR="004C6421" w:rsidRDefault="009D1962">
            <w:pPr>
              <w:pStyle w:val="P68B1DB1-Normal3"/>
              <w:spacing w:before="120" w:after="120"/>
              <w:jc w:val="center"/>
              <w:rPr>
                <w:noProof/>
              </w:rPr>
            </w:pPr>
            <w:r>
              <w:rPr>
                <w:noProof/>
              </w:rPr>
              <w:t>Powiązane działanie (reforma lub inwestycja)</w:t>
            </w:r>
          </w:p>
        </w:tc>
        <w:tc>
          <w:tcPr>
            <w:tcW w:w="1134" w:type="dxa"/>
            <w:vMerge w:val="restart"/>
            <w:shd w:val="clear" w:color="auto" w:fill="BDD7EE"/>
            <w:vAlign w:val="center"/>
            <w:hideMark/>
          </w:tcPr>
          <w:p w14:paraId="4D859B84" w14:textId="77777777" w:rsidR="004C6421" w:rsidRDefault="009D1962">
            <w:pPr>
              <w:pStyle w:val="P68B1DB1-Normal3"/>
              <w:spacing w:before="120" w:after="120"/>
              <w:jc w:val="center"/>
              <w:rPr>
                <w:noProof/>
              </w:rPr>
            </w:pPr>
            <w:r>
              <w:rPr>
                <w:noProof/>
              </w:rPr>
              <w:t>Kamień milowy/wartość docelowa</w:t>
            </w:r>
          </w:p>
        </w:tc>
        <w:tc>
          <w:tcPr>
            <w:tcW w:w="1560" w:type="dxa"/>
            <w:vMerge w:val="restart"/>
            <w:shd w:val="clear" w:color="auto" w:fill="BDD7EE"/>
            <w:vAlign w:val="center"/>
            <w:hideMark/>
          </w:tcPr>
          <w:p w14:paraId="19ABEB06" w14:textId="77777777" w:rsidR="004C6421" w:rsidRDefault="009D1962">
            <w:pPr>
              <w:pStyle w:val="P68B1DB1-Normal3"/>
              <w:spacing w:before="120" w:after="120"/>
              <w:jc w:val="center"/>
              <w:rPr>
                <w:noProof/>
              </w:rPr>
            </w:pPr>
            <w:r>
              <w:rPr>
                <w:noProof/>
              </w:rPr>
              <w:t>Nazwa</w:t>
            </w:r>
          </w:p>
        </w:tc>
        <w:tc>
          <w:tcPr>
            <w:tcW w:w="1559" w:type="dxa"/>
            <w:vMerge w:val="restart"/>
            <w:shd w:val="clear" w:color="auto" w:fill="BDD7EE"/>
            <w:vAlign w:val="center"/>
            <w:hideMark/>
          </w:tcPr>
          <w:p w14:paraId="73641760" w14:textId="77777777" w:rsidR="004C6421" w:rsidRDefault="009D1962">
            <w:pPr>
              <w:spacing w:before="120" w:after="120"/>
              <w:jc w:val="center"/>
              <w:rPr>
                <w:rFonts w:ascii="Arial Narrow" w:hAnsi="Arial Narrow"/>
                <w:b/>
                <w:noProof/>
                <w:sz w:val="20"/>
              </w:rPr>
            </w:pPr>
            <w:r>
              <w:rPr>
                <w:rFonts w:ascii="Arial Narrow" w:hAnsi="Arial Narrow"/>
                <w:b/>
                <w:noProof/>
                <w:sz w:val="20"/>
              </w:rPr>
              <w:t xml:space="preserve">Wskaźniki jakościowe </w:t>
            </w:r>
            <w:r>
              <w:rPr>
                <w:rFonts w:ascii="Arial Narrow" w:hAnsi="Arial Narrow"/>
                <w:noProof/>
              </w:rPr>
              <w:t xml:space="preserve"> </w:t>
            </w:r>
            <w:r>
              <w:rPr>
                <w:noProof/>
              </w:rPr>
              <w:t xml:space="preserve">  </w:t>
            </w:r>
            <w:r>
              <w:rPr>
                <w:noProof/>
              </w:rPr>
              <w:br/>
            </w:r>
            <w:r>
              <w:rPr>
                <w:rFonts w:ascii="Arial Narrow" w:hAnsi="Arial Narrow"/>
                <w:b/>
                <w:noProof/>
                <w:sz w:val="20"/>
              </w:rPr>
              <w:t>(dla kamieni milowych)</w:t>
            </w:r>
          </w:p>
        </w:tc>
        <w:tc>
          <w:tcPr>
            <w:tcW w:w="3118" w:type="dxa"/>
            <w:gridSpan w:val="3"/>
            <w:shd w:val="clear" w:color="auto" w:fill="BDD7EE"/>
            <w:vAlign w:val="center"/>
            <w:hideMark/>
          </w:tcPr>
          <w:p w14:paraId="61E1A1AE" w14:textId="77777777" w:rsidR="004C6421" w:rsidRDefault="009D1962">
            <w:pPr>
              <w:spacing w:before="120" w:after="120"/>
              <w:jc w:val="center"/>
              <w:rPr>
                <w:rFonts w:ascii="Arial Narrow" w:hAnsi="Arial Narrow"/>
                <w:b/>
                <w:noProof/>
                <w:sz w:val="20"/>
              </w:rPr>
            </w:pPr>
            <w:r>
              <w:rPr>
                <w:rFonts w:ascii="Arial Narrow" w:hAnsi="Arial Narrow"/>
                <w:b/>
                <w:noProof/>
                <w:sz w:val="20"/>
              </w:rPr>
              <w:t xml:space="preserve">Wskaźniki ilościowe </w:t>
            </w:r>
            <w:r>
              <w:rPr>
                <w:rFonts w:ascii="Arial Narrow" w:hAnsi="Arial Narrow"/>
                <w:noProof/>
              </w:rPr>
              <w:t xml:space="preserve"> </w:t>
            </w:r>
            <w:r>
              <w:rPr>
                <w:noProof/>
              </w:rPr>
              <w:t xml:space="preserve">  </w:t>
            </w:r>
            <w:r>
              <w:rPr>
                <w:noProof/>
              </w:rPr>
              <w:br/>
            </w:r>
            <w:r>
              <w:rPr>
                <w:rFonts w:ascii="Arial Narrow" w:hAnsi="Arial Narrow"/>
                <w:b/>
                <w:noProof/>
                <w:sz w:val="20"/>
              </w:rPr>
              <w:t>(dla wartości docelowych)</w:t>
            </w:r>
          </w:p>
        </w:tc>
        <w:tc>
          <w:tcPr>
            <w:tcW w:w="1560" w:type="dxa"/>
            <w:gridSpan w:val="2"/>
            <w:shd w:val="clear" w:color="auto" w:fill="BDD7EE"/>
            <w:vAlign w:val="center"/>
            <w:hideMark/>
          </w:tcPr>
          <w:p w14:paraId="280467F4" w14:textId="77777777" w:rsidR="004C6421" w:rsidRDefault="009D1962">
            <w:pPr>
              <w:pStyle w:val="P68B1DB1-Normal3"/>
              <w:spacing w:before="120" w:after="120"/>
              <w:jc w:val="center"/>
              <w:rPr>
                <w:noProof/>
              </w:rPr>
            </w:pPr>
            <w:r>
              <w:rPr>
                <w:noProof/>
              </w:rPr>
              <w:t>Orientacyjny harmonogram zakończenia działania</w:t>
            </w:r>
          </w:p>
        </w:tc>
        <w:tc>
          <w:tcPr>
            <w:tcW w:w="2835" w:type="dxa"/>
            <w:vMerge w:val="restart"/>
            <w:shd w:val="clear" w:color="auto" w:fill="BDD7EE"/>
            <w:vAlign w:val="center"/>
            <w:hideMark/>
          </w:tcPr>
          <w:p w14:paraId="4C14CA04" w14:textId="77777777" w:rsidR="004C6421" w:rsidRDefault="009D1962">
            <w:pPr>
              <w:pStyle w:val="P68B1DB1-Normal3"/>
              <w:spacing w:before="120" w:after="120"/>
              <w:jc w:val="center"/>
              <w:rPr>
                <w:noProof/>
              </w:rPr>
            </w:pPr>
            <w:r>
              <w:rPr>
                <w:noProof/>
              </w:rPr>
              <w:t>Opis każdego kamienia milowego i każdej wartości docelowej</w:t>
            </w:r>
          </w:p>
        </w:tc>
      </w:tr>
      <w:tr w:rsidR="004C6421" w14:paraId="4C6EDF2A" w14:textId="77777777">
        <w:trPr>
          <w:trHeight w:val="883"/>
          <w:jc w:val="center"/>
        </w:trPr>
        <w:tc>
          <w:tcPr>
            <w:tcW w:w="1129" w:type="dxa"/>
            <w:vMerge/>
            <w:vAlign w:val="center"/>
            <w:hideMark/>
          </w:tcPr>
          <w:p w14:paraId="397BB02D" w14:textId="77777777" w:rsidR="004C6421" w:rsidRDefault="004C6421">
            <w:pPr>
              <w:spacing w:before="120" w:after="120"/>
              <w:jc w:val="center"/>
              <w:rPr>
                <w:rFonts w:ascii="Arial Narrow" w:hAnsi="Arial Narrow"/>
                <w:b/>
                <w:noProof/>
                <w:sz w:val="20"/>
              </w:rPr>
            </w:pPr>
          </w:p>
        </w:tc>
        <w:tc>
          <w:tcPr>
            <w:tcW w:w="1701" w:type="dxa"/>
            <w:vMerge/>
            <w:vAlign w:val="center"/>
            <w:hideMark/>
          </w:tcPr>
          <w:p w14:paraId="59228FFA" w14:textId="77777777" w:rsidR="004C6421" w:rsidRDefault="004C6421">
            <w:pPr>
              <w:spacing w:before="120" w:after="120"/>
              <w:jc w:val="center"/>
              <w:rPr>
                <w:rFonts w:ascii="Arial Narrow" w:hAnsi="Arial Narrow"/>
                <w:b/>
                <w:noProof/>
                <w:sz w:val="20"/>
              </w:rPr>
            </w:pPr>
          </w:p>
        </w:tc>
        <w:tc>
          <w:tcPr>
            <w:tcW w:w="1134" w:type="dxa"/>
            <w:vMerge/>
            <w:vAlign w:val="center"/>
            <w:hideMark/>
          </w:tcPr>
          <w:p w14:paraId="1DFA5DA9" w14:textId="77777777" w:rsidR="004C6421" w:rsidRDefault="004C6421">
            <w:pPr>
              <w:spacing w:before="120" w:after="120"/>
              <w:jc w:val="center"/>
              <w:rPr>
                <w:rFonts w:ascii="Arial Narrow" w:hAnsi="Arial Narrow"/>
                <w:b/>
                <w:noProof/>
                <w:sz w:val="20"/>
              </w:rPr>
            </w:pPr>
          </w:p>
        </w:tc>
        <w:tc>
          <w:tcPr>
            <w:tcW w:w="1560" w:type="dxa"/>
            <w:vMerge/>
            <w:vAlign w:val="center"/>
            <w:hideMark/>
          </w:tcPr>
          <w:p w14:paraId="28E7EF31" w14:textId="77777777" w:rsidR="004C6421" w:rsidRDefault="004C6421">
            <w:pPr>
              <w:spacing w:before="120" w:after="120"/>
              <w:jc w:val="center"/>
              <w:rPr>
                <w:rFonts w:ascii="Arial Narrow" w:hAnsi="Arial Narrow"/>
                <w:b/>
                <w:noProof/>
                <w:sz w:val="20"/>
              </w:rPr>
            </w:pPr>
          </w:p>
        </w:tc>
        <w:tc>
          <w:tcPr>
            <w:tcW w:w="1559" w:type="dxa"/>
            <w:vMerge/>
            <w:vAlign w:val="center"/>
            <w:hideMark/>
          </w:tcPr>
          <w:p w14:paraId="64CFF9A0" w14:textId="77777777" w:rsidR="004C6421" w:rsidRDefault="004C6421">
            <w:pPr>
              <w:spacing w:before="120" w:after="120"/>
              <w:jc w:val="center"/>
              <w:rPr>
                <w:rFonts w:ascii="Arial Narrow" w:hAnsi="Arial Narrow"/>
                <w:b/>
                <w:noProof/>
                <w:sz w:val="20"/>
              </w:rPr>
            </w:pPr>
          </w:p>
        </w:tc>
        <w:tc>
          <w:tcPr>
            <w:tcW w:w="1276" w:type="dxa"/>
            <w:shd w:val="clear" w:color="auto" w:fill="BDD7EE"/>
            <w:vAlign w:val="center"/>
            <w:hideMark/>
          </w:tcPr>
          <w:p w14:paraId="19A84C43" w14:textId="77777777" w:rsidR="004C6421" w:rsidRDefault="009D1962">
            <w:pPr>
              <w:pStyle w:val="P68B1DB1-Normal3"/>
              <w:spacing w:before="120" w:after="120"/>
              <w:jc w:val="center"/>
              <w:rPr>
                <w:noProof/>
              </w:rPr>
            </w:pPr>
            <w:r>
              <w:rPr>
                <w:noProof/>
              </w:rPr>
              <w:t>Jednostka miary</w:t>
            </w:r>
          </w:p>
        </w:tc>
        <w:tc>
          <w:tcPr>
            <w:tcW w:w="992" w:type="dxa"/>
            <w:shd w:val="clear" w:color="auto" w:fill="BDD7EE"/>
            <w:vAlign w:val="center"/>
            <w:hideMark/>
          </w:tcPr>
          <w:p w14:paraId="688277B6" w14:textId="77777777" w:rsidR="004C6421" w:rsidRDefault="009D1962">
            <w:pPr>
              <w:pStyle w:val="P68B1DB1-Normal3"/>
              <w:spacing w:before="120" w:after="120"/>
              <w:jc w:val="center"/>
              <w:rPr>
                <w:noProof/>
              </w:rPr>
            </w:pPr>
            <w:r>
              <w:rPr>
                <w:noProof/>
              </w:rPr>
              <w:t>Bazowy</w:t>
            </w:r>
          </w:p>
        </w:tc>
        <w:tc>
          <w:tcPr>
            <w:tcW w:w="850" w:type="dxa"/>
            <w:shd w:val="clear" w:color="auto" w:fill="BDD7EE"/>
            <w:vAlign w:val="center"/>
            <w:hideMark/>
          </w:tcPr>
          <w:p w14:paraId="703764FE" w14:textId="77777777" w:rsidR="004C6421" w:rsidRDefault="009D1962">
            <w:pPr>
              <w:pStyle w:val="P68B1DB1-Normal3"/>
              <w:spacing w:before="120" w:after="120"/>
              <w:jc w:val="center"/>
              <w:rPr>
                <w:noProof/>
              </w:rPr>
            </w:pPr>
            <w:r>
              <w:rPr>
                <w:noProof/>
              </w:rPr>
              <w:t>Cel</w:t>
            </w:r>
          </w:p>
        </w:tc>
        <w:tc>
          <w:tcPr>
            <w:tcW w:w="851" w:type="dxa"/>
            <w:shd w:val="clear" w:color="auto" w:fill="BDD7EE"/>
            <w:vAlign w:val="center"/>
            <w:hideMark/>
          </w:tcPr>
          <w:p w14:paraId="182A6959" w14:textId="77777777" w:rsidR="004C6421" w:rsidRDefault="009D1962">
            <w:pPr>
              <w:pStyle w:val="P68B1DB1-Normal3"/>
              <w:spacing w:before="120" w:after="120"/>
              <w:jc w:val="center"/>
              <w:rPr>
                <w:noProof/>
              </w:rPr>
            </w:pPr>
            <w:r>
              <w:rPr>
                <w:noProof/>
              </w:rPr>
              <w:t>Kwartał</w:t>
            </w:r>
          </w:p>
        </w:tc>
        <w:tc>
          <w:tcPr>
            <w:tcW w:w="709" w:type="dxa"/>
            <w:shd w:val="clear" w:color="auto" w:fill="BDD7EE"/>
            <w:vAlign w:val="center"/>
            <w:hideMark/>
          </w:tcPr>
          <w:p w14:paraId="2E184596" w14:textId="77777777" w:rsidR="004C6421" w:rsidRDefault="009D1962">
            <w:pPr>
              <w:pStyle w:val="P68B1DB1-Normal3"/>
              <w:spacing w:before="120" w:after="120"/>
              <w:jc w:val="center"/>
              <w:rPr>
                <w:noProof/>
              </w:rPr>
            </w:pPr>
            <w:r>
              <w:rPr>
                <w:noProof/>
              </w:rPr>
              <w:t>Rok</w:t>
            </w:r>
          </w:p>
        </w:tc>
        <w:tc>
          <w:tcPr>
            <w:tcW w:w="2835" w:type="dxa"/>
            <w:vMerge/>
            <w:vAlign w:val="center"/>
            <w:hideMark/>
          </w:tcPr>
          <w:p w14:paraId="7432658E" w14:textId="77777777" w:rsidR="004C6421" w:rsidRDefault="004C6421">
            <w:pPr>
              <w:spacing w:before="120" w:after="120"/>
              <w:rPr>
                <w:rFonts w:ascii="Arial Narrow" w:hAnsi="Arial Narrow"/>
                <w:b/>
                <w:noProof/>
                <w:sz w:val="20"/>
              </w:rPr>
            </w:pPr>
          </w:p>
        </w:tc>
      </w:tr>
      <w:tr w:rsidR="004C6421" w14:paraId="3A7F51FE" w14:textId="77777777">
        <w:trPr>
          <w:trHeight w:val="313"/>
          <w:jc w:val="center"/>
        </w:trPr>
        <w:tc>
          <w:tcPr>
            <w:tcW w:w="1129" w:type="dxa"/>
            <w:shd w:val="clear" w:color="auto" w:fill="C6EFCE"/>
            <w:noWrap/>
            <w:vAlign w:val="center"/>
          </w:tcPr>
          <w:p w14:paraId="54741B5C" w14:textId="77777777" w:rsidR="004C6421" w:rsidRDefault="009D1962">
            <w:pPr>
              <w:pStyle w:val="P68B1DB1-Normal4"/>
              <w:spacing w:before="120" w:after="120"/>
              <w:jc w:val="center"/>
              <w:rPr>
                <w:noProof/>
              </w:rPr>
            </w:pPr>
            <w:r>
              <w:rPr>
                <w:noProof/>
              </w:rPr>
              <w:t>M6C2-4</w:t>
            </w:r>
          </w:p>
        </w:tc>
        <w:tc>
          <w:tcPr>
            <w:tcW w:w="1701" w:type="dxa"/>
            <w:shd w:val="clear" w:color="auto" w:fill="C6EFCE"/>
            <w:noWrap/>
            <w:vAlign w:val="center"/>
          </w:tcPr>
          <w:p w14:paraId="054A6EBE" w14:textId="77777777" w:rsidR="004C6421" w:rsidRDefault="009D1962">
            <w:pPr>
              <w:pStyle w:val="P68B1DB1-Normal28"/>
              <w:spacing w:before="120" w:after="120"/>
              <w:jc w:val="center"/>
              <w:rPr>
                <w:noProof/>
                <w:color w:val="006100"/>
              </w:rPr>
            </w:pPr>
            <w:r>
              <w:rPr>
                <w:noProof/>
              </w:rPr>
              <w:t>Inwestycje 1.1: Cyfrowa aktualizacja sprzętu technologicznego szpitali</w:t>
            </w:r>
          </w:p>
        </w:tc>
        <w:tc>
          <w:tcPr>
            <w:tcW w:w="1134" w:type="dxa"/>
            <w:shd w:val="clear" w:color="auto" w:fill="C6EFCE"/>
            <w:noWrap/>
            <w:vAlign w:val="center"/>
          </w:tcPr>
          <w:p w14:paraId="13872C18" w14:textId="119D0671" w:rsidR="004C6421" w:rsidRDefault="00CC179E">
            <w:pPr>
              <w:pStyle w:val="P68B1DB1-Normal28"/>
              <w:spacing w:before="120" w:after="120"/>
              <w:jc w:val="center"/>
              <w:rPr>
                <w:noProof/>
                <w:color w:val="006100"/>
              </w:rPr>
            </w:pPr>
            <w:r>
              <w:rPr>
                <w:noProof/>
              </w:rPr>
              <w:t>Milowy</w:t>
            </w:r>
          </w:p>
        </w:tc>
        <w:tc>
          <w:tcPr>
            <w:tcW w:w="1560" w:type="dxa"/>
            <w:shd w:val="clear" w:color="auto" w:fill="C6EFCE"/>
            <w:noWrap/>
            <w:vAlign w:val="center"/>
          </w:tcPr>
          <w:p w14:paraId="43B3499E" w14:textId="77777777" w:rsidR="004C6421" w:rsidRDefault="009D1962">
            <w:pPr>
              <w:pStyle w:val="P68B1DB1-Normal28"/>
              <w:spacing w:before="120" w:after="120"/>
              <w:jc w:val="center"/>
              <w:rPr>
                <w:rFonts w:eastAsia="Calibri"/>
                <w:noProof/>
              </w:rPr>
            </w:pPr>
            <w:r>
              <w:rPr>
                <w:noProof/>
              </w:rPr>
              <w:t xml:space="preserve">Plan reorganizacji zatwierdzony przez Ministerstwo Zdrowia/regiony Włoch </w:t>
            </w:r>
          </w:p>
        </w:tc>
        <w:tc>
          <w:tcPr>
            <w:tcW w:w="1559" w:type="dxa"/>
            <w:shd w:val="clear" w:color="auto" w:fill="C6EFCE"/>
            <w:noWrap/>
            <w:vAlign w:val="center"/>
          </w:tcPr>
          <w:p w14:paraId="501C1561" w14:textId="77777777" w:rsidR="004C6421" w:rsidRDefault="009D1962">
            <w:pPr>
              <w:pStyle w:val="P68B1DB1-Normal28"/>
              <w:spacing w:before="120" w:after="120"/>
              <w:jc w:val="center"/>
              <w:rPr>
                <w:rFonts w:eastAsia="Calibri"/>
                <w:noProof/>
              </w:rPr>
            </w:pPr>
            <w:r>
              <w:rPr>
                <w:noProof/>
              </w:rPr>
              <w:t>Powiadomienie o zatwierdzeniu</w:t>
            </w:r>
          </w:p>
        </w:tc>
        <w:tc>
          <w:tcPr>
            <w:tcW w:w="1276" w:type="dxa"/>
            <w:shd w:val="clear" w:color="auto" w:fill="C6EFCE"/>
            <w:noWrap/>
            <w:vAlign w:val="center"/>
          </w:tcPr>
          <w:p w14:paraId="606D020D" w14:textId="77777777" w:rsidR="004C6421" w:rsidRDefault="009D1962">
            <w:pPr>
              <w:pStyle w:val="P68B1DB1-Normal28"/>
              <w:spacing w:before="120" w:after="120"/>
              <w:jc w:val="center"/>
              <w:rPr>
                <w:noProof/>
                <w:color w:val="006100"/>
              </w:rPr>
            </w:pPr>
            <w:r>
              <w:rPr>
                <w:noProof/>
              </w:rPr>
              <w:t>NIE DOT.</w:t>
            </w:r>
          </w:p>
        </w:tc>
        <w:tc>
          <w:tcPr>
            <w:tcW w:w="992" w:type="dxa"/>
            <w:shd w:val="clear" w:color="auto" w:fill="C6EFCE"/>
            <w:noWrap/>
            <w:vAlign w:val="center"/>
          </w:tcPr>
          <w:p w14:paraId="50F4A86E" w14:textId="77777777" w:rsidR="004C6421" w:rsidRDefault="009D1962">
            <w:pPr>
              <w:pStyle w:val="P68B1DB1-Normal28"/>
              <w:spacing w:before="120" w:after="120"/>
              <w:jc w:val="center"/>
              <w:rPr>
                <w:noProof/>
                <w:color w:val="006100"/>
              </w:rPr>
            </w:pPr>
            <w:r>
              <w:rPr>
                <w:noProof/>
              </w:rPr>
              <w:t>NIE DOT.</w:t>
            </w:r>
          </w:p>
        </w:tc>
        <w:tc>
          <w:tcPr>
            <w:tcW w:w="850" w:type="dxa"/>
            <w:shd w:val="clear" w:color="auto" w:fill="C6EFCE"/>
            <w:noWrap/>
            <w:vAlign w:val="center"/>
          </w:tcPr>
          <w:p w14:paraId="54EE5987" w14:textId="77777777" w:rsidR="004C6421" w:rsidRDefault="009D1962">
            <w:pPr>
              <w:pStyle w:val="P68B1DB1-Normal28"/>
              <w:spacing w:before="120" w:after="120"/>
              <w:jc w:val="center"/>
              <w:rPr>
                <w:noProof/>
                <w:color w:val="006100"/>
              </w:rPr>
            </w:pPr>
            <w:r>
              <w:rPr>
                <w:noProof/>
              </w:rPr>
              <w:t>NIE DOT.</w:t>
            </w:r>
          </w:p>
        </w:tc>
        <w:tc>
          <w:tcPr>
            <w:tcW w:w="851" w:type="dxa"/>
            <w:shd w:val="clear" w:color="auto" w:fill="C6EFCE"/>
            <w:noWrap/>
            <w:vAlign w:val="center"/>
          </w:tcPr>
          <w:p w14:paraId="56ED7A84" w14:textId="500CD2EC" w:rsidR="004C6421" w:rsidRDefault="00CC179E">
            <w:pPr>
              <w:pStyle w:val="P68B1DB1-Normal28"/>
              <w:spacing w:before="120" w:after="120"/>
              <w:jc w:val="center"/>
              <w:rPr>
                <w:noProof/>
                <w:color w:val="006100"/>
              </w:rPr>
            </w:pPr>
            <w:r>
              <w:rPr>
                <w:noProof/>
              </w:rPr>
              <w:t>KW. 4</w:t>
            </w:r>
          </w:p>
        </w:tc>
        <w:tc>
          <w:tcPr>
            <w:tcW w:w="709" w:type="dxa"/>
            <w:shd w:val="clear" w:color="auto" w:fill="C6EFCE"/>
            <w:noWrap/>
            <w:vAlign w:val="center"/>
          </w:tcPr>
          <w:p w14:paraId="6F81F80F" w14:textId="77777777" w:rsidR="004C6421" w:rsidRDefault="009D1962">
            <w:pPr>
              <w:pStyle w:val="P68B1DB1-Normal28"/>
              <w:spacing w:before="120" w:after="120"/>
              <w:jc w:val="center"/>
              <w:rPr>
                <w:noProof/>
                <w:color w:val="006100"/>
              </w:rPr>
            </w:pPr>
            <w:r>
              <w:rPr>
                <w:noProof/>
              </w:rPr>
              <w:t>2021</w:t>
            </w:r>
          </w:p>
        </w:tc>
        <w:tc>
          <w:tcPr>
            <w:tcW w:w="2835" w:type="dxa"/>
            <w:shd w:val="clear" w:color="auto" w:fill="C6EFCE"/>
            <w:noWrap/>
            <w:vAlign w:val="center"/>
          </w:tcPr>
          <w:p w14:paraId="68165D0B" w14:textId="77777777" w:rsidR="004C6421" w:rsidRDefault="009D1962">
            <w:pPr>
              <w:pStyle w:val="P68B1DB1-Normal28"/>
              <w:spacing w:before="120" w:after="120"/>
              <w:rPr>
                <w:noProof/>
              </w:rPr>
            </w:pPr>
            <w:r>
              <w:rPr>
                <w:noProof/>
              </w:rPr>
              <w:t>Zatwierdzenie planu reorganizacji mającego na celu wzmocnienie zdolności szpitali NHS do odpowiedniego reagowania na sytuacje nadzwyczajne związane z pandemią poprzez zwiększenie liczby łóżek na oddziałach intensywnej i podintensywnej opieki medycznej.</w:t>
            </w:r>
          </w:p>
          <w:p w14:paraId="3CFC6A1B" w14:textId="77777777" w:rsidR="004C6421" w:rsidRDefault="009D1962">
            <w:pPr>
              <w:pStyle w:val="P68B1DB1-Normal28"/>
              <w:spacing w:before="120" w:after="120"/>
              <w:rPr>
                <w:noProof/>
              </w:rPr>
            </w:pPr>
            <w:r>
              <w:rPr>
                <w:noProof/>
              </w:rPr>
              <w:t>Plan reorganizacji szpitali zwiększa liczbę łóżek dostępnych na oddziałach intensywnej i półintensywnej opieki medycznej w szpitalach NHS.</w:t>
            </w:r>
          </w:p>
        </w:tc>
      </w:tr>
      <w:tr w:rsidR="004C6421" w14:paraId="14481563" w14:textId="77777777">
        <w:trPr>
          <w:trHeight w:val="313"/>
          <w:jc w:val="center"/>
        </w:trPr>
        <w:tc>
          <w:tcPr>
            <w:tcW w:w="1129" w:type="dxa"/>
            <w:shd w:val="clear" w:color="auto" w:fill="C6EFCE"/>
            <w:noWrap/>
            <w:vAlign w:val="center"/>
          </w:tcPr>
          <w:p w14:paraId="4179625A" w14:textId="77777777" w:rsidR="004C6421" w:rsidRDefault="009D1962">
            <w:pPr>
              <w:pStyle w:val="P68B1DB1-Normal4"/>
              <w:spacing w:before="120" w:after="120"/>
              <w:jc w:val="center"/>
              <w:rPr>
                <w:noProof/>
              </w:rPr>
            </w:pPr>
            <w:r>
              <w:rPr>
                <w:noProof/>
              </w:rPr>
              <w:t>M6C2-5</w:t>
            </w:r>
          </w:p>
        </w:tc>
        <w:tc>
          <w:tcPr>
            <w:tcW w:w="1701" w:type="dxa"/>
            <w:shd w:val="clear" w:color="auto" w:fill="C6EFCE"/>
            <w:noWrap/>
            <w:vAlign w:val="center"/>
          </w:tcPr>
          <w:p w14:paraId="68BEF1CE" w14:textId="77777777" w:rsidR="004C6421" w:rsidRDefault="009D1962">
            <w:pPr>
              <w:pStyle w:val="P68B1DB1-Normal28"/>
              <w:spacing w:before="120" w:after="120"/>
              <w:jc w:val="center"/>
              <w:rPr>
                <w:noProof/>
                <w:color w:val="006100"/>
              </w:rPr>
            </w:pPr>
            <w:r>
              <w:rPr>
                <w:noProof/>
              </w:rPr>
              <w:t>Inwestycje 1.1: Cyfrowa aktualizacja sprzętu technologicznego szpitali</w:t>
            </w:r>
          </w:p>
        </w:tc>
        <w:tc>
          <w:tcPr>
            <w:tcW w:w="1134" w:type="dxa"/>
            <w:shd w:val="clear" w:color="auto" w:fill="C6EFCE"/>
            <w:noWrap/>
            <w:vAlign w:val="center"/>
          </w:tcPr>
          <w:p w14:paraId="004F673F" w14:textId="17049894" w:rsidR="004C6421" w:rsidRDefault="00CC179E">
            <w:pPr>
              <w:pStyle w:val="P68B1DB1-Normal28"/>
              <w:spacing w:before="120" w:after="120"/>
              <w:jc w:val="center"/>
              <w:rPr>
                <w:noProof/>
                <w:color w:val="006100"/>
              </w:rPr>
            </w:pPr>
            <w:r>
              <w:rPr>
                <w:noProof/>
              </w:rPr>
              <w:t>Milowy</w:t>
            </w:r>
          </w:p>
        </w:tc>
        <w:tc>
          <w:tcPr>
            <w:tcW w:w="1560" w:type="dxa"/>
            <w:shd w:val="clear" w:color="auto" w:fill="C6EFCE"/>
            <w:noWrap/>
            <w:vAlign w:val="center"/>
          </w:tcPr>
          <w:p w14:paraId="01389596" w14:textId="77777777" w:rsidR="004C6421" w:rsidRDefault="009D1962">
            <w:pPr>
              <w:pStyle w:val="P68B1DB1-Normal28"/>
              <w:spacing w:before="120" w:after="120"/>
              <w:jc w:val="center"/>
              <w:rPr>
                <w:rFonts w:eastAsia="Calibri"/>
                <w:noProof/>
              </w:rPr>
            </w:pPr>
            <w:r>
              <w:rPr>
                <w:noProof/>
              </w:rPr>
              <w:t xml:space="preserve"> Zatwierdzenie umowy o rozwój instytucjonalny </w:t>
            </w:r>
          </w:p>
        </w:tc>
        <w:tc>
          <w:tcPr>
            <w:tcW w:w="1559" w:type="dxa"/>
            <w:shd w:val="clear" w:color="auto" w:fill="C6EFCE"/>
            <w:noWrap/>
            <w:vAlign w:val="center"/>
          </w:tcPr>
          <w:p w14:paraId="72CF49B9" w14:textId="77777777" w:rsidR="004C6421" w:rsidRDefault="009D1962">
            <w:pPr>
              <w:pStyle w:val="P68B1DB1-Normal28"/>
              <w:spacing w:before="120" w:after="120"/>
              <w:jc w:val="center"/>
              <w:rPr>
                <w:noProof/>
              </w:rPr>
            </w:pPr>
            <w:r>
              <w:rPr>
                <w:noProof/>
              </w:rPr>
              <w:t>Powiadomienie o podpisaniu umowy o rozwój instytucjonalny przez Ministerstwo Zdrowia i regiony włoskie NIE DOT.</w:t>
            </w:r>
          </w:p>
        </w:tc>
        <w:tc>
          <w:tcPr>
            <w:tcW w:w="1276" w:type="dxa"/>
            <w:shd w:val="clear" w:color="auto" w:fill="C6EFCE"/>
            <w:noWrap/>
            <w:vAlign w:val="center"/>
          </w:tcPr>
          <w:p w14:paraId="154C2932" w14:textId="77777777" w:rsidR="004C6421" w:rsidRDefault="009D1962">
            <w:pPr>
              <w:pStyle w:val="P68B1DB1-Normal28"/>
              <w:spacing w:before="120" w:after="120"/>
              <w:jc w:val="center"/>
              <w:rPr>
                <w:noProof/>
                <w:color w:val="006100"/>
              </w:rPr>
            </w:pPr>
            <w:r>
              <w:rPr>
                <w:noProof/>
              </w:rPr>
              <w:t>NIE DOT.</w:t>
            </w:r>
          </w:p>
        </w:tc>
        <w:tc>
          <w:tcPr>
            <w:tcW w:w="992" w:type="dxa"/>
            <w:shd w:val="clear" w:color="auto" w:fill="C6EFCE"/>
            <w:noWrap/>
            <w:vAlign w:val="center"/>
          </w:tcPr>
          <w:p w14:paraId="25D51A17" w14:textId="77777777" w:rsidR="004C6421" w:rsidRDefault="009D1962">
            <w:pPr>
              <w:pStyle w:val="P68B1DB1-Normal28"/>
              <w:spacing w:before="120" w:after="120"/>
              <w:jc w:val="center"/>
              <w:rPr>
                <w:noProof/>
                <w:color w:val="006100"/>
              </w:rPr>
            </w:pPr>
            <w:r>
              <w:rPr>
                <w:noProof/>
              </w:rPr>
              <w:t>NIE DOT.</w:t>
            </w:r>
          </w:p>
        </w:tc>
        <w:tc>
          <w:tcPr>
            <w:tcW w:w="850" w:type="dxa"/>
            <w:shd w:val="clear" w:color="auto" w:fill="C6EFCE"/>
            <w:noWrap/>
            <w:vAlign w:val="center"/>
          </w:tcPr>
          <w:p w14:paraId="7B569D4C" w14:textId="77777777" w:rsidR="004C6421" w:rsidRDefault="009D1962">
            <w:pPr>
              <w:pStyle w:val="P68B1DB1-Normal28"/>
              <w:spacing w:before="120" w:after="120"/>
              <w:jc w:val="center"/>
              <w:rPr>
                <w:noProof/>
                <w:color w:val="006100"/>
              </w:rPr>
            </w:pPr>
            <w:r>
              <w:rPr>
                <w:noProof/>
              </w:rPr>
              <w:t>NIE DOT.</w:t>
            </w:r>
          </w:p>
        </w:tc>
        <w:tc>
          <w:tcPr>
            <w:tcW w:w="851" w:type="dxa"/>
            <w:shd w:val="clear" w:color="auto" w:fill="C6EFCE"/>
            <w:noWrap/>
            <w:vAlign w:val="center"/>
          </w:tcPr>
          <w:p w14:paraId="44DD6E9C" w14:textId="77777777" w:rsidR="004C6421" w:rsidRDefault="009D1962">
            <w:pPr>
              <w:pStyle w:val="P68B1DB1-Normal28"/>
              <w:spacing w:before="120" w:after="120"/>
              <w:jc w:val="center"/>
              <w:rPr>
                <w:noProof/>
                <w:color w:val="006100"/>
              </w:rPr>
            </w:pPr>
            <w:r>
              <w:rPr>
                <w:noProof/>
              </w:rPr>
              <w:t>II KW.</w:t>
            </w:r>
          </w:p>
        </w:tc>
        <w:tc>
          <w:tcPr>
            <w:tcW w:w="709" w:type="dxa"/>
            <w:shd w:val="clear" w:color="auto" w:fill="C6EFCE"/>
            <w:noWrap/>
            <w:vAlign w:val="center"/>
          </w:tcPr>
          <w:p w14:paraId="7DE93634" w14:textId="77777777" w:rsidR="004C6421" w:rsidRDefault="009D1962">
            <w:pPr>
              <w:pStyle w:val="P68B1DB1-Normal28"/>
              <w:spacing w:before="120" w:after="120"/>
              <w:jc w:val="center"/>
              <w:rPr>
                <w:noProof/>
                <w:color w:val="006100"/>
              </w:rPr>
            </w:pPr>
            <w:r>
              <w:rPr>
                <w:noProof/>
              </w:rPr>
              <w:t>2022</w:t>
            </w:r>
          </w:p>
        </w:tc>
        <w:tc>
          <w:tcPr>
            <w:tcW w:w="2835" w:type="dxa"/>
            <w:shd w:val="clear" w:color="auto" w:fill="C6EFCE"/>
            <w:noWrap/>
            <w:vAlign w:val="center"/>
          </w:tcPr>
          <w:p w14:paraId="76D1596E" w14:textId="77777777" w:rsidR="004C6421" w:rsidRDefault="009D1962">
            <w:pPr>
              <w:pStyle w:val="P68B1DB1-Normal28"/>
              <w:spacing w:before="120" w:after="120"/>
              <w:rPr>
                <w:rFonts w:eastAsia="Calibri"/>
                <w:noProof/>
              </w:rPr>
            </w:pPr>
            <w:r>
              <w:rPr>
                <w:noProof/>
              </w:rPr>
              <w:t>Zatwierdzenie umowy na rzecz rozwoju instytucjonalnego (Contratto Istituzionale di Sviluppo) z włoskim Ministerstwem Zdrowia jako organem odpowiedzialnym i wykonawczym oraz z udziałem administracji regionalnych i innych kluczowych zainteresowanych stron.</w:t>
            </w:r>
          </w:p>
          <w:p w14:paraId="5860CA92" w14:textId="77777777" w:rsidR="004C6421" w:rsidRDefault="009D1962">
            <w:pPr>
              <w:pStyle w:val="P68B1DB1-Normal28"/>
              <w:spacing w:before="120" w:after="120"/>
              <w:rPr>
                <w:rFonts w:eastAsia="Calibri"/>
                <w:noProof/>
              </w:rPr>
            </w:pPr>
            <w:r>
              <w:rPr>
                <w:noProof/>
              </w:rPr>
              <w:t>Umowa o rozwój instytucjonalny jest narzędziem określonym w obowiązujących przepisach krajowych (połączone przepisy art. 1 i art. 6 dekretu ustawodawczego nr 88 z dnia 31 maja 2011 r. oraz art. 7 dekretu ustawodawczego nr 91 z dnia 20 czerwca 2017 r., ustawą nr 123 z sierpnia 2017 r.) w celu przyspieszenia realizacji projektów strategicznych, funkcjonalnie powiązanych ze sobą. W umowie na rzecz rozwoju instytucjonalnego wymienia się wszystkie odpowiednie miejsca wskazane dla iinwestycji, jak również obowiązki, które każdy region przyjmie w celu zagwarantowania osiągnięcia oczekiwanych rezultatów. W przypadku naruszenia przepisów przez jakikolwiek region Ministerstwo Zdrowia przystępuje do komisarza „ad acta”.</w:t>
            </w:r>
          </w:p>
        </w:tc>
      </w:tr>
      <w:tr w:rsidR="004C6421" w14:paraId="75B44EDA" w14:textId="77777777">
        <w:trPr>
          <w:trHeight w:val="313"/>
          <w:jc w:val="center"/>
        </w:trPr>
        <w:tc>
          <w:tcPr>
            <w:tcW w:w="1129" w:type="dxa"/>
            <w:shd w:val="clear" w:color="auto" w:fill="C6EFCE"/>
            <w:noWrap/>
            <w:vAlign w:val="center"/>
          </w:tcPr>
          <w:p w14:paraId="2C694258" w14:textId="77777777" w:rsidR="004C6421" w:rsidRDefault="009D1962">
            <w:pPr>
              <w:pStyle w:val="P68B1DB1-Normal4"/>
              <w:spacing w:before="120" w:after="120"/>
              <w:jc w:val="center"/>
              <w:rPr>
                <w:noProof/>
              </w:rPr>
            </w:pPr>
            <w:r>
              <w:rPr>
                <w:noProof/>
              </w:rPr>
              <w:t>M6C2-6</w:t>
            </w:r>
          </w:p>
        </w:tc>
        <w:tc>
          <w:tcPr>
            <w:tcW w:w="1701" w:type="dxa"/>
            <w:shd w:val="clear" w:color="auto" w:fill="C6EFCE"/>
            <w:noWrap/>
            <w:vAlign w:val="center"/>
          </w:tcPr>
          <w:p w14:paraId="5D22F977" w14:textId="77777777" w:rsidR="004C6421" w:rsidRDefault="009D1962">
            <w:pPr>
              <w:pStyle w:val="P68B1DB1-Normal28"/>
              <w:spacing w:before="120" w:after="120"/>
              <w:jc w:val="center"/>
              <w:rPr>
                <w:noProof/>
                <w:color w:val="006100"/>
              </w:rPr>
            </w:pPr>
            <w:r>
              <w:rPr>
                <w:noProof/>
              </w:rPr>
              <w:t>Inwestycje 1.1: Cyfrowa aktualizacja sprzętu technologicznego szpitali</w:t>
            </w:r>
          </w:p>
        </w:tc>
        <w:tc>
          <w:tcPr>
            <w:tcW w:w="1134" w:type="dxa"/>
            <w:shd w:val="clear" w:color="auto" w:fill="C6EFCE"/>
            <w:noWrap/>
            <w:vAlign w:val="center"/>
          </w:tcPr>
          <w:p w14:paraId="21C93FB8" w14:textId="77777777" w:rsidR="004C6421" w:rsidRDefault="009D1962">
            <w:pPr>
              <w:pStyle w:val="P68B1DB1-Normal28"/>
              <w:spacing w:before="120" w:after="120"/>
              <w:jc w:val="center"/>
              <w:rPr>
                <w:noProof/>
                <w:color w:val="006100"/>
              </w:rPr>
            </w:pPr>
            <w:r>
              <w:rPr>
                <w:noProof/>
              </w:rPr>
              <w:t>Cel</w:t>
            </w:r>
          </w:p>
        </w:tc>
        <w:tc>
          <w:tcPr>
            <w:tcW w:w="1560" w:type="dxa"/>
            <w:shd w:val="clear" w:color="auto" w:fill="C6EFCE"/>
            <w:noWrap/>
            <w:vAlign w:val="center"/>
          </w:tcPr>
          <w:p w14:paraId="409E487D" w14:textId="77777777" w:rsidR="004C6421" w:rsidRDefault="009D1962">
            <w:pPr>
              <w:pStyle w:val="P68B1DB1-Normal28"/>
              <w:spacing w:before="120" w:after="120"/>
              <w:jc w:val="center"/>
              <w:rPr>
                <w:noProof/>
                <w:color w:val="006100"/>
              </w:rPr>
            </w:pPr>
            <w:r>
              <w:rPr>
                <w:noProof/>
              </w:rPr>
              <w:t>Eksploatacja dużego sprzętu sanitarnego</w:t>
            </w:r>
          </w:p>
        </w:tc>
        <w:tc>
          <w:tcPr>
            <w:tcW w:w="1559" w:type="dxa"/>
            <w:shd w:val="clear" w:color="auto" w:fill="C6EFCE"/>
            <w:noWrap/>
            <w:vAlign w:val="center"/>
          </w:tcPr>
          <w:p w14:paraId="134FCAAA" w14:textId="77777777" w:rsidR="004C6421" w:rsidRDefault="009D1962">
            <w:pPr>
              <w:pStyle w:val="P68B1DB1-Normal28"/>
              <w:spacing w:before="120" w:after="120"/>
              <w:jc w:val="center"/>
              <w:rPr>
                <w:noProof/>
                <w:color w:val="006100"/>
              </w:rPr>
            </w:pPr>
            <w:r>
              <w:rPr>
                <w:noProof/>
              </w:rPr>
              <w:t>NIE DOT.</w:t>
            </w:r>
          </w:p>
        </w:tc>
        <w:tc>
          <w:tcPr>
            <w:tcW w:w="1276" w:type="dxa"/>
            <w:shd w:val="clear" w:color="auto" w:fill="C6EFCE"/>
            <w:noWrap/>
            <w:vAlign w:val="center"/>
          </w:tcPr>
          <w:p w14:paraId="771E9AC5" w14:textId="77777777" w:rsidR="004C6421" w:rsidRDefault="009D1962">
            <w:pPr>
              <w:pStyle w:val="P68B1DB1-Normal28"/>
              <w:spacing w:before="120" w:after="120"/>
              <w:jc w:val="center"/>
              <w:rPr>
                <w:noProof/>
                <w:color w:val="006100"/>
              </w:rPr>
            </w:pPr>
            <w:r>
              <w:rPr>
                <w:noProof/>
              </w:rPr>
              <w:t>Numer</w:t>
            </w:r>
          </w:p>
        </w:tc>
        <w:tc>
          <w:tcPr>
            <w:tcW w:w="992" w:type="dxa"/>
            <w:shd w:val="clear" w:color="auto" w:fill="C6EFCE"/>
            <w:noWrap/>
            <w:vAlign w:val="center"/>
          </w:tcPr>
          <w:p w14:paraId="6C246E8D" w14:textId="77777777" w:rsidR="004C6421" w:rsidRDefault="009D1962">
            <w:pPr>
              <w:pStyle w:val="P68B1DB1-Normal28"/>
              <w:spacing w:before="120" w:after="120"/>
              <w:jc w:val="center"/>
              <w:rPr>
                <w:noProof/>
                <w:color w:val="006100"/>
              </w:rPr>
            </w:pPr>
            <w:r>
              <w:rPr>
                <w:noProof/>
              </w:rPr>
              <w:t>0</w:t>
            </w:r>
          </w:p>
        </w:tc>
        <w:tc>
          <w:tcPr>
            <w:tcW w:w="850" w:type="dxa"/>
            <w:shd w:val="clear" w:color="auto" w:fill="C6EFCE"/>
            <w:noWrap/>
            <w:vAlign w:val="center"/>
          </w:tcPr>
          <w:p w14:paraId="4CB20225" w14:textId="77777777" w:rsidR="004C6421" w:rsidRDefault="009D1962">
            <w:pPr>
              <w:pStyle w:val="P68B1DB1-Normal28"/>
              <w:spacing w:before="120" w:after="120"/>
              <w:jc w:val="center"/>
              <w:rPr>
                <w:noProof/>
                <w:color w:val="006100"/>
              </w:rPr>
            </w:pPr>
            <w:r>
              <w:rPr>
                <w:noProof/>
              </w:rPr>
              <w:t>3100</w:t>
            </w:r>
          </w:p>
        </w:tc>
        <w:tc>
          <w:tcPr>
            <w:tcW w:w="851" w:type="dxa"/>
            <w:shd w:val="clear" w:color="auto" w:fill="C6EFCE"/>
            <w:noWrap/>
            <w:vAlign w:val="center"/>
          </w:tcPr>
          <w:p w14:paraId="64092712" w14:textId="77777777" w:rsidR="004C6421" w:rsidRDefault="009D1962">
            <w:pPr>
              <w:pStyle w:val="P68B1DB1-Normal28"/>
              <w:spacing w:before="120" w:after="120"/>
              <w:jc w:val="center"/>
              <w:rPr>
                <w:noProof/>
              </w:rPr>
            </w:pPr>
            <w:r>
              <w:rPr>
                <w:noProof/>
              </w:rPr>
              <w:t>II KW.</w:t>
            </w:r>
          </w:p>
        </w:tc>
        <w:tc>
          <w:tcPr>
            <w:tcW w:w="709" w:type="dxa"/>
            <w:shd w:val="clear" w:color="auto" w:fill="C6EFCE"/>
            <w:noWrap/>
            <w:vAlign w:val="center"/>
          </w:tcPr>
          <w:p w14:paraId="4E2CD161" w14:textId="77777777" w:rsidR="004C6421" w:rsidRDefault="009D1962">
            <w:pPr>
              <w:pStyle w:val="P68B1DB1-Normal28"/>
              <w:spacing w:before="120" w:after="120"/>
              <w:jc w:val="center"/>
              <w:rPr>
                <w:noProof/>
              </w:rPr>
            </w:pPr>
            <w:r>
              <w:rPr>
                <w:noProof/>
              </w:rPr>
              <w:t>2026</w:t>
            </w:r>
          </w:p>
        </w:tc>
        <w:tc>
          <w:tcPr>
            <w:tcW w:w="2835" w:type="dxa"/>
            <w:shd w:val="clear" w:color="auto" w:fill="C6EFCE"/>
            <w:noWrap/>
            <w:vAlign w:val="center"/>
          </w:tcPr>
          <w:p w14:paraId="28694909" w14:textId="77777777" w:rsidR="004C6421" w:rsidRDefault="009D1962">
            <w:pPr>
              <w:pStyle w:val="P68B1DB1-Normal28"/>
              <w:spacing w:before="120" w:after="120"/>
              <w:rPr>
                <w:noProof/>
              </w:rPr>
            </w:pPr>
            <w:r>
              <w:rPr>
                <w:noProof/>
              </w:rPr>
              <w:t>Liczba i typologie urządzeń, które należy zastąpić, są następujące: 333 CT (tomografia komputerowa) z 128 plasterkami lub więcej, 178 NMR (jądrowy rezonans magnetyczny) przy 1,5 T lub więcej, 78 akceleratorów liniowych, 932 stałe systemy rentgenowskie, 193 angiografia, 78 kamer Gamma, 51 skanów kamer Gamma/CT (tomografia komputerowa), 34 PET (tomografia elektroemiczna), CT (tomografia komputerowa), 295 mammografia, 928 Ultrasound).</w:t>
            </w:r>
          </w:p>
          <w:p w14:paraId="6A23AD18" w14:textId="77777777" w:rsidR="004C6421" w:rsidRDefault="009D1962">
            <w:pPr>
              <w:pStyle w:val="P68B1DB1-Normal28"/>
              <w:spacing w:before="120" w:after="120"/>
              <w:rPr>
                <w:noProof/>
                <w:color w:val="006100"/>
              </w:rPr>
            </w:pPr>
            <w:r>
              <w:rPr>
                <w:noProof/>
              </w:rPr>
              <w:t>Zastępowany sprzęt może być usuwany lub ponownie wykorzystywany w innych miejscach NHS.</w:t>
            </w:r>
          </w:p>
        </w:tc>
      </w:tr>
      <w:tr w:rsidR="004C6421" w14:paraId="25101DA8" w14:textId="77777777">
        <w:trPr>
          <w:trHeight w:val="313"/>
          <w:jc w:val="center"/>
        </w:trPr>
        <w:tc>
          <w:tcPr>
            <w:tcW w:w="1129" w:type="dxa"/>
            <w:shd w:val="clear" w:color="auto" w:fill="C6EFCE"/>
            <w:noWrap/>
            <w:vAlign w:val="center"/>
          </w:tcPr>
          <w:p w14:paraId="2141F8EF" w14:textId="77777777" w:rsidR="004C6421" w:rsidRDefault="009D1962">
            <w:pPr>
              <w:pStyle w:val="P68B1DB1-Normal4"/>
              <w:spacing w:before="120" w:after="120"/>
              <w:jc w:val="center"/>
              <w:rPr>
                <w:noProof/>
              </w:rPr>
            </w:pPr>
            <w:r>
              <w:rPr>
                <w:noProof/>
              </w:rPr>
              <w:t>M6C2-7</w:t>
            </w:r>
          </w:p>
        </w:tc>
        <w:tc>
          <w:tcPr>
            <w:tcW w:w="1701" w:type="dxa"/>
            <w:shd w:val="clear" w:color="auto" w:fill="C6EFCE"/>
            <w:noWrap/>
            <w:vAlign w:val="center"/>
          </w:tcPr>
          <w:p w14:paraId="7AF7A67D" w14:textId="77777777" w:rsidR="004C6421" w:rsidRDefault="009D1962">
            <w:pPr>
              <w:pStyle w:val="P68B1DB1-Normal28"/>
              <w:spacing w:before="120" w:after="120"/>
              <w:jc w:val="center"/>
              <w:rPr>
                <w:noProof/>
                <w:color w:val="006100"/>
              </w:rPr>
            </w:pPr>
            <w:r>
              <w:rPr>
                <w:noProof/>
              </w:rPr>
              <w:t>Inwestycje 1.1: Cyfrowa aktualizacja sprzętu technologicznego szpitali</w:t>
            </w:r>
          </w:p>
        </w:tc>
        <w:tc>
          <w:tcPr>
            <w:tcW w:w="1134" w:type="dxa"/>
            <w:shd w:val="clear" w:color="auto" w:fill="C6EFCE"/>
            <w:noWrap/>
            <w:vAlign w:val="center"/>
          </w:tcPr>
          <w:p w14:paraId="09BAF60F" w14:textId="265E2E5F" w:rsidR="004C6421" w:rsidRDefault="00CC179E">
            <w:pPr>
              <w:pStyle w:val="P68B1DB1-Normal28"/>
              <w:spacing w:before="120" w:after="120"/>
              <w:jc w:val="center"/>
              <w:rPr>
                <w:noProof/>
                <w:color w:val="006100"/>
              </w:rPr>
            </w:pPr>
            <w:r>
              <w:rPr>
                <w:noProof/>
              </w:rPr>
              <w:t>Milowy</w:t>
            </w:r>
          </w:p>
        </w:tc>
        <w:tc>
          <w:tcPr>
            <w:tcW w:w="1560" w:type="dxa"/>
            <w:shd w:val="clear" w:color="auto" w:fill="C6EFCE"/>
            <w:noWrap/>
            <w:vAlign w:val="center"/>
          </w:tcPr>
          <w:p w14:paraId="647E5F9C" w14:textId="77777777" w:rsidR="004C6421" w:rsidRDefault="009D1962">
            <w:pPr>
              <w:pStyle w:val="P68B1DB1-Normal28"/>
              <w:spacing w:before="120" w:after="120"/>
              <w:jc w:val="center"/>
              <w:rPr>
                <w:noProof/>
                <w:color w:val="006100"/>
              </w:rPr>
            </w:pPr>
            <w:r>
              <w:rPr>
                <w:noProof/>
              </w:rPr>
              <w:t>Udzielanie wszystkich zamówień publicznych</w:t>
            </w:r>
          </w:p>
        </w:tc>
        <w:tc>
          <w:tcPr>
            <w:tcW w:w="1559" w:type="dxa"/>
            <w:shd w:val="clear" w:color="auto" w:fill="C6EFCE"/>
            <w:noWrap/>
            <w:vAlign w:val="center"/>
          </w:tcPr>
          <w:p w14:paraId="5F26CC6C" w14:textId="77777777" w:rsidR="004C6421" w:rsidRDefault="009D1962">
            <w:pPr>
              <w:pStyle w:val="P68B1DB1-Normal28"/>
              <w:spacing w:before="120" w:after="120"/>
              <w:jc w:val="center"/>
              <w:rPr>
                <w:noProof/>
                <w:color w:val="006100"/>
              </w:rPr>
            </w:pPr>
            <w:r>
              <w:rPr>
                <w:noProof/>
              </w:rPr>
              <w:t>Powiadomienie o wszystkich udzielonych zamówieniach publicznych.</w:t>
            </w:r>
          </w:p>
        </w:tc>
        <w:tc>
          <w:tcPr>
            <w:tcW w:w="1276" w:type="dxa"/>
            <w:shd w:val="clear" w:color="auto" w:fill="C6EFCE"/>
            <w:noWrap/>
            <w:vAlign w:val="center"/>
          </w:tcPr>
          <w:p w14:paraId="6E7D2286" w14:textId="77777777" w:rsidR="004C6421" w:rsidRDefault="009D1962">
            <w:pPr>
              <w:pStyle w:val="P68B1DB1-Normal28"/>
              <w:spacing w:before="120" w:after="120"/>
              <w:jc w:val="center"/>
              <w:rPr>
                <w:noProof/>
                <w:color w:val="006100"/>
              </w:rPr>
            </w:pPr>
            <w:r>
              <w:rPr>
                <w:noProof/>
              </w:rPr>
              <w:t>NIE DOT.</w:t>
            </w:r>
          </w:p>
        </w:tc>
        <w:tc>
          <w:tcPr>
            <w:tcW w:w="992" w:type="dxa"/>
            <w:shd w:val="clear" w:color="auto" w:fill="C6EFCE"/>
            <w:noWrap/>
            <w:vAlign w:val="center"/>
          </w:tcPr>
          <w:p w14:paraId="51A25FF8" w14:textId="77777777" w:rsidR="004C6421" w:rsidRDefault="009D1962">
            <w:pPr>
              <w:pStyle w:val="P68B1DB1-Normal28"/>
              <w:spacing w:before="120" w:after="120"/>
              <w:jc w:val="center"/>
              <w:rPr>
                <w:noProof/>
                <w:color w:val="006100"/>
              </w:rPr>
            </w:pPr>
            <w:r>
              <w:rPr>
                <w:noProof/>
              </w:rPr>
              <w:t>NIE DOT.</w:t>
            </w:r>
          </w:p>
        </w:tc>
        <w:tc>
          <w:tcPr>
            <w:tcW w:w="850" w:type="dxa"/>
            <w:shd w:val="clear" w:color="auto" w:fill="C6EFCE"/>
            <w:noWrap/>
            <w:vAlign w:val="center"/>
          </w:tcPr>
          <w:p w14:paraId="5D489F82" w14:textId="77777777" w:rsidR="004C6421" w:rsidRDefault="009D1962">
            <w:pPr>
              <w:pStyle w:val="P68B1DB1-Normal28"/>
              <w:spacing w:before="120" w:after="120"/>
              <w:jc w:val="center"/>
              <w:rPr>
                <w:noProof/>
                <w:color w:val="006100"/>
              </w:rPr>
            </w:pPr>
            <w:r>
              <w:rPr>
                <w:noProof/>
              </w:rPr>
              <w:t>NIE DOT.</w:t>
            </w:r>
          </w:p>
        </w:tc>
        <w:tc>
          <w:tcPr>
            <w:tcW w:w="851" w:type="dxa"/>
            <w:shd w:val="clear" w:color="auto" w:fill="C6EFCE"/>
            <w:noWrap/>
            <w:vAlign w:val="center"/>
          </w:tcPr>
          <w:p w14:paraId="461C2614" w14:textId="0625CCBB" w:rsidR="004C6421" w:rsidRDefault="00CC179E">
            <w:pPr>
              <w:pStyle w:val="P68B1DB1-Normal28"/>
              <w:spacing w:before="120" w:after="120"/>
              <w:jc w:val="center"/>
              <w:rPr>
                <w:noProof/>
                <w:color w:val="006100"/>
              </w:rPr>
            </w:pPr>
            <w:r>
              <w:rPr>
                <w:noProof/>
              </w:rPr>
              <w:t>KW. 4</w:t>
            </w:r>
          </w:p>
        </w:tc>
        <w:tc>
          <w:tcPr>
            <w:tcW w:w="709" w:type="dxa"/>
            <w:shd w:val="clear" w:color="auto" w:fill="C6EFCE"/>
            <w:noWrap/>
            <w:vAlign w:val="center"/>
          </w:tcPr>
          <w:p w14:paraId="40ED9DAA" w14:textId="77777777" w:rsidR="004C6421" w:rsidRDefault="009D1962">
            <w:pPr>
              <w:pStyle w:val="P68B1DB1-Normal28"/>
              <w:spacing w:before="120" w:after="120"/>
              <w:jc w:val="center"/>
              <w:rPr>
                <w:noProof/>
                <w:color w:val="006100"/>
              </w:rPr>
            </w:pPr>
            <w:r>
              <w:rPr>
                <w:noProof/>
              </w:rPr>
              <w:t>2022</w:t>
            </w:r>
          </w:p>
        </w:tc>
        <w:tc>
          <w:tcPr>
            <w:tcW w:w="2835" w:type="dxa"/>
            <w:shd w:val="clear" w:color="auto" w:fill="C6EFCE"/>
            <w:noWrap/>
            <w:vAlign w:val="center"/>
          </w:tcPr>
          <w:p w14:paraId="76C658C6" w14:textId="77777777" w:rsidR="004C6421" w:rsidRDefault="009D1962">
            <w:pPr>
              <w:pStyle w:val="P68B1DB1-Normal28"/>
              <w:spacing w:before="120" w:after="120"/>
              <w:rPr>
                <w:noProof/>
              </w:rPr>
            </w:pPr>
            <w:r>
              <w:rPr>
                <w:noProof/>
              </w:rPr>
              <w:t>Publikacja procedur przetargowych (umowa ramowa z Konsipem) i zawieranie umów z usługodawcami oraz cyfryzacja szpitali sklasyfikowanych na poziomie DEA I i II)</w:t>
            </w:r>
          </w:p>
          <w:p w14:paraId="324891DA" w14:textId="77777777" w:rsidR="004C6421" w:rsidRDefault="009D1962">
            <w:pPr>
              <w:pStyle w:val="P68B1DB1-Normal28"/>
              <w:spacing w:before="120" w:after="120"/>
              <w:rPr>
                <w:noProof/>
                <w:color w:val="006100"/>
              </w:rPr>
            </w:pPr>
            <w:r>
              <w:rPr>
                <w:noProof/>
              </w:rPr>
              <w:t>Umowy obejmują zakup: Centrum przetwarzania danych (DPC), w tym ICT i wszelkie prace pomocnicze, niezbędne do osiągnięcia komputeryzacji całej struktury szpitalnej; b) zakup sprzętu lub oprogramowania informatycznego, technologii elektromedycznych, a także dodatkowych technologii i wszelkich prac pomocniczych niezbędnych do komputeryzacji oddziałów szpitalnych. Ocena obecnego poziomu cyfryzacji, przed wdrożeniem interwencji, umożliwia dopracowanie tej oceny zgodnie z rzeczywistymi potrzebami każdego regionu/szpitalu.</w:t>
            </w:r>
          </w:p>
        </w:tc>
      </w:tr>
      <w:tr w:rsidR="004C6421" w14:paraId="434B711E" w14:textId="77777777">
        <w:trPr>
          <w:trHeight w:val="313"/>
          <w:jc w:val="center"/>
        </w:trPr>
        <w:tc>
          <w:tcPr>
            <w:tcW w:w="1129" w:type="dxa"/>
            <w:shd w:val="clear" w:color="auto" w:fill="C6EFCE"/>
            <w:noWrap/>
            <w:vAlign w:val="center"/>
          </w:tcPr>
          <w:p w14:paraId="764E781D" w14:textId="77777777" w:rsidR="004C6421" w:rsidRDefault="009D1962">
            <w:pPr>
              <w:pStyle w:val="P68B1DB1-Normal4"/>
              <w:spacing w:before="120" w:after="120"/>
              <w:jc w:val="center"/>
              <w:rPr>
                <w:noProof/>
              </w:rPr>
            </w:pPr>
            <w:r>
              <w:rPr>
                <w:noProof/>
              </w:rPr>
              <w:t>M6C2-8</w:t>
            </w:r>
          </w:p>
        </w:tc>
        <w:tc>
          <w:tcPr>
            <w:tcW w:w="1701" w:type="dxa"/>
            <w:shd w:val="clear" w:color="auto" w:fill="C6EFCE"/>
            <w:noWrap/>
            <w:vAlign w:val="center"/>
          </w:tcPr>
          <w:p w14:paraId="3B62F8AE" w14:textId="77777777" w:rsidR="004C6421" w:rsidRDefault="009D1962">
            <w:pPr>
              <w:pStyle w:val="P68B1DB1-Normal28"/>
              <w:spacing w:before="120" w:after="120"/>
              <w:jc w:val="center"/>
              <w:rPr>
                <w:noProof/>
                <w:color w:val="006100"/>
              </w:rPr>
            </w:pPr>
            <w:r>
              <w:rPr>
                <w:noProof/>
              </w:rPr>
              <w:t>Inwestycje 1.1: Cyfrowa aktualizacja sprzętu technologicznego szpitali</w:t>
            </w:r>
          </w:p>
        </w:tc>
        <w:tc>
          <w:tcPr>
            <w:tcW w:w="1134" w:type="dxa"/>
            <w:shd w:val="clear" w:color="auto" w:fill="C6EFCE"/>
            <w:noWrap/>
            <w:vAlign w:val="center"/>
          </w:tcPr>
          <w:p w14:paraId="5EEB06B2" w14:textId="77777777" w:rsidR="004C6421" w:rsidRDefault="009D1962">
            <w:pPr>
              <w:pStyle w:val="P68B1DB1-Normal28"/>
              <w:spacing w:before="120" w:after="120"/>
              <w:jc w:val="center"/>
              <w:rPr>
                <w:noProof/>
                <w:color w:val="006100"/>
              </w:rPr>
            </w:pPr>
            <w:r>
              <w:rPr>
                <w:noProof/>
              </w:rPr>
              <w:t>Cel</w:t>
            </w:r>
          </w:p>
        </w:tc>
        <w:tc>
          <w:tcPr>
            <w:tcW w:w="1560" w:type="dxa"/>
            <w:shd w:val="clear" w:color="auto" w:fill="C6EFCE"/>
            <w:noWrap/>
            <w:vAlign w:val="center"/>
          </w:tcPr>
          <w:p w14:paraId="796CD28C" w14:textId="77777777" w:rsidR="004C6421" w:rsidRDefault="009D1962">
            <w:pPr>
              <w:pStyle w:val="P68B1DB1-Normal28"/>
              <w:spacing w:before="120" w:after="120"/>
              <w:jc w:val="center"/>
              <w:rPr>
                <w:rFonts w:eastAsia="Calibri"/>
                <w:noProof/>
              </w:rPr>
            </w:pPr>
            <w:r>
              <w:rPr>
                <w:noProof/>
              </w:rPr>
              <w:t>Szpitale są zdigitalizowane (DEA – Departamenty ds. Sytuacji Kryzysowych i Przyjęć – poziom I i II)</w:t>
            </w:r>
          </w:p>
        </w:tc>
        <w:tc>
          <w:tcPr>
            <w:tcW w:w="1559" w:type="dxa"/>
            <w:shd w:val="clear" w:color="auto" w:fill="C6EFCE"/>
            <w:noWrap/>
            <w:vAlign w:val="center"/>
          </w:tcPr>
          <w:p w14:paraId="5ED636AD" w14:textId="77777777" w:rsidR="004C6421" w:rsidRDefault="009D1962">
            <w:pPr>
              <w:pStyle w:val="P68B1DB1-Normal28"/>
              <w:spacing w:before="120" w:after="120"/>
              <w:jc w:val="center"/>
              <w:rPr>
                <w:noProof/>
                <w:color w:val="006100"/>
              </w:rPr>
            </w:pPr>
            <w:r>
              <w:rPr>
                <w:noProof/>
              </w:rPr>
              <w:t>NIE DOT.</w:t>
            </w:r>
          </w:p>
        </w:tc>
        <w:tc>
          <w:tcPr>
            <w:tcW w:w="1276" w:type="dxa"/>
            <w:shd w:val="clear" w:color="auto" w:fill="C6EFCE"/>
            <w:noWrap/>
            <w:vAlign w:val="center"/>
          </w:tcPr>
          <w:p w14:paraId="5AFC6163" w14:textId="77777777" w:rsidR="004C6421" w:rsidRDefault="009D1962">
            <w:pPr>
              <w:pStyle w:val="P68B1DB1-Normal28"/>
              <w:spacing w:before="120" w:after="120"/>
              <w:jc w:val="center"/>
              <w:rPr>
                <w:rFonts w:eastAsia="Calibri"/>
                <w:noProof/>
              </w:rPr>
            </w:pPr>
            <w:r>
              <w:rPr>
                <w:noProof/>
              </w:rPr>
              <w:t xml:space="preserve">Numer </w:t>
            </w:r>
          </w:p>
        </w:tc>
        <w:tc>
          <w:tcPr>
            <w:tcW w:w="992" w:type="dxa"/>
            <w:shd w:val="clear" w:color="auto" w:fill="C6EFCE"/>
            <w:noWrap/>
            <w:vAlign w:val="center"/>
          </w:tcPr>
          <w:p w14:paraId="1F310B4D" w14:textId="77777777" w:rsidR="004C6421" w:rsidRDefault="009D1962">
            <w:pPr>
              <w:pStyle w:val="P68B1DB1-Normal28"/>
              <w:spacing w:before="120" w:after="120"/>
              <w:jc w:val="center"/>
              <w:rPr>
                <w:noProof/>
                <w:color w:val="006100"/>
              </w:rPr>
            </w:pPr>
            <w:r>
              <w:rPr>
                <w:noProof/>
              </w:rPr>
              <w:t>0</w:t>
            </w:r>
          </w:p>
        </w:tc>
        <w:tc>
          <w:tcPr>
            <w:tcW w:w="850" w:type="dxa"/>
            <w:shd w:val="clear" w:color="auto" w:fill="C6EFCE"/>
            <w:noWrap/>
            <w:vAlign w:val="center"/>
          </w:tcPr>
          <w:p w14:paraId="378B57DF" w14:textId="77777777" w:rsidR="004C6421" w:rsidRDefault="009D1962">
            <w:pPr>
              <w:pStyle w:val="P68B1DB1-Normal28"/>
              <w:spacing w:before="120" w:after="120"/>
              <w:jc w:val="center"/>
              <w:rPr>
                <w:noProof/>
                <w:color w:val="006100"/>
              </w:rPr>
            </w:pPr>
            <w:r>
              <w:rPr>
                <w:noProof/>
              </w:rPr>
              <w:t>280</w:t>
            </w:r>
          </w:p>
        </w:tc>
        <w:tc>
          <w:tcPr>
            <w:tcW w:w="851" w:type="dxa"/>
            <w:shd w:val="clear" w:color="auto" w:fill="C6EFCE"/>
            <w:noWrap/>
            <w:vAlign w:val="center"/>
          </w:tcPr>
          <w:p w14:paraId="77B6EA1D" w14:textId="732BC9B8" w:rsidR="004C6421" w:rsidRDefault="00CC179E">
            <w:pPr>
              <w:pStyle w:val="P68B1DB1-Normal28"/>
              <w:spacing w:before="120" w:after="120"/>
              <w:jc w:val="center"/>
              <w:rPr>
                <w:noProof/>
                <w:color w:val="006100"/>
              </w:rPr>
            </w:pPr>
            <w:r>
              <w:rPr>
                <w:noProof/>
              </w:rPr>
              <w:t>KW. 4</w:t>
            </w:r>
          </w:p>
        </w:tc>
        <w:tc>
          <w:tcPr>
            <w:tcW w:w="709" w:type="dxa"/>
            <w:shd w:val="clear" w:color="auto" w:fill="C6EFCE"/>
            <w:noWrap/>
            <w:vAlign w:val="center"/>
          </w:tcPr>
          <w:p w14:paraId="3F404E26" w14:textId="77777777" w:rsidR="004C6421" w:rsidRDefault="009D1962">
            <w:pPr>
              <w:pStyle w:val="P68B1DB1-Normal28"/>
              <w:spacing w:before="120" w:after="120"/>
              <w:jc w:val="center"/>
              <w:rPr>
                <w:noProof/>
                <w:color w:val="006100"/>
              </w:rPr>
            </w:pPr>
            <w:r>
              <w:rPr>
                <w:noProof/>
              </w:rPr>
              <w:t>2025</w:t>
            </w:r>
          </w:p>
        </w:tc>
        <w:tc>
          <w:tcPr>
            <w:tcW w:w="2835" w:type="dxa"/>
            <w:shd w:val="clear" w:color="auto" w:fill="C6EFCE"/>
            <w:noWrap/>
            <w:vAlign w:val="center"/>
          </w:tcPr>
          <w:p w14:paraId="2102EC23" w14:textId="77777777" w:rsidR="004C6421" w:rsidRDefault="009D1962">
            <w:pPr>
              <w:pStyle w:val="P68B1DB1-Normal28"/>
              <w:spacing w:before="120" w:after="120"/>
              <w:rPr>
                <w:noProof/>
              </w:rPr>
            </w:pPr>
            <w:r>
              <w:rPr>
                <w:noProof/>
              </w:rPr>
              <w:t>Każdy szpital zdigitalizowany posiada centrum przetwarzania danych (DPC) niezbędne do osiągnięcia komputeryzacji całej struktury szpitala oraz wystarczające technologie informatyczne w zakresie sprzętu lub oprogramowania, technologie elektromedyczne, a także dodatkowe technologie niezbędne do komputeryzacji każdego oddziału szpitalnego.</w:t>
            </w:r>
          </w:p>
          <w:p w14:paraId="0829B683" w14:textId="77777777" w:rsidR="004C6421" w:rsidRDefault="009D1962">
            <w:pPr>
              <w:pStyle w:val="P68B1DB1-Normal28"/>
              <w:spacing w:before="120" w:after="120"/>
              <w:rPr>
                <w:noProof/>
                <w:color w:val="006100"/>
              </w:rPr>
            </w:pPr>
            <w:bookmarkStart w:id="14" w:name="_Hlk149126432"/>
            <w:r>
              <w:rPr>
                <w:noProof/>
              </w:rPr>
              <w:t>Dozwolone są instrumenty zamówień publicznych udostępnione przez Consip („Concessionaria Servizi Informativi Pubblici”) – oprócz instrumentów zamkniętych do 31.12.2022 r. – a także elektroniczny rynek administracji publicznej (Mepa) lub system dynamicznego nabywania administracji publicznej (SDAPA) na zakupy pomocnicze.</w:t>
            </w:r>
            <w:bookmarkEnd w:id="14"/>
          </w:p>
        </w:tc>
      </w:tr>
      <w:tr w:rsidR="004C6421" w14:paraId="0CDAA29A" w14:textId="77777777">
        <w:trPr>
          <w:trHeight w:val="313"/>
          <w:jc w:val="center"/>
        </w:trPr>
        <w:tc>
          <w:tcPr>
            <w:tcW w:w="1129" w:type="dxa"/>
            <w:shd w:val="clear" w:color="auto" w:fill="C6EFCE"/>
            <w:noWrap/>
            <w:vAlign w:val="center"/>
          </w:tcPr>
          <w:p w14:paraId="403F6836" w14:textId="77777777" w:rsidR="004C6421" w:rsidRDefault="009D1962">
            <w:pPr>
              <w:pStyle w:val="P68B1DB1-Normal4"/>
              <w:spacing w:before="120" w:after="120"/>
              <w:jc w:val="center"/>
              <w:rPr>
                <w:noProof/>
              </w:rPr>
            </w:pPr>
            <w:r>
              <w:rPr>
                <w:noProof/>
              </w:rPr>
              <w:t>M6C2-9</w:t>
            </w:r>
          </w:p>
        </w:tc>
        <w:tc>
          <w:tcPr>
            <w:tcW w:w="1701" w:type="dxa"/>
            <w:shd w:val="clear" w:color="auto" w:fill="C6EFCE"/>
            <w:noWrap/>
            <w:vAlign w:val="center"/>
          </w:tcPr>
          <w:p w14:paraId="5B8DB110" w14:textId="77777777" w:rsidR="004C6421" w:rsidRDefault="009D1962">
            <w:pPr>
              <w:pStyle w:val="P68B1DB1-Normal28"/>
              <w:spacing w:before="120" w:after="120"/>
              <w:jc w:val="center"/>
              <w:rPr>
                <w:noProof/>
                <w:color w:val="006100"/>
              </w:rPr>
            </w:pPr>
            <w:r>
              <w:rPr>
                <w:noProof/>
              </w:rPr>
              <w:t>Inwestycje 1.1: Cyfrowa aktualizacja sprzętu technologicznego szpitali</w:t>
            </w:r>
          </w:p>
        </w:tc>
        <w:tc>
          <w:tcPr>
            <w:tcW w:w="1134" w:type="dxa"/>
            <w:shd w:val="clear" w:color="auto" w:fill="C6EFCE"/>
            <w:noWrap/>
            <w:vAlign w:val="center"/>
          </w:tcPr>
          <w:p w14:paraId="65CE9DA9" w14:textId="77777777" w:rsidR="004C6421" w:rsidRDefault="009D1962">
            <w:pPr>
              <w:pStyle w:val="P68B1DB1-Normal28"/>
              <w:spacing w:before="120" w:after="120"/>
              <w:jc w:val="center"/>
              <w:rPr>
                <w:noProof/>
                <w:color w:val="006100"/>
              </w:rPr>
            </w:pPr>
            <w:r>
              <w:rPr>
                <w:noProof/>
              </w:rPr>
              <w:t>Cel</w:t>
            </w:r>
          </w:p>
        </w:tc>
        <w:tc>
          <w:tcPr>
            <w:tcW w:w="1560" w:type="dxa"/>
            <w:shd w:val="clear" w:color="auto" w:fill="C6EFCE"/>
            <w:noWrap/>
            <w:vAlign w:val="center"/>
          </w:tcPr>
          <w:p w14:paraId="428336FC" w14:textId="77777777" w:rsidR="004C6421" w:rsidRDefault="009D1962">
            <w:pPr>
              <w:pStyle w:val="P68B1DB1-Normal28"/>
              <w:spacing w:before="120" w:after="120"/>
              <w:jc w:val="center"/>
              <w:rPr>
                <w:noProof/>
              </w:rPr>
            </w:pPr>
            <w:r>
              <w:rPr>
                <w:noProof/>
              </w:rPr>
              <w:t>Dodatkowe łóżka zapewniane w ICU i terapii subintensywnej</w:t>
            </w:r>
          </w:p>
        </w:tc>
        <w:tc>
          <w:tcPr>
            <w:tcW w:w="1559" w:type="dxa"/>
            <w:shd w:val="clear" w:color="auto" w:fill="C6EFCE"/>
            <w:noWrap/>
            <w:vAlign w:val="center"/>
          </w:tcPr>
          <w:p w14:paraId="3EE12C2D" w14:textId="77777777" w:rsidR="004C6421" w:rsidRDefault="009D1962">
            <w:pPr>
              <w:pStyle w:val="P68B1DB1-Normal28"/>
              <w:spacing w:before="120" w:after="120"/>
              <w:jc w:val="center"/>
              <w:rPr>
                <w:noProof/>
                <w:color w:val="006100"/>
              </w:rPr>
            </w:pPr>
            <w:r>
              <w:rPr>
                <w:noProof/>
              </w:rPr>
              <w:t>NIE DOT.</w:t>
            </w:r>
          </w:p>
        </w:tc>
        <w:tc>
          <w:tcPr>
            <w:tcW w:w="1276" w:type="dxa"/>
            <w:shd w:val="clear" w:color="auto" w:fill="C6EFCE"/>
            <w:noWrap/>
            <w:vAlign w:val="center"/>
          </w:tcPr>
          <w:p w14:paraId="5F6890E3" w14:textId="77777777" w:rsidR="004C6421" w:rsidRDefault="009D1962">
            <w:pPr>
              <w:pStyle w:val="P68B1DB1-Normal28"/>
              <w:spacing w:before="120" w:after="120"/>
              <w:jc w:val="center"/>
              <w:rPr>
                <w:rFonts w:eastAsia="Calibri"/>
                <w:noProof/>
              </w:rPr>
            </w:pPr>
            <w:r>
              <w:rPr>
                <w:noProof/>
              </w:rPr>
              <w:t xml:space="preserve">Numer </w:t>
            </w:r>
          </w:p>
        </w:tc>
        <w:tc>
          <w:tcPr>
            <w:tcW w:w="992" w:type="dxa"/>
            <w:shd w:val="clear" w:color="auto" w:fill="C6EFCE"/>
            <w:noWrap/>
            <w:vAlign w:val="center"/>
          </w:tcPr>
          <w:p w14:paraId="498B4CCD" w14:textId="77777777" w:rsidR="004C6421" w:rsidRDefault="009D1962">
            <w:pPr>
              <w:pStyle w:val="P68B1DB1-Normal28"/>
              <w:spacing w:before="120" w:after="120"/>
              <w:jc w:val="center"/>
              <w:rPr>
                <w:noProof/>
                <w:color w:val="006100"/>
              </w:rPr>
            </w:pPr>
            <w:r>
              <w:rPr>
                <w:noProof/>
              </w:rPr>
              <w:t>0</w:t>
            </w:r>
          </w:p>
        </w:tc>
        <w:tc>
          <w:tcPr>
            <w:tcW w:w="850" w:type="dxa"/>
            <w:shd w:val="clear" w:color="auto" w:fill="C6EFCE"/>
            <w:noWrap/>
            <w:vAlign w:val="center"/>
          </w:tcPr>
          <w:p w14:paraId="000E2360" w14:textId="5BFB25D7" w:rsidR="004C6421" w:rsidRDefault="009D1962">
            <w:pPr>
              <w:pStyle w:val="P68B1DB1-Normal28"/>
              <w:spacing w:before="120" w:after="120"/>
              <w:jc w:val="center"/>
              <w:rPr>
                <w:noProof/>
                <w:color w:val="006100"/>
              </w:rPr>
            </w:pPr>
            <w:r>
              <w:rPr>
                <w:noProof/>
              </w:rPr>
              <w:t>5 922</w:t>
            </w:r>
          </w:p>
        </w:tc>
        <w:tc>
          <w:tcPr>
            <w:tcW w:w="851" w:type="dxa"/>
            <w:shd w:val="clear" w:color="auto" w:fill="C6EFCE"/>
            <w:noWrap/>
            <w:vAlign w:val="center"/>
          </w:tcPr>
          <w:p w14:paraId="396FD79E" w14:textId="77777777" w:rsidR="004C6421" w:rsidRDefault="009D1962">
            <w:pPr>
              <w:pStyle w:val="P68B1DB1-Normal28"/>
              <w:spacing w:before="120" w:after="120"/>
              <w:jc w:val="center"/>
              <w:rPr>
                <w:noProof/>
                <w:color w:val="006100"/>
              </w:rPr>
            </w:pPr>
            <w:r>
              <w:rPr>
                <w:noProof/>
              </w:rPr>
              <w:t>II KW.</w:t>
            </w:r>
          </w:p>
        </w:tc>
        <w:tc>
          <w:tcPr>
            <w:tcW w:w="709" w:type="dxa"/>
            <w:shd w:val="clear" w:color="auto" w:fill="C6EFCE"/>
            <w:noWrap/>
            <w:vAlign w:val="center"/>
          </w:tcPr>
          <w:p w14:paraId="12AF95A7" w14:textId="77777777" w:rsidR="004C6421" w:rsidRDefault="009D1962">
            <w:pPr>
              <w:pStyle w:val="P68B1DB1-Normal28"/>
              <w:spacing w:before="120" w:after="120"/>
              <w:jc w:val="center"/>
              <w:rPr>
                <w:noProof/>
                <w:color w:val="006100"/>
              </w:rPr>
            </w:pPr>
            <w:r>
              <w:rPr>
                <w:noProof/>
              </w:rPr>
              <w:t>2026</w:t>
            </w:r>
          </w:p>
        </w:tc>
        <w:tc>
          <w:tcPr>
            <w:tcW w:w="2835" w:type="dxa"/>
            <w:shd w:val="clear" w:color="auto" w:fill="C6EFCE"/>
            <w:noWrap/>
            <w:vAlign w:val="center"/>
          </w:tcPr>
          <w:p w14:paraId="750CF331" w14:textId="2D2CDD2F" w:rsidR="004C6421" w:rsidRDefault="009D1962">
            <w:pPr>
              <w:pStyle w:val="P68B1DB1-Normal28"/>
              <w:spacing w:before="120" w:after="120"/>
              <w:rPr>
                <w:rFonts w:eastAsia="Calibri"/>
                <w:noProof/>
              </w:rPr>
            </w:pPr>
            <w:r>
              <w:rPr>
                <w:noProof/>
              </w:rPr>
              <w:t>2 Zapewnienie co najmniej 2692 łóżek intensywnej terapii i 3230 łóżek na obszarze półintensywnym wraz z powiązanym sprzętem wentylacyjnym ma charakter konstrukcyjny (co odpowiada wzrostowi o około 60 % liczby łóżek sprzed pandemii).</w:t>
            </w:r>
          </w:p>
        </w:tc>
      </w:tr>
      <w:tr w:rsidR="004C6421" w14:paraId="64220273" w14:textId="77777777">
        <w:trPr>
          <w:trHeight w:val="313"/>
          <w:jc w:val="center"/>
        </w:trPr>
        <w:tc>
          <w:tcPr>
            <w:tcW w:w="1129" w:type="dxa"/>
            <w:shd w:val="clear" w:color="auto" w:fill="C6EFCE"/>
            <w:noWrap/>
            <w:vAlign w:val="center"/>
          </w:tcPr>
          <w:p w14:paraId="3A9CB4E7" w14:textId="77777777" w:rsidR="004C6421" w:rsidRDefault="009D1962">
            <w:pPr>
              <w:pStyle w:val="P68B1DB1-Normal4"/>
              <w:spacing w:before="120" w:after="120"/>
              <w:jc w:val="center"/>
              <w:rPr>
                <w:noProof/>
              </w:rPr>
            </w:pPr>
            <w:r>
              <w:rPr>
                <w:noProof/>
              </w:rPr>
              <w:t>M6C2-10</w:t>
            </w:r>
          </w:p>
        </w:tc>
        <w:tc>
          <w:tcPr>
            <w:tcW w:w="1701" w:type="dxa"/>
            <w:shd w:val="clear" w:color="auto" w:fill="C6EFCE"/>
            <w:noWrap/>
            <w:vAlign w:val="center"/>
          </w:tcPr>
          <w:p w14:paraId="28D4DC49" w14:textId="77777777" w:rsidR="004C6421" w:rsidRDefault="009D1962">
            <w:pPr>
              <w:pStyle w:val="P68B1DB1-Normal28"/>
              <w:spacing w:before="120" w:after="120"/>
              <w:jc w:val="center"/>
              <w:rPr>
                <w:noProof/>
                <w:color w:val="006100"/>
              </w:rPr>
            </w:pPr>
            <w:r>
              <w:rPr>
                <w:noProof/>
              </w:rPr>
              <w:t>Inwestycje 1.2: W kierunku bezpiecznego i zrównoważonego szpitala</w:t>
            </w:r>
          </w:p>
        </w:tc>
        <w:tc>
          <w:tcPr>
            <w:tcW w:w="1134" w:type="dxa"/>
            <w:shd w:val="clear" w:color="auto" w:fill="C6EFCE"/>
            <w:noWrap/>
            <w:vAlign w:val="center"/>
          </w:tcPr>
          <w:p w14:paraId="0913923F" w14:textId="77777777" w:rsidR="004C6421" w:rsidRDefault="009D1962">
            <w:pPr>
              <w:pStyle w:val="P68B1DB1-Normal28"/>
              <w:spacing w:before="120" w:after="120"/>
              <w:jc w:val="center"/>
              <w:rPr>
                <w:noProof/>
                <w:color w:val="006100"/>
              </w:rPr>
            </w:pPr>
            <w:r>
              <w:rPr>
                <w:noProof/>
              </w:rPr>
              <w:t>Cel</w:t>
            </w:r>
          </w:p>
        </w:tc>
        <w:tc>
          <w:tcPr>
            <w:tcW w:w="1560" w:type="dxa"/>
            <w:shd w:val="clear" w:color="auto" w:fill="C6EFCE"/>
            <w:noWrap/>
            <w:vAlign w:val="center"/>
          </w:tcPr>
          <w:p w14:paraId="4EDE376E" w14:textId="77777777" w:rsidR="004C6421" w:rsidRDefault="009D1962">
            <w:pPr>
              <w:pStyle w:val="P68B1DB1-Normal28"/>
              <w:spacing w:before="120" w:after="120"/>
              <w:jc w:val="center"/>
              <w:rPr>
                <w:rFonts w:eastAsia="Calibri"/>
                <w:noProof/>
              </w:rPr>
            </w:pPr>
            <w:r>
              <w:rPr>
                <w:noProof/>
              </w:rPr>
              <w:t>Zakończono interwencje antysejsmiczne w placówkach szpitalnych</w:t>
            </w:r>
          </w:p>
        </w:tc>
        <w:tc>
          <w:tcPr>
            <w:tcW w:w="1559" w:type="dxa"/>
            <w:shd w:val="clear" w:color="auto" w:fill="C6EFCE"/>
            <w:noWrap/>
            <w:vAlign w:val="center"/>
          </w:tcPr>
          <w:p w14:paraId="3E0147CF" w14:textId="77777777" w:rsidR="004C6421" w:rsidRDefault="009D1962">
            <w:pPr>
              <w:pStyle w:val="P68B1DB1-Normal28"/>
              <w:spacing w:before="120" w:after="120"/>
              <w:jc w:val="center"/>
              <w:rPr>
                <w:noProof/>
                <w:color w:val="006100"/>
              </w:rPr>
            </w:pPr>
            <w:r>
              <w:rPr>
                <w:noProof/>
              </w:rPr>
              <w:t>NIE DOT.</w:t>
            </w:r>
          </w:p>
        </w:tc>
        <w:tc>
          <w:tcPr>
            <w:tcW w:w="1276" w:type="dxa"/>
            <w:shd w:val="clear" w:color="auto" w:fill="C6EFCE"/>
            <w:noWrap/>
            <w:vAlign w:val="center"/>
          </w:tcPr>
          <w:p w14:paraId="522CA9AA" w14:textId="77777777" w:rsidR="004C6421" w:rsidRDefault="009D1962">
            <w:pPr>
              <w:pStyle w:val="P68B1DB1-Normal28"/>
              <w:spacing w:before="120" w:after="120"/>
              <w:jc w:val="center"/>
              <w:rPr>
                <w:rFonts w:eastAsia="Calibri"/>
                <w:noProof/>
              </w:rPr>
            </w:pPr>
            <w:r>
              <w:rPr>
                <w:noProof/>
              </w:rPr>
              <w:t xml:space="preserve">Numer </w:t>
            </w:r>
          </w:p>
        </w:tc>
        <w:tc>
          <w:tcPr>
            <w:tcW w:w="992" w:type="dxa"/>
            <w:shd w:val="clear" w:color="auto" w:fill="C6EFCE"/>
            <w:noWrap/>
            <w:vAlign w:val="center"/>
          </w:tcPr>
          <w:p w14:paraId="1675B3F4" w14:textId="77777777" w:rsidR="004C6421" w:rsidRDefault="009D1962">
            <w:pPr>
              <w:pStyle w:val="P68B1DB1-Normal28"/>
              <w:spacing w:before="120" w:after="120"/>
              <w:jc w:val="center"/>
              <w:rPr>
                <w:noProof/>
                <w:color w:val="006100"/>
              </w:rPr>
            </w:pPr>
            <w:r>
              <w:rPr>
                <w:noProof/>
              </w:rPr>
              <w:t>0</w:t>
            </w:r>
          </w:p>
        </w:tc>
        <w:tc>
          <w:tcPr>
            <w:tcW w:w="850" w:type="dxa"/>
            <w:shd w:val="clear" w:color="auto" w:fill="C6EFCE"/>
            <w:noWrap/>
            <w:vAlign w:val="center"/>
          </w:tcPr>
          <w:p w14:paraId="3C855F46" w14:textId="77777777" w:rsidR="004C6421" w:rsidRDefault="009D1962">
            <w:pPr>
              <w:pStyle w:val="P68B1DB1-Normal28"/>
              <w:spacing w:before="120" w:after="120"/>
              <w:jc w:val="center"/>
              <w:rPr>
                <w:noProof/>
              </w:rPr>
            </w:pPr>
            <w:r>
              <w:rPr>
                <w:noProof/>
              </w:rPr>
              <w:t>84</w:t>
            </w:r>
          </w:p>
        </w:tc>
        <w:tc>
          <w:tcPr>
            <w:tcW w:w="851" w:type="dxa"/>
            <w:shd w:val="clear" w:color="auto" w:fill="C6EFCE"/>
            <w:noWrap/>
            <w:vAlign w:val="center"/>
          </w:tcPr>
          <w:p w14:paraId="63A4CCC8" w14:textId="77777777" w:rsidR="004C6421" w:rsidRDefault="009D1962">
            <w:pPr>
              <w:pStyle w:val="P68B1DB1-Normal28"/>
              <w:spacing w:before="120" w:after="120"/>
              <w:jc w:val="center"/>
              <w:rPr>
                <w:noProof/>
                <w:color w:val="006100"/>
              </w:rPr>
            </w:pPr>
            <w:r>
              <w:rPr>
                <w:noProof/>
              </w:rPr>
              <w:t>II KW.</w:t>
            </w:r>
          </w:p>
        </w:tc>
        <w:tc>
          <w:tcPr>
            <w:tcW w:w="709" w:type="dxa"/>
            <w:shd w:val="clear" w:color="auto" w:fill="C6EFCE"/>
            <w:noWrap/>
            <w:vAlign w:val="center"/>
          </w:tcPr>
          <w:p w14:paraId="4450F204" w14:textId="77777777" w:rsidR="004C6421" w:rsidRDefault="009D1962">
            <w:pPr>
              <w:pStyle w:val="P68B1DB1-Normal28"/>
              <w:spacing w:before="120" w:after="120"/>
              <w:jc w:val="center"/>
              <w:rPr>
                <w:noProof/>
                <w:color w:val="006100"/>
              </w:rPr>
            </w:pPr>
            <w:r>
              <w:rPr>
                <w:noProof/>
              </w:rPr>
              <w:t>2026</w:t>
            </w:r>
          </w:p>
        </w:tc>
        <w:tc>
          <w:tcPr>
            <w:tcW w:w="2835" w:type="dxa"/>
            <w:shd w:val="clear" w:color="auto" w:fill="C6EFCE"/>
            <w:noWrap/>
            <w:vAlign w:val="center"/>
          </w:tcPr>
          <w:p w14:paraId="706169BA" w14:textId="77777777" w:rsidR="004C6421" w:rsidRDefault="009D1962">
            <w:pPr>
              <w:pStyle w:val="P68B1DB1-Normal28"/>
              <w:spacing w:before="120" w:after="120"/>
              <w:rPr>
                <w:noProof/>
              </w:rPr>
            </w:pPr>
            <w:r>
              <w:rPr>
                <w:noProof/>
              </w:rPr>
              <w:t>Zakończono co najmniej 84 interwencje antysejsmiczne w placówkach szpitalnych, aby dostosować je do przepisów antysejsmicznych.</w:t>
            </w:r>
          </w:p>
        </w:tc>
      </w:tr>
      <w:tr w:rsidR="004C6421" w14:paraId="4915EFF0" w14:textId="77777777">
        <w:trPr>
          <w:trHeight w:val="313"/>
          <w:jc w:val="center"/>
        </w:trPr>
        <w:tc>
          <w:tcPr>
            <w:tcW w:w="1129" w:type="dxa"/>
            <w:shd w:val="clear" w:color="auto" w:fill="C6EFCE"/>
            <w:noWrap/>
            <w:vAlign w:val="center"/>
          </w:tcPr>
          <w:p w14:paraId="07C4D59D" w14:textId="77777777" w:rsidR="004C6421" w:rsidRDefault="009D1962">
            <w:pPr>
              <w:pStyle w:val="P68B1DB1-Normal4"/>
              <w:jc w:val="center"/>
              <w:rPr>
                <w:noProof/>
              </w:rPr>
            </w:pPr>
            <w:r>
              <w:rPr>
                <w:noProof/>
              </w:rPr>
              <w:t>M6C2-10 bis</w:t>
            </w:r>
          </w:p>
        </w:tc>
        <w:tc>
          <w:tcPr>
            <w:tcW w:w="1701" w:type="dxa"/>
            <w:shd w:val="clear" w:color="auto" w:fill="C6EFCE"/>
            <w:noWrap/>
            <w:vAlign w:val="center"/>
          </w:tcPr>
          <w:p w14:paraId="2543A7BA" w14:textId="77777777" w:rsidR="004C6421" w:rsidRDefault="009D1962">
            <w:pPr>
              <w:pStyle w:val="P68B1DB1-Normal28"/>
              <w:spacing w:before="120" w:after="120" w:line="276" w:lineRule="auto"/>
              <w:jc w:val="center"/>
              <w:rPr>
                <w:noProof/>
              </w:rPr>
            </w:pPr>
            <w:bookmarkStart w:id="15" w:name="_Hlk160472567"/>
            <w:r>
              <w:rPr>
                <w:noProof/>
              </w:rPr>
              <w:t>Inwestycje 1.2: W kierunku bezpiecznego i zrównoważonego szpitala</w:t>
            </w:r>
            <w:bookmarkEnd w:id="15"/>
          </w:p>
        </w:tc>
        <w:tc>
          <w:tcPr>
            <w:tcW w:w="1134" w:type="dxa"/>
            <w:shd w:val="clear" w:color="auto" w:fill="C6EFCE"/>
            <w:noWrap/>
            <w:vAlign w:val="center"/>
          </w:tcPr>
          <w:p w14:paraId="2F864D2F" w14:textId="77777777" w:rsidR="004C6421" w:rsidRDefault="009D1962">
            <w:pPr>
              <w:pStyle w:val="P68B1DB1-Normal28"/>
              <w:jc w:val="center"/>
              <w:rPr>
                <w:noProof/>
              </w:rPr>
            </w:pPr>
            <w:r>
              <w:rPr>
                <w:noProof/>
              </w:rPr>
              <w:t xml:space="preserve">Cel </w:t>
            </w:r>
          </w:p>
        </w:tc>
        <w:tc>
          <w:tcPr>
            <w:tcW w:w="1560" w:type="dxa"/>
            <w:shd w:val="clear" w:color="auto" w:fill="C6EFCE"/>
            <w:noWrap/>
            <w:vAlign w:val="center"/>
          </w:tcPr>
          <w:p w14:paraId="4E4BC9E8" w14:textId="77777777" w:rsidR="004C6421" w:rsidRDefault="009D1962">
            <w:pPr>
              <w:pStyle w:val="P68B1DB1-Normal28"/>
              <w:spacing w:before="120" w:after="120"/>
              <w:jc w:val="center"/>
              <w:rPr>
                <w:rFonts w:eastAsia="Calibri"/>
                <w:noProof/>
              </w:rPr>
            </w:pPr>
            <w:r>
              <w:rPr>
                <w:noProof/>
              </w:rPr>
              <w:t>Wypłata środków z RRF na projekty na podstawie art. 20 ustawy finansowej 67/88 „Budowanie opieki zdrowotnej”</w:t>
            </w:r>
          </w:p>
        </w:tc>
        <w:tc>
          <w:tcPr>
            <w:tcW w:w="1559" w:type="dxa"/>
            <w:shd w:val="clear" w:color="auto" w:fill="C6EFCE"/>
            <w:noWrap/>
            <w:vAlign w:val="center"/>
          </w:tcPr>
          <w:p w14:paraId="4C8DAE36" w14:textId="77777777" w:rsidR="004C6421" w:rsidRDefault="009D1962">
            <w:pPr>
              <w:pStyle w:val="P68B1DB1-Normal28"/>
              <w:jc w:val="center"/>
              <w:rPr>
                <w:noProof/>
              </w:rPr>
            </w:pPr>
            <w:r>
              <w:rPr>
                <w:noProof/>
              </w:rPr>
              <w:t>NIE DOT.</w:t>
            </w:r>
          </w:p>
        </w:tc>
        <w:tc>
          <w:tcPr>
            <w:tcW w:w="1276" w:type="dxa"/>
            <w:shd w:val="clear" w:color="auto" w:fill="C6EFCE"/>
            <w:noWrap/>
            <w:vAlign w:val="center"/>
          </w:tcPr>
          <w:p w14:paraId="72611ACA" w14:textId="77777777" w:rsidR="004C6421" w:rsidRDefault="009D1962">
            <w:pPr>
              <w:pStyle w:val="P68B1DB1-Normal28"/>
              <w:jc w:val="center"/>
              <w:rPr>
                <w:rFonts w:eastAsia="Calibri"/>
                <w:noProof/>
              </w:rPr>
            </w:pPr>
            <w:r>
              <w:rPr>
                <w:noProof/>
              </w:rPr>
              <w:t xml:space="preserve">Procent </w:t>
            </w:r>
          </w:p>
        </w:tc>
        <w:tc>
          <w:tcPr>
            <w:tcW w:w="992" w:type="dxa"/>
            <w:shd w:val="clear" w:color="auto" w:fill="C6EFCE"/>
            <w:noWrap/>
            <w:vAlign w:val="center"/>
          </w:tcPr>
          <w:p w14:paraId="124DBB09" w14:textId="77777777" w:rsidR="004C6421" w:rsidRDefault="009D1962">
            <w:pPr>
              <w:pStyle w:val="P68B1DB1-Normal28"/>
              <w:jc w:val="center"/>
              <w:rPr>
                <w:noProof/>
              </w:rPr>
            </w:pPr>
            <w:r>
              <w:rPr>
                <w:noProof/>
              </w:rPr>
              <w:t>0</w:t>
            </w:r>
          </w:p>
        </w:tc>
        <w:tc>
          <w:tcPr>
            <w:tcW w:w="850" w:type="dxa"/>
            <w:shd w:val="clear" w:color="auto" w:fill="C6EFCE"/>
            <w:noWrap/>
            <w:vAlign w:val="center"/>
          </w:tcPr>
          <w:p w14:paraId="4B0D014A" w14:textId="77777777" w:rsidR="004C6421" w:rsidRDefault="009D1962">
            <w:pPr>
              <w:pStyle w:val="P68B1DB1-Normal28"/>
              <w:jc w:val="center"/>
              <w:rPr>
                <w:noProof/>
              </w:rPr>
            </w:pPr>
            <w:r>
              <w:rPr>
                <w:noProof/>
              </w:rPr>
              <w:t xml:space="preserve">90 </w:t>
            </w:r>
          </w:p>
        </w:tc>
        <w:tc>
          <w:tcPr>
            <w:tcW w:w="851" w:type="dxa"/>
            <w:shd w:val="clear" w:color="auto" w:fill="C6EFCE"/>
            <w:noWrap/>
            <w:vAlign w:val="center"/>
          </w:tcPr>
          <w:p w14:paraId="4CF7567D" w14:textId="77777777" w:rsidR="004C6421" w:rsidRDefault="009D1962">
            <w:pPr>
              <w:pStyle w:val="P68B1DB1-Normal28"/>
              <w:jc w:val="center"/>
              <w:rPr>
                <w:noProof/>
              </w:rPr>
            </w:pPr>
            <w:r>
              <w:rPr>
                <w:noProof/>
              </w:rPr>
              <w:t>II KW.</w:t>
            </w:r>
          </w:p>
        </w:tc>
        <w:tc>
          <w:tcPr>
            <w:tcW w:w="709" w:type="dxa"/>
            <w:shd w:val="clear" w:color="auto" w:fill="C6EFCE"/>
            <w:noWrap/>
            <w:vAlign w:val="center"/>
          </w:tcPr>
          <w:p w14:paraId="47BDD4BF" w14:textId="77777777" w:rsidR="004C6421" w:rsidRDefault="009D1962">
            <w:pPr>
              <w:pStyle w:val="P68B1DB1-Normal28"/>
              <w:jc w:val="center"/>
              <w:rPr>
                <w:noProof/>
              </w:rPr>
            </w:pPr>
            <w:r>
              <w:rPr>
                <w:noProof/>
              </w:rPr>
              <w:t>2026</w:t>
            </w:r>
          </w:p>
        </w:tc>
        <w:tc>
          <w:tcPr>
            <w:tcW w:w="2835" w:type="dxa"/>
            <w:shd w:val="clear" w:color="auto" w:fill="C6EFCE"/>
            <w:noWrap/>
            <w:vAlign w:val="center"/>
          </w:tcPr>
          <w:p w14:paraId="58978D56" w14:textId="310A0040" w:rsidR="004C6421" w:rsidRDefault="009D1962">
            <w:pPr>
              <w:pStyle w:val="P68B1DB1-Normal28"/>
              <w:rPr>
                <w:rFonts w:eastAsia="Calibri"/>
                <w:noProof/>
              </w:rPr>
            </w:pPr>
            <w:r>
              <w:rPr>
                <w:noProof/>
              </w:rPr>
              <w:t>Co najmniej 90 % z 250 000 000 EUR jest wypłacane na projekty restrukturyzacji i modernizacji szpitali związane z umowami programowymi na podstawie art. 20 L. 67/88 i realizowane przez Ministerstwo Zdrowia z odpowiednim regionem lub prowincją autonomiczną.I</w:t>
            </w:r>
          </w:p>
        </w:tc>
      </w:tr>
      <w:tr w:rsidR="004C6421" w14:paraId="1278B51E" w14:textId="77777777">
        <w:trPr>
          <w:trHeight w:val="313"/>
          <w:jc w:val="center"/>
        </w:trPr>
        <w:tc>
          <w:tcPr>
            <w:tcW w:w="1129" w:type="dxa"/>
            <w:shd w:val="clear" w:color="auto" w:fill="C6EFCE"/>
            <w:noWrap/>
            <w:vAlign w:val="center"/>
          </w:tcPr>
          <w:p w14:paraId="69A29FE7" w14:textId="77777777" w:rsidR="004C6421" w:rsidRDefault="009D1962">
            <w:pPr>
              <w:pStyle w:val="P68B1DB1-Normal4"/>
              <w:spacing w:before="120" w:after="120"/>
              <w:jc w:val="center"/>
              <w:rPr>
                <w:noProof/>
              </w:rPr>
            </w:pPr>
            <w:r>
              <w:rPr>
                <w:noProof/>
              </w:rPr>
              <w:t>M6C2-11</w:t>
            </w:r>
          </w:p>
        </w:tc>
        <w:tc>
          <w:tcPr>
            <w:tcW w:w="1701" w:type="dxa"/>
            <w:shd w:val="clear" w:color="auto" w:fill="C6EFCE"/>
            <w:noWrap/>
            <w:vAlign w:val="center"/>
          </w:tcPr>
          <w:p w14:paraId="1EDD5955" w14:textId="77777777" w:rsidR="004C6421" w:rsidRDefault="009D1962">
            <w:pPr>
              <w:pStyle w:val="P68B1DB1-Normal28"/>
              <w:spacing w:before="120" w:after="120"/>
              <w:jc w:val="center"/>
              <w:rPr>
                <w:noProof/>
                <w:color w:val="006100"/>
              </w:rPr>
            </w:pPr>
            <w:r>
              <w:rPr>
                <w:noProof/>
              </w:rPr>
              <w:t>Inwestycja 1.3: Wzmocnienie infrastruktury technologicznej i narzędzi gromadzenia, przetwarzania danych, analizy i symulacji danych</w:t>
            </w:r>
          </w:p>
        </w:tc>
        <w:tc>
          <w:tcPr>
            <w:tcW w:w="1134" w:type="dxa"/>
            <w:shd w:val="clear" w:color="auto" w:fill="C6EFCE"/>
            <w:noWrap/>
            <w:vAlign w:val="center"/>
          </w:tcPr>
          <w:p w14:paraId="2CB8C163" w14:textId="77777777" w:rsidR="004C6421" w:rsidRDefault="009D1962">
            <w:pPr>
              <w:pStyle w:val="P68B1DB1-Normal28"/>
              <w:spacing w:before="120" w:after="120"/>
              <w:jc w:val="center"/>
              <w:rPr>
                <w:noProof/>
                <w:color w:val="006100"/>
              </w:rPr>
            </w:pPr>
            <w:r>
              <w:rPr>
                <w:noProof/>
              </w:rPr>
              <w:t>Cel</w:t>
            </w:r>
          </w:p>
        </w:tc>
        <w:tc>
          <w:tcPr>
            <w:tcW w:w="1560" w:type="dxa"/>
            <w:shd w:val="clear" w:color="auto" w:fill="C6EFCE"/>
            <w:noWrap/>
            <w:vAlign w:val="center"/>
          </w:tcPr>
          <w:p w14:paraId="46DFAC96" w14:textId="77777777" w:rsidR="004C6421" w:rsidRDefault="009D1962">
            <w:pPr>
              <w:pStyle w:val="P68B1DB1-Normal28"/>
              <w:spacing w:before="120" w:after="120"/>
              <w:jc w:val="center"/>
              <w:rPr>
                <w:noProof/>
              </w:rPr>
            </w:pPr>
            <w:r>
              <w:rPr>
                <w:noProof/>
              </w:rPr>
              <w:t>Lekarze medycyny ogólnej przekazujący elektroniczną dokumentację medyczną.</w:t>
            </w:r>
          </w:p>
        </w:tc>
        <w:tc>
          <w:tcPr>
            <w:tcW w:w="1559" w:type="dxa"/>
            <w:shd w:val="clear" w:color="auto" w:fill="C6EFCE"/>
            <w:noWrap/>
            <w:vAlign w:val="center"/>
          </w:tcPr>
          <w:p w14:paraId="0DECC41F" w14:textId="77777777" w:rsidR="004C6421" w:rsidRDefault="009D1962">
            <w:pPr>
              <w:pStyle w:val="P68B1DB1-Normal28"/>
              <w:spacing w:before="120" w:after="120"/>
              <w:jc w:val="center"/>
              <w:rPr>
                <w:noProof/>
                <w:color w:val="006100"/>
              </w:rPr>
            </w:pPr>
            <w:r>
              <w:rPr>
                <w:noProof/>
              </w:rPr>
              <w:t>NIE DOT.</w:t>
            </w:r>
          </w:p>
        </w:tc>
        <w:tc>
          <w:tcPr>
            <w:tcW w:w="1276" w:type="dxa"/>
            <w:shd w:val="clear" w:color="auto" w:fill="C6EFCE"/>
            <w:noWrap/>
            <w:vAlign w:val="center"/>
          </w:tcPr>
          <w:p w14:paraId="4F2C93A1" w14:textId="77777777" w:rsidR="004C6421" w:rsidRDefault="009D1962">
            <w:pPr>
              <w:pStyle w:val="P68B1DB1-Normal28"/>
              <w:spacing w:before="120" w:after="120"/>
              <w:jc w:val="center"/>
              <w:rPr>
                <w:rFonts w:eastAsia="Calibri"/>
                <w:noProof/>
              </w:rPr>
            </w:pPr>
            <w:r>
              <w:rPr>
                <w:noProof/>
              </w:rPr>
              <w:t xml:space="preserve">Procent </w:t>
            </w:r>
          </w:p>
        </w:tc>
        <w:tc>
          <w:tcPr>
            <w:tcW w:w="992" w:type="dxa"/>
            <w:shd w:val="clear" w:color="auto" w:fill="C6EFCE"/>
            <w:noWrap/>
            <w:vAlign w:val="center"/>
          </w:tcPr>
          <w:p w14:paraId="7C28746E" w14:textId="77777777" w:rsidR="004C6421" w:rsidRDefault="009D1962">
            <w:pPr>
              <w:pStyle w:val="P68B1DB1-Normal28"/>
              <w:spacing w:before="120" w:after="120"/>
              <w:jc w:val="center"/>
              <w:rPr>
                <w:noProof/>
                <w:color w:val="006100"/>
              </w:rPr>
            </w:pPr>
            <w:r>
              <w:rPr>
                <w:noProof/>
              </w:rPr>
              <w:t>0</w:t>
            </w:r>
          </w:p>
        </w:tc>
        <w:tc>
          <w:tcPr>
            <w:tcW w:w="850" w:type="dxa"/>
            <w:shd w:val="clear" w:color="auto" w:fill="C6EFCE"/>
            <w:noWrap/>
            <w:vAlign w:val="center"/>
          </w:tcPr>
          <w:p w14:paraId="3707A436" w14:textId="77777777" w:rsidR="004C6421" w:rsidRDefault="009D1962">
            <w:pPr>
              <w:pStyle w:val="P68B1DB1-Normal28"/>
              <w:spacing w:before="120" w:after="120"/>
              <w:jc w:val="center"/>
              <w:rPr>
                <w:noProof/>
                <w:color w:val="006100"/>
              </w:rPr>
            </w:pPr>
            <w:r>
              <w:rPr>
                <w:noProof/>
              </w:rPr>
              <w:t>85</w:t>
            </w:r>
          </w:p>
        </w:tc>
        <w:tc>
          <w:tcPr>
            <w:tcW w:w="851" w:type="dxa"/>
            <w:shd w:val="clear" w:color="auto" w:fill="C6EFCE"/>
            <w:noWrap/>
            <w:vAlign w:val="center"/>
          </w:tcPr>
          <w:p w14:paraId="3B337606" w14:textId="71E682FD" w:rsidR="004C6421" w:rsidRDefault="00CC179E">
            <w:pPr>
              <w:pStyle w:val="P68B1DB1-Normal28"/>
              <w:spacing w:before="120" w:after="120"/>
              <w:jc w:val="center"/>
              <w:rPr>
                <w:noProof/>
                <w:color w:val="006100"/>
              </w:rPr>
            </w:pPr>
            <w:r>
              <w:rPr>
                <w:noProof/>
              </w:rPr>
              <w:t>KW. 4</w:t>
            </w:r>
          </w:p>
        </w:tc>
        <w:tc>
          <w:tcPr>
            <w:tcW w:w="709" w:type="dxa"/>
            <w:shd w:val="clear" w:color="auto" w:fill="C6EFCE"/>
            <w:noWrap/>
            <w:vAlign w:val="center"/>
          </w:tcPr>
          <w:p w14:paraId="404385D1" w14:textId="77777777" w:rsidR="004C6421" w:rsidRDefault="009D1962">
            <w:pPr>
              <w:pStyle w:val="P68B1DB1-Normal28"/>
              <w:spacing w:before="120" w:after="120"/>
              <w:jc w:val="center"/>
              <w:rPr>
                <w:noProof/>
                <w:color w:val="006100"/>
              </w:rPr>
            </w:pPr>
            <w:r>
              <w:rPr>
                <w:noProof/>
              </w:rPr>
              <w:t>2025</w:t>
            </w:r>
          </w:p>
        </w:tc>
        <w:tc>
          <w:tcPr>
            <w:tcW w:w="2835" w:type="dxa"/>
            <w:shd w:val="clear" w:color="auto" w:fill="C6EFCE"/>
            <w:noWrap/>
            <w:vAlign w:val="center"/>
          </w:tcPr>
          <w:p w14:paraId="79718142" w14:textId="77777777" w:rsidR="004C6421" w:rsidRDefault="009D1962">
            <w:pPr>
              <w:pStyle w:val="P68B1DB1-Normal28"/>
              <w:spacing w:before="120" w:after="120"/>
              <w:rPr>
                <w:noProof/>
              </w:rPr>
            </w:pPr>
            <w:r>
              <w:rPr>
                <w:noProof/>
              </w:rPr>
              <w:t>Cel ten należy osiągnąć poprzez zwiększenie liczby rodzajów dokumentów cyfrowych poddanych digitalizacji w elektronicznej dokumentacji medycznej oraz poprzez specjalistyczne wsparcie i szkolenia mające na celu egzekwowanie podnoszenia umiejętności cyfrowych lekarzy ogólnych w całym kraju.</w:t>
            </w:r>
          </w:p>
        </w:tc>
      </w:tr>
      <w:tr w:rsidR="004C6421" w14:paraId="77C05AD2" w14:textId="77777777">
        <w:trPr>
          <w:trHeight w:val="313"/>
          <w:jc w:val="center"/>
        </w:trPr>
        <w:tc>
          <w:tcPr>
            <w:tcW w:w="1129" w:type="dxa"/>
            <w:shd w:val="clear" w:color="auto" w:fill="C6EFCE"/>
            <w:noWrap/>
            <w:vAlign w:val="center"/>
          </w:tcPr>
          <w:p w14:paraId="3BC9085B" w14:textId="77777777" w:rsidR="004C6421" w:rsidRDefault="009D1962">
            <w:pPr>
              <w:pStyle w:val="P68B1DB1-Normal4"/>
              <w:spacing w:before="120" w:after="120"/>
              <w:jc w:val="center"/>
              <w:rPr>
                <w:noProof/>
              </w:rPr>
            </w:pPr>
            <w:r>
              <w:rPr>
                <w:noProof/>
              </w:rPr>
              <w:t>M6C2-12</w:t>
            </w:r>
          </w:p>
        </w:tc>
        <w:tc>
          <w:tcPr>
            <w:tcW w:w="1701" w:type="dxa"/>
            <w:shd w:val="clear" w:color="auto" w:fill="C6EFCE"/>
            <w:noWrap/>
            <w:vAlign w:val="center"/>
          </w:tcPr>
          <w:p w14:paraId="2A525756" w14:textId="77777777" w:rsidR="004C6421" w:rsidRDefault="009D1962">
            <w:pPr>
              <w:pStyle w:val="P68B1DB1-Normal28"/>
              <w:spacing w:before="120" w:after="120"/>
              <w:jc w:val="center"/>
              <w:rPr>
                <w:noProof/>
                <w:color w:val="006100"/>
              </w:rPr>
            </w:pPr>
            <w:r>
              <w:rPr>
                <w:noProof/>
              </w:rPr>
              <w:t>Inwestycja 1.3: Wzmocnienie infrastruktury technologicznej i narzędzi gromadzenia, przetwarzania danych, analizy i symulacji danych</w:t>
            </w:r>
          </w:p>
        </w:tc>
        <w:tc>
          <w:tcPr>
            <w:tcW w:w="1134" w:type="dxa"/>
            <w:shd w:val="clear" w:color="auto" w:fill="C6EFCE"/>
            <w:noWrap/>
            <w:vAlign w:val="center"/>
          </w:tcPr>
          <w:p w14:paraId="33ED54A3" w14:textId="333C1A86" w:rsidR="004C6421" w:rsidRDefault="00CC179E">
            <w:pPr>
              <w:pStyle w:val="P68B1DB1-Normal28"/>
              <w:spacing w:before="120" w:after="120"/>
              <w:jc w:val="center"/>
              <w:rPr>
                <w:noProof/>
                <w:color w:val="006100"/>
              </w:rPr>
            </w:pPr>
            <w:r>
              <w:rPr>
                <w:noProof/>
              </w:rPr>
              <w:t>Milowy</w:t>
            </w:r>
          </w:p>
        </w:tc>
        <w:tc>
          <w:tcPr>
            <w:tcW w:w="1560" w:type="dxa"/>
            <w:shd w:val="clear" w:color="auto" w:fill="C6EFCE"/>
            <w:noWrap/>
            <w:vAlign w:val="center"/>
          </w:tcPr>
          <w:p w14:paraId="32D4B540" w14:textId="77777777" w:rsidR="004C6421" w:rsidRDefault="009D1962">
            <w:pPr>
              <w:pStyle w:val="P68B1DB1-Normal28"/>
              <w:spacing w:before="120" w:after="120"/>
              <w:jc w:val="center"/>
              <w:rPr>
                <w:noProof/>
              </w:rPr>
            </w:pPr>
            <w:r>
              <w:rPr>
                <w:noProof/>
              </w:rPr>
              <w:t>System kart ubezpieczenia zdrowotnego oraz infrastruktura służąca interoperacyjności elektronicznej dokumentacji medycznej są w pełni operacyjne.</w:t>
            </w:r>
          </w:p>
        </w:tc>
        <w:tc>
          <w:tcPr>
            <w:tcW w:w="1559" w:type="dxa"/>
            <w:shd w:val="clear" w:color="auto" w:fill="C6EFCE"/>
            <w:noWrap/>
            <w:vAlign w:val="center"/>
          </w:tcPr>
          <w:p w14:paraId="253A2F65" w14:textId="77777777" w:rsidR="004C6421" w:rsidRDefault="009D1962">
            <w:pPr>
              <w:spacing w:before="120" w:after="120"/>
              <w:jc w:val="center"/>
              <w:rPr>
                <w:rFonts w:ascii="Arial Narrow" w:hAnsi="Arial Narrow"/>
                <w:noProof/>
                <w:sz w:val="20"/>
              </w:rPr>
            </w:pPr>
            <w:r>
              <w:rPr>
                <w:rFonts w:ascii="Arial Narrow" w:hAnsi="Arial Narrow"/>
                <w:noProof/>
                <w:color w:val="006600"/>
                <w:sz w:val="20"/>
              </w:rPr>
              <w:t>Oddanie do użytku systemu karty ubezpieczenia zdrowotnego</w:t>
            </w:r>
            <w:r>
              <w:rPr>
                <w:rFonts w:ascii="Arial Narrow" w:hAnsi="Arial Narrow"/>
                <w:noProof/>
              </w:rPr>
              <w:t xml:space="preserve"> </w:t>
            </w:r>
            <w:r>
              <w:rPr>
                <w:noProof/>
              </w:rPr>
              <w:t xml:space="preserve">  </w:t>
            </w:r>
            <w:r>
              <w:rPr>
                <w:noProof/>
              </w:rPr>
              <w:br/>
            </w:r>
            <w:r>
              <w:rPr>
                <w:rFonts w:ascii="Arial Narrow" w:hAnsi="Arial Narrow"/>
                <w:noProof/>
                <w:color w:val="006600"/>
                <w:sz w:val="20"/>
              </w:rPr>
              <w:t>oraz infrastruktury na potrzeby interoperacyjności elektronicznej dokumentacji medycznej.</w:t>
            </w:r>
          </w:p>
        </w:tc>
        <w:tc>
          <w:tcPr>
            <w:tcW w:w="1276" w:type="dxa"/>
            <w:shd w:val="clear" w:color="auto" w:fill="C6EFCE"/>
            <w:noWrap/>
            <w:vAlign w:val="center"/>
          </w:tcPr>
          <w:p w14:paraId="4438F2AF" w14:textId="77777777" w:rsidR="004C6421" w:rsidRDefault="009D1962">
            <w:pPr>
              <w:pStyle w:val="P68B1DB1-Normal28"/>
              <w:spacing w:before="120" w:after="120"/>
              <w:jc w:val="center"/>
              <w:rPr>
                <w:noProof/>
                <w:color w:val="006100"/>
              </w:rPr>
            </w:pPr>
            <w:r>
              <w:rPr>
                <w:noProof/>
              </w:rPr>
              <w:t>NIE DOT.</w:t>
            </w:r>
          </w:p>
        </w:tc>
        <w:tc>
          <w:tcPr>
            <w:tcW w:w="992" w:type="dxa"/>
            <w:shd w:val="clear" w:color="auto" w:fill="C6EFCE"/>
            <w:noWrap/>
            <w:vAlign w:val="center"/>
          </w:tcPr>
          <w:p w14:paraId="57C2F7DE" w14:textId="77777777" w:rsidR="004C6421" w:rsidRDefault="009D1962">
            <w:pPr>
              <w:pStyle w:val="P68B1DB1-Normal28"/>
              <w:spacing w:before="120" w:after="120"/>
              <w:jc w:val="center"/>
              <w:rPr>
                <w:noProof/>
                <w:color w:val="006100"/>
              </w:rPr>
            </w:pPr>
            <w:r>
              <w:rPr>
                <w:noProof/>
              </w:rPr>
              <w:t>NIE DOT.</w:t>
            </w:r>
          </w:p>
        </w:tc>
        <w:tc>
          <w:tcPr>
            <w:tcW w:w="850" w:type="dxa"/>
            <w:shd w:val="clear" w:color="auto" w:fill="C6EFCE"/>
            <w:noWrap/>
            <w:vAlign w:val="center"/>
          </w:tcPr>
          <w:p w14:paraId="6DABE6BF" w14:textId="77777777" w:rsidR="004C6421" w:rsidRDefault="009D1962">
            <w:pPr>
              <w:pStyle w:val="P68B1DB1-Normal28"/>
              <w:spacing w:before="120" w:after="120"/>
              <w:jc w:val="center"/>
              <w:rPr>
                <w:noProof/>
                <w:color w:val="006100"/>
              </w:rPr>
            </w:pPr>
            <w:r>
              <w:rPr>
                <w:noProof/>
              </w:rPr>
              <w:t>NIE DOT.</w:t>
            </w:r>
          </w:p>
        </w:tc>
        <w:tc>
          <w:tcPr>
            <w:tcW w:w="851" w:type="dxa"/>
            <w:shd w:val="clear" w:color="auto" w:fill="C6EFCE"/>
            <w:noWrap/>
            <w:vAlign w:val="center"/>
          </w:tcPr>
          <w:p w14:paraId="76C02B30" w14:textId="77777777" w:rsidR="004C6421" w:rsidRDefault="009D1962">
            <w:pPr>
              <w:pStyle w:val="P68B1DB1-Normal28"/>
              <w:spacing w:before="120" w:after="120"/>
              <w:jc w:val="center"/>
              <w:rPr>
                <w:noProof/>
                <w:color w:val="006100"/>
              </w:rPr>
            </w:pPr>
            <w:r>
              <w:rPr>
                <w:noProof/>
              </w:rPr>
              <w:t>II KW.</w:t>
            </w:r>
          </w:p>
        </w:tc>
        <w:tc>
          <w:tcPr>
            <w:tcW w:w="709" w:type="dxa"/>
            <w:shd w:val="clear" w:color="auto" w:fill="C6EFCE"/>
            <w:noWrap/>
            <w:vAlign w:val="center"/>
          </w:tcPr>
          <w:p w14:paraId="4545CFBE" w14:textId="77777777" w:rsidR="004C6421" w:rsidRDefault="009D1962">
            <w:pPr>
              <w:pStyle w:val="P68B1DB1-Normal28"/>
              <w:spacing w:before="120" w:after="120"/>
              <w:jc w:val="center"/>
              <w:rPr>
                <w:noProof/>
                <w:color w:val="006100"/>
              </w:rPr>
            </w:pPr>
            <w:r>
              <w:rPr>
                <w:noProof/>
              </w:rPr>
              <w:t>2026</w:t>
            </w:r>
          </w:p>
        </w:tc>
        <w:tc>
          <w:tcPr>
            <w:tcW w:w="2835" w:type="dxa"/>
            <w:shd w:val="clear" w:color="auto" w:fill="C6EFCE"/>
            <w:noWrap/>
            <w:vAlign w:val="center"/>
          </w:tcPr>
          <w:p w14:paraId="223F76E1" w14:textId="77777777" w:rsidR="004C6421" w:rsidRDefault="009D1962">
            <w:pPr>
              <w:pStyle w:val="P68B1DB1-Normal28"/>
              <w:spacing w:before="120" w:after="120"/>
              <w:rPr>
                <w:rFonts w:eastAsia="Calibri"/>
                <w:noProof/>
              </w:rPr>
            </w:pPr>
            <w:r>
              <w:rPr>
                <w:noProof/>
              </w:rPr>
              <w:t>Oddanie do użytku systemu kart ubezpieczenia zdrowotnego oraz infrastruktury interoperacyjności elektronicznej dokumentacji medycznej: Wdrożenie centralnego repozytorium, interoperacyjności i platformy usług, zgodnie ze standardem w zakresie zasobów szybkiej interoperacyjności opieki zdrowotnej, wykorzystujące już istniejące doświadczenia w tej dziedzinie, zapewniając przechowywanie, bezpieczeństwo i normy interoperacyjności.</w:t>
            </w:r>
          </w:p>
        </w:tc>
      </w:tr>
      <w:tr w:rsidR="004C6421" w14:paraId="4F4B472B" w14:textId="77777777">
        <w:trPr>
          <w:trHeight w:val="313"/>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691643" w14:textId="77777777" w:rsidR="004C6421" w:rsidRDefault="009D1962">
            <w:pPr>
              <w:pStyle w:val="P68B1DB1-Normal4"/>
              <w:spacing w:before="120" w:after="120"/>
              <w:jc w:val="center"/>
              <w:rPr>
                <w:noProof/>
              </w:rPr>
            </w:pPr>
            <w:r>
              <w:rPr>
                <w:noProof/>
              </w:rPr>
              <w:t>M6C2-13</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87D870" w14:textId="77777777" w:rsidR="004C6421" w:rsidRDefault="009D1962">
            <w:pPr>
              <w:pStyle w:val="P68B1DB1-Normal28"/>
              <w:spacing w:before="120" w:after="120"/>
              <w:jc w:val="center"/>
              <w:rPr>
                <w:noProof/>
                <w:color w:val="006100"/>
              </w:rPr>
            </w:pPr>
            <w:r>
              <w:rPr>
                <w:noProof/>
              </w:rPr>
              <w:t>Inwestycja 1.3: Wzmocnienie infrastruktury technologicznej i narzędzi gromadzenia, przetwarzania danych, analizy i symulacji danych</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872132" w14:textId="77777777" w:rsidR="004C6421" w:rsidRDefault="009D1962">
            <w:pPr>
              <w:pStyle w:val="P68B1DB1-Normal28"/>
              <w:spacing w:before="120" w:after="120"/>
              <w:jc w:val="center"/>
              <w:rPr>
                <w:noProof/>
                <w:color w:val="006100"/>
              </w:rPr>
            </w:pPr>
            <w:r>
              <w:rPr>
                <w:noProof/>
              </w:rPr>
              <w:t>Cel</w:t>
            </w:r>
          </w:p>
        </w:tc>
        <w:tc>
          <w:tcPr>
            <w:tcW w:w="156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115335" w14:textId="77777777" w:rsidR="004C6421" w:rsidRDefault="009D1962">
            <w:pPr>
              <w:pStyle w:val="P68B1DB1-Normal28"/>
              <w:spacing w:before="120" w:after="120"/>
              <w:jc w:val="center"/>
              <w:rPr>
                <w:rFonts w:eastAsia="Calibri"/>
                <w:noProof/>
              </w:rPr>
            </w:pPr>
            <w:r>
              <w:rPr>
                <w:noProof/>
              </w:rPr>
              <w:t>Wszystkie regiony przyjęły i korzystają z elektronicznej dokumentacji medycznej</w:t>
            </w:r>
          </w:p>
        </w:tc>
        <w:tc>
          <w:tcPr>
            <w:tcW w:w="155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3B1DC24" w14:textId="77777777" w:rsidR="004C6421" w:rsidRDefault="009D1962">
            <w:pPr>
              <w:pStyle w:val="P68B1DB1-Normal28"/>
              <w:spacing w:before="120" w:after="120"/>
              <w:jc w:val="center"/>
              <w:rPr>
                <w:noProof/>
                <w:color w:val="006100"/>
              </w:rPr>
            </w:pPr>
            <w:r>
              <w:rPr>
                <w:noProof/>
              </w:rPr>
              <w:t>NIE DOT.</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9571A48" w14:textId="77777777" w:rsidR="004C6421" w:rsidRDefault="009D1962">
            <w:pPr>
              <w:pStyle w:val="P68B1DB1-Normal28"/>
              <w:spacing w:before="120" w:after="120"/>
              <w:jc w:val="center"/>
              <w:rPr>
                <w:rFonts w:eastAsia="Arial"/>
                <w:noProof/>
              </w:rPr>
            </w:pPr>
            <w:r>
              <w:rPr>
                <w:noProof/>
              </w:rPr>
              <w:t>Numer</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D9827C1" w14:textId="77777777" w:rsidR="004C6421" w:rsidRDefault="009D1962">
            <w:pPr>
              <w:pStyle w:val="P68B1DB1-Normal28"/>
              <w:spacing w:before="120" w:after="120"/>
              <w:jc w:val="center"/>
              <w:rPr>
                <w:noProof/>
                <w:color w:val="006100"/>
              </w:rPr>
            </w:pPr>
            <w:r>
              <w:rPr>
                <w:noProof/>
              </w:rPr>
              <w:t>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39EAA8" w14:textId="77777777" w:rsidR="004C6421" w:rsidRDefault="009D1962">
            <w:pPr>
              <w:pStyle w:val="P68B1DB1-Normal28"/>
              <w:spacing w:before="120" w:after="120"/>
              <w:jc w:val="center"/>
              <w:rPr>
                <w:noProof/>
                <w:color w:val="006100"/>
              </w:rPr>
            </w:pPr>
            <w:r>
              <w:rPr>
                <w:noProof/>
              </w:rPr>
              <w:t>21</w:t>
            </w:r>
          </w:p>
        </w:tc>
        <w:tc>
          <w:tcPr>
            <w:tcW w:w="85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5EC1D2D" w14:textId="77777777" w:rsidR="004C6421" w:rsidRDefault="009D1962">
            <w:pPr>
              <w:pStyle w:val="P68B1DB1-Normal28"/>
              <w:spacing w:before="120" w:after="120"/>
              <w:jc w:val="center"/>
              <w:rPr>
                <w:noProof/>
                <w:color w:val="006100"/>
              </w:rPr>
            </w:pPr>
            <w:r>
              <w:rPr>
                <w:noProof/>
              </w:rPr>
              <w:t>II KW.</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2821C9" w14:textId="77777777" w:rsidR="004C6421" w:rsidRDefault="009D1962">
            <w:pPr>
              <w:pStyle w:val="P68B1DB1-Normal28"/>
              <w:spacing w:before="120" w:after="120"/>
              <w:jc w:val="center"/>
              <w:rPr>
                <w:noProof/>
                <w:color w:val="006100"/>
              </w:rPr>
            </w:pPr>
            <w:r>
              <w:rPr>
                <w:noProof/>
              </w:rPr>
              <w:t>2026</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A4FF13" w14:textId="77777777" w:rsidR="004C6421" w:rsidRDefault="009D1962">
            <w:pPr>
              <w:pStyle w:val="P68B1DB1-Normal28"/>
              <w:spacing w:before="120" w:after="120"/>
              <w:rPr>
                <w:noProof/>
              </w:rPr>
            </w:pPr>
            <w:r>
              <w:rPr>
                <w:noProof/>
              </w:rPr>
              <w:t xml:space="preserve">Wszystkie regiony tworzą, wykorzystują i zamieszczają w elektronicznej dokumentacji medycznej dokumenty rodzime w formie cyfrowej. Cel ten obejmuje w szczególności:        </w:t>
            </w:r>
          </w:p>
          <w:p w14:paraId="08DA5AB1" w14:textId="77777777" w:rsidR="004C6421" w:rsidRDefault="009D1962">
            <w:pPr>
              <w:pStyle w:val="P68B1DB1-Normal28"/>
              <w:spacing w:before="120" w:after="120"/>
              <w:rPr>
                <w:rFonts w:eastAsia="Calibri"/>
                <w:noProof/>
              </w:rPr>
            </w:pPr>
            <w:r>
              <w:rPr>
                <w:noProof/>
              </w:rPr>
              <w:t>— Cyfrowe dokumenty rodzime umieszcza się w elektronicznej dokumentacji medycznej, o której mowa w dekrecie z dnia 18 maja 2022 r. i późniejszych dekretach dotyczących treści elektronicznej dokumentacji medycznej.</w:t>
            </w:r>
          </w:p>
          <w:p w14:paraId="3BD5E329" w14:textId="77777777" w:rsidR="004C6421" w:rsidRDefault="009D1962">
            <w:pPr>
              <w:pStyle w:val="P68B1DB1-Normal28"/>
              <w:spacing w:before="120" w:after="120"/>
              <w:rPr>
                <w:noProof/>
              </w:rPr>
            </w:pPr>
            <w:r>
              <w:rPr>
                <w:noProof/>
              </w:rPr>
              <w:t xml:space="preserve">— Wsparcie finansowe dla świadczeniodawców w celu aktualizacji ich sprzętu i zapewnienia, aby dane, metadane i dokumentacja opieki zdrowotnej były generowane jako cyfrowe źródło pochodzenia.    </w:t>
            </w:r>
          </w:p>
          <w:p w14:paraId="177871D7" w14:textId="77777777" w:rsidR="004C6421" w:rsidRDefault="009D1962">
            <w:pPr>
              <w:pStyle w:val="P68B1DB1-Normal28"/>
              <w:spacing w:before="120" w:after="120"/>
              <w:rPr>
                <w:noProof/>
              </w:rPr>
            </w:pPr>
            <w:r>
              <w:rPr>
                <w:noProof/>
              </w:rPr>
              <w:t xml:space="preserve">Wsparcie finansowe dla świadczeniodawców chcących przyjąć krajową platformę, interoperacyjność i standardy UI/UX.  </w:t>
            </w:r>
          </w:p>
          <w:p w14:paraId="02B405B3" w14:textId="77777777" w:rsidR="004C6421" w:rsidRDefault="009D1962">
            <w:pPr>
              <w:pStyle w:val="P68B1DB1-Normal28"/>
              <w:spacing w:before="120" w:after="120"/>
              <w:rPr>
                <w:rFonts w:eastAsia="Calibri"/>
                <w:noProof/>
              </w:rPr>
            </w:pPr>
            <w:r>
              <w:rPr>
                <w:noProof/>
              </w:rPr>
              <w:t>— Wspieranie kompetencji (kapitał ludzki) dla świadczeniodawców i regionalnych organów ds. zdrowia w celu wdrożenia zmian w infrastrukturze i danych w celu przyjęcia krajowej elektronicznej dokumentacji medycznej.</w:t>
            </w:r>
          </w:p>
        </w:tc>
      </w:tr>
      <w:tr w:rsidR="004C6421" w14:paraId="62E34110" w14:textId="77777777">
        <w:trPr>
          <w:trHeight w:val="313"/>
          <w:jc w:val="center"/>
        </w:trPr>
        <w:tc>
          <w:tcPr>
            <w:tcW w:w="1129" w:type="dxa"/>
            <w:shd w:val="clear" w:color="auto" w:fill="C6EFCE"/>
            <w:noWrap/>
            <w:vAlign w:val="center"/>
          </w:tcPr>
          <w:p w14:paraId="15F61DBC" w14:textId="77777777" w:rsidR="004C6421" w:rsidRDefault="009D1962">
            <w:pPr>
              <w:pStyle w:val="P68B1DB1-Normal4"/>
              <w:spacing w:before="120" w:after="120"/>
              <w:jc w:val="center"/>
              <w:rPr>
                <w:noProof/>
              </w:rPr>
            </w:pPr>
            <w:r>
              <w:rPr>
                <w:noProof/>
              </w:rPr>
              <w:t>M6C2-14</w:t>
            </w:r>
          </w:p>
        </w:tc>
        <w:tc>
          <w:tcPr>
            <w:tcW w:w="1701" w:type="dxa"/>
            <w:shd w:val="clear" w:color="auto" w:fill="C6EFCE"/>
            <w:noWrap/>
            <w:vAlign w:val="center"/>
          </w:tcPr>
          <w:p w14:paraId="1DDF6900" w14:textId="77777777" w:rsidR="004C6421" w:rsidRDefault="009D1962">
            <w:pPr>
              <w:pStyle w:val="P68B1DB1-Normal28"/>
              <w:spacing w:before="120" w:after="120"/>
              <w:jc w:val="center"/>
              <w:rPr>
                <w:noProof/>
                <w:color w:val="006100"/>
              </w:rPr>
            </w:pPr>
            <w:r>
              <w:rPr>
                <w:noProof/>
              </w:rPr>
              <w:t>Inwestycje 2.2: Rozwój umiejętności technicznych i zawodowych, cyfrowych i kierowniczych specjalistów w systemie opieki zdrowotnej</w:t>
            </w:r>
          </w:p>
        </w:tc>
        <w:tc>
          <w:tcPr>
            <w:tcW w:w="1134" w:type="dxa"/>
            <w:shd w:val="clear" w:color="auto" w:fill="C6EFCE"/>
            <w:noWrap/>
            <w:vAlign w:val="center"/>
          </w:tcPr>
          <w:p w14:paraId="1ECBE537" w14:textId="77777777" w:rsidR="004C6421" w:rsidRDefault="009D1962">
            <w:pPr>
              <w:pStyle w:val="P68B1DB1-Normal28"/>
              <w:spacing w:before="120" w:after="120"/>
              <w:jc w:val="center"/>
              <w:rPr>
                <w:noProof/>
                <w:color w:val="006100"/>
              </w:rPr>
            </w:pPr>
            <w:r>
              <w:rPr>
                <w:noProof/>
              </w:rPr>
              <w:t>Cel</w:t>
            </w:r>
          </w:p>
        </w:tc>
        <w:tc>
          <w:tcPr>
            <w:tcW w:w="1560" w:type="dxa"/>
            <w:shd w:val="clear" w:color="auto" w:fill="C6EFCE"/>
            <w:noWrap/>
            <w:vAlign w:val="center"/>
          </w:tcPr>
          <w:p w14:paraId="0F253C03" w14:textId="77777777" w:rsidR="004C6421" w:rsidRDefault="009D1962">
            <w:pPr>
              <w:pStyle w:val="P68B1DB1-Normal28"/>
              <w:spacing w:before="120" w:after="120"/>
              <w:jc w:val="center"/>
              <w:rPr>
                <w:noProof/>
              </w:rPr>
            </w:pPr>
            <w:r>
              <w:rPr>
                <w:noProof/>
              </w:rPr>
              <w:t>Przyznawane są stypendia na specjalistyczne szkolenia w zakresie ogólnej praktyki medycznej.</w:t>
            </w:r>
          </w:p>
        </w:tc>
        <w:tc>
          <w:tcPr>
            <w:tcW w:w="1559" w:type="dxa"/>
            <w:shd w:val="clear" w:color="auto" w:fill="C6EFCE"/>
            <w:noWrap/>
            <w:vAlign w:val="center"/>
          </w:tcPr>
          <w:p w14:paraId="227BE814" w14:textId="77777777" w:rsidR="004C6421" w:rsidRDefault="009D1962">
            <w:pPr>
              <w:pStyle w:val="P68B1DB1-Normal28"/>
              <w:spacing w:before="120" w:after="120"/>
              <w:jc w:val="center"/>
              <w:rPr>
                <w:noProof/>
                <w:color w:val="006100"/>
              </w:rPr>
            </w:pPr>
            <w:r>
              <w:rPr>
                <w:noProof/>
              </w:rPr>
              <w:t>NIE DOT.</w:t>
            </w:r>
          </w:p>
        </w:tc>
        <w:tc>
          <w:tcPr>
            <w:tcW w:w="1276" w:type="dxa"/>
            <w:shd w:val="clear" w:color="auto" w:fill="C6EFCE"/>
            <w:noWrap/>
            <w:vAlign w:val="center"/>
          </w:tcPr>
          <w:p w14:paraId="06830875" w14:textId="77777777" w:rsidR="004C6421" w:rsidRDefault="009D1962">
            <w:pPr>
              <w:pStyle w:val="P68B1DB1-Normal28"/>
              <w:spacing w:before="120" w:after="120"/>
              <w:jc w:val="center"/>
              <w:rPr>
                <w:rFonts w:eastAsia="Calibri"/>
                <w:noProof/>
              </w:rPr>
            </w:pPr>
            <w:r>
              <w:rPr>
                <w:noProof/>
              </w:rPr>
              <w:t xml:space="preserve">Numer </w:t>
            </w:r>
          </w:p>
        </w:tc>
        <w:tc>
          <w:tcPr>
            <w:tcW w:w="992" w:type="dxa"/>
            <w:shd w:val="clear" w:color="auto" w:fill="C6EFCE"/>
            <w:noWrap/>
            <w:vAlign w:val="center"/>
          </w:tcPr>
          <w:p w14:paraId="6BE82507" w14:textId="77777777" w:rsidR="004C6421" w:rsidRDefault="009D1962">
            <w:pPr>
              <w:pStyle w:val="P68B1DB1-Normal28"/>
              <w:spacing w:before="120" w:after="120"/>
              <w:jc w:val="center"/>
              <w:rPr>
                <w:noProof/>
                <w:color w:val="006100"/>
              </w:rPr>
            </w:pPr>
            <w:r>
              <w:rPr>
                <w:noProof/>
              </w:rPr>
              <w:t>0</w:t>
            </w:r>
          </w:p>
        </w:tc>
        <w:tc>
          <w:tcPr>
            <w:tcW w:w="850" w:type="dxa"/>
            <w:shd w:val="clear" w:color="auto" w:fill="C6EFCE"/>
            <w:noWrap/>
            <w:vAlign w:val="center"/>
          </w:tcPr>
          <w:p w14:paraId="43E1640C" w14:textId="4509A61E" w:rsidR="004C6421" w:rsidRDefault="009D1962">
            <w:pPr>
              <w:spacing w:before="120" w:after="120"/>
              <w:jc w:val="center"/>
              <w:rPr>
                <w:rFonts w:ascii="Arial Narrow" w:hAnsi="Arial Narrow"/>
                <w:noProof/>
                <w:color w:val="006100"/>
                <w:sz w:val="20"/>
              </w:rPr>
            </w:pPr>
            <w:r>
              <w:rPr>
                <w:rFonts w:ascii="Arial Narrow" w:hAnsi="Arial Narrow"/>
                <w:noProof/>
                <w:color w:val="006600"/>
                <w:sz w:val="20"/>
              </w:rPr>
              <w:t>1</w:t>
            </w:r>
            <w:r>
              <w:rPr>
                <w:noProof/>
                <w:sz w:val="23"/>
              </w:rPr>
              <w:t xml:space="preserve"> </w:t>
            </w:r>
            <w:r>
              <w:rPr>
                <w:rFonts w:ascii="Arial Narrow" w:hAnsi="Arial Narrow"/>
                <w:noProof/>
                <w:color w:val="006600"/>
                <w:sz w:val="20"/>
              </w:rPr>
              <w:t>800</w:t>
            </w:r>
          </w:p>
        </w:tc>
        <w:tc>
          <w:tcPr>
            <w:tcW w:w="851" w:type="dxa"/>
            <w:shd w:val="clear" w:color="auto" w:fill="C6EFCE"/>
            <w:noWrap/>
            <w:vAlign w:val="center"/>
          </w:tcPr>
          <w:p w14:paraId="38C7E66B" w14:textId="77777777" w:rsidR="004C6421" w:rsidRDefault="009D1962">
            <w:pPr>
              <w:pStyle w:val="P68B1DB1-Normal28"/>
              <w:spacing w:before="120" w:after="120"/>
              <w:jc w:val="center"/>
              <w:rPr>
                <w:noProof/>
                <w:color w:val="006100"/>
              </w:rPr>
            </w:pPr>
            <w:r>
              <w:rPr>
                <w:noProof/>
              </w:rPr>
              <w:t>II KW.</w:t>
            </w:r>
          </w:p>
        </w:tc>
        <w:tc>
          <w:tcPr>
            <w:tcW w:w="709" w:type="dxa"/>
            <w:shd w:val="clear" w:color="auto" w:fill="C6EFCE"/>
            <w:noWrap/>
            <w:vAlign w:val="center"/>
          </w:tcPr>
          <w:p w14:paraId="67DF6A57" w14:textId="77777777" w:rsidR="004C6421" w:rsidRDefault="009D1962">
            <w:pPr>
              <w:pStyle w:val="P68B1DB1-Normal28"/>
              <w:spacing w:before="120" w:after="120"/>
              <w:jc w:val="center"/>
              <w:rPr>
                <w:noProof/>
                <w:color w:val="006100"/>
              </w:rPr>
            </w:pPr>
            <w:r>
              <w:rPr>
                <w:noProof/>
              </w:rPr>
              <w:t>2023</w:t>
            </w:r>
          </w:p>
        </w:tc>
        <w:tc>
          <w:tcPr>
            <w:tcW w:w="2835" w:type="dxa"/>
            <w:shd w:val="clear" w:color="auto" w:fill="C6EFCE"/>
            <w:noWrap/>
            <w:vAlign w:val="center"/>
          </w:tcPr>
          <w:p w14:paraId="00FF72C9" w14:textId="77777777" w:rsidR="004C6421" w:rsidRDefault="009D1962">
            <w:pPr>
              <w:pStyle w:val="P68B1DB1-Normal28"/>
              <w:spacing w:before="120" w:after="120"/>
              <w:rPr>
                <w:rFonts w:eastAsia="Calibri"/>
                <w:noProof/>
              </w:rPr>
            </w:pPr>
            <w:r>
              <w:rPr>
                <w:noProof/>
              </w:rPr>
              <w:t>Inwestycja ta zwiększy stypendia dla konkretnego kursu medycyny ogólnej, gwarantując ukończenie trzech trzyletnich cykli szkoleniowych;</w:t>
            </w:r>
          </w:p>
        </w:tc>
      </w:tr>
      <w:tr w:rsidR="004C6421" w14:paraId="77F5E74B" w14:textId="77777777">
        <w:trPr>
          <w:trHeight w:val="313"/>
          <w:jc w:val="center"/>
        </w:trPr>
        <w:tc>
          <w:tcPr>
            <w:tcW w:w="1129" w:type="dxa"/>
            <w:shd w:val="clear" w:color="auto" w:fill="C6EFCE"/>
            <w:noWrap/>
            <w:vAlign w:val="center"/>
          </w:tcPr>
          <w:p w14:paraId="4343FDEC" w14:textId="77777777" w:rsidR="004C6421" w:rsidRDefault="009D1962">
            <w:pPr>
              <w:pStyle w:val="P68B1DB1-Normal4"/>
              <w:spacing w:before="120" w:after="120"/>
              <w:jc w:val="center"/>
              <w:rPr>
                <w:noProof/>
              </w:rPr>
            </w:pPr>
            <w:r>
              <w:rPr>
                <w:noProof/>
              </w:rPr>
              <w:t>M6C2-15</w:t>
            </w:r>
          </w:p>
        </w:tc>
        <w:tc>
          <w:tcPr>
            <w:tcW w:w="1701" w:type="dxa"/>
            <w:shd w:val="clear" w:color="auto" w:fill="C6EFCE"/>
            <w:noWrap/>
            <w:vAlign w:val="center"/>
          </w:tcPr>
          <w:p w14:paraId="22711663" w14:textId="77777777" w:rsidR="004C6421" w:rsidRDefault="009D1962">
            <w:pPr>
              <w:pStyle w:val="P68B1DB1-Normal28"/>
              <w:spacing w:before="120" w:after="120"/>
              <w:jc w:val="center"/>
              <w:rPr>
                <w:noProof/>
                <w:color w:val="006100"/>
              </w:rPr>
            </w:pPr>
            <w:r>
              <w:rPr>
                <w:noProof/>
              </w:rPr>
              <w:t>Inwestycje 2.2: Rozwój umiejętności technicznych i zawodowych, cyfrowych i kierowniczych specjalistów w systemie opieki zdrowotnej</w:t>
            </w:r>
          </w:p>
        </w:tc>
        <w:tc>
          <w:tcPr>
            <w:tcW w:w="1134" w:type="dxa"/>
            <w:shd w:val="clear" w:color="auto" w:fill="C6EFCE"/>
            <w:noWrap/>
            <w:vAlign w:val="center"/>
          </w:tcPr>
          <w:p w14:paraId="67748AA9" w14:textId="77777777" w:rsidR="004C6421" w:rsidRDefault="009D1962">
            <w:pPr>
              <w:pStyle w:val="P68B1DB1-Normal28"/>
              <w:spacing w:before="120" w:after="120"/>
              <w:jc w:val="center"/>
              <w:rPr>
                <w:noProof/>
                <w:color w:val="006100"/>
              </w:rPr>
            </w:pPr>
            <w:r>
              <w:rPr>
                <w:noProof/>
              </w:rPr>
              <w:t>Cel</w:t>
            </w:r>
          </w:p>
        </w:tc>
        <w:tc>
          <w:tcPr>
            <w:tcW w:w="1560" w:type="dxa"/>
            <w:shd w:val="clear" w:color="auto" w:fill="C6EFCE"/>
            <w:noWrap/>
            <w:vAlign w:val="center"/>
          </w:tcPr>
          <w:p w14:paraId="7CF86629" w14:textId="77777777" w:rsidR="004C6421" w:rsidRDefault="009D1962">
            <w:pPr>
              <w:pStyle w:val="P68B1DB1-Normal28"/>
              <w:spacing w:before="120" w:after="120"/>
              <w:jc w:val="center"/>
              <w:rPr>
                <w:noProof/>
              </w:rPr>
            </w:pPr>
            <w:r>
              <w:rPr>
                <w:noProof/>
              </w:rPr>
              <w:t>Przyznawane są dodatkowe stypendia na specjalistyczne szkolenia w zakresie ogólnej praktyki medycznej.</w:t>
            </w:r>
          </w:p>
        </w:tc>
        <w:tc>
          <w:tcPr>
            <w:tcW w:w="1559" w:type="dxa"/>
            <w:shd w:val="clear" w:color="auto" w:fill="C6EFCE"/>
            <w:noWrap/>
            <w:vAlign w:val="center"/>
          </w:tcPr>
          <w:p w14:paraId="60741AE5" w14:textId="77777777" w:rsidR="004C6421" w:rsidRDefault="009D1962">
            <w:pPr>
              <w:pStyle w:val="P68B1DB1-Normal28"/>
              <w:spacing w:before="120" w:after="120"/>
              <w:jc w:val="center"/>
              <w:rPr>
                <w:noProof/>
                <w:color w:val="006100"/>
              </w:rPr>
            </w:pPr>
            <w:r>
              <w:rPr>
                <w:noProof/>
              </w:rPr>
              <w:t>NIE DOT.</w:t>
            </w:r>
          </w:p>
        </w:tc>
        <w:tc>
          <w:tcPr>
            <w:tcW w:w="1276" w:type="dxa"/>
            <w:shd w:val="clear" w:color="auto" w:fill="C6EFCE"/>
            <w:noWrap/>
            <w:vAlign w:val="center"/>
          </w:tcPr>
          <w:p w14:paraId="6138A186" w14:textId="77777777" w:rsidR="004C6421" w:rsidRDefault="009D1962">
            <w:pPr>
              <w:pStyle w:val="P68B1DB1-Normal28"/>
              <w:spacing w:before="120" w:after="120"/>
              <w:jc w:val="center"/>
              <w:rPr>
                <w:rFonts w:eastAsia="Calibri"/>
                <w:noProof/>
              </w:rPr>
            </w:pPr>
            <w:r>
              <w:rPr>
                <w:noProof/>
              </w:rPr>
              <w:t xml:space="preserve">Numer </w:t>
            </w:r>
          </w:p>
        </w:tc>
        <w:tc>
          <w:tcPr>
            <w:tcW w:w="992" w:type="dxa"/>
            <w:shd w:val="clear" w:color="auto" w:fill="C6EFCE"/>
            <w:noWrap/>
            <w:vAlign w:val="center"/>
          </w:tcPr>
          <w:p w14:paraId="549985D1" w14:textId="49F9BDB5" w:rsidR="004C6421" w:rsidRDefault="009D1962">
            <w:pPr>
              <w:spacing w:before="120" w:after="120"/>
              <w:jc w:val="center"/>
              <w:rPr>
                <w:rFonts w:ascii="Arial Narrow" w:hAnsi="Arial Narrow"/>
                <w:noProof/>
                <w:color w:val="006100"/>
                <w:sz w:val="20"/>
              </w:rPr>
            </w:pPr>
            <w:r>
              <w:rPr>
                <w:rFonts w:ascii="Arial Narrow" w:hAnsi="Arial Narrow"/>
                <w:noProof/>
                <w:color w:val="006600"/>
                <w:sz w:val="20"/>
              </w:rPr>
              <w:t>1</w:t>
            </w:r>
            <w:r>
              <w:rPr>
                <w:noProof/>
                <w:sz w:val="23"/>
              </w:rPr>
              <w:t xml:space="preserve"> </w:t>
            </w:r>
            <w:r>
              <w:rPr>
                <w:rFonts w:ascii="Arial Narrow" w:hAnsi="Arial Narrow"/>
                <w:noProof/>
                <w:color w:val="006600"/>
                <w:sz w:val="20"/>
              </w:rPr>
              <w:t>800</w:t>
            </w:r>
          </w:p>
        </w:tc>
        <w:tc>
          <w:tcPr>
            <w:tcW w:w="850" w:type="dxa"/>
            <w:shd w:val="clear" w:color="auto" w:fill="C6EFCE"/>
            <w:noWrap/>
            <w:vAlign w:val="center"/>
          </w:tcPr>
          <w:p w14:paraId="20AF9199" w14:textId="5F37DEA8" w:rsidR="004C6421" w:rsidRDefault="009D1962">
            <w:pPr>
              <w:spacing w:before="120" w:after="120"/>
              <w:jc w:val="center"/>
              <w:rPr>
                <w:rFonts w:ascii="Arial Narrow" w:hAnsi="Arial Narrow"/>
                <w:noProof/>
                <w:color w:val="006100"/>
                <w:sz w:val="20"/>
              </w:rPr>
            </w:pPr>
            <w:r>
              <w:rPr>
                <w:rFonts w:ascii="Arial Narrow" w:hAnsi="Arial Narrow"/>
                <w:noProof/>
                <w:color w:val="006600"/>
                <w:sz w:val="20"/>
              </w:rPr>
              <w:t>2</w:t>
            </w:r>
            <w:r>
              <w:rPr>
                <w:noProof/>
                <w:sz w:val="23"/>
              </w:rPr>
              <w:t xml:space="preserve"> </w:t>
            </w:r>
            <w:r>
              <w:rPr>
                <w:rFonts w:ascii="Arial Narrow" w:hAnsi="Arial Narrow"/>
                <w:noProof/>
                <w:color w:val="006600"/>
                <w:sz w:val="20"/>
              </w:rPr>
              <w:t>700</w:t>
            </w:r>
          </w:p>
        </w:tc>
        <w:tc>
          <w:tcPr>
            <w:tcW w:w="851" w:type="dxa"/>
            <w:shd w:val="clear" w:color="auto" w:fill="C6EFCE"/>
            <w:noWrap/>
            <w:vAlign w:val="center"/>
          </w:tcPr>
          <w:p w14:paraId="0A7158ED" w14:textId="77777777" w:rsidR="004C6421" w:rsidRDefault="009D1962">
            <w:pPr>
              <w:pStyle w:val="P68B1DB1-Normal28"/>
              <w:spacing w:before="120" w:after="120"/>
              <w:jc w:val="center"/>
              <w:rPr>
                <w:noProof/>
                <w:color w:val="006100"/>
              </w:rPr>
            </w:pPr>
            <w:r>
              <w:rPr>
                <w:noProof/>
              </w:rPr>
              <w:t>II KW.</w:t>
            </w:r>
          </w:p>
        </w:tc>
        <w:tc>
          <w:tcPr>
            <w:tcW w:w="709" w:type="dxa"/>
            <w:shd w:val="clear" w:color="auto" w:fill="C6EFCE"/>
            <w:noWrap/>
            <w:vAlign w:val="center"/>
          </w:tcPr>
          <w:p w14:paraId="396D345F" w14:textId="77777777" w:rsidR="004C6421" w:rsidRDefault="009D1962">
            <w:pPr>
              <w:pStyle w:val="P68B1DB1-Normal28"/>
              <w:spacing w:before="120" w:after="120"/>
              <w:jc w:val="center"/>
              <w:rPr>
                <w:noProof/>
                <w:color w:val="006100"/>
              </w:rPr>
            </w:pPr>
            <w:r>
              <w:rPr>
                <w:noProof/>
              </w:rPr>
              <w:t>2024</w:t>
            </w:r>
          </w:p>
        </w:tc>
        <w:tc>
          <w:tcPr>
            <w:tcW w:w="2835" w:type="dxa"/>
            <w:shd w:val="clear" w:color="auto" w:fill="C6EFCE"/>
            <w:noWrap/>
            <w:vAlign w:val="center"/>
          </w:tcPr>
          <w:p w14:paraId="2D7EE3CC" w14:textId="77777777" w:rsidR="004C6421" w:rsidRDefault="009D1962">
            <w:pPr>
              <w:pStyle w:val="P68B1DB1-Normal28"/>
              <w:spacing w:before="120" w:after="120"/>
              <w:rPr>
                <w:rFonts w:eastAsia="Calibri"/>
                <w:noProof/>
              </w:rPr>
            </w:pPr>
            <w:r>
              <w:rPr>
                <w:noProof/>
              </w:rPr>
              <w:t>Inwestycja ta zwiększy stypendia dla konkretnego kursu medycyny ogólnej, gwarantując ukończenie trzech trzyletnich cykli szkoleniowych.</w:t>
            </w:r>
          </w:p>
        </w:tc>
      </w:tr>
      <w:tr w:rsidR="004C6421" w14:paraId="20A47DA5" w14:textId="77777777">
        <w:trPr>
          <w:trHeight w:val="313"/>
          <w:jc w:val="center"/>
        </w:trPr>
        <w:tc>
          <w:tcPr>
            <w:tcW w:w="1129" w:type="dxa"/>
            <w:shd w:val="clear" w:color="auto" w:fill="C6EFCE"/>
            <w:noWrap/>
            <w:vAlign w:val="center"/>
          </w:tcPr>
          <w:p w14:paraId="2FB70E73" w14:textId="77777777" w:rsidR="004C6421" w:rsidRDefault="009D1962">
            <w:pPr>
              <w:pStyle w:val="P68B1DB1-Normal4"/>
              <w:spacing w:before="120" w:after="120"/>
              <w:jc w:val="center"/>
              <w:rPr>
                <w:noProof/>
              </w:rPr>
            </w:pPr>
            <w:r>
              <w:rPr>
                <w:noProof/>
              </w:rPr>
              <w:t>M6C2-16</w:t>
            </w:r>
          </w:p>
        </w:tc>
        <w:tc>
          <w:tcPr>
            <w:tcW w:w="1701" w:type="dxa"/>
            <w:shd w:val="clear" w:color="auto" w:fill="C6EFCE"/>
            <w:noWrap/>
            <w:vAlign w:val="center"/>
          </w:tcPr>
          <w:p w14:paraId="1CB22254" w14:textId="77777777" w:rsidR="004C6421" w:rsidRDefault="009D1962">
            <w:pPr>
              <w:pStyle w:val="P68B1DB1-Normal28"/>
              <w:spacing w:before="120" w:after="120"/>
              <w:jc w:val="center"/>
              <w:rPr>
                <w:noProof/>
                <w:color w:val="006100"/>
              </w:rPr>
            </w:pPr>
            <w:r>
              <w:rPr>
                <w:noProof/>
              </w:rPr>
              <w:t>Inwestycje 2.2: Rozwój umiejętności technicznych i zawodowych, cyfrowych i kierowniczych specjalistów w systemie opieki zdrowotnej</w:t>
            </w:r>
          </w:p>
        </w:tc>
        <w:tc>
          <w:tcPr>
            <w:tcW w:w="1134" w:type="dxa"/>
            <w:shd w:val="clear" w:color="auto" w:fill="C6EFCE"/>
            <w:noWrap/>
            <w:vAlign w:val="center"/>
          </w:tcPr>
          <w:p w14:paraId="78DBAE1B" w14:textId="77777777" w:rsidR="004C6421" w:rsidRDefault="009D1962">
            <w:pPr>
              <w:pStyle w:val="P68B1DB1-Normal28"/>
              <w:spacing w:before="120" w:after="120"/>
              <w:jc w:val="center"/>
              <w:rPr>
                <w:noProof/>
                <w:color w:val="006100"/>
              </w:rPr>
            </w:pPr>
            <w:r>
              <w:rPr>
                <w:noProof/>
              </w:rPr>
              <w:t>Cel</w:t>
            </w:r>
          </w:p>
        </w:tc>
        <w:tc>
          <w:tcPr>
            <w:tcW w:w="1560" w:type="dxa"/>
            <w:shd w:val="clear" w:color="auto" w:fill="C6EFCE"/>
            <w:noWrap/>
            <w:vAlign w:val="center"/>
          </w:tcPr>
          <w:p w14:paraId="1EB3277D" w14:textId="77777777" w:rsidR="004C6421" w:rsidRDefault="009D1962">
            <w:pPr>
              <w:pStyle w:val="P68B1DB1-Normal28"/>
              <w:spacing w:before="120" w:after="120"/>
              <w:jc w:val="center"/>
              <w:rPr>
                <w:noProof/>
                <w:color w:val="006100"/>
              </w:rPr>
            </w:pPr>
            <w:r>
              <w:rPr>
                <w:noProof/>
              </w:rPr>
              <w:t>Szkolenia w zakresie umiejętności kierowniczych i cyfrowych zapewniane pracownikom krajowej służby zdrowia</w:t>
            </w:r>
          </w:p>
        </w:tc>
        <w:tc>
          <w:tcPr>
            <w:tcW w:w="1559" w:type="dxa"/>
            <w:shd w:val="clear" w:color="auto" w:fill="C6EFCE"/>
            <w:noWrap/>
            <w:vAlign w:val="center"/>
          </w:tcPr>
          <w:p w14:paraId="59FEAC9E" w14:textId="77777777" w:rsidR="004C6421" w:rsidRDefault="009D1962">
            <w:pPr>
              <w:pStyle w:val="P68B1DB1-Normal28"/>
              <w:spacing w:before="120" w:after="120"/>
              <w:jc w:val="center"/>
              <w:rPr>
                <w:noProof/>
                <w:color w:val="006100"/>
              </w:rPr>
            </w:pPr>
            <w:r>
              <w:rPr>
                <w:noProof/>
              </w:rPr>
              <w:t>NIE DOT.</w:t>
            </w:r>
          </w:p>
        </w:tc>
        <w:tc>
          <w:tcPr>
            <w:tcW w:w="1276" w:type="dxa"/>
            <w:shd w:val="clear" w:color="auto" w:fill="C6EFCE"/>
            <w:noWrap/>
            <w:vAlign w:val="center"/>
          </w:tcPr>
          <w:p w14:paraId="1A310ACF" w14:textId="77777777" w:rsidR="004C6421" w:rsidRDefault="009D1962">
            <w:pPr>
              <w:pStyle w:val="P68B1DB1-Normal28"/>
              <w:spacing w:before="120" w:after="120"/>
              <w:jc w:val="center"/>
              <w:rPr>
                <w:noProof/>
                <w:color w:val="006100"/>
              </w:rPr>
            </w:pPr>
            <w:r>
              <w:rPr>
                <w:noProof/>
              </w:rPr>
              <w:t>Numer</w:t>
            </w:r>
          </w:p>
        </w:tc>
        <w:tc>
          <w:tcPr>
            <w:tcW w:w="992" w:type="dxa"/>
            <w:shd w:val="clear" w:color="auto" w:fill="C6EFCE"/>
            <w:noWrap/>
            <w:vAlign w:val="center"/>
          </w:tcPr>
          <w:p w14:paraId="66785FC5" w14:textId="77777777" w:rsidR="004C6421" w:rsidRDefault="009D1962">
            <w:pPr>
              <w:pStyle w:val="P68B1DB1-Normal28"/>
              <w:spacing w:before="120" w:after="120"/>
              <w:jc w:val="center"/>
              <w:rPr>
                <w:noProof/>
                <w:color w:val="006100"/>
              </w:rPr>
            </w:pPr>
            <w:r>
              <w:rPr>
                <w:noProof/>
              </w:rPr>
              <w:t>0</w:t>
            </w:r>
          </w:p>
        </w:tc>
        <w:tc>
          <w:tcPr>
            <w:tcW w:w="850" w:type="dxa"/>
            <w:shd w:val="clear" w:color="auto" w:fill="C6EFCE"/>
            <w:noWrap/>
            <w:vAlign w:val="center"/>
          </w:tcPr>
          <w:p w14:paraId="32FEE7BA" w14:textId="3196331C" w:rsidR="004C6421" w:rsidRDefault="009D1962">
            <w:pPr>
              <w:spacing w:before="120" w:after="120"/>
              <w:jc w:val="center"/>
              <w:rPr>
                <w:rFonts w:ascii="Arial Narrow" w:hAnsi="Arial Narrow"/>
                <w:noProof/>
                <w:color w:val="006100"/>
                <w:sz w:val="20"/>
              </w:rPr>
            </w:pPr>
            <w:r>
              <w:rPr>
                <w:rFonts w:ascii="Arial Narrow" w:hAnsi="Arial Narrow"/>
                <w:noProof/>
                <w:color w:val="006600"/>
                <w:sz w:val="20"/>
              </w:rPr>
              <w:t>4</w:t>
            </w:r>
            <w:r>
              <w:rPr>
                <w:noProof/>
                <w:sz w:val="23"/>
              </w:rPr>
              <w:t xml:space="preserve"> </w:t>
            </w:r>
            <w:r>
              <w:rPr>
                <w:rFonts w:ascii="Arial Narrow" w:hAnsi="Arial Narrow"/>
                <w:noProof/>
                <w:color w:val="006600"/>
                <w:sz w:val="20"/>
              </w:rPr>
              <w:t>500</w:t>
            </w:r>
          </w:p>
        </w:tc>
        <w:tc>
          <w:tcPr>
            <w:tcW w:w="851" w:type="dxa"/>
            <w:shd w:val="clear" w:color="auto" w:fill="C6EFCE"/>
            <w:noWrap/>
            <w:vAlign w:val="center"/>
          </w:tcPr>
          <w:p w14:paraId="780C9845" w14:textId="77777777" w:rsidR="004C6421" w:rsidRDefault="009D1962">
            <w:pPr>
              <w:pStyle w:val="P68B1DB1-Normal28"/>
              <w:spacing w:before="120" w:after="120"/>
              <w:jc w:val="center"/>
              <w:rPr>
                <w:noProof/>
                <w:color w:val="006100"/>
              </w:rPr>
            </w:pPr>
            <w:r>
              <w:rPr>
                <w:noProof/>
              </w:rPr>
              <w:t>II KW.</w:t>
            </w:r>
          </w:p>
        </w:tc>
        <w:tc>
          <w:tcPr>
            <w:tcW w:w="709" w:type="dxa"/>
            <w:shd w:val="clear" w:color="auto" w:fill="C6EFCE"/>
            <w:noWrap/>
            <w:vAlign w:val="center"/>
          </w:tcPr>
          <w:p w14:paraId="163A76C5" w14:textId="77777777" w:rsidR="004C6421" w:rsidRDefault="009D1962">
            <w:pPr>
              <w:pStyle w:val="P68B1DB1-Normal28"/>
              <w:spacing w:before="120" w:after="120"/>
              <w:jc w:val="center"/>
              <w:rPr>
                <w:noProof/>
                <w:color w:val="006100"/>
              </w:rPr>
            </w:pPr>
            <w:r>
              <w:rPr>
                <w:noProof/>
              </w:rPr>
              <w:t>2026</w:t>
            </w:r>
          </w:p>
        </w:tc>
        <w:tc>
          <w:tcPr>
            <w:tcW w:w="2835" w:type="dxa"/>
            <w:shd w:val="clear" w:color="auto" w:fill="C6EFCE"/>
            <w:noWrap/>
            <w:vAlign w:val="center"/>
          </w:tcPr>
          <w:p w14:paraId="5BEB2607" w14:textId="5156FF52" w:rsidR="004C6421" w:rsidRDefault="009D1962">
            <w:pPr>
              <w:spacing w:before="120" w:after="120"/>
              <w:rPr>
                <w:rFonts w:ascii="Arial Narrow" w:hAnsi="Arial Narrow"/>
                <w:noProof/>
                <w:sz w:val="20"/>
              </w:rPr>
            </w:pPr>
            <w:r>
              <w:rPr>
                <w:rFonts w:ascii="Arial Narrow" w:hAnsi="Arial Narrow"/>
                <w:noProof/>
                <w:color w:val="006600"/>
                <w:sz w:val="20"/>
              </w:rPr>
              <w:t>4500 pracowników krajowej służby zdrowia zapewnia szkolenia w zakresie umiejętności kierowniczych i cyfrowych.</w:t>
            </w:r>
          </w:p>
          <w:p w14:paraId="671EB8CD" w14:textId="77777777" w:rsidR="004C6421" w:rsidRDefault="009D1962">
            <w:pPr>
              <w:pStyle w:val="P68B1DB1-Normal28"/>
              <w:spacing w:before="120" w:after="120"/>
              <w:rPr>
                <w:rFonts w:eastAsia="Calibri"/>
                <w:noProof/>
              </w:rPr>
            </w:pPr>
            <w:r>
              <w:rPr>
                <w:noProof/>
              </w:rPr>
              <w:t>Inwestycja ta uruchamia ścieżkę szkoleniową dla pracowników pełniących najwyższe funkcje w organach NHS, aby umożliwić im zdobycie niezbędnych umiejętności i zdolności w zakresie zarządzania i umiejętności cyfrowych, aby stawić czoła obecnym i przyszłym wyzwaniom w dziedzinie zdrowia w zintegrowanej, zrównoważonej, innowacyjnej, elastycznej i zorientowanej na wyniki perspektywie.</w:t>
            </w:r>
          </w:p>
        </w:tc>
      </w:tr>
      <w:tr w:rsidR="004C6421" w14:paraId="05C1A727" w14:textId="77777777">
        <w:trPr>
          <w:trHeight w:val="313"/>
          <w:jc w:val="center"/>
        </w:trPr>
        <w:tc>
          <w:tcPr>
            <w:tcW w:w="1129" w:type="dxa"/>
            <w:shd w:val="clear" w:color="auto" w:fill="C6EFCE"/>
            <w:noWrap/>
            <w:vAlign w:val="center"/>
          </w:tcPr>
          <w:p w14:paraId="6174EF5E" w14:textId="77777777" w:rsidR="004C6421" w:rsidRDefault="009D1962">
            <w:pPr>
              <w:pStyle w:val="P68B1DB1-Normal28"/>
              <w:spacing w:before="120" w:after="120"/>
              <w:jc w:val="center"/>
              <w:rPr>
                <w:rFonts w:eastAsia="Calibri"/>
                <w:noProof/>
              </w:rPr>
            </w:pPr>
            <w:r>
              <w:rPr>
                <w:noProof/>
              </w:rPr>
              <w:t>M6C2-17</w:t>
            </w:r>
          </w:p>
        </w:tc>
        <w:tc>
          <w:tcPr>
            <w:tcW w:w="1701" w:type="dxa"/>
            <w:shd w:val="clear" w:color="auto" w:fill="C6EFCE"/>
            <w:noWrap/>
            <w:vAlign w:val="center"/>
          </w:tcPr>
          <w:p w14:paraId="5E0FCD7A" w14:textId="77777777" w:rsidR="004C6421" w:rsidRDefault="009D1962">
            <w:pPr>
              <w:pStyle w:val="P68B1DB1-Normal28"/>
              <w:spacing w:before="120" w:after="120"/>
              <w:jc w:val="center"/>
              <w:rPr>
                <w:rFonts w:eastAsia="Calibri"/>
                <w:noProof/>
              </w:rPr>
            </w:pPr>
            <w:r>
              <w:rPr>
                <w:noProof/>
              </w:rPr>
              <w:t>Inwestycje 2.2: Rozwój umiejętności technicznych i zawodowych, cyfrowych i kierowniczych specjalistów w systemie opieki zdrowotnej</w:t>
            </w:r>
          </w:p>
        </w:tc>
        <w:tc>
          <w:tcPr>
            <w:tcW w:w="1134" w:type="dxa"/>
            <w:shd w:val="clear" w:color="auto" w:fill="C6EFCE"/>
            <w:noWrap/>
            <w:vAlign w:val="center"/>
          </w:tcPr>
          <w:p w14:paraId="1F4AA37B" w14:textId="77777777" w:rsidR="004C6421" w:rsidRDefault="009D1962">
            <w:pPr>
              <w:pStyle w:val="P68B1DB1-Normal28"/>
              <w:spacing w:before="120" w:after="120"/>
              <w:jc w:val="center"/>
              <w:rPr>
                <w:rFonts w:eastAsia="Calibri"/>
                <w:noProof/>
              </w:rPr>
            </w:pPr>
            <w:r>
              <w:rPr>
                <w:noProof/>
              </w:rPr>
              <w:t>Cel</w:t>
            </w:r>
          </w:p>
        </w:tc>
        <w:tc>
          <w:tcPr>
            <w:tcW w:w="1560" w:type="dxa"/>
            <w:shd w:val="clear" w:color="auto" w:fill="C6EFCE"/>
            <w:noWrap/>
            <w:vAlign w:val="center"/>
          </w:tcPr>
          <w:p w14:paraId="0D6E5737" w14:textId="77777777" w:rsidR="004C6421" w:rsidRDefault="009D1962">
            <w:pPr>
              <w:pStyle w:val="P68B1DB1-Normal28"/>
              <w:spacing w:before="120" w:after="120"/>
              <w:jc w:val="center"/>
              <w:rPr>
                <w:rFonts w:eastAsia="Calibri"/>
                <w:noProof/>
              </w:rPr>
            </w:pPr>
            <w:r>
              <w:rPr>
                <w:noProof/>
              </w:rPr>
              <w:t>Liczba finansowanych umów o szkolenie specjalistyczne</w:t>
            </w:r>
          </w:p>
        </w:tc>
        <w:tc>
          <w:tcPr>
            <w:tcW w:w="1559" w:type="dxa"/>
            <w:shd w:val="clear" w:color="auto" w:fill="C6EFCE"/>
            <w:noWrap/>
            <w:vAlign w:val="center"/>
          </w:tcPr>
          <w:p w14:paraId="5D148EED" w14:textId="77777777" w:rsidR="004C6421" w:rsidRDefault="009D1962">
            <w:pPr>
              <w:pStyle w:val="P68B1DB1-Normal28"/>
              <w:spacing w:before="120" w:after="120"/>
              <w:jc w:val="center"/>
              <w:rPr>
                <w:rFonts w:eastAsia="Calibri"/>
                <w:noProof/>
              </w:rPr>
            </w:pPr>
            <w:r>
              <w:rPr>
                <w:noProof/>
              </w:rPr>
              <w:t>NIE DOT.</w:t>
            </w:r>
          </w:p>
        </w:tc>
        <w:tc>
          <w:tcPr>
            <w:tcW w:w="1276" w:type="dxa"/>
            <w:shd w:val="clear" w:color="auto" w:fill="C6EFCE"/>
            <w:noWrap/>
            <w:vAlign w:val="center"/>
          </w:tcPr>
          <w:p w14:paraId="78BC11E8" w14:textId="77777777" w:rsidR="004C6421" w:rsidRDefault="009D1962">
            <w:pPr>
              <w:pStyle w:val="P68B1DB1-Normal28"/>
              <w:spacing w:before="120" w:after="120"/>
              <w:jc w:val="center"/>
              <w:rPr>
                <w:rFonts w:eastAsia="Calibri"/>
                <w:noProof/>
              </w:rPr>
            </w:pPr>
            <w:r>
              <w:rPr>
                <w:noProof/>
              </w:rPr>
              <w:t>Numer</w:t>
            </w:r>
          </w:p>
        </w:tc>
        <w:tc>
          <w:tcPr>
            <w:tcW w:w="992" w:type="dxa"/>
            <w:shd w:val="clear" w:color="auto" w:fill="C6EFCE"/>
            <w:noWrap/>
            <w:vAlign w:val="center"/>
          </w:tcPr>
          <w:p w14:paraId="6207DC21" w14:textId="77777777" w:rsidR="004C6421" w:rsidRDefault="009D1962">
            <w:pPr>
              <w:pStyle w:val="P68B1DB1-Normal28"/>
              <w:spacing w:before="120" w:after="120"/>
              <w:jc w:val="center"/>
              <w:rPr>
                <w:rFonts w:eastAsia="Calibri"/>
                <w:noProof/>
              </w:rPr>
            </w:pPr>
            <w:r>
              <w:rPr>
                <w:noProof/>
              </w:rPr>
              <w:t>0</w:t>
            </w:r>
          </w:p>
        </w:tc>
        <w:tc>
          <w:tcPr>
            <w:tcW w:w="850" w:type="dxa"/>
            <w:shd w:val="clear" w:color="auto" w:fill="C6EFCE"/>
            <w:noWrap/>
            <w:vAlign w:val="center"/>
          </w:tcPr>
          <w:p w14:paraId="6294B8BA" w14:textId="60575FC6" w:rsidR="004C6421" w:rsidRDefault="009D1962">
            <w:pPr>
              <w:spacing w:before="120" w:after="120"/>
              <w:jc w:val="center"/>
              <w:rPr>
                <w:rFonts w:ascii="Arial Narrow" w:eastAsia="Calibri" w:hAnsi="Arial Narrow"/>
                <w:noProof/>
                <w:color w:val="006600"/>
                <w:sz w:val="20"/>
              </w:rPr>
            </w:pPr>
            <w:r>
              <w:rPr>
                <w:rFonts w:ascii="Arial Narrow" w:hAnsi="Arial Narrow"/>
                <w:noProof/>
                <w:color w:val="006600"/>
                <w:sz w:val="20"/>
              </w:rPr>
              <w:t>4</w:t>
            </w:r>
            <w:r>
              <w:rPr>
                <w:noProof/>
                <w:sz w:val="23"/>
              </w:rPr>
              <w:t xml:space="preserve"> </w:t>
            </w:r>
            <w:r>
              <w:rPr>
                <w:rFonts w:ascii="Arial Narrow" w:hAnsi="Arial Narrow"/>
                <w:noProof/>
                <w:color w:val="006600"/>
                <w:sz w:val="20"/>
              </w:rPr>
              <w:t>200</w:t>
            </w:r>
          </w:p>
        </w:tc>
        <w:tc>
          <w:tcPr>
            <w:tcW w:w="851" w:type="dxa"/>
            <w:shd w:val="clear" w:color="auto" w:fill="C6EFCE"/>
            <w:noWrap/>
            <w:vAlign w:val="center"/>
          </w:tcPr>
          <w:p w14:paraId="7E7F9022" w14:textId="77777777" w:rsidR="004C6421" w:rsidRDefault="009D1962">
            <w:pPr>
              <w:pStyle w:val="P68B1DB1-Normal28"/>
              <w:spacing w:before="120" w:after="120"/>
              <w:jc w:val="center"/>
              <w:rPr>
                <w:rFonts w:eastAsia="Calibri"/>
                <w:noProof/>
              </w:rPr>
            </w:pPr>
            <w:r>
              <w:rPr>
                <w:noProof/>
              </w:rPr>
              <w:t>II KW.</w:t>
            </w:r>
          </w:p>
        </w:tc>
        <w:tc>
          <w:tcPr>
            <w:tcW w:w="709" w:type="dxa"/>
            <w:shd w:val="clear" w:color="auto" w:fill="C6EFCE"/>
            <w:noWrap/>
            <w:vAlign w:val="center"/>
          </w:tcPr>
          <w:p w14:paraId="7EC95D03" w14:textId="77777777" w:rsidR="004C6421" w:rsidRDefault="009D1962">
            <w:pPr>
              <w:pStyle w:val="P68B1DB1-Normal28"/>
              <w:spacing w:before="120" w:after="120"/>
              <w:jc w:val="center"/>
              <w:rPr>
                <w:rFonts w:eastAsia="Calibri"/>
                <w:noProof/>
              </w:rPr>
            </w:pPr>
            <w:r>
              <w:rPr>
                <w:noProof/>
              </w:rPr>
              <w:t>2026</w:t>
            </w:r>
          </w:p>
        </w:tc>
        <w:tc>
          <w:tcPr>
            <w:tcW w:w="2835" w:type="dxa"/>
            <w:shd w:val="clear" w:color="auto" w:fill="C6EFCE"/>
            <w:noWrap/>
            <w:vAlign w:val="center"/>
          </w:tcPr>
          <w:p w14:paraId="0E023541" w14:textId="53A0B680" w:rsidR="004C6421" w:rsidRDefault="009D1962">
            <w:pPr>
              <w:spacing w:before="120" w:after="120"/>
              <w:rPr>
                <w:rFonts w:ascii="Arial Narrow" w:eastAsia="Calibri" w:hAnsi="Arial Narrow"/>
                <w:noProof/>
                <w:color w:val="006600"/>
                <w:sz w:val="20"/>
              </w:rPr>
            </w:pPr>
            <w:r>
              <w:rPr>
                <w:rFonts w:ascii="Arial Narrow" w:hAnsi="Arial Narrow"/>
                <w:noProof/>
                <w:color w:val="006600"/>
                <w:sz w:val="20"/>
              </w:rPr>
              <w:t>Inwestycja ta zapewnia finansowanie umów dotyczących specjalistycznego szkolenia medycznego, co pozwoli na sfinansowanie dodatkowych 4200</w:t>
            </w:r>
            <w:r>
              <w:rPr>
                <w:noProof/>
                <w:sz w:val="23"/>
              </w:rPr>
              <w:t xml:space="preserve"> </w:t>
            </w:r>
            <w:r>
              <w:rPr>
                <w:rFonts w:ascii="Arial Narrow" w:hAnsi="Arial Narrow"/>
                <w:noProof/>
                <w:color w:val="006600"/>
                <w:sz w:val="20"/>
              </w:rPr>
              <w:t>umów szkoleniowych na pełny cykl studiów (5 lat)</w:t>
            </w:r>
            <w:r>
              <w:rPr>
                <w:noProof/>
                <w:sz w:val="23"/>
              </w:rPr>
              <w:t>.</w:t>
            </w:r>
          </w:p>
        </w:tc>
      </w:tr>
    </w:tbl>
    <w:p w14:paraId="713640E8" w14:textId="77777777" w:rsidR="004C6421" w:rsidRDefault="004C6421">
      <w:pPr>
        <w:pStyle w:val="Text1"/>
        <w:ind w:left="0"/>
        <w:rPr>
          <w:rFonts w:eastAsiaTheme="majorEastAsia"/>
          <w:b/>
          <w:smallCaps/>
          <w:noProof/>
        </w:rPr>
        <w:sectPr w:rsidR="004C6421" w:rsidSect="00797973">
          <w:headerReference w:type="even" r:id="rId404"/>
          <w:headerReference w:type="default" r:id="rId405"/>
          <w:footerReference w:type="even" r:id="rId406"/>
          <w:footerReference w:type="default" r:id="rId407"/>
          <w:headerReference w:type="first" r:id="rId408"/>
          <w:footerReference w:type="first" r:id="rId409"/>
          <w:pgSz w:w="16839" w:h="11907" w:orient="landscape"/>
          <w:pgMar w:top="1440" w:right="1440" w:bottom="1440" w:left="1440" w:header="567" w:footer="567" w:gutter="0"/>
          <w:cols w:space="720"/>
          <w:docGrid w:linePitch="360"/>
        </w:sectPr>
      </w:pPr>
    </w:p>
    <w:p w14:paraId="4964F7E5" w14:textId="08620D6F" w:rsidR="004C6421" w:rsidRDefault="002175A3">
      <w:pPr>
        <w:pStyle w:val="Heading2"/>
        <w:numPr>
          <w:ilvl w:val="0"/>
          <w:numId w:val="27"/>
        </w:numPr>
        <w:spacing w:before="0"/>
        <w:rPr>
          <w:noProof/>
        </w:rPr>
      </w:pPr>
      <w:r>
        <w:rPr>
          <w:noProof/>
        </w:rPr>
        <w:t>ZADANIE 7: REPowerEU</w:t>
      </w:r>
    </w:p>
    <w:p w14:paraId="4186F085" w14:textId="77777777" w:rsidR="004C6421" w:rsidRDefault="009D1962">
      <w:pPr>
        <w:pStyle w:val="paragraph"/>
        <w:spacing w:before="0" w:beforeAutospacing="0" w:after="120" w:afterAutospacing="0"/>
        <w:jc w:val="both"/>
        <w:textAlignment w:val="baseline"/>
        <w:rPr>
          <w:noProof/>
        </w:rPr>
      </w:pPr>
      <w:r>
        <w:rPr>
          <w:noProof/>
        </w:rPr>
        <w:t>Rozdział REPowerEU ma na celu wzmocnienie sieci przesyłowych i dystrybucyjnych, w tym sieci związanych z gazem; przyspieszenie produkcji energii ze źródeł odnawialnych, zmniejszenie zapotrzebowania na energię, zwiększenie efektywności energetycznej i tworzenie umiejętności w sektorze publicznym i prywatnym na potrzeby transformacji ekologicznej; promowanie łańcuchów wartości energii odnawialnej i wodoru poprzez środki ułatwiające dostęp do kredytów i ulg podatkowych.</w:t>
      </w:r>
    </w:p>
    <w:p w14:paraId="70C60078" w14:textId="77777777" w:rsidR="004C6421" w:rsidRDefault="009D1962">
      <w:pPr>
        <w:pStyle w:val="paragraph"/>
        <w:spacing w:before="0" w:beforeAutospacing="0" w:after="120" w:afterAutospacing="0"/>
        <w:jc w:val="both"/>
        <w:textAlignment w:val="baseline"/>
        <w:rPr>
          <w:noProof/>
        </w:rPr>
      </w:pPr>
      <w:r>
        <w:rPr>
          <w:noProof/>
        </w:rPr>
        <w:t>Komponent ten stanowi odpowiedź na zalecenia skierowane do Włoch w latach 2022 i 2023. W szczególności ma on na celu przyspieszenie wdrażania dodatkowych zdolności w zakresie energii ze źródeł odnawialnych poprzez inwestowanie w duże projekty elektroenergetycznych połączeń międzysystemowych (mianowicie dwa połączenia międzysystemowe łączące Sardynię i Sycylię z kontynentem oraz trzy połączenia międzysystemowe między Austrią, Słowenią i Włochami), modernizację krajowej sieci przesyłowej i usprawnienie procedur wydawania pozwoleń. Przyczynia się on do zwiększenia zdolności wewnętrznego przesyłu gazu w celu przezwyciężenia wąskich gardeł, dywersyfikacji importu energii i zwiększenia bezpieczeństwa dostaw. Promuje mobilność zgodną z zasadami zrównoważonego rozwoju poprzez ograniczenie dotacji szkodliwych dla środowiska i wzmocnienie floty kolejowej. Pomaga zmniejszyć zależność od paliw kopalnych poprzez elektryfikację zużycia przez gospodarstwa domowe i zwiększenie odporności sieci. Przyczynia się on do zwiększenia efektywności energetycznej w sektorze mieszkaniowym i sektorze przedsiębiorstw, w tym poprzez ukierunkowane systemy zachęt i instrumenty finansowe. Ponadto obejmuje on reformy i inwestycje mające na celu poprawę oferty i nabywania umiejętności potrzebnych do transformacji ekologicznej – zarówno w sektorze prywatnym, jak i publicznym.</w:t>
      </w:r>
    </w:p>
    <w:p w14:paraId="770CF9D8" w14:textId="77777777" w:rsidR="004C6421" w:rsidRDefault="009D1962">
      <w:pPr>
        <w:pStyle w:val="paragraph"/>
        <w:spacing w:before="0" w:beforeAutospacing="0" w:after="120" w:afterAutospacing="0"/>
        <w:jc w:val="both"/>
        <w:textAlignment w:val="baseline"/>
        <w:rPr>
          <w:rFonts w:eastAsia="Calibri"/>
          <w:noProof/>
        </w:rPr>
      </w:pPr>
      <w:r>
        <w:rPr>
          <w:noProof/>
        </w:rPr>
        <w:t>Dziewięć projektów ma wymiar transgraniczny. Trzy z nich mają bezpośredni wpływ transgraniczny: 1) inwestycji mającej na celu zwiększenie nominalnej przepustowości istniejących elektroenergetycznych połączeń międzysystemowych między Włochami, Austrią i Słowenią; 2) inwestycja przyczyniająca się do budowy elektroenergetycznego połączenia międzysystemowego między Sardynią, Korsyką i Toskanią; Inwestycja w tłocznię, która zwiększy eksport gazu do Europy Środkowej. Inne projekty przynoszą pośrednie korzyści transgranicznym państwom członkowskim, ponieważ rozwiązują problem wewnętrznych wąskich gardeł w zakresie przesyłu i dystrybucji energii oraz zwiększają efektywność i odporność sieci.</w:t>
      </w:r>
    </w:p>
    <w:p w14:paraId="47D9D638" w14:textId="77777777" w:rsidR="004C6421" w:rsidRDefault="009D1962">
      <w:pPr>
        <w:spacing w:after="120"/>
        <w:jc w:val="both"/>
        <w:rPr>
          <w:noProof/>
        </w:rPr>
      </w:pPr>
      <w:r>
        <w:rPr>
          <w:noProof/>
        </w:rPr>
        <w:t xml:space="preserve">Oczekuje się, że żadne działanie w ramach tego komponentu nie wyrządza poważnych szkód dla celów środowiskowych w rozumieniu art. 17 rozporządzenia (UE) 2020/852, biorąc pod uwagę opis środków i działań łagodzących określonych w planie odbudowy i zwiększania odporności zgodnie z wytycznymi technicznymi dotyczącymi zasady „nie czyń poważnych szkód” ( </w:t>
      </w:r>
      <w:r>
        <w:rPr>
          <w:noProof/>
          <w:color w:val="000000" w:themeColor="text1"/>
        </w:rPr>
        <w:t>C</w:t>
      </w:r>
      <w:r>
        <w:rPr>
          <w:noProof/>
        </w:rPr>
        <w:t>(2023) 6454 final),</w:t>
      </w:r>
      <w:r>
        <w:rPr>
          <w:noProof/>
          <w:color w:val="000000" w:themeColor="text1"/>
        </w:rPr>
        <w:t>natomiast</w:t>
      </w:r>
      <w:r>
        <w:rPr>
          <w:noProof/>
        </w:rPr>
        <w:t xml:space="preserve"> zasada „nie czyń poważnych szkód” nie ma zastosowania do inwestycji 13 – Linia adriatycka etap 1 (sulmona tłocznia i gazociąg Sestino-Minerbio) oraz inwestycji 14 – Transgraniczna infrastruktura eksportowa gazu, zgodnie z art. 21c ust. 6 rozporządzenia (UE) 2021/241.</w:t>
      </w:r>
    </w:p>
    <w:p w14:paraId="0AFBFAD6" w14:textId="64044383" w:rsidR="004C6421" w:rsidRDefault="002175A3">
      <w:pPr>
        <w:pStyle w:val="Heading3"/>
        <w:numPr>
          <w:ilvl w:val="0"/>
          <w:numId w:val="0"/>
        </w:numPr>
        <w:spacing w:before="0"/>
        <w:ind w:left="850" w:hanging="850"/>
        <w:rPr>
          <w:b/>
          <w:i w:val="0"/>
          <w:noProof/>
          <w:u w:val="single"/>
        </w:rPr>
      </w:pPr>
      <w:r>
        <w:rPr>
          <w:b/>
          <w:i w:val="0"/>
          <w:noProof/>
          <w:u w:val="single"/>
        </w:rPr>
        <w:t>Q</w:t>
      </w:r>
      <w:r w:rsidR="00CC179E">
        <w:rPr>
          <w:b/>
          <w:i w:val="0"/>
          <w:noProof/>
          <w:u w:val="single"/>
        </w:rPr>
        <w:t>.</w:t>
      </w:r>
      <w:r>
        <w:rPr>
          <w:b/>
          <w:i w:val="0"/>
          <w:noProof/>
          <w:u w:val="single"/>
        </w:rPr>
        <w:t xml:space="preserve"> 1. </w:t>
      </w:r>
      <w:r>
        <w:rPr>
          <w:noProof/>
        </w:rPr>
        <w:t xml:space="preserve"> </w:t>
      </w:r>
      <w:r>
        <w:rPr>
          <w:b/>
          <w:i w:val="0"/>
          <w:noProof/>
          <w:u w:val="single"/>
        </w:rPr>
        <w:t>Opis reform i inwestycji, które mają być finansowane z bezzwrotnego wsparcia finansowego</w:t>
      </w:r>
    </w:p>
    <w:p w14:paraId="7FD2AB12" w14:textId="77777777" w:rsidR="004C6421" w:rsidRDefault="009D1962">
      <w:pPr>
        <w:pStyle w:val="Heading4"/>
        <w:numPr>
          <w:ilvl w:val="3"/>
          <w:numId w:val="0"/>
        </w:numPr>
        <w:rPr>
          <w:rStyle w:val="normaltextrun"/>
          <w:b/>
          <w:noProof/>
        </w:rPr>
      </w:pPr>
      <w:r>
        <w:rPr>
          <w:rStyle w:val="normaltextrun"/>
          <w:b/>
          <w:noProof/>
        </w:rPr>
        <w:t xml:space="preserve">Reforma 1. Usprawnienie procedur wydawania pozwoleń na energię ze źródeł odnawialnych na szczeblu centralnym i lokalnym </w:t>
      </w:r>
    </w:p>
    <w:p w14:paraId="4FF9CEBE" w14:textId="77777777" w:rsidR="004C6421" w:rsidRDefault="009D1962">
      <w:pPr>
        <w:pStyle w:val="Text1"/>
        <w:spacing w:before="0"/>
        <w:ind w:left="0"/>
        <w:rPr>
          <w:noProof/>
        </w:rPr>
      </w:pPr>
      <w:r>
        <w:rPr>
          <w:noProof/>
        </w:rPr>
        <w:t>Celem tej reformy jest skonsolidowanie i usprawnienie istniejącego prawodawstwa i przepisów regulujących wdrażanie odnawialnych źródeł energii.</w:t>
      </w:r>
    </w:p>
    <w:p w14:paraId="3D7D3CF2" w14:textId="77777777" w:rsidR="004C6421" w:rsidRDefault="009D1962">
      <w:pPr>
        <w:pStyle w:val="Text1"/>
        <w:spacing w:before="0"/>
        <w:ind w:left="0"/>
        <w:rPr>
          <w:noProof/>
        </w:rPr>
      </w:pPr>
      <w:r>
        <w:rPr>
          <w:noProof/>
        </w:rPr>
        <w:t xml:space="preserve">Reforma polega na przyjęciu i wejściu w życie jednego pierwotnego aktu ustawodawczego (znanego również jako </w:t>
      </w:r>
      <w:r>
        <w:rPr>
          <w:i/>
          <w:noProof/>
        </w:rPr>
        <w:t>Testo Unico</w:t>
      </w:r>
      <w:r>
        <w:rPr>
          <w:noProof/>
        </w:rPr>
        <w:t>) gromadzącego, zestawiającego i konsolidującego wszystkie normy regulujące wdrażanie odnawialnych źródeł energii oraz zastępującego wszystkie odpowiednie wcześniejsze przepisy. Akt ustawodawczy określa również zasady usprawnienia i harmonizacji procedur wydawania pozwoleń na odnawialne źródła energii na szczeblu niższym niż krajowy.</w:t>
      </w:r>
    </w:p>
    <w:p w14:paraId="0897D54D" w14:textId="77777777" w:rsidR="004C6421" w:rsidRDefault="009D1962">
      <w:pPr>
        <w:pStyle w:val="Text1"/>
        <w:spacing w:before="0"/>
        <w:ind w:left="0"/>
        <w:rPr>
          <w:noProof/>
        </w:rPr>
      </w:pPr>
      <w:r>
        <w:rPr>
          <w:i/>
          <w:noProof/>
        </w:rPr>
        <w:t xml:space="preserve">Testo Unico </w:t>
      </w:r>
      <w:r>
        <w:rPr>
          <w:noProof/>
        </w:rPr>
        <w:t>ma następujące kluczowe priorytety:</w:t>
      </w:r>
    </w:p>
    <w:p w14:paraId="43DEA617" w14:textId="77777777" w:rsidR="004C6421" w:rsidRDefault="009D1962">
      <w:pPr>
        <w:pStyle w:val="Text1"/>
        <w:numPr>
          <w:ilvl w:val="0"/>
          <w:numId w:val="36"/>
        </w:numPr>
        <w:spacing w:before="0"/>
        <w:rPr>
          <w:noProof/>
        </w:rPr>
      </w:pPr>
      <w:r>
        <w:rPr>
          <w:noProof/>
        </w:rPr>
        <w:t>Określenie „obszarów przyspieszonego rozwoju energii ze źródeł odnawialnych” zgodnie ze zmienioną dyrektywą w sprawie odnawialnych źródeł energii. Obszary takie określa się również zgodnie z planami zagospodarowania przestrzennego obszarów morskich, aby przyspieszyć rozwój morskiej energii wiatrowej.</w:t>
      </w:r>
    </w:p>
    <w:p w14:paraId="4F96A642" w14:textId="77777777" w:rsidR="004C6421" w:rsidRDefault="009D1962">
      <w:pPr>
        <w:pStyle w:val="Text1"/>
        <w:numPr>
          <w:ilvl w:val="0"/>
          <w:numId w:val="36"/>
        </w:numPr>
        <w:spacing w:before="0"/>
        <w:rPr>
          <w:noProof/>
        </w:rPr>
      </w:pPr>
      <w:r>
        <w:rPr>
          <w:noProof/>
        </w:rPr>
        <w:t xml:space="preserve">Określenie zasad usprawnienia i harmonizacji procedur wydawania pozwoleń na odnawialne źródła energii na szczeblu niższym niż krajowy. W szczególności </w:t>
      </w:r>
      <w:r>
        <w:rPr>
          <w:i/>
          <w:noProof/>
        </w:rPr>
        <w:t>Testo Unico</w:t>
      </w:r>
      <w:r>
        <w:rPr>
          <w:noProof/>
        </w:rPr>
        <w:t xml:space="preserve"> określa „przepisy dotyczące pułapów”, tj. regiony nie mogą wdrożyć bardziej rygorystycznych przepisów dotyczących zezwoleń niż te określone w ustawodawstwie krajowym.  </w:t>
      </w:r>
    </w:p>
    <w:p w14:paraId="61750D03" w14:textId="77777777" w:rsidR="004C6421" w:rsidRDefault="009D1962">
      <w:pPr>
        <w:pStyle w:val="Text1"/>
        <w:numPr>
          <w:ilvl w:val="0"/>
          <w:numId w:val="36"/>
        </w:numPr>
        <w:spacing w:before="0"/>
        <w:rPr>
          <w:noProof/>
        </w:rPr>
      </w:pPr>
      <w:r>
        <w:rPr>
          <w:noProof/>
        </w:rPr>
        <w:t xml:space="preserve">Zapewnienie ustanowienia i uruchomienia pojedynczej platformy cyfrowej umożliwiającej uzyskanie wszystkich zezwoleń na szczeblu krajowym i regionalnym niezbędnych do instalacji i wdrożenia odnawialnych źródeł energii. W szczególności </w:t>
      </w:r>
      <w:r>
        <w:rPr>
          <w:i/>
          <w:noProof/>
        </w:rPr>
        <w:t xml:space="preserve">Testo Unico </w:t>
      </w:r>
      <w:r>
        <w:rPr>
          <w:noProof/>
        </w:rPr>
        <w:t>zapewnia, aby platforma została zbudowana zgodnie z zasadą jednorazowości, zgodnie z którą wnioskodawcy są zobowiązani do dostarczenia tych samych informacji lub dokumentów instytucjom publicznym tylko raz.</w:t>
      </w:r>
    </w:p>
    <w:p w14:paraId="62812087" w14:textId="77777777" w:rsidR="004C6421" w:rsidRDefault="009D1962">
      <w:pPr>
        <w:pStyle w:val="Heading4"/>
        <w:numPr>
          <w:ilvl w:val="3"/>
          <w:numId w:val="0"/>
        </w:numPr>
        <w:rPr>
          <w:rStyle w:val="normaltextrun"/>
          <w:b/>
          <w:noProof/>
        </w:rPr>
      </w:pPr>
      <w:r>
        <w:rPr>
          <w:rStyle w:val="normaltextrun"/>
          <w:b/>
          <w:noProof/>
        </w:rPr>
        <w:t>Reforma 2. Zmniejszenie dotacji szkodliwych dla środowiska</w:t>
      </w:r>
    </w:p>
    <w:p w14:paraId="0EC9BF3A" w14:textId="77777777" w:rsidR="004C6421" w:rsidRDefault="009D1962">
      <w:pPr>
        <w:spacing w:after="120"/>
        <w:jc w:val="both"/>
        <w:rPr>
          <w:noProof/>
        </w:rPr>
      </w:pPr>
      <w:r>
        <w:rPr>
          <w:noProof/>
        </w:rPr>
        <w:t xml:space="preserve">Celem tej reformy jest doprowadzenie do zmniejszenia dotacji szkodliwych dla środowiska (EHS) w oparciu o roczny katalog subsydiów szkodliwych dla środowiska publikowany przez MASE. </w:t>
      </w:r>
    </w:p>
    <w:p w14:paraId="6CB9C1ED" w14:textId="77777777" w:rsidR="004C6421" w:rsidRDefault="009D1962">
      <w:pPr>
        <w:pStyle w:val="Heading4"/>
        <w:numPr>
          <w:ilvl w:val="3"/>
          <w:numId w:val="0"/>
        </w:numPr>
        <w:ind w:left="850" w:hanging="850"/>
        <w:rPr>
          <w:rStyle w:val="normaltextrun"/>
          <w:b/>
          <w:noProof/>
        </w:rPr>
      </w:pPr>
      <w:r>
        <w:rPr>
          <w:rStyle w:val="normaltextrun"/>
          <w:b/>
          <w:noProof/>
        </w:rPr>
        <w:t>Reforma 3. Zmniejszenie kosztów przyłączenia biometanu do sieci gazowej</w:t>
      </w:r>
    </w:p>
    <w:p w14:paraId="2D51813B" w14:textId="77777777" w:rsidR="004C6421" w:rsidRDefault="009D1962">
      <w:pPr>
        <w:pStyle w:val="Text1"/>
        <w:spacing w:before="0"/>
        <w:ind w:left="0"/>
        <w:rPr>
          <w:noProof/>
        </w:rPr>
      </w:pPr>
      <w:r>
        <w:rPr>
          <w:noProof/>
        </w:rPr>
        <w:t>Celem reformy jest ułatwienie włączenia biometanu do systemu energetycznego i rynku energii oraz stworzenie nowych zrównoważonych zdolności produkcyjnych w zakresie biometanu zgodnie z dyrektywą (UE) 2018/2001 (dyrektywa w sprawie odnawialnych źródeł energii) i jej aktami delegowanymi. Celem jest sprzyjanie elastyczności i efektywności sieci gazu ziemnego poprzez ułatwienie konwersji na biometan. Oczekuje się, że zwiększenie elastyczności i efektywności przyczyni się do dekarbonizacji systemu energetycznego i niezależności energetycznej. Wdrożenie reformy ma na celu:</w:t>
      </w:r>
    </w:p>
    <w:p w14:paraId="2AD79013" w14:textId="77777777" w:rsidR="004C6421" w:rsidRDefault="009D1962">
      <w:pPr>
        <w:pStyle w:val="Text1"/>
        <w:spacing w:before="0"/>
        <w:ind w:left="0"/>
        <w:rPr>
          <w:noProof/>
        </w:rPr>
      </w:pPr>
      <w:r>
        <w:rPr>
          <w:noProof/>
        </w:rPr>
        <w:t>Zmniejszenie kosztów przyłączenia zakładów produkujących zrównoważone biometany oraz 2) zachęcanie do inwestycji ukierunkowanych wyłącznie na absorpcję zrównoważonego biometanu w sieciach gazu ziemnego. Reforma faworyzuje: większa integracja między sieciami przesyłowymi i dystrybucyjnymi; wprowadzenie mechanizmów podziału kosztów inwestycji w przyłączenie do sieci. Mechanizmy te przenoszą koszty z producenta biometanu na całą społeczność korzystającą ze zrównoważonego biometanu.</w:t>
      </w:r>
    </w:p>
    <w:p w14:paraId="2ABEE200" w14:textId="77777777" w:rsidR="004C6421" w:rsidRDefault="009D1962">
      <w:pPr>
        <w:pStyle w:val="P68B1DB1-Heading429"/>
        <w:numPr>
          <w:ilvl w:val="0"/>
          <w:numId w:val="0"/>
        </w:numPr>
        <w:rPr>
          <w:noProof/>
        </w:rPr>
      </w:pPr>
      <w:r>
        <w:rPr>
          <w:noProof/>
        </w:rPr>
        <w:t>Reforma 4. Ograniczenie ryzyka finansowego związanego z odnawialnymi umowami zakupu energii elektrycznej (umowy zakupu energii elektrycznej)</w:t>
      </w:r>
    </w:p>
    <w:p w14:paraId="77F0DD35" w14:textId="77777777" w:rsidR="004C6421" w:rsidRDefault="009D1962">
      <w:pPr>
        <w:pStyle w:val="Text1"/>
        <w:spacing w:before="0"/>
        <w:ind w:left="0"/>
        <w:rPr>
          <w:noProof/>
        </w:rPr>
      </w:pPr>
      <w:r>
        <w:rPr>
          <w:noProof/>
        </w:rPr>
        <w:t xml:space="preserve">Celem reformy jest ustanowienie systemu gwarancji ograniczających ryzyko finansowe związane z umowami zakupu odnawialnej energii elektrycznej na okres co najmniej trzech lat. </w:t>
      </w:r>
    </w:p>
    <w:p w14:paraId="6E6337D5" w14:textId="77777777" w:rsidR="004C6421" w:rsidRDefault="009D1962">
      <w:pPr>
        <w:pStyle w:val="Text1"/>
        <w:spacing w:before="0"/>
        <w:ind w:left="0"/>
        <w:rPr>
          <w:noProof/>
        </w:rPr>
      </w:pPr>
      <w:r>
        <w:rPr>
          <w:noProof/>
        </w:rPr>
        <w:t xml:space="preserve">Reforma: </w:t>
      </w:r>
    </w:p>
    <w:p w14:paraId="6F61D0B3" w14:textId="77777777" w:rsidR="004C6421" w:rsidRDefault="009D1962">
      <w:pPr>
        <w:pStyle w:val="Text1"/>
        <w:numPr>
          <w:ilvl w:val="0"/>
          <w:numId w:val="41"/>
        </w:numPr>
        <w:spacing w:before="0"/>
        <w:rPr>
          <w:noProof/>
        </w:rPr>
      </w:pPr>
      <w:r>
        <w:rPr>
          <w:noProof/>
        </w:rPr>
        <w:t xml:space="preserve">zobowiązać każdego operatora do zagwarantowania częściowego pokrycia kontrwartości umów zakupu energii elektrycznej za pomocą instrumentów gwarancyjnych udostępnianych na rynku energii elektrycznej; </w:t>
      </w:r>
    </w:p>
    <w:p w14:paraId="169059A4" w14:textId="77777777" w:rsidR="004C6421" w:rsidRDefault="009D1962">
      <w:pPr>
        <w:pStyle w:val="Text1"/>
        <w:numPr>
          <w:ilvl w:val="0"/>
          <w:numId w:val="41"/>
        </w:numPr>
        <w:spacing w:before="0"/>
        <w:rPr>
          <w:noProof/>
        </w:rPr>
      </w:pPr>
      <w:r>
        <w:rPr>
          <w:noProof/>
        </w:rPr>
        <w:t>wprowadzenie środków mających na celu ograniczenie ryzyka niewykonania zobowiązań, w tym wymogów i ograniczeń dotyczących oferenta oraz sankcji regulacyjnych w przypadku niewykonania zobowiązania przez producenta;</w:t>
      </w:r>
    </w:p>
    <w:p w14:paraId="3ACBB0BC" w14:textId="77777777" w:rsidR="004C6421" w:rsidRDefault="009D1962">
      <w:pPr>
        <w:pStyle w:val="Text1"/>
        <w:numPr>
          <w:ilvl w:val="0"/>
          <w:numId w:val="41"/>
        </w:numPr>
        <w:spacing w:before="0"/>
        <w:rPr>
          <w:noProof/>
        </w:rPr>
      </w:pPr>
      <w:r>
        <w:rPr>
          <w:noProof/>
        </w:rPr>
        <w:t xml:space="preserve">wskazanie jednostki instytucjonalnej, która ma przejąć rolę sprzedawcy/nabywcy ostatniej instancji, która przejęłaby od niewywiązującego się ze zobowiązania kontrahenta i zapewniłaby wypełnienie zobowiązań podjętych wobec kontrahenta wykonującego zobowiązanie.  </w:t>
      </w:r>
    </w:p>
    <w:p w14:paraId="3347F311" w14:textId="77777777" w:rsidR="004C6421" w:rsidRDefault="009D1962">
      <w:pPr>
        <w:pStyle w:val="P68B1DB1-Heading429"/>
        <w:numPr>
          <w:ilvl w:val="3"/>
          <w:numId w:val="0"/>
        </w:numPr>
        <w:ind w:left="850" w:hanging="850"/>
        <w:rPr>
          <w:noProof/>
        </w:rPr>
      </w:pPr>
      <w:bookmarkStart w:id="16" w:name="_Hlk160472416"/>
      <w:r>
        <w:rPr>
          <w:noProof/>
        </w:rPr>
        <w:t>Reforma 5. Plan na rzecz nowych umiejętności – przemiany</w:t>
      </w:r>
    </w:p>
    <w:bookmarkEnd w:id="16"/>
    <w:p w14:paraId="6A4493B0" w14:textId="752315D8" w:rsidR="004C6421" w:rsidRDefault="009D1962">
      <w:pPr>
        <w:spacing w:after="120"/>
        <w:jc w:val="both"/>
        <w:rPr>
          <w:noProof/>
        </w:rPr>
      </w:pPr>
      <w:r>
        <w:rPr>
          <w:noProof/>
        </w:rPr>
        <w:t xml:space="preserve">Celem reformy jest aktualizacja ram regulacyjnych dotyczących szkoleń i uruchomienie narzędzi służących zwalczaniu niedopasowania umiejętności. Reforma ma na celu aktualizację nowego planu na rzecz umiejętności przyjętego dekretem z dnia 14 grudnia 2021 r. i opublikowanego w Gazzetta Ufficiale n.307 z dnia 28 grudnia 2021 r. Celem jest wzmocnienie mechanizmów łączących planowanie kursów szkoleniowych z potrzebami rynku pracy, ze szczególnym celem, jakim jest lepsze wspieranie transformacji ekologicznej i cyfrowej, poprzez zaangażowanie odpowiednich podmiotów w specjalne pakty na rzecz umiejętności. Celem reformy jest wzmocnienie roli sektora prywatnego w szkoleniach i poprawa uznawania umiejętności, w tym umiejętności nabytych w miejscu pracy i poprzez krótkie moduły szkoleniowe. </w:t>
      </w:r>
    </w:p>
    <w:p w14:paraId="0A8089F9" w14:textId="77777777" w:rsidR="004C6421" w:rsidRDefault="009D1962">
      <w:pPr>
        <w:pStyle w:val="Heading4"/>
        <w:numPr>
          <w:ilvl w:val="3"/>
          <w:numId w:val="0"/>
        </w:numPr>
        <w:ind w:left="850" w:hanging="850"/>
        <w:rPr>
          <w:rStyle w:val="normaltextrun"/>
          <w:b/>
          <w:noProof/>
        </w:rPr>
      </w:pPr>
      <w:r>
        <w:rPr>
          <w:rStyle w:val="normaltextrun"/>
          <w:b/>
          <w:noProof/>
        </w:rPr>
        <w:t>Inwestycja 1. Środek scale-up: Wzmocnienie inteligentnych sieci</w:t>
      </w:r>
    </w:p>
    <w:p w14:paraId="0039D826" w14:textId="1BFD2EA0" w:rsidR="004C6421" w:rsidRDefault="009D1962">
      <w:pPr>
        <w:pStyle w:val="Text1"/>
        <w:spacing w:before="0"/>
        <w:ind w:left="0"/>
        <w:rPr>
          <w:noProof/>
        </w:rPr>
      </w:pPr>
      <w:r>
        <w:rPr>
          <w:noProof/>
        </w:rPr>
        <w:t>Celem tej inwestycji jest zwiększenie inwestycji 2.1 (Wzmocnienie inteligentnych sieci) w ramach misji 2 komponent 2. Inwestycje na rzecz zwiększenia skali obejmują interwencje dotyczące części sieci średniego i niskiego napięcia, a tym samym elektryfikacji zużycia energii przez co najmniej</w:t>
      </w:r>
      <w:r>
        <w:rPr>
          <w:noProof/>
          <w:sz w:val="23"/>
        </w:rPr>
        <w:t xml:space="preserve"> </w:t>
      </w:r>
      <w:r>
        <w:rPr>
          <w:noProof/>
        </w:rPr>
        <w:t>230000 mieszkańców więcej niż przewidziano w istniejącym środku. Istniejąca inwestycja i część zwiększona łącznie mają na celu elektryfikację zużycia przez co najmniej</w:t>
      </w:r>
      <w:r>
        <w:rPr>
          <w:noProof/>
          <w:sz w:val="23"/>
        </w:rPr>
        <w:t xml:space="preserve">  </w:t>
      </w:r>
      <w:r>
        <w:rPr>
          <w:noProof/>
        </w:rPr>
        <w:t xml:space="preserve">1730000 mieszkańców. </w:t>
      </w:r>
    </w:p>
    <w:p w14:paraId="4625D03E" w14:textId="77777777" w:rsidR="004C6421" w:rsidRDefault="009D1962">
      <w:pPr>
        <w:pStyle w:val="Heading4"/>
        <w:numPr>
          <w:ilvl w:val="0"/>
          <w:numId w:val="0"/>
        </w:numPr>
        <w:ind w:left="850" w:hanging="850"/>
        <w:rPr>
          <w:rStyle w:val="normaltextrun"/>
          <w:b/>
          <w:noProof/>
        </w:rPr>
      </w:pPr>
      <w:r>
        <w:rPr>
          <w:rStyle w:val="normaltextrun"/>
          <w:b/>
          <w:noProof/>
        </w:rPr>
        <w:t>Inwestycja 2. Działanie na rzecz zwiększenia skali: Interwencje mające na celu zwiększenie odporności sieci elektroenergetycznej</w:t>
      </w:r>
    </w:p>
    <w:p w14:paraId="33B2BB55" w14:textId="77777777" w:rsidR="004C6421" w:rsidRDefault="009D1962">
      <w:pPr>
        <w:pStyle w:val="Text1"/>
        <w:spacing w:before="0"/>
        <w:ind w:left="0"/>
        <w:rPr>
          <w:noProof/>
        </w:rPr>
      </w:pPr>
      <w:r>
        <w:rPr>
          <w:noProof/>
        </w:rPr>
        <w:t>Inwestycje te zwiększają inwestycje 2.2 w ramach komponentu 2 misji 2. Zwiększone inwestycje obejmują interwencje mające na celu poprawę odporności co najmniej 648 km sieci elektroenergetycznej w większym stopniu niż przewidziano w istniejącym środku. Zastosowanie mają te same warunki przewidziane już w obowiązującym środku. Istniejące inwestycje i inwestycje scale-up razem zwiększają odporność o co najmniej 4 648 km.</w:t>
      </w:r>
    </w:p>
    <w:p w14:paraId="6AC987D0" w14:textId="77777777" w:rsidR="004C6421" w:rsidRDefault="009D1962">
      <w:pPr>
        <w:pStyle w:val="P68B1DB1-Heading429"/>
        <w:numPr>
          <w:ilvl w:val="0"/>
          <w:numId w:val="0"/>
        </w:numPr>
        <w:rPr>
          <w:noProof/>
        </w:rPr>
      </w:pPr>
      <w:r>
        <w:rPr>
          <w:noProof/>
        </w:rPr>
        <w:t>Inwestycja 3. Działanie na rzecz zwiększenia skali: Produkcja wodoru na terenach zdegradowanych (Hydrogen Valleys)</w:t>
      </w:r>
    </w:p>
    <w:p w14:paraId="506C31E5" w14:textId="77777777" w:rsidR="004C6421" w:rsidRDefault="009D1962">
      <w:pPr>
        <w:pStyle w:val="Text1"/>
        <w:spacing w:before="0"/>
        <w:ind w:left="0"/>
        <w:rPr>
          <w:noProof/>
        </w:rPr>
      </w:pPr>
      <w:r>
        <w:rPr>
          <w:noProof/>
        </w:rPr>
        <w:t xml:space="preserve">Inwestycja ta jest wersją inwestycji 3.1 w ramach misji 2 komponent 2 planu odbudowy i zwiększania odporności Włoch. Zwiększenie skali inwestycji polega na realizacji dwóch większej liczby projektów produkcji wodoru na opuszczonych obszarach przemysłowych niż przewidziano już w istniejącym środku. Istniejące inwestycje i inwestycje scale-up łącznie wspierają ukończenie co najmniej 12 projektów. </w:t>
      </w:r>
    </w:p>
    <w:p w14:paraId="61C2F76E" w14:textId="77777777" w:rsidR="004C6421" w:rsidRDefault="009D1962">
      <w:pPr>
        <w:pStyle w:val="Text1"/>
        <w:spacing w:before="0"/>
        <w:ind w:left="0"/>
        <w:rPr>
          <w:noProof/>
        </w:rPr>
      </w:pPr>
      <w:r>
        <w:rPr>
          <w:noProof/>
        </w:rPr>
        <w:t>Środek ten wspiera wyłącznie produkcję wodoru odnawialnego w oparciu o elektrolizę zgodnie z dyrektywą (UE) 2018/2001 (dyrektywa w sprawie odnawialnych źródeł energii) i jej aktami delegowanymi. Zastosowanie mają wszystkie pozostałe warunki przewidziane już w obowiązującym środku.</w:t>
      </w:r>
    </w:p>
    <w:p w14:paraId="0F9B1D9E" w14:textId="77777777" w:rsidR="004C6421" w:rsidRDefault="009D1962">
      <w:pPr>
        <w:pStyle w:val="P68B1DB1-Heading429"/>
        <w:numPr>
          <w:ilvl w:val="0"/>
          <w:numId w:val="0"/>
        </w:numPr>
        <w:ind w:left="850" w:hanging="850"/>
        <w:rPr>
          <w:noProof/>
        </w:rPr>
      </w:pPr>
      <w:r>
        <w:rPr>
          <w:noProof/>
        </w:rPr>
        <w:t>Inwestycja 4. Link Tyrreński</w:t>
      </w:r>
    </w:p>
    <w:p w14:paraId="4CCBE408" w14:textId="77777777" w:rsidR="004C6421" w:rsidRDefault="009D1962">
      <w:pPr>
        <w:pStyle w:val="Text1"/>
        <w:spacing w:before="0"/>
        <w:ind w:left="0"/>
        <w:rPr>
          <w:noProof/>
        </w:rPr>
      </w:pPr>
      <w:r>
        <w:rPr>
          <w:noProof/>
        </w:rPr>
        <w:t>Celem tej inwestycji jest rozbudowa infrastruktury przesyłu energii elektrycznej w celu umożliwienia odbioru mocy z odnawialnych źródeł energii na południu Włoch oraz jej integracji z krajową siecią przesyłową.</w:t>
      </w:r>
    </w:p>
    <w:p w14:paraId="44F7D222" w14:textId="77777777" w:rsidR="004C6421" w:rsidRDefault="009D1962">
      <w:pPr>
        <w:pStyle w:val="Text1"/>
        <w:spacing w:before="0"/>
        <w:ind w:left="0"/>
        <w:rPr>
          <w:noProof/>
        </w:rPr>
      </w:pPr>
      <w:r>
        <w:rPr>
          <w:noProof/>
        </w:rPr>
        <w:t>Inwestycja ta wspiera budowę „połączenia Tureńskiego”, a w szczególności „wschodniej linii połączenia międzysystemowego” między Sycylią a Kampanią. W ramach inwestycji finansuje się instalację 514 km kabli podmorskich prądu stałego (HVDC) między Eboli i Caracoli. Inwestycja zostanie zakończona do dnia 31 sierpnia 2026 r.</w:t>
      </w:r>
    </w:p>
    <w:p w14:paraId="72454A46" w14:textId="77777777" w:rsidR="004C6421" w:rsidRDefault="009D1962">
      <w:pPr>
        <w:pStyle w:val="P68B1DB1-Heading429"/>
        <w:numPr>
          <w:ilvl w:val="0"/>
          <w:numId w:val="0"/>
        </w:numPr>
        <w:ind w:left="850" w:hanging="850"/>
        <w:rPr>
          <w:noProof/>
        </w:rPr>
      </w:pPr>
      <w:r>
        <w:rPr>
          <w:noProof/>
        </w:rPr>
        <w:t>Inwestycja 5. SA.CO.I.3</w:t>
      </w:r>
    </w:p>
    <w:p w14:paraId="673F5D28" w14:textId="77777777" w:rsidR="004C6421" w:rsidRDefault="009D1962">
      <w:pPr>
        <w:pStyle w:val="Text1"/>
        <w:spacing w:before="0"/>
        <w:ind w:left="0"/>
        <w:rPr>
          <w:noProof/>
        </w:rPr>
      </w:pPr>
      <w:r>
        <w:rPr>
          <w:noProof/>
        </w:rPr>
        <w:t>Celem tej inwestycji jest modernizacja infrastruktury przesyłu energii elektrycznej łączącej Sardynię z resztą Włoch poprzez Korsykę, aby umożliwić odbiór mocy ze źródeł odnawialnych na Sardynii oraz jej integrację z krajową siecią przesyłową.</w:t>
      </w:r>
    </w:p>
    <w:p w14:paraId="04E5BFF2" w14:textId="77777777" w:rsidR="004C6421" w:rsidRDefault="009D1962">
      <w:pPr>
        <w:pStyle w:val="Text1"/>
        <w:spacing w:before="0"/>
        <w:ind w:left="0"/>
        <w:rPr>
          <w:noProof/>
        </w:rPr>
      </w:pPr>
      <w:r>
        <w:rPr>
          <w:noProof/>
        </w:rPr>
        <w:t>Celem inwestycji jest wsparcie budowy projektu połączenia międzysystemowego „Sardyńsko-Korsyka-Włochy 3”. Polega ona na zakończeniu budowy łóżek stacji przebudowy w Codrongianos na Sardynii oraz w Suvereto w Toskanii. „Korony fasadowe” oznaczają zewnętrzną infrastrukturę stacji przebudowy i nie obejmują maszyn ani innego sprzętu, które należy w nich zainstalować po zakończeniu niniejszej inwestycji. Inwestycja zostanie zakończona do dnia 31 sierpnia 2026 r.</w:t>
      </w:r>
    </w:p>
    <w:p w14:paraId="7D01566A" w14:textId="77777777" w:rsidR="004C6421" w:rsidRDefault="009D1962">
      <w:pPr>
        <w:pStyle w:val="P68B1DB1-Heading429"/>
        <w:numPr>
          <w:ilvl w:val="0"/>
          <w:numId w:val="0"/>
        </w:numPr>
        <w:rPr>
          <w:noProof/>
        </w:rPr>
      </w:pPr>
      <w:r>
        <w:rPr>
          <w:noProof/>
        </w:rPr>
        <w:t>Inwestycja 6. Projekty dotyczące transgranicznych elektroenergetycznych połączeń międzysystemowych między Włochami a krajami sąsiadującymi</w:t>
      </w:r>
    </w:p>
    <w:p w14:paraId="375D26DB" w14:textId="77777777" w:rsidR="004C6421" w:rsidRDefault="009D1962">
      <w:pPr>
        <w:pStyle w:val="Text1"/>
        <w:spacing w:before="0"/>
        <w:ind w:left="0"/>
        <w:rPr>
          <w:noProof/>
        </w:rPr>
      </w:pPr>
      <w:r>
        <w:rPr>
          <w:noProof/>
        </w:rPr>
        <w:t xml:space="preserve">Celem tej inwestycji jest rozbudowa i modernizacja infrastruktury przesyłu energii elektrycznej między Włochami, Austrią i Słowenią. Inwestycja polega w szczególności na ukończeniu następujących transgranicznych połączeń wzajemnych: </w:t>
      </w:r>
    </w:p>
    <w:p w14:paraId="0BA86D43" w14:textId="77777777" w:rsidR="004C6421" w:rsidRDefault="009D1962">
      <w:pPr>
        <w:pStyle w:val="Text1"/>
        <w:numPr>
          <w:ilvl w:val="0"/>
          <w:numId w:val="34"/>
        </w:numPr>
        <w:spacing w:before="0"/>
        <w:rPr>
          <w:noProof/>
        </w:rPr>
      </w:pPr>
      <w:r>
        <w:rPr>
          <w:noProof/>
        </w:rPr>
        <w:t>„Somplago (Włochy)-Würmlach (Austria), zwiększenie nominalnej zdolności istniejących połączeń międzysystemowych o 300 MW;</w:t>
      </w:r>
    </w:p>
    <w:p w14:paraId="577464AD" w14:textId="77777777" w:rsidR="004C6421" w:rsidRDefault="009D1962">
      <w:pPr>
        <w:pStyle w:val="Text1"/>
        <w:numPr>
          <w:ilvl w:val="0"/>
          <w:numId w:val="34"/>
        </w:numPr>
        <w:spacing w:before="0"/>
        <w:rPr>
          <w:noProof/>
        </w:rPr>
      </w:pPr>
      <w:r>
        <w:rPr>
          <w:noProof/>
        </w:rPr>
        <w:t>„Zaule (Włochy)-Dekani (Słowenia)”</w:t>
      </w:r>
    </w:p>
    <w:p w14:paraId="274729AD" w14:textId="77777777" w:rsidR="004C6421" w:rsidRDefault="009D1962">
      <w:pPr>
        <w:pStyle w:val="Text1"/>
        <w:numPr>
          <w:ilvl w:val="0"/>
          <w:numId w:val="34"/>
        </w:numPr>
        <w:spacing w:before="0"/>
        <w:rPr>
          <w:noProof/>
        </w:rPr>
      </w:pPr>
      <w:r>
        <w:rPr>
          <w:noProof/>
        </w:rPr>
        <w:t>„Redipuglia (Włochy) – Vrtojba (Słowenia)”</w:t>
      </w:r>
    </w:p>
    <w:p w14:paraId="701689BE" w14:textId="77777777" w:rsidR="004C6421" w:rsidRDefault="009D1962">
      <w:pPr>
        <w:pStyle w:val="Text1"/>
        <w:spacing w:before="0"/>
        <w:ind w:left="0"/>
        <w:rPr>
          <w:noProof/>
        </w:rPr>
      </w:pPr>
      <w:r>
        <w:rPr>
          <w:noProof/>
        </w:rPr>
        <w:t>Po zakończeniu prac nad połączeniami wzajemnymi Zaule-Dekani i Redipuglia-Vrtojba łączna nominalna zdolność połączeń wzajemnych między Włochami a Słowenią zostanie zwiększona o 250 MW.</w:t>
      </w:r>
    </w:p>
    <w:p w14:paraId="2BAF2B32" w14:textId="77777777" w:rsidR="004C6421" w:rsidRDefault="009D1962">
      <w:pPr>
        <w:pStyle w:val="Text1"/>
        <w:spacing w:before="0"/>
        <w:ind w:left="0"/>
        <w:rPr>
          <w:noProof/>
        </w:rPr>
      </w:pPr>
      <w:r>
        <w:rPr>
          <w:noProof/>
        </w:rPr>
        <w:t>Inwestycja obejmuje jedynie ukończenie części połączenia wzajemnego po stronie włoskiej do dnia 31 sierpnia 2026 r. Po zakończeniu prac infrastruktura jest gotowa do uruchomienia po ukończeniu i uruchomieniu pozostałej części infrastruktury po stronie Austrii i Słowenii.</w:t>
      </w:r>
    </w:p>
    <w:p w14:paraId="7A18E9AA" w14:textId="77777777" w:rsidR="004C6421" w:rsidRDefault="009D1962">
      <w:pPr>
        <w:pStyle w:val="Text1"/>
        <w:spacing w:before="0"/>
        <w:ind w:left="0"/>
        <w:rPr>
          <w:noProof/>
        </w:rPr>
      </w:pPr>
      <w:r>
        <w:rPr>
          <w:noProof/>
        </w:rPr>
        <w:t xml:space="preserve">Aby zapobiec ryzyku nadmiernej rekompensaty, do dnia 31 sierpnia 2026 r. Włochy przedstawią Komisji sprawozdanie. W sprawozdaniu wykazuje się, że odstępstwa od zasad rynku energii przyznane tym trzem połączeniom międzysystemowym są nadal uzasadnione. Ponadto Komisja ocenia, czy wprowadzono odpowiednie zabezpieczenia w celu zapewnienia, aby warunki określone w art. 63 ust. 1 rozporządzenia (UE) 2019/943 w sprawie energii elektrycznej były nadal spełniane. W ocenie uwzględnia się zakres, w jakim odpowiednie fundusze unijne i publiczne mają wpływ na warunki związane z ryzykiem związanym z projektami. </w:t>
      </w:r>
    </w:p>
    <w:p w14:paraId="28C90A0F" w14:textId="77777777" w:rsidR="004C6421" w:rsidRDefault="009D1962">
      <w:pPr>
        <w:pStyle w:val="P68B1DB1-Heading429"/>
        <w:numPr>
          <w:ilvl w:val="0"/>
          <w:numId w:val="0"/>
        </w:numPr>
        <w:rPr>
          <w:noProof/>
        </w:rPr>
      </w:pPr>
      <w:r>
        <w:rPr>
          <w:noProof/>
        </w:rPr>
        <w:t xml:space="preserve">Inwestycja 7. Inteligentna krajowa sieć przesyłowa </w:t>
      </w:r>
    </w:p>
    <w:p w14:paraId="4393991F" w14:textId="77777777" w:rsidR="004C6421" w:rsidRDefault="009D1962">
      <w:pPr>
        <w:pStyle w:val="Text1"/>
        <w:spacing w:before="0"/>
        <w:ind w:left="0"/>
        <w:rPr>
          <w:noProof/>
        </w:rPr>
      </w:pPr>
      <w:r>
        <w:rPr>
          <w:noProof/>
        </w:rPr>
        <w:t>Celem inwestycji jest cyfryzacja krajowej sieci przesyłowej (NTG) oraz usprawnienie systemu zarządzania i kontroli zarządzanego przez operatora systemu przesyłowego. Inwestycja koncentruje się zarówno na sieci przesyłowej, jak i na jej komponentach oprogramowania oraz ułatwia integrację konsumentów i prosumentów na rynku energii, przyspiesza upowszechnianie odnawialnych źródeł energii i zwiększa odporność sieci.</w:t>
      </w:r>
    </w:p>
    <w:p w14:paraId="10661288" w14:textId="77777777" w:rsidR="004C6421" w:rsidRDefault="009D1962">
      <w:pPr>
        <w:pStyle w:val="Text1"/>
        <w:spacing w:before="0"/>
        <w:ind w:left="0"/>
        <w:rPr>
          <w:noProof/>
        </w:rPr>
      </w:pPr>
      <w:r>
        <w:rPr>
          <w:noProof/>
        </w:rPr>
        <w:t>Inwestycja obejmuje:</w:t>
      </w:r>
    </w:p>
    <w:p w14:paraId="36E19DD5" w14:textId="77777777" w:rsidR="004C6421" w:rsidRDefault="009D1962">
      <w:pPr>
        <w:pStyle w:val="Text1"/>
        <w:numPr>
          <w:ilvl w:val="0"/>
          <w:numId w:val="35"/>
        </w:numPr>
        <w:spacing w:before="0"/>
        <w:rPr>
          <w:noProof/>
        </w:rPr>
      </w:pPr>
      <w:r>
        <w:rPr>
          <w:noProof/>
        </w:rPr>
        <w:t>instalacja bezpiecznego protokołu 104 w co najmniej 250 stacjach elektrycznych. Po instalacji i w synergii z architekturą technologii informacyjno-komunikacyjnych (ICT) wszystkie dane przepływają przez centralny system zarządzania i kontroli.</w:t>
      </w:r>
    </w:p>
    <w:p w14:paraId="0870D796" w14:textId="77777777" w:rsidR="004C6421" w:rsidRDefault="009D1962">
      <w:pPr>
        <w:pStyle w:val="Text1"/>
        <w:numPr>
          <w:ilvl w:val="0"/>
          <w:numId w:val="35"/>
        </w:numPr>
        <w:spacing w:before="0"/>
        <w:rPr>
          <w:noProof/>
        </w:rPr>
      </w:pPr>
      <w:r>
        <w:rPr>
          <w:noProof/>
        </w:rPr>
        <w:t>Instalacja sprzętu 5G lub architektury ICT w co najmniej 40 stacjach elektrycznych.</w:t>
      </w:r>
    </w:p>
    <w:p w14:paraId="6C0B5BD9" w14:textId="77777777" w:rsidR="004C6421" w:rsidRDefault="009D1962">
      <w:pPr>
        <w:pStyle w:val="Text1"/>
        <w:numPr>
          <w:ilvl w:val="0"/>
          <w:numId w:val="35"/>
        </w:numPr>
        <w:spacing w:before="0"/>
        <w:rPr>
          <w:noProof/>
        </w:rPr>
      </w:pPr>
      <w:r>
        <w:rPr>
          <w:noProof/>
        </w:rPr>
        <w:t>Instalacja przemysłowego systemu monitorowania internetu rzeczy na co najmniej 1500 słupach energii elektrycznej w celu gromadzenia danych, które mogą być przetwarzane w systemie zarządzania.</w:t>
      </w:r>
    </w:p>
    <w:p w14:paraId="0ACF832E" w14:textId="77777777" w:rsidR="004C6421" w:rsidRDefault="009D1962">
      <w:pPr>
        <w:spacing w:after="120"/>
        <w:jc w:val="both"/>
        <w:rPr>
          <w:noProof/>
        </w:rPr>
      </w:pPr>
      <w:r>
        <w:rPr>
          <w:noProof/>
        </w:rPr>
        <w:t>Urządzenia zainstalowane w ramach tej inwestycji spełniają, w razie potrzeby, wymogi dotyczące energii określone zgodnie z dyrektywą 2009/125/WE w odniesieniu do serwerów i przechowywania danych lub komputerów i serwerów lub wyświetlaczy elektronicznych. Inwestycja wykazuje najlepsze starania w celu wdrożenia odpowiednich praktyk, takich jak sprzęt i usługi informatyczne wymienione jako „oczekiwane praktyki” w najnowszej wersji europejskiego kodeksu postępowania w zakresie efektywności energetycznej ośrodków przetwarzania danych lub w dokumencie CEN-CENELEC CLC TR50600-99-1 „Ośrodki i infrastruktura centrum danych – Część 99-1: Zalecane praktyki w zakresie zarządzania energią”.</w:t>
      </w:r>
    </w:p>
    <w:p w14:paraId="55E82C30" w14:textId="77777777" w:rsidR="004C6421" w:rsidRDefault="009D1962">
      <w:pPr>
        <w:pStyle w:val="P68B1DB1-Heading429"/>
        <w:numPr>
          <w:ilvl w:val="3"/>
          <w:numId w:val="0"/>
        </w:numPr>
        <w:ind w:left="850" w:hanging="850"/>
        <w:rPr>
          <w:noProof/>
        </w:rPr>
      </w:pPr>
      <w:r>
        <w:rPr>
          <w:noProof/>
        </w:rPr>
        <w:t>Inwestycja 8. Zrównoważone, o obiegu zamkniętym i bezpieczne dostawy surowców krytycznych</w:t>
      </w:r>
    </w:p>
    <w:p w14:paraId="46F41B48" w14:textId="77777777" w:rsidR="004C6421" w:rsidRDefault="009D1962">
      <w:pPr>
        <w:pStyle w:val="Text1"/>
        <w:spacing w:before="0"/>
        <w:ind w:left="0"/>
        <w:rPr>
          <w:noProof/>
        </w:rPr>
      </w:pPr>
      <w:r>
        <w:rPr>
          <w:noProof/>
        </w:rPr>
        <w:t xml:space="preserve">Celem tej inwestycji jest wspieranie odzysku i recyklingu surowców krytycznych, a tym samym łańcuchów wartości surowców krytycznych i technologii związanych z transformacją ekologiczną. </w:t>
      </w:r>
    </w:p>
    <w:p w14:paraId="1DC77DF0" w14:textId="77777777" w:rsidR="004C6421" w:rsidRDefault="009D1962">
      <w:pPr>
        <w:pStyle w:val="Text1"/>
        <w:spacing w:before="0"/>
        <w:ind w:left="0"/>
        <w:rPr>
          <w:noProof/>
        </w:rPr>
      </w:pPr>
      <w:r>
        <w:rPr>
          <w:noProof/>
        </w:rPr>
        <w:t xml:space="preserve">Inwestycja obejmuje cztery główne kierunki działań: </w:t>
      </w:r>
    </w:p>
    <w:p w14:paraId="09371F6E" w14:textId="77777777" w:rsidR="004C6421" w:rsidRDefault="009D1962">
      <w:pPr>
        <w:pStyle w:val="Text1"/>
        <w:numPr>
          <w:ilvl w:val="0"/>
          <w:numId w:val="138"/>
        </w:numPr>
        <w:spacing w:before="0"/>
        <w:rPr>
          <w:noProof/>
        </w:rPr>
      </w:pPr>
      <w:r>
        <w:rPr>
          <w:noProof/>
        </w:rPr>
        <w:t xml:space="preserve">Ekoprojekt: celem tej linii interwencji jest zrozumienie potrzeb w zakresie surowców krytycznych oraz potencjału ekoprojektu w zakresie zmniejszenia popytu na surowce krytyczne, co sprzyja podejściu opartemu na obiegu zamkniętym w przemysłowych łańcuchach dostaw powiązanych z transformacją energetyczną. </w:t>
      </w:r>
    </w:p>
    <w:p w14:paraId="22BD7E21" w14:textId="77777777" w:rsidR="004C6421" w:rsidRDefault="009D1962">
      <w:pPr>
        <w:pStyle w:val="Text1"/>
        <w:spacing w:before="0"/>
        <w:ind w:left="720"/>
        <w:rPr>
          <w:noProof/>
        </w:rPr>
      </w:pPr>
      <w:r>
        <w:rPr>
          <w:noProof/>
        </w:rPr>
        <w:t>Oczekiwanym rezultatem tej linii działalności jest sprawozdanie zawierające analizę przyszłych potrzeb w zakresie surowców krytycznych. W sprawozdaniu ocenia się potencjał ekoprojektu w zakresie zmniejszenia popytu na surowce krytyczne i faworyzowania możliwości recyklingu tych surowców.</w:t>
      </w:r>
    </w:p>
    <w:p w14:paraId="5A9C702F" w14:textId="77777777" w:rsidR="004C6421" w:rsidRDefault="009D1962">
      <w:pPr>
        <w:pStyle w:val="Text1"/>
        <w:numPr>
          <w:ilvl w:val="0"/>
          <w:numId w:val="33"/>
        </w:numPr>
        <w:spacing w:before="0"/>
        <w:rPr>
          <w:noProof/>
        </w:rPr>
      </w:pPr>
      <w:r>
        <w:rPr>
          <w:noProof/>
        </w:rPr>
        <w:t>Projekty badawczo-rozwojowe koncentrujące się na ekoprojektowaniu oraz poprawie zbierania, logistyki i recyklingu zużytego sprzętu elektrycznego i elektronicznego, w tym łopat turbin wiatrowych i paneli fotowoltaicznych. Projekty koncentrują się na następujących trzech liniach badań, rozwoju i innowacji:</w:t>
      </w:r>
    </w:p>
    <w:p w14:paraId="3E889DC1" w14:textId="77777777" w:rsidR="004C6421" w:rsidRDefault="009D1962">
      <w:pPr>
        <w:pStyle w:val="Text1"/>
        <w:numPr>
          <w:ilvl w:val="1"/>
          <w:numId w:val="33"/>
        </w:numPr>
        <w:spacing w:before="0"/>
        <w:rPr>
          <w:noProof/>
        </w:rPr>
      </w:pPr>
      <w:r>
        <w:rPr>
          <w:noProof/>
        </w:rPr>
        <w:t>Nowych lub ulepszonych technologii, systemów informacyjnych i metod biznesowych w zakresie odzysku, recyklingu i przetwarzania odpadów surowców krytycznych i strategicznych;</w:t>
      </w:r>
    </w:p>
    <w:p w14:paraId="1A18D76C" w14:textId="77777777" w:rsidR="004C6421" w:rsidRDefault="009D1962">
      <w:pPr>
        <w:pStyle w:val="ListParagraph"/>
        <w:numPr>
          <w:ilvl w:val="1"/>
          <w:numId w:val="33"/>
        </w:numPr>
        <w:spacing w:before="0"/>
        <w:contextualSpacing w:val="0"/>
        <w:rPr>
          <w:noProof/>
        </w:rPr>
      </w:pPr>
      <w:r>
        <w:rPr>
          <w:noProof/>
        </w:rPr>
        <w:t xml:space="preserve">Integracja ekoprojektu z wytwarzaniem złożonych produktów i systemów oraz z procesami rynkowymi i konsumpcyjnymi; </w:t>
      </w:r>
    </w:p>
    <w:p w14:paraId="460D09B3" w14:textId="77777777" w:rsidR="004C6421" w:rsidRDefault="009D1962">
      <w:pPr>
        <w:pStyle w:val="ListParagraph"/>
        <w:numPr>
          <w:ilvl w:val="1"/>
          <w:numId w:val="33"/>
        </w:numPr>
        <w:spacing w:before="0"/>
        <w:contextualSpacing w:val="0"/>
        <w:rPr>
          <w:noProof/>
        </w:rPr>
      </w:pPr>
      <w:r>
        <w:rPr>
          <w:noProof/>
        </w:rPr>
        <w:t>Optymalizacja zbierania i sortowania odpadów komunalnych oraz sortowania w celu zapewnienia spójnych i wysokiej jakości dostaw surowców krytycznych na potrzeby miejskich działalności górniczych.</w:t>
      </w:r>
    </w:p>
    <w:p w14:paraId="7D39EC18" w14:textId="77777777" w:rsidR="004C6421" w:rsidRDefault="009D1962">
      <w:pPr>
        <w:pStyle w:val="Text1"/>
        <w:numPr>
          <w:ilvl w:val="0"/>
          <w:numId w:val="33"/>
        </w:numPr>
        <w:spacing w:before="0"/>
        <w:rPr>
          <w:noProof/>
        </w:rPr>
      </w:pPr>
      <w:r>
        <w:rPr>
          <w:noProof/>
        </w:rPr>
        <w:t>Górnictwo miejskie: celem tej linii interwencji jest oszacowanie potencjału działalności górniczej na obszarach miejskich i już istniejących odpadów pochodzących z zaprzestania działalności wydobywczej.</w:t>
      </w:r>
    </w:p>
    <w:p w14:paraId="32234D48" w14:textId="77777777" w:rsidR="004C6421" w:rsidRDefault="009D1962">
      <w:pPr>
        <w:pStyle w:val="Text1"/>
        <w:spacing w:before="0"/>
        <w:ind w:left="720"/>
        <w:rPr>
          <w:noProof/>
        </w:rPr>
      </w:pPr>
      <w:r>
        <w:rPr>
          <w:noProof/>
        </w:rPr>
        <w:t>Oczekiwanym rezultatem tej linii działalności jest publiczna baza danych (system informacji geograficznej) umożliwiająca geolokalizację i wizualizację dystrybucji zasobów lub materiałów nadających się do recyklingu, rozproszonych w środowisku miejskim (kopalnie miejskie), a także istniejących odpadów w opuszczonych kopalniach.</w:t>
      </w:r>
    </w:p>
    <w:p w14:paraId="0F5880AD" w14:textId="77777777" w:rsidR="004C6421" w:rsidRDefault="009D1962">
      <w:pPr>
        <w:pStyle w:val="Text1"/>
        <w:numPr>
          <w:ilvl w:val="0"/>
          <w:numId w:val="33"/>
        </w:numPr>
        <w:spacing w:before="0"/>
        <w:rPr>
          <w:noProof/>
        </w:rPr>
      </w:pPr>
      <w:r>
        <w:rPr>
          <w:noProof/>
        </w:rPr>
        <w:t>Utworzenie lub wyposażenie centrum technologicznego górnictwa miejskiego i ekoprojektu. Centrum to sieć laboratoriów, które sprzyjają interakcjom między prywatnymi przedsiębiorstwami a instytucjami badawczymi w celu poprawy odzysku i recyklingu z łańcucha dostaw złożonych produktów i surowców wycofanych z eksploatacji o niskim współczynniku wejściowym recyklingu po wycofaniu z eksploatacji (Eol-RIR) związanym z transformacją ekologiczną (w tym litu, neodymu i krzemu metalicznego).</w:t>
      </w:r>
    </w:p>
    <w:p w14:paraId="514D2531" w14:textId="77777777" w:rsidR="004C6421" w:rsidRDefault="009D1962">
      <w:pPr>
        <w:pStyle w:val="Text1"/>
        <w:spacing w:before="0"/>
        <w:ind w:left="720"/>
        <w:rPr>
          <w:noProof/>
        </w:rPr>
      </w:pPr>
      <w:r>
        <w:rPr>
          <w:noProof/>
        </w:rPr>
        <w:t>Oczekiwanym wynikiem dla tej linii działalności będzie wyposażenie tych laboratoriów.</w:t>
      </w:r>
    </w:p>
    <w:p w14:paraId="1798B96C" w14:textId="77777777" w:rsidR="004C6421" w:rsidRDefault="009D1962">
      <w:pPr>
        <w:pStyle w:val="P68B1DB1-Heading429"/>
        <w:numPr>
          <w:ilvl w:val="3"/>
          <w:numId w:val="0"/>
        </w:numPr>
        <w:rPr>
          <w:noProof/>
        </w:rPr>
      </w:pPr>
      <w:r>
        <w:rPr>
          <w:noProof/>
        </w:rPr>
        <w:t>Inwestycja 9. Działanie na rzecz zwiększenia skali: zapewnienie pomocy technicznej i wzmocnienie budowania zdolności na potrzeby realizacji włoskiego planu odbudowy i zwiększania odporności</w:t>
      </w:r>
    </w:p>
    <w:p w14:paraId="590E17EF" w14:textId="77777777" w:rsidR="004C6421" w:rsidRDefault="009D1962">
      <w:pPr>
        <w:spacing w:after="120"/>
        <w:ind w:right="-45"/>
        <w:jc w:val="both"/>
        <w:rPr>
          <w:noProof/>
        </w:rPr>
      </w:pPr>
      <w:r>
        <w:rPr>
          <w:noProof/>
        </w:rPr>
        <w:t xml:space="preserve">Inwestycje te zwiększają inwestycje 1.9 w ramach misji 1 komponent 1 planu odbudowy i zwiększania odporności Włoch. </w:t>
      </w:r>
    </w:p>
    <w:p w14:paraId="0CB91268" w14:textId="77777777" w:rsidR="004C6421" w:rsidRDefault="009D1962">
      <w:pPr>
        <w:spacing w:after="120"/>
        <w:ind w:right="-45"/>
        <w:jc w:val="both"/>
        <w:rPr>
          <w:noProof/>
        </w:rPr>
      </w:pPr>
      <w:r>
        <w:rPr>
          <w:noProof/>
        </w:rPr>
        <w:t xml:space="preserve">Środek ten zwiększa skalę istniejących inwestycji poprzez uzupełnienie istniejącego programu szkoleniowego oferowanego na platformie edukacyjnej www.syllabus.gov.it </w:t>
      </w:r>
      <w:hyperlink r:id="rId410">
        <w:r>
          <w:rPr>
            <w:rStyle w:val="Hyperlink"/>
            <w:noProof/>
          </w:rPr>
          <w:t>modułami</w:t>
        </w:r>
      </w:hyperlink>
      <w:r>
        <w:rPr>
          <w:noProof/>
        </w:rPr>
        <w:t xml:space="preserve"> szkoleniowymi przygotowującymi lokalnych urzędników służby cywilnej do transformacji ekologicznej.</w:t>
      </w:r>
    </w:p>
    <w:p w14:paraId="3303C672" w14:textId="77777777" w:rsidR="004C6421" w:rsidRDefault="009D1962">
      <w:pPr>
        <w:spacing w:after="120"/>
        <w:ind w:right="-45"/>
        <w:jc w:val="both"/>
        <w:rPr>
          <w:noProof/>
        </w:rPr>
      </w:pPr>
      <w:r>
        <w:rPr>
          <w:noProof/>
        </w:rPr>
        <w:t xml:space="preserve">Moduły szkoleniowe obejmują co najmniej następujące tematy: procesy udzielania zezwoleń dla elektrowni ze źródeł odnawialnych; promowanie społeczności energetycznych działających w zakresie energii odnawialnej; wspieranie i organizacja oszczędności energii w administracji publicznej; zielone e-zamówienia dotyczące energii i produktów o mniejszym wpływie na środowisko;  zamówienia publiczne na efektywność energetyczną budynków; przywództwo administracji publicznej w zakresie efektywności energetycznej i zrównoważonych zachowań w dziedzinie energii: najlepszych praktyk i rozpowszechniania kultury zrównoważonego rozwoju; modele promowania mobilności zgodnej z zasadami zrównoważonego rozwoju w celu oszczędzania energii. </w:t>
      </w:r>
    </w:p>
    <w:p w14:paraId="32E0D2C4" w14:textId="4D16B8D8" w:rsidR="004C6421" w:rsidRDefault="009D1962">
      <w:pPr>
        <w:pStyle w:val="P68B1DB1-Heading429"/>
        <w:numPr>
          <w:ilvl w:val="0"/>
          <w:numId w:val="0"/>
        </w:numPr>
        <w:ind w:left="850" w:hanging="850"/>
        <w:rPr>
          <w:noProof/>
        </w:rPr>
      </w:pPr>
      <w:r>
        <w:rPr>
          <w:noProof/>
        </w:rPr>
        <w:t>Inwestycja 10. Projekt pilotażowy dotyczący umiejętności „Crescere Green”</w:t>
      </w:r>
    </w:p>
    <w:p w14:paraId="76026A63" w14:textId="77777777" w:rsidR="004C6421" w:rsidRDefault="009D1962">
      <w:pPr>
        <w:pStyle w:val="P68B1DB1-Normal11"/>
        <w:spacing w:after="120"/>
        <w:jc w:val="both"/>
        <w:rPr>
          <w:noProof/>
        </w:rPr>
      </w:pPr>
      <w:r>
        <w:rPr>
          <w:noProof/>
        </w:rPr>
        <w:t xml:space="preserve">Celem tej inwestycji jest rozwój umiejętności ekologicznych na skalę ponadregionalną, z udziałem przedsiębiorstw i sektora prywatnego, z uwzględnieniem sektorów. </w:t>
      </w:r>
    </w:p>
    <w:p w14:paraId="55B85937" w14:textId="77777777" w:rsidR="004C6421" w:rsidRDefault="009D1962">
      <w:pPr>
        <w:pStyle w:val="P68B1DB1-Normal11"/>
        <w:spacing w:after="120"/>
        <w:jc w:val="both"/>
        <w:rPr>
          <w:noProof/>
        </w:rPr>
      </w:pPr>
      <w:r>
        <w:rPr>
          <w:noProof/>
        </w:rPr>
        <w:t>Krótkie interwencje szkoleniowe koncentrują się na umiejętnościach zawodowych najbardziej wymaganych w ramach zielonej transformacji na rynku pracy. Zawody, których to dotyczy, określa się w ramach paktów na rzecz umiejętności w ramach „Reformy 5: Plan na rzecz nowych umiejętności – przemiany”. Odbiorców określa się spośród uczestników Krajowego Programu GOL (GOL) (w ramach misji 5: Komponent 1 – Reforma 1”), który po procesie oceny podąża ścieżką obejmującą specjalny komponent szkoleniowy. Inwestycja ma również na celu zwiększenie zdolności administracji, instytucji i partnerów zaangażowanych w planowanie działań szkoleniowych.</w:t>
      </w:r>
    </w:p>
    <w:p w14:paraId="1C43798F" w14:textId="4F565517" w:rsidR="004C6421" w:rsidRDefault="009D1962">
      <w:pPr>
        <w:pStyle w:val="P68B1DB1-Normal11"/>
        <w:spacing w:after="120"/>
        <w:jc w:val="both"/>
        <w:rPr>
          <w:noProof/>
        </w:rPr>
      </w:pPr>
      <w:r>
        <w:rPr>
          <w:noProof/>
        </w:rPr>
        <w:t xml:space="preserve">Inwestycja wspiera działania szkoleniowe w zakresie umiejętności ekologicznych określone w bazie danych ESCO. </w:t>
      </w:r>
      <w:r>
        <w:rPr>
          <w:noProof/>
          <w:u w:val="single"/>
        </w:rPr>
        <w:t>Wszelka działalność związana z pojazdami dotyczy wyłącznie pojazdów bezemisyjnych.</w:t>
      </w:r>
      <w:r>
        <w:rPr>
          <w:i/>
          <w:noProof/>
          <w:u w:val="single"/>
        </w:rPr>
        <w:t xml:space="preserve"> </w:t>
      </w:r>
      <w:r>
        <w:rPr>
          <w:noProof/>
        </w:rPr>
        <w:t>Żadne działanie szkoleniowe nie może być związane z: paliwa kopalne, w tym gaz (ii) spalarnie odpadów (z wyjątkiem działalności związanej ze spalaniem odpadów niebezpiecznych nienadających się do recyklingu).</w:t>
      </w:r>
    </w:p>
    <w:p w14:paraId="639B2FF9" w14:textId="77777777" w:rsidR="004C6421" w:rsidRDefault="004C6421">
      <w:pPr>
        <w:spacing w:after="120"/>
        <w:jc w:val="both"/>
        <w:rPr>
          <w:noProof/>
          <w:color w:val="000000" w:themeColor="text1"/>
        </w:rPr>
      </w:pPr>
    </w:p>
    <w:p w14:paraId="6E37A8DF" w14:textId="77777777" w:rsidR="004C6421" w:rsidRDefault="009D1962">
      <w:pPr>
        <w:pStyle w:val="P68B1DB1-Heading429"/>
        <w:numPr>
          <w:ilvl w:val="0"/>
          <w:numId w:val="0"/>
        </w:numPr>
        <w:rPr>
          <w:noProof/>
        </w:rPr>
      </w:pPr>
      <w:r>
        <w:rPr>
          <w:noProof/>
        </w:rPr>
        <w:t>Inwestycja 11. Wzmocnienie regionalnego taboru kolejowego transportu publicznego z pociągami bezemisyjnymi i usługą powszechną</w:t>
      </w:r>
    </w:p>
    <w:p w14:paraId="68565983" w14:textId="77777777" w:rsidR="004C6421" w:rsidRDefault="009D1962">
      <w:pPr>
        <w:spacing w:before="120" w:after="120"/>
        <w:jc w:val="both"/>
        <w:rPr>
          <w:noProof/>
        </w:rPr>
      </w:pPr>
      <w:r>
        <w:rPr>
          <w:noProof/>
        </w:rPr>
        <w:t xml:space="preserve">Inwestycja ta polega na zakupie i oddaniu do eksploatacji co najmniej 69 bezemisyjnych pociągów pasażerskich (gdzie pociąg składa się z co najmniej jednej lokomotywy i obejmuje wagony pasażerskie) oraz dodatkowych 30 wagonów w ramach usługi powszechnej. Ogółem inwestycja obejmuje co najmniej 342 jednostki, z czego co najmniej 69 to lokomotywy. Kwalifikują się wyłącznie elektryczne lub wodorowe ogniwa paliwowe. Pociągi dwumodalne nie są kwalifikowalne. </w:t>
      </w:r>
    </w:p>
    <w:p w14:paraId="53B4E303" w14:textId="602FC3E0" w:rsidR="004C6421" w:rsidRDefault="009D1962">
      <w:pPr>
        <w:pStyle w:val="P68B1DB1-Heading429"/>
        <w:numPr>
          <w:ilvl w:val="0"/>
          <w:numId w:val="0"/>
        </w:numPr>
        <w:ind w:left="850" w:hanging="850"/>
        <w:rPr>
          <w:rFonts w:eastAsia="Times New Roman"/>
          <w:noProof/>
          <w:color w:val="000000" w:themeColor="text1"/>
        </w:rPr>
      </w:pPr>
      <w:bookmarkStart w:id="17" w:name="_Hlk180665112"/>
      <w:r>
        <w:rPr>
          <w:noProof/>
          <w:color w:val="000000" w:themeColor="text1"/>
        </w:rPr>
        <w:t xml:space="preserve">Inwestycja 12: </w:t>
      </w:r>
      <w:r>
        <w:rPr>
          <w:noProof/>
        </w:rPr>
        <w:t xml:space="preserve">Instrument finansowy </w:t>
      </w:r>
      <w:r>
        <w:rPr>
          <w:noProof/>
          <w:color w:val="000000" w:themeColor="text1"/>
        </w:rPr>
        <w:t>na rzecz rozwoju wiodącej pozycji międzynarodowej, przemysłowej i badawczo-rozwojowej w zakresie autobusów bezemisyjnych</w:t>
      </w:r>
      <w:bookmarkEnd w:id="17"/>
    </w:p>
    <w:p w14:paraId="5D75BD8F" w14:textId="177EE031" w:rsidR="004C6421" w:rsidRDefault="009D1962">
      <w:pPr>
        <w:spacing w:after="120"/>
        <w:jc w:val="both"/>
        <w:rPr>
          <w:noProof/>
        </w:rPr>
      </w:pPr>
      <w:r>
        <w:rPr>
          <w:noProof/>
          <w:color w:val="000000" w:themeColor="text1"/>
        </w:rPr>
        <w:t xml:space="preserve">Środek ten obejmuje </w:t>
      </w:r>
      <w:r>
        <w:rPr>
          <w:noProof/>
        </w:rPr>
        <w:t>inwestycję publiczną w instrument „Rozwój wiodącej pozycji międzynarodowej, przemysłowej i badawczo-rozwojowej w zakresie autobusów bezemisyjnych” w celu zachęcenia do inwestycji prywatnych i poprawy dostępu do finansowania we Włoszech w celu wspierania inwestycji w łańcuch dostaw produkcji bezemisyjnych flot autobusowych (elektryczne baterie, wodorowe ogniwa paliwowe lub wodorowe ogniwa paliwowe lub wodorowe wewnętrzne spalanie). Instrument działa poprzez udzielanie dotacji lub subsydiowanych pożyczek bezpośrednio sektorowi prywatnemu. Na podstawie inwestycji w ramach RRF instrument ma początkowo zapewnić finansowanie w wysokości co najmniej 100 000 000 EUR.</w:t>
      </w:r>
    </w:p>
    <w:p w14:paraId="08F5FE21" w14:textId="1FC19EDB" w:rsidR="004C6421" w:rsidRDefault="009D1962">
      <w:pPr>
        <w:spacing w:after="120"/>
        <w:jc w:val="both"/>
        <w:rPr>
          <w:noProof/>
        </w:rPr>
      </w:pPr>
      <w:r>
        <w:rPr>
          <w:noProof/>
        </w:rPr>
        <w:t>Instrumentem zarządza Invitalia S.p.A. jako partner wykonawczy. Instrument obejmuje następującą linię produktową:</w:t>
      </w:r>
    </w:p>
    <w:p w14:paraId="6022F008" w14:textId="77777777" w:rsidR="004C6421" w:rsidRDefault="009D1962">
      <w:pPr>
        <w:pStyle w:val="ListParagraph"/>
        <w:numPr>
          <w:ilvl w:val="0"/>
          <w:numId w:val="4"/>
        </w:numPr>
        <w:spacing w:before="0"/>
        <w:rPr>
          <w:noProof/>
        </w:rPr>
      </w:pPr>
      <w:r>
        <w:rPr>
          <w:noProof/>
        </w:rPr>
        <w:t xml:space="preserve"> Dotacje, dotacje na spłatę odsetek, pożyczki subsydiowane dla przedsiębiorstw w łańcuchu dostaw autobusów bezemisyjnych. Autobusy hybrydowe nie kwalifikują się do wsparcia.</w:t>
      </w:r>
    </w:p>
    <w:p w14:paraId="375F5E04" w14:textId="394709B6" w:rsidR="004C6421" w:rsidRDefault="009D1962">
      <w:pPr>
        <w:spacing w:after="120"/>
        <w:jc w:val="both"/>
        <w:rPr>
          <w:noProof/>
        </w:rPr>
      </w:pPr>
      <w:r>
        <w:rPr>
          <w:noProof/>
        </w:rPr>
        <w:t>W celu realizacji inwestycji w instrument Włochy i Invitalia S.p.A. podpisują umowę wykonawczą, która zawiera następującą treść:</w:t>
      </w:r>
    </w:p>
    <w:p w14:paraId="60A683A3" w14:textId="51B562A4" w:rsidR="004C6421" w:rsidRDefault="009D1962">
      <w:pPr>
        <w:pStyle w:val="ListParagraph"/>
        <w:numPr>
          <w:ilvl w:val="0"/>
          <w:numId w:val="3"/>
        </w:numPr>
        <w:spacing w:before="0"/>
        <w:rPr>
          <w:noProof/>
          <w:color w:val="000000" w:themeColor="text1"/>
        </w:rPr>
      </w:pPr>
      <w:r>
        <w:rPr>
          <w:noProof/>
        </w:rPr>
        <w:t xml:space="preserve">Opis procesu decyzyjnego w ramach Instrumentu: Ostateczną decyzję inwestycyjną instrumentu podejmuje komitet inwestycyjny lub inny odpowiedni </w:t>
      </w:r>
      <w:r>
        <w:rPr>
          <w:noProof/>
          <w:color w:val="000000" w:themeColor="text1"/>
        </w:rPr>
        <w:t>równoważny organ zarządzający i zatwierdza większością głosów członków niezależnych od rządu.</w:t>
      </w:r>
    </w:p>
    <w:p w14:paraId="6F14E94A" w14:textId="214C4D82" w:rsidR="004C6421" w:rsidRDefault="009D1962">
      <w:pPr>
        <w:pStyle w:val="P68B1DB1-ListParagraph30"/>
        <w:numPr>
          <w:ilvl w:val="0"/>
          <w:numId w:val="3"/>
        </w:numPr>
        <w:spacing w:before="0"/>
        <w:rPr>
          <w:noProof/>
        </w:rPr>
      </w:pPr>
      <w:r>
        <w:rPr>
          <w:noProof/>
        </w:rPr>
        <w:t>Kluczowe wymogi powiązanej polityki inwestycyjnej, które obejmują:</w:t>
      </w:r>
    </w:p>
    <w:p w14:paraId="1046BD5D" w14:textId="229C0312" w:rsidR="004C6421" w:rsidRDefault="009D1962">
      <w:pPr>
        <w:pStyle w:val="ListParagraph"/>
        <w:numPr>
          <w:ilvl w:val="1"/>
          <w:numId w:val="3"/>
        </w:numPr>
        <w:spacing w:before="0"/>
        <w:rPr>
          <w:noProof/>
          <w:color w:val="000000" w:themeColor="text1"/>
        </w:rPr>
      </w:pPr>
      <w:r>
        <w:rPr>
          <w:noProof/>
          <w:color w:val="000000" w:themeColor="text1"/>
        </w:rPr>
        <w:t xml:space="preserve">Opis dostarczonych produktów finansowych  i kwalifikujących się beneficjentów końcowych. </w:t>
      </w:r>
    </w:p>
    <w:p w14:paraId="04DB4778" w14:textId="77777777" w:rsidR="004C6421" w:rsidRDefault="009D1962">
      <w:pPr>
        <w:pStyle w:val="P68B1DB1-ListParagraph30"/>
        <w:numPr>
          <w:ilvl w:val="1"/>
          <w:numId w:val="3"/>
        </w:numPr>
        <w:spacing w:before="0"/>
        <w:rPr>
          <w:noProof/>
        </w:rPr>
      </w:pPr>
      <w:r>
        <w:rPr>
          <w:noProof/>
        </w:rPr>
        <w:t>Wymóg, aby wszystkie wspierane inwestycje były ekonomicznie opłacalne.</w:t>
      </w:r>
    </w:p>
    <w:p w14:paraId="6B518049" w14:textId="65B51378" w:rsidR="004C6421" w:rsidRDefault="009D1962">
      <w:pPr>
        <w:pStyle w:val="ListParagraph"/>
        <w:numPr>
          <w:ilvl w:val="1"/>
          <w:numId w:val="3"/>
        </w:numPr>
        <w:spacing w:before="0"/>
        <w:rPr>
          <w:noProof/>
          <w:color w:val="000000" w:themeColor="text1"/>
        </w:rPr>
      </w:pPr>
      <w:r>
        <w:rPr>
          <w:noProof/>
          <w:color w:val="000000" w:themeColor="text1"/>
        </w:rPr>
        <w:t xml:space="preserve">Wymóg zgodności z zasadą „nie czyń poważnych szkód” (DNSH) zgodnie z wytycznymi technicznymi dotyczącymi zasady DNSH (2021/C58/01). W szczególności polityka </w:t>
      </w:r>
      <w:r>
        <w:rPr>
          <w:noProof/>
        </w:rPr>
        <w:t>inwestycyjna wyłącza z kwalifikowalności następujący wykaz działań i aktywów: (i) działania i aktywa związane z paliwami kopalnymi, w tym wykorzystanie niższego szczebla;</w:t>
      </w:r>
      <w:r>
        <w:rPr>
          <w:rStyle w:val="FootnoteReference"/>
          <w:noProof/>
        </w:rPr>
        <w:footnoteReference w:id="119"/>
      </w:r>
      <w:r>
        <w:rPr>
          <w:noProof/>
        </w:rPr>
        <w:t xml:space="preserve">(ii) działania i aktywa w ramach </w:t>
      </w:r>
      <w:r>
        <w:rPr>
          <w:noProof/>
          <w:color w:val="000000" w:themeColor="text1"/>
        </w:rPr>
        <w:t>unijnego systemu handlu uprawnieniami do emisji (ETS) prowadzące do osiągnięcia prognozowanych emisji gazów cieplarnianych, które nie są niższe niż odpowiednie wskaźniki referencyjne;</w:t>
      </w:r>
      <w:r>
        <w:rPr>
          <w:rStyle w:val="FootnoteReference"/>
          <w:noProof/>
          <w:color w:val="000000" w:themeColor="text1"/>
        </w:rPr>
        <w:footnoteReference w:id="120"/>
      </w:r>
      <w:r>
        <w:rPr>
          <w:noProof/>
          <w:color w:val="000000" w:themeColor="text1"/>
        </w:rPr>
        <w:t>(iii) działania i aktywa związane ze składowiskami odpadów, spalarniami</w:t>
      </w:r>
      <w:r>
        <w:rPr>
          <w:rStyle w:val="FootnoteReference"/>
          <w:noProof/>
          <w:color w:val="000000" w:themeColor="text1"/>
        </w:rPr>
        <w:footnoteReference w:id="121"/>
      </w:r>
      <w:r>
        <w:rPr>
          <w:noProof/>
          <w:color w:val="000000" w:themeColor="text1"/>
        </w:rPr>
        <w:t xml:space="preserve"> i zakładami mechaniczno-biologicznego przetwarzania odpadów</w:t>
      </w:r>
      <w:r>
        <w:rPr>
          <w:rStyle w:val="FootnoteReference"/>
          <w:noProof/>
          <w:color w:val="000000" w:themeColor="text1"/>
        </w:rPr>
        <w:footnoteReference w:id="122"/>
      </w:r>
      <w:r>
        <w:rPr>
          <w:noProof/>
          <w:color w:val="000000" w:themeColor="text1"/>
        </w:rPr>
        <w:t xml:space="preserve">. </w:t>
      </w:r>
    </w:p>
    <w:p w14:paraId="30B36B7A" w14:textId="1BCA1D2A" w:rsidR="004C6421" w:rsidRDefault="009D1962">
      <w:pPr>
        <w:pStyle w:val="ListParagraph"/>
        <w:numPr>
          <w:ilvl w:val="1"/>
          <w:numId w:val="3"/>
        </w:numPr>
        <w:spacing w:before="0"/>
        <w:rPr>
          <w:noProof/>
          <w:color w:val="000000" w:themeColor="text1"/>
        </w:rPr>
      </w:pPr>
      <w:r>
        <w:rPr>
          <w:noProof/>
          <w:color w:val="000000" w:themeColor="text1"/>
        </w:rPr>
        <w:t xml:space="preserve">Wymóg, zgodnie z którym beneficjenci końcowi Instrumentu </w:t>
      </w:r>
      <w:r>
        <w:rPr>
          <w:noProof/>
          <w:color w:val="D13438"/>
          <w:u w:val="single"/>
        </w:rPr>
        <w:t xml:space="preserve"> </w:t>
      </w:r>
      <w:r>
        <w:rPr>
          <w:noProof/>
          <w:color w:val="000000" w:themeColor="text1"/>
        </w:rPr>
        <w:t>nie mogą otrzymywać wsparcia z innych instrumentów unijnych w celu pokrycia tych samych kosztów.</w:t>
      </w:r>
    </w:p>
    <w:p w14:paraId="6E2F0401" w14:textId="74219BFC" w:rsidR="004C6421" w:rsidRDefault="009D1962">
      <w:pPr>
        <w:pStyle w:val="ListParagraph"/>
        <w:numPr>
          <w:ilvl w:val="0"/>
          <w:numId w:val="3"/>
        </w:numPr>
        <w:spacing w:before="0"/>
        <w:rPr>
          <w:noProof/>
          <w:color w:val="000000" w:themeColor="text1"/>
        </w:rPr>
      </w:pPr>
      <w:r>
        <w:rPr>
          <w:noProof/>
          <w:color w:val="000000" w:themeColor="text1"/>
        </w:rPr>
        <w:t xml:space="preserve">Kwotę objętą umową wykonawczą, strukturę opłat dla partnera wykonawczego oraz wymóg wykorzystania wszelkich niewykorzystanych wpływów z Instrumentu, w </w:t>
      </w:r>
      <w:r>
        <w:rPr>
          <w:noProof/>
        </w:rPr>
        <w:t xml:space="preserve"> </w:t>
      </w:r>
      <w:r>
        <w:rPr>
          <w:noProof/>
          <w:color w:val="000000" w:themeColor="text1"/>
        </w:rPr>
        <w:t>tym po 2026 r., na te same cele polityki.</w:t>
      </w:r>
    </w:p>
    <w:p w14:paraId="1CB98EA8" w14:textId="77777777" w:rsidR="004C6421" w:rsidRDefault="009D1962">
      <w:pPr>
        <w:pStyle w:val="P68B1DB1-ListParagraph30"/>
        <w:numPr>
          <w:ilvl w:val="0"/>
          <w:numId w:val="3"/>
        </w:numPr>
        <w:spacing w:before="0"/>
        <w:rPr>
          <w:noProof/>
        </w:rPr>
      </w:pPr>
      <w:r>
        <w:rPr>
          <w:noProof/>
        </w:rPr>
        <w:t>Wymogi w zakresie monitorowania, audytu i kontroli, w tym:</w:t>
      </w:r>
    </w:p>
    <w:p w14:paraId="15A272EA" w14:textId="77777777" w:rsidR="004C6421" w:rsidRDefault="009D1962">
      <w:pPr>
        <w:pStyle w:val="P68B1DB1-ListParagraph30"/>
        <w:numPr>
          <w:ilvl w:val="1"/>
          <w:numId w:val="2"/>
        </w:numPr>
        <w:spacing w:before="0"/>
        <w:rPr>
          <w:noProof/>
        </w:rPr>
      </w:pPr>
      <w:r>
        <w:rPr>
          <w:noProof/>
        </w:rPr>
        <w:t>Opis systemu monitorowania stosowanego przez partnera wykonawczego do celów sprawozdawczości na temat uruchomionych dotacji.</w:t>
      </w:r>
    </w:p>
    <w:p w14:paraId="141F311C" w14:textId="77777777" w:rsidR="004C6421" w:rsidRDefault="009D1962">
      <w:pPr>
        <w:pStyle w:val="P68B1DB1-ListParagraph30"/>
        <w:numPr>
          <w:ilvl w:val="1"/>
          <w:numId w:val="2"/>
        </w:numPr>
        <w:spacing w:before="0"/>
        <w:rPr>
          <w:noProof/>
        </w:rPr>
      </w:pPr>
      <w:r>
        <w:rPr>
          <w:noProof/>
        </w:rPr>
        <w:t xml:space="preserve">Opis procedur partnera wykonawczego, które zapewniają zapobieganie nadużyciom finansowym, korupcji i konfliktom interesów oraz ich wykrywanie i korygowanie. </w:t>
      </w:r>
    </w:p>
    <w:p w14:paraId="0BABB832" w14:textId="3769E237" w:rsidR="004C6421" w:rsidRDefault="009D1962">
      <w:pPr>
        <w:pStyle w:val="ListParagraph"/>
        <w:numPr>
          <w:ilvl w:val="1"/>
          <w:numId w:val="2"/>
        </w:numPr>
        <w:spacing w:before="0"/>
        <w:rPr>
          <w:noProof/>
        </w:rPr>
      </w:pPr>
      <w:r>
        <w:rPr>
          <w:noProof/>
          <w:color w:val="000000" w:themeColor="text1"/>
        </w:rPr>
        <w:t xml:space="preserve">Obowiązek weryfikacji kwalifikowalności każdej operacji zgodnie z wymogami określonymi w umowie wykonawczej przed </w:t>
      </w:r>
      <w:r>
        <w:rPr>
          <w:noProof/>
        </w:rPr>
        <w:t>zobowiązaniem się do finansowania danej operacji.</w:t>
      </w:r>
    </w:p>
    <w:p w14:paraId="55C61268" w14:textId="271EFEE8" w:rsidR="004C6421" w:rsidRDefault="009D1962">
      <w:pPr>
        <w:pStyle w:val="ListParagraph"/>
        <w:numPr>
          <w:ilvl w:val="1"/>
          <w:numId w:val="2"/>
        </w:numPr>
        <w:spacing w:before="0"/>
        <w:rPr>
          <w:noProof/>
        </w:rPr>
      </w:pPr>
      <w:r>
        <w:rPr>
          <w:noProof/>
          <w:color w:val="000000" w:themeColor="text1"/>
        </w:rPr>
        <w:t xml:space="preserve">Obowiązek przeprowadzania audytów ex post opartych na analizie ryzyka zgodnie z planem audytu sporządzonym przez Invitalia S.p.A. Audyty te służą sprawdzeniu (i) skuteczności systemów kontroli, w tym wykrywania nadużyć finansowych, korupcji i konfliktu interesów; zgodność z zasadą „nie czyń poważnych szkód”, zasadami pomocy państwa, wymogami dotyczącymi celów </w:t>
      </w:r>
      <w:r>
        <w:rPr>
          <w:noProof/>
        </w:rPr>
        <w:t xml:space="preserve">klimatycznych; oraz (iii) wymóg, zgodnie z którym beneficjenci końcowi Instrumentu nie otrzymali wsparcia z innych instrumentów unijnych w celu pokrycia tych samych kosztów, jest spełniony. W ramach audytów sprawdza się również legalność transakcji oraz przestrzeganie warunków obowiązującej umowy wykonawczej. </w:t>
      </w:r>
    </w:p>
    <w:p w14:paraId="2ABCFB1F" w14:textId="44D909AE" w:rsidR="004C6421" w:rsidRDefault="009D1962">
      <w:pPr>
        <w:pStyle w:val="ListParagraph"/>
        <w:numPr>
          <w:ilvl w:val="0"/>
          <w:numId w:val="3"/>
        </w:numPr>
        <w:spacing w:before="0"/>
        <w:rPr>
          <w:noProof/>
          <w:color w:val="000000" w:themeColor="text1"/>
        </w:rPr>
      </w:pPr>
      <w:r>
        <w:rPr>
          <w:noProof/>
        </w:rPr>
        <w:t xml:space="preserve">Wymogi dotyczące inwestycji w dziedzinie klimatu realizowanych przez partnera wykonawczego: co najmniej 100 000 000 EUR z inwestycji RRF w Instrument przyczynia się do realizacji celów związanych ze zmianą klimatu zgodnie z załącznikiem VI do rozporządzenia w sprawie RRF. </w:t>
      </w:r>
      <w:r>
        <w:rPr>
          <w:rStyle w:val="FootnoteReference"/>
          <w:noProof/>
          <w:color w:val="000000" w:themeColor="text1"/>
        </w:rPr>
        <w:footnoteReference w:id="123"/>
      </w:r>
    </w:p>
    <w:p w14:paraId="2EFA97D9" w14:textId="77777777" w:rsidR="004C6421" w:rsidRDefault="009D1962">
      <w:pPr>
        <w:pStyle w:val="P68B1DB1-Normal11"/>
        <w:spacing w:after="120"/>
        <w:jc w:val="both"/>
        <w:rPr>
          <w:noProof/>
        </w:rPr>
      </w:pPr>
      <w:r>
        <w:rPr>
          <w:noProof/>
        </w:rPr>
        <w:t>Wdrożenie środka należy zakończyć do dnia 31 sierpnia 2026 r.</w:t>
      </w:r>
    </w:p>
    <w:p w14:paraId="5EA03386" w14:textId="77777777" w:rsidR="004C6421" w:rsidRDefault="004C6421">
      <w:pPr>
        <w:spacing w:after="120"/>
        <w:jc w:val="both"/>
        <w:rPr>
          <w:noProof/>
        </w:rPr>
        <w:sectPr w:rsidR="004C6421" w:rsidSect="00797973">
          <w:headerReference w:type="even" r:id="rId411"/>
          <w:headerReference w:type="default" r:id="rId412"/>
          <w:footerReference w:type="even" r:id="rId413"/>
          <w:footerReference w:type="default" r:id="rId414"/>
          <w:headerReference w:type="first" r:id="rId415"/>
          <w:footerReference w:type="first" r:id="rId416"/>
          <w:pgSz w:w="11907" w:h="16839"/>
          <w:pgMar w:top="1440" w:right="1440" w:bottom="1440" w:left="1440" w:header="567" w:footer="567" w:gutter="0"/>
          <w:cols w:space="720"/>
          <w:docGrid w:linePitch="360"/>
        </w:sectPr>
      </w:pPr>
    </w:p>
    <w:p w14:paraId="42E597C3" w14:textId="77777777" w:rsidR="004C6421" w:rsidRDefault="009D1962">
      <w:pPr>
        <w:pStyle w:val="Heading3"/>
        <w:numPr>
          <w:ilvl w:val="2"/>
          <w:numId w:val="0"/>
        </w:numPr>
        <w:rPr>
          <w:b/>
          <w:i w:val="0"/>
          <w:noProof/>
          <w:u w:val="single"/>
        </w:rPr>
      </w:pPr>
      <w:r>
        <w:rPr>
          <w:b/>
          <w:i w:val="0"/>
          <w:noProof/>
          <w:u w:val="single"/>
        </w:rPr>
        <w:t xml:space="preserve">Q.2. </w:t>
      </w:r>
      <w:r>
        <w:rPr>
          <w:noProof/>
        </w:rPr>
        <w:t xml:space="preserve"> </w:t>
      </w:r>
      <w:r>
        <w:rPr>
          <w:b/>
          <w:i w:val="0"/>
          <w:noProof/>
          <w:u w:val="single"/>
        </w:rPr>
        <w:t>Kamienie milowe, wartości docelowe, wskaźniki i harmonogram monitorowania i realizacji na potrzeby bezzwrotnego wsparcia finansowego</w:t>
      </w:r>
    </w:p>
    <w:tbl>
      <w:tblPr>
        <w:tblW w:w="5275" w:type="pct"/>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185"/>
        <w:gridCol w:w="1559"/>
        <w:gridCol w:w="1134"/>
        <w:gridCol w:w="1418"/>
        <w:gridCol w:w="1984"/>
        <w:gridCol w:w="1134"/>
        <w:gridCol w:w="993"/>
        <w:gridCol w:w="992"/>
        <w:gridCol w:w="992"/>
        <w:gridCol w:w="709"/>
        <w:gridCol w:w="3261"/>
      </w:tblGrid>
      <w:tr w:rsidR="004C6421" w14:paraId="745564EE" w14:textId="77777777">
        <w:trPr>
          <w:trHeight w:val="765"/>
          <w:tblHeader/>
        </w:trPr>
        <w:tc>
          <w:tcPr>
            <w:tcW w:w="1185" w:type="dxa"/>
            <w:vMerge w:val="restart"/>
            <w:shd w:val="clear" w:color="auto" w:fill="BDD7EE"/>
            <w:vAlign w:val="center"/>
            <w:hideMark/>
          </w:tcPr>
          <w:p w14:paraId="7CFBE5E2" w14:textId="77777777" w:rsidR="004C6421" w:rsidRDefault="009D1962">
            <w:pPr>
              <w:pStyle w:val="P68B1DB1-Normal3"/>
              <w:spacing w:after="120"/>
              <w:jc w:val="center"/>
              <w:rPr>
                <w:noProof/>
              </w:rPr>
            </w:pPr>
            <w:r>
              <w:rPr>
                <w:noProof/>
              </w:rPr>
              <w:t>Numer porządkowy</w:t>
            </w:r>
          </w:p>
        </w:tc>
        <w:tc>
          <w:tcPr>
            <w:tcW w:w="1559" w:type="dxa"/>
            <w:vMerge w:val="restart"/>
            <w:shd w:val="clear" w:color="auto" w:fill="BDD7EE"/>
            <w:vAlign w:val="center"/>
            <w:hideMark/>
          </w:tcPr>
          <w:p w14:paraId="66AF0B55" w14:textId="77777777" w:rsidR="004C6421" w:rsidRDefault="009D1962">
            <w:pPr>
              <w:pStyle w:val="P68B1DB1-Normal3"/>
              <w:spacing w:after="120"/>
              <w:jc w:val="center"/>
              <w:rPr>
                <w:noProof/>
              </w:rPr>
            </w:pPr>
            <w:r>
              <w:rPr>
                <w:noProof/>
              </w:rPr>
              <w:t>Powiązane działanie (reforma lub inwestycja)</w:t>
            </w:r>
          </w:p>
        </w:tc>
        <w:tc>
          <w:tcPr>
            <w:tcW w:w="1134" w:type="dxa"/>
            <w:vMerge w:val="restart"/>
            <w:shd w:val="clear" w:color="auto" w:fill="BDD7EE"/>
            <w:vAlign w:val="center"/>
            <w:hideMark/>
          </w:tcPr>
          <w:p w14:paraId="64529C03" w14:textId="27214E37" w:rsidR="004C6421" w:rsidRDefault="00CC179E">
            <w:pPr>
              <w:pStyle w:val="P68B1DB1-Normal3"/>
              <w:spacing w:after="120"/>
              <w:jc w:val="center"/>
              <w:rPr>
                <w:noProof/>
              </w:rPr>
            </w:pPr>
            <w:r>
              <w:rPr>
                <w:noProof/>
              </w:rPr>
              <w:t>Milowy</w:t>
            </w:r>
          </w:p>
          <w:p w14:paraId="5037FAA7" w14:textId="77777777" w:rsidR="004C6421" w:rsidRDefault="009D1962">
            <w:pPr>
              <w:pStyle w:val="P68B1DB1-Normal3"/>
              <w:spacing w:after="120"/>
              <w:jc w:val="center"/>
              <w:rPr>
                <w:noProof/>
              </w:rPr>
            </w:pPr>
            <w:r>
              <w:rPr>
                <w:noProof/>
              </w:rPr>
              <w:t>/Cel</w:t>
            </w:r>
          </w:p>
        </w:tc>
        <w:tc>
          <w:tcPr>
            <w:tcW w:w="1418" w:type="dxa"/>
            <w:vMerge w:val="restart"/>
            <w:shd w:val="clear" w:color="auto" w:fill="BDD7EE"/>
            <w:vAlign w:val="center"/>
            <w:hideMark/>
          </w:tcPr>
          <w:p w14:paraId="0E97B129" w14:textId="77777777" w:rsidR="004C6421" w:rsidRDefault="009D1962">
            <w:pPr>
              <w:pStyle w:val="P68B1DB1-Normal3"/>
              <w:spacing w:after="120"/>
              <w:jc w:val="center"/>
              <w:rPr>
                <w:noProof/>
              </w:rPr>
            </w:pPr>
            <w:r>
              <w:rPr>
                <w:noProof/>
              </w:rPr>
              <w:t>Nazwa</w:t>
            </w:r>
          </w:p>
        </w:tc>
        <w:tc>
          <w:tcPr>
            <w:tcW w:w="1984" w:type="dxa"/>
            <w:vMerge w:val="restart"/>
            <w:shd w:val="clear" w:color="auto" w:fill="BDD7EE"/>
            <w:vAlign w:val="center"/>
            <w:hideMark/>
          </w:tcPr>
          <w:p w14:paraId="6C743939" w14:textId="77777777" w:rsidR="004C6421" w:rsidRDefault="009D1962">
            <w:pPr>
              <w:spacing w:after="120"/>
              <w:jc w:val="center"/>
              <w:rPr>
                <w:rFonts w:ascii="Arial Narrow" w:hAnsi="Arial Narrow"/>
                <w:b/>
                <w:noProof/>
                <w:sz w:val="20"/>
              </w:rPr>
            </w:pPr>
            <w:r>
              <w:rPr>
                <w:rFonts w:ascii="Arial Narrow" w:hAnsi="Arial Narrow"/>
                <w:b/>
                <w:noProof/>
                <w:sz w:val="20"/>
              </w:rPr>
              <w:t xml:space="preserve">Wskaźniki jakościowe </w:t>
            </w:r>
            <w:r>
              <w:rPr>
                <w:rFonts w:ascii="Arial Narrow" w:hAnsi="Arial Narrow"/>
                <w:noProof/>
              </w:rPr>
              <w:t xml:space="preserve"> </w:t>
            </w:r>
            <w:r>
              <w:rPr>
                <w:noProof/>
              </w:rPr>
              <w:t xml:space="preserve">  </w:t>
            </w:r>
            <w:r>
              <w:rPr>
                <w:noProof/>
              </w:rPr>
              <w:br/>
            </w:r>
            <w:r>
              <w:rPr>
                <w:rFonts w:ascii="Arial Narrow" w:hAnsi="Arial Narrow"/>
                <w:b/>
                <w:noProof/>
                <w:sz w:val="20"/>
              </w:rPr>
              <w:t>(dla kamieni milowych)</w:t>
            </w:r>
          </w:p>
        </w:tc>
        <w:tc>
          <w:tcPr>
            <w:tcW w:w="3119" w:type="dxa"/>
            <w:gridSpan w:val="3"/>
            <w:shd w:val="clear" w:color="auto" w:fill="BDD7EE"/>
            <w:vAlign w:val="center"/>
            <w:hideMark/>
          </w:tcPr>
          <w:p w14:paraId="41C43CEA" w14:textId="77777777" w:rsidR="004C6421" w:rsidRDefault="009D1962">
            <w:pPr>
              <w:spacing w:after="120"/>
              <w:jc w:val="center"/>
              <w:rPr>
                <w:rFonts w:ascii="Arial Narrow" w:hAnsi="Arial Narrow"/>
                <w:b/>
                <w:noProof/>
                <w:sz w:val="20"/>
              </w:rPr>
            </w:pPr>
            <w:r>
              <w:rPr>
                <w:rFonts w:ascii="Arial Narrow" w:hAnsi="Arial Narrow"/>
                <w:b/>
                <w:noProof/>
                <w:sz w:val="20"/>
              </w:rPr>
              <w:t xml:space="preserve">Wskaźniki ilościowe </w:t>
            </w:r>
            <w:r>
              <w:rPr>
                <w:rFonts w:ascii="Arial Narrow" w:hAnsi="Arial Narrow"/>
                <w:noProof/>
              </w:rPr>
              <w:t xml:space="preserve"> </w:t>
            </w:r>
            <w:r>
              <w:rPr>
                <w:noProof/>
              </w:rPr>
              <w:t xml:space="preserve">  </w:t>
            </w:r>
            <w:r>
              <w:rPr>
                <w:noProof/>
              </w:rPr>
              <w:br/>
            </w:r>
            <w:r>
              <w:rPr>
                <w:rFonts w:ascii="Arial Narrow" w:hAnsi="Arial Narrow"/>
                <w:b/>
                <w:noProof/>
                <w:sz w:val="20"/>
              </w:rPr>
              <w:t>(dla wartości docelowych)</w:t>
            </w:r>
          </w:p>
        </w:tc>
        <w:tc>
          <w:tcPr>
            <w:tcW w:w="1701" w:type="dxa"/>
            <w:gridSpan w:val="2"/>
            <w:shd w:val="clear" w:color="auto" w:fill="BDD7EE"/>
            <w:vAlign w:val="center"/>
            <w:hideMark/>
          </w:tcPr>
          <w:p w14:paraId="2061A491" w14:textId="77777777" w:rsidR="004C6421" w:rsidRDefault="009D1962">
            <w:pPr>
              <w:pStyle w:val="P68B1DB1-Normal3"/>
              <w:spacing w:after="120"/>
              <w:jc w:val="center"/>
              <w:rPr>
                <w:noProof/>
              </w:rPr>
            </w:pPr>
            <w:r>
              <w:rPr>
                <w:noProof/>
              </w:rPr>
              <w:t>Orientacyjny harmonogram zakończenia działania</w:t>
            </w:r>
          </w:p>
        </w:tc>
        <w:tc>
          <w:tcPr>
            <w:tcW w:w="3261" w:type="dxa"/>
            <w:vMerge w:val="restart"/>
            <w:shd w:val="clear" w:color="auto" w:fill="BDD7EE"/>
            <w:vAlign w:val="center"/>
            <w:hideMark/>
          </w:tcPr>
          <w:p w14:paraId="5CF3140F" w14:textId="77777777" w:rsidR="004C6421" w:rsidRDefault="009D1962">
            <w:pPr>
              <w:pStyle w:val="P68B1DB1-Normal3"/>
              <w:spacing w:after="120"/>
              <w:jc w:val="center"/>
              <w:rPr>
                <w:noProof/>
              </w:rPr>
            </w:pPr>
            <w:r>
              <w:rPr>
                <w:noProof/>
              </w:rPr>
              <w:t>Opis każdego kamienia milowego i każdej wartości docelowej</w:t>
            </w:r>
          </w:p>
        </w:tc>
      </w:tr>
      <w:tr w:rsidR="004C6421" w14:paraId="07F60E7D" w14:textId="77777777">
        <w:trPr>
          <w:trHeight w:val="691"/>
          <w:tblHeader/>
        </w:trPr>
        <w:tc>
          <w:tcPr>
            <w:tcW w:w="1185" w:type="dxa"/>
            <w:vMerge/>
            <w:vAlign w:val="center"/>
            <w:hideMark/>
          </w:tcPr>
          <w:p w14:paraId="0B0DE45E" w14:textId="77777777" w:rsidR="004C6421" w:rsidRDefault="004C6421">
            <w:pPr>
              <w:spacing w:after="120"/>
              <w:jc w:val="center"/>
              <w:rPr>
                <w:rFonts w:ascii="Arial Narrow" w:hAnsi="Arial Narrow"/>
                <w:b/>
                <w:noProof/>
                <w:sz w:val="20"/>
              </w:rPr>
            </w:pPr>
          </w:p>
        </w:tc>
        <w:tc>
          <w:tcPr>
            <w:tcW w:w="1559" w:type="dxa"/>
            <w:vMerge/>
            <w:vAlign w:val="center"/>
            <w:hideMark/>
          </w:tcPr>
          <w:p w14:paraId="2EFE9ED3" w14:textId="77777777" w:rsidR="004C6421" w:rsidRDefault="004C6421">
            <w:pPr>
              <w:spacing w:after="120"/>
              <w:jc w:val="center"/>
              <w:rPr>
                <w:rFonts w:ascii="Arial Narrow" w:hAnsi="Arial Narrow"/>
                <w:b/>
                <w:noProof/>
                <w:sz w:val="20"/>
              </w:rPr>
            </w:pPr>
          </w:p>
        </w:tc>
        <w:tc>
          <w:tcPr>
            <w:tcW w:w="1134" w:type="dxa"/>
            <w:vMerge/>
            <w:vAlign w:val="center"/>
            <w:hideMark/>
          </w:tcPr>
          <w:p w14:paraId="791FD2B9" w14:textId="77777777" w:rsidR="004C6421" w:rsidRDefault="004C6421">
            <w:pPr>
              <w:spacing w:after="120"/>
              <w:jc w:val="center"/>
              <w:rPr>
                <w:rFonts w:ascii="Arial Narrow" w:hAnsi="Arial Narrow"/>
                <w:b/>
                <w:noProof/>
                <w:sz w:val="20"/>
              </w:rPr>
            </w:pPr>
          </w:p>
        </w:tc>
        <w:tc>
          <w:tcPr>
            <w:tcW w:w="1418" w:type="dxa"/>
            <w:vMerge/>
            <w:vAlign w:val="center"/>
            <w:hideMark/>
          </w:tcPr>
          <w:p w14:paraId="54E40DC0" w14:textId="77777777" w:rsidR="004C6421" w:rsidRDefault="004C6421">
            <w:pPr>
              <w:spacing w:after="120"/>
              <w:jc w:val="center"/>
              <w:rPr>
                <w:rFonts w:ascii="Arial Narrow" w:hAnsi="Arial Narrow"/>
                <w:b/>
                <w:noProof/>
                <w:sz w:val="20"/>
              </w:rPr>
            </w:pPr>
          </w:p>
        </w:tc>
        <w:tc>
          <w:tcPr>
            <w:tcW w:w="1984" w:type="dxa"/>
            <w:vMerge/>
            <w:vAlign w:val="center"/>
            <w:hideMark/>
          </w:tcPr>
          <w:p w14:paraId="4BF0530B" w14:textId="77777777" w:rsidR="004C6421" w:rsidRDefault="004C6421">
            <w:pPr>
              <w:spacing w:after="120"/>
              <w:jc w:val="center"/>
              <w:rPr>
                <w:rFonts w:ascii="Arial Narrow" w:hAnsi="Arial Narrow"/>
                <w:b/>
                <w:noProof/>
                <w:sz w:val="20"/>
              </w:rPr>
            </w:pPr>
          </w:p>
        </w:tc>
        <w:tc>
          <w:tcPr>
            <w:tcW w:w="1134" w:type="dxa"/>
            <w:shd w:val="clear" w:color="auto" w:fill="BDD7EE"/>
            <w:vAlign w:val="center"/>
            <w:hideMark/>
          </w:tcPr>
          <w:p w14:paraId="5DAEB419" w14:textId="77777777" w:rsidR="004C6421" w:rsidRDefault="009D1962">
            <w:pPr>
              <w:pStyle w:val="P68B1DB1-Normal3"/>
              <w:spacing w:after="120"/>
              <w:jc w:val="center"/>
              <w:rPr>
                <w:noProof/>
              </w:rPr>
            </w:pPr>
            <w:r>
              <w:rPr>
                <w:noProof/>
              </w:rPr>
              <w:t>Jednostka miary</w:t>
            </w:r>
          </w:p>
        </w:tc>
        <w:tc>
          <w:tcPr>
            <w:tcW w:w="993" w:type="dxa"/>
            <w:shd w:val="clear" w:color="auto" w:fill="BDD7EE"/>
            <w:vAlign w:val="center"/>
            <w:hideMark/>
          </w:tcPr>
          <w:p w14:paraId="123FFA87" w14:textId="77777777" w:rsidR="004C6421" w:rsidRDefault="009D1962">
            <w:pPr>
              <w:pStyle w:val="P68B1DB1-Normal3"/>
              <w:spacing w:after="120"/>
              <w:jc w:val="center"/>
              <w:rPr>
                <w:noProof/>
              </w:rPr>
            </w:pPr>
            <w:r>
              <w:rPr>
                <w:noProof/>
              </w:rPr>
              <w:t>Bazowy</w:t>
            </w:r>
          </w:p>
        </w:tc>
        <w:tc>
          <w:tcPr>
            <w:tcW w:w="992" w:type="dxa"/>
            <w:shd w:val="clear" w:color="auto" w:fill="BDD7EE"/>
            <w:vAlign w:val="center"/>
            <w:hideMark/>
          </w:tcPr>
          <w:p w14:paraId="3B7ABF8C" w14:textId="77777777" w:rsidR="004C6421" w:rsidRDefault="009D1962">
            <w:pPr>
              <w:pStyle w:val="P68B1DB1-Normal3"/>
              <w:spacing w:after="120"/>
              <w:jc w:val="center"/>
              <w:rPr>
                <w:noProof/>
              </w:rPr>
            </w:pPr>
            <w:r>
              <w:rPr>
                <w:noProof/>
              </w:rPr>
              <w:t>Cel</w:t>
            </w:r>
          </w:p>
        </w:tc>
        <w:tc>
          <w:tcPr>
            <w:tcW w:w="992" w:type="dxa"/>
            <w:shd w:val="clear" w:color="auto" w:fill="BDD7EE"/>
            <w:vAlign w:val="center"/>
            <w:hideMark/>
          </w:tcPr>
          <w:p w14:paraId="6F1321AB" w14:textId="77777777" w:rsidR="004C6421" w:rsidRDefault="009D1962">
            <w:pPr>
              <w:pStyle w:val="P68B1DB1-Normal3"/>
              <w:spacing w:after="120"/>
              <w:jc w:val="center"/>
              <w:rPr>
                <w:noProof/>
              </w:rPr>
            </w:pPr>
            <w:r>
              <w:rPr>
                <w:noProof/>
              </w:rPr>
              <w:t>Kwartał</w:t>
            </w:r>
          </w:p>
        </w:tc>
        <w:tc>
          <w:tcPr>
            <w:tcW w:w="709" w:type="dxa"/>
            <w:shd w:val="clear" w:color="auto" w:fill="BDD7EE"/>
            <w:vAlign w:val="center"/>
            <w:hideMark/>
          </w:tcPr>
          <w:p w14:paraId="4BFF85B8" w14:textId="77777777" w:rsidR="004C6421" w:rsidRDefault="009D1962">
            <w:pPr>
              <w:pStyle w:val="P68B1DB1-Normal3"/>
              <w:spacing w:after="120"/>
              <w:jc w:val="center"/>
              <w:rPr>
                <w:noProof/>
              </w:rPr>
            </w:pPr>
            <w:r>
              <w:rPr>
                <w:noProof/>
              </w:rPr>
              <w:t>Rok</w:t>
            </w:r>
          </w:p>
        </w:tc>
        <w:tc>
          <w:tcPr>
            <w:tcW w:w="3261" w:type="dxa"/>
            <w:vMerge/>
            <w:vAlign w:val="center"/>
            <w:hideMark/>
          </w:tcPr>
          <w:p w14:paraId="24B9D390" w14:textId="77777777" w:rsidR="004C6421" w:rsidRDefault="004C6421">
            <w:pPr>
              <w:spacing w:after="120"/>
              <w:jc w:val="center"/>
              <w:rPr>
                <w:rFonts w:ascii="Arial Narrow" w:hAnsi="Arial Narrow"/>
                <w:b/>
                <w:noProof/>
                <w:sz w:val="20"/>
              </w:rPr>
            </w:pPr>
          </w:p>
        </w:tc>
      </w:tr>
      <w:tr w:rsidR="004C6421" w14:paraId="22185748" w14:textId="77777777">
        <w:trPr>
          <w:trHeight w:val="309"/>
        </w:trPr>
        <w:tc>
          <w:tcPr>
            <w:tcW w:w="1185" w:type="dxa"/>
            <w:shd w:val="clear" w:color="auto" w:fill="C6EFCE"/>
            <w:noWrap/>
            <w:vAlign w:val="center"/>
          </w:tcPr>
          <w:p w14:paraId="0596765B" w14:textId="77777777" w:rsidR="004C6421" w:rsidRDefault="009D1962">
            <w:pPr>
              <w:pStyle w:val="P68B1DB1-Normal4"/>
              <w:spacing w:after="120"/>
              <w:jc w:val="center"/>
              <w:rPr>
                <w:noProof/>
              </w:rPr>
            </w:pPr>
            <w:r>
              <w:rPr>
                <w:noProof/>
              </w:rPr>
              <w:t>M7-1</w:t>
            </w:r>
          </w:p>
        </w:tc>
        <w:tc>
          <w:tcPr>
            <w:tcW w:w="1559" w:type="dxa"/>
            <w:shd w:val="clear" w:color="auto" w:fill="C6EFCE"/>
            <w:noWrap/>
          </w:tcPr>
          <w:p w14:paraId="78472339" w14:textId="77777777" w:rsidR="004C6421" w:rsidRDefault="009D1962">
            <w:pPr>
              <w:pStyle w:val="P68B1DB1-Normal4"/>
              <w:spacing w:after="120"/>
              <w:jc w:val="center"/>
              <w:rPr>
                <w:noProof/>
              </w:rPr>
            </w:pPr>
            <w:r>
              <w:rPr>
                <w:noProof/>
              </w:rPr>
              <w:t>Reforma 1: Usprawnienie procedur wydawania pozwoleń na energię ze źródeł odnawialnych</w:t>
            </w:r>
          </w:p>
        </w:tc>
        <w:tc>
          <w:tcPr>
            <w:tcW w:w="1134" w:type="dxa"/>
            <w:shd w:val="clear" w:color="auto" w:fill="C6EFCE"/>
            <w:noWrap/>
          </w:tcPr>
          <w:p w14:paraId="5C1F3B50" w14:textId="43C260C8" w:rsidR="004C6421" w:rsidRDefault="00CC179E">
            <w:pPr>
              <w:pStyle w:val="P68B1DB1-Normal4"/>
              <w:spacing w:after="120"/>
              <w:jc w:val="center"/>
              <w:rPr>
                <w:noProof/>
              </w:rPr>
            </w:pPr>
            <w:r>
              <w:rPr>
                <w:noProof/>
              </w:rPr>
              <w:t>Milowy</w:t>
            </w:r>
          </w:p>
        </w:tc>
        <w:tc>
          <w:tcPr>
            <w:tcW w:w="1418" w:type="dxa"/>
            <w:shd w:val="clear" w:color="auto" w:fill="C6EFCE"/>
            <w:noWrap/>
          </w:tcPr>
          <w:p w14:paraId="353364C6" w14:textId="77777777" w:rsidR="004C6421" w:rsidRDefault="009D1962">
            <w:pPr>
              <w:pStyle w:val="P68B1DB1-Normal4"/>
              <w:spacing w:after="120"/>
              <w:jc w:val="center"/>
              <w:rPr>
                <w:noProof/>
              </w:rPr>
            </w:pPr>
            <w:r>
              <w:rPr>
                <w:noProof/>
              </w:rPr>
              <w:t>Określenie „obszarów przyspieszenia energii ze źródeł odnawialnych”</w:t>
            </w:r>
          </w:p>
        </w:tc>
        <w:tc>
          <w:tcPr>
            <w:tcW w:w="1984" w:type="dxa"/>
            <w:shd w:val="clear" w:color="auto" w:fill="C6EFCE"/>
            <w:noWrap/>
          </w:tcPr>
          <w:p w14:paraId="0FADCB50" w14:textId="77777777" w:rsidR="004C6421" w:rsidRDefault="009D1962">
            <w:pPr>
              <w:pStyle w:val="P68B1DB1-Normal4"/>
              <w:spacing w:after="120"/>
              <w:jc w:val="center"/>
              <w:rPr>
                <w:noProof/>
              </w:rPr>
            </w:pPr>
            <w:r>
              <w:rPr>
                <w:noProof/>
              </w:rPr>
              <w:t>Przepis w akcie ustawodawczym wskazujący na wejście w życie prawa pierwotnego dotyczący identyfikacji obszarów przyspieszonego rozwoju odnawialnych źródeł energii</w:t>
            </w:r>
          </w:p>
        </w:tc>
        <w:tc>
          <w:tcPr>
            <w:tcW w:w="1134" w:type="dxa"/>
            <w:shd w:val="clear" w:color="auto" w:fill="C6EFCE"/>
            <w:noWrap/>
            <w:vAlign w:val="center"/>
          </w:tcPr>
          <w:p w14:paraId="195D6533" w14:textId="77777777" w:rsidR="004C6421" w:rsidRDefault="004C6421">
            <w:pPr>
              <w:spacing w:after="120"/>
              <w:jc w:val="center"/>
              <w:rPr>
                <w:rFonts w:ascii="Arial Narrow" w:hAnsi="Arial Narrow"/>
                <w:noProof/>
                <w:color w:val="006100"/>
                <w:sz w:val="20"/>
              </w:rPr>
            </w:pPr>
          </w:p>
        </w:tc>
        <w:tc>
          <w:tcPr>
            <w:tcW w:w="993" w:type="dxa"/>
            <w:shd w:val="clear" w:color="auto" w:fill="C6EFCE"/>
            <w:noWrap/>
            <w:vAlign w:val="center"/>
          </w:tcPr>
          <w:p w14:paraId="2F0024A7" w14:textId="77777777" w:rsidR="004C6421" w:rsidRDefault="004C6421">
            <w:pPr>
              <w:spacing w:after="120"/>
              <w:jc w:val="center"/>
              <w:rPr>
                <w:rFonts w:ascii="Arial Narrow" w:hAnsi="Arial Narrow"/>
                <w:noProof/>
                <w:color w:val="006100"/>
                <w:sz w:val="20"/>
              </w:rPr>
            </w:pPr>
          </w:p>
        </w:tc>
        <w:tc>
          <w:tcPr>
            <w:tcW w:w="992" w:type="dxa"/>
            <w:shd w:val="clear" w:color="auto" w:fill="C6EFCE"/>
            <w:noWrap/>
            <w:vAlign w:val="center"/>
          </w:tcPr>
          <w:p w14:paraId="338AED51" w14:textId="77777777" w:rsidR="004C6421" w:rsidRDefault="004C6421">
            <w:pPr>
              <w:spacing w:after="120"/>
              <w:jc w:val="center"/>
              <w:rPr>
                <w:rFonts w:ascii="Arial Narrow" w:hAnsi="Arial Narrow"/>
                <w:noProof/>
                <w:color w:val="006100"/>
                <w:sz w:val="20"/>
              </w:rPr>
            </w:pPr>
          </w:p>
        </w:tc>
        <w:tc>
          <w:tcPr>
            <w:tcW w:w="992" w:type="dxa"/>
            <w:shd w:val="clear" w:color="auto" w:fill="C6EFCE"/>
            <w:noWrap/>
            <w:vAlign w:val="center"/>
          </w:tcPr>
          <w:p w14:paraId="73BEFD50" w14:textId="1307B977" w:rsidR="004C6421" w:rsidRDefault="00CC179E">
            <w:pPr>
              <w:pStyle w:val="P68B1DB1-Normal4"/>
              <w:spacing w:after="120"/>
              <w:jc w:val="center"/>
              <w:rPr>
                <w:noProof/>
              </w:rPr>
            </w:pPr>
            <w:r>
              <w:rPr>
                <w:noProof/>
              </w:rPr>
              <w:t>KW. 4</w:t>
            </w:r>
          </w:p>
        </w:tc>
        <w:tc>
          <w:tcPr>
            <w:tcW w:w="709" w:type="dxa"/>
            <w:shd w:val="clear" w:color="auto" w:fill="C6EFCE"/>
            <w:noWrap/>
            <w:vAlign w:val="center"/>
          </w:tcPr>
          <w:p w14:paraId="0108CB72" w14:textId="77777777" w:rsidR="004C6421" w:rsidRDefault="009D1962">
            <w:pPr>
              <w:pStyle w:val="P68B1DB1-Normal4"/>
              <w:spacing w:after="120"/>
              <w:jc w:val="center"/>
              <w:rPr>
                <w:noProof/>
              </w:rPr>
            </w:pPr>
            <w:r>
              <w:rPr>
                <w:noProof/>
              </w:rPr>
              <w:t>2024</w:t>
            </w:r>
          </w:p>
        </w:tc>
        <w:tc>
          <w:tcPr>
            <w:tcW w:w="3261" w:type="dxa"/>
            <w:shd w:val="clear" w:color="auto" w:fill="C6EFCE"/>
            <w:noWrap/>
          </w:tcPr>
          <w:p w14:paraId="49717EC0" w14:textId="77777777" w:rsidR="004C6421" w:rsidRDefault="009D1962">
            <w:pPr>
              <w:pStyle w:val="P68B1DB1-Normal4"/>
              <w:spacing w:after="120"/>
              <w:rPr>
                <w:noProof/>
              </w:rPr>
            </w:pPr>
            <w:r>
              <w:rPr>
                <w:noProof/>
              </w:rPr>
              <w:t>Wejście w życie prawodawstwa pierwotnego, które określa „obszary przyspieszonego rozwoju energii odnawialnej” w jednostkach administracyjnych szczebla niższego niż krajowy.</w:t>
            </w:r>
          </w:p>
        </w:tc>
      </w:tr>
      <w:tr w:rsidR="004C6421" w14:paraId="02C061B1" w14:textId="77777777">
        <w:trPr>
          <w:trHeight w:val="309"/>
        </w:trPr>
        <w:tc>
          <w:tcPr>
            <w:tcW w:w="1185" w:type="dxa"/>
            <w:shd w:val="clear" w:color="auto" w:fill="C6EFCE"/>
            <w:noWrap/>
          </w:tcPr>
          <w:p w14:paraId="1AD927B2" w14:textId="77777777" w:rsidR="004C6421" w:rsidRDefault="009D1962">
            <w:pPr>
              <w:pStyle w:val="P68B1DB1-Normal4"/>
              <w:spacing w:after="120"/>
              <w:jc w:val="center"/>
              <w:rPr>
                <w:noProof/>
              </w:rPr>
            </w:pPr>
            <w:r>
              <w:rPr>
                <w:noProof/>
              </w:rPr>
              <w:t>M7-2</w:t>
            </w:r>
          </w:p>
        </w:tc>
        <w:tc>
          <w:tcPr>
            <w:tcW w:w="1559" w:type="dxa"/>
            <w:shd w:val="clear" w:color="auto" w:fill="C6EFCE"/>
            <w:noWrap/>
          </w:tcPr>
          <w:p w14:paraId="17D49688" w14:textId="77777777" w:rsidR="004C6421" w:rsidRDefault="009D1962">
            <w:pPr>
              <w:pStyle w:val="P68B1DB1-Normal4"/>
              <w:spacing w:after="120"/>
              <w:jc w:val="center"/>
              <w:rPr>
                <w:noProof/>
              </w:rPr>
            </w:pPr>
            <w:r>
              <w:rPr>
                <w:noProof/>
              </w:rPr>
              <w:t>Reforma 1: Usprawnienie procedur wydawania pozwoleń na energię ze źródeł odnawialnych</w:t>
            </w:r>
          </w:p>
        </w:tc>
        <w:tc>
          <w:tcPr>
            <w:tcW w:w="1134" w:type="dxa"/>
            <w:shd w:val="clear" w:color="auto" w:fill="C6EFCE"/>
            <w:noWrap/>
          </w:tcPr>
          <w:p w14:paraId="519FA217" w14:textId="2A62D7C8" w:rsidR="004C6421" w:rsidRDefault="00CC179E">
            <w:pPr>
              <w:pStyle w:val="P68B1DB1-Normal4"/>
              <w:spacing w:after="120"/>
              <w:jc w:val="center"/>
              <w:rPr>
                <w:noProof/>
              </w:rPr>
            </w:pPr>
            <w:r>
              <w:rPr>
                <w:noProof/>
              </w:rPr>
              <w:t>Milowy</w:t>
            </w:r>
          </w:p>
        </w:tc>
        <w:tc>
          <w:tcPr>
            <w:tcW w:w="1418" w:type="dxa"/>
            <w:shd w:val="clear" w:color="auto" w:fill="C6EFCE"/>
            <w:noWrap/>
          </w:tcPr>
          <w:p w14:paraId="741A3F84" w14:textId="77777777" w:rsidR="004C6421" w:rsidRDefault="009D1962">
            <w:pPr>
              <w:pStyle w:val="P68B1DB1-Normal4"/>
              <w:spacing w:after="120"/>
              <w:jc w:val="center"/>
              <w:rPr>
                <w:noProof/>
              </w:rPr>
            </w:pPr>
            <w:r>
              <w:rPr>
                <w:noProof/>
              </w:rPr>
              <w:t xml:space="preserve">Wejście w życie prawa pierwotnego (Testo Unico) </w:t>
            </w:r>
          </w:p>
        </w:tc>
        <w:tc>
          <w:tcPr>
            <w:tcW w:w="1984" w:type="dxa"/>
            <w:shd w:val="clear" w:color="auto" w:fill="C6EFCE"/>
            <w:noWrap/>
          </w:tcPr>
          <w:p w14:paraId="2E03B220" w14:textId="77777777" w:rsidR="004C6421" w:rsidRDefault="009D1962">
            <w:pPr>
              <w:pStyle w:val="P68B1DB1-Normal4"/>
              <w:spacing w:after="120"/>
              <w:jc w:val="center"/>
              <w:rPr>
                <w:noProof/>
              </w:rPr>
            </w:pPr>
            <w:r>
              <w:rPr>
                <w:noProof/>
              </w:rPr>
              <w:t>Przepis ustawy wskazujący na wejście w życie prawa pierwotnego</w:t>
            </w:r>
          </w:p>
        </w:tc>
        <w:tc>
          <w:tcPr>
            <w:tcW w:w="1134" w:type="dxa"/>
            <w:shd w:val="clear" w:color="auto" w:fill="C6EFCE"/>
            <w:noWrap/>
          </w:tcPr>
          <w:p w14:paraId="5ED5432D" w14:textId="77777777" w:rsidR="004C6421" w:rsidRDefault="004C6421">
            <w:pPr>
              <w:spacing w:after="120"/>
              <w:jc w:val="center"/>
              <w:rPr>
                <w:rFonts w:ascii="Arial Narrow" w:hAnsi="Arial Narrow"/>
                <w:noProof/>
                <w:color w:val="006100"/>
                <w:sz w:val="20"/>
              </w:rPr>
            </w:pPr>
          </w:p>
        </w:tc>
        <w:tc>
          <w:tcPr>
            <w:tcW w:w="993" w:type="dxa"/>
            <w:shd w:val="clear" w:color="auto" w:fill="C6EFCE"/>
            <w:noWrap/>
          </w:tcPr>
          <w:p w14:paraId="367EEF1D" w14:textId="77777777" w:rsidR="004C6421" w:rsidRDefault="004C6421">
            <w:pPr>
              <w:spacing w:after="120"/>
              <w:jc w:val="center"/>
              <w:rPr>
                <w:rFonts w:ascii="Arial Narrow" w:hAnsi="Arial Narrow"/>
                <w:noProof/>
                <w:color w:val="006100"/>
                <w:sz w:val="20"/>
              </w:rPr>
            </w:pPr>
          </w:p>
        </w:tc>
        <w:tc>
          <w:tcPr>
            <w:tcW w:w="992" w:type="dxa"/>
            <w:shd w:val="clear" w:color="auto" w:fill="C6EFCE"/>
            <w:noWrap/>
            <w:vAlign w:val="center"/>
          </w:tcPr>
          <w:p w14:paraId="3EA7F63D" w14:textId="77777777" w:rsidR="004C6421" w:rsidRDefault="004C6421">
            <w:pPr>
              <w:spacing w:after="120"/>
              <w:jc w:val="center"/>
              <w:rPr>
                <w:rFonts w:ascii="Arial Narrow" w:hAnsi="Arial Narrow"/>
                <w:noProof/>
                <w:color w:val="006100"/>
                <w:sz w:val="20"/>
              </w:rPr>
            </w:pPr>
          </w:p>
        </w:tc>
        <w:tc>
          <w:tcPr>
            <w:tcW w:w="992" w:type="dxa"/>
            <w:shd w:val="clear" w:color="auto" w:fill="C6EFCE"/>
            <w:noWrap/>
            <w:vAlign w:val="center"/>
          </w:tcPr>
          <w:p w14:paraId="4C9E5FAC" w14:textId="77777777" w:rsidR="004C6421" w:rsidRDefault="009D1962">
            <w:pPr>
              <w:pStyle w:val="P68B1DB1-Normal4"/>
              <w:spacing w:after="120"/>
              <w:jc w:val="center"/>
              <w:rPr>
                <w:noProof/>
              </w:rPr>
            </w:pPr>
            <w:r>
              <w:rPr>
                <w:noProof/>
              </w:rPr>
              <w:t>II KW.</w:t>
            </w:r>
          </w:p>
        </w:tc>
        <w:tc>
          <w:tcPr>
            <w:tcW w:w="709" w:type="dxa"/>
            <w:shd w:val="clear" w:color="auto" w:fill="C6EFCE"/>
            <w:noWrap/>
            <w:vAlign w:val="center"/>
          </w:tcPr>
          <w:p w14:paraId="72C91755" w14:textId="77777777" w:rsidR="004C6421" w:rsidRDefault="009D1962">
            <w:pPr>
              <w:pStyle w:val="P68B1DB1-Normal4"/>
              <w:spacing w:after="120"/>
              <w:jc w:val="center"/>
              <w:rPr>
                <w:noProof/>
              </w:rPr>
            </w:pPr>
            <w:r>
              <w:rPr>
                <w:noProof/>
              </w:rPr>
              <w:t>2025</w:t>
            </w:r>
          </w:p>
        </w:tc>
        <w:tc>
          <w:tcPr>
            <w:tcW w:w="3261" w:type="dxa"/>
            <w:shd w:val="clear" w:color="auto" w:fill="C6EFCE"/>
            <w:noWrap/>
          </w:tcPr>
          <w:p w14:paraId="27910D85" w14:textId="77777777" w:rsidR="004C6421" w:rsidRDefault="009D1962">
            <w:pPr>
              <w:pStyle w:val="P68B1DB1-Normal4"/>
              <w:spacing w:after="120"/>
              <w:rPr>
                <w:noProof/>
              </w:rPr>
            </w:pPr>
            <w:r>
              <w:rPr>
                <w:noProof/>
              </w:rPr>
              <w:t xml:space="preserve">Wejście w życie Testo Unico (prawodawstwa pierwotnego) gromadzącego, zestawiającego i konsolidującego wszystkie normy regulujące wdrażanie odnawialnych źródeł energii oraz zastępującego wszystkie stosowne wcześniejsze przepisy. </w:t>
            </w:r>
          </w:p>
        </w:tc>
      </w:tr>
      <w:tr w:rsidR="004C6421" w14:paraId="4B4866F7" w14:textId="77777777">
        <w:trPr>
          <w:trHeight w:val="309"/>
        </w:trPr>
        <w:tc>
          <w:tcPr>
            <w:tcW w:w="1185" w:type="dxa"/>
            <w:shd w:val="clear" w:color="auto" w:fill="C6EFCE"/>
            <w:noWrap/>
          </w:tcPr>
          <w:p w14:paraId="29706386" w14:textId="77777777" w:rsidR="004C6421" w:rsidRDefault="009D1962">
            <w:pPr>
              <w:pStyle w:val="P68B1DB1-Normal4"/>
              <w:spacing w:after="120"/>
              <w:jc w:val="center"/>
              <w:rPr>
                <w:noProof/>
              </w:rPr>
            </w:pPr>
            <w:r>
              <w:rPr>
                <w:noProof/>
              </w:rPr>
              <w:t>M7-3</w:t>
            </w:r>
          </w:p>
        </w:tc>
        <w:tc>
          <w:tcPr>
            <w:tcW w:w="1559" w:type="dxa"/>
            <w:shd w:val="clear" w:color="auto" w:fill="C6EFCE"/>
            <w:noWrap/>
          </w:tcPr>
          <w:p w14:paraId="57A6C334" w14:textId="77777777" w:rsidR="004C6421" w:rsidRDefault="009D1962">
            <w:pPr>
              <w:pStyle w:val="P68B1DB1-Normal4"/>
              <w:spacing w:after="120"/>
              <w:jc w:val="center"/>
              <w:rPr>
                <w:noProof/>
              </w:rPr>
            </w:pPr>
            <w:r>
              <w:rPr>
                <w:noProof/>
              </w:rPr>
              <w:t>Reforma 1: Usprawnienie procedur wydawania pozwoleń na energię ze źródeł odnawialnych</w:t>
            </w:r>
          </w:p>
          <w:p w14:paraId="339B8339" w14:textId="77777777" w:rsidR="004C6421" w:rsidRDefault="004C6421">
            <w:pPr>
              <w:spacing w:after="120"/>
              <w:rPr>
                <w:rFonts w:ascii="Arial Narrow" w:hAnsi="Arial Narrow"/>
                <w:noProof/>
                <w:color w:val="006100"/>
                <w:sz w:val="20"/>
              </w:rPr>
            </w:pPr>
          </w:p>
        </w:tc>
        <w:tc>
          <w:tcPr>
            <w:tcW w:w="1134" w:type="dxa"/>
            <w:shd w:val="clear" w:color="auto" w:fill="C6EFCE"/>
            <w:noWrap/>
          </w:tcPr>
          <w:p w14:paraId="7005F9AC" w14:textId="2CFCED6C" w:rsidR="004C6421" w:rsidRDefault="00CC179E">
            <w:pPr>
              <w:pStyle w:val="P68B1DB1-Normal4"/>
              <w:spacing w:after="120"/>
              <w:jc w:val="center"/>
              <w:rPr>
                <w:noProof/>
              </w:rPr>
            </w:pPr>
            <w:r>
              <w:rPr>
                <w:noProof/>
              </w:rPr>
              <w:t>Milowy</w:t>
            </w:r>
          </w:p>
        </w:tc>
        <w:tc>
          <w:tcPr>
            <w:tcW w:w="1418" w:type="dxa"/>
            <w:shd w:val="clear" w:color="auto" w:fill="C6EFCE"/>
            <w:noWrap/>
          </w:tcPr>
          <w:p w14:paraId="30481EC4" w14:textId="77777777" w:rsidR="004C6421" w:rsidRDefault="009D1962">
            <w:pPr>
              <w:pStyle w:val="P68B1DB1-Normal4"/>
              <w:spacing w:after="120"/>
              <w:jc w:val="center"/>
              <w:rPr>
                <w:noProof/>
              </w:rPr>
            </w:pPr>
            <w:r>
              <w:rPr>
                <w:noProof/>
              </w:rPr>
              <w:t>Ustanowienie i uruchomienie jednolitej platformy cyfrowej do udzielania zezwoleń związanych z odnawialnymi źródłami energii</w:t>
            </w:r>
          </w:p>
        </w:tc>
        <w:tc>
          <w:tcPr>
            <w:tcW w:w="1984" w:type="dxa"/>
            <w:shd w:val="clear" w:color="auto" w:fill="C6EFCE"/>
            <w:noWrap/>
          </w:tcPr>
          <w:p w14:paraId="59D1129A" w14:textId="77777777" w:rsidR="004C6421" w:rsidRDefault="009D1962">
            <w:pPr>
              <w:pStyle w:val="P68B1DB1-Normal4"/>
              <w:spacing w:after="120"/>
              <w:jc w:val="center"/>
              <w:rPr>
                <w:noProof/>
              </w:rPr>
            </w:pPr>
            <w:r>
              <w:rPr>
                <w:noProof/>
              </w:rPr>
              <w:t>Ustanowienie i uruchomienie jednolitej platformy cyfrowej do udzielania zezwoleń w odniesieniu do odnawialnych źródeł energii</w:t>
            </w:r>
          </w:p>
        </w:tc>
        <w:tc>
          <w:tcPr>
            <w:tcW w:w="1134" w:type="dxa"/>
            <w:shd w:val="clear" w:color="auto" w:fill="C6EFCE"/>
            <w:noWrap/>
          </w:tcPr>
          <w:p w14:paraId="44C39023" w14:textId="77777777" w:rsidR="004C6421" w:rsidRDefault="004C6421">
            <w:pPr>
              <w:spacing w:after="120"/>
              <w:jc w:val="center"/>
              <w:rPr>
                <w:rFonts w:ascii="Arial Narrow" w:hAnsi="Arial Narrow"/>
                <w:noProof/>
                <w:color w:val="006100"/>
                <w:sz w:val="20"/>
              </w:rPr>
            </w:pPr>
          </w:p>
        </w:tc>
        <w:tc>
          <w:tcPr>
            <w:tcW w:w="993" w:type="dxa"/>
            <w:shd w:val="clear" w:color="auto" w:fill="C6EFCE"/>
            <w:noWrap/>
          </w:tcPr>
          <w:p w14:paraId="1D7D61AA" w14:textId="77777777" w:rsidR="004C6421" w:rsidRDefault="004C6421">
            <w:pPr>
              <w:spacing w:after="120"/>
              <w:jc w:val="center"/>
              <w:rPr>
                <w:rFonts w:ascii="Arial Narrow" w:hAnsi="Arial Narrow"/>
                <w:noProof/>
                <w:color w:val="006100"/>
                <w:sz w:val="20"/>
              </w:rPr>
            </w:pPr>
          </w:p>
        </w:tc>
        <w:tc>
          <w:tcPr>
            <w:tcW w:w="992" w:type="dxa"/>
            <w:shd w:val="clear" w:color="auto" w:fill="C6EFCE"/>
            <w:noWrap/>
            <w:vAlign w:val="center"/>
          </w:tcPr>
          <w:p w14:paraId="6E186D27" w14:textId="77777777" w:rsidR="004C6421" w:rsidRDefault="004C6421">
            <w:pPr>
              <w:spacing w:after="120"/>
              <w:jc w:val="center"/>
              <w:rPr>
                <w:rFonts w:ascii="Arial Narrow" w:hAnsi="Arial Narrow"/>
                <w:noProof/>
                <w:color w:val="006100"/>
                <w:sz w:val="20"/>
              </w:rPr>
            </w:pPr>
          </w:p>
        </w:tc>
        <w:tc>
          <w:tcPr>
            <w:tcW w:w="992" w:type="dxa"/>
            <w:shd w:val="clear" w:color="auto" w:fill="C6EFCE"/>
            <w:noWrap/>
            <w:vAlign w:val="center"/>
          </w:tcPr>
          <w:p w14:paraId="3A206C6D" w14:textId="7E2D12EF" w:rsidR="004C6421" w:rsidRDefault="00CC179E">
            <w:pPr>
              <w:pStyle w:val="P68B1DB1-Normal4"/>
              <w:spacing w:after="120"/>
              <w:jc w:val="center"/>
              <w:rPr>
                <w:noProof/>
              </w:rPr>
            </w:pPr>
            <w:r>
              <w:rPr>
                <w:noProof/>
              </w:rPr>
              <w:t>KW. 4</w:t>
            </w:r>
          </w:p>
        </w:tc>
        <w:tc>
          <w:tcPr>
            <w:tcW w:w="709" w:type="dxa"/>
            <w:shd w:val="clear" w:color="auto" w:fill="C6EFCE"/>
            <w:noWrap/>
            <w:vAlign w:val="center"/>
          </w:tcPr>
          <w:p w14:paraId="08EC63CC" w14:textId="77777777" w:rsidR="004C6421" w:rsidRDefault="009D1962">
            <w:pPr>
              <w:pStyle w:val="P68B1DB1-Normal4"/>
              <w:spacing w:after="120"/>
              <w:jc w:val="center"/>
              <w:rPr>
                <w:noProof/>
              </w:rPr>
            </w:pPr>
            <w:r>
              <w:rPr>
                <w:noProof/>
              </w:rPr>
              <w:t>2025</w:t>
            </w:r>
          </w:p>
        </w:tc>
        <w:tc>
          <w:tcPr>
            <w:tcW w:w="3261" w:type="dxa"/>
            <w:shd w:val="clear" w:color="auto" w:fill="C6EFCE"/>
            <w:noWrap/>
          </w:tcPr>
          <w:p w14:paraId="6FBD468C" w14:textId="77777777" w:rsidR="004C6421" w:rsidRDefault="009D1962">
            <w:pPr>
              <w:pStyle w:val="P68B1DB1-Normal4"/>
              <w:spacing w:after="120"/>
              <w:rPr>
                <w:noProof/>
              </w:rPr>
            </w:pPr>
            <w:r>
              <w:rPr>
                <w:noProof/>
              </w:rPr>
              <w:t>Ustanowiono i uruchomiono jednolitą platformę cyfrową służącą do uzyskiwania wszystkich zezwoleń związanych z instalacją i wdrażaniem odnawialnych źródeł energii na szczeblu krajowym i regionalnym. Zasada jednorazowości wchodzi w życie.</w:t>
            </w:r>
          </w:p>
        </w:tc>
      </w:tr>
      <w:tr w:rsidR="004C6421" w14:paraId="03D32F22" w14:textId="77777777">
        <w:trPr>
          <w:trHeight w:val="309"/>
        </w:trPr>
        <w:tc>
          <w:tcPr>
            <w:tcW w:w="1185" w:type="dxa"/>
            <w:shd w:val="clear" w:color="auto" w:fill="C6EFCE"/>
            <w:noWrap/>
          </w:tcPr>
          <w:p w14:paraId="33A2E02E" w14:textId="77777777" w:rsidR="004C6421" w:rsidRDefault="009D1962">
            <w:pPr>
              <w:pStyle w:val="P68B1DB1-Normal4"/>
              <w:spacing w:after="120"/>
              <w:jc w:val="center"/>
              <w:rPr>
                <w:noProof/>
              </w:rPr>
            </w:pPr>
            <w:r>
              <w:rPr>
                <w:noProof/>
              </w:rPr>
              <w:t>M7-4</w:t>
            </w:r>
          </w:p>
        </w:tc>
        <w:tc>
          <w:tcPr>
            <w:tcW w:w="1559" w:type="dxa"/>
            <w:shd w:val="clear" w:color="auto" w:fill="C6EFCE"/>
            <w:noWrap/>
          </w:tcPr>
          <w:p w14:paraId="0A7F255F" w14:textId="77777777" w:rsidR="004C6421" w:rsidRDefault="009D1962">
            <w:pPr>
              <w:pStyle w:val="P68B1DB1-Normal4"/>
              <w:spacing w:after="120"/>
              <w:jc w:val="center"/>
              <w:rPr>
                <w:noProof/>
              </w:rPr>
            </w:pPr>
            <w:r>
              <w:rPr>
                <w:noProof/>
              </w:rPr>
              <w:t>Reforma nr 2: Zmniejszenie dotacji szkodliwych dla środowiska</w:t>
            </w:r>
          </w:p>
        </w:tc>
        <w:tc>
          <w:tcPr>
            <w:tcW w:w="1134" w:type="dxa"/>
            <w:shd w:val="clear" w:color="auto" w:fill="C6EFCE"/>
            <w:noWrap/>
          </w:tcPr>
          <w:p w14:paraId="4AC96D20" w14:textId="223C5EB3" w:rsidR="004C6421" w:rsidRDefault="00CC179E">
            <w:pPr>
              <w:pStyle w:val="P68B1DB1-Normal4"/>
              <w:spacing w:after="120"/>
              <w:jc w:val="center"/>
              <w:rPr>
                <w:noProof/>
              </w:rPr>
            </w:pPr>
            <w:r>
              <w:rPr>
                <w:noProof/>
              </w:rPr>
              <w:t>Milowy</w:t>
            </w:r>
          </w:p>
        </w:tc>
        <w:tc>
          <w:tcPr>
            <w:tcW w:w="1418" w:type="dxa"/>
            <w:shd w:val="clear" w:color="auto" w:fill="C6EFCE"/>
            <w:noWrap/>
          </w:tcPr>
          <w:p w14:paraId="2C6C46A2" w14:textId="77777777" w:rsidR="004C6421" w:rsidRDefault="009D1962">
            <w:pPr>
              <w:pStyle w:val="P68B1DB1-Normal4"/>
              <w:spacing w:after="120"/>
              <w:jc w:val="center"/>
              <w:rPr>
                <w:noProof/>
              </w:rPr>
            </w:pPr>
            <w:r>
              <w:rPr>
                <w:noProof/>
              </w:rPr>
              <w:t>Przyjęcie sprawozdania rządowego w oparciu o wyniki konsultacji rządowych z zainteresowanymi stronami w celu określenia planu działania na rzecz ograniczenia dotacji szkodliwych dla środowiska do 2030 r.</w:t>
            </w:r>
          </w:p>
        </w:tc>
        <w:tc>
          <w:tcPr>
            <w:tcW w:w="1984" w:type="dxa"/>
            <w:shd w:val="clear" w:color="auto" w:fill="C6EFCE"/>
            <w:noWrap/>
          </w:tcPr>
          <w:p w14:paraId="50DE7ECE" w14:textId="77777777" w:rsidR="004C6421" w:rsidRDefault="009D1962">
            <w:pPr>
              <w:pStyle w:val="P68B1DB1-Normal4"/>
              <w:spacing w:after="120"/>
              <w:jc w:val="center"/>
              <w:rPr>
                <w:noProof/>
              </w:rPr>
            </w:pPr>
            <w:r>
              <w:rPr>
                <w:noProof/>
              </w:rPr>
              <w:t>Przyjęcie sprawozdania rządu</w:t>
            </w:r>
          </w:p>
        </w:tc>
        <w:tc>
          <w:tcPr>
            <w:tcW w:w="1134" w:type="dxa"/>
            <w:shd w:val="clear" w:color="auto" w:fill="C6EFCE"/>
            <w:noWrap/>
          </w:tcPr>
          <w:p w14:paraId="02B38965" w14:textId="77777777" w:rsidR="004C6421" w:rsidRDefault="004C6421">
            <w:pPr>
              <w:spacing w:after="120"/>
              <w:jc w:val="center"/>
              <w:rPr>
                <w:rFonts w:ascii="Arial Narrow" w:hAnsi="Arial Narrow"/>
                <w:noProof/>
                <w:color w:val="006100"/>
                <w:sz w:val="20"/>
              </w:rPr>
            </w:pPr>
          </w:p>
        </w:tc>
        <w:tc>
          <w:tcPr>
            <w:tcW w:w="993" w:type="dxa"/>
            <w:shd w:val="clear" w:color="auto" w:fill="C6EFCE"/>
            <w:noWrap/>
          </w:tcPr>
          <w:p w14:paraId="3CAA9207" w14:textId="77777777" w:rsidR="004C6421" w:rsidRDefault="004C6421">
            <w:pPr>
              <w:spacing w:after="120"/>
              <w:jc w:val="center"/>
              <w:rPr>
                <w:rFonts w:ascii="Arial Narrow" w:hAnsi="Arial Narrow"/>
                <w:noProof/>
                <w:color w:val="006100"/>
                <w:sz w:val="20"/>
              </w:rPr>
            </w:pPr>
          </w:p>
        </w:tc>
        <w:tc>
          <w:tcPr>
            <w:tcW w:w="992" w:type="dxa"/>
            <w:shd w:val="clear" w:color="auto" w:fill="C6EFCE"/>
            <w:noWrap/>
            <w:vAlign w:val="center"/>
          </w:tcPr>
          <w:p w14:paraId="76B0E212" w14:textId="77777777" w:rsidR="004C6421" w:rsidRDefault="004C6421">
            <w:pPr>
              <w:spacing w:after="120"/>
              <w:jc w:val="center"/>
              <w:rPr>
                <w:rFonts w:ascii="Arial Narrow" w:hAnsi="Arial Narrow"/>
                <w:noProof/>
                <w:color w:val="006100"/>
                <w:sz w:val="20"/>
              </w:rPr>
            </w:pPr>
          </w:p>
        </w:tc>
        <w:tc>
          <w:tcPr>
            <w:tcW w:w="992" w:type="dxa"/>
            <w:shd w:val="clear" w:color="auto" w:fill="C6EFCE"/>
            <w:noWrap/>
            <w:vAlign w:val="center"/>
          </w:tcPr>
          <w:p w14:paraId="7ADDC0F9" w14:textId="0109C6E2" w:rsidR="004C6421" w:rsidRDefault="00CC179E">
            <w:pPr>
              <w:pStyle w:val="P68B1DB1-Normal4"/>
              <w:spacing w:after="120"/>
              <w:jc w:val="center"/>
              <w:rPr>
                <w:noProof/>
              </w:rPr>
            </w:pPr>
            <w:r>
              <w:rPr>
                <w:noProof/>
              </w:rPr>
              <w:t>KW. 4</w:t>
            </w:r>
          </w:p>
        </w:tc>
        <w:tc>
          <w:tcPr>
            <w:tcW w:w="709" w:type="dxa"/>
            <w:shd w:val="clear" w:color="auto" w:fill="C6EFCE"/>
            <w:noWrap/>
            <w:vAlign w:val="center"/>
          </w:tcPr>
          <w:p w14:paraId="28411B27" w14:textId="77777777" w:rsidR="004C6421" w:rsidRDefault="009D1962">
            <w:pPr>
              <w:pStyle w:val="P68B1DB1-Normal4"/>
              <w:spacing w:after="120"/>
              <w:jc w:val="center"/>
              <w:rPr>
                <w:noProof/>
              </w:rPr>
            </w:pPr>
            <w:r>
              <w:rPr>
                <w:noProof/>
              </w:rPr>
              <w:t>2024</w:t>
            </w:r>
          </w:p>
        </w:tc>
        <w:tc>
          <w:tcPr>
            <w:tcW w:w="3261" w:type="dxa"/>
            <w:shd w:val="clear" w:color="auto" w:fill="C6EFCE"/>
            <w:noWrap/>
          </w:tcPr>
          <w:p w14:paraId="64BB6309" w14:textId="77777777" w:rsidR="004C6421" w:rsidRDefault="009D1962">
            <w:pPr>
              <w:pStyle w:val="P68B1DB1-Normal4"/>
              <w:spacing w:after="120"/>
              <w:rPr>
                <w:noProof/>
              </w:rPr>
            </w:pPr>
            <w:r>
              <w:rPr>
                <w:noProof/>
              </w:rPr>
              <w:t>Reforma przewiduje zmniejszenie dotacji o skutkach szkodliwych dla środowiska określonych w „Katalogu dotacji szkodliwych dla środowiska z 2022 r.”. W sprawozdaniu przedstawia się działania podjęte w celu przeprowadzenia konsultacji z odpowiednimi zainteresowanymi stronami w sprawie powyższej reformy dotacji o skutkach szkodliwych dla środowiska, w tym uwagi otrzymane od zainteresowanych stron. Zainteresowane strony, z którymi przeprowadzono konsultacje, obejmują odpowiednie organy publiczne i zainteresowane strony prywatne.</w:t>
            </w:r>
          </w:p>
        </w:tc>
      </w:tr>
      <w:tr w:rsidR="004C6421" w14:paraId="094DD4C9" w14:textId="77777777">
        <w:trPr>
          <w:trHeight w:val="309"/>
        </w:trPr>
        <w:tc>
          <w:tcPr>
            <w:tcW w:w="1185" w:type="dxa"/>
            <w:shd w:val="clear" w:color="auto" w:fill="C6EFCE"/>
            <w:noWrap/>
          </w:tcPr>
          <w:p w14:paraId="57C3DD2E" w14:textId="77777777" w:rsidR="004C6421" w:rsidRDefault="009D1962">
            <w:pPr>
              <w:pStyle w:val="P68B1DB1-Normal4"/>
              <w:spacing w:after="120"/>
              <w:jc w:val="center"/>
              <w:rPr>
                <w:noProof/>
              </w:rPr>
            </w:pPr>
            <w:r>
              <w:rPr>
                <w:noProof/>
              </w:rPr>
              <w:t>M7-5</w:t>
            </w:r>
          </w:p>
        </w:tc>
        <w:tc>
          <w:tcPr>
            <w:tcW w:w="1559" w:type="dxa"/>
            <w:shd w:val="clear" w:color="auto" w:fill="C6EFCE"/>
            <w:noWrap/>
          </w:tcPr>
          <w:p w14:paraId="1008FF89" w14:textId="77777777" w:rsidR="004C6421" w:rsidRDefault="009D1962">
            <w:pPr>
              <w:pStyle w:val="P68B1DB1-Normal4"/>
              <w:spacing w:after="120"/>
              <w:jc w:val="center"/>
              <w:rPr>
                <w:noProof/>
              </w:rPr>
            </w:pPr>
            <w:r>
              <w:rPr>
                <w:noProof/>
              </w:rPr>
              <w:t>Reforma nr 2: Zmniejszenie dotacji szkodliwych dla środowiska</w:t>
            </w:r>
          </w:p>
        </w:tc>
        <w:tc>
          <w:tcPr>
            <w:tcW w:w="1134" w:type="dxa"/>
            <w:shd w:val="clear" w:color="auto" w:fill="C6EFCE"/>
            <w:noWrap/>
          </w:tcPr>
          <w:p w14:paraId="443FEBBC" w14:textId="6F1F7503" w:rsidR="004C6421" w:rsidRDefault="00CC179E">
            <w:pPr>
              <w:pStyle w:val="P68B1DB1-Normal4"/>
              <w:spacing w:after="120"/>
              <w:jc w:val="center"/>
              <w:rPr>
                <w:noProof/>
              </w:rPr>
            </w:pPr>
            <w:r>
              <w:rPr>
                <w:noProof/>
              </w:rPr>
              <w:t>Milowy</w:t>
            </w:r>
          </w:p>
        </w:tc>
        <w:tc>
          <w:tcPr>
            <w:tcW w:w="1418" w:type="dxa"/>
            <w:shd w:val="clear" w:color="auto" w:fill="C6EFCE"/>
            <w:noWrap/>
          </w:tcPr>
          <w:p w14:paraId="63435147" w14:textId="77777777" w:rsidR="004C6421" w:rsidRDefault="009D1962">
            <w:pPr>
              <w:pStyle w:val="P68B1DB1-Normal4"/>
              <w:spacing w:after="120"/>
              <w:jc w:val="center"/>
              <w:rPr>
                <w:noProof/>
              </w:rPr>
            </w:pPr>
            <w:r>
              <w:rPr>
                <w:noProof/>
              </w:rPr>
              <w:t>Wejście w życie prawa pierwotnego i wtórnego.</w:t>
            </w:r>
          </w:p>
        </w:tc>
        <w:tc>
          <w:tcPr>
            <w:tcW w:w="1984" w:type="dxa"/>
            <w:shd w:val="clear" w:color="auto" w:fill="C6EFCE"/>
            <w:noWrap/>
            <w:vAlign w:val="center"/>
          </w:tcPr>
          <w:p w14:paraId="289203A9" w14:textId="77777777" w:rsidR="004C6421" w:rsidRDefault="009D1962">
            <w:pPr>
              <w:pStyle w:val="P68B1DB1-Normal4"/>
              <w:spacing w:after="120"/>
              <w:jc w:val="center"/>
              <w:rPr>
                <w:noProof/>
              </w:rPr>
            </w:pPr>
            <w:r>
              <w:rPr>
                <w:noProof/>
              </w:rPr>
              <w:t>Przepis ustawy wskazujący na wejście w życie prawa pierwotnego i wtórnego.</w:t>
            </w:r>
          </w:p>
        </w:tc>
        <w:tc>
          <w:tcPr>
            <w:tcW w:w="1134" w:type="dxa"/>
            <w:shd w:val="clear" w:color="auto" w:fill="C6EFCE"/>
            <w:noWrap/>
            <w:vAlign w:val="center"/>
          </w:tcPr>
          <w:p w14:paraId="04A32F55" w14:textId="77777777" w:rsidR="004C6421" w:rsidRDefault="004C6421">
            <w:pPr>
              <w:spacing w:after="120"/>
              <w:jc w:val="center"/>
              <w:rPr>
                <w:rFonts w:ascii="Arial Narrow" w:hAnsi="Arial Narrow"/>
                <w:noProof/>
                <w:color w:val="006100"/>
                <w:sz w:val="20"/>
              </w:rPr>
            </w:pPr>
          </w:p>
        </w:tc>
        <w:tc>
          <w:tcPr>
            <w:tcW w:w="993" w:type="dxa"/>
            <w:shd w:val="clear" w:color="auto" w:fill="C6EFCE"/>
            <w:noWrap/>
            <w:vAlign w:val="center"/>
          </w:tcPr>
          <w:p w14:paraId="035B878E" w14:textId="77777777" w:rsidR="004C6421" w:rsidRDefault="004C6421">
            <w:pPr>
              <w:spacing w:after="120"/>
              <w:jc w:val="center"/>
              <w:rPr>
                <w:rFonts w:ascii="Arial Narrow" w:hAnsi="Arial Narrow"/>
                <w:noProof/>
                <w:color w:val="006100"/>
                <w:sz w:val="20"/>
              </w:rPr>
            </w:pPr>
          </w:p>
        </w:tc>
        <w:tc>
          <w:tcPr>
            <w:tcW w:w="992" w:type="dxa"/>
            <w:shd w:val="clear" w:color="auto" w:fill="C6EFCE"/>
            <w:noWrap/>
            <w:vAlign w:val="center"/>
          </w:tcPr>
          <w:p w14:paraId="696C047C" w14:textId="77777777" w:rsidR="004C6421" w:rsidRDefault="004C6421">
            <w:pPr>
              <w:spacing w:after="120"/>
              <w:jc w:val="center"/>
              <w:rPr>
                <w:rFonts w:ascii="Arial Narrow" w:hAnsi="Arial Narrow"/>
                <w:noProof/>
                <w:color w:val="006100"/>
                <w:sz w:val="20"/>
              </w:rPr>
            </w:pPr>
          </w:p>
        </w:tc>
        <w:tc>
          <w:tcPr>
            <w:tcW w:w="992" w:type="dxa"/>
            <w:shd w:val="clear" w:color="auto" w:fill="C6EFCE"/>
            <w:noWrap/>
            <w:vAlign w:val="center"/>
          </w:tcPr>
          <w:p w14:paraId="6FF50833" w14:textId="24D8D4AD" w:rsidR="004C6421" w:rsidRDefault="00CC179E">
            <w:pPr>
              <w:pStyle w:val="P68B1DB1-Normal4"/>
              <w:spacing w:after="120"/>
              <w:jc w:val="center"/>
              <w:rPr>
                <w:noProof/>
              </w:rPr>
            </w:pPr>
            <w:r>
              <w:rPr>
                <w:noProof/>
              </w:rPr>
              <w:t>KW. 4</w:t>
            </w:r>
          </w:p>
        </w:tc>
        <w:tc>
          <w:tcPr>
            <w:tcW w:w="709" w:type="dxa"/>
            <w:shd w:val="clear" w:color="auto" w:fill="C6EFCE"/>
            <w:noWrap/>
            <w:vAlign w:val="center"/>
          </w:tcPr>
          <w:p w14:paraId="26486FBC" w14:textId="77777777" w:rsidR="004C6421" w:rsidRDefault="009D1962">
            <w:pPr>
              <w:pStyle w:val="P68B1DB1-Normal4"/>
              <w:spacing w:after="120"/>
              <w:jc w:val="center"/>
              <w:rPr>
                <w:noProof/>
              </w:rPr>
            </w:pPr>
            <w:r>
              <w:rPr>
                <w:noProof/>
              </w:rPr>
              <w:t>2025</w:t>
            </w:r>
          </w:p>
        </w:tc>
        <w:tc>
          <w:tcPr>
            <w:tcW w:w="3261" w:type="dxa"/>
            <w:shd w:val="clear" w:color="auto" w:fill="C6EFCE"/>
            <w:noWrap/>
            <w:vAlign w:val="center"/>
          </w:tcPr>
          <w:p w14:paraId="43F345A8" w14:textId="77777777" w:rsidR="004C6421" w:rsidRDefault="009D1962">
            <w:pPr>
              <w:pStyle w:val="P68B1DB1-Normal4"/>
              <w:spacing w:after="120"/>
              <w:rPr>
                <w:noProof/>
              </w:rPr>
            </w:pPr>
            <w:r>
              <w:rPr>
                <w:noProof/>
              </w:rPr>
              <w:t xml:space="preserve">Wdrażanie reformy dotacji o skutkach szkodliwych dla środowiska rozpocznie się od zmniejszenia dotacji o co najmniej 2 mld EUR w 2026 r. </w:t>
            </w:r>
          </w:p>
          <w:p w14:paraId="66C40702" w14:textId="77777777" w:rsidR="004C6421" w:rsidRDefault="009D1962">
            <w:pPr>
              <w:pStyle w:val="P68B1DB1-Normal4"/>
              <w:spacing w:after="120"/>
              <w:rPr>
                <w:noProof/>
              </w:rPr>
            </w:pPr>
            <w:r>
              <w:rPr>
                <w:noProof/>
              </w:rPr>
              <w:t>Ponadto w przepisach określa się harmonogram dalszego zmniejszenia dotacji szkodliwych dla środowiska o co najmniej 3,5 mld EUR do 2030 r.</w:t>
            </w:r>
          </w:p>
        </w:tc>
      </w:tr>
      <w:tr w:rsidR="004C6421" w14:paraId="287BBF16" w14:textId="77777777">
        <w:trPr>
          <w:trHeight w:val="309"/>
        </w:trPr>
        <w:tc>
          <w:tcPr>
            <w:tcW w:w="1185" w:type="dxa"/>
            <w:shd w:val="clear" w:color="auto" w:fill="C6EFCE"/>
            <w:noWrap/>
            <w:vAlign w:val="center"/>
          </w:tcPr>
          <w:p w14:paraId="09E8DC91" w14:textId="77777777" w:rsidR="004C6421" w:rsidRDefault="009D1962">
            <w:pPr>
              <w:pStyle w:val="P68B1DB1-Normal4"/>
              <w:spacing w:after="120"/>
              <w:jc w:val="center"/>
              <w:rPr>
                <w:noProof/>
              </w:rPr>
            </w:pPr>
            <w:r>
              <w:rPr>
                <w:noProof/>
              </w:rPr>
              <w:t>M7-6</w:t>
            </w:r>
          </w:p>
        </w:tc>
        <w:tc>
          <w:tcPr>
            <w:tcW w:w="1559" w:type="dxa"/>
            <w:shd w:val="clear" w:color="auto" w:fill="C6EFCE"/>
            <w:noWrap/>
          </w:tcPr>
          <w:p w14:paraId="45626D55" w14:textId="77777777" w:rsidR="004C6421" w:rsidRDefault="009D1962">
            <w:pPr>
              <w:pStyle w:val="P68B1DB1-Normal4"/>
              <w:spacing w:after="120"/>
              <w:jc w:val="center"/>
              <w:rPr>
                <w:noProof/>
              </w:rPr>
            </w:pPr>
            <w:r>
              <w:rPr>
                <w:noProof/>
              </w:rPr>
              <w:t>Reforma 3: Zmniejszenie kosztów przyłączenia biometanu do sieci gazowej</w:t>
            </w:r>
          </w:p>
        </w:tc>
        <w:tc>
          <w:tcPr>
            <w:tcW w:w="1134" w:type="dxa"/>
            <w:shd w:val="clear" w:color="auto" w:fill="C6EFCE"/>
            <w:noWrap/>
          </w:tcPr>
          <w:p w14:paraId="6C093ABB" w14:textId="2D63B51C" w:rsidR="004C6421" w:rsidRDefault="00CC179E">
            <w:pPr>
              <w:pStyle w:val="P68B1DB1-Normal4"/>
              <w:spacing w:after="120"/>
              <w:jc w:val="center"/>
              <w:rPr>
                <w:noProof/>
              </w:rPr>
            </w:pPr>
            <w:r>
              <w:rPr>
                <w:noProof/>
              </w:rPr>
              <w:t>Milowy</w:t>
            </w:r>
          </w:p>
        </w:tc>
        <w:tc>
          <w:tcPr>
            <w:tcW w:w="1418" w:type="dxa"/>
            <w:shd w:val="clear" w:color="auto" w:fill="C6EFCE"/>
            <w:noWrap/>
          </w:tcPr>
          <w:p w14:paraId="391F0481" w14:textId="77777777" w:rsidR="004C6421" w:rsidRDefault="009D1962">
            <w:pPr>
              <w:pStyle w:val="P68B1DB1-Normal4"/>
              <w:spacing w:after="120"/>
              <w:jc w:val="center"/>
              <w:rPr>
                <w:noProof/>
              </w:rPr>
            </w:pPr>
            <w:r>
              <w:rPr>
                <w:noProof/>
              </w:rPr>
              <w:t xml:space="preserve">Wejście w życie przepisów mających na celu zmniejszenie kosztów przyłączenia zakładów produkujących biometan do sieci gazowej </w:t>
            </w:r>
          </w:p>
        </w:tc>
        <w:tc>
          <w:tcPr>
            <w:tcW w:w="1984" w:type="dxa"/>
            <w:shd w:val="clear" w:color="auto" w:fill="C6EFCE"/>
            <w:noWrap/>
          </w:tcPr>
          <w:p w14:paraId="75FCAA58" w14:textId="77777777" w:rsidR="004C6421" w:rsidRDefault="009D1962">
            <w:pPr>
              <w:pStyle w:val="P68B1DB1-Normal4"/>
              <w:spacing w:after="120"/>
              <w:jc w:val="center"/>
              <w:rPr>
                <w:noProof/>
              </w:rPr>
            </w:pPr>
            <w:r>
              <w:rPr>
                <w:noProof/>
              </w:rPr>
              <w:t>Przepis ustawy wskazujący na wejście w życie prawa pierwotnego i wtórnego.</w:t>
            </w:r>
          </w:p>
        </w:tc>
        <w:tc>
          <w:tcPr>
            <w:tcW w:w="1134" w:type="dxa"/>
            <w:shd w:val="clear" w:color="auto" w:fill="C6EFCE"/>
            <w:noWrap/>
          </w:tcPr>
          <w:p w14:paraId="791FD7DE" w14:textId="77777777" w:rsidR="004C6421" w:rsidRDefault="004C6421">
            <w:pPr>
              <w:spacing w:after="120"/>
              <w:jc w:val="center"/>
              <w:rPr>
                <w:rFonts w:ascii="Arial Narrow" w:hAnsi="Arial Narrow"/>
                <w:noProof/>
                <w:color w:val="006100"/>
                <w:sz w:val="20"/>
              </w:rPr>
            </w:pPr>
          </w:p>
        </w:tc>
        <w:tc>
          <w:tcPr>
            <w:tcW w:w="993" w:type="dxa"/>
            <w:shd w:val="clear" w:color="auto" w:fill="C6EFCE"/>
            <w:noWrap/>
          </w:tcPr>
          <w:p w14:paraId="55A9610C" w14:textId="77777777" w:rsidR="004C6421" w:rsidRDefault="004C6421">
            <w:pPr>
              <w:spacing w:after="120"/>
              <w:jc w:val="center"/>
              <w:rPr>
                <w:rFonts w:ascii="Arial Narrow" w:hAnsi="Arial Narrow"/>
                <w:noProof/>
                <w:color w:val="006100"/>
                <w:sz w:val="20"/>
              </w:rPr>
            </w:pPr>
          </w:p>
        </w:tc>
        <w:tc>
          <w:tcPr>
            <w:tcW w:w="992" w:type="dxa"/>
            <w:shd w:val="clear" w:color="auto" w:fill="C6EFCE"/>
            <w:noWrap/>
          </w:tcPr>
          <w:p w14:paraId="5DFCFDDF" w14:textId="77777777" w:rsidR="004C6421" w:rsidRDefault="004C6421">
            <w:pPr>
              <w:spacing w:after="120"/>
              <w:jc w:val="center"/>
              <w:rPr>
                <w:rFonts w:ascii="Arial Narrow" w:hAnsi="Arial Narrow"/>
                <w:noProof/>
                <w:color w:val="006100"/>
                <w:sz w:val="20"/>
              </w:rPr>
            </w:pPr>
          </w:p>
        </w:tc>
        <w:tc>
          <w:tcPr>
            <w:tcW w:w="992" w:type="dxa"/>
            <w:shd w:val="clear" w:color="auto" w:fill="C6EFCE"/>
            <w:noWrap/>
          </w:tcPr>
          <w:p w14:paraId="4DA43F29" w14:textId="77777777" w:rsidR="004C6421" w:rsidRDefault="009D1962">
            <w:pPr>
              <w:pStyle w:val="P68B1DB1-Normal4"/>
              <w:spacing w:after="120"/>
              <w:jc w:val="center"/>
              <w:rPr>
                <w:noProof/>
              </w:rPr>
            </w:pPr>
            <w:r>
              <w:rPr>
                <w:noProof/>
              </w:rPr>
              <w:t>III KW.</w:t>
            </w:r>
          </w:p>
        </w:tc>
        <w:tc>
          <w:tcPr>
            <w:tcW w:w="709" w:type="dxa"/>
            <w:shd w:val="clear" w:color="auto" w:fill="C6EFCE"/>
            <w:noWrap/>
          </w:tcPr>
          <w:p w14:paraId="3117D7FE" w14:textId="77777777" w:rsidR="004C6421" w:rsidRDefault="009D1962">
            <w:pPr>
              <w:pStyle w:val="P68B1DB1-Normal4"/>
              <w:spacing w:after="120"/>
              <w:jc w:val="center"/>
              <w:rPr>
                <w:noProof/>
              </w:rPr>
            </w:pPr>
            <w:r>
              <w:rPr>
                <w:noProof/>
              </w:rPr>
              <w:t>2025</w:t>
            </w:r>
          </w:p>
        </w:tc>
        <w:tc>
          <w:tcPr>
            <w:tcW w:w="3261" w:type="dxa"/>
            <w:shd w:val="clear" w:color="auto" w:fill="C6EFCE"/>
            <w:noWrap/>
          </w:tcPr>
          <w:p w14:paraId="7AC60BC7" w14:textId="77777777" w:rsidR="004C6421" w:rsidRDefault="009D1962">
            <w:pPr>
              <w:pStyle w:val="P68B1DB1-Normal4"/>
              <w:spacing w:after="120"/>
              <w:rPr>
                <w:noProof/>
              </w:rPr>
            </w:pPr>
            <w:r>
              <w:rPr>
                <w:noProof/>
              </w:rPr>
              <w:t>Ustawodawstwo:</w:t>
            </w:r>
          </w:p>
          <w:p w14:paraId="1ABECFB3" w14:textId="77777777" w:rsidR="004C6421" w:rsidRDefault="009D1962">
            <w:pPr>
              <w:pStyle w:val="P68B1DB1-ListParagraph5"/>
              <w:numPr>
                <w:ilvl w:val="3"/>
                <w:numId w:val="29"/>
              </w:numPr>
              <w:spacing w:before="0"/>
              <w:ind w:left="382"/>
              <w:contextualSpacing w:val="0"/>
              <w:rPr>
                <w:noProof/>
              </w:rPr>
            </w:pPr>
            <w:r>
              <w:rPr>
                <w:noProof/>
              </w:rPr>
              <w:t>Obniżenie kosztów przyłączenia do sieci gazowej zakładów produkcji biometanu ponoszonych przez producenta.</w:t>
            </w:r>
          </w:p>
          <w:p w14:paraId="2532C9FD" w14:textId="77777777" w:rsidR="004C6421" w:rsidRDefault="009D1962">
            <w:pPr>
              <w:pStyle w:val="P68B1DB1-ListParagraph5"/>
              <w:numPr>
                <w:ilvl w:val="3"/>
                <w:numId w:val="29"/>
              </w:numPr>
              <w:spacing w:before="0"/>
              <w:ind w:left="382"/>
              <w:contextualSpacing w:val="0"/>
              <w:rPr>
                <w:noProof/>
              </w:rPr>
            </w:pPr>
            <w:r>
              <w:rPr>
                <w:noProof/>
              </w:rPr>
              <w:t xml:space="preserve">Zapewnienie zachęt regulacyjnych do inwestowania w sieć gazową w celu opracowania gazów odnawialnych. </w:t>
            </w:r>
          </w:p>
        </w:tc>
      </w:tr>
      <w:tr w:rsidR="004C6421" w14:paraId="5CA7A036" w14:textId="77777777">
        <w:trPr>
          <w:trHeight w:val="309"/>
        </w:trPr>
        <w:tc>
          <w:tcPr>
            <w:tcW w:w="1185" w:type="dxa"/>
            <w:shd w:val="clear" w:color="auto" w:fill="C6EFCE"/>
            <w:noWrap/>
            <w:vAlign w:val="center"/>
          </w:tcPr>
          <w:p w14:paraId="2E5E701B" w14:textId="77777777" w:rsidR="004C6421" w:rsidRDefault="009D1962">
            <w:pPr>
              <w:pStyle w:val="P68B1DB1-Normal4"/>
              <w:spacing w:after="120"/>
              <w:jc w:val="center"/>
              <w:rPr>
                <w:noProof/>
              </w:rPr>
            </w:pPr>
            <w:r>
              <w:rPr>
                <w:noProof/>
              </w:rPr>
              <w:t>M7-7</w:t>
            </w:r>
          </w:p>
        </w:tc>
        <w:tc>
          <w:tcPr>
            <w:tcW w:w="1559" w:type="dxa"/>
            <w:shd w:val="clear" w:color="auto" w:fill="C6EFCE"/>
            <w:noWrap/>
            <w:vAlign w:val="center"/>
          </w:tcPr>
          <w:p w14:paraId="77FF8FBA" w14:textId="77777777" w:rsidR="004C6421" w:rsidRDefault="009D1962">
            <w:pPr>
              <w:pStyle w:val="P68B1DB1-Normal4"/>
              <w:spacing w:after="120"/>
              <w:jc w:val="center"/>
              <w:rPr>
                <w:noProof/>
              </w:rPr>
            </w:pPr>
            <w:r>
              <w:rPr>
                <w:noProof/>
              </w:rPr>
              <w:t>Reforma 4: Ograniczenie ryzyka finansowego związanego z odnawialnymi umowami zakupu energii elektrycznej (umowy zakupu energii elektrycznej)</w:t>
            </w:r>
          </w:p>
        </w:tc>
        <w:tc>
          <w:tcPr>
            <w:tcW w:w="1134" w:type="dxa"/>
            <w:shd w:val="clear" w:color="auto" w:fill="C6EFCE"/>
            <w:noWrap/>
            <w:vAlign w:val="center"/>
          </w:tcPr>
          <w:p w14:paraId="2239BD32" w14:textId="6527B8DA" w:rsidR="004C6421" w:rsidRDefault="00CC179E">
            <w:pPr>
              <w:pStyle w:val="P68B1DB1-Normal4"/>
              <w:spacing w:after="120"/>
              <w:jc w:val="center"/>
              <w:rPr>
                <w:noProof/>
              </w:rPr>
            </w:pPr>
            <w:r>
              <w:rPr>
                <w:noProof/>
              </w:rPr>
              <w:t>Milowy</w:t>
            </w:r>
          </w:p>
        </w:tc>
        <w:tc>
          <w:tcPr>
            <w:tcW w:w="1418" w:type="dxa"/>
            <w:shd w:val="clear" w:color="auto" w:fill="C6EFCE"/>
            <w:noWrap/>
            <w:vAlign w:val="center"/>
          </w:tcPr>
          <w:p w14:paraId="1C1BECED" w14:textId="77777777" w:rsidR="004C6421" w:rsidRDefault="009D1962">
            <w:pPr>
              <w:pStyle w:val="P68B1DB1-Normal4"/>
              <w:spacing w:after="120"/>
              <w:jc w:val="center"/>
              <w:rPr>
                <w:noProof/>
              </w:rPr>
            </w:pPr>
            <w:r>
              <w:rPr>
                <w:noProof/>
              </w:rPr>
              <w:t>Wejście w życie prawa pierwotnego</w:t>
            </w:r>
          </w:p>
        </w:tc>
        <w:tc>
          <w:tcPr>
            <w:tcW w:w="1984" w:type="dxa"/>
            <w:shd w:val="clear" w:color="auto" w:fill="C6EFCE"/>
            <w:noWrap/>
            <w:vAlign w:val="center"/>
          </w:tcPr>
          <w:p w14:paraId="765CF7B1" w14:textId="77777777" w:rsidR="004C6421" w:rsidRDefault="009D1962">
            <w:pPr>
              <w:pStyle w:val="P68B1DB1-Normal4"/>
              <w:spacing w:after="120"/>
              <w:jc w:val="center"/>
              <w:rPr>
                <w:noProof/>
              </w:rPr>
            </w:pPr>
            <w:r>
              <w:rPr>
                <w:noProof/>
              </w:rPr>
              <w:t>Przepis ustawy wskazujący na wejście w życie ustawy</w:t>
            </w:r>
          </w:p>
        </w:tc>
        <w:tc>
          <w:tcPr>
            <w:tcW w:w="1134" w:type="dxa"/>
            <w:shd w:val="clear" w:color="auto" w:fill="C6EFCE"/>
            <w:noWrap/>
            <w:vAlign w:val="center"/>
          </w:tcPr>
          <w:p w14:paraId="679738F6" w14:textId="77777777" w:rsidR="004C6421" w:rsidRDefault="004C6421">
            <w:pPr>
              <w:spacing w:after="120"/>
              <w:jc w:val="center"/>
              <w:rPr>
                <w:rFonts w:ascii="Arial Narrow" w:hAnsi="Arial Narrow"/>
                <w:noProof/>
                <w:color w:val="006100"/>
                <w:sz w:val="20"/>
              </w:rPr>
            </w:pPr>
          </w:p>
        </w:tc>
        <w:tc>
          <w:tcPr>
            <w:tcW w:w="993" w:type="dxa"/>
            <w:shd w:val="clear" w:color="auto" w:fill="C6EFCE"/>
            <w:noWrap/>
            <w:vAlign w:val="center"/>
          </w:tcPr>
          <w:p w14:paraId="2F71125B" w14:textId="77777777" w:rsidR="004C6421" w:rsidRDefault="004C6421">
            <w:pPr>
              <w:spacing w:after="120"/>
              <w:jc w:val="center"/>
              <w:rPr>
                <w:rFonts w:ascii="Arial Narrow" w:hAnsi="Arial Narrow"/>
                <w:noProof/>
                <w:color w:val="006100"/>
                <w:sz w:val="20"/>
              </w:rPr>
            </w:pPr>
          </w:p>
        </w:tc>
        <w:tc>
          <w:tcPr>
            <w:tcW w:w="992" w:type="dxa"/>
            <w:shd w:val="clear" w:color="auto" w:fill="C6EFCE"/>
            <w:noWrap/>
            <w:vAlign w:val="center"/>
          </w:tcPr>
          <w:p w14:paraId="1FD9F07F" w14:textId="77777777" w:rsidR="004C6421" w:rsidRDefault="004C6421">
            <w:pPr>
              <w:spacing w:after="120"/>
              <w:jc w:val="center"/>
              <w:rPr>
                <w:rFonts w:ascii="Arial Narrow" w:hAnsi="Arial Narrow"/>
                <w:noProof/>
                <w:color w:val="006100"/>
                <w:sz w:val="20"/>
              </w:rPr>
            </w:pPr>
          </w:p>
        </w:tc>
        <w:tc>
          <w:tcPr>
            <w:tcW w:w="992" w:type="dxa"/>
            <w:shd w:val="clear" w:color="auto" w:fill="C6EFCE"/>
            <w:noWrap/>
            <w:vAlign w:val="center"/>
          </w:tcPr>
          <w:p w14:paraId="06EBFDE6" w14:textId="77777777" w:rsidR="004C6421" w:rsidRDefault="009D1962">
            <w:pPr>
              <w:pStyle w:val="P68B1DB1-Normal4"/>
              <w:spacing w:after="120"/>
              <w:jc w:val="center"/>
              <w:rPr>
                <w:noProof/>
              </w:rPr>
            </w:pPr>
            <w:r>
              <w:rPr>
                <w:noProof/>
              </w:rPr>
              <w:t>III KW.</w:t>
            </w:r>
          </w:p>
        </w:tc>
        <w:tc>
          <w:tcPr>
            <w:tcW w:w="709" w:type="dxa"/>
            <w:shd w:val="clear" w:color="auto" w:fill="C6EFCE"/>
            <w:noWrap/>
            <w:vAlign w:val="center"/>
          </w:tcPr>
          <w:p w14:paraId="26781827" w14:textId="77777777" w:rsidR="004C6421" w:rsidRDefault="009D1962">
            <w:pPr>
              <w:pStyle w:val="P68B1DB1-Normal4"/>
              <w:spacing w:after="120"/>
              <w:jc w:val="center"/>
              <w:rPr>
                <w:noProof/>
              </w:rPr>
            </w:pPr>
            <w:r>
              <w:rPr>
                <w:noProof/>
              </w:rPr>
              <w:t>2024</w:t>
            </w:r>
          </w:p>
        </w:tc>
        <w:tc>
          <w:tcPr>
            <w:tcW w:w="3261" w:type="dxa"/>
            <w:shd w:val="clear" w:color="auto" w:fill="C6EFCE"/>
            <w:noWrap/>
            <w:vAlign w:val="center"/>
          </w:tcPr>
          <w:p w14:paraId="68436177" w14:textId="77777777" w:rsidR="004C6421" w:rsidRDefault="009D1962">
            <w:pPr>
              <w:pStyle w:val="P68B1DB1-Normal4"/>
              <w:spacing w:after="120"/>
              <w:rPr>
                <w:noProof/>
              </w:rPr>
            </w:pPr>
            <w:r>
              <w:rPr>
                <w:noProof/>
              </w:rPr>
              <w:t>Wejście w życie prawa pierwotnego. Prawo pierwotne:</w:t>
            </w:r>
          </w:p>
          <w:p w14:paraId="7BFEEF23" w14:textId="77777777" w:rsidR="004C6421" w:rsidRDefault="009D1962">
            <w:pPr>
              <w:pStyle w:val="P68B1DB1-ListParagraph5"/>
              <w:numPr>
                <w:ilvl w:val="0"/>
                <w:numId w:val="42"/>
              </w:numPr>
              <w:spacing w:before="0"/>
              <w:ind w:left="301" w:hanging="284"/>
              <w:contextualSpacing w:val="0"/>
              <w:rPr>
                <w:noProof/>
              </w:rPr>
            </w:pPr>
            <w:r>
              <w:rPr>
                <w:noProof/>
              </w:rPr>
              <w:t xml:space="preserve">zobowiązać każdego operatora do zagwarantowania częściowego pokrycia kontrwartości umów zakupu energii elektrycznej za pomocą instrumentów gwarancyjnych udostępnianych na rynku energii elektrycznej; </w:t>
            </w:r>
          </w:p>
          <w:p w14:paraId="7E291AE8" w14:textId="77777777" w:rsidR="004C6421" w:rsidRDefault="009D1962">
            <w:pPr>
              <w:pStyle w:val="P68B1DB1-ListParagraph5"/>
              <w:numPr>
                <w:ilvl w:val="0"/>
                <w:numId w:val="42"/>
              </w:numPr>
              <w:spacing w:before="0"/>
              <w:ind w:left="301" w:hanging="284"/>
              <w:contextualSpacing w:val="0"/>
              <w:rPr>
                <w:noProof/>
              </w:rPr>
            </w:pPr>
            <w:r>
              <w:rPr>
                <w:noProof/>
              </w:rPr>
              <w:t>wprowadzenie środków mających na celu ograniczenie ryzyka niewykonania zobowiązań, w tym wymogów i ograniczeń dotyczących oferenta oraz sankcji regulacyjnych w przypadku niewykonania zobowiązania przez producenta</w:t>
            </w:r>
          </w:p>
          <w:p w14:paraId="09FA269A" w14:textId="77777777" w:rsidR="004C6421" w:rsidRDefault="009D1962">
            <w:pPr>
              <w:pStyle w:val="P68B1DB1-ListParagraph5"/>
              <w:numPr>
                <w:ilvl w:val="0"/>
                <w:numId w:val="42"/>
              </w:numPr>
              <w:spacing w:before="0"/>
              <w:ind w:left="301" w:hanging="284"/>
              <w:contextualSpacing w:val="0"/>
              <w:rPr>
                <w:noProof/>
              </w:rPr>
            </w:pPr>
            <w:r>
              <w:rPr>
                <w:noProof/>
              </w:rPr>
              <w:t>wskazanie jednostki instytucjonalnej, która ma przejąć rolę sprzedawcy/nabywcy ostatniej instancji, która przejęłaby od niewywiązującego się ze zobowiązania kontrahenta i zapewniłaby wypełnienie zobowiązań podjętych wobec kontrahenta wykonującego zobowiązanie.</w:t>
            </w:r>
          </w:p>
        </w:tc>
      </w:tr>
      <w:tr w:rsidR="004C6421" w14:paraId="1C64055A" w14:textId="77777777">
        <w:trPr>
          <w:trHeight w:val="309"/>
        </w:trPr>
        <w:tc>
          <w:tcPr>
            <w:tcW w:w="1185" w:type="dxa"/>
            <w:shd w:val="clear" w:color="auto" w:fill="C6EFCE"/>
            <w:noWrap/>
            <w:vAlign w:val="center"/>
          </w:tcPr>
          <w:p w14:paraId="25BA0F49" w14:textId="77777777" w:rsidR="004C6421" w:rsidRDefault="009D1962">
            <w:pPr>
              <w:pStyle w:val="P68B1DB1-Normal4"/>
              <w:spacing w:after="120"/>
              <w:jc w:val="center"/>
              <w:rPr>
                <w:noProof/>
              </w:rPr>
            </w:pPr>
            <w:r>
              <w:rPr>
                <w:noProof/>
              </w:rPr>
              <w:t>M7-8</w:t>
            </w:r>
          </w:p>
        </w:tc>
        <w:tc>
          <w:tcPr>
            <w:tcW w:w="1559" w:type="dxa"/>
            <w:shd w:val="clear" w:color="auto" w:fill="C6EFCE"/>
            <w:noWrap/>
            <w:vAlign w:val="center"/>
          </w:tcPr>
          <w:p w14:paraId="6DE92AEC" w14:textId="77777777" w:rsidR="004C6421" w:rsidRDefault="009D1962">
            <w:pPr>
              <w:pStyle w:val="P68B1DB1-Normal4"/>
              <w:spacing w:after="120"/>
              <w:jc w:val="center"/>
              <w:rPr>
                <w:noProof/>
              </w:rPr>
            </w:pPr>
            <w:r>
              <w:rPr>
                <w:noProof/>
              </w:rPr>
              <w:t>Reforma 4: Ograniczenie ryzyka finansowego związanego z odnawialnymi umowami zakupu energii elektrycznej (umowy zakupu energii elektrycznej)</w:t>
            </w:r>
          </w:p>
        </w:tc>
        <w:tc>
          <w:tcPr>
            <w:tcW w:w="1134" w:type="dxa"/>
            <w:shd w:val="clear" w:color="auto" w:fill="C6EFCE"/>
            <w:noWrap/>
            <w:vAlign w:val="center"/>
          </w:tcPr>
          <w:p w14:paraId="2520A3E9" w14:textId="3FEB808D" w:rsidR="004C6421" w:rsidRDefault="00CC179E">
            <w:pPr>
              <w:pStyle w:val="P68B1DB1-Normal4"/>
              <w:spacing w:after="120"/>
              <w:jc w:val="center"/>
              <w:rPr>
                <w:noProof/>
              </w:rPr>
            </w:pPr>
            <w:r>
              <w:rPr>
                <w:noProof/>
              </w:rPr>
              <w:t>Milowy</w:t>
            </w:r>
          </w:p>
        </w:tc>
        <w:tc>
          <w:tcPr>
            <w:tcW w:w="1418" w:type="dxa"/>
            <w:shd w:val="clear" w:color="auto" w:fill="C6EFCE"/>
            <w:noWrap/>
            <w:vAlign w:val="center"/>
          </w:tcPr>
          <w:p w14:paraId="703CE501" w14:textId="77777777" w:rsidR="004C6421" w:rsidRDefault="009D1962">
            <w:pPr>
              <w:pStyle w:val="P68B1DB1-Normal4"/>
              <w:spacing w:after="120"/>
              <w:jc w:val="center"/>
              <w:rPr>
                <w:noProof/>
              </w:rPr>
            </w:pPr>
            <w:r>
              <w:rPr>
                <w:noProof/>
              </w:rPr>
              <w:t>Wejście w życie prawa wtórnego</w:t>
            </w:r>
          </w:p>
        </w:tc>
        <w:tc>
          <w:tcPr>
            <w:tcW w:w="1984" w:type="dxa"/>
            <w:shd w:val="clear" w:color="auto" w:fill="C6EFCE"/>
            <w:noWrap/>
            <w:vAlign w:val="center"/>
          </w:tcPr>
          <w:p w14:paraId="6B2A3C84" w14:textId="77777777" w:rsidR="004C6421" w:rsidRDefault="009D1962">
            <w:pPr>
              <w:pStyle w:val="P68B1DB1-Normal4"/>
              <w:spacing w:after="120"/>
              <w:jc w:val="center"/>
              <w:rPr>
                <w:noProof/>
              </w:rPr>
            </w:pPr>
            <w:r>
              <w:rPr>
                <w:noProof/>
              </w:rPr>
              <w:t>Przepis prawa wskazujący na wejście w życie prawa wtórnego</w:t>
            </w:r>
          </w:p>
        </w:tc>
        <w:tc>
          <w:tcPr>
            <w:tcW w:w="1134" w:type="dxa"/>
            <w:shd w:val="clear" w:color="auto" w:fill="C6EFCE"/>
            <w:noWrap/>
            <w:vAlign w:val="center"/>
          </w:tcPr>
          <w:p w14:paraId="4E60762F" w14:textId="77777777" w:rsidR="004C6421" w:rsidRDefault="004C6421">
            <w:pPr>
              <w:spacing w:after="120"/>
              <w:jc w:val="center"/>
              <w:rPr>
                <w:rFonts w:ascii="Arial Narrow" w:hAnsi="Arial Narrow"/>
                <w:noProof/>
                <w:color w:val="006100"/>
                <w:sz w:val="20"/>
              </w:rPr>
            </w:pPr>
          </w:p>
        </w:tc>
        <w:tc>
          <w:tcPr>
            <w:tcW w:w="993" w:type="dxa"/>
            <w:shd w:val="clear" w:color="auto" w:fill="C6EFCE"/>
            <w:noWrap/>
            <w:vAlign w:val="center"/>
          </w:tcPr>
          <w:p w14:paraId="65A2C802" w14:textId="77777777" w:rsidR="004C6421" w:rsidRDefault="004C6421">
            <w:pPr>
              <w:spacing w:after="120"/>
              <w:jc w:val="center"/>
              <w:rPr>
                <w:rFonts w:ascii="Arial Narrow" w:hAnsi="Arial Narrow"/>
                <w:noProof/>
                <w:color w:val="006100"/>
                <w:sz w:val="20"/>
              </w:rPr>
            </w:pPr>
          </w:p>
        </w:tc>
        <w:tc>
          <w:tcPr>
            <w:tcW w:w="992" w:type="dxa"/>
            <w:shd w:val="clear" w:color="auto" w:fill="C6EFCE"/>
            <w:noWrap/>
            <w:vAlign w:val="center"/>
          </w:tcPr>
          <w:p w14:paraId="30DFD3E3" w14:textId="77777777" w:rsidR="004C6421" w:rsidRDefault="004C6421">
            <w:pPr>
              <w:spacing w:after="120"/>
              <w:jc w:val="center"/>
              <w:rPr>
                <w:rFonts w:ascii="Arial Narrow" w:hAnsi="Arial Narrow"/>
                <w:noProof/>
                <w:color w:val="006100"/>
                <w:sz w:val="20"/>
              </w:rPr>
            </w:pPr>
          </w:p>
        </w:tc>
        <w:tc>
          <w:tcPr>
            <w:tcW w:w="992" w:type="dxa"/>
            <w:shd w:val="clear" w:color="auto" w:fill="C6EFCE"/>
            <w:noWrap/>
            <w:vAlign w:val="center"/>
          </w:tcPr>
          <w:p w14:paraId="15D0792B" w14:textId="48AF76A4" w:rsidR="004C6421" w:rsidRDefault="00CC179E">
            <w:pPr>
              <w:pStyle w:val="P68B1DB1-Normal4"/>
              <w:spacing w:after="120"/>
              <w:jc w:val="center"/>
              <w:rPr>
                <w:noProof/>
              </w:rPr>
            </w:pPr>
            <w:r>
              <w:rPr>
                <w:noProof/>
              </w:rPr>
              <w:t>KW. 4</w:t>
            </w:r>
          </w:p>
        </w:tc>
        <w:tc>
          <w:tcPr>
            <w:tcW w:w="709" w:type="dxa"/>
            <w:shd w:val="clear" w:color="auto" w:fill="C6EFCE"/>
            <w:noWrap/>
            <w:vAlign w:val="center"/>
          </w:tcPr>
          <w:p w14:paraId="79C527F5" w14:textId="77777777" w:rsidR="004C6421" w:rsidRDefault="009D1962">
            <w:pPr>
              <w:pStyle w:val="P68B1DB1-Normal4"/>
              <w:spacing w:after="120"/>
              <w:jc w:val="center"/>
              <w:rPr>
                <w:noProof/>
              </w:rPr>
            </w:pPr>
            <w:r>
              <w:rPr>
                <w:noProof/>
              </w:rPr>
              <w:t>2024</w:t>
            </w:r>
          </w:p>
        </w:tc>
        <w:tc>
          <w:tcPr>
            <w:tcW w:w="3261" w:type="dxa"/>
            <w:shd w:val="clear" w:color="auto" w:fill="C6EFCE"/>
            <w:noWrap/>
            <w:vAlign w:val="center"/>
          </w:tcPr>
          <w:p w14:paraId="1B9ACAD5" w14:textId="77777777" w:rsidR="004C6421" w:rsidRDefault="009D1962">
            <w:pPr>
              <w:pStyle w:val="P68B1DB1-Normal4"/>
              <w:spacing w:after="120"/>
              <w:rPr>
                <w:noProof/>
              </w:rPr>
            </w:pPr>
            <w:r>
              <w:rPr>
                <w:noProof/>
              </w:rPr>
              <w:t>Wejście w życie całego prawodawstwa wtórnego zapewniającego wdrożenie prawa pierwotnego.</w:t>
            </w:r>
          </w:p>
        </w:tc>
      </w:tr>
      <w:tr w:rsidR="004C6421" w14:paraId="14882C96" w14:textId="77777777">
        <w:trPr>
          <w:trHeight w:val="309"/>
        </w:trPr>
        <w:tc>
          <w:tcPr>
            <w:tcW w:w="1185" w:type="dxa"/>
            <w:shd w:val="clear" w:color="auto" w:fill="C6EFCE"/>
            <w:noWrap/>
            <w:vAlign w:val="center"/>
          </w:tcPr>
          <w:p w14:paraId="442E1B79" w14:textId="77777777" w:rsidR="004C6421" w:rsidRDefault="009D1962">
            <w:pPr>
              <w:pStyle w:val="P68B1DB1-Normal4"/>
              <w:spacing w:after="120"/>
              <w:jc w:val="center"/>
              <w:rPr>
                <w:noProof/>
              </w:rPr>
            </w:pPr>
            <w:r>
              <w:rPr>
                <w:noProof/>
              </w:rPr>
              <w:t>M7-9</w:t>
            </w:r>
          </w:p>
        </w:tc>
        <w:tc>
          <w:tcPr>
            <w:tcW w:w="1559" w:type="dxa"/>
            <w:shd w:val="clear" w:color="auto" w:fill="C6EFCE"/>
            <w:noWrap/>
            <w:vAlign w:val="center"/>
          </w:tcPr>
          <w:p w14:paraId="37E0B943" w14:textId="77777777" w:rsidR="004C6421" w:rsidRDefault="009D1962">
            <w:pPr>
              <w:pStyle w:val="P68B1DB1-Normal4"/>
              <w:spacing w:after="120"/>
              <w:jc w:val="center"/>
              <w:rPr>
                <w:noProof/>
              </w:rPr>
            </w:pPr>
            <w:r>
              <w:rPr>
                <w:noProof/>
              </w:rPr>
              <w:t>Reforma 5: Plan na rzecz nowych umiejętności – przemiany</w:t>
            </w:r>
          </w:p>
        </w:tc>
        <w:tc>
          <w:tcPr>
            <w:tcW w:w="1134" w:type="dxa"/>
            <w:shd w:val="clear" w:color="auto" w:fill="C6EFCE"/>
            <w:noWrap/>
            <w:vAlign w:val="center"/>
          </w:tcPr>
          <w:p w14:paraId="4330240B" w14:textId="0E674E1E" w:rsidR="004C6421" w:rsidRDefault="00CC179E">
            <w:pPr>
              <w:pStyle w:val="P68B1DB1-Normal4"/>
              <w:spacing w:after="120"/>
              <w:jc w:val="center"/>
              <w:rPr>
                <w:noProof/>
              </w:rPr>
            </w:pPr>
            <w:r>
              <w:rPr>
                <w:noProof/>
              </w:rPr>
              <w:t>Milowy</w:t>
            </w:r>
          </w:p>
        </w:tc>
        <w:tc>
          <w:tcPr>
            <w:tcW w:w="1418" w:type="dxa"/>
            <w:shd w:val="clear" w:color="auto" w:fill="C6EFCE"/>
            <w:noWrap/>
            <w:vAlign w:val="center"/>
          </w:tcPr>
          <w:p w14:paraId="28E398A2" w14:textId="77777777" w:rsidR="004C6421" w:rsidRDefault="009D1962">
            <w:pPr>
              <w:pStyle w:val="P68B1DB1-Normal4"/>
              <w:spacing w:after="120"/>
              <w:jc w:val="center"/>
              <w:rPr>
                <w:noProof/>
              </w:rPr>
            </w:pPr>
            <w:r>
              <w:rPr>
                <w:noProof/>
              </w:rPr>
              <w:t>Przyjęcie i publikacja nowego planu na rzecz umiejętności – przemiany i planu działania na rzecz wdrożenia</w:t>
            </w:r>
          </w:p>
        </w:tc>
        <w:tc>
          <w:tcPr>
            <w:tcW w:w="1984" w:type="dxa"/>
            <w:shd w:val="clear" w:color="auto" w:fill="C6EFCE"/>
            <w:noWrap/>
            <w:vAlign w:val="center"/>
          </w:tcPr>
          <w:p w14:paraId="3E634223" w14:textId="77777777" w:rsidR="004C6421" w:rsidRDefault="009D1962">
            <w:pPr>
              <w:pStyle w:val="P68B1DB1-Normal4"/>
              <w:spacing w:after="120"/>
              <w:jc w:val="center"/>
              <w:rPr>
                <w:noProof/>
              </w:rPr>
            </w:pPr>
            <w:r>
              <w:rPr>
                <w:noProof/>
              </w:rPr>
              <w:t>Przyjęcie planu i planu działania</w:t>
            </w:r>
          </w:p>
        </w:tc>
        <w:tc>
          <w:tcPr>
            <w:tcW w:w="1134" w:type="dxa"/>
            <w:shd w:val="clear" w:color="auto" w:fill="C6EFCE"/>
            <w:noWrap/>
            <w:vAlign w:val="center"/>
          </w:tcPr>
          <w:p w14:paraId="00ED16E7" w14:textId="77777777" w:rsidR="004C6421" w:rsidRDefault="004C6421">
            <w:pPr>
              <w:spacing w:after="120"/>
              <w:jc w:val="center"/>
              <w:rPr>
                <w:rFonts w:ascii="Arial Narrow" w:hAnsi="Arial Narrow"/>
                <w:noProof/>
                <w:color w:val="006100"/>
                <w:sz w:val="20"/>
              </w:rPr>
            </w:pPr>
          </w:p>
        </w:tc>
        <w:tc>
          <w:tcPr>
            <w:tcW w:w="993" w:type="dxa"/>
            <w:shd w:val="clear" w:color="auto" w:fill="C6EFCE"/>
            <w:noWrap/>
            <w:vAlign w:val="center"/>
          </w:tcPr>
          <w:p w14:paraId="22945BC2" w14:textId="77777777" w:rsidR="004C6421" w:rsidRDefault="004C6421">
            <w:pPr>
              <w:spacing w:after="120"/>
              <w:jc w:val="center"/>
              <w:rPr>
                <w:rFonts w:ascii="Arial Narrow" w:hAnsi="Arial Narrow"/>
                <w:noProof/>
                <w:color w:val="006100"/>
                <w:sz w:val="20"/>
              </w:rPr>
            </w:pPr>
          </w:p>
        </w:tc>
        <w:tc>
          <w:tcPr>
            <w:tcW w:w="992" w:type="dxa"/>
            <w:shd w:val="clear" w:color="auto" w:fill="C6EFCE"/>
            <w:noWrap/>
            <w:vAlign w:val="center"/>
          </w:tcPr>
          <w:p w14:paraId="3090F207" w14:textId="77777777" w:rsidR="004C6421" w:rsidRDefault="004C6421">
            <w:pPr>
              <w:spacing w:after="120"/>
              <w:jc w:val="center"/>
              <w:rPr>
                <w:rFonts w:ascii="Arial Narrow" w:hAnsi="Arial Narrow"/>
                <w:noProof/>
                <w:color w:val="006100"/>
                <w:sz w:val="20"/>
              </w:rPr>
            </w:pPr>
          </w:p>
        </w:tc>
        <w:tc>
          <w:tcPr>
            <w:tcW w:w="992" w:type="dxa"/>
            <w:shd w:val="clear" w:color="auto" w:fill="C6EFCE"/>
            <w:noWrap/>
            <w:vAlign w:val="center"/>
          </w:tcPr>
          <w:p w14:paraId="43A1BFA3" w14:textId="2C2C94E4" w:rsidR="004C6421" w:rsidRDefault="00CC179E">
            <w:pPr>
              <w:pStyle w:val="P68B1DB1-Normal4"/>
              <w:spacing w:after="120"/>
              <w:jc w:val="center"/>
              <w:rPr>
                <w:noProof/>
              </w:rPr>
            </w:pPr>
            <w:r>
              <w:rPr>
                <w:noProof/>
              </w:rPr>
              <w:t>KW. 1</w:t>
            </w:r>
          </w:p>
        </w:tc>
        <w:tc>
          <w:tcPr>
            <w:tcW w:w="709" w:type="dxa"/>
            <w:shd w:val="clear" w:color="auto" w:fill="C6EFCE"/>
            <w:noWrap/>
            <w:vAlign w:val="center"/>
          </w:tcPr>
          <w:p w14:paraId="2F419E2E" w14:textId="77777777" w:rsidR="004C6421" w:rsidRDefault="009D1962">
            <w:pPr>
              <w:pStyle w:val="P68B1DB1-Normal4"/>
              <w:spacing w:after="120"/>
              <w:jc w:val="center"/>
              <w:rPr>
                <w:noProof/>
              </w:rPr>
            </w:pPr>
            <w:r>
              <w:rPr>
                <w:noProof/>
              </w:rPr>
              <w:t>2024</w:t>
            </w:r>
          </w:p>
        </w:tc>
        <w:tc>
          <w:tcPr>
            <w:tcW w:w="3261" w:type="dxa"/>
            <w:shd w:val="clear" w:color="auto" w:fill="C6EFCE"/>
            <w:noWrap/>
            <w:vAlign w:val="center"/>
          </w:tcPr>
          <w:p w14:paraId="035E114C" w14:textId="77777777" w:rsidR="004C6421" w:rsidRDefault="009D1962">
            <w:pPr>
              <w:pStyle w:val="P68B1DB1-Normal4"/>
              <w:spacing w:after="120"/>
              <w:rPr>
                <w:noProof/>
              </w:rPr>
            </w:pPr>
            <w:r>
              <w:rPr>
                <w:noProof/>
              </w:rPr>
              <w:t>„Piano Nuove Competenze” przyjęty dekretem z dnia 14 grudnia 2021 r. i opublikowany w Gazzetta ufficiale n.307 z dnia 28 grudnia 2021 r. zostaje zmieniony i wchodzi w życie nowy plan dotyczący umiejętności w okresie przejściowym. Plan zawiera ogólne zasady, które mają zostać doprecyzowane w ustawach regionalnych, które obejmują:</w:t>
            </w:r>
          </w:p>
          <w:p w14:paraId="4ACA4822" w14:textId="77777777" w:rsidR="004C6421" w:rsidRDefault="009D1962">
            <w:pPr>
              <w:pStyle w:val="P68B1DB1-ListParagraph5"/>
              <w:numPr>
                <w:ilvl w:val="0"/>
                <w:numId w:val="40"/>
              </w:numPr>
              <w:spacing w:before="0"/>
              <w:ind w:left="382" w:hanging="142"/>
              <w:rPr>
                <w:noProof/>
              </w:rPr>
            </w:pPr>
            <w:r>
              <w:rPr>
                <w:noProof/>
              </w:rPr>
              <w:t xml:space="preserve">większe zaangażowanie sektora prywatnego w zapewnianie szkoleń, </w:t>
            </w:r>
          </w:p>
          <w:p w14:paraId="4D3E0AAE" w14:textId="77777777" w:rsidR="004C6421" w:rsidRDefault="009D1962">
            <w:pPr>
              <w:pStyle w:val="P68B1DB1-ListParagraph5"/>
              <w:numPr>
                <w:ilvl w:val="0"/>
                <w:numId w:val="40"/>
              </w:numPr>
              <w:spacing w:before="0"/>
              <w:ind w:left="382" w:hanging="142"/>
              <w:contextualSpacing w:val="0"/>
              <w:rPr>
                <w:noProof/>
              </w:rPr>
            </w:pPr>
            <w:r>
              <w:rPr>
                <w:noProof/>
              </w:rPr>
              <w:t xml:space="preserve">lepsze uznawanie szkoleń w miejscu pracy i mikropoświadczeń, </w:t>
            </w:r>
          </w:p>
          <w:p w14:paraId="602C963E" w14:textId="77777777" w:rsidR="004C6421" w:rsidRDefault="009D1962">
            <w:pPr>
              <w:pStyle w:val="P68B1DB1-ListParagraph5"/>
              <w:numPr>
                <w:ilvl w:val="0"/>
                <w:numId w:val="40"/>
              </w:numPr>
              <w:spacing w:before="0"/>
              <w:ind w:left="382" w:hanging="142"/>
              <w:contextualSpacing w:val="0"/>
              <w:rPr>
                <w:noProof/>
              </w:rPr>
            </w:pPr>
            <w:r>
              <w:rPr>
                <w:noProof/>
              </w:rPr>
              <w:t xml:space="preserve">większa analiza ex ante rynku pracy i monitorowanie skutków szkoleń w miejscu pracy. </w:t>
            </w:r>
          </w:p>
          <w:p w14:paraId="298CAAFB" w14:textId="77777777" w:rsidR="004C6421" w:rsidRDefault="009D1962">
            <w:pPr>
              <w:pStyle w:val="P68B1DB1-Normal4"/>
              <w:spacing w:after="120"/>
              <w:rPr>
                <w:noProof/>
              </w:rPr>
            </w:pPr>
            <w:r>
              <w:rPr>
                <w:noProof/>
              </w:rPr>
              <w:t>Przyjęto również plan działania w zakresie wdrażania.</w:t>
            </w:r>
          </w:p>
        </w:tc>
      </w:tr>
      <w:tr w:rsidR="004C6421" w14:paraId="524572DC" w14:textId="77777777">
        <w:trPr>
          <w:trHeight w:val="309"/>
        </w:trPr>
        <w:tc>
          <w:tcPr>
            <w:tcW w:w="1185" w:type="dxa"/>
            <w:shd w:val="clear" w:color="auto" w:fill="C6EFCE"/>
            <w:noWrap/>
            <w:vAlign w:val="center"/>
          </w:tcPr>
          <w:p w14:paraId="47234252" w14:textId="77777777" w:rsidR="004C6421" w:rsidRDefault="009D1962">
            <w:pPr>
              <w:pStyle w:val="P68B1DB1-Normal4"/>
              <w:spacing w:after="120"/>
              <w:jc w:val="center"/>
              <w:rPr>
                <w:rFonts w:eastAsia="Arial Narrow" w:cs="Arial Narrow"/>
                <w:noProof/>
              </w:rPr>
            </w:pPr>
            <w:r>
              <w:rPr>
                <w:noProof/>
              </w:rPr>
              <w:t>M7-10</w:t>
            </w:r>
          </w:p>
        </w:tc>
        <w:tc>
          <w:tcPr>
            <w:tcW w:w="1559" w:type="dxa"/>
            <w:shd w:val="clear" w:color="auto" w:fill="C6EFCE"/>
            <w:noWrap/>
            <w:vAlign w:val="center"/>
          </w:tcPr>
          <w:p w14:paraId="2EB416BC" w14:textId="77777777" w:rsidR="004C6421" w:rsidRDefault="009D1962">
            <w:pPr>
              <w:pStyle w:val="P68B1DB1-Normal4"/>
              <w:spacing w:after="120"/>
              <w:jc w:val="center"/>
              <w:rPr>
                <w:rFonts w:eastAsia="Arial Narrow" w:cs="Arial Narrow"/>
                <w:noProof/>
              </w:rPr>
            </w:pPr>
            <w:r>
              <w:rPr>
                <w:noProof/>
              </w:rPr>
              <w:t>Reforma 5: Plan na rzecz nowych umiejętności – przemiany</w:t>
            </w:r>
          </w:p>
        </w:tc>
        <w:tc>
          <w:tcPr>
            <w:tcW w:w="1134" w:type="dxa"/>
            <w:shd w:val="clear" w:color="auto" w:fill="C6EFCE"/>
            <w:noWrap/>
            <w:vAlign w:val="center"/>
          </w:tcPr>
          <w:p w14:paraId="4DD9070F" w14:textId="4558A6F3" w:rsidR="004C6421" w:rsidRDefault="00CC179E">
            <w:pPr>
              <w:pStyle w:val="P68B1DB1-Normal4"/>
              <w:spacing w:after="120"/>
              <w:jc w:val="center"/>
              <w:rPr>
                <w:rFonts w:eastAsia="Arial Narrow" w:cs="Arial Narrow"/>
                <w:noProof/>
              </w:rPr>
            </w:pPr>
            <w:r>
              <w:rPr>
                <w:noProof/>
              </w:rPr>
              <w:t>Milowy</w:t>
            </w:r>
          </w:p>
        </w:tc>
        <w:tc>
          <w:tcPr>
            <w:tcW w:w="1418" w:type="dxa"/>
            <w:shd w:val="clear" w:color="auto" w:fill="C6EFCE"/>
            <w:noWrap/>
            <w:vAlign w:val="center"/>
          </w:tcPr>
          <w:p w14:paraId="19F09F58" w14:textId="77777777" w:rsidR="004C6421" w:rsidRDefault="009D1962">
            <w:pPr>
              <w:pStyle w:val="P68B1DB1-Normal4"/>
              <w:spacing w:after="120"/>
              <w:jc w:val="center"/>
              <w:rPr>
                <w:rFonts w:eastAsia="Arial Narrow" w:cs="Arial Narrow"/>
                <w:noProof/>
              </w:rPr>
            </w:pPr>
            <w:r>
              <w:rPr>
                <w:noProof/>
              </w:rPr>
              <w:t>Wejście w życie ustaw regionalnych</w:t>
            </w:r>
          </w:p>
        </w:tc>
        <w:tc>
          <w:tcPr>
            <w:tcW w:w="1984" w:type="dxa"/>
            <w:shd w:val="clear" w:color="auto" w:fill="C6EFCE"/>
            <w:noWrap/>
            <w:vAlign w:val="center"/>
          </w:tcPr>
          <w:p w14:paraId="3F1DC517" w14:textId="77777777" w:rsidR="004C6421" w:rsidRDefault="009D1962">
            <w:pPr>
              <w:pStyle w:val="P68B1DB1-Normal4"/>
              <w:spacing w:after="120"/>
              <w:jc w:val="center"/>
              <w:rPr>
                <w:rFonts w:eastAsia="Arial Narrow" w:cs="Arial Narrow"/>
                <w:noProof/>
              </w:rPr>
            </w:pPr>
            <w:r>
              <w:rPr>
                <w:noProof/>
              </w:rPr>
              <w:t>Przepis ustaw wskazujący na wejście w życie ustaw regionalnych</w:t>
            </w:r>
          </w:p>
        </w:tc>
        <w:tc>
          <w:tcPr>
            <w:tcW w:w="1134" w:type="dxa"/>
            <w:shd w:val="clear" w:color="auto" w:fill="C6EFCE"/>
            <w:noWrap/>
            <w:vAlign w:val="center"/>
          </w:tcPr>
          <w:p w14:paraId="741EE030" w14:textId="77777777" w:rsidR="004C6421" w:rsidRDefault="004C6421">
            <w:pPr>
              <w:spacing w:after="120"/>
              <w:jc w:val="center"/>
              <w:rPr>
                <w:rFonts w:ascii="Arial Narrow" w:eastAsia="Arial Narrow" w:hAnsi="Arial Narrow" w:cs="Arial Narrow"/>
                <w:noProof/>
                <w:color w:val="006100"/>
                <w:sz w:val="20"/>
              </w:rPr>
            </w:pPr>
          </w:p>
        </w:tc>
        <w:tc>
          <w:tcPr>
            <w:tcW w:w="993" w:type="dxa"/>
            <w:shd w:val="clear" w:color="auto" w:fill="C6EFCE"/>
            <w:noWrap/>
            <w:vAlign w:val="center"/>
          </w:tcPr>
          <w:p w14:paraId="5F8B93A9" w14:textId="77777777" w:rsidR="004C6421" w:rsidRDefault="004C6421">
            <w:pPr>
              <w:spacing w:after="120"/>
              <w:jc w:val="center"/>
              <w:rPr>
                <w:rFonts w:ascii="Arial Narrow" w:eastAsia="Arial Narrow" w:hAnsi="Arial Narrow" w:cs="Arial Narrow"/>
                <w:noProof/>
                <w:color w:val="006100"/>
                <w:sz w:val="20"/>
              </w:rPr>
            </w:pPr>
          </w:p>
        </w:tc>
        <w:tc>
          <w:tcPr>
            <w:tcW w:w="992" w:type="dxa"/>
            <w:shd w:val="clear" w:color="auto" w:fill="C6EFCE"/>
            <w:noWrap/>
            <w:vAlign w:val="center"/>
          </w:tcPr>
          <w:p w14:paraId="08ACAEE9" w14:textId="77777777" w:rsidR="004C6421" w:rsidRDefault="004C6421">
            <w:pPr>
              <w:spacing w:after="120"/>
              <w:jc w:val="center"/>
              <w:rPr>
                <w:rFonts w:ascii="Arial Narrow" w:eastAsia="Arial Narrow" w:hAnsi="Arial Narrow" w:cs="Arial Narrow"/>
                <w:noProof/>
                <w:color w:val="006100"/>
                <w:sz w:val="20"/>
              </w:rPr>
            </w:pPr>
          </w:p>
        </w:tc>
        <w:tc>
          <w:tcPr>
            <w:tcW w:w="992" w:type="dxa"/>
            <w:shd w:val="clear" w:color="auto" w:fill="C6EFCE"/>
            <w:noWrap/>
            <w:vAlign w:val="center"/>
          </w:tcPr>
          <w:p w14:paraId="63BEE56D" w14:textId="77777777" w:rsidR="004C6421" w:rsidRDefault="009D1962">
            <w:pPr>
              <w:pStyle w:val="P68B1DB1-Normal4"/>
              <w:spacing w:after="120"/>
              <w:jc w:val="center"/>
              <w:rPr>
                <w:rFonts w:eastAsia="Arial Narrow" w:cs="Arial Narrow"/>
                <w:noProof/>
              </w:rPr>
            </w:pPr>
            <w:r>
              <w:rPr>
                <w:noProof/>
              </w:rPr>
              <w:t>III KW.</w:t>
            </w:r>
          </w:p>
        </w:tc>
        <w:tc>
          <w:tcPr>
            <w:tcW w:w="709" w:type="dxa"/>
            <w:shd w:val="clear" w:color="auto" w:fill="C6EFCE"/>
            <w:noWrap/>
            <w:vAlign w:val="center"/>
          </w:tcPr>
          <w:p w14:paraId="2D747D10" w14:textId="77777777" w:rsidR="004C6421" w:rsidRDefault="009D1962">
            <w:pPr>
              <w:pStyle w:val="P68B1DB1-Normal4"/>
              <w:spacing w:after="120"/>
              <w:jc w:val="center"/>
              <w:rPr>
                <w:rFonts w:eastAsia="Arial Narrow" w:cs="Arial Narrow"/>
                <w:noProof/>
              </w:rPr>
            </w:pPr>
            <w:r>
              <w:rPr>
                <w:noProof/>
              </w:rPr>
              <w:t>2025</w:t>
            </w:r>
          </w:p>
        </w:tc>
        <w:tc>
          <w:tcPr>
            <w:tcW w:w="3261" w:type="dxa"/>
            <w:shd w:val="clear" w:color="auto" w:fill="C6EFCE"/>
            <w:noWrap/>
            <w:vAlign w:val="center"/>
          </w:tcPr>
          <w:p w14:paraId="68EE88F4" w14:textId="77777777" w:rsidR="004C6421" w:rsidRDefault="009D1962">
            <w:pPr>
              <w:pStyle w:val="P68B1DB1-Normal4"/>
              <w:spacing w:after="120"/>
              <w:rPr>
                <w:rFonts w:eastAsia="Arial Narrow" w:cs="Arial Narrow"/>
                <w:noProof/>
              </w:rPr>
            </w:pPr>
            <w:r>
              <w:rPr>
                <w:noProof/>
              </w:rPr>
              <w:t>Wejście w życie ustaw regionalnych.</w:t>
            </w:r>
          </w:p>
          <w:p w14:paraId="2208F70C" w14:textId="77777777" w:rsidR="004C6421" w:rsidRDefault="009D1962">
            <w:pPr>
              <w:pStyle w:val="P68B1DB1-Normal4"/>
              <w:spacing w:after="120"/>
              <w:rPr>
                <w:rFonts w:eastAsia="Arial Narrow" w:cs="Arial Narrow"/>
                <w:noProof/>
              </w:rPr>
            </w:pPr>
            <w:r>
              <w:rPr>
                <w:noProof/>
              </w:rPr>
              <w:t>Ustawy te dotyczą wszystkich regionów i prowincji autonomicznych i wprowadzają:</w:t>
            </w:r>
          </w:p>
          <w:p w14:paraId="4CFA4B3E" w14:textId="72939C5B" w:rsidR="004C6421" w:rsidRDefault="009D1962">
            <w:pPr>
              <w:pStyle w:val="P68B1DB1-ListParagraph5"/>
              <w:numPr>
                <w:ilvl w:val="0"/>
                <w:numId w:val="5"/>
              </w:numPr>
              <w:spacing w:before="0"/>
              <w:ind w:left="382" w:hanging="283"/>
              <w:rPr>
                <w:rFonts w:eastAsia="Arial Narrow" w:cs="Arial Narrow"/>
                <w:noProof/>
              </w:rPr>
            </w:pPr>
            <w:r>
              <w:rPr>
                <w:noProof/>
              </w:rPr>
              <w:t xml:space="preserve">mechanizmy zapewniające, aby działania szkoleniowe były planowane w oparciu o potrzeby wyrażane przez rynek pracy, przy czym pierwszeństwo mają działania szkoleniowe w obszarach, w których występuje największe niedopasowanie umiejętności, a w szczególności umiejętności sektorowe na potrzeby transformacji ekologicznej, za pośrednictwem zatwierdzonych paktów na rzecz umiejętności; </w:t>
            </w:r>
          </w:p>
          <w:p w14:paraId="39257918" w14:textId="77777777" w:rsidR="004C6421" w:rsidRDefault="009D1962">
            <w:pPr>
              <w:pStyle w:val="P68B1DB1-ListParagraph5"/>
              <w:numPr>
                <w:ilvl w:val="0"/>
                <w:numId w:val="5"/>
              </w:numPr>
              <w:spacing w:before="0"/>
              <w:ind w:left="382" w:hanging="283"/>
              <w:rPr>
                <w:rFonts w:eastAsia="Arial Narrow" w:cs="Arial Narrow"/>
                <w:noProof/>
              </w:rPr>
            </w:pPr>
            <w:r>
              <w:rPr>
                <w:noProof/>
              </w:rPr>
              <w:t>obowiązek podawania szacunkowych wyników zatrudnienia w ogłoszeniach o szkoleniach i ogłoszeniach;</w:t>
            </w:r>
          </w:p>
          <w:p w14:paraId="6DA352F3" w14:textId="02E02DF3" w:rsidR="004C6421" w:rsidRDefault="009D1962">
            <w:pPr>
              <w:pStyle w:val="P68B1DB1-ListParagraph5"/>
              <w:numPr>
                <w:ilvl w:val="0"/>
                <w:numId w:val="5"/>
              </w:numPr>
              <w:spacing w:before="0"/>
              <w:ind w:left="382" w:hanging="283"/>
              <w:rPr>
                <w:rFonts w:eastAsia="Arial Narrow" w:cs="Arial Narrow"/>
                <w:noProof/>
              </w:rPr>
            </w:pPr>
            <w:r>
              <w:rPr>
                <w:noProof/>
              </w:rPr>
              <w:t>uznawanie szkoleń w przedsiębiorstwie, zgodnie ze wspólnymi ramami przejrzystości w zakresie uznawania i przenoszenia umiejętności;</w:t>
            </w:r>
          </w:p>
          <w:p w14:paraId="1B88E87A" w14:textId="77777777" w:rsidR="004C6421" w:rsidRDefault="009D1962">
            <w:pPr>
              <w:pStyle w:val="P68B1DB1-ListParagraph5"/>
              <w:numPr>
                <w:ilvl w:val="0"/>
                <w:numId w:val="5"/>
              </w:numPr>
              <w:spacing w:before="0"/>
              <w:ind w:left="382" w:hanging="283"/>
              <w:rPr>
                <w:rFonts w:eastAsia="Arial Narrow" w:cs="Arial Narrow"/>
                <w:noProof/>
              </w:rPr>
            </w:pPr>
            <w:r>
              <w:rPr>
                <w:noProof/>
              </w:rPr>
              <w:t>uznawanie nabytych umiejętności i krótkich kursów szkoleniowych (tzw. mikropoświadczeń) zgodnie ze wspólnymi ramami przejrzystości w zakresie uznawania i przenoszenia umiejętności;</w:t>
            </w:r>
          </w:p>
          <w:p w14:paraId="27A2AF4C" w14:textId="1A6B2576" w:rsidR="004C6421" w:rsidRDefault="009D1962">
            <w:pPr>
              <w:pStyle w:val="P68B1DB1-ListParagraph5"/>
              <w:numPr>
                <w:ilvl w:val="0"/>
                <w:numId w:val="5"/>
              </w:numPr>
              <w:spacing w:before="0"/>
              <w:ind w:left="382" w:hanging="283"/>
              <w:rPr>
                <w:rFonts w:eastAsia="Arial Narrow" w:cs="Arial Narrow"/>
                <w:noProof/>
              </w:rPr>
            </w:pPr>
            <w:r>
              <w:rPr>
                <w:noProof/>
              </w:rPr>
              <w:t>Mechanizmy zachęcające do współfinansowania prywatnego.</w:t>
            </w:r>
          </w:p>
          <w:p w14:paraId="272BB181" w14:textId="41449BB6" w:rsidR="004C6421" w:rsidRDefault="009D1962">
            <w:pPr>
              <w:pStyle w:val="P68B1DB1-Normal4"/>
              <w:ind w:left="99"/>
              <w:rPr>
                <w:rFonts w:eastAsia="Arial Narrow" w:cs="Arial Narrow"/>
                <w:noProof/>
              </w:rPr>
            </w:pPr>
            <w:r>
              <w:rPr>
                <w:noProof/>
              </w:rPr>
              <w:t>Wyniki projektu pilotażowego w ramach inwestycji 10 są uwzględniane przy opracowywaniu i wdrażaniu przepisów regionalnych.</w:t>
            </w:r>
          </w:p>
        </w:tc>
      </w:tr>
      <w:tr w:rsidR="004C6421" w14:paraId="59FEC0DD" w14:textId="77777777">
        <w:trPr>
          <w:trHeight w:val="309"/>
        </w:trPr>
        <w:tc>
          <w:tcPr>
            <w:tcW w:w="1185" w:type="dxa"/>
            <w:shd w:val="clear" w:color="auto" w:fill="C6EFCE"/>
            <w:noWrap/>
            <w:vAlign w:val="center"/>
          </w:tcPr>
          <w:p w14:paraId="4D544953" w14:textId="77777777" w:rsidR="004C6421" w:rsidRDefault="009D1962">
            <w:pPr>
              <w:pStyle w:val="P68B1DB1-Normal4"/>
              <w:spacing w:after="120"/>
              <w:jc w:val="center"/>
              <w:rPr>
                <w:noProof/>
              </w:rPr>
            </w:pPr>
            <w:r>
              <w:rPr>
                <w:noProof/>
              </w:rPr>
              <w:t>M7-11</w:t>
            </w:r>
          </w:p>
        </w:tc>
        <w:tc>
          <w:tcPr>
            <w:tcW w:w="1559" w:type="dxa"/>
            <w:shd w:val="clear" w:color="auto" w:fill="C6EFCE"/>
            <w:noWrap/>
            <w:vAlign w:val="center"/>
          </w:tcPr>
          <w:p w14:paraId="358DC21B" w14:textId="77777777" w:rsidR="004C6421" w:rsidRDefault="009D1962">
            <w:pPr>
              <w:pStyle w:val="P68B1DB1-Normal4"/>
              <w:spacing w:after="120"/>
              <w:jc w:val="center"/>
              <w:rPr>
                <w:noProof/>
              </w:rPr>
            </w:pPr>
            <w:r>
              <w:rPr>
                <w:noProof/>
              </w:rPr>
              <w:t>Inwestycja 1: Działanie na rzecz zwiększenia skali: Wzmocnienie inteligentnych sieci</w:t>
            </w:r>
          </w:p>
        </w:tc>
        <w:tc>
          <w:tcPr>
            <w:tcW w:w="1134" w:type="dxa"/>
            <w:shd w:val="clear" w:color="auto" w:fill="C6EFCE"/>
            <w:noWrap/>
            <w:vAlign w:val="center"/>
          </w:tcPr>
          <w:p w14:paraId="1A5C4E31" w14:textId="77777777" w:rsidR="004C6421" w:rsidRDefault="009D1962">
            <w:pPr>
              <w:pStyle w:val="P68B1DB1-Normal4"/>
              <w:spacing w:after="120"/>
              <w:jc w:val="center"/>
              <w:rPr>
                <w:noProof/>
              </w:rPr>
            </w:pPr>
            <w:r>
              <w:rPr>
                <w:noProof/>
              </w:rPr>
              <w:t>Cel</w:t>
            </w:r>
          </w:p>
        </w:tc>
        <w:tc>
          <w:tcPr>
            <w:tcW w:w="1418" w:type="dxa"/>
            <w:shd w:val="clear" w:color="auto" w:fill="C6EFCE"/>
            <w:noWrap/>
            <w:vAlign w:val="center"/>
          </w:tcPr>
          <w:p w14:paraId="6230731C" w14:textId="77777777" w:rsidR="004C6421" w:rsidRDefault="009D1962">
            <w:pPr>
              <w:pStyle w:val="P68B1DB1-Normal4"/>
              <w:spacing w:after="120"/>
              <w:jc w:val="center"/>
              <w:rPr>
                <w:noProof/>
              </w:rPr>
            </w:pPr>
            <w:r>
              <w:rPr>
                <w:noProof/>
              </w:rPr>
              <w:t>Inteligentne sieci – elektryfikacja zużycia energii</w:t>
            </w:r>
          </w:p>
        </w:tc>
        <w:tc>
          <w:tcPr>
            <w:tcW w:w="1984" w:type="dxa"/>
            <w:shd w:val="clear" w:color="auto" w:fill="C6EFCE"/>
            <w:noWrap/>
            <w:vAlign w:val="center"/>
          </w:tcPr>
          <w:p w14:paraId="77BCD3AF" w14:textId="77777777" w:rsidR="004C6421" w:rsidRDefault="004C6421">
            <w:pPr>
              <w:spacing w:after="120"/>
              <w:jc w:val="center"/>
              <w:rPr>
                <w:rFonts w:ascii="Arial Narrow" w:hAnsi="Arial Narrow"/>
                <w:noProof/>
                <w:color w:val="006100"/>
                <w:sz w:val="20"/>
              </w:rPr>
            </w:pPr>
          </w:p>
        </w:tc>
        <w:tc>
          <w:tcPr>
            <w:tcW w:w="1134" w:type="dxa"/>
            <w:shd w:val="clear" w:color="auto" w:fill="C6EFCE"/>
            <w:noWrap/>
            <w:vAlign w:val="center"/>
          </w:tcPr>
          <w:p w14:paraId="2211CA9A" w14:textId="77777777" w:rsidR="004C6421" w:rsidRDefault="009D1962">
            <w:pPr>
              <w:pStyle w:val="P68B1DB1-Normal4"/>
              <w:spacing w:after="120"/>
              <w:jc w:val="center"/>
              <w:rPr>
                <w:noProof/>
              </w:rPr>
            </w:pPr>
            <w:r>
              <w:rPr>
                <w:noProof/>
              </w:rPr>
              <w:t>Numer</w:t>
            </w:r>
          </w:p>
        </w:tc>
        <w:tc>
          <w:tcPr>
            <w:tcW w:w="993" w:type="dxa"/>
            <w:shd w:val="clear" w:color="auto" w:fill="C6EFCE"/>
            <w:noWrap/>
            <w:vAlign w:val="center"/>
          </w:tcPr>
          <w:p w14:paraId="1F962A53" w14:textId="77777777" w:rsidR="004C6421" w:rsidRDefault="009D1962">
            <w:pPr>
              <w:pStyle w:val="P68B1DB1-Normal4"/>
              <w:spacing w:after="120"/>
              <w:jc w:val="center"/>
              <w:rPr>
                <w:noProof/>
              </w:rPr>
            </w:pPr>
            <w:r>
              <w:rPr>
                <w:noProof/>
              </w:rPr>
              <w:t>1 500 000</w:t>
            </w:r>
          </w:p>
        </w:tc>
        <w:tc>
          <w:tcPr>
            <w:tcW w:w="992" w:type="dxa"/>
            <w:shd w:val="clear" w:color="auto" w:fill="C6EFCE"/>
            <w:noWrap/>
            <w:vAlign w:val="center"/>
          </w:tcPr>
          <w:p w14:paraId="5EE2645A" w14:textId="77777777" w:rsidR="004C6421" w:rsidRDefault="009D1962">
            <w:pPr>
              <w:pStyle w:val="P68B1DB1-Normal4"/>
              <w:spacing w:after="120"/>
              <w:jc w:val="center"/>
              <w:rPr>
                <w:noProof/>
              </w:rPr>
            </w:pPr>
            <w:r>
              <w:rPr>
                <w:noProof/>
              </w:rPr>
              <w:t>1 730 000</w:t>
            </w:r>
          </w:p>
        </w:tc>
        <w:tc>
          <w:tcPr>
            <w:tcW w:w="992" w:type="dxa"/>
            <w:shd w:val="clear" w:color="auto" w:fill="C6EFCE"/>
            <w:noWrap/>
            <w:vAlign w:val="center"/>
          </w:tcPr>
          <w:p w14:paraId="2E30C55C" w14:textId="77777777" w:rsidR="004C6421" w:rsidRDefault="009D1962">
            <w:pPr>
              <w:pStyle w:val="P68B1DB1-Normal4"/>
              <w:spacing w:after="120"/>
              <w:jc w:val="center"/>
              <w:rPr>
                <w:noProof/>
              </w:rPr>
            </w:pPr>
            <w:r>
              <w:rPr>
                <w:noProof/>
              </w:rPr>
              <w:t>II KW.</w:t>
            </w:r>
          </w:p>
        </w:tc>
        <w:tc>
          <w:tcPr>
            <w:tcW w:w="709" w:type="dxa"/>
            <w:shd w:val="clear" w:color="auto" w:fill="C6EFCE"/>
            <w:noWrap/>
            <w:vAlign w:val="center"/>
          </w:tcPr>
          <w:p w14:paraId="20102D25" w14:textId="77777777" w:rsidR="004C6421" w:rsidRDefault="009D1962">
            <w:pPr>
              <w:pStyle w:val="P68B1DB1-Normal4"/>
              <w:spacing w:after="120"/>
              <w:jc w:val="center"/>
              <w:rPr>
                <w:noProof/>
              </w:rPr>
            </w:pPr>
            <w:r>
              <w:rPr>
                <w:noProof/>
              </w:rPr>
              <w:t>2026</w:t>
            </w:r>
          </w:p>
        </w:tc>
        <w:tc>
          <w:tcPr>
            <w:tcW w:w="3261" w:type="dxa"/>
            <w:shd w:val="clear" w:color="auto" w:fill="C6EFCE"/>
            <w:noWrap/>
            <w:vAlign w:val="center"/>
          </w:tcPr>
          <w:p w14:paraId="27A0AC4D" w14:textId="77777777" w:rsidR="004C6421" w:rsidRDefault="009D1962">
            <w:pPr>
              <w:pStyle w:val="P68B1DB1-Normal4"/>
              <w:spacing w:after="120"/>
              <w:rPr>
                <w:noProof/>
                <w:color w:val="FF0000"/>
              </w:rPr>
            </w:pPr>
            <w:r>
              <w:rPr>
                <w:noProof/>
              </w:rPr>
              <w:t>Elektryfikacja zużycia energii do co najmniej 1730000 mieszkańców.</w:t>
            </w:r>
          </w:p>
        </w:tc>
      </w:tr>
      <w:tr w:rsidR="004C6421" w14:paraId="10DEAC5D" w14:textId="77777777">
        <w:trPr>
          <w:trHeight w:val="309"/>
        </w:trPr>
        <w:tc>
          <w:tcPr>
            <w:tcW w:w="1185" w:type="dxa"/>
            <w:shd w:val="clear" w:color="auto" w:fill="C6EFCE"/>
            <w:noWrap/>
            <w:vAlign w:val="center"/>
          </w:tcPr>
          <w:p w14:paraId="1D39D5A6" w14:textId="77777777" w:rsidR="004C6421" w:rsidRDefault="009D1962">
            <w:pPr>
              <w:pStyle w:val="P68B1DB1-Normal4"/>
              <w:spacing w:after="120"/>
              <w:jc w:val="center"/>
              <w:rPr>
                <w:noProof/>
              </w:rPr>
            </w:pPr>
            <w:r>
              <w:rPr>
                <w:noProof/>
              </w:rPr>
              <w:t>M7-12</w:t>
            </w:r>
          </w:p>
        </w:tc>
        <w:tc>
          <w:tcPr>
            <w:tcW w:w="1559" w:type="dxa"/>
            <w:shd w:val="clear" w:color="auto" w:fill="C6EFCE"/>
            <w:noWrap/>
            <w:vAlign w:val="center"/>
          </w:tcPr>
          <w:p w14:paraId="4EC60258" w14:textId="77777777" w:rsidR="004C6421" w:rsidRDefault="009D1962">
            <w:pPr>
              <w:pStyle w:val="P68B1DB1-Normal4"/>
              <w:spacing w:after="120"/>
              <w:jc w:val="center"/>
              <w:rPr>
                <w:noProof/>
              </w:rPr>
            </w:pPr>
            <w:r>
              <w:rPr>
                <w:noProof/>
              </w:rPr>
              <w:t>Inwestycja 2: Działanie na rzecz zwiększenia skali: Interwencje mające na celu zwiększenie odporności sieci elektroenergetycznej</w:t>
            </w:r>
          </w:p>
        </w:tc>
        <w:tc>
          <w:tcPr>
            <w:tcW w:w="1134" w:type="dxa"/>
            <w:shd w:val="clear" w:color="auto" w:fill="C6EFCE"/>
            <w:noWrap/>
            <w:vAlign w:val="center"/>
          </w:tcPr>
          <w:p w14:paraId="1D54B6EC" w14:textId="77777777" w:rsidR="004C6421" w:rsidRDefault="009D1962">
            <w:pPr>
              <w:pStyle w:val="P68B1DB1-Normal4"/>
              <w:spacing w:after="120"/>
              <w:jc w:val="center"/>
              <w:rPr>
                <w:noProof/>
              </w:rPr>
            </w:pPr>
            <w:r>
              <w:rPr>
                <w:noProof/>
              </w:rPr>
              <w:t>Cel</w:t>
            </w:r>
          </w:p>
        </w:tc>
        <w:tc>
          <w:tcPr>
            <w:tcW w:w="1418" w:type="dxa"/>
            <w:shd w:val="clear" w:color="auto" w:fill="C6EFCE"/>
            <w:noWrap/>
            <w:vAlign w:val="center"/>
          </w:tcPr>
          <w:p w14:paraId="55FA441D" w14:textId="77777777" w:rsidR="004C6421" w:rsidRDefault="009D1962">
            <w:pPr>
              <w:pStyle w:val="P68B1DB1-Normal4"/>
              <w:spacing w:after="120"/>
              <w:jc w:val="center"/>
              <w:rPr>
                <w:noProof/>
              </w:rPr>
            </w:pPr>
            <w:r>
              <w:rPr>
                <w:noProof/>
              </w:rPr>
              <w:t>Zwiększenie odporności sieci elektroenergetycznej</w:t>
            </w:r>
          </w:p>
        </w:tc>
        <w:tc>
          <w:tcPr>
            <w:tcW w:w="1984" w:type="dxa"/>
            <w:shd w:val="clear" w:color="auto" w:fill="C6EFCE"/>
            <w:noWrap/>
            <w:vAlign w:val="center"/>
          </w:tcPr>
          <w:p w14:paraId="7D13F834" w14:textId="77777777" w:rsidR="004C6421" w:rsidRDefault="004C6421">
            <w:pPr>
              <w:spacing w:after="120"/>
              <w:jc w:val="center"/>
              <w:rPr>
                <w:rFonts w:ascii="Arial Narrow" w:hAnsi="Arial Narrow"/>
                <w:noProof/>
                <w:color w:val="006100"/>
                <w:sz w:val="20"/>
              </w:rPr>
            </w:pPr>
          </w:p>
        </w:tc>
        <w:tc>
          <w:tcPr>
            <w:tcW w:w="1134" w:type="dxa"/>
            <w:shd w:val="clear" w:color="auto" w:fill="C6EFCE"/>
            <w:noWrap/>
            <w:vAlign w:val="center"/>
          </w:tcPr>
          <w:p w14:paraId="0225E3C5" w14:textId="77777777" w:rsidR="004C6421" w:rsidRDefault="009D1962">
            <w:pPr>
              <w:pStyle w:val="P68B1DB1-Normal4"/>
              <w:spacing w:after="120"/>
              <w:jc w:val="center"/>
              <w:rPr>
                <w:noProof/>
              </w:rPr>
            </w:pPr>
            <w:r>
              <w:rPr>
                <w:noProof/>
              </w:rPr>
              <w:t>Numer</w:t>
            </w:r>
          </w:p>
        </w:tc>
        <w:tc>
          <w:tcPr>
            <w:tcW w:w="993" w:type="dxa"/>
            <w:shd w:val="clear" w:color="auto" w:fill="C6EFCE"/>
            <w:noWrap/>
            <w:vAlign w:val="center"/>
          </w:tcPr>
          <w:p w14:paraId="029FC03B" w14:textId="77777777" w:rsidR="004C6421" w:rsidRDefault="009D1962">
            <w:pPr>
              <w:pStyle w:val="P68B1DB1-Normal4"/>
              <w:spacing w:after="120"/>
              <w:jc w:val="center"/>
              <w:rPr>
                <w:noProof/>
              </w:rPr>
            </w:pPr>
            <w:r>
              <w:rPr>
                <w:noProof/>
              </w:rPr>
              <w:t>4 000</w:t>
            </w:r>
          </w:p>
        </w:tc>
        <w:tc>
          <w:tcPr>
            <w:tcW w:w="992" w:type="dxa"/>
            <w:shd w:val="clear" w:color="auto" w:fill="C6EFCE"/>
            <w:noWrap/>
            <w:vAlign w:val="center"/>
          </w:tcPr>
          <w:p w14:paraId="459E4BBC" w14:textId="77777777" w:rsidR="004C6421" w:rsidRDefault="009D1962">
            <w:pPr>
              <w:pStyle w:val="P68B1DB1-Normal4"/>
              <w:spacing w:after="120"/>
              <w:jc w:val="center"/>
              <w:rPr>
                <w:noProof/>
              </w:rPr>
            </w:pPr>
            <w:r>
              <w:rPr>
                <w:noProof/>
              </w:rPr>
              <w:t>4 648</w:t>
            </w:r>
          </w:p>
        </w:tc>
        <w:tc>
          <w:tcPr>
            <w:tcW w:w="992" w:type="dxa"/>
            <w:shd w:val="clear" w:color="auto" w:fill="C6EFCE"/>
            <w:noWrap/>
            <w:vAlign w:val="center"/>
          </w:tcPr>
          <w:p w14:paraId="64CC53E4" w14:textId="77777777" w:rsidR="004C6421" w:rsidRDefault="009D1962">
            <w:pPr>
              <w:pStyle w:val="P68B1DB1-Normal4"/>
              <w:spacing w:after="120"/>
              <w:jc w:val="center"/>
              <w:rPr>
                <w:noProof/>
              </w:rPr>
            </w:pPr>
            <w:r>
              <w:rPr>
                <w:noProof/>
              </w:rPr>
              <w:t>II KW.</w:t>
            </w:r>
          </w:p>
        </w:tc>
        <w:tc>
          <w:tcPr>
            <w:tcW w:w="709" w:type="dxa"/>
            <w:shd w:val="clear" w:color="auto" w:fill="C6EFCE"/>
            <w:noWrap/>
            <w:vAlign w:val="center"/>
          </w:tcPr>
          <w:p w14:paraId="0DBB39E8" w14:textId="77777777" w:rsidR="004C6421" w:rsidRDefault="009D1962">
            <w:pPr>
              <w:pStyle w:val="P68B1DB1-Normal4"/>
              <w:spacing w:after="120"/>
              <w:jc w:val="center"/>
              <w:rPr>
                <w:noProof/>
              </w:rPr>
            </w:pPr>
            <w:r>
              <w:rPr>
                <w:noProof/>
              </w:rPr>
              <w:t>2026</w:t>
            </w:r>
          </w:p>
        </w:tc>
        <w:tc>
          <w:tcPr>
            <w:tcW w:w="3261" w:type="dxa"/>
            <w:shd w:val="clear" w:color="auto" w:fill="C6EFCE"/>
            <w:noWrap/>
            <w:vAlign w:val="center"/>
          </w:tcPr>
          <w:p w14:paraId="62A93838" w14:textId="77777777" w:rsidR="004C6421" w:rsidRDefault="009D1962">
            <w:pPr>
              <w:pStyle w:val="P68B1DB1-Normal4"/>
              <w:spacing w:after="120"/>
              <w:rPr>
                <w:noProof/>
                <w:color w:val="FF0000"/>
              </w:rPr>
            </w:pPr>
            <w:r>
              <w:rPr>
                <w:noProof/>
              </w:rPr>
              <w:t>Zwiększenie odporności sieci elektroenergetycznej o co najmniej 4 648 km.</w:t>
            </w:r>
          </w:p>
        </w:tc>
      </w:tr>
      <w:tr w:rsidR="004C6421" w14:paraId="2972999B" w14:textId="77777777">
        <w:trPr>
          <w:trHeight w:val="309"/>
        </w:trPr>
        <w:tc>
          <w:tcPr>
            <w:tcW w:w="1185" w:type="dxa"/>
            <w:shd w:val="clear" w:color="auto" w:fill="C6EFCE"/>
            <w:noWrap/>
            <w:vAlign w:val="center"/>
          </w:tcPr>
          <w:p w14:paraId="49873477" w14:textId="77777777" w:rsidR="004C6421" w:rsidRDefault="009D1962">
            <w:pPr>
              <w:pStyle w:val="P68B1DB1-Normal4"/>
              <w:spacing w:after="120"/>
              <w:jc w:val="center"/>
              <w:rPr>
                <w:noProof/>
              </w:rPr>
            </w:pPr>
            <w:r>
              <w:rPr>
                <w:noProof/>
              </w:rPr>
              <w:t>M7-13</w:t>
            </w:r>
          </w:p>
        </w:tc>
        <w:tc>
          <w:tcPr>
            <w:tcW w:w="1559" w:type="dxa"/>
            <w:shd w:val="clear" w:color="auto" w:fill="C6EFCE"/>
            <w:noWrap/>
            <w:vAlign w:val="center"/>
          </w:tcPr>
          <w:p w14:paraId="62F49A69" w14:textId="77777777" w:rsidR="004C6421" w:rsidRDefault="009D1962">
            <w:pPr>
              <w:pStyle w:val="P68B1DB1-Normal4"/>
              <w:spacing w:after="120"/>
              <w:jc w:val="center"/>
              <w:rPr>
                <w:noProof/>
              </w:rPr>
            </w:pPr>
            <w:r>
              <w:rPr>
                <w:noProof/>
              </w:rPr>
              <w:t>Inwestycja 3: Działanie na rzecz zwiększenia skali: Produkcja wodoru na terenach zdegradowanych (Hydrogen Valleys)</w:t>
            </w:r>
          </w:p>
        </w:tc>
        <w:tc>
          <w:tcPr>
            <w:tcW w:w="1134" w:type="dxa"/>
            <w:shd w:val="clear" w:color="auto" w:fill="C6EFCE"/>
            <w:noWrap/>
            <w:vAlign w:val="center"/>
          </w:tcPr>
          <w:p w14:paraId="5CD49E89" w14:textId="77777777" w:rsidR="004C6421" w:rsidRDefault="009D1962">
            <w:pPr>
              <w:pStyle w:val="P68B1DB1-Normal4"/>
              <w:spacing w:after="120"/>
              <w:jc w:val="center"/>
              <w:rPr>
                <w:noProof/>
              </w:rPr>
            </w:pPr>
            <w:r>
              <w:rPr>
                <w:noProof/>
              </w:rPr>
              <w:t>Cel</w:t>
            </w:r>
          </w:p>
        </w:tc>
        <w:tc>
          <w:tcPr>
            <w:tcW w:w="1418" w:type="dxa"/>
            <w:shd w:val="clear" w:color="auto" w:fill="C6EFCE"/>
            <w:noWrap/>
            <w:vAlign w:val="center"/>
          </w:tcPr>
          <w:p w14:paraId="63D2D94A" w14:textId="77777777" w:rsidR="004C6421" w:rsidRDefault="009D1962">
            <w:pPr>
              <w:pStyle w:val="P68B1DB1-Normal4"/>
              <w:spacing w:after="120"/>
              <w:jc w:val="center"/>
              <w:rPr>
                <w:noProof/>
              </w:rPr>
            </w:pPr>
            <w:r>
              <w:rPr>
                <w:noProof/>
              </w:rPr>
              <w:t>Zakończenie projektu dotyczącego produkcji wodoru na obszarach przemysłowych</w:t>
            </w:r>
          </w:p>
        </w:tc>
        <w:tc>
          <w:tcPr>
            <w:tcW w:w="1984" w:type="dxa"/>
            <w:shd w:val="clear" w:color="auto" w:fill="C6EFCE"/>
            <w:noWrap/>
            <w:vAlign w:val="center"/>
          </w:tcPr>
          <w:p w14:paraId="2AE6DED3" w14:textId="77777777" w:rsidR="004C6421" w:rsidRDefault="004C6421">
            <w:pPr>
              <w:spacing w:after="120"/>
              <w:jc w:val="center"/>
              <w:rPr>
                <w:rFonts w:ascii="Arial Narrow" w:hAnsi="Arial Narrow"/>
                <w:noProof/>
                <w:color w:val="006100"/>
                <w:sz w:val="20"/>
              </w:rPr>
            </w:pPr>
          </w:p>
        </w:tc>
        <w:tc>
          <w:tcPr>
            <w:tcW w:w="1134" w:type="dxa"/>
            <w:shd w:val="clear" w:color="auto" w:fill="C6EFCE"/>
            <w:noWrap/>
            <w:vAlign w:val="center"/>
          </w:tcPr>
          <w:p w14:paraId="75FF108D" w14:textId="77777777" w:rsidR="004C6421" w:rsidRDefault="009D1962">
            <w:pPr>
              <w:pStyle w:val="P68B1DB1-Normal4"/>
              <w:spacing w:after="120"/>
              <w:jc w:val="center"/>
              <w:rPr>
                <w:noProof/>
              </w:rPr>
            </w:pPr>
            <w:r>
              <w:rPr>
                <w:noProof/>
              </w:rPr>
              <w:t>Numer</w:t>
            </w:r>
          </w:p>
        </w:tc>
        <w:tc>
          <w:tcPr>
            <w:tcW w:w="993" w:type="dxa"/>
            <w:shd w:val="clear" w:color="auto" w:fill="C6EFCE"/>
            <w:noWrap/>
            <w:vAlign w:val="center"/>
          </w:tcPr>
          <w:p w14:paraId="552AF180" w14:textId="77777777" w:rsidR="004C6421" w:rsidRDefault="009D1962">
            <w:pPr>
              <w:pStyle w:val="P68B1DB1-Normal4"/>
              <w:spacing w:after="120"/>
              <w:jc w:val="center"/>
              <w:rPr>
                <w:noProof/>
              </w:rPr>
            </w:pPr>
            <w:r>
              <w:rPr>
                <w:noProof/>
              </w:rPr>
              <w:t>10</w:t>
            </w:r>
          </w:p>
        </w:tc>
        <w:tc>
          <w:tcPr>
            <w:tcW w:w="992" w:type="dxa"/>
            <w:shd w:val="clear" w:color="auto" w:fill="C6EFCE"/>
            <w:noWrap/>
            <w:vAlign w:val="center"/>
          </w:tcPr>
          <w:p w14:paraId="6B7F9423" w14:textId="77777777" w:rsidR="004C6421" w:rsidRDefault="009D1962">
            <w:pPr>
              <w:pStyle w:val="P68B1DB1-Normal4"/>
              <w:spacing w:after="120"/>
              <w:jc w:val="center"/>
              <w:rPr>
                <w:noProof/>
              </w:rPr>
            </w:pPr>
            <w:r>
              <w:rPr>
                <w:noProof/>
              </w:rPr>
              <w:t>12</w:t>
            </w:r>
          </w:p>
        </w:tc>
        <w:tc>
          <w:tcPr>
            <w:tcW w:w="992" w:type="dxa"/>
            <w:shd w:val="clear" w:color="auto" w:fill="C6EFCE"/>
            <w:noWrap/>
            <w:vAlign w:val="center"/>
          </w:tcPr>
          <w:p w14:paraId="1862FE59" w14:textId="77777777" w:rsidR="004C6421" w:rsidRDefault="009D1962">
            <w:pPr>
              <w:pStyle w:val="P68B1DB1-Normal4"/>
              <w:spacing w:after="120"/>
              <w:jc w:val="center"/>
              <w:rPr>
                <w:noProof/>
              </w:rPr>
            </w:pPr>
            <w:r>
              <w:rPr>
                <w:noProof/>
              </w:rPr>
              <w:t>II KW.</w:t>
            </w:r>
          </w:p>
        </w:tc>
        <w:tc>
          <w:tcPr>
            <w:tcW w:w="709" w:type="dxa"/>
            <w:shd w:val="clear" w:color="auto" w:fill="C6EFCE"/>
            <w:noWrap/>
            <w:vAlign w:val="center"/>
          </w:tcPr>
          <w:p w14:paraId="28C46B15" w14:textId="77777777" w:rsidR="004C6421" w:rsidRDefault="009D1962">
            <w:pPr>
              <w:pStyle w:val="P68B1DB1-Normal4"/>
              <w:spacing w:after="120"/>
              <w:jc w:val="center"/>
              <w:rPr>
                <w:noProof/>
              </w:rPr>
            </w:pPr>
            <w:r>
              <w:rPr>
                <w:noProof/>
              </w:rPr>
              <w:t>2026</w:t>
            </w:r>
          </w:p>
        </w:tc>
        <w:tc>
          <w:tcPr>
            <w:tcW w:w="3261" w:type="dxa"/>
            <w:shd w:val="clear" w:color="auto" w:fill="C6EFCE"/>
            <w:noWrap/>
            <w:vAlign w:val="center"/>
          </w:tcPr>
          <w:p w14:paraId="124CDACD" w14:textId="77777777" w:rsidR="004C6421" w:rsidRDefault="009D1962">
            <w:pPr>
              <w:pStyle w:val="P68B1DB1-Normal4"/>
              <w:spacing w:after="120"/>
              <w:rPr>
                <w:noProof/>
              </w:rPr>
            </w:pPr>
            <w:r>
              <w:rPr>
                <w:noProof/>
              </w:rPr>
              <w:t xml:space="preserve">Ukończenie co najmniej 12 projektów dotyczących produkcji wodoru na opuszczonych obszarach przemysłowych o średniej mocy wynoszącej co najmniej 1–5 MW każdy. </w:t>
            </w:r>
          </w:p>
        </w:tc>
      </w:tr>
      <w:tr w:rsidR="004C6421" w14:paraId="61EDDA79" w14:textId="77777777">
        <w:trPr>
          <w:trHeight w:val="309"/>
        </w:trPr>
        <w:tc>
          <w:tcPr>
            <w:tcW w:w="1185" w:type="dxa"/>
            <w:shd w:val="clear" w:color="auto" w:fill="C6EFCE"/>
            <w:noWrap/>
            <w:vAlign w:val="center"/>
          </w:tcPr>
          <w:p w14:paraId="2C7B8C74" w14:textId="77777777" w:rsidR="004C6421" w:rsidRDefault="009D1962">
            <w:pPr>
              <w:pStyle w:val="P68B1DB1-Normal4"/>
              <w:spacing w:after="120"/>
              <w:jc w:val="center"/>
              <w:rPr>
                <w:noProof/>
              </w:rPr>
            </w:pPr>
            <w:r>
              <w:rPr>
                <w:noProof/>
              </w:rPr>
              <w:t>M7-14</w:t>
            </w:r>
          </w:p>
        </w:tc>
        <w:tc>
          <w:tcPr>
            <w:tcW w:w="1559" w:type="dxa"/>
            <w:shd w:val="clear" w:color="auto" w:fill="C6EFCE"/>
            <w:noWrap/>
            <w:vAlign w:val="center"/>
          </w:tcPr>
          <w:p w14:paraId="1AC7FA03" w14:textId="77777777" w:rsidR="004C6421" w:rsidRDefault="009D1962">
            <w:pPr>
              <w:pStyle w:val="P68B1DB1-Normal4"/>
              <w:spacing w:after="120"/>
              <w:jc w:val="center"/>
              <w:rPr>
                <w:noProof/>
              </w:rPr>
            </w:pPr>
            <w:r>
              <w:rPr>
                <w:noProof/>
              </w:rPr>
              <w:t>Inwestycja 4: Link Tyrreński</w:t>
            </w:r>
          </w:p>
        </w:tc>
        <w:tc>
          <w:tcPr>
            <w:tcW w:w="1134" w:type="dxa"/>
            <w:shd w:val="clear" w:color="auto" w:fill="C6EFCE"/>
            <w:noWrap/>
            <w:vAlign w:val="center"/>
          </w:tcPr>
          <w:p w14:paraId="04CEFD97" w14:textId="750993FD" w:rsidR="004C6421" w:rsidRDefault="00CC179E">
            <w:pPr>
              <w:pStyle w:val="P68B1DB1-Normal4"/>
              <w:spacing w:after="120"/>
              <w:jc w:val="center"/>
              <w:rPr>
                <w:noProof/>
              </w:rPr>
            </w:pPr>
            <w:r>
              <w:rPr>
                <w:noProof/>
              </w:rPr>
              <w:t>Milowy</w:t>
            </w:r>
          </w:p>
        </w:tc>
        <w:tc>
          <w:tcPr>
            <w:tcW w:w="1418" w:type="dxa"/>
            <w:shd w:val="clear" w:color="auto" w:fill="C6EFCE"/>
            <w:noWrap/>
            <w:vAlign w:val="center"/>
          </w:tcPr>
          <w:p w14:paraId="13E33BB0" w14:textId="77777777" w:rsidR="004C6421" w:rsidRDefault="009D1962">
            <w:pPr>
              <w:pStyle w:val="P68B1DB1-Normal4"/>
              <w:spacing w:after="120"/>
              <w:jc w:val="center"/>
              <w:rPr>
                <w:noProof/>
              </w:rPr>
            </w:pPr>
            <w:r>
              <w:rPr>
                <w:noProof/>
              </w:rPr>
              <w:t>Udzielenie zamówień</w:t>
            </w:r>
          </w:p>
        </w:tc>
        <w:tc>
          <w:tcPr>
            <w:tcW w:w="1984" w:type="dxa"/>
            <w:shd w:val="clear" w:color="auto" w:fill="C6EFCE"/>
            <w:noWrap/>
            <w:vAlign w:val="center"/>
          </w:tcPr>
          <w:p w14:paraId="0F757A66" w14:textId="77777777" w:rsidR="004C6421" w:rsidRDefault="009D1962">
            <w:pPr>
              <w:pStyle w:val="P68B1DB1-Normal4"/>
              <w:spacing w:after="120"/>
              <w:jc w:val="center"/>
              <w:rPr>
                <w:noProof/>
              </w:rPr>
            </w:pPr>
            <w:r>
              <w:rPr>
                <w:noProof/>
              </w:rPr>
              <w:t>Powiadomienie o udzieleniu zamówienia</w:t>
            </w:r>
          </w:p>
        </w:tc>
        <w:tc>
          <w:tcPr>
            <w:tcW w:w="1134" w:type="dxa"/>
            <w:shd w:val="clear" w:color="auto" w:fill="C6EFCE"/>
            <w:noWrap/>
            <w:vAlign w:val="center"/>
          </w:tcPr>
          <w:p w14:paraId="28E55C05" w14:textId="77777777" w:rsidR="004C6421" w:rsidRDefault="004C6421">
            <w:pPr>
              <w:spacing w:after="120"/>
              <w:jc w:val="center"/>
              <w:rPr>
                <w:rFonts w:ascii="Arial Narrow" w:hAnsi="Arial Narrow"/>
                <w:noProof/>
                <w:color w:val="006100"/>
                <w:sz w:val="20"/>
              </w:rPr>
            </w:pPr>
          </w:p>
        </w:tc>
        <w:tc>
          <w:tcPr>
            <w:tcW w:w="993" w:type="dxa"/>
            <w:shd w:val="clear" w:color="auto" w:fill="C6EFCE"/>
            <w:noWrap/>
            <w:vAlign w:val="center"/>
          </w:tcPr>
          <w:p w14:paraId="0207F1CE" w14:textId="77777777" w:rsidR="004C6421" w:rsidRDefault="004C6421">
            <w:pPr>
              <w:spacing w:after="120"/>
              <w:jc w:val="center"/>
              <w:rPr>
                <w:rFonts w:ascii="Arial Narrow" w:hAnsi="Arial Narrow"/>
                <w:noProof/>
                <w:color w:val="006100"/>
                <w:sz w:val="20"/>
              </w:rPr>
            </w:pPr>
          </w:p>
        </w:tc>
        <w:tc>
          <w:tcPr>
            <w:tcW w:w="992" w:type="dxa"/>
            <w:shd w:val="clear" w:color="auto" w:fill="C6EFCE"/>
            <w:noWrap/>
            <w:vAlign w:val="center"/>
          </w:tcPr>
          <w:p w14:paraId="05D411FA" w14:textId="77777777" w:rsidR="004C6421" w:rsidRDefault="004C6421">
            <w:pPr>
              <w:spacing w:after="120"/>
              <w:jc w:val="center"/>
              <w:rPr>
                <w:rFonts w:ascii="Arial Narrow" w:hAnsi="Arial Narrow"/>
                <w:noProof/>
                <w:color w:val="006100"/>
                <w:sz w:val="20"/>
              </w:rPr>
            </w:pPr>
          </w:p>
        </w:tc>
        <w:tc>
          <w:tcPr>
            <w:tcW w:w="992" w:type="dxa"/>
            <w:shd w:val="clear" w:color="auto" w:fill="C6EFCE"/>
            <w:noWrap/>
            <w:vAlign w:val="center"/>
          </w:tcPr>
          <w:p w14:paraId="33C268C2" w14:textId="7BBE1686" w:rsidR="004C6421" w:rsidRDefault="009D1962">
            <w:pPr>
              <w:pStyle w:val="P68B1DB1-Normal4"/>
              <w:spacing w:after="120"/>
              <w:jc w:val="center"/>
              <w:rPr>
                <w:noProof/>
              </w:rPr>
            </w:pPr>
            <w:r>
              <w:rPr>
                <w:noProof/>
              </w:rPr>
              <w:t>III KW.</w:t>
            </w:r>
          </w:p>
        </w:tc>
        <w:tc>
          <w:tcPr>
            <w:tcW w:w="709" w:type="dxa"/>
            <w:shd w:val="clear" w:color="auto" w:fill="C6EFCE"/>
            <w:noWrap/>
            <w:vAlign w:val="center"/>
          </w:tcPr>
          <w:p w14:paraId="4439A924" w14:textId="77777777" w:rsidR="004C6421" w:rsidRDefault="009D1962">
            <w:pPr>
              <w:pStyle w:val="P68B1DB1-Normal4"/>
              <w:spacing w:after="120"/>
              <w:jc w:val="center"/>
              <w:rPr>
                <w:noProof/>
              </w:rPr>
            </w:pPr>
            <w:r>
              <w:rPr>
                <w:noProof/>
              </w:rPr>
              <w:t>2024</w:t>
            </w:r>
          </w:p>
        </w:tc>
        <w:tc>
          <w:tcPr>
            <w:tcW w:w="3261" w:type="dxa"/>
            <w:shd w:val="clear" w:color="auto" w:fill="C6EFCE"/>
            <w:noWrap/>
            <w:vAlign w:val="center"/>
          </w:tcPr>
          <w:p w14:paraId="731AB064" w14:textId="77777777" w:rsidR="004C6421" w:rsidRDefault="009D1962">
            <w:pPr>
              <w:pStyle w:val="P68B1DB1-Normal4"/>
              <w:spacing w:after="120"/>
              <w:rPr>
                <w:noProof/>
              </w:rPr>
            </w:pPr>
            <w:r>
              <w:rPr>
                <w:noProof/>
              </w:rPr>
              <w:t>Powiadomienie o udzieleniu wszystkich zamówień na roboty budowlane niezbędne do ułożenia 514 km kabli łączących Caracoli z Eboli.</w:t>
            </w:r>
          </w:p>
        </w:tc>
      </w:tr>
      <w:tr w:rsidR="004C6421" w14:paraId="045604F1" w14:textId="77777777">
        <w:trPr>
          <w:trHeight w:val="309"/>
        </w:trPr>
        <w:tc>
          <w:tcPr>
            <w:tcW w:w="1185" w:type="dxa"/>
            <w:shd w:val="clear" w:color="auto" w:fill="C6EFCE"/>
            <w:noWrap/>
            <w:vAlign w:val="center"/>
          </w:tcPr>
          <w:p w14:paraId="7CE32E64" w14:textId="77777777" w:rsidR="004C6421" w:rsidRDefault="009D1962">
            <w:pPr>
              <w:pStyle w:val="P68B1DB1-Normal4"/>
              <w:spacing w:after="120"/>
              <w:jc w:val="center"/>
              <w:rPr>
                <w:noProof/>
              </w:rPr>
            </w:pPr>
            <w:r>
              <w:rPr>
                <w:noProof/>
              </w:rPr>
              <w:t>M7-15</w:t>
            </w:r>
          </w:p>
        </w:tc>
        <w:tc>
          <w:tcPr>
            <w:tcW w:w="1559" w:type="dxa"/>
            <w:shd w:val="clear" w:color="auto" w:fill="C6EFCE"/>
            <w:noWrap/>
            <w:vAlign w:val="center"/>
          </w:tcPr>
          <w:p w14:paraId="3277BBBF" w14:textId="77777777" w:rsidR="004C6421" w:rsidRDefault="009D1962">
            <w:pPr>
              <w:pStyle w:val="P68B1DB1-Normal4"/>
              <w:spacing w:after="120"/>
              <w:jc w:val="center"/>
              <w:rPr>
                <w:noProof/>
              </w:rPr>
            </w:pPr>
            <w:r>
              <w:rPr>
                <w:noProof/>
              </w:rPr>
              <w:t>Inwestycja 4: Link Tyrreński</w:t>
            </w:r>
          </w:p>
        </w:tc>
        <w:tc>
          <w:tcPr>
            <w:tcW w:w="1134" w:type="dxa"/>
            <w:shd w:val="clear" w:color="auto" w:fill="C6EFCE"/>
            <w:noWrap/>
            <w:vAlign w:val="center"/>
          </w:tcPr>
          <w:p w14:paraId="366A6D52" w14:textId="77777777" w:rsidR="004C6421" w:rsidRDefault="009D1962">
            <w:pPr>
              <w:pStyle w:val="P68B1DB1-Normal4"/>
              <w:spacing w:after="120"/>
              <w:jc w:val="center"/>
              <w:rPr>
                <w:noProof/>
              </w:rPr>
            </w:pPr>
            <w:r>
              <w:rPr>
                <w:noProof/>
              </w:rPr>
              <w:t>Cel</w:t>
            </w:r>
          </w:p>
        </w:tc>
        <w:tc>
          <w:tcPr>
            <w:tcW w:w="1418" w:type="dxa"/>
            <w:shd w:val="clear" w:color="auto" w:fill="C6EFCE"/>
            <w:noWrap/>
            <w:vAlign w:val="center"/>
          </w:tcPr>
          <w:p w14:paraId="2BF0C1F3" w14:textId="77777777" w:rsidR="004C6421" w:rsidRDefault="009D1962">
            <w:pPr>
              <w:pStyle w:val="P68B1DB1-Normal4"/>
              <w:spacing w:after="120"/>
              <w:jc w:val="center"/>
              <w:rPr>
                <w:noProof/>
              </w:rPr>
            </w:pPr>
            <w:r>
              <w:rPr>
                <w:noProof/>
              </w:rPr>
              <w:t>514 km umieszczonego kabla</w:t>
            </w:r>
          </w:p>
        </w:tc>
        <w:tc>
          <w:tcPr>
            <w:tcW w:w="1984" w:type="dxa"/>
            <w:shd w:val="clear" w:color="auto" w:fill="C6EFCE"/>
            <w:noWrap/>
            <w:vAlign w:val="center"/>
          </w:tcPr>
          <w:p w14:paraId="4E4D54FA" w14:textId="77777777" w:rsidR="004C6421" w:rsidRDefault="004C6421">
            <w:pPr>
              <w:spacing w:after="120"/>
              <w:jc w:val="center"/>
              <w:rPr>
                <w:rFonts w:ascii="Arial Narrow" w:hAnsi="Arial Narrow"/>
                <w:noProof/>
                <w:color w:val="006100"/>
                <w:sz w:val="20"/>
              </w:rPr>
            </w:pPr>
          </w:p>
        </w:tc>
        <w:tc>
          <w:tcPr>
            <w:tcW w:w="1134" w:type="dxa"/>
            <w:shd w:val="clear" w:color="auto" w:fill="C6EFCE"/>
            <w:noWrap/>
            <w:vAlign w:val="center"/>
          </w:tcPr>
          <w:p w14:paraId="07C1E286" w14:textId="77777777" w:rsidR="004C6421" w:rsidRDefault="009D1962">
            <w:pPr>
              <w:pStyle w:val="P68B1DB1-Normal4"/>
              <w:spacing w:after="120"/>
              <w:jc w:val="center"/>
              <w:rPr>
                <w:noProof/>
              </w:rPr>
            </w:pPr>
            <w:r>
              <w:rPr>
                <w:noProof/>
              </w:rPr>
              <w:t>Kilometry</w:t>
            </w:r>
          </w:p>
        </w:tc>
        <w:tc>
          <w:tcPr>
            <w:tcW w:w="993" w:type="dxa"/>
            <w:shd w:val="clear" w:color="auto" w:fill="C6EFCE"/>
            <w:noWrap/>
            <w:vAlign w:val="center"/>
          </w:tcPr>
          <w:p w14:paraId="341BF124" w14:textId="77777777" w:rsidR="004C6421" w:rsidRDefault="009D1962">
            <w:pPr>
              <w:pStyle w:val="P68B1DB1-Normal4"/>
              <w:spacing w:after="120"/>
              <w:jc w:val="center"/>
              <w:rPr>
                <w:noProof/>
              </w:rPr>
            </w:pPr>
            <w:r>
              <w:rPr>
                <w:noProof/>
              </w:rPr>
              <w:t>0</w:t>
            </w:r>
          </w:p>
        </w:tc>
        <w:tc>
          <w:tcPr>
            <w:tcW w:w="992" w:type="dxa"/>
            <w:shd w:val="clear" w:color="auto" w:fill="C6EFCE"/>
            <w:noWrap/>
            <w:vAlign w:val="center"/>
          </w:tcPr>
          <w:p w14:paraId="2EFED057" w14:textId="77777777" w:rsidR="004C6421" w:rsidRDefault="009D1962">
            <w:pPr>
              <w:pStyle w:val="P68B1DB1-Normal4"/>
              <w:spacing w:after="120"/>
              <w:jc w:val="center"/>
              <w:rPr>
                <w:noProof/>
              </w:rPr>
            </w:pPr>
            <w:r>
              <w:rPr>
                <w:noProof/>
              </w:rPr>
              <w:t>514</w:t>
            </w:r>
          </w:p>
        </w:tc>
        <w:tc>
          <w:tcPr>
            <w:tcW w:w="992" w:type="dxa"/>
            <w:shd w:val="clear" w:color="auto" w:fill="C6EFCE"/>
            <w:noWrap/>
            <w:vAlign w:val="center"/>
          </w:tcPr>
          <w:p w14:paraId="008B606B" w14:textId="77777777" w:rsidR="004C6421" w:rsidRDefault="009D1962">
            <w:pPr>
              <w:pStyle w:val="P68B1DB1-Normal4"/>
              <w:spacing w:after="120"/>
              <w:jc w:val="center"/>
              <w:rPr>
                <w:noProof/>
              </w:rPr>
            </w:pPr>
            <w:r>
              <w:rPr>
                <w:noProof/>
              </w:rPr>
              <w:t>II KW.</w:t>
            </w:r>
          </w:p>
        </w:tc>
        <w:tc>
          <w:tcPr>
            <w:tcW w:w="709" w:type="dxa"/>
            <w:shd w:val="clear" w:color="auto" w:fill="C6EFCE"/>
            <w:noWrap/>
            <w:vAlign w:val="center"/>
          </w:tcPr>
          <w:p w14:paraId="7DFE8EEE" w14:textId="77777777" w:rsidR="004C6421" w:rsidRDefault="009D1962">
            <w:pPr>
              <w:pStyle w:val="P68B1DB1-Normal4"/>
              <w:spacing w:after="120"/>
              <w:jc w:val="center"/>
              <w:rPr>
                <w:noProof/>
              </w:rPr>
            </w:pPr>
            <w:r>
              <w:rPr>
                <w:noProof/>
              </w:rPr>
              <w:t>2026</w:t>
            </w:r>
          </w:p>
        </w:tc>
        <w:tc>
          <w:tcPr>
            <w:tcW w:w="3261" w:type="dxa"/>
            <w:shd w:val="clear" w:color="auto" w:fill="C6EFCE"/>
            <w:noWrap/>
            <w:vAlign w:val="center"/>
          </w:tcPr>
          <w:p w14:paraId="29BE4B28" w14:textId="77777777" w:rsidR="004C6421" w:rsidRDefault="009D1962">
            <w:pPr>
              <w:pStyle w:val="P68B1DB1-Normal4"/>
              <w:spacing w:after="120"/>
              <w:rPr>
                <w:noProof/>
              </w:rPr>
            </w:pPr>
            <w:r>
              <w:rPr>
                <w:noProof/>
              </w:rPr>
              <w:t>514 km ułożonego kabla, łączącego Caracoli (Palermo) z Eboli (Salerno) i zapewniającej moc 500 MW.</w:t>
            </w:r>
          </w:p>
        </w:tc>
      </w:tr>
      <w:tr w:rsidR="004C6421" w14:paraId="228FC7B7" w14:textId="77777777">
        <w:trPr>
          <w:trHeight w:val="309"/>
        </w:trPr>
        <w:tc>
          <w:tcPr>
            <w:tcW w:w="1185" w:type="dxa"/>
            <w:shd w:val="clear" w:color="auto" w:fill="C6EFCE"/>
            <w:noWrap/>
            <w:vAlign w:val="center"/>
          </w:tcPr>
          <w:p w14:paraId="730848FF" w14:textId="77777777" w:rsidR="004C6421" w:rsidRDefault="009D1962">
            <w:pPr>
              <w:pStyle w:val="P68B1DB1-Normal4"/>
              <w:spacing w:after="120"/>
              <w:jc w:val="center"/>
              <w:rPr>
                <w:noProof/>
              </w:rPr>
            </w:pPr>
            <w:r>
              <w:rPr>
                <w:noProof/>
              </w:rPr>
              <w:t>M7-16</w:t>
            </w:r>
          </w:p>
        </w:tc>
        <w:tc>
          <w:tcPr>
            <w:tcW w:w="1559" w:type="dxa"/>
            <w:shd w:val="clear" w:color="auto" w:fill="C6EFCE"/>
            <w:noWrap/>
            <w:vAlign w:val="center"/>
          </w:tcPr>
          <w:p w14:paraId="1FE5485D" w14:textId="77777777" w:rsidR="004C6421" w:rsidRDefault="009D1962">
            <w:pPr>
              <w:pStyle w:val="P68B1DB1-Normal4"/>
              <w:spacing w:after="120"/>
              <w:jc w:val="center"/>
              <w:rPr>
                <w:noProof/>
              </w:rPr>
            </w:pPr>
            <w:r>
              <w:rPr>
                <w:noProof/>
              </w:rPr>
              <w:t>Inwestycja 5: SA.CO.I.3</w:t>
            </w:r>
          </w:p>
        </w:tc>
        <w:tc>
          <w:tcPr>
            <w:tcW w:w="1134" w:type="dxa"/>
            <w:shd w:val="clear" w:color="auto" w:fill="C6EFCE"/>
            <w:noWrap/>
            <w:vAlign w:val="center"/>
          </w:tcPr>
          <w:p w14:paraId="3A15D6A7" w14:textId="0B7F3757" w:rsidR="004C6421" w:rsidRDefault="00CC179E">
            <w:pPr>
              <w:pStyle w:val="P68B1DB1-Normal4"/>
              <w:spacing w:after="120"/>
              <w:jc w:val="center"/>
              <w:rPr>
                <w:noProof/>
              </w:rPr>
            </w:pPr>
            <w:r>
              <w:rPr>
                <w:noProof/>
              </w:rPr>
              <w:t>Milowy</w:t>
            </w:r>
          </w:p>
        </w:tc>
        <w:tc>
          <w:tcPr>
            <w:tcW w:w="1418" w:type="dxa"/>
            <w:shd w:val="clear" w:color="auto" w:fill="C6EFCE"/>
            <w:noWrap/>
            <w:vAlign w:val="center"/>
          </w:tcPr>
          <w:p w14:paraId="72D8875A" w14:textId="77777777" w:rsidR="004C6421" w:rsidRDefault="009D1962">
            <w:pPr>
              <w:pStyle w:val="P68B1DB1-Normal4"/>
              <w:spacing w:after="120"/>
              <w:jc w:val="center"/>
              <w:rPr>
                <w:noProof/>
              </w:rPr>
            </w:pPr>
            <w:r>
              <w:rPr>
                <w:noProof/>
              </w:rPr>
              <w:t>Udzielenie zamówień</w:t>
            </w:r>
          </w:p>
        </w:tc>
        <w:tc>
          <w:tcPr>
            <w:tcW w:w="1984" w:type="dxa"/>
            <w:shd w:val="clear" w:color="auto" w:fill="C6EFCE"/>
            <w:noWrap/>
            <w:vAlign w:val="center"/>
          </w:tcPr>
          <w:p w14:paraId="77CD7ADB" w14:textId="77777777" w:rsidR="004C6421" w:rsidRDefault="009D1962">
            <w:pPr>
              <w:pStyle w:val="P68B1DB1-Normal4"/>
              <w:spacing w:after="120"/>
              <w:jc w:val="center"/>
              <w:rPr>
                <w:noProof/>
              </w:rPr>
            </w:pPr>
            <w:r>
              <w:rPr>
                <w:noProof/>
              </w:rPr>
              <w:t>Powiadomienie o udzieleniu zamówienia</w:t>
            </w:r>
          </w:p>
        </w:tc>
        <w:tc>
          <w:tcPr>
            <w:tcW w:w="1134" w:type="dxa"/>
            <w:shd w:val="clear" w:color="auto" w:fill="C6EFCE"/>
            <w:noWrap/>
            <w:vAlign w:val="center"/>
          </w:tcPr>
          <w:p w14:paraId="20EF2ACE" w14:textId="77777777" w:rsidR="004C6421" w:rsidRDefault="004C6421">
            <w:pPr>
              <w:spacing w:after="120"/>
              <w:jc w:val="center"/>
              <w:rPr>
                <w:rFonts w:ascii="Arial Narrow" w:hAnsi="Arial Narrow"/>
                <w:noProof/>
                <w:color w:val="FF0000"/>
                <w:sz w:val="20"/>
              </w:rPr>
            </w:pPr>
          </w:p>
        </w:tc>
        <w:tc>
          <w:tcPr>
            <w:tcW w:w="993" w:type="dxa"/>
            <w:shd w:val="clear" w:color="auto" w:fill="C6EFCE"/>
            <w:noWrap/>
            <w:vAlign w:val="center"/>
          </w:tcPr>
          <w:p w14:paraId="1249F56F" w14:textId="77777777" w:rsidR="004C6421" w:rsidRDefault="004C6421">
            <w:pPr>
              <w:spacing w:after="120"/>
              <w:jc w:val="center"/>
              <w:rPr>
                <w:rFonts w:ascii="Arial Narrow" w:hAnsi="Arial Narrow"/>
                <w:noProof/>
                <w:color w:val="006100"/>
                <w:sz w:val="20"/>
              </w:rPr>
            </w:pPr>
          </w:p>
        </w:tc>
        <w:tc>
          <w:tcPr>
            <w:tcW w:w="992" w:type="dxa"/>
            <w:shd w:val="clear" w:color="auto" w:fill="C6EFCE"/>
            <w:noWrap/>
            <w:vAlign w:val="center"/>
          </w:tcPr>
          <w:p w14:paraId="3A595993" w14:textId="77777777" w:rsidR="004C6421" w:rsidRDefault="004C6421">
            <w:pPr>
              <w:spacing w:after="120"/>
              <w:jc w:val="center"/>
              <w:rPr>
                <w:rFonts w:ascii="Arial Narrow" w:hAnsi="Arial Narrow"/>
                <w:noProof/>
                <w:color w:val="006100"/>
                <w:sz w:val="20"/>
              </w:rPr>
            </w:pPr>
          </w:p>
        </w:tc>
        <w:tc>
          <w:tcPr>
            <w:tcW w:w="992" w:type="dxa"/>
            <w:shd w:val="clear" w:color="auto" w:fill="C6EFCE"/>
            <w:noWrap/>
            <w:vAlign w:val="center"/>
          </w:tcPr>
          <w:p w14:paraId="10CE235D" w14:textId="2A7AC3C6" w:rsidR="004C6421" w:rsidRDefault="00CC179E">
            <w:pPr>
              <w:pStyle w:val="P68B1DB1-Normal4"/>
              <w:spacing w:after="120"/>
              <w:jc w:val="center"/>
              <w:rPr>
                <w:noProof/>
              </w:rPr>
            </w:pPr>
            <w:r>
              <w:rPr>
                <w:noProof/>
              </w:rPr>
              <w:t>KW. 4</w:t>
            </w:r>
          </w:p>
        </w:tc>
        <w:tc>
          <w:tcPr>
            <w:tcW w:w="709" w:type="dxa"/>
            <w:shd w:val="clear" w:color="auto" w:fill="C6EFCE"/>
            <w:noWrap/>
            <w:vAlign w:val="center"/>
          </w:tcPr>
          <w:p w14:paraId="4F2F5AC9" w14:textId="77777777" w:rsidR="004C6421" w:rsidRDefault="009D1962">
            <w:pPr>
              <w:pStyle w:val="P68B1DB1-Normal4"/>
              <w:spacing w:after="120"/>
              <w:jc w:val="center"/>
              <w:rPr>
                <w:noProof/>
              </w:rPr>
            </w:pPr>
            <w:r>
              <w:rPr>
                <w:noProof/>
              </w:rPr>
              <w:t>2024</w:t>
            </w:r>
          </w:p>
        </w:tc>
        <w:tc>
          <w:tcPr>
            <w:tcW w:w="3261" w:type="dxa"/>
            <w:shd w:val="clear" w:color="auto" w:fill="C6EFCE"/>
            <w:noWrap/>
            <w:vAlign w:val="center"/>
          </w:tcPr>
          <w:p w14:paraId="66BAAD1B" w14:textId="77777777" w:rsidR="004C6421" w:rsidRDefault="009D1962">
            <w:pPr>
              <w:pStyle w:val="P68B1DB1-Normal4"/>
              <w:spacing w:after="120"/>
              <w:rPr>
                <w:noProof/>
              </w:rPr>
            </w:pPr>
            <w:r>
              <w:rPr>
                <w:noProof/>
              </w:rPr>
              <w:t>Powiadomienie o udzieleniu wszystkich zamówień na roboty niezbędne do zakończenia budowy przykryć stacji przebudowy na Sardynii i Toskanii.</w:t>
            </w:r>
          </w:p>
        </w:tc>
      </w:tr>
      <w:tr w:rsidR="004C6421" w14:paraId="5324EFD6" w14:textId="77777777">
        <w:trPr>
          <w:trHeight w:val="309"/>
        </w:trPr>
        <w:tc>
          <w:tcPr>
            <w:tcW w:w="1185" w:type="dxa"/>
            <w:shd w:val="clear" w:color="auto" w:fill="C6EFCE"/>
            <w:noWrap/>
            <w:vAlign w:val="center"/>
          </w:tcPr>
          <w:p w14:paraId="00ED8855" w14:textId="77777777" w:rsidR="004C6421" w:rsidRDefault="009D1962">
            <w:pPr>
              <w:pStyle w:val="P68B1DB1-Normal4"/>
              <w:spacing w:after="120"/>
              <w:jc w:val="center"/>
              <w:rPr>
                <w:noProof/>
              </w:rPr>
            </w:pPr>
            <w:r>
              <w:rPr>
                <w:noProof/>
              </w:rPr>
              <w:t>M7-17</w:t>
            </w:r>
          </w:p>
        </w:tc>
        <w:tc>
          <w:tcPr>
            <w:tcW w:w="1559" w:type="dxa"/>
            <w:shd w:val="clear" w:color="auto" w:fill="C6EFCE"/>
            <w:noWrap/>
            <w:vAlign w:val="center"/>
          </w:tcPr>
          <w:p w14:paraId="3393D7FB" w14:textId="77777777" w:rsidR="004C6421" w:rsidRDefault="009D1962">
            <w:pPr>
              <w:pStyle w:val="P68B1DB1-Normal4"/>
              <w:spacing w:after="120"/>
              <w:jc w:val="center"/>
              <w:rPr>
                <w:noProof/>
              </w:rPr>
            </w:pPr>
            <w:r>
              <w:rPr>
                <w:noProof/>
              </w:rPr>
              <w:t>Inwestycja 5: SA.CO.I.3</w:t>
            </w:r>
          </w:p>
        </w:tc>
        <w:tc>
          <w:tcPr>
            <w:tcW w:w="1134" w:type="dxa"/>
            <w:shd w:val="clear" w:color="auto" w:fill="C6EFCE"/>
            <w:noWrap/>
            <w:vAlign w:val="center"/>
          </w:tcPr>
          <w:p w14:paraId="49D18D61" w14:textId="42B53B20" w:rsidR="004C6421" w:rsidRDefault="00CC179E">
            <w:pPr>
              <w:pStyle w:val="P68B1DB1-Normal4"/>
              <w:spacing w:after="120"/>
              <w:jc w:val="center"/>
              <w:rPr>
                <w:noProof/>
              </w:rPr>
            </w:pPr>
            <w:r>
              <w:rPr>
                <w:noProof/>
              </w:rPr>
              <w:t>Milowy</w:t>
            </w:r>
          </w:p>
        </w:tc>
        <w:tc>
          <w:tcPr>
            <w:tcW w:w="1418" w:type="dxa"/>
            <w:shd w:val="clear" w:color="auto" w:fill="C6EFCE"/>
            <w:noWrap/>
            <w:vAlign w:val="center"/>
          </w:tcPr>
          <w:p w14:paraId="07299560" w14:textId="77777777" w:rsidR="004C6421" w:rsidRDefault="009D1962">
            <w:pPr>
              <w:pStyle w:val="P68B1DB1-Normal4"/>
              <w:spacing w:after="120"/>
              <w:jc w:val="center"/>
              <w:rPr>
                <w:noProof/>
              </w:rPr>
            </w:pPr>
            <w:r>
              <w:rPr>
                <w:noProof/>
              </w:rPr>
              <w:t>Zakończenie budowy muszli stacji konwersji na Sardynii (Codrongianos) i Toskanii (Suvereto)</w:t>
            </w:r>
          </w:p>
        </w:tc>
        <w:tc>
          <w:tcPr>
            <w:tcW w:w="1984" w:type="dxa"/>
            <w:shd w:val="clear" w:color="auto" w:fill="C6EFCE"/>
            <w:noWrap/>
            <w:vAlign w:val="center"/>
          </w:tcPr>
          <w:p w14:paraId="61543879" w14:textId="77777777" w:rsidR="004C6421" w:rsidRDefault="009D1962">
            <w:pPr>
              <w:pStyle w:val="P68B1DB1-Normal4"/>
              <w:spacing w:after="120"/>
              <w:jc w:val="center"/>
              <w:rPr>
                <w:noProof/>
              </w:rPr>
            </w:pPr>
            <w:r>
              <w:rPr>
                <w:noProof/>
              </w:rPr>
              <w:t>Powiadomienie o zakończeniu prac</w:t>
            </w:r>
          </w:p>
        </w:tc>
        <w:tc>
          <w:tcPr>
            <w:tcW w:w="1134" w:type="dxa"/>
            <w:shd w:val="clear" w:color="auto" w:fill="C6EFCE"/>
            <w:noWrap/>
            <w:vAlign w:val="center"/>
          </w:tcPr>
          <w:p w14:paraId="7707676D" w14:textId="77777777" w:rsidR="004C6421" w:rsidRDefault="004C6421">
            <w:pPr>
              <w:spacing w:after="120"/>
              <w:jc w:val="center"/>
              <w:rPr>
                <w:rFonts w:ascii="Arial Narrow" w:hAnsi="Arial Narrow"/>
                <w:noProof/>
                <w:color w:val="006100"/>
                <w:sz w:val="20"/>
              </w:rPr>
            </w:pPr>
          </w:p>
        </w:tc>
        <w:tc>
          <w:tcPr>
            <w:tcW w:w="993" w:type="dxa"/>
            <w:shd w:val="clear" w:color="auto" w:fill="C6EFCE"/>
            <w:noWrap/>
            <w:vAlign w:val="center"/>
          </w:tcPr>
          <w:p w14:paraId="7217A8E5" w14:textId="77777777" w:rsidR="004C6421" w:rsidRDefault="004C6421">
            <w:pPr>
              <w:spacing w:after="120"/>
              <w:jc w:val="center"/>
              <w:rPr>
                <w:rFonts w:ascii="Arial Narrow" w:hAnsi="Arial Narrow"/>
                <w:noProof/>
                <w:color w:val="006100"/>
                <w:sz w:val="20"/>
              </w:rPr>
            </w:pPr>
          </w:p>
        </w:tc>
        <w:tc>
          <w:tcPr>
            <w:tcW w:w="992" w:type="dxa"/>
            <w:shd w:val="clear" w:color="auto" w:fill="C6EFCE"/>
            <w:noWrap/>
            <w:vAlign w:val="center"/>
          </w:tcPr>
          <w:p w14:paraId="10B75367" w14:textId="77777777" w:rsidR="004C6421" w:rsidRDefault="004C6421">
            <w:pPr>
              <w:spacing w:after="120"/>
              <w:jc w:val="center"/>
              <w:rPr>
                <w:rFonts w:ascii="Arial Narrow" w:hAnsi="Arial Narrow"/>
                <w:noProof/>
                <w:color w:val="006100"/>
                <w:sz w:val="20"/>
              </w:rPr>
            </w:pPr>
          </w:p>
        </w:tc>
        <w:tc>
          <w:tcPr>
            <w:tcW w:w="992" w:type="dxa"/>
            <w:shd w:val="clear" w:color="auto" w:fill="C6EFCE"/>
            <w:noWrap/>
            <w:vAlign w:val="center"/>
          </w:tcPr>
          <w:p w14:paraId="640753C8" w14:textId="77777777" w:rsidR="004C6421" w:rsidRDefault="009D1962">
            <w:pPr>
              <w:pStyle w:val="P68B1DB1-Normal4"/>
              <w:spacing w:after="120"/>
              <w:jc w:val="center"/>
              <w:rPr>
                <w:noProof/>
              </w:rPr>
            </w:pPr>
            <w:r>
              <w:rPr>
                <w:noProof/>
              </w:rPr>
              <w:t>II KW.</w:t>
            </w:r>
          </w:p>
        </w:tc>
        <w:tc>
          <w:tcPr>
            <w:tcW w:w="709" w:type="dxa"/>
            <w:shd w:val="clear" w:color="auto" w:fill="C6EFCE"/>
            <w:noWrap/>
            <w:vAlign w:val="center"/>
          </w:tcPr>
          <w:p w14:paraId="082616CC" w14:textId="77777777" w:rsidR="004C6421" w:rsidRDefault="009D1962">
            <w:pPr>
              <w:pStyle w:val="P68B1DB1-Normal4"/>
              <w:spacing w:after="120"/>
              <w:jc w:val="center"/>
              <w:rPr>
                <w:noProof/>
              </w:rPr>
            </w:pPr>
            <w:r>
              <w:rPr>
                <w:noProof/>
              </w:rPr>
              <w:t>2026</w:t>
            </w:r>
          </w:p>
        </w:tc>
        <w:tc>
          <w:tcPr>
            <w:tcW w:w="3261" w:type="dxa"/>
            <w:shd w:val="clear" w:color="auto" w:fill="C6EFCE"/>
            <w:noWrap/>
            <w:vAlign w:val="center"/>
          </w:tcPr>
          <w:p w14:paraId="38453C3E" w14:textId="77777777" w:rsidR="004C6421" w:rsidRDefault="009D1962">
            <w:pPr>
              <w:pStyle w:val="P68B1DB1-Normal4"/>
              <w:spacing w:after="120"/>
              <w:rPr>
                <w:noProof/>
              </w:rPr>
            </w:pPr>
            <w:r>
              <w:rPr>
                <w:noProof/>
              </w:rPr>
              <w:t>Zgłoszenie ukończenia budowy fasad przebudowy na Sardynii i Toskanii.</w:t>
            </w:r>
          </w:p>
        </w:tc>
      </w:tr>
      <w:tr w:rsidR="004C6421" w14:paraId="4BCC56D4" w14:textId="77777777">
        <w:trPr>
          <w:trHeight w:val="309"/>
        </w:trPr>
        <w:tc>
          <w:tcPr>
            <w:tcW w:w="1185" w:type="dxa"/>
            <w:shd w:val="clear" w:color="auto" w:fill="C6EFCE"/>
            <w:noWrap/>
            <w:vAlign w:val="center"/>
          </w:tcPr>
          <w:p w14:paraId="4B11D25D" w14:textId="77777777" w:rsidR="004C6421" w:rsidRDefault="009D1962">
            <w:pPr>
              <w:pStyle w:val="P68B1DB1-Normal4"/>
              <w:spacing w:after="120"/>
              <w:jc w:val="center"/>
              <w:rPr>
                <w:noProof/>
              </w:rPr>
            </w:pPr>
            <w:r>
              <w:rPr>
                <w:noProof/>
              </w:rPr>
              <w:t>M7-18</w:t>
            </w:r>
          </w:p>
        </w:tc>
        <w:tc>
          <w:tcPr>
            <w:tcW w:w="1559" w:type="dxa"/>
            <w:shd w:val="clear" w:color="auto" w:fill="C6EFCE"/>
            <w:noWrap/>
            <w:vAlign w:val="center"/>
          </w:tcPr>
          <w:p w14:paraId="05C009AA" w14:textId="77777777" w:rsidR="004C6421" w:rsidRDefault="009D1962">
            <w:pPr>
              <w:pStyle w:val="P68B1DB1-Normal4"/>
              <w:spacing w:after="120"/>
              <w:jc w:val="center"/>
              <w:rPr>
                <w:noProof/>
              </w:rPr>
            </w:pPr>
            <w:r>
              <w:rPr>
                <w:noProof/>
              </w:rPr>
              <w:t>Inwestycja 6: Projekty dotyczące transgranicznych elektroenergetycznych połączeń międzysystemowych między Włochami a krajami sąsiadującymi</w:t>
            </w:r>
          </w:p>
        </w:tc>
        <w:tc>
          <w:tcPr>
            <w:tcW w:w="1134" w:type="dxa"/>
            <w:shd w:val="clear" w:color="auto" w:fill="C6EFCE"/>
            <w:noWrap/>
            <w:vAlign w:val="center"/>
          </w:tcPr>
          <w:p w14:paraId="333F6400" w14:textId="3DAA1D4E" w:rsidR="004C6421" w:rsidRDefault="00CC179E">
            <w:pPr>
              <w:pStyle w:val="P68B1DB1-Normal4"/>
              <w:spacing w:after="120"/>
              <w:jc w:val="center"/>
              <w:rPr>
                <w:noProof/>
              </w:rPr>
            </w:pPr>
            <w:r>
              <w:rPr>
                <w:noProof/>
              </w:rPr>
              <w:t>Milowy</w:t>
            </w:r>
          </w:p>
        </w:tc>
        <w:tc>
          <w:tcPr>
            <w:tcW w:w="1418" w:type="dxa"/>
            <w:shd w:val="clear" w:color="auto" w:fill="C6EFCE"/>
            <w:noWrap/>
            <w:vAlign w:val="center"/>
          </w:tcPr>
          <w:p w14:paraId="21EC120B" w14:textId="77777777" w:rsidR="004C6421" w:rsidRDefault="009D1962">
            <w:pPr>
              <w:pStyle w:val="P68B1DB1-Normal4"/>
              <w:spacing w:after="120"/>
              <w:jc w:val="center"/>
              <w:rPr>
                <w:noProof/>
                <w:color w:val="FF0000"/>
              </w:rPr>
            </w:pPr>
            <w:r>
              <w:rPr>
                <w:noProof/>
              </w:rPr>
              <w:t>Udzielenie zamówień na budowę połączenia międzysystemowego Włochy-Austria „Somplago – Würmlach”</w:t>
            </w:r>
          </w:p>
        </w:tc>
        <w:tc>
          <w:tcPr>
            <w:tcW w:w="1984" w:type="dxa"/>
            <w:shd w:val="clear" w:color="auto" w:fill="C6EFCE"/>
            <w:noWrap/>
            <w:vAlign w:val="center"/>
          </w:tcPr>
          <w:p w14:paraId="787CF2C1" w14:textId="77777777" w:rsidR="004C6421" w:rsidRDefault="009D1962">
            <w:pPr>
              <w:pStyle w:val="P68B1DB1-Normal4"/>
              <w:spacing w:after="120"/>
              <w:jc w:val="center"/>
              <w:rPr>
                <w:noProof/>
              </w:rPr>
            </w:pPr>
            <w:r>
              <w:rPr>
                <w:noProof/>
              </w:rPr>
              <w:t>Powiadomienie o udzieleniu zamówienia</w:t>
            </w:r>
          </w:p>
        </w:tc>
        <w:tc>
          <w:tcPr>
            <w:tcW w:w="1134" w:type="dxa"/>
            <w:shd w:val="clear" w:color="auto" w:fill="C6EFCE"/>
            <w:noWrap/>
            <w:vAlign w:val="center"/>
          </w:tcPr>
          <w:p w14:paraId="6C79D03E" w14:textId="77777777" w:rsidR="004C6421" w:rsidRDefault="004C6421">
            <w:pPr>
              <w:spacing w:after="120"/>
              <w:jc w:val="center"/>
              <w:rPr>
                <w:rFonts w:ascii="Arial Narrow" w:hAnsi="Arial Narrow"/>
                <w:noProof/>
                <w:color w:val="006100"/>
                <w:sz w:val="20"/>
              </w:rPr>
            </w:pPr>
          </w:p>
        </w:tc>
        <w:tc>
          <w:tcPr>
            <w:tcW w:w="993" w:type="dxa"/>
            <w:shd w:val="clear" w:color="auto" w:fill="C6EFCE"/>
            <w:noWrap/>
            <w:vAlign w:val="center"/>
          </w:tcPr>
          <w:p w14:paraId="1836DDBA" w14:textId="77777777" w:rsidR="004C6421" w:rsidRDefault="004C6421">
            <w:pPr>
              <w:spacing w:after="120"/>
              <w:jc w:val="center"/>
              <w:rPr>
                <w:rFonts w:ascii="Arial Narrow" w:hAnsi="Arial Narrow"/>
                <w:noProof/>
                <w:color w:val="006100"/>
                <w:sz w:val="20"/>
              </w:rPr>
            </w:pPr>
          </w:p>
        </w:tc>
        <w:tc>
          <w:tcPr>
            <w:tcW w:w="992" w:type="dxa"/>
            <w:shd w:val="clear" w:color="auto" w:fill="C6EFCE"/>
            <w:noWrap/>
            <w:vAlign w:val="center"/>
          </w:tcPr>
          <w:p w14:paraId="0BE4DE26" w14:textId="77777777" w:rsidR="004C6421" w:rsidRDefault="004C6421">
            <w:pPr>
              <w:spacing w:after="120"/>
              <w:jc w:val="center"/>
              <w:rPr>
                <w:rFonts w:ascii="Arial Narrow" w:hAnsi="Arial Narrow"/>
                <w:noProof/>
                <w:color w:val="006100"/>
                <w:sz w:val="20"/>
              </w:rPr>
            </w:pPr>
          </w:p>
        </w:tc>
        <w:tc>
          <w:tcPr>
            <w:tcW w:w="992" w:type="dxa"/>
            <w:shd w:val="clear" w:color="auto" w:fill="C6EFCE"/>
            <w:noWrap/>
            <w:vAlign w:val="center"/>
          </w:tcPr>
          <w:p w14:paraId="662B0668" w14:textId="77777777" w:rsidR="004C6421" w:rsidRDefault="009D1962">
            <w:pPr>
              <w:pStyle w:val="P68B1DB1-Normal4"/>
              <w:spacing w:after="120"/>
              <w:jc w:val="center"/>
              <w:rPr>
                <w:noProof/>
              </w:rPr>
            </w:pPr>
            <w:r>
              <w:rPr>
                <w:noProof/>
              </w:rPr>
              <w:t>III KW.</w:t>
            </w:r>
          </w:p>
        </w:tc>
        <w:tc>
          <w:tcPr>
            <w:tcW w:w="709" w:type="dxa"/>
            <w:shd w:val="clear" w:color="auto" w:fill="C6EFCE"/>
            <w:noWrap/>
            <w:vAlign w:val="center"/>
          </w:tcPr>
          <w:p w14:paraId="1BA1C33D" w14:textId="77777777" w:rsidR="004C6421" w:rsidRDefault="009D1962">
            <w:pPr>
              <w:pStyle w:val="P68B1DB1-Normal4"/>
              <w:spacing w:after="120"/>
              <w:jc w:val="center"/>
              <w:rPr>
                <w:noProof/>
              </w:rPr>
            </w:pPr>
            <w:r>
              <w:rPr>
                <w:noProof/>
              </w:rPr>
              <w:t>2025</w:t>
            </w:r>
          </w:p>
        </w:tc>
        <w:tc>
          <w:tcPr>
            <w:tcW w:w="3261" w:type="dxa"/>
            <w:shd w:val="clear" w:color="auto" w:fill="C6EFCE"/>
            <w:noWrap/>
            <w:vAlign w:val="center"/>
          </w:tcPr>
          <w:p w14:paraId="27CBAD84" w14:textId="77777777" w:rsidR="004C6421" w:rsidRDefault="009D1962">
            <w:pPr>
              <w:pStyle w:val="P68B1DB1-Normal4"/>
              <w:spacing w:after="120"/>
              <w:rPr>
                <w:noProof/>
                <w:color w:val="FF0000"/>
              </w:rPr>
            </w:pPr>
            <w:r>
              <w:rPr>
                <w:noProof/>
              </w:rPr>
              <w:t>Powiadomienie o udzieleniu wszystkich zamówień niezbędnych do rozpoczęcia budowy połączenia międzysystemowego Włochy-Austria „Somplago – Würmlach”.</w:t>
            </w:r>
          </w:p>
        </w:tc>
      </w:tr>
      <w:tr w:rsidR="004C6421" w14:paraId="155E78A5" w14:textId="77777777">
        <w:trPr>
          <w:trHeight w:val="309"/>
        </w:trPr>
        <w:tc>
          <w:tcPr>
            <w:tcW w:w="1185" w:type="dxa"/>
            <w:shd w:val="clear" w:color="auto" w:fill="C6EFCE"/>
            <w:noWrap/>
            <w:vAlign w:val="center"/>
          </w:tcPr>
          <w:p w14:paraId="792BCD7E" w14:textId="77777777" w:rsidR="004C6421" w:rsidRDefault="009D1962">
            <w:pPr>
              <w:pStyle w:val="P68B1DB1-Normal4"/>
              <w:spacing w:after="120"/>
              <w:jc w:val="center"/>
              <w:rPr>
                <w:noProof/>
              </w:rPr>
            </w:pPr>
            <w:r>
              <w:rPr>
                <w:noProof/>
              </w:rPr>
              <w:t>M7-19</w:t>
            </w:r>
          </w:p>
        </w:tc>
        <w:tc>
          <w:tcPr>
            <w:tcW w:w="1559" w:type="dxa"/>
            <w:shd w:val="clear" w:color="auto" w:fill="C6EFCE"/>
            <w:noWrap/>
            <w:vAlign w:val="center"/>
          </w:tcPr>
          <w:p w14:paraId="207749BF" w14:textId="77777777" w:rsidR="004C6421" w:rsidRDefault="009D1962">
            <w:pPr>
              <w:pStyle w:val="P68B1DB1-Normal4"/>
              <w:spacing w:after="120"/>
              <w:jc w:val="center"/>
              <w:rPr>
                <w:noProof/>
              </w:rPr>
            </w:pPr>
            <w:r>
              <w:rPr>
                <w:noProof/>
              </w:rPr>
              <w:t>Inwestycja 6: Projekty dotyczące transgranicznych elektroenergetycznych połączeń międzysystemowych między Włochami a krajami sąsiadującymi</w:t>
            </w:r>
          </w:p>
        </w:tc>
        <w:tc>
          <w:tcPr>
            <w:tcW w:w="1134" w:type="dxa"/>
            <w:shd w:val="clear" w:color="auto" w:fill="C6EFCE"/>
            <w:noWrap/>
            <w:vAlign w:val="center"/>
          </w:tcPr>
          <w:p w14:paraId="1B54D851" w14:textId="77777777" w:rsidR="004C6421" w:rsidRDefault="009D1962">
            <w:pPr>
              <w:pStyle w:val="P68B1DB1-Normal4"/>
              <w:spacing w:after="120"/>
              <w:jc w:val="center"/>
              <w:rPr>
                <w:noProof/>
              </w:rPr>
            </w:pPr>
            <w:r>
              <w:rPr>
                <w:noProof/>
              </w:rPr>
              <w:t>Cel</w:t>
            </w:r>
          </w:p>
        </w:tc>
        <w:tc>
          <w:tcPr>
            <w:tcW w:w="1418" w:type="dxa"/>
            <w:shd w:val="clear" w:color="auto" w:fill="C6EFCE"/>
            <w:noWrap/>
            <w:vAlign w:val="center"/>
          </w:tcPr>
          <w:p w14:paraId="20FB4A2F" w14:textId="77777777" w:rsidR="004C6421" w:rsidRDefault="009D1962">
            <w:pPr>
              <w:pStyle w:val="P68B1DB1-Normal4"/>
              <w:spacing w:after="120"/>
              <w:jc w:val="center"/>
              <w:rPr>
                <w:noProof/>
              </w:rPr>
            </w:pPr>
            <w:r>
              <w:rPr>
                <w:noProof/>
              </w:rPr>
              <w:t>Zwiększenie nominalnej zdolności połączeń międzysystemowych między Włochami a Austrią w wyniku ukończenia połączenia wzajemnego</w:t>
            </w:r>
          </w:p>
        </w:tc>
        <w:tc>
          <w:tcPr>
            <w:tcW w:w="1984" w:type="dxa"/>
            <w:shd w:val="clear" w:color="auto" w:fill="C6EFCE"/>
            <w:noWrap/>
            <w:vAlign w:val="center"/>
          </w:tcPr>
          <w:p w14:paraId="6359ADBC" w14:textId="77777777" w:rsidR="004C6421" w:rsidRDefault="004C6421">
            <w:pPr>
              <w:spacing w:after="120"/>
              <w:jc w:val="center"/>
              <w:rPr>
                <w:rFonts w:ascii="Arial Narrow" w:hAnsi="Arial Narrow"/>
                <w:noProof/>
                <w:color w:val="006100"/>
                <w:sz w:val="20"/>
              </w:rPr>
            </w:pPr>
          </w:p>
        </w:tc>
        <w:tc>
          <w:tcPr>
            <w:tcW w:w="1134" w:type="dxa"/>
            <w:shd w:val="clear" w:color="auto" w:fill="C6EFCE"/>
            <w:noWrap/>
            <w:vAlign w:val="center"/>
          </w:tcPr>
          <w:p w14:paraId="026AFC23" w14:textId="77777777" w:rsidR="004C6421" w:rsidRDefault="009D1962">
            <w:pPr>
              <w:pStyle w:val="P68B1DB1-Normal4"/>
              <w:spacing w:after="120"/>
              <w:jc w:val="center"/>
              <w:rPr>
                <w:noProof/>
              </w:rPr>
            </w:pPr>
            <w:r>
              <w:rPr>
                <w:noProof/>
              </w:rPr>
              <w:t>MW</w:t>
            </w:r>
          </w:p>
        </w:tc>
        <w:tc>
          <w:tcPr>
            <w:tcW w:w="993" w:type="dxa"/>
            <w:shd w:val="clear" w:color="auto" w:fill="C6EFCE"/>
            <w:noWrap/>
            <w:vAlign w:val="center"/>
          </w:tcPr>
          <w:p w14:paraId="5D578156" w14:textId="77777777" w:rsidR="004C6421" w:rsidRDefault="009D1962">
            <w:pPr>
              <w:pStyle w:val="P68B1DB1-Normal4"/>
              <w:spacing w:after="120"/>
              <w:jc w:val="center"/>
              <w:rPr>
                <w:noProof/>
              </w:rPr>
            </w:pPr>
            <w:r>
              <w:rPr>
                <w:noProof/>
              </w:rPr>
              <w:t>0</w:t>
            </w:r>
          </w:p>
        </w:tc>
        <w:tc>
          <w:tcPr>
            <w:tcW w:w="992" w:type="dxa"/>
            <w:shd w:val="clear" w:color="auto" w:fill="C6EFCE"/>
            <w:noWrap/>
            <w:vAlign w:val="center"/>
          </w:tcPr>
          <w:p w14:paraId="0109AA0C" w14:textId="77777777" w:rsidR="004C6421" w:rsidRDefault="009D1962">
            <w:pPr>
              <w:pStyle w:val="P68B1DB1-Normal4"/>
              <w:spacing w:after="120"/>
              <w:jc w:val="center"/>
              <w:rPr>
                <w:noProof/>
              </w:rPr>
            </w:pPr>
            <w:r>
              <w:rPr>
                <w:noProof/>
              </w:rPr>
              <w:t>300</w:t>
            </w:r>
          </w:p>
        </w:tc>
        <w:tc>
          <w:tcPr>
            <w:tcW w:w="992" w:type="dxa"/>
            <w:shd w:val="clear" w:color="auto" w:fill="C6EFCE"/>
            <w:noWrap/>
            <w:vAlign w:val="center"/>
          </w:tcPr>
          <w:p w14:paraId="6ACD44C1" w14:textId="77777777" w:rsidR="004C6421" w:rsidRDefault="009D1962">
            <w:pPr>
              <w:pStyle w:val="P68B1DB1-Normal4"/>
              <w:spacing w:after="120"/>
              <w:jc w:val="center"/>
              <w:rPr>
                <w:noProof/>
              </w:rPr>
            </w:pPr>
            <w:r>
              <w:rPr>
                <w:noProof/>
              </w:rPr>
              <w:t>II KW.</w:t>
            </w:r>
          </w:p>
        </w:tc>
        <w:tc>
          <w:tcPr>
            <w:tcW w:w="709" w:type="dxa"/>
            <w:shd w:val="clear" w:color="auto" w:fill="C6EFCE"/>
            <w:noWrap/>
            <w:vAlign w:val="center"/>
          </w:tcPr>
          <w:p w14:paraId="5FD39B5F" w14:textId="77777777" w:rsidR="004C6421" w:rsidRDefault="009D1962">
            <w:pPr>
              <w:pStyle w:val="P68B1DB1-Normal4"/>
              <w:spacing w:after="120"/>
              <w:jc w:val="center"/>
              <w:rPr>
                <w:noProof/>
              </w:rPr>
            </w:pPr>
            <w:r>
              <w:rPr>
                <w:noProof/>
              </w:rPr>
              <w:t>2026</w:t>
            </w:r>
          </w:p>
        </w:tc>
        <w:tc>
          <w:tcPr>
            <w:tcW w:w="3261" w:type="dxa"/>
            <w:shd w:val="clear" w:color="auto" w:fill="C6EFCE"/>
            <w:noWrap/>
            <w:vAlign w:val="center"/>
          </w:tcPr>
          <w:p w14:paraId="53FC693F" w14:textId="77777777" w:rsidR="004C6421" w:rsidRDefault="009D1962">
            <w:pPr>
              <w:pStyle w:val="P68B1DB1-Normal4"/>
              <w:spacing w:after="120"/>
              <w:rPr>
                <w:noProof/>
              </w:rPr>
            </w:pPr>
            <w:r>
              <w:rPr>
                <w:noProof/>
              </w:rPr>
              <w:t>Zakończenie połączenia międzysystemowego Włochy-Austria: „Somplago – Würmlach”. Po zakończeniu prac po stronie włoskiej nominalna zdolność połączenia międzysystemowego między Włochami a Austrią zostanie zwiększona o 300 MW.</w:t>
            </w:r>
          </w:p>
        </w:tc>
      </w:tr>
      <w:tr w:rsidR="004C6421" w14:paraId="7A20A38A" w14:textId="77777777">
        <w:trPr>
          <w:trHeight w:val="309"/>
        </w:trPr>
        <w:tc>
          <w:tcPr>
            <w:tcW w:w="1185" w:type="dxa"/>
            <w:shd w:val="clear" w:color="auto" w:fill="C6EFCE"/>
            <w:noWrap/>
            <w:vAlign w:val="center"/>
          </w:tcPr>
          <w:p w14:paraId="644714DA" w14:textId="77777777" w:rsidR="004C6421" w:rsidRDefault="009D1962">
            <w:pPr>
              <w:pStyle w:val="P68B1DB1-Normal4"/>
              <w:spacing w:after="120"/>
              <w:jc w:val="center"/>
              <w:rPr>
                <w:noProof/>
              </w:rPr>
            </w:pPr>
            <w:r>
              <w:rPr>
                <w:noProof/>
              </w:rPr>
              <w:t>M7-20</w:t>
            </w:r>
          </w:p>
        </w:tc>
        <w:tc>
          <w:tcPr>
            <w:tcW w:w="1559" w:type="dxa"/>
            <w:shd w:val="clear" w:color="auto" w:fill="C6EFCE"/>
            <w:noWrap/>
            <w:vAlign w:val="center"/>
          </w:tcPr>
          <w:p w14:paraId="15F7D0E8" w14:textId="77777777" w:rsidR="004C6421" w:rsidRDefault="009D1962">
            <w:pPr>
              <w:pStyle w:val="P68B1DB1-Normal4"/>
              <w:spacing w:after="120"/>
              <w:jc w:val="center"/>
              <w:rPr>
                <w:noProof/>
              </w:rPr>
            </w:pPr>
            <w:r>
              <w:rPr>
                <w:noProof/>
              </w:rPr>
              <w:t>Inwestycja 6: Projekty dotyczące transgranicznych elektroenergetycznych połączeń międzysystemowych między Włochami a krajami sąsiadującymi</w:t>
            </w:r>
          </w:p>
        </w:tc>
        <w:tc>
          <w:tcPr>
            <w:tcW w:w="1134" w:type="dxa"/>
            <w:shd w:val="clear" w:color="auto" w:fill="C6EFCE"/>
            <w:noWrap/>
            <w:vAlign w:val="center"/>
          </w:tcPr>
          <w:p w14:paraId="5F16025C" w14:textId="42331BA4" w:rsidR="004C6421" w:rsidRDefault="00CC179E">
            <w:pPr>
              <w:pStyle w:val="P68B1DB1-Normal4"/>
              <w:spacing w:after="120"/>
              <w:jc w:val="center"/>
              <w:rPr>
                <w:noProof/>
              </w:rPr>
            </w:pPr>
            <w:r>
              <w:rPr>
                <w:noProof/>
              </w:rPr>
              <w:t>Milowy</w:t>
            </w:r>
          </w:p>
        </w:tc>
        <w:tc>
          <w:tcPr>
            <w:tcW w:w="1418" w:type="dxa"/>
            <w:shd w:val="clear" w:color="auto" w:fill="C6EFCE"/>
            <w:noWrap/>
            <w:vAlign w:val="center"/>
          </w:tcPr>
          <w:p w14:paraId="6A657875" w14:textId="77777777" w:rsidR="004C6421" w:rsidRDefault="009D1962">
            <w:pPr>
              <w:pStyle w:val="P68B1DB1-Normal4"/>
              <w:spacing w:after="120"/>
              <w:jc w:val="center"/>
              <w:rPr>
                <w:noProof/>
              </w:rPr>
            </w:pPr>
            <w:r>
              <w:rPr>
                <w:noProof/>
              </w:rPr>
              <w:t xml:space="preserve">Udzielanie zamówień na budowę dwóch połączeń wzajemnych między Włochami a Słowenią: „Zaule – Dekani” i „Redipuglia – Vrtojba”  </w:t>
            </w:r>
          </w:p>
        </w:tc>
        <w:tc>
          <w:tcPr>
            <w:tcW w:w="1984" w:type="dxa"/>
            <w:shd w:val="clear" w:color="auto" w:fill="C6EFCE"/>
            <w:noWrap/>
            <w:vAlign w:val="center"/>
          </w:tcPr>
          <w:p w14:paraId="51CB1611" w14:textId="77777777" w:rsidR="004C6421" w:rsidRDefault="009D1962">
            <w:pPr>
              <w:pStyle w:val="P68B1DB1-Normal4"/>
              <w:spacing w:after="120"/>
              <w:jc w:val="center"/>
              <w:rPr>
                <w:noProof/>
              </w:rPr>
            </w:pPr>
            <w:r>
              <w:rPr>
                <w:noProof/>
              </w:rPr>
              <w:t>Powiadomienie o udzieleniu zamówienia</w:t>
            </w:r>
          </w:p>
        </w:tc>
        <w:tc>
          <w:tcPr>
            <w:tcW w:w="1134" w:type="dxa"/>
            <w:shd w:val="clear" w:color="auto" w:fill="C6EFCE"/>
            <w:noWrap/>
            <w:vAlign w:val="center"/>
          </w:tcPr>
          <w:p w14:paraId="771A63C9" w14:textId="77777777" w:rsidR="004C6421" w:rsidRDefault="004C6421">
            <w:pPr>
              <w:spacing w:after="120"/>
              <w:jc w:val="center"/>
              <w:rPr>
                <w:rFonts w:ascii="Arial Narrow" w:hAnsi="Arial Narrow"/>
                <w:noProof/>
                <w:color w:val="006100"/>
                <w:sz w:val="20"/>
              </w:rPr>
            </w:pPr>
          </w:p>
        </w:tc>
        <w:tc>
          <w:tcPr>
            <w:tcW w:w="993" w:type="dxa"/>
            <w:shd w:val="clear" w:color="auto" w:fill="C6EFCE"/>
            <w:noWrap/>
            <w:vAlign w:val="center"/>
          </w:tcPr>
          <w:p w14:paraId="4A731F83" w14:textId="77777777" w:rsidR="004C6421" w:rsidRDefault="004C6421">
            <w:pPr>
              <w:spacing w:after="120"/>
              <w:jc w:val="center"/>
              <w:rPr>
                <w:rFonts w:ascii="Arial Narrow" w:hAnsi="Arial Narrow"/>
                <w:noProof/>
                <w:color w:val="006100"/>
                <w:sz w:val="20"/>
              </w:rPr>
            </w:pPr>
          </w:p>
        </w:tc>
        <w:tc>
          <w:tcPr>
            <w:tcW w:w="992" w:type="dxa"/>
            <w:shd w:val="clear" w:color="auto" w:fill="C6EFCE"/>
            <w:noWrap/>
            <w:vAlign w:val="center"/>
          </w:tcPr>
          <w:p w14:paraId="3D8CCA6B" w14:textId="77777777" w:rsidR="004C6421" w:rsidRDefault="004C6421">
            <w:pPr>
              <w:spacing w:after="120"/>
              <w:jc w:val="center"/>
              <w:rPr>
                <w:rFonts w:ascii="Arial Narrow" w:hAnsi="Arial Narrow"/>
                <w:noProof/>
                <w:color w:val="006100"/>
                <w:sz w:val="20"/>
              </w:rPr>
            </w:pPr>
          </w:p>
        </w:tc>
        <w:tc>
          <w:tcPr>
            <w:tcW w:w="992" w:type="dxa"/>
            <w:shd w:val="clear" w:color="auto" w:fill="C6EFCE"/>
            <w:noWrap/>
            <w:vAlign w:val="center"/>
          </w:tcPr>
          <w:p w14:paraId="5D3E3EF0" w14:textId="77777777" w:rsidR="004C6421" w:rsidRDefault="009D1962">
            <w:pPr>
              <w:pStyle w:val="P68B1DB1-Normal4"/>
              <w:spacing w:after="120"/>
              <w:jc w:val="center"/>
              <w:rPr>
                <w:noProof/>
              </w:rPr>
            </w:pPr>
            <w:r>
              <w:rPr>
                <w:noProof/>
              </w:rPr>
              <w:t>II KW.</w:t>
            </w:r>
          </w:p>
        </w:tc>
        <w:tc>
          <w:tcPr>
            <w:tcW w:w="709" w:type="dxa"/>
            <w:shd w:val="clear" w:color="auto" w:fill="C6EFCE"/>
            <w:noWrap/>
            <w:vAlign w:val="center"/>
          </w:tcPr>
          <w:p w14:paraId="380175BF" w14:textId="77777777" w:rsidR="004C6421" w:rsidRDefault="009D1962">
            <w:pPr>
              <w:pStyle w:val="P68B1DB1-Normal4"/>
              <w:spacing w:after="120"/>
              <w:jc w:val="center"/>
              <w:rPr>
                <w:noProof/>
              </w:rPr>
            </w:pPr>
            <w:r>
              <w:rPr>
                <w:noProof/>
              </w:rPr>
              <w:t>2025</w:t>
            </w:r>
          </w:p>
        </w:tc>
        <w:tc>
          <w:tcPr>
            <w:tcW w:w="3261" w:type="dxa"/>
            <w:shd w:val="clear" w:color="auto" w:fill="C6EFCE"/>
            <w:noWrap/>
            <w:vAlign w:val="center"/>
          </w:tcPr>
          <w:p w14:paraId="2B0F0431" w14:textId="77777777" w:rsidR="004C6421" w:rsidRDefault="009D1962">
            <w:pPr>
              <w:pStyle w:val="P68B1DB1-Normal4"/>
              <w:spacing w:after="120"/>
              <w:rPr>
                <w:noProof/>
              </w:rPr>
            </w:pPr>
            <w:r>
              <w:rPr>
                <w:noProof/>
              </w:rPr>
              <w:t>Powiadomienie o udzieleniu wszystkich zamówień niezbędnych do rozpoczęcia budowy dwóch połączeń między Włochami a Słowenią: „Zaule-Dekani” i „Redipuglia-Vrtojba”.</w:t>
            </w:r>
          </w:p>
        </w:tc>
      </w:tr>
      <w:tr w:rsidR="004C6421" w14:paraId="1B77A74F" w14:textId="77777777">
        <w:trPr>
          <w:trHeight w:val="309"/>
        </w:trPr>
        <w:tc>
          <w:tcPr>
            <w:tcW w:w="1185" w:type="dxa"/>
            <w:shd w:val="clear" w:color="auto" w:fill="C6EFCE"/>
            <w:noWrap/>
            <w:vAlign w:val="center"/>
          </w:tcPr>
          <w:p w14:paraId="512ED9DF" w14:textId="77777777" w:rsidR="004C6421" w:rsidRDefault="009D1962">
            <w:pPr>
              <w:pStyle w:val="P68B1DB1-Normal4"/>
              <w:spacing w:after="120"/>
              <w:jc w:val="center"/>
              <w:rPr>
                <w:noProof/>
              </w:rPr>
            </w:pPr>
            <w:r>
              <w:rPr>
                <w:noProof/>
              </w:rPr>
              <w:t>M7-21</w:t>
            </w:r>
          </w:p>
        </w:tc>
        <w:tc>
          <w:tcPr>
            <w:tcW w:w="1559" w:type="dxa"/>
            <w:shd w:val="clear" w:color="auto" w:fill="C6EFCE"/>
            <w:noWrap/>
            <w:vAlign w:val="center"/>
          </w:tcPr>
          <w:p w14:paraId="0D6919DB" w14:textId="77777777" w:rsidR="004C6421" w:rsidRDefault="009D1962">
            <w:pPr>
              <w:pStyle w:val="P68B1DB1-Normal4"/>
              <w:spacing w:after="120"/>
              <w:jc w:val="center"/>
              <w:rPr>
                <w:noProof/>
              </w:rPr>
            </w:pPr>
            <w:r>
              <w:rPr>
                <w:noProof/>
              </w:rPr>
              <w:t>Inwestycja 6: Projekty dotyczące transgranicznych elektroenergetycznych połączeń międzysystemowych między Włochami a krajami sąsiadującymi</w:t>
            </w:r>
          </w:p>
        </w:tc>
        <w:tc>
          <w:tcPr>
            <w:tcW w:w="1134" w:type="dxa"/>
            <w:shd w:val="clear" w:color="auto" w:fill="C6EFCE"/>
            <w:noWrap/>
            <w:vAlign w:val="center"/>
          </w:tcPr>
          <w:p w14:paraId="141191DF" w14:textId="77777777" w:rsidR="004C6421" w:rsidRDefault="009D1962">
            <w:pPr>
              <w:pStyle w:val="P68B1DB1-Normal4"/>
              <w:spacing w:after="120"/>
              <w:jc w:val="center"/>
              <w:rPr>
                <w:noProof/>
              </w:rPr>
            </w:pPr>
            <w:r>
              <w:rPr>
                <w:noProof/>
              </w:rPr>
              <w:t>Cel</w:t>
            </w:r>
          </w:p>
        </w:tc>
        <w:tc>
          <w:tcPr>
            <w:tcW w:w="1418" w:type="dxa"/>
            <w:shd w:val="clear" w:color="auto" w:fill="C6EFCE"/>
            <w:noWrap/>
            <w:vAlign w:val="center"/>
          </w:tcPr>
          <w:p w14:paraId="0115CB0B" w14:textId="77777777" w:rsidR="004C6421" w:rsidRDefault="009D1962">
            <w:pPr>
              <w:pStyle w:val="P68B1DB1-Normal4"/>
              <w:spacing w:after="120"/>
              <w:jc w:val="center"/>
              <w:rPr>
                <w:noProof/>
              </w:rPr>
            </w:pPr>
            <w:r>
              <w:rPr>
                <w:noProof/>
              </w:rPr>
              <w:t>Zwiększenie nominalnej zdolności połączeń międzysystemowych między Włochami a Słowenią po zakończeniu prac</w:t>
            </w:r>
          </w:p>
        </w:tc>
        <w:tc>
          <w:tcPr>
            <w:tcW w:w="1984" w:type="dxa"/>
            <w:shd w:val="clear" w:color="auto" w:fill="C6EFCE"/>
            <w:noWrap/>
            <w:vAlign w:val="center"/>
          </w:tcPr>
          <w:p w14:paraId="3C1B0CDC" w14:textId="77777777" w:rsidR="004C6421" w:rsidRDefault="004C6421">
            <w:pPr>
              <w:spacing w:after="120"/>
              <w:jc w:val="center"/>
              <w:rPr>
                <w:rFonts w:ascii="Arial Narrow" w:hAnsi="Arial Narrow"/>
                <w:noProof/>
                <w:color w:val="006100"/>
                <w:sz w:val="20"/>
              </w:rPr>
            </w:pPr>
          </w:p>
        </w:tc>
        <w:tc>
          <w:tcPr>
            <w:tcW w:w="1134" w:type="dxa"/>
            <w:shd w:val="clear" w:color="auto" w:fill="C6EFCE"/>
            <w:noWrap/>
            <w:vAlign w:val="center"/>
          </w:tcPr>
          <w:p w14:paraId="74C91FAC" w14:textId="77777777" w:rsidR="004C6421" w:rsidRDefault="009D1962">
            <w:pPr>
              <w:pStyle w:val="P68B1DB1-Normal4"/>
              <w:spacing w:after="120"/>
              <w:jc w:val="center"/>
              <w:rPr>
                <w:noProof/>
              </w:rPr>
            </w:pPr>
            <w:r>
              <w:rPr>
                <w:noProof/>
              </w:rPr>
              <w:t>MW</w:t>
            </w:r>
          </w:p>
        </w:tc>
        <w:tc>
          <w:tcPr>
            <w:tcW w:w="993" w:type="dxa"/>
            <w:shd w:val="clear" w:color="auto" w:fill="C6EFCE"/>
            <w:noWrap/>
            <w:vAlign w:val="center"/>
          </w:tcPr>
          <w:p w14:paraId="62D1074A" w14:textId="77777777" w:rsidR="004C6421" w:rsidRDefault="009D1962">
            <w:pPr>
              <w:pStyle w:val="P68B1DB1-Normal4"/>
              <w:spacing w:after="120"/>
              <w:jc w:val="center"/>
              <w:rPr>
                <w:noProof/>
              </w:rPr>
            </w:pPr>
            <w:r>
              <w:rPr>
                <w:noProof/>
              </w:rPr>
              <w:t>0</w:t>
            </w:r>
          </w:p>
        </w:tc>
        <w:tc>
          <w:tcPr>
            <w:tcW w:w="992" w:type="dxa"/>
            <w:shd w:val="clear" w:color="auto" w:fill="C6EFCE"/>
            <w:noWrap/>
            <w:vAlign w:val="center"/>
          </w:tcPr>
          <w:p w14:paraId="08117AD4" w14:textId="77777777" w:rsidR="004C6421" w:rsidRDefault="009D1962">
            <w:pPr>
              <w:pStyle w:val="P68B1DB1-Normal4"/>
              <w:spacing w:after="120"/>
              <w:jc w:val="center"/>
              <w:rPr>
                <w:noProof/>
              </w:rPr>
            </w:pPr>
            <w:r>
              <w:rPr>
                <w:noProof/>
              </w:rPr>
              <w:t>250</w:t>
            </w:r>
          </w:p>
        </w:tc>
        <w:tc>
          <w:tcPr>
            <w:tcW w:w="992" w:type="dxa"/>
            <w:shd w:val="clear" w:color="auto" w:fill="C6EFCE"/>
            <w:noWrap/>
            <w:vAlign w:val="center"/>
          </w:tcPr>
          <w:p w14:paraId="21A1BB6F" w14:textId="3DB84868" w:rsidR="004C6421" w:rsidRDefault="00CC179E">
            <w:pPr>
              <w:pStyle w:val="P68B1DB1-Normal4"/>
              <w:spacing w:after="120"/>
              <w:jc w:val="center"/>
              <w:rPr>
                <w:noProof/>
              </w:rPr>
            </w:pPr>
            <w:r>
              <w:rPr>
                <w:noProof/>
              </w:rPr>
              <w:t>KW. 4</w:t>
            </w:r>
          </w:p>
        </w:tc>
        <w:tc>
          <w:tcPr>
            <w:tcW w:w="709" w:type="dxa"/>
            <w:shd w:val="clear" w:color="auto" w:fill="C6EFCE"/>
            <w:noWrap/>
            <w:vAlign w:val="center"/>
          </w:tcPr>
          <w:p w14:paraId="54A04F70" w14:textId="77777777" w:rsidR="004C6421" w:rsidRDefault="009D1962">
            <w:pPr>
              <w:pStyle w:val="P68B1DB1-Normal4"/>
              <w:spacing w:after="120"/>
              <w:jc w:val="center"/>
              <w:rPr>
                <w:noProof/>
              </w:rPr>
            </w:pPr>
            <w:r>
              <w:rPr>
                <w:noProof/>
              </w:rPr>
              <w:t>2025</w:t>
            </w:r>
          </w:p>
        </w:tc>
        <w:tc>
          <w:tcPr>
            <w:tcW w:w="3261" w:type="dxa"/>
            <w:shd w:val="clear" w:color="auto" w:fill="C6EFCE"/>
            <w:noWrap/>
            <w:vAlign w:val="center"/>
          </w:tcPr>
          <w:p w14:paraId="25146BC8" w14:textId="77777777" w:rsidR="004C6421" w:rsidRDefault="009D1962">
            <w:pPr>
              <w:pStyle w:val="P68B1DB1-Normal4"/>
              <w:spacing w:after="120"/>
              <w:rPr>
                <w:noProof/>
              </w:rPr>
            </w:pPr>
            <w:r>
              <w:rPr>
                <w:noProof/>
              </w:rPr>
              <w:t>Zakończenie połączeń międzysystemowych Włochy-Słowenia: „Zaule – Dekani” i „Redipuglia – Vrtojba”. Po zakończeniu prac po stronie włoskiej łączna nominalna zdolność obu połączeń międzysystemowych między Włochami a Słowenią zostanie zwiększona o 250 MW.</w:t>
            </w:r>
          </w:p>
        </w:tc>
      </w:tr>
      <w:tr w:rsidR="004C6421" w14:paraId="53A5727F" w14:textId="77777777">
        <w:trPr>
          <w:trHeight w:val="309"/>
        </w:trPr>
        <w:tc>
          <w:tcPr>
            <w:tcW w:w="1185" w:type="dxa"/>
            <w:shd w:val="clear" w:color="auto" w:fill="C6EFCE"/>
            <w:noWrap/>
            <w:vAlign w:val="center"/>
          </w:tcPr>
          <w:p w14:paraId="585A3865" w14:textId="77777777" w:rsidR="004C6421" w:rsidRDefault="009D1962">
            <w:pPr>
              <w:pStyle w:val="P68B1DB1-Normal4"/>
              <w:spacing w:after="120"/>
              <w:jc w:val="center"/>
              <w:rPr>
                <w:noProof/>
              </w:rPr>
            </w:pPr>
            <w:r>
              <w:rPr>
                <w:noProof/>
              </w:rPr>
              <w:t>M7-22</w:t>
            </w:r>
          </w:p>
        </w:tc>
        <w:tc>
          <w:tcPr>
            <w:tcW w:w="1559" w:type="dxa"/>
            <w:shd w:val="clear" w:color="auto" w:fill="C6EFCE"/>
            <w:noWrap/>
            <w:vAlign w:val="center"/>
          </w:tcPr>
          <w:p w14:paraId="18326B76" w14:textId="77777777" w:rsidR="004C6421" w:rsidRDefault="009D1962">
            <w:pPr>
              <w:pStyle w:val="P68B1DB1-Normal4"/>
              <w:spacing w:after="120"/>
              <w:jc w:val="center"/>
              <w:rPr>
                <w:noProof/>
              </w:rPr>
            </w:pPr>
            <w:r>
              <w:rPr>
                <w:noProof/>
              </w:rPr>
              <w:t>Inwestycja 7: Inteligentna krajowa sieć przesyłowa</w:t>
            </w:r>
          </w:p>
        </w:tc>
        <w:tc>
          <w:tcPr>
            <w:tcW w:w="1134" w:type="dxa"/>
            <w:shd w:val="clear" w:color="auto" w:fill="C6EFCE"/>
            <w:noWrap/>
            <w:vAlign w:val="center"/>
          </w:tcPr>
          <w:p w14:paraId="61514F81" w14:textId="77777777" w:rsidR="004C6421" w:rsidRDefault="009D1962">
            <w:pPr>
              <w:pStyle w:val="P68B1DB1-Normal4"/>
              <w:spacing w:after="120"/>
              <w:jc w:val="center"/>
              <w:rPr>
                <w:noProof/>
              </w:rPr>
            </w:pPr>
            <w:r>
              <w:rPr>
                <w:noProof/>
              </w:rPr>
              <w:t>Cel</w:t>
            </w:r>
          </w:p>
        </w:tc>
        <w:tc>
          <w:tcPr>
            <w:tcW w:w="1418" w:type="dxa"/>
            <w:shd w:val="clear" w:color="auto" w:fill="C6EFCE"/>
            <w:noWrap/>
            <w:vAlign w:val="center"/>
          </w:tcPr>
          <w:p w14:paraId="0763E634" w14:textId="77777777" w:rsidR="004C6421" w:rsidRDefault="009D1962">
            <w:pPr>
              <w:pStyle w:val="P68B1DB1-Normal4"/>
              <w:spacing w:after="120"/>
              <w:jc w:val="center"/>
              <w:rPr>
                <w:noProof/>
              </w:rPr>
            </w:pPr>
            <w:r>
              <w:rPr>
                <w:noProof/>
              </w:rPr>
              <w:t>Instalacja sprzętu 5G lub architektury ICT na stacjach</w:t>
            </w:r>
          </w:p>
        </w:tc>
        <w:tc>
          <w:tcPr>
            <w:tcW w:w="1984" w:type="dxa"/>
            <w:shd w:val="clear" w:color="auto" w:fill="C6EFCE"/>
            <w:noWrap/>
            <w:vAlign w:val="center"/>
          </w:tcPr>
          <w:p w14:paraId="1E83004E" w14:textId="77777777" w:rsidR="004C6421" w:rsidRDefault="004C6421">
            <w:pPr>
              <w:spacing w:after="120"/>
              <w:jc w:val="center"/>
              <w:rPr>
                <w:rFonts w:ascii="Arial Narrow" w:hAnsi="Arial Narrow"/>
                <w:noProof/>
                <w:color w:val="006100"/>
                <w:sz w:val="20"/>
              </w:rPr>
            </w:pPr>
          </w:p>
        </w:tc>
        <w:tc>
          <w:tcPr>
            <w:tcW w:w="1134" w:type="dxa"/>
            <w:shd w:val="clear" w:color="auto" w:fill="C6EFCE"/>
            <w:noWrap/>
            <w:vAlign w:val="center"/>
          </w:tcPr>
          <w:p w14:paraId="22AF78A5" w14:textId="77777777" w:rsidR="004C6421" w:rsidRDefault="009D1962">
            <w:pPr>
              <w:pStyle w:val="P68B1DB1-Normal4"/>
              <w:spacing w:after="120"/>
              <w:jc w:val="center"/>
              <w:rPr>
                <w:noProof/>
              </w:rPr>
            </w:pPr>
            <w:r>
              <w:rPr>
                <w:noProof/>
              </w:rPr>
              <w:t>Liczba stacji</w:t>
            </w:r>
          </w:p>
        </w:tc>
        <w:tc>
          <w:tcPr>
            <w:tcW w:w="993" w:type="dxa"/>
            <w:shd w:val="clear" w:color="auto" w:fill="C6EFCE"/>
            <w:noWrap/>
            <w:vAlign w:val="center"/>
          </w:tcPr>
          <w:p w14:paraId="40B41048" w14:textId="77777777" w:rsidR="004C6421" w:rsidRDefault="009D1962">
            <w:pPr>
              <w:pStyle w:val="P68B1DB1-Normal4"/>
              <w:spacing w:after="120"/>
              <w:jc w:val="center"/>
              <w:rPr>
                <w:noProof/>
              </w:rPr>
            </w:pPr>
            <w:r>
              <w:rPr>
                <w:noProof/>
              </w:rPr>
              <w:t>0</w:t>
            </w:r>
          </w:p>
        </w:tc>
        <w:tc>
          <w:tcPr>
            <w:tcW w:w="992" w:type="dxa"/>
            <w:shd w:val="clear" w:color="auto" w:fill="C6EFCE"/>
            <w:noWrap/>
            <w:vAlign w:val="center"/>
          </w:tcPr>
          <w:p w14:paraId="56E178CA" w14:textId="77777777" w:rsidR="004C6421" w:rsidRDefault="009D1962">
            <w:pPr>
              <w:pStyle w:val="P68B1DB1-Normal4"/>
              <w:spacing w:after="120"/>
              <w:jc w:val="center"/>
              <w:rPr>
                <w:strike/>
                <w:noProof/>
              </w:rPr>
            </w:pPr>
            <w:r>
              <w:rPr>
                <w:noProof/>
              </w:rPr>
              <w:t>40</w:t>
            </w:r>
          </w:p>
        </w:tc>
        <w:tc>
          <w:tcPr>
            <w:tcW w:w="992" w:type="dxa"/>
            <w:shd w:val="clear" w:color="auto" w:fill="C6EFCE"/>
            <w:noWrap/>
            <w:vAlign w:val="center"/>
          </w:tcPr>
          <w:p w14:paraId="22E3C709" w14:textId="77777777" w:rsidR="004C6421" w:rsidRDefault="009D1962">
            <w:pPr>
              <w:pStyle w:val="P68B1DB1-Normal4"/>
              <w:spacing w:after="120"/>
              <w:jc w:val="center"/>
              <w:rPr>
                <w:noProof/>
              </w:rPr>
            </w:pPr>
            <w:r>
              <w:rPr>
                <w:noProof/>
              </w:rPr>
              <w:t>II KW.</w:t>
            </w:r>
          </w:p>
        </w:tc>
        <w:tc>
          <w:tcPr>
            <w:tcW w:w="709" w:type="dxa"/>
            <w:shd w:val="clear" w:color="auto" w:fill="C6EFCE"/>
            <w:noWrap/>
            <w:vAlign w:val="center"/>
          </w:tcPr>
          <w:p w14:paraId="17575C18" w14:textId="77777777" w:rsidR="004C6421" w:rsidRDefault="009D1962">
            <w:pPr>
              <w:pStyle w:val="P68B1DB1-Normal4"/>
              <w:spacing w:after="120"/>
              <w:jc w:val="center"/>
              <w:rPr>
                <w:noProof/>
              </w:rPr>
            </w:pPr>
            <w:r>
              <w:rPr>
                <w:noProof/>
              </w:rPr>
              <w:t>2026</w:t>
            </w:r>
          </w:p>
        </w:tc>
        <w:tc>
          <w:tcPr>
            <w:tcW w:w="3261" w:type="dxa"/>
            <w:shd w:val="clear" w:color="auto" w:fill="C6EFCE"/>
            <w:noWrap/>
            <w:vAlign w:val="center"/>
          </w:tcPr>
          <w:p w14:paraId="0D74C490" w14:textId="77777777" w:rsidR="004C6421" w:rsidRDefault="009D1962">
            <w:pPr>
              <w:pStyle w:val="P68B1DB1-Normal4"/>
              <w:spacing w:after="120"/>
              <w:rPr>
                <w:noProof/>
              </w:rPr>
            </w:pPr>
            <w:r>
              <w:rPr>
                <w:noProof/>
              </w:rPr>
              <w:t>Nowy sprzęt 5G lub architektura ICT instaluje się i wdraża na co najmniej 40 stacjach.</w:t>
            </w:r>
          </w:p>
        </w:tc>
      </w:tr>
      <w:tr w:rsidR="004C6421" w14:paraId="41935E51" w14:textId="77777777">
        <w:trPr>
          <w:trHeight w:val="147"/>
        </w:trPr>
        <w:tc>
          <w:tcPr>
            <w:tcW w:w="1185" w:type="dxa"/>
            <w:shd w:val="clear" w:color="auto" w:fill="C6EFCE"/>
            <w:noWrap/>
            <w:vAlign w:val="center"/>
          </w:tcPr>
          <w:p w14:paraId="0D265618" w14:textId="77777777" w:rsidR="004C6421" w:rsidRDefault="009D1962">
            <w:pPr>
              <w:pStyle w:val="P68B1DB1-Normal4"/>
              <w:spacing w:after="120"/>
              <w:jc w:val="center"/>
              <w:rPr>
                <w:noProof/>
              </w:rPr>
            </w:pPr>
            <w:r>
              <w:rPr>
                <w:noProof/>
              </w:rPr>
              <w:t>M7-23</w:t>
            </w:r>
          </w:p>
        </w:tc>
        <w:tc>
          <w:tcPr>
            <w:tcW w:w="1559" w:type="dxa"/>
            <w:shd w:val="clear" w:color="auto" w:fill="C6EFCE"/>
            <w:noWrap/>
            <w:vAlign w:val="center"/>
          </w:tcPr>
          <w:p w14:paraId="12C19609" w14:textId="77777777" w:rsidR="004C6421" w:rsidRDefault="009D1962">
            <w:pPr>
              <w:pStyle w:val="P68B1DB1-Normal4"/>
              <w:spacing w:after="120"/>
              <w:jc w:val="center"/>
              <w:rPr>
                <w:noProof/>
              </w:rPr>
            </w:pPr>
            <w:r>
              <w:rPr>
                <w:noProof/>
              </w:rPr>
              <w:t>Inwestycja 7: Inteligentna krajowa sieć przesyłowa</w:t>
            </w:r>
          </w:p>
        </w:tc>
        <w:tc>
          <w:tcPr>
            <w:tcW w:w="1134" w:type="dxa"/>
            <w:shd w:val="clear" w:color="auto" w:fill="C6EFCE"/>
            <w:noWrap/>
            <w:vAlign w:val="center"/>
          </w:tcPr>
          <w:p w14:paraId="27A59D67" w14:textId="77777777" w:rsidR="004C6421" w:rsidRDefault="009D1962">
            <w:pPr>
              <w:pStyle w:val="P68B1DB1-Normal4"/>
              <w:spacing w:after="120"/>
              <w:jc w:val="center"/>
              <w:rPr>
                <w:noProof/>
              </w:rPr>
            </w:pPr>
            <w:r>
              <w:rPr>
                <w:noProof/>
              </w:rPr>
              <w:t>Cel</w:t>
            </w:r>
          </w:p>
        </w:tc>
        <w:tc>
          <w:tcPr>
            <w:tcW w:w="1418" w:type="dxa"/>
            <w:shd w:val="clear" w:color="auto" w:fill="C6EFCE"/>
            <w:noWrap/>
            <w:vAlign w:val="center"/>
          </w:tcPr>
          <w:p w14:paraId="179452DC" w14:textId="77777777" w:rsidR="004C6421" w:rsidRDefault="009D1962">
            <w:pPr>
              <w:pStyle w:val="P68B1DB1-Normal4"/>
              <w:spacing w:after="120"/>
              <w:jc w:val="center"/>
              <w:rPr>
                <w:noProof/>
              </w:rPr>
            </w:pPr>
            <w:r>
              <w:rPr>
                <w:noProof/>
              </w:rPr>
              <w:t xml:space="preserve"> Nowy system zarządzania i kontroli sieci</w:t>
            </w:r>
          </w:p>
        </w:tc>
        <w:tc>
          <w:tcPr>
            <w:tcW w:w="1984" w:type="dxa"/>
            <w:shd w:val="clear" w:color="auto" w:fill="C6EFCE"/>
            <w:noWrap/>
            <w:vAlign w:val="center"/>
          </w:tcPr>
          <w:p w14:paraId="303B7E9D" w14:textId="77777777" w:rsidR="004C6421" w:rsidRDefault="004C6421">
            <w:pPr>
              <w:spacing w:after="120"/>
              <w:jc w:val="center"/>
              <w:rPr>
                <w:rFonts w:ascii="Arial Narrow" w:hAnsi="Arial Narrow"/>
                <w:noProof/>
                <w:color w:val="006100"/>
                <w:sz w:val="20"/>
              </w:rPr>
            </w:pPr>
          </w:p>
        </w:tc>
        <w:tc>
          <w:tcPr>
            <w:tcW w:w="1134" w:type="dxa"/>
            <w:shd w:val="clear" w:color="auto" w:fill="C6EFCE"/>
            <w:noWrap/>
            <w:vAlign w:val="center"/>
          </w:tcPr>
          <w:p w14:paraId="75752BD1" w14:textId="77777777" w:rsidR="004C6421" w:rsidRDefault="009D1962">
            <w:pPr>
              <w:pStyle w:val="P68B1DB1-Normal4"/>
              <w:spacing w:after="120"/>
              <w:jc w:val="center"/>
              <w:rPr>
                <w:noProof/>
              </w:rPr>
            </w:pPr>
            <w:r>
              <w:rPr>
                <w:noProof/>
              </w:rPr>
              <w:t xml:space="preserve">Numer </w:t>
            </w:r>
          </w:p>
        </w:tc>
        <w:tc>
          <w:tcPr>
            <w:tcW w:w="993" w:type="dxa"/>
            <w:shd w:val="clear" w:color="auto" w:fill="C6EFCE"/>
            <w:noWrap/>
            <w:vAlign w:val="center"/>
          </w:tcPr>
          <w:p w14:paraId="2B1EE883" w14:textId="77777777" w:rsidR="004C6421" w:rsidRDefault="009D1962">
            <w:pPr>
              <w:pStyle w:val="P68B1DB1-Normal4"/>
              <w:spacing w:after="120"/>
              <w:jc w:val="center"/>
              <w:rPr>
                <w:noProof/>
              </w:rPr>
            </w:pPr>
            <w:r>
              <w:rPr>
                <w:noProof/>
              </w:rPr>
              <w:t>0</w:t>
            </w:r>
          </w:p>
        </w:tc>
        <w:tc>
          <w:tcPr>
            <w:tcW w:w="992" w:type="dxa"/>
            <w:shd w:val="clear" w:color="auto" w:fill="C6EFCE"/>
            <w:noWrap/>
            <w:vAlign w:val="center"/>
          </w:tcPr>
          <w:p w14:paraId="5BCABF88" w14:textId="77777777" w:rsidR="004C6421" w:rsidRDefault="009D1962">
            <w:pPr>
              <w:pStyle w:val="P68B1DB1-Normal4"/>
              <w:spacing w:after="120"/>
              <w:jc w:val="center"/>
              <w:rPr>
                <w:noProof/>
              </w:rPr>
            </w:pPr>
            <w:r>
              <w:rPr>
                <w:noProof/>
              </w:rPr>
              <w:t>250</w:t>
            </w:r>
          </w:p>
        </w:tc>
        <w:tc>
          <w:tcPr>
            <w:tcW w:w="992" w:type="dxa"/>
            <w:shd w:val="clear" w:color="auto" w:fill="C6EFCE"/>
            <w:noWrap/>
            <w:vAlign w:val="center"/>
          </w:tcPr>
          <w:p w14:paraId="0C22AB5C" w14:textId="77777777" w:rsidR="004C6421" w:rsidRDefault="009D1962">
            <w:pPr>
              <w:pStyle w:val="P68B1DB1-Normal4"/>
              <w:spacing w:after="120"/>
              <w:jc w:val="center"/>
              <w:rPr>
                <w:noProof/>
              </w:rPr>
            </w:pPr>
            <w:r>
              <w:rPr>
                <w:noProof/>
              </w:rPr>
              <w:t>II KW.</w:t>
            </w:r>
          </w:p>
        </w:tc>
        <w:tc>
          <w:tcPr>
            <w:tcW w:w="709" w:type="dxa"/>
            <w:shd w:val="clear" w:color="auto" w:fill="C6EFCE"/>
            <w:noWrap/>
            <w:vAlign w:val="center"/>
          </w:tcPr>
          <w:p w14:paraId="2914B1EE" w14:textId="77777777" w:rsidR="004C6421" w:rsidRDefault="009D1962">
            <w:pPr>
              <w:pStyle w:val="P68B1DB1-Normal4"/>
              <w:spacing w:after="120"/>
              <w:jc w:val="center"/>
              <w:rPr>
                <w:noProof/>
              </w:rPr>
            </w:pPr>
            <w:r>
              <w:rPr>
                <w:noProof/>
              </w:rPr>
              <w:t>2026</w:t>
            </w:r>
          </w:p>
        </w:tc>
        <w:tc>
          <w:tcPr>
            <w:tcW w:w="3261" w:type="dxa"/>
            <w:shd w:val="clear" w:color="auto" w:fill="C6EFCE"/>
            <w:noWrap/>
            <w:vAlign w:val="center"/>
          </w:tcPr>
          <w:p w14:paraId="19FAB235" w14:textId="77777777" w:rsidR="004C6421" w:rsidRDefault="009D1962">
            <w:pPr>
              <w:pStyle w:val="P68B1DB1-Normal4"/>
              <w:spacing w:after="120"/>
              <w:rPr>
                <w:noProof/>
              </w:rPr>
            </w:pPr>
            <w:r>
              <w:rPr>
                <w:noProof/>
              </w:rPr>
              <w:t>Instalacja bezpiecznego protokołu 104 (protokół IEC 62351) w co najmniej 250 stacjach elektrycznych.</w:t>
            </w:r>
          </w:p>
        </w:tc>
      </w:tr>
      <w:tr w:rsidR="004C6421" w14:paraId="6DE59543" w14:textId="77777777">
        <w:trPr>
          <w:trHeight w:val="147"/>
        </w:trPr>
        <w:tc>
          <w:tcPr>
            <w:tcW w:w="1185" w:type="dxa"/>
            <w:shd w:val="clear" w:color="auto" w:fill="C6EFCE"/>
            <w:noWrap/>
            <w:vAlign w:val="center"/>
          </w:tcPr>
          <w:p w14:paraId="4D9612B5" w14:textId="77777777" w:rsidR="004C6421" w:rsidRDefault="009D1962">
            <w:pPr>
              <w:pStyle w:val="P68B1DB1-Normal4"/>
              <w:spacing w:after="120"/>
              <w:jc w:val="center"/>
              <w:rPr>
                <w:noProof/>
              </w:rPr>
            </w:pPr>
            <w:r>
              <w:rPr>
                <w:noProof/>
              </w:rPr>
              <w:t>M7-24</w:t>
            </w:r>
          </w:p>
        </w:tc>
        <w:tc>
          <w:tcPr>
            <w:tcW w:w="1559" w:type="dxa"/>
            <w:shd w:val="clear" w:color="auto" w:fill="C6EFCE"/>
            <w:noWrap/>
            <w:vAlign w:val="center"/>
          </w:tcPr>
          <w:p w14:paraId="115875F6" w14:textId="77777777" w:rsidR="004C6421" w:rsidRDefault="009D1962">
            <w:pPr>
              <w:pStyle w:val="P68B1DB1-Normal4"/>
              <w:spacing w:after="120"/>
              <w:jc w:val="center"/>
              <w:rPr>
                <w:noProof/>
              </w:rPr>
            </w:pPr>
            <w:r>
              <w:rPr>
                <w:noProof/>
              </w:rPr>
              <w:t>Inwestycja 7: Inteligentna krajowa sieć przesyłowa</w:t>
            </w:r>
          </w:p>
        </w:tc>
        <w:tc>
          <w:tcPr>
            <w:tcW w:w="1134" w:type="dxa"/>
            <w:shd w:val="clear" w:color="auto" w:fill="C6EFCE"/>
            <w:noWrap/>
            <w:vAlign w:val="center"/>
          </w:tcPr>
          <w:p w14:paraId="09B2076E" w14:textId="77777777" w:rsidR="004C6421" w:rsidRDefault="009D1962">
            <w:pPr>
              <w:pStyle w:val="P68B1DB1-Normal4"/>
              <w:spacing w:after="120"/>
              <w:jc w:val="center"/>
              <w:rPr>
                <w:noProof/>
              </w:rPr>
            </w:pPr>
            <w:r>
              <w:rPr>
                <w:noProof/>
              </w:rPr>
              <w:t xml:space="preserve">Cel </w:t>
            </w:r>
          </w:p>
        </w:tc>
        <w:tc>
          <w:tcPr>
            <w:tcW w:w="1418" w:type="dxa"/>
            <w:shd w:val="clear" w:color="auto" w:fill="C6EFCE"/>
            <w:noWrap/>
            <w:vAlign w:val="center"/>
          </w:tcPr>
          <w:p w14:paraId="0DD3CF1F" w14:textId="77777777" w:rsidR="004C6421" w:rsidRDefault="009D1962">
            <w:pPr>
              <w:pStyle w:val="P68B1DB1-Normal4"/>
              <w:spacing w:after="120"/>
              <w:jc w:val="center"/>
              <w:rPr>
                <w:noProof/>
              </w:rPr>
            </w:pPr>
            <w:r>
              <w:rPr>
                <w:noProof/>
              </w:rPr>
              <w:t>Przemysłowy internet rzeczy</w:t>
            </w:r>
          </w:p>
        </w:tc>
        <w:tc>
          <w:tcPr>
            <w:tcW w:w="1984" w:type="dxa"/>
            <w:shd w:val="clear" w:color="auto" w:fill="C6EFCE"/>
            <w:noWrap/>
            <w:vAlign w:val="center"/>
          </w:tcPr>
          <w:p w14:paraId="11BD88AB" w14:textId="77777777" w:rsidR="004C6421" w:rsidRDefault="004C6421">
            <w:pPr>
              <w:spacing w:after="120"/>
              <w:jc w:val="center"/>
              <w:rPr>
                <w:rFonts w:ascii="Arial Narrow" w:hAnsi="Arial Narrow"/>
                <w:noProof/>
                <w:color w:val="006100"/>
                <w:sz w:val="20"/>
              </w:rPr>
            </w:pPr>
          </w:p>
        </w:tc>
        <w:tc>
          <w:tcPr>
            <w:tcW w:w="1134" w:type="dxa"/>
            <w:shd w:val="clear" w:color="auto" w:fill="C6EFCE"/>
            <w:noWrap/>
            <w:vAlign w:val="center"/>
          </w:tcPr>
          <w:p w14:paraId="2F30C8A3" w14:textId="77777777" w:rsidR="004C6421" w:rsidRDefault="009D1962">
            <w:pPr>
              <w:pStyle w:val="P68B1DB1-Normal4"/>
              <w:spacing w:after="120"/>
              <w:jc w:val="center"/>
              <w:rPr>
                <w:noProof/>
              </w:rPr>
            </w:pPr>
            <w:r>
              <w:rPr>
                <w:noProof/>
              </w:rPr>
              <w:t>Numer</w:t>
            </w:r>
          </w:p>
        </w:tc>
        <w:tc>
          <w:tcPr>
            <w:tcW w:w="993" w:type="dxa"/>
            <w:shd w:val="clear" w:color="auto" w:fill="C6EFCE"/>
            <w:noWrap/>
            <w:vAlign w:val="center"/>
          </w:tcPr>
          <w:p w14:paraId="7D8DD7BF" w14:textId="77777777" w:rsidR="004C6421" w:rsidRDefault="009D1962">
            <w:pPr>
              <w:pStyle w:val="P68B1DB1-Normal4"/>
              <w:spacing w:after="120"/>
              <w:jc w:val="center"/>
              <w:rPr>
                <w:noProof/>
              </w:rPr>
            </w:pPr>
            <w:r>
              <w:rPr>
                <w:noProof/>
              </w:rPr>
              <w:t>0</w:t>
            </w:r>
          </w:p>
        </w:tc>
        <w:tc>
          <w:tcPr>
            <w:tcW w:w="992" w:type="dxa"/>
            <w:shd w:val="clear" w:color="auto" w:fill="C6EFCE"/>
            <w:noWrap/>
            <w:vAlign w:val="center"/>
          </w:tcPr>
          <w:p w14:paraId="459AC5FA" w14:textId="798A82CF" w:rsidR="004C6421" w:rsidRDefault="009D1962">
            <w:pPr>
              <w:spacing w:after="120"/>
              <w:jc w:val="center"/>
              <w:rPr>
                <w:rFonts w:ascii="Arial Narrow" w:hAnsi="Arial Narrow"/>
                <w:noProof/>
                <w:color w:val="006100"/>
                <w:sz w:val="20"/>
              </w:rPr>
            </w:pPr>
            <w:r>
              <w:rPr>
                <w:rFonts w:ascii="Arial Narrow" w:hAnsi="Arial Narrow"/>
                <w:noProof/>
                <w:color w:val="006100"/>
                <w:sz w:val="20"/>
              </w:rPr>
              <w:t>1</w:t>
            </w:r>
            <w:r>
              <w:rPr>
                <w:noProof/>
                <w:sz w:val="23"/>
              </w:rPr>
              <w:t xml:space="preserve"> </w:t>
            </w:r>
            <w:r>
              <w:rPr>
                <w:rFonts w:ascii="Arial Narrow" w:hAnsi="Arial Narrow"/>
                <w:noProof/>
                <w:color w:val="006100"/>
                <w:sz w:val="20"/>
              </w:rPr>
              <w:t>500</w:t>
            </w:r>
          </w:p>
        </w:tc>
        <w:tc>
          <w:tcPr>
            <w:tcW w:w="992" w:type="dxa"/>
            <w:shd w:val="clear" w:color="auto" w:fill="C6EFCE"/>
            <w:noWrap/>
            <w:vAlign w:val="center"/>
          </w:tcPr>
          <w:p w14:paraId="5DA9F0F1" w14:textId="77777777" w:rsidR="004C6421" w:rsidRDefault="009D1962">
            <w:pPr>
              <w:pStyle w:val="P68B1DB1-Normal4"/>
              <w:spacing w:after="120"/>
              <w:jc w:val="center"/>
              <w:rPr>
                <w:noProof/>
              </w:rPr>
            </w:pPr>
            <w:r>
              <w:rPr>
                <w:noProof/>
              </w:rPr>
              <w:t>II KW.</w:t>
            </w:r>
          </w:p>
        </w:tc>
        <w:tc>
          <w:tcPr>
            <w:tcW w:w="709" w:type="dxa"/>
            <w:shd w:val="clear" w:color="auto" w:fill="C6EFCE"/>
            <w:noWrap/>
            <w:vAlign w:val="center"/>
          </w:tcPr>
          <w:p w14:paraId="5B8D47AF" w14:textId="77777777" w:rsidR="004C6421" w:rsidRDefault="009D1962">
            <w:pPr>
              <w:pStyle w:val="P68B1DB1-Normal4"/>
              <w:spacing w:after="120"/>
              <w:jc w:val="center"/>
              <w:rPr>
                <w:noProof/>
              </w:rPr>
            </w:pPr>
            <w:r>
              <w:rPr>
                <w:noProof/>
              </w:rPr>
              <w:t>2026</w:t>
            </w:r>
          </w:p>
        </w:tc>
        <w:tc>
          <w:tcPr>
            <w:tcW w:w="3261" w:type="dxa"/>
            <w:shd w:val="clear" w:color="auto" w:fill="C6EFCE"/>
            <w:noWrap/>
            <w:vAlign w:val="center"/>
          </w:tcPr>
          <w:p w14:paraId="5603E142" w14:textId="2FFE206E" w:rsidR="004C6421" w:rsidRDefault="009D1962">
            <w:pPr>
              <w:spacing w:after="120"/>
              <w:rPr>
                <w:rFonts w:ascii="Arial Narrow" w:hAnsi="Arial Narrow"/>
                <w:noProof/>
                <w:color w:val="006100"/>
                <w:sz w:val="20"/>
              </w:rPr>
            </w:pPr>
            <w:r>
              <w:rPr>
                <w:rFonts w:ascii="Arial Narrow" w:hAnsi="Arial Narrow"/>
                <w:noProof/>
                <w:color w:val="006100"/>
                <w:sz w:val="20"/>
              </w:rPr>
              <w:t>Przemysłowe systemy monitorowania internetu rzeczy zainstalowane na co najmniej 1500</w:t>
            </w:r>
            <w:r>
              <w:rPr>
                <w:noProof/>
                <w:sz w:val="23"/>
              </w:rPr>
              <w:t xml:space="preserve"> </w:t>
            </w:r>
            <w:r>
              <w:rPr>
                <w:rFonts w:ascii="Arial Narrow" w:hAnsi="Arial Narrow"/>
                <w:noProof/>
                <w:color w:val="006100"/>
                <w:sz w:val="20"/>
              </w:rPr>
              <w:t>słupach energii elektrycznej w celu gromadzenia danych, które mogą być przetwarzane w systemie zarządzania.</w:t>
            </w:r>
          </w:p>
        </w:tc>
      </w:tr>
      <w:tr w:rsidR="004C6421" w14:paraId="451F87F5" w14:textId="77777777">
        <w:trPr>
          <w:trHeight w:val="2206"/>
        </w:trPr>
        <w:tc>
          <w:tcPr>
            <w:tcW w:w="118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9C27F3" w14:textId="77777777" w:rsidR="004C6421" w:rsidRDefault="009D1962">
            <w:pPr>
              <w:pStyle w:val="P68B1DB1-Normal4"/>
              <w:spacing w:after="120"/>
              <w:jc w:val="center"/>
              <w:rPr>
                <w:noProof/>
              </w:rPr>
            </w:pPr>
            <w:r>
              <w:rPr>
                <w:noProof/>
              </w:rPr>
              <w:t>M7-25</w:t>
            </w:r>
          </w:p>
        </w:tc>
        <w:tc>
          <w:tcPr>
            <w:tcW w:w="1559" w:type="dxa"/>
            <w:tcBorders>
              <w:top w:val="single" w:sz="4" w:space="0" w:color="auto"/>
              <w:left w:val="single" w:sz="4" w:space="0" w:color="auto"/>
              <w:bottom w:val="single" w:sz="4" w:space="0" w:color="auto"/>
              <w:right w:val="single" w:sz="4" w:space="0" w:color="auto"/>
            </w:tcBorders>
            <w:shd w:val="clear" w:color="auto" w:fill="C6EFCE"/>
            <w:noWrap/>
          </w:tcPr>
          <w:p w14:paraId="50B54B73" w14:textId="77777777" w:rsidR="004C6421" w:rsidRDefault="009D1962">
            <w:pPr>
              <w:pStyle w:val="P68B1DB1-Normal4"/>
              <w:spacing w:after="120"/>
              <w:jc w:val="center"/>
              <w:rPr>
                <w:noProof/>
              </w:rPr>
            </w:pPr>
            <w:r>
              <w:rPr>
                <w:noProof/>
              </w:rPr>
              <w:t>Inwestycja 8: Zrównoważone, o obiegu zamkniętym i bezpieczne dostawy surowców krytycznych</w:t>
            </w: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561C6121" w14:textId="61BE91D9" w:rsidR="004C6421" w:rsidRDefault="00CC179E">
            <w:pPr>
              <w:pStyle w:val="P68B1DB1-Normal4"/>
              <w:spacing w:after="120"/>
              <w:jc w:val="center"/>
              <w:rPr>
                <w:noProof/>
              </w:rPr>
            </w:pPr>
            <w:r>
              <w:rPr>
                <w:noProof/>
              </w:rPr>
              <w:t>Milowy</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14:paraId="19C70D7A" w14:textId="77777777" w:rsidR="004C6421" w:rsidRDefault="009D1962">
            <w:pPr>
              <w:pStyle w:val="P68B1DB1-Normal4"/>
              <w:spacing w:after="120"/>
              <w:jc w:val="center"/>
              <w:rPr>
                <w:noProof/>
              </w:rPr>
            </w:pPr>
            <w:r>
              <w:rPr>
                <w:noProof/>
              </w:rPr>
              <w:t>Publikacja sprawozdania na temat przyszłych potrzeb w zakresie surowców krytycznych oraz potencjału ekoprojektu w zakresie zmniejszenia zapotrzebowania na surowce krytyczne</w:t>
            </w:r>
          </w:p>
        </w:tc>
        <w:tc>
          <w:tcPr>
            <w:tcW w:w="198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5CB6AC" w14:textId="77777777" w:rsidR="004C6421" w:rsidRDefault="009D1962">
            <w:pPr>
              <w:pStyle w:val="P68B1DB1-Normal4"/>
              <w:spacing w:after="120"/>
              <w:jc w:val="center"/>
              <w:rPr>
                <w:noProof/>
              </w:rPr>
            </w:pPr>
            <w:r>
              <w:rPr>
                <w:noProof/>
              </w:rPr>
              <w:t>Publikacja sprawozdania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3D8A48C" w14:textId="77777777" w:rsidR="004C6421" w:rsidRDefault="009D1962">
            <w:pPr>
              <w:pStyle w:val="P68B1DB1-Normal4"/>
              <w:spacing w:after="120"/>
              <w:jc w:val="center"/>
              <w:rPr>
                <w:noProof/>
              </w:rPr>
            </w:pPr>
            <w:r>
              <w:rPr>
                <w:noProof/>
              </w:rPr>
              <w:t>NIE DOT.</w:t>
            </w:r>
          </w:p>
        </w:tc>
        <w:tc>
          <w:tcPr>
            <w:tcW w:w="99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2D7450" w14:textId="77777777" w:rsidR="004C6421" w:rsidRDefault="009D1962">
            <w:pPr>
              <w:pStyle w:val="P68B1DB1-Normal4"/>
              <w:spacing w:after="120"/>
              <w:jc w:val="center"/>
              <w:rPr>
                <w:noProof/>
              </w:rPr>
            </w:pPr>
            <w:r>
              <w:rPr>
                <w:noProof/>
              </w:rPr>
              <w:t>NIE DOT.</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D3F8CE" w14:textId="77777777" w:rsidR="004C6421" w:rsidRDefault="009D1962">
            <w:pPr>
              <w:pStyle w:val="P68B1DB1-Normal4"/>
              <w:spacing w:after="120"/>
              <w:jc w:val="center"/>
              <w:rPr>
                <w:noProof/>
              </w:rPr>
            </w:pPr>
            <w:r>
              <w:rPr>
                <w:noProof/>
              </w:rPr>
              <w:t>NIE DOT.</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1FCC536" w14:textId="77777777" w:rsidR="004C6421" w:rsidRDefault="009D1962">
            <w:pPr>
              <w:pStyle w:val="P68B1DB1-Normal4"/>
              <w:spacing w:after="120"/>
              <w:jc w:val="center"/>
              <w:rPr>
                <w:noProof/>
              </w:rPr>
            </w:pPr>
            <w:r>
              <w:rPr>
                <w:noProof/>
              </w:rPr>
              <w:t>II KW.</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926824F" w14:textId="77777777" w:rsidR="004C6421" w:rsidRDefault="009D1962">
            <w:pPr>
              <w:pStyle w:val="P68B1DB1-Normal4"/>
              <w:spacing w:after="120"/>
              <w:jc w:val="center"/>
              <w:rPr>
                <w:noProof/>
              </w:rPr>
            </w:pPr>
            <w:r>
              <w:rPr>
                <w:noProof/>
              </w:rPr>
              <w:t>2025</w:t>
            </w:r>
          </w:p>
        </w:tc>
        <w:tc>
          <w:tcPr>
            <w:tcW w:w="3261" w:type="dxa"/>
            <w:tcBorders>
              <w:top w:val="single" w:sz="4" w:space="0" w:color="auto"/>
              <w:left w:val="single" w:sz="4" w:space="0" w:color="auto"/>
              <w:bottom w:val="single" w:sz="4" w:space="0" w:color="auto"/>
              <w:right w:val="single" w:sz="4" w:space="0" w:color="auto"/>
            </w:tcBorders>
            <w:shd w:val="clear" w:color="auto" w:fill="C6EFCE"/>
            <w:noWrap/>
          </w:tcPr>
          <w:p w14:paraId="7561D46E" w14:textId="77777777" w:rsidR="004C6421" w:rsidRDefault="009D1962">
            <w:pPr>
              <w:pStyle w:val="P68B1DB1-Normal4"/>
              <w:spacing w:after="120"/>
              <w:rPr>
                <w:noProof/>
              </w:rPr>
            </w:pPr>
            <w:r>
              <w:rPr>
                <w:noProof/>
              </w:rPr>
              <w:t xml:space="preserve">W sprawozdaniu analizuje się przyszłe potrzeby w zakresie surowców krytycznych oraz potencjał ekoprojektu w zakresie zmniejszenia zapotrzebowania na surowce krytyczne. </w:t>
            </w:r>
          </w:p>
        </w:tc>
      </w:tr>
      <w:tr w:rsidR="004C6421" w14:paraId="2A0389B2" w14:textId="77777777">
        <w:trPr>
          <w:trHeight w:val="309"/>
        </w:trPr>
        <w:tc>
          <w:tcPr>
            <w:tcW w:w="1185" w:type="dxa"/>
            <w:shd w:val="clear" w:color="auto" w:fill="C6EFCE"/>
            <w:noWrap/>
            <w:vAlign w:val="center"/>
          </w:tcPr>
          <w:p w14:paraId="65AF8F8D" w14:textId="77777777" w:rsidR="004C6421" w:rsidRDefault="009D1962">
            <w:pPr>
              <w:pStyle w:val="P68B1DB1-Normal4"/>
              <w:spacing w:after="120"/>
              <w:jc w:val="center"/>
              <w:rPr>
                <w:noProof/>
              </w:rPr>
            </w:pPr>
            <w:r>
              <w:rPr>
                <w:noProof/>
              </w:rPr>
              <w:t>M7-26</w:t>
            </w:r>
          </w:p>
        </w:tc>
        <w:tc>
          <w:tcPr>
            <w:tcW w:w="1559" w:type="dxa"/>
            <w:shd w:val="clear" w:color="auto" w:fill="C6EFCE"/>
            <w:noWrap/>
          </w:tcPr>
          <w:p w14:paraId="1B23145A" w14:textId="77777777" w:rsidR="004C6421" w:rsidRDefault="009D1962">
            <w:pPr>
              <w:pStyle w:val="P68B1DB1-Normal4"/>
              <w:spacing w:after="120"/>
              <w:jc w:val="center"/>
              <w:rPr>
                <w:noProof/>
              </w:rPr>
            </w:pPr>
            <w:r>
              <w:rPr>
                <w:noProof/>
              </w:rPr>
              <w:t>Inwestycja 8: Zrównoważone, o obiegu zamkniętym i bezpieczne dostawy surowców krytycznych</w:t>
            </w:r>
          </w:p>
        </w:tc>
        <w:tc>
          <w:tcPr>
            <w:tcW w:w="1134" w:type="dxa"/>
            <w:shd w:val="clear" w:color="auto" w:fill="C6EFCE"/>
            <w:noWrap/>
          </w:tcPr>
          <w:p w14:paraId="2BD08B66" w14:textId="66EE2A64" w:rsidR="004C6421" w:rsidRDefault="00CC179E">
            <w:pPr>
              <w:pStyle w:val="P68B1DB1-Normal4"/>
              <w:spacing w:after="120"/>
              <w:jc w:val="center"/>
              <w:rPr>
                <w:noProof/>
              </w:rPr>
            </w:pPr>
            <w:r>
              <w:rPr>
                <w:noProof/>
              </w:rPr>
              <w:t>Milowy</w:t>
            </w:r>
          </w:p>
        </w:tc>
        <w:tc>
          <w:tcPr>
            <w:tcW w:w="1418" w:type="dxa"/>
            <w:shd w:val="clear" w:color="auto" w:fill="C6EFCE"/>
            <w:noWrap/>
          </w:tcPr>
          <w:p w14:paraId="7A80A590" w14:textId="77777777" w:rsidR="004C6421" w:rsidRDefault="009D1962">
            <w:pPr>
              <w:pStyle w:val="P68B1DB1-Normal4"/>
              <w:spacing w:after="120"/>
              <w:jc w:val="center"/>
              <w:rPr>
                <w:noProof/>
              </w:rPr>
            </w:pPr>
            <w:r>
              <w:rPr>
                <w:noProof/>
              </w:rPr>
              <w:t>System informacji geograficznej (GIS) dotyczący odpadów wydobywczych na rzecz zrównoważonych, opartych na obiegu zamkniętym i bezpiecznych dostaw surowców krytycznych</w:t>
            </w:r>
          </w:p>
        </w:tc>
        <w:tc>
          <w:tcPr>
            <w:tcW w:w="1984" w:type="dxa"/>
            <w:shd w:val="clear" w:color="auto" w:fill="C6EFCE"/>
            <w:noWrap/>
            <w:vAlign w:val="center"/>
          </w:tcPr>
          <w:p w14:paraId="345C7987" w14:textId="77777777" w:rsidR="004C6421" w:rsidRDefault="009D1962">
            <w:pPr>
              <w:pStyle w:val="P68B1DB1-Normal4"/>
              <w:spacing w:after="120"/>
              <w:jc w:val="center"/>
              <w:rPr>
                <w:noProof/>
              </w:rPr>
            </w:pPr>
            <w:r>
              <w:rPr>
                <w:noProof/>
              </w:rPr>
              <w:t>Publikacja bazy danych</w:t>
            </w:r>
          </w:p>
        </w:tc>
        <w:tc>
          <w:tcPr>
            <w:tcW w:w="1134" w:type="dxa"/>
            <w:shd w:val="clear" w:color="auto" w:fill="C6EFCE"/>
            <w:noWrap/>
            <w:vAlign w:val="center"/>
          </w:tcPr>
          <w:p w14:paraId="5AAEFF64" w14:textId="77777777" w:rsidR="004C6421" w:rsidRDefault="009D1962">
            <w:pPr>
              <w:pStyle w:val="P68B1DB1-Normal4"/>
              <w:spacing w:after="120"/>
              <w:jc w:val="center"/>
              <w:rPr>
                <w:noProof/>
              </w:rPr>
            </w:pPr>
            <w:r>
              <w:rPr>
                <w:noProof/>
              </w:rPr>
              <w:t>NIE DOT.</w:t>
            </w:r>
          </w:p>
        </w:tc>
        <w:tc>
          <w:tcPr>
            <w:tcW w:w="993" w:type="dxa"/>
            <w:shd w:val="clear" w:color="auto" w:fill="C6EFCE"/>
            <w:noWrap/>
            <w:vAlign w:val="center"/>
          </w:tcPr>
          <w:p w14:paraId="068886E2" w14:textId="77777777" w:rsidR="004C6421" w:rsidRDefault="009D1962">
            <w:pPr>
              <w:pStyle w:val="P68B1DB1-Normal4"/>
              <w:spacing w:after="120"/>
              <w:jc w:val="center"/>
              <w:rPr>
                <w:noProof/>
              </w:rPr>
            </w:pPr>
            <w:r>
              <w:rPr>
                <w:noProof/>
              </w:rPr>
              <w:t>NIE DOT.</w:t>
            </w:r>
          </w:p>
        </w:tc>
        <w:tc>
          <w:tcPr>
            <w:tcW w:w="992" w:type="dxa"/>
            <w:shd w:val="clear" w:color="auto" w:fill="C6EFCE"/>
            <w:noWrap/>
            <w:vAlign w:val="center"/>
          </w:tcPr>
          <w:p w14:paraId="3EAB40A0" w14:textId="77777777" w:rsidR="004C6421" w:rsidRDefault="009D1962">
            <w:pPr>
              <w:pStyle w:val="P68B1DB1-Normal4"/>
              <w:spacing w:after="120"/>
              <w:jc w:val="center"/>
              <w:rPr>
                <w:noProof/>
              </w:rPr>
            </w:pPr>
            <w:r>
              <w:rPr>
                <w:noProof/>
              </w:rPr>
              <w:t>NIE DOT.</w:t>
            </w:r>
          </w:p>
        </w:tc>
        <w:tc>
          <w:tcPr>
            <w:tcW w:w="992" w:type="dxa"/>
            <w:shd w:val="clear" w:color="auto" w:fill="C6EFCE"/>
            <w:noWrap/>
            <w:vAlign w:val="center"/>
          </w:tcPr>
          <w:p w14:paraId="4ADB20A0" w14:textId="59DD2222" w:rsidR="004C6421" w:rsidRDefault="00CC179E">
            <w:pPr>
              <w:pStyle w:val="P68B1DB1-Normal4"/>
              <w:spacing w:after="120"/>
              <w:jc w:val="center"/>
              <w:rPr>
                <w:noProof/>
              </w:rPr>
            </w:pPr>
            <w:r>
              <w:rPr>
                <w:noProof/>
              </w:rPr>
              <w:t>KW. 4</w:t>
            </w:r>
          </w:p>
        </w:tc>
        <w:tc>
          <w:tcPr>
            <w:tcW w:w="709" w:type="dxa"/>
            <w:shd w:val="clear" w:color="auto" w:fill="C6EFCE"/>
            <w:noWrap/>
            <w:vAlign w:val="center"/>
          </w:tcPr>
          <w:p w14:paraId="537F868C" w14:textId="77777777" w:rsidR="004C6421" w:rsidRDefault="009D1962">
            <w:pPr>
              <w:pStyle w:val="P68B1DB1-Normal4"/>
              <w:spacing w:after="120"/>
              <w:jc w:val="center"/>
              <w:rPr>
                <w:noProof/>
              </w:rPr>
            </w:pPr>
            <w:r>
              <w:rPr>
                <w:noProof/>
              </w:rPr>
              <w:t>2025</w:t>
            </w:r>
          </w:p>
        </w:tc>
        <w:tc>
          <w:tcPr>
            <w:tcW w:w="3261" w:type="dxa"/>
            <w:shd w:val="clear" w:color="auto" w:fill="C6EFCE"/>
            <w:noWrap/>
            <w:vAlign w:val="center"/>
          </w:tcPr>
          <w:p w14:paraId="5E597C54" w14:textId="77777777" w:rsidR="004C6421" w:rsidRDefault="009D1962">
            <w:pPr>
              <w:pStyle w:val="P68B1DB1-Normal4"/>
              <w:rPr>
                <w:noProof/>
              </w:rPr>
            </w:pPr>
            <w:r>
              <w:rPr>
                <w:noProof/>
              </w:rPr>
              <w:t>Publiczna baza danych (system informacji geograficznej) umożliwiająca geolokalizację i wizualizację zasobów lub materiałów nadających się do recyklingu w środowisku miejskim (gmin miejskich), a także istniejących odpadów w opuszczonych kopalniach.</w:t>
            </w:r>
          </w:p>
        </w:tc>
      </w:tr>
      <w:tr w:rsidR="004C6421" w14:paraId="67B754B8" w14:textId="77777777">
        <w:trPr>
          <w:trHeight w:val="309"/>
        </w:trPr>
        <w:tc>
          <w:tcPr>
            <w:tcW w:w="1185" w:type="dxa"/>
            <w:shd w:val="clear" w:color="auto" w:fill="C6EFCE"/>
            <w:noWrap/>
            <w:vAlign w:val="center"/>
          </w:tcPr>
          <w:p w14:paraId="64C629B5" w14:textId="77777777" w:rsidR="004C6421" w:rsidRDefault="009D1962">
            <w:pPr>
              <w:pStyle w:val="P68B1DB1-Normal4"/>
              <w:spacing w:after="120"/>
              <w:jc w:val="center"/>
              <w:rPr>
                <w:noProof/>
              </w:rPr>
            </w:pPr>
            <w:r>
              <w:rPr>
                <w:noProof/>
              </w:rPr>
              <w:t>M7-27</w:t>
            </w:r>
          </w:p>
        </w:tc>
        <w:tc>
          <w:tcPr>
            <w:tcW w:w="1559" w:type="dxa"/>
            <w:shd w:val="clear" w:color="auto" w:fill="C6EFCE"/>
            <w:noWrap/>
          </w:tcPr>
          <w:p w14:paraId="213AFFDD" w14:textId="77777777" w:rsidR="004C6421" w:rsidRDefault="009D1962">
            <w:pPr>
              <w:pStyle w:val="P68B1DB1-Normal4"/>
              <w:spacing w:after="120"/>
              <w:jc w:val="center"/>
              <w:rPr>
                <w:noProof/>
              </w:rPr>
            </w:pPr>
            <w:r>
              <w:rPr>
                <w:noProof/>
              </w:rPr>
              <w:t>Inwestycja 8: Zrównoważone, o obiegu zamkniętym i bezpieczne dostawy surowców krytycznych</w:t>
            </w:r>
          </w:p>
        </w:tc>
        <w:tc>
          <w:tcPr>
            <w:tcW w:w="1134" w:type="dxa"/>
            <w:shd w:val="clear" w:color="auto" w:fill="C6EFCE"/>
            <w:noWrap/>
          </w:tcPr>
          <w:p w14:paraId="6F768578" w14:textId="77777777" w:rsidR="004C6421" w:rsidRDefault="009D1962">
            <w:pPr>
              <w:pStyle w:val="P68B1DB1-Normal4"/>
              <w:spacing w:after="120"/>
              <w:jc w:val="center"/>
              <w:rPr>
                <w:noProof/>
              </w:rPr>
            </w:pPr>
            <w:r>
              <w:rPr>
                <w:noProof/>
              </w:rPr>
              <w:t xml:space="preserve">Cel </w:t>
            </w:r>
          </w:p>
        </w:tc>
        <w:tc>
          <w:tcPr>
            <w:tcW w:w="1418" w:type="dxa"/>
            <w:shd w:val="clear" w:color="auto" w:fill="C6EFCE"/>
            <w:noWrap/>
          </w:tcPr>
          <w:p w14:paraId="30EB31AC" w14:textId="77777777" w:rsidR="004C6421" w:rsidRDefault="009D1962">
            <w:pPr>
              <w:pStyle w:val="P68B1DB1-Normal4"/>
              <w:spacing w:after="120"/>
              <w:jc w:val="center"/>
              <w:rPr>
                <w:noProof/>
              </w:rPr>
            </w:pPr>
            <w:r>
              <w:rPr>
                <w:noProof/>
              </w:rPr>
              <w:t>Zakończenie projektów badawczo-rozwojowych dotyczących ekoprojektu i górnictwa miejskiego na rzecz zrównoważonych, opartych na obiegu zamkniętym i bezpiecznych dostaw surowców krytycznych</w:t>
            </w:r>
          </w:p>
        </w:tc>
        <w:tc>
          <w:tcPr>
            <w:tcW w:w="1984" w:type="dxa"/>
            <w:shd w:val="clear" w:color="auto" w:fill="C6EFCE"/>
            <w:noWrap/>
            <w:vAlign w:val="center"/>
          </w:tcPr>
          <w:p w14:paraId="49DD6EAC" w14:textId="77777777" w:rsidR="004C6421" w:rsidRDefault="004C6421">
            <w:pPr>
              <w:spacing w:after="120"/>
              <w:jc w:val="center"/>
              <w:rPr>
                <w:rFonts w:ascii="Arial Narrow" w:hAnsi="Arial Narrow"/>
                <w:noProof/>
                <w:color w:val="006100"/>
                <w:sz w:val="20"/>
              </w:rPr>
            </w:pPr>
          </w:p>
        </w:tc>
        <w:tc>
          <w:tcPr>
            <w:tcW w:w="1134" w:type="dxa"/>
            <w:shd w:val="clear" w:color="auto" w:fill="C6EFCE"/>
            <w:noWrap/>
            <w:vAlign w:val="center"/>
          </w:tcPr>
          <w:p w14:paraId="4EEB987F" w14:textId="77777777" w:rsidR="004C6421" w:rsidRDefault="009D1962">
            <w:pPr>
              <w:pStyle w:val="P68B1DB1-Normal4"/>
              <w:spacing w:after="120"/>
              <w:jc w:val="center"/>
              <w:rPr>
                <w:noProof/>
              </w:rPr>
            </w:pPr>
            <w:r>
              <w:rPr>
                <w:noProof/>
              </w:rPr>
              <w:t>Numer</w:t>
            </w:r>
          </w:p>
        </w:tc>
        <w:tc>
          <w:tcPr>
            <w:tcW w:w="993" w:type="dxa"/>
            <w:shd w:val="clear" w:color="auto" w:fill="C6EFCE"/>
            <w:noWrap/>
            <w:vAlign w:val="center"/>
          </w:tcPr>
          <w:p w14:paraId="3F461C13" w14:textId="77777777" w:rsidR="004C6421" w:rsidRDefault="009D1962">
            <w:pPr>
              <w:pStyle w:val="P68B1DB1-Normal4"/>
              <w:spacing w:after="120"/>
              <w:jc w:val="center"/>
              <w:rPr>
                <w:noProof/>
              </w:rPr>
            </w:pPr>
            <w:r>
              <w:rPr>
                <w:noProof/>
              </w:rPr>
              <w:t>0</w:t>
            </w:r>
          </w:p>
        </w:tc>
        <w:tc>
          <w:tcPr>
            <w:tcW w:w="992" w:type="dxa"/>
            <w:shd w:val="clear" w:color="auto" w:fill="C6EFCE"/>
            <w:noWrap/>
            <w:vAlign w:val="center"/>
          </w:tcPr>
          <w:p w14:paraId="7FAFD9DE" w14:textId="77777777" w:rsidR="004C6421" w:rsidRDefault="009D1962">
            <w:pPr>
              <w:pStyle w:val="P68B1DB1-Normal4"/>
              <w:spacing w:after="120"/>
              <w:jc w:val="center"/>
              <w:rPr>
                <w:noProof/>
              </w:rPr>
            </w:pPr>
            <w:r>
              <w:rPr>
                <w:noProof/>
              </w:rPr>
              <w:t>10</w:t>
            </w:r>
          </w:p>
        </w:tc>
        <w:tc>
          <w:tcPr>
            <w:tcW w:w="992" w:type="dxa"/>
            <w:shd w:val="clear" w:color="auto" w:fill="C6EFCE"/>
            <w:noWrap/>
            <w:vAlign w:val="center"/>
          </w:tcPr>
          <w:p w14:paraId="1846191B" w14:textId="77777777" w:rsidR="004C6421" w:rsidRDefault="009D1962">
            <w:pPr>
              <w:pStyle w:val="P68B1DB1-Normal4"/>
              <w:spacing w:after="120"/>
              <w:jc w:val="center"/>
              <w:rPr>
                <w:noProof/>
              </w:rPr>
            </w:pPr>
            <w:r>
              <w:rPr>
                <w:noProof/>
              </w:rPr>
              <w:t>II KW.</w:t>
            </w:r>
          </w:p>
        </w:tc>
        <w:tc>
          <w:tcPr>
            <w:tcW w:w="709" w:type="dxa"/>
            <w:shd w:val="clear" w:color="auto" w:fill="C6EFCE"/>
            <w:noWrap/>
            <w:vAlign w:val="center"/>
          </w:tcPr>
          <w:p w14:paraId="543DD33C" w14:textId="77777777" w:rsidR="004C6421" w:rsidRDefault="009D1962">
            <w:pPr>
              <w:pStyle w:val="P68B1DB1-Normal4"/>
              <w:spacing w:after="120"/>
              <w:jc w:val="center"/>
              <w:rPr>
                <w:noProof/>
              </w:rPr>
            </w:pPr>
            <w:r>
              <w:rPr>
                <w:noProof/>
              </w:rPr>
              <w:t>2026</w:t>
            </w:r>
          </w:p>
        </w:tc>
        <w:tc>
          <w:tcPr>
            <w:tcW w:w="3261" w:type="dxa"/>
            <w:shd w:val="clear" w:color="auto" w:fill="C6EFCE"/>
            <w:noWrap/>
          </w:tcPr>
          <w:p w14:paraId="62DD8800" w14:textId="77777777" w:rsidR="004C6421" w:rsidRDefault="009D1962">
            <w:pPr>
              <w:pStyle w:val="P68B1DB1-Normal4"/>
              <w:spacing w:after="120"/>
              <w:rPr>
                <w:noProof/>
              </w:rPr>
            </w:pPr>
            <w:r>
              <w:rPr>
                <w:noProof/>
              </w:rPr>
              <w:t>Ukończenie co najmniej 10 projektów badawczo-rozwojowych koncentrujących się na ekoprojektie i poprawie zbierania, logistyki i recyklingu zużytego sprzętu elektrycznego i elektronicznego – w tym łopat turbin wiatrowych i paneli fotowoltaicznych.</w:t>
            </w:r>
          </w:p>
        </w:tc>
      </w:tr>
      <w:tr w:rsidR="004C6421" w14:paraId="4A688AA8" w14:textId="77777777">
        <w:trPr>
          <w:trHeight w:val="309"/>
        </w:trPr>
        <w:tc>
          <w:tcPr>
            <w:tcW w:w="1185" w:type="dxa"/>
            <w:shd w:val="clear" w:color="auto" w:fill="C6EFCE"/>
            <w:noWrap/>
            <w:vAlign w:val="center"/>
          </w:tcPr>
          <w:p w14:paraId="7F3A062F" w14:textId="77777777" w:rsidR="004C6421" w:rsidRDefault="009D1962">
            <w:pPr>
              <w:pStyle w:val="P68B1DB1-Normal4"/>
              <w:spacing w:after="120"/>
              <w:jc w:val="center"/>
              <w:rPr>
                <w:noProof/>
              </w:rPr>
            </w:pPr>
            <w:r>
              <w:rPr>
                <w:noProof/>
              </w:rPr>
              <w:t>M7-28</w:t>
            </w:r>
          </w:p>
        </w:tc>
        <w:tc>
          <w:tcPr>
            <w:tcW w:w="1559" w:type="dxa"/>
            <w:shd w:val="clear" w:color="auto" w:fill="C6EFCE"/>
            <w:noWrap/>
            <w:vAlign w:val="center"/>
          </w:tcPr>
          <w:p w14:paraId="700C3620" w14:textId="77777777" w:rsidR="004C6421" w:rsidRDefault="009D1962">
            <w:pPr>
              <w:pStyle w:val="P68B1DB1-Normal4"/>
              <w:spacing w:after="120"/>
              <w:jc w:val="center"/>
              <w:rPr>
                <w:noProof/>
              </w:rPr>
            </w:pPr>
            <w:r>
              <w:rPr>
                <w:noProof/>
              </w:rPr>
              <w:t>Inwestycja 8: Zrównoważone, o obiegu zamkniętym i bezpieczne dostawy surowców krytycznych</w:t>
            </w:r>
          </w:p>
        </w:tc>
        <w:tc>
          <w:tcPr>
            <w:tcW w:w="1134" w:type="dxa"/>
            <w:shd w:val="clear" w:color="auto" w:fill="C6EFCE"/>
            <w:noWrap/>
            <w:vAlign w:val="center"/>
          </w:tcPr>
          <w:p w14:paraId="1F856FF9" w14:textId="77777777" w:rsidR="004C6421" w:rsidRDefault="009D1962">
            <w:pPr>
              <w:pStyle w:val="P68B1DB1-Normal4"/>
              <w:spacing w:after="120"/>
              <w:jc w:val="center"/>
              <w:rPr>
                <w:noProof/>
              </w:rPr>
            </w:pPr>
            <w:r>
              <w:rPr>
                <w:noProof/>
              </w:rPr>
              <w:t>Cel</w:t>
            </w:r>
          </w:p>
        </w:tc>
        <w:tc>
          <w:tcPr>
            <w:tcW w:w="1418" w:type="dxa"/>
            <w:shd w:val="clear" w:color="auto" w:fill="C6EFCE"/>
            <w:noWrap/>
            <w:vAlign w:val="center"/>
          </w:tcPr>
          <w:p w14:paraId="5D257128" w14:textId="77777777" w:rsidR="004C6421" w:rsidRDefault="009D1962">
            <w:pPr>
              <w:pStyle w:val="P68B1DB1-Normal4"/>
              <w:spacing w:after="120"/>
              <w:jc w:val="center"/>
              <w:rPr>
                <w:noProof/>
              </w:rPr>
            </w:pPr>
            <w:r>
              <w:rPr>
                <w:noProof/>
              </w:rPr>
              <w:t>Wyposażenie laboratoriów należących do centrum technologicznego górnictwa miejskiego i ekoprojektu</w:t>
            </w:r>
          </w:p>
        </w:tc>
        <w:tc>
          <w:tcPr>
            <w:tcW w:w="1984" w:type="dxa"/>
            <w:shd w:val="clear" w:color="auto" w:fill="C6EFCE"/>
            <w:noWrap/>
          </w:tcPr>
          <w:p w14:paraId="0072F33C" w14:textId="77777777" w:rsidR="004C6421" w:rsidRDefault="004C6421">
            <w:pPr>
              <w:spacing w:after="120"/>
              <w:jc w:val="center"/>
              <w:rPr>
                <w:rFonts w:ascii="Arial Narrow" w:hAnsi="Arial Narrow"/>
                <w:noProof/>
                <w:color w:val="006100"/>
                <w:sz w:val="20"/>
              </w:rPr>
            </w:pPr>
          </w:p>
        </w:tc>
        <w:tc>
          <w:tcPr>
            <w:tcW w:w="1134" w:type="dxa"/>
            <w:shd w:val="clear" w:color="auto" w:fill="C6EFCE"/>
            <w:noWrap/>
            <w:vAlign w:val="center"/>
          </w:tcPr>
          <w:p w14:paraId="54EA0742" w14:textId="77777777" w:rsidR="004C6421" w:rsidRDefault="009D1962">
            <w:pPr>
              <w:pStyle w:val="P68B1DB1-Normal4"/>
              <w:spacing w:after="120"/>
              <w:jc w:val="center"/>
              <w:rPr>
                <w:noProof/>
              </w:rPr>
            </w:pPr>
            <w:r>
              <w:rPr>
                <w:noProof/>
              </w:rPr>
              <w:t>Numer</w:t>
            </w:r>
          </w:p>
        </w:tc>
        <w:tc>
          <w:tcPr>
            <w:tcW w:w="993" w:type="dxa"/>
            <w:shd w:val="clear" w:color="auto" w:fill="C6EFCE"/>
            <w:noWrap/>
            <w:vAlign w:val="center"/>
          </w:tcPr>
          <w:p w14:paraId="31254D3D" w14:textId="77777777" w:rsidR="004C6421" w:rsidRDefault="009D1962">
            <w:pPr>
              <w:pStyle w:val="P68B1DB1-Normal4"/>
              <w:spacing w:after="120"/>
              <w:jc w:val="center"/>
              <w:rPr>
                <w:noProof/>
              </w:rPr>
            </w:pPr>
            <w:r>
              <w:rPr>
                <w:noProof/>
              </w:rPr>
              <w:t>0</w:t>
            </w:r>
          </w:p>
        </w:tc>
        <w:tc>
          <w:tcPr>
            <w:tcW w:w="992" w:type="dxa"/>
            <w:shd w:val="clear" w:color="auto" w:fill="C6EFCE"/>
            <w:noWrap/>
            <w:vAlign w:val="center"/>
          </w:tcPr>
          <w:p w14:paraId="7F10EF6E" w14:textId="77777777" w:rsidR="004C6421" w:rsidRDefault="009D1962">
            <w:pPr>
              <w:pStyle w:val="P68B1DB1-Normal4"/>
              <w:spacing w:after="120"/>
              <w:jc w:val="center"/>
              <w:rPr>
                <w:noProof/>
              </w:rPr>
            </w:pPr>
            <w:r>
              <w:rPr>
                <w:noProof/>
              </w:rPr>
              <w:t>6</w:t>
            </w:r>
          </w:p>
        </w:tc>
        <w:tc>
          <w:tcPr>
            <w:tcW w:w="992" w:type="dxa"/>
            <w:shd w:val="clear" w:color="auto" w:fill="C6EFCE"/>
            <w:noWrap/>
            <w:vAlign w:val="center"/>
          </w:tcPr>
          <w:p w14:paraId="47BE39BC" w14:textId="77777777" w:rsidR="004C6421" w:rsidRDefault="009D1962">
            <w:pPr>
              <w:pStyle w:val="P68B1DB1-Normal4"/>
              <w:spacing w:after="120"/>
              <w:jc w:val="center"/>
              <w:rPr>
                <w:noProof/>
              </w:rPr>
            </w:pPr>
            <w:r>
              <w:rPr>
                <w:noProof/>
              </w:rPr>
              <w:t>II KW.</w:t>
            </w:r>
          </w:p>
        </w:tc>
        <w:tc>
          <w:tcPr>
            <w:tcW w:w="709" w:type="dxa"/>
            <w:shd w:val="clear" w:color="auto" w:fill="C6EFCE"/>
            <w:noWrap/>
            <w:vAlign w:val="center"/>
          </w:tcPr>
          <w:p w14:paraId="67B9B4FD" w14:textId="77777777" w:rsidR="004C6421" w:rsidRDefault="009D1962">
            <w:pPr>
              <w:pStyle w:val="P68B1DB1-Normal4"/>
              <w:spacing w:after="120"/>
              <w:jc w:val="center"/>
              <w:rPr>
                <w:noProof/>
              </w:rPr>
            </w:pPr>
            <w:r>
              <w:rPr>
                <w:noProof/>
              </w:rPr>
              <w:t>2026</w:t>
            </w:r>
          </w:p>
        </w:tc>
        <w:tc>
          <w:tcPr>
            <w:tcW w:w="3261" w:type="dxa"/>
            <w:shd w:val="clear" w:color="auto" w:fill="C6EFCE"/>
            <w:noWrap/>
            <w:vAlign w:val="center"/>
          </w:tcPr>
          <w:p w14:paraId="5A6149FD" w14:textId="77777777" w:rsidR="004C6421" w:rsidRDefault="009D1962">
            <w:pPr>
              <w:pStyle w:val="P68B1DB1-Normal4"/>
              <w:spacing w:after="120"/>
              <w:rPr>
                <w:noProof/>
              </w:rPr>
            </w:pPr>
            <w:r>
              <w:rPr>
                <w:noProof/>
              </w:rPr>
              <w:t>Wyposażenie co najmniej 6 laboratoriów należących do centrum technologicznego górnictwa miejskiego i ekoprojektu.</w:t>
            </w:r>
          </w:p>
          <w:p w14:paraId="61606751" w14:textId="77777777" w:rsidR="004C6421" w:rsidRDefault="009D1962">
            <w:pPr>
              <w:pStyle w:val="P68B1DB1-Normal4"/>
              <w:spacing w:after="120"/>
              <w:rPr>
                <w:noProof/>
              </w:rPr>
            </w:pPr>
            <w:r>
              <w:rPr>
                <w:noProof/>
              </w:rPr>
              <w:t xml:space="preserve">Laboratoria umożliwiają współpracę między prywatnymi przedsiębiorstwami a instytucjami badawczymi w poszukiwaniu rozwiązań mających na celu zwiększenie odzysku i recyklingu surowców krytycznych związanych z transformacją ekologiczną. </w:t>
            </w:r>
          </w:p>
        </w:tc>
      </w:tr>
      <w:tr w:rsidR="004C6421" w14:paraId="0ED3E6AF" w14:textId="77777777">
        <w:trPr>
          <w:trHeight w:val="309"/>
        </w:trPr>
        <w:tc>
          <w:tcPr>
            <w:tcW w:w="1185" w:type="dxa"/>
            <w:tcBorders>
              <w:bottom w:val="single" w:sz="4" w:space="0" w:color="auto"/>
            </w:tcBorders>
            <w:shd w:val="clear" w:color="auto" w:fill="C6EFCE"/>
            <w:noWrap/>
            <w:vAlign w:val="center"/>
          </w:tcPr>
          <w:p w14:paraId="279C2F04" w14:textId="77777777" w:rsidR="004C6421" w:rsidRDefault="009D1962">
            <w:pPr>
              <w:pStyle w:val="P68B1DB1-Normal4"/>
              <w:spacing w:after="120"/>
              <w:jc w:val="center"/>
              <w:rPr>
                <w:noProof/>
              </w:rPr>
            </w:pPr>
            <w:r>
              <w:rPr>
                <w:noProof/>
              </w:rPr>
              <w:t>M7-29</w:t>
            </w:r>
          </w:p>
        </w:tc>
        <w:tc>
          <w:tcPr>
            <w:tcW w:w="1559" w:type="dxa"/>
            <w:tcBorders>
              <w:bottom w:val="single" w:sz="4" w:space="0" w:color="auto"/>
            </w:tcBorders>
            <w:shd w:val="clear" w:color="auto" w:fill="C6EFCE"/>
            <w:noWrap/>
            <w:vAlign w:val="center"/>
          </w:tcPr>
          <w:p w14:paraId="2DC47A15" w14:textId="77777777" w:rsidR="004C6421" w:rsidRDefault="009D1962">
            <w:pPr>
              <w:pStyle w:val="P68B1DB1-Normal4"/>
              <w:spacing w:after="120"/>
              <w:jc w:val="center"/>
              <w:rPr>
                <w:noProof/>
              </w:rPr>
            </w:pPr>
            <w:r>
              <w:rPr>
                <w:noProof/>
              </w:rPr>
              <w:t>Inwestycja 9: Działanie na rzecz zwiększenia skali: Zapewnienie pomocy technicznej i wzmocnienie budowania zdolności na potrzeby realizacji włoskiego planu odbudowy i zwiększania odporności</w:t>
            </w:r>
          </w:p>
        </w:tc>
        <w:tc>
          <w:tcPr>
            <w:tcW w:w="1134" w:type="dxa"/>
            <w:tcBorders>
              <w:bottom w:val="single" w:sz="4" w:space="0" w:color="auto"/>
            </w:tcBorders>
            <w:shd w:val="clear" w:color="auto" w:fill="C6EFCE"/>
            <w:noWrap/>
            <w:vAlign w:val="center"/>
          </w:tcPr>
          <w:p w14:paraId="658C31FF" w14:textId="77777777" w:rsidR="004C6421" w:rsidRDefault="009D1962">
            <w:pPr>
              <w:pStyle w:val="P68B1DB1-Normal4"/>
              <w:spacing w:after="120"/>
              <w:jc w:val="center"/>
              <w:rPr>
                <w:noProof/>
              </w:rPr>
            </w:pPr>
            <w:r>
              <w:rPr>
                <w:noProof/>
              </w:rPr>
              <w:t>Cel</w:t>
            </w:r>
          </w:p>
        </w:tc>
        <w:tc>
          <w:tcPr>
            <w:tcW w:w="1418" w:type="dxa"/>
            <w:tcBorders>
              <w:bottom w:val="single" w:sz="4" w:space="0" w:color="auto"/>
            </w:tcBorders>
            <w:shd w:val="clear" w:color="auto" w:fill="C6EFCE"/>
            <w:noWrap/>
            <w:vAlign w:val="center"/>
          </w:tcPr>
          <w:p w14:paraId="4E66F095" w14:textId="77777777" w:rsidR="004C6421" w:rsidRDefault="009D1962">
            <w:pPr>
              <w:pStyle w:val="P68B1DB1-Normal4"/>
              <w:spacing w:after="120"/>
              <w:jc w:val="center"/>
              <w:rPr>
                <w:noProof/>
              </w:rPr>
            </w:pPr>
            <w:r>
              <w:rPr>
                <w:noProof/>
              </w:rPr>
              <w:t>Kształcenie i szkolenie</w:t>
            </w:r>
          </w:p>
        </w:tc>
        <w:tc>
          <w:tcPr>
            <w:tcW w:w="1984" w:type="dxa"/>
            <w:tcBorders>
              <w:bottom w:val="single" w:sz="4" w:space="0" w:color="auto"/>
            </w:tcBorders>
            <w:shd w:val="clear" w:color="auto" w:fill="C6EFCE"/>
            <w:noWrap/>
            <w:vAlign w:val="center"/>
          </w:tcPr>
          <w:p w14:paraId="5E286203" w14:textId="77777777" w:rsidR="004C6421" w:rsidRDefault="004C6421">
            <w:pPr>
              <w:spacing w:after="120"/>
              <w:jc w:val="center"/>
              <w:rPr>
                <w:rFonts w:ascii="Arial Narrow" w:hAnsi="Arial Narrow"/>
                <w:noProof/>
                <w:color w:val="006100"/>
                <w:sz w:val="20"/>
              </w:rPr>
            </w:pPr>
          </w:p>
        </w:tc>
        <w:tc>
          <w:tcPr>
            <w:tcW w:w="1134" w:type="dxa"/>
            <w:tcBorders>
              <w:bottom w:val="single" w:sz="4" w:space="0" w:color="auto"/>
            </w:tcBorders>
            <w:shd w:val="clear" w:color="auto" w:fill="C6EFCE"/>
            <w:noWrap/>
            <w:vAlign w:val="center"/>
          </w:tcPr>
          <w:p w14:paraId="4E44FDC8" w14:textId="77777777" w:rsidR="004C6421" w:rsidRDefault="009D1962">
            <w:pPr>
              <w:pStyle w:val="P68B1DB1-Normal4"/>
              <w:spacing w:after="120"/>
              <w:jc w:val="center"/>
              <w:rPr>
                <w:noProof/>
              </w:rPr>
            </w:pPr>
            <w:r>
              <w:rPr>
                <w:noProof/>
              </w:rPr>
              <w:t>Numer</w:t>
            </w:r>
          </w:p>
        </w:tc>
        <w:tc>
          <w:tcPr>
            <w:tcW w:w="993" w:type="dxa"/>
            <w:tcBorders>
              <w:bottom w:val="single" w:sz="4" w:space="0" w:color="auto"/>
            </w:tcBorders>
            <w:shd w:val="clear" w:color="auto" w:fill="C6EFCE"/>
            <w:noWrap/>
            <w:vAlign w:val="center"/>
          </w:tcPr>
          <w:p w14:paraId="47C8C2B0" w14:textId="77777777" w:rsidR="004C6421" w:rsidRDefault="009D1962">
            <w:pPr>
              <w:pStyle w:val="P68B1DB1-Normal4"/>
              <w:spacing w:after="120"/>
              <w:jc w:val="center"/>
              <w:rPr>
                <w:noProof/>
              </w:rPr>
            </w:pPr>
            <w:r>
              <w:rPr>
                <w:noProof/>
              </w:rPr>
              <w:t>280 000</w:t>
            </w:r>
          </w:p>
        </w:tc>
        <w:tc>
          <w:tcPr>
            <w:tcW w:w="992" w:type="dxa"/>
            <w:tcBorders>
              <w:bottom w:val="single" w:sz="4" w:space="0" w:color="auto"/>
            </w:tcBorders>
            <w:shd w:val="clear" w:color="auto" w:fill="C6EFCE"/>
            <w:noWrap/>
            <w:vAlign w:val="center"/>
          </w:tcPr>
          <w:p w14:paraId="7BE1BC64" w14:textId="77777777" w:rsidR="004C6421" w:rsidRDefault="009D1962">
            <w:pPr>
              <w:pStyle w:val="P68B1DB1-Normal4"/>
              <w:spacing w:after="120"/>
              <w:jc w:val="center"/>
              <w:rPr>
                <w:noProof/>
              </w:rPr>
            </w:pPr>
            <w:r>
              <w:rPr>
                <w:noProof/>
              </w:rPr>
              <w:t>281 750</w:t>
            </w:r>
          </w:p>
        </w:tc>
        <w:tc>
          <w:tcPr>
            <w:tcW w:w="992" w:type="dxa"/>
            <w:tcBorders>
              <w:bottom w:val="single" w:sz="4" w:space="0" w:color="auto"/>
            </w:tcBorders>
            <w:shd w:val="clear" w:color="auto" w:fill="C6EFCE"/>
            <w:noWrap/>
            <w:vAlign w:val="center"/>
          </w:tcPr>
          <w:p w14:paraId="1E053C18" w14:textId="77777777" w:rsidR="004C6421" w:rsidRDefault="009D1962">
            <w:pPr>
              <w:pStyle w:val="P68B1DB1-Normal4"/>
              <w:spacing w:after="120"/>
              <w:jc w:val="center"/>
              <w:rPr>
                <w:noProof/>
              </w:rPr>
            </w:pPr>
            <w:r>
              <w:rPr>
                <w:noProof/>
              </w:rPr>
              <w:t>II KW.</w:t>
            </w:r>
          </w:p>
        </w:tc>
        <w:tc>
          <w:tcPr>
            <w:tcW w:w="709" w:type="dxa"/>
            <w:tcBorders>
              <w:bottom w:val="single" w:sz="4" w:space="0" w:color="auto"/>
            </w:tcBorders>
            <w:shd w:val="clear" w:color="auto" w:fill="C6EFCE"/>
            <w:noWrap/>
            <w:vAlign w:val="center"/>
          </w:tcPr>
          <w:p w14:paraId="49DF309F" w14:textId="77777777" w:rsidR="004C6421" w:rsidRDefault="009D1962">
            <w:pPr>
              <w:pStyle w:val="P68B1DB1-Normal4"/>
              <w:spacing w:after="120"/>
              <w:jc w:val="center"/>
              <w:rPr>
                <w:noProof/>
              </w:rPr>
            </w:pPr>
            <w:r>
              <w:rPr>
                <w:noProof/>
              </w:rPr>
              <w:t>2026</w:t>
            </w:r>
          </w:p>
        </w:tc>
        <w:tc>
          <w:tcPr>
            <w:tcW w:w="3261" w:type="dxa"/>
            <w:tcBorders>
              <w:bottom w:val="single" w:sz="4" w:space="0" w:color="auto"/>
            </w:tcBorders>
            <w:shd w:val="clear" w:color="auto" w:fill="C6EFCE"/>
            <w:noWrap/>
            <w:vAlign w:val="center"/>
          </w:tcPr>
          <w:p w14:paraId="12591DAE" w14:textId="77777777" w:rsidR="004C6421" w:rsidRDefault="009D1962">
            <w:pPr>
              <w:pStyle w:val="P68B1DB1-Normal4"/>
              <w:spacing w:after="120"/>
              <w:rPr>
                <w:noProof/>
              </w:rPr>
            </w:pPr>
            <w:r>
              <w:rPr>
                <w:noProof/>
              </w:rPr>
              <w:t>Co najmniej 281750 pracowników innych administracji publicznych pomyślnie ukończyło inicjatywy szkoleniowe (formalna certyfikacja lub ocena skutków).</w:t>
            </w:r>
          </w:p>
          <w:p w14:paraId="7FD44E7C" w14:textId="2E89DBA6" w:rsidR="004C6421" w:rsidRDefault="009D1962">
            <w:pPr>
              <w:spacing w:after="120"/>
              <w:rPr>
                <w:rFonts w:ascii="Arial Narrow" w:hAnsi="Arial Narrow"/>
                <w:noProof/>
                <w:color w:val="006100"/>
                <w:sz w:val="20"/>
              </w:rPr>
            </w:pPr>
            <w:r>
              <w:rPr>
                <w:rFonts w:ascii="Arial Narrow" w:hAnsi="Arial Narrow"/>
                <w:noProof/>
                <w:color w:val="006100"/>
                <w:sz w:val="20"/>
              </w:rPr>
              <w:t>Co najmniej 1750</w:t>
            </w:r>
            <w:r>
              <w:rPr>
                <w:noProof/>
                <w:sz w:val="23"/>
              </w:rPr>
              <w:t xml:space="preserve"> </w:t>
            </w:r>
            <w:r>
              <w:rPr>
                <w:rFonts w:ascii="Arial Narrow" w:hAnsi="Arial Narrow"/>
                <w:noProof/>
                <w:color w:val="006100"/>
                <w:sz w:val="20"/>
              </w:rPr>
              <w:t>z tych pracowników sektora publicznego musi być zatrudnionych w lokalnych administracjach publicznych i musi mieć ukończone inicjatywy szkoleniowe w zakresie transformacji ekologicznej, jak określono w opisie środka.</w:t>
            </w:r>
          </w:p>
        </w:tc>
      </w:tr>
      <w:tr w:rsidR="004C6421" w14:paraId="45CD8922" w14:textId="77777777">
        <w:trPr>
          <w:trHeight w:val="309"/>
        </w:trPr>
        <w:tc>
          <w:tcPr>
            <w:tcW w:w="1185" w:type="dxa"/>
            <w:tcBorders>
              <w:top w:val="single" w:sz="4" w:space="0" w:color="auto"/>
            </w:tcBorders>
            <w:shd w:val="clear" w:color="auto" w:fill="C6EFCE"/>
            <w:noWrap/>
            <w:vAlign w:val="center"/>
          </w:tcPr>
          <w:p w14:paraId="72456FF5" w14:textId="77777777" w:rsidR="004C6421" w:rsidRDefault="009D1962">
            <w:pPr>
              <w:pStyle w:val="P68B1DB1-Normal4"/>
              <w:spacing w:after="120"/>
              <w:jc w:val="center"/>
              <w:rPr>
                <w:noProof/>
              </w:rPr>
            </w:pPr>
            <w:r>
              <w:rPr>
                <w:noProof/>
              </w:rPr>
              <w:t>M7-30</w:t>
            </w:r>
          </w:p>
        </w:tc>
        <w:tc>
          <w:tcPr>
            <w:tcW w:w="1559" w:type="dxa"/>
            <w:tcBorders>
              <w:top w:val="single" w:sz="4" w:space="0" w:color="auto"/>
            </w:tcBorders>
            <w:shd w:val="clear" w:color="auto" w:fill="C6EFCE"/>
            <w:noWrap/>
            <w:vAlign w:val="center"/>
          </w:tcPr>
          <w:p w14:paraId="6CE50688" w14:textId="46DF02E7" w:rsidR="004C6421" w:rsidRDefault="009D1962">
            <w:pPr>
              <w:pStyle w:val="P68B1DB1-Normal4"/>
              <w:spacing w:after="120"/>
              <w:jc w:val="center"/>
              <w:rPr>
                <w:noProof/>
              </w:rPr>
            </w:pPr>
            <w:r>
              <w:rPr>
                <w:noProof/>
              </w:rPr>
              <w:t>Inwestycja 10: Projekt pilotażowy dotyczący umiejętności „Crescere Green”</w:t>
            </w:r>
          </w:p>
        </w:tc>
        <w:tc>
          <w:tcPr>
            <w:tcW w:w="1134" w:type="dxa"/>
            <w:tcBorders>
              <w:top w:val="single" w:sz="4" w:space="0" w:color="auto"/>
            </w:tcBorders>
            <w:shd w:val="clear" w:color="auto" w:fill="C6EFCE"/>
            <w:noWrap/>
            <w:vAlign w:val="center"/>
          </w:tcPr>
          <w:p w14:paraId="29388B6A" w14:textId="77777777" w:rsidR="004C6421" w:rsidRDefault="009D1962">
            <w:pPr>
              <w:pStyle w:val="P68B1DB1-Normal4"/>
              <w:spacing w:after="120"/>
              <w:jc w:val="center"/>
              <w:rPr>
                <w:noProof/>
              </w:rPr>
            </w:pPr>
            <w:r>
              <w:rPr>
                <w:noProof/>
              </w:rPr>
              <w:t>Cel</w:t>
            </w:r>
          </w:p>
        </w:tc>
        <w:tc>
          <w:tcPr>
            <w:tcW w:w="1418" w:type="dxa"/>
            <w:tcBorders>
              <w:top w:val="single" w:sz="4" w:space="0" w:color="auto"/>
            </w:tcBorders>
            <w:shd w:val="clear" w:color="auto" w:fill="C6EFCE"/>
            <w:noWrap/>
            <w:vAlign w:val="center"/>
          </w:tcPr>
          <w:p w14:paraId="79492CA8" w14:textId="747F25D7" w:rsidR="004C6421" w:rsidRDefault="009D1962">
            <w:pPr>
              <w:pStyle w:val="P68B1DB1-Normal4"/>
              <w:spacing w:after="120"/>
              <w:jc w:val="center"/>
              <w:rPr>
                <w:noProof/>
              </w:rPr>
            </w:pPr>
            <w:r>
              <w:rPr>
                <w:noProof/>
              </w:rPr>
              <w:t>Beneficjenci, którzy ukończyli moduły szkoleniowe</w:t>
            </w:r>
          </w:p>
        </w:tc>
        <w:tc>
          <w:tcPr>
            <w:tcW w:w="1984" w:type="dxa"/>
            <w:tcBorders>
              <w:top w:val="single" w:sz="4" w:space="0" w:color="auto"/>
            </w:tcBorders>
            <w:shd w:val="clear" w:color="auto" w:fill="C6EFCE"/>
            <w:noWrap/>
            <w:vAlign w:val="center"/>
          </w:tcPr>
          <w:p w14:paraId="0743305B" w14:textId="77777777" w:rsidR="004C6421" w:rsidRDefault="004C6421">
            <w:pPr>
              <w:spacing w:after="120"/>
              <w:jc w:val="center"/>
              <w:rPr>
                <w:rFonts w:ascii="Arial Narrow" w:hAnsi="Arial Narrow"/>
                <w:noProof/>
                <w:color w:val="006100"/>
                <w:sz w:val="20"/>
              </w:rPr>
            </w:pPr>
          </w:p>
        </w:tc>
        <w:tc>
          <w:tcPr>
            <w:tcW w:w="1134" w:type="dxa"/>
            <w:tcBorders>
              <w:top w:val="single" w:sz="4" w:space="0" w:color="auto"/>
            </w:tcBorders>
            <w:shd w:val="clear" w:color="auto" w:fill="C6EFCE"/>
            <w:noWrap/>
            <w:vAlign w:val="center"/>
          </w:tcPr>
          <w:p w14:paraId="37A2C855" w14:textId="77777777" w:rsidR="004C6421" w:rsidRDefault="009D1962">
            <w:pPr>
              <w:pStyle w:val="P68B1DB1-Normal4"/>
              <w:spacing w:after="120"/>
              <w:jc w:val="center"/>
              <w:rPr>
                <w:noProof/>
              </w:rPr>
            </w:pPr>
            <w:r>
              <w:rPr>
                <w:noProof/>
              </w:rPr>
              <w:t>Numer</w:t>
            </w:r>
          </w:p>
        </w:tc>
        <w:tc>
          <w:tcPr>
            <w:tcW w:w="993" w:type="dxa"/>
            <w:tcBorders>
              <w:top w:val="single" w:sz="4" w:space="0" w:color="auto"/>
            </w:tcBorders>
            <w:shd w:val="clear" w:color="auto" w:fill="C6EFCE"/>
            <w:noWrap/>
            <w:vAlign w:val="center"/>
          </w:tcPr>
          <w:p w14:paraId="7AEC4456" w14:textId="77777777" w:rsidR="004C6421" w:rsidRDefault="009D1962">
            <w:pPr>
              <w:pStyle w:val="P68B1DB1-Normal4"/>
              <w:spacing w:after="120"/>
              <w:jc w:val="center"/>
              <w:rPr>
                <w:noProof/>
              </w:rPr>
            </w:pPr>
            <w:r>
              <w:rPr>
                <w:noProof/>
              </w:rPr>
              <w:t>0</w:t>
            </w:r>
          </w:p>
        </w:tc>
        <w:tc>
          <w:tcPr>
            <w:tcW w:w="992" w:type="dxa"/>
            <w:tcBorders>
              <w:top w:val="single" w:sz="4" w:space="0" w:color="auto"/>
            </w:tcBorders>
            <w:shd w:val="clear" w:color="auto" w:fill="C6EFCE"/>
            <w:noWrap/>
            <w:vAlign w:val="center"/>
          </w:tcPr>
          <w:p w14:paraId="550680D1" w14:textId="77777777" w:rsidR="004C6421" w:rsidRDefault="009D1962">
            <w:pPr>
              <w:pStyle w:val="P68B1DB1-Normal4"/>
              <w:spacing w:after="120"/>
              <w:jc w:val="center"/>
              <w:rPr>
                <w:noProof/>
              </w:rPr>
            </w:pPr>
            <w:r>
              <w:rPr>
                <w:noProof/>
              </w:rPr>
              <w:t>20 000</w:t>
            </w:r>
          </w:p>
        </w:tc>
        <w:tc>
          <w:tcPr>
            <w:tcW w:w="992" w:type="dxa"/>
            <w:tcBorders>
              <w:top w:val="single" w:sz="4" w:space="0" w:color="auto"/>
            </w:tcBorders>
            <w:shd w:val="clear" w:color="auto" w:fill="C6EFCE"/>
            <w:noWrap/>
            <w:vAlign w:val="center"/>
          </w:tcPr>
          <w:p w14:paraId="7588A937" w14:textId="77777777" w:rsidR="004C6421" w:rsidRDefault="009D1962">
            <w:pPr>
              <w:pStyle w:val="P68B1DB1-Normal4"/>
              <w:spacing w:after="120"/>
              <w:jc w:val="center"/>
              <w:rPr>
                <w:noProof/>
              </w:rPr>
            </w:pPr>
            <w:r>
              <w:rPr>
                <w:noProof/>
              </w:rPr>
              <w:t>II KW.</w:t>
            </w:r>
          </w:p>
        </w:tc>
        <w:tc>
          <w:tcPr>
            <w:tcW w:w="709" w:type="dxa"/>
            <w:tcBorders>
              <w:top w:val="single" w:sz="4" w:space="0" w:color="auto"/>
            </w:tcBorders>
            <w:shd w:val="clear" w:color="auto" w:fill="C6EFCE"/>
            <w:noWrap/>
            <w:vAlign w:val="center"/>
          </w:tcPr>
          <w:p w14:paraId="16D09446" w14:textId="77777777" w:rsidR="004C6421" w:rsidRDefault="009D1962">
            <w:pPr>
              <w:pStyle w:val="P68B1DB1-Normal4"/>
              <w:spacing w:after="120"/>
              <w:jc w:val="center"/>
              <w:rPr>
                <w:noProof/>
              </w:rPr>
            </w:pPr>
            <w:r>
              <w:rPr>
                <w:noProof/>
              </w:rPr>
              <w:t>2025</w:t>
            </w:r>
          </w:p>
        </w:tc>
        <w:tc>
          <w:tcPr>
            <w:tcW w:w="3261" w:type="dxa"/>
            <w:tcBorders>
              <w:top w:val="single" w:sz="4" w:space="0" w:color="auto"/>
            </w:tcBorders>
            <w:shd w:val="clear" w:color="auto" w:fill="C6EFCE"/>
            <w:noWrap/>
            <w:vAlign w:val="center"/>
          </w:tcPr>
          <w:p w14:paraId="5AD50D7B" w14:textId="77777777" w:rsidR="004C6421" w:rsidRDefault="009D1962">
            <w:pPr>
              <w:pStyle w:val="P68B1DB1-Normal4"/>
              <w:spacing w:after="120"/>
              <w:rPr>
                <w:noProof/>
              </w:rPr>
            </w:pPr>
            <w:r>
              <w:rPr>
                <w:noProof/>
              </w:rPr>
              <w:t xml:space="preserve">Projekt pilotażowy jest zorganizowany w różnych regionach z udziałem przedsiębiorstw sektora prywatnego. </w:t>
            </w:r>
          </w:p>
          <w:p w14:paraId="3A730F89" w14:textId="77777777" w:rsidR="004C6421" w:rsidRDefault="009D1962">
            <w:pPr>
              <w:pStyle w:val="P68B1DB1-Normal16"/>
              <w:spacing w:after="120"/>
              <w:rPr>
                <w:noProof/>
                <w:sz w:val="20"/>
              </w:rPr>
            </w:pPr>
            <w:r>
              <w:rPr>
                <w:noProof/>
                <w:sz w:val="20"/>
              </w:rPr>
              <w:t>Organizatorzy szkoleń są certyfikowani na</w:t>
            </w:r>
            <w:r>
              <w:rPr>
                <w:i/>
                <w:noProof/>
                <w:sz w:val="20"/>
              </w:rPr>
              <w:t>terenie całego</w:t>
            </w:r>
            <w:r>
              <w:rPr>
                <w:noProof/>
                <w:sz w:val="20"/>
              </w:rPr>
              <w:t>kraju, zgodnie z przepisami regionalnymi. Moduły szkoleniowe koncentrują się na umiejętnościach sektorowych na potrzeby transformacji ekologicznej, zgodnie</w:t>
            </w:r>
            <w:r>
              <w:rPr>
                <w:noProof/>
                <w:sz w:val="18"/>
              </w:rPr>
              <w:t xml:space="preserve"> </w:t>
            </w:r>
            <w:r>
              <w:rPr>
                <w:noProof/>
                <w:sz w:val="20"/>
              </w:rPr>
              <w:t xml:space="preserve">z zawodami określonymi w paktach na rzecz umiejętności, i są monitorowane na szczeblu krajowym. </w:t>
            </w:r>
          </w:p>
          <w:p w14:paraId="6B27CB2A" w14:textId="77777777" w:rsidR="004C6421" w:rsidRDefault="009D1962">
            <w:pPr>
              <w:pStyle w:val="P68B1DB1-Normal4"/>
              <w:spacing w:after="120"/>
              <w:rPr>
                <w:noProof/>
              </w:rPr>
            </w:pPr>
            <w:r>
              <w:rPr>
                <w:noProof/>
              </w:rPr>
              <w:t>Co najmniej 20000 beneficjentów spośród beneficjentów programu gwarantowanego zatrudnienia pracowników (GOL) ukończyło moduły szkoleniowe. Należy zakończyć działania związane ze wzmocnieniem zdolności administracyjnych.</w:t>
            </w:r>
          </w:p>
          <w:p w14:paraId="70AA06A3" w14:textId="77777777" w:rsidR="004C6421" w:rsidRDefault="009D1962">
            <w:pPr>
              <w:pStyle w:val="P68B1DB1-Normal4"/>
              <w:spacing w:after="120"/>
              <w:rPr>
                <w:noProof/>
              </w:rPr>
            </w:pPr>
            <w:r>
              <w:rPr>
                <w:noProof/>
              </w:rPr>
              <w:t>Maksymalnie 4 % zasobów przeznacza się na wzmocnienie zdolności administracyjnych podmiotów zaangażowanych w planowanie i prowadzenie szkoleń.</w:t>
            </w:r>
          </w:p>
        </w:tc>
      </w:tr>
      <w:tr w:rsidR="004C6421" w14:paraId="6F4B2BED" w14:textId="77777777">
        <w:trPr>
          <w:trHeight w:val="309"/>
        </w:trPr>
        <w:tc>
          <w:tcPr>
            <w:tcW w:w="1185" w:type="dxa"/>
            <w:tcBorders>
              <w:top w:val="single" w:sz="4" w:space="0" w:color="auto"/>
            </w:tcBorders>
            <w:shd w:val="clear" w:color="auto" w:fill="C6EFCE"/>
            <w:noWrap/>
            <w:vAlign w:val="center"/>
          </w:tcPr>
          <w:p w14:paraId="7912C92C" w14:textId="77777777" w:rsidR="004C6421" w:rsidRDefault="009D1962">
            <w:pPr>
              <w:pStyle w:val="P68B1DB1-Normal4"/>
              <w:spacing w:after="120"/>
              <w:jc w:val="center"/>
              <w:rPr>
                <w:noProof/>
              </w:rPr>
            </w:pPr>
            <w:r>
              <w:rPr>
                <w:noProof/>
              </w:rPr>
              <w:t>M7-31</w:t>
            </w:r>
          </w:p>
        </w:tc>
        <w:tc>
          <w:tcPr>
            <w:tcW w:w="1559" w:type="dxa"/>
            <w:tcBorders>
              <w:top w:val="single" w:sz="4" w:space="0" w:color="auto"/>
            </w:tcBorders>
            <w:shd w:val="clear" w:color="auto" w:fill="C6EFCE"/>
            <w:noWrap/>
            <w:vAlign w:val="center"/>
          </w:tcPr>
          <w:p w14:paraId="60BC856F" w14:textId="77777777" w:rsidR="004C6421" w:rsidRDefault="009D1962">
            <w:pPr>
              <w:pStyle w:val="P68B1DB1-Normal4"/>
              <w:spacing w:after="120"/>
              <w:jc w:val="center"/>
              <w:rPr>
                <w:noProof/>
              </w:rPr>
            </w:pPr>
            <w:bookmarkStart w:id="18" w:name="_Hlk160472344"/>
            <w:r>
              <w:rPr>
                <w:noProof/>
              </w:rPr>
              <w:t>Inwestycja 11:  Wzmocnienie regionalnego taboru kolejowego transportu publicznego z pociągami bezemisyjnymi i usługą powszechną</w:t>
            </w:r>
            <w:bookmarkEnd w:id="18"/>
          </w:p>
        </w:tc>
        <w:tc>
          <w:tcPr>
            <w:tcW w:w="1134" w:type="dxa"/>
            <w:tcBorders>
              <w:top w:val="single" w:sz="4" w:space="0" w:color="auto"/>
            </w:tcBorders>
            <w:shd w:val="clear" w:color="auto" w:fill="C6EFCE"/>
            <w:noWrap/>
            <w:vAlign w:val="center"/>
          </w:tcPr>
          <w:p w14:paraId="3B57D542" w14:textId="77777777" w:rsidR="004C6421" w:rsidRDefault="009D1962">
            <w:pPr>
              <w:pStyle w:val="P68B1DB1-Normal4"/>
              <w:spacing w:after="120"/>
              <w:jc w:val="center"/>
              <w:rPr>
                <w:noProof/>
              </w:rPr>
            </w:pPr>
            <w:r>
              <w:rPr>
                <w:noProof/>
              </w:rPr>
              <w:t>Cel</w:t>
            </w:r>
          </w:p>
        </w:tc>
        <w:tc>
          <w:tcPr>
            <w:tcW w:w="1418" w:type="dxa"/>
            <w:tcBorders>
              <w:top w:val="single" w:sz="4" w:space="0" w:color="auto"/>
            </w:tcBorders>
            <w:shd w:val="clear" w:color="auto" w:fill="C6EFCE"/>
            <w:noWrap/>
            <w:vAlign w:val="center"/>
          </w:tcPr>
          <w:p w14:paraId="339D07F7" w14:textId="77777777" w:rsidR="004C6421" w:rsidRDefault="009D1962">
            <w:pPr>
              <w:pStyle w:val="P68B1DB1-Normal4"/>
              <w:spacing w:after="120"/>
              <w:jc w:val="center"/>
              <w:rPr>
                <w:noProof/>
              </w:rPr>
            </w:pPr>
            <w:r>
              <w:rPr>
                <w:noProof/>
              </w:rPr>
              <w:t xml:space="preserve">Liczba pociągów zeroemisyjnych i liczba przewozów w ramach usługi powszechnej </w:t>
            </w:r>
          </w:p>
        </w:tc>
        <w:tc>
          <w:tcPr>
            <w:tcW w:w="1984" w:type="dxa"/>
            <w:tcBorders>
              <w:top w:val="single" w:sz="4" w:space="0" w:color="auto"/>
            </w:tcBorders>
            <w:shd w:val="clear" w:color="auto" w:fill="C6EFCE"/>
            <w:noWrap/>
            <w:vAlign w:val="center"/>
          </w:tcPr>
          <w:p w14:paraId="2A47510B" w14:textId="77777777" w:rsidR="004C6421" w:rsidRDefault="009D1962">
            <w:pPr>
              <w:pStyle w:val="P68B1DB1-Normal4"/>
              <w:spacing w:after="120"/>
              <w:jc w:val="center"/>
              <w:rPr>
                <w:noProof/>
              </w:rPr>
            </w:pPr>
            <w:r>
              <w:rPr>
                <w:noProof/>
              </w:rPr>
              <w:t>NIE DOT.</w:t>
            </w:r>
          </w:p>
        </w:tc>
        <w:tc>
          <w:tcPr>
            <w:tcW w:w="1134" w:type="dxa"/>
            <w:tcBorders>
              <w:top w:val="single" w:sz="4" w:space="0" w:color="auto"/>
            </w:tcBorders>
            <w:shd w:val="clear" w:color="auto" w:fill="C6EFCE"/>
            <w:noWrap/>
            <w:vAlign w:val="center"/>
          </w:tcPr>
          <w:p w14:paraId="0CFCE353" w14:textId="77777777" w:rsidR="004C6421" w:rsidRDefault="009D1962">
            <w:pPr>
              <w:pStyle w:val="P68B1DB1-Normal4"/>
              <w:spacing w:after="120"/>
              <w:jc w:val="center"/>
              <w:rPr>
                <w:noProof/>
              </w:rPr>
            </w:pPr>
            <w:r>
              <w:rPr>
                <w:noProof/>
              </w:rPr>
              <w:t>Numer</w:t>
            </w:r>
          </w:p>
        </w:tc>
        <w:tc>
          <w:tcPr>
            <w:tcW w:w="993" w:type="dxa"/>
            <w:tcBorders>
              <w:top w:val="single" w:sz="4" w:space="0" w:color="auto"/>
            </w:tcBorders>
            <w:shd w:val="clear" w:color="auto" w:fill="C6EFCE"/>
            <w:noWrap/>
            <w:vAlign w:val="center"/>
          </w:tcPr>
          <w:p w14:paraId="5CA98FD6" w14:textId="77777777" w:rsidR="004C6421" w:rsidRDefault="009D1962">
            <w:pPr>
              <w:pStyle w:val="P68B1DB1-Normal4"/>
              <w:spacing w:after="120"/>
              <w:jc w:val="center"/>
              <w:rPr>
                <w:noProof/>
              </w:rPr>
            </w:pPr>
            <w:r>
              <w:rPr>
                <w:noProof/>
              </w:rPr>
              <w:t>0</w:t>
            </w:r>
          </w:p>
        </w:tc>
        <w:tc>
          <w:tcPr>
            <w:tcW w:w="992" w:type="dxa"/>
            <w:tcBorders>
              <w:top w:val="single" w:sz="4" w:space="0" w:color="auto"/>
            </w:tcBorders>
            <w:shd w:val="clear" w:color="auto" w:fill="C6EFCE"/>
            <w:noWrap/>
            <w:vAlign w:val="center"/>
          </w:tcPr>
          <w:p w14:paraId="6FFFF6C8" w14:textId="77777777" w:rsidR="004C6421" w:rsidRDefault="009D1962">
            <w:pPr>
              <w:pStyle w:val="P68B1DB1-Normal4"/>
              <w:spacing w:after="120"/>
              <w:jc w:val="center"/>
              <w:rPr>
                <w:noProof/>
              </w:rPr>
            </w:pPr>
            <w:r>
              <w:rPr>
                <w:noProof/>
              </w:rPr>
              <w:t>69</w:t>
            </w:r>
          </w:p>
        </w:tc>
        <w:tc>
          <w:tcPr>
            <w:tcW w:w="992" w:type="dxa"/>
            <w:tcBorders>
              <w:top w:val="single" w:sz="4" w:space="0" w:color="auto"/>
            </w:tcBorders>
            <w:shd w:val="clear" w:color="auto" w:fill="C6EFCE"/>
            <w:noWrap/>
            <w:vAlign w:val="center"/>
          </w:tcPr>
          <w:p w14:paraId="49AB4207" w14:textId="77777777" w:rsidR="004C6421" w:rsidRDefault="009D1962">
            <w:pPr>
              <w:pStyle w:val="P68B1DB1-Normal4"/>
              <w:spacing w:after="120"/>
              <w:jc w:val="center"/>
              <w:rPr>
                <w:noProof/>
              </w:rPr>
            </w:pPr>
            <w:r>
              <w:rPr>
                <w:noProof/>
              </w:rPr>
              <w:t>II KW.</w:t>
            </w:r>
          </w:p>
        </w:tc>
        <w:tc>
          <w:tcPr>
            <w:tcW w:w="709" w:type="dxa"/>
            <w:tcBorders>
              <w:top w:val="single" w:sz="4" w:space="0" w:color="auto"/>
            </w:tcBorders>
            <w:shd w:val="clear" w:color="auto" w:fill="C6EFCE"/>
            <w:noWrap/>
            <w:vAlign w:val="center"/>
          </w:tcPr>
          <w:p w14:paraId="4A10EB9F" w14:textId="77777777" w:rsidR="004C6421" w:rsidRDefault="009D1962">
            <w:pPr>
              <w:pStyle w:val="P68B1DB1-Normal4"/>
              <w:spacing w:after="120"/>
              <w:jc w:val="center"/>
              <w:rPr>
                <w:noProof/>
              </w:rPr>
            </w:pPr>
            <w:r>
              <w:rPr>
                <w:noProof/>
              </w:rPr>
              <w:t>2026</w:t>
            </w:r>
          </w:p>
        </w:tc>
        <w:tc>
          <w:tcPr>
            <w:tcW w:w="3261" w:type="dxa"/>
            <w:tcBorders>
              <w:top w:val="single" w:sz="4" w:space="0" w:color="auto"/>
            </w:tcBorders>
            <w:shd w:val="clear" w:color="auto" w:fill="C6EFCE"/>
            <w:noWrap/>
            <w:vAlign w:val="center"/>
          </w:tcPr>
          <w:p w14:paraId="062C0DE1" w14:textId="77777777" w:rsidR="004C6421" w:rsidRDefault="009D1962">
            <w:pPr>
              <w:pStyle w:val="P68B1DB1-Normal4"/>
              <w:spacing w:after="120"/>
              <w:rPr>
                <w:noProof/>
              </w:rPr>
            </w:pPr>
            <w:r>
              <w:rPr>
                <w:noProof/>
              </w:rPr>
              <w:t>Wprowadzenie do eksploatacji i uzyskanie deklaracji weryfikacji zgodności WE zgodnie z art. 15 dekretu ustawodawczego nr 57/2019 (tj. Dichiarazione di verifica di conformità CE di cui all’art 15 del D.Lgs 57/2019) co najmniej 69 pociągów bezemisyjnych (elektrycznych lub wodorowych ogniw paliwowych) i 30 wagonów na potrzeby usługi powszechnej oprócz taboru, o którym mowa w inwestycji 4.4.2 w ramach komponentu 2 zadania 2</w:t>
            </w:r>
          </w:p>
          <w:p w14:paraId="631D1F6B" w14:textId="77777777" w:rsidR="004C6421" w:rsidRDefault="009D1962">
            <w:pPr>
              <w:pStyle w:val="P68B1DB1-Normal4"/>
              <w:spacing w:after="120"/>
              <w:rPr>
                <w:noProof/>
              </w:rPr>
            </w:pPr>
            <w:r>
              <w:rPr>
                <w:noProof/>
              </w:rPr>
              <w:t>Jeżeli chodzi o usługę powszechną/międzymiasto, tabor zakupiony ze środków RRF jest własnością państwa. W związku z tym po wygaśnięciu umowy o świadczenie usług zawartej przez zasiedziałych dostawców tabor kolejowy zostanie udostępniony nowemu podmiotowi, któremu udzielono zamówienia na usługi, w pełnej zgodności z rozporządzeniem (UE) nr 1370/2007.</w:t>
            </w:r>
          </w:p>
        </w:tc>
      </w:tr>
      <w:tr w:rsidR="004C6421" w14:paraId="4ABFF196" w14:textId="77777777">
        <w:trPr>
          <w:trHeight w:val="309"/>
        </w:trPr>
        <w:tc>
          <w:tcPr>
            <w:tcW w:w="1185" w:type="dxa"/>
            <w:tcBorders>
              <w:top w:val="single" w:sz="4" w:space="0" w:color="auto"/>
            </w:tcBorders>
            <w:shd w:val="clear" w:color="auto" w:fill="C6EFCE"/>
            <w:noWrap/>
            <w:vAlign w:val="center"/>
          </w:tcPr>
          <w:p w14:paraId="31E11E0E" w14:textId="77777777" w:rsidR="004C6421" w:rsidRDefault="009D1962">
            <w:pPr>
              <w:pStyle w:val="P68B1DB1-Normal4"/>
              <w:spacing w:after="120"/>
              <w:jc w:val="center"/>
              <w:rPr>
                <w:noProof/>
              </w:rPr>
            </w:pPr>
            <w:r>
              <w:rPr>
                <w:noProof/>
              </w:rPr>
              <w:t>M7-32</w:t>
            </w:r>
          </w:p>
        </w:tc>
        <w:tc>
          <w:tcPr>
            <w:tcW w:w="1559" w:type="dxa"/>
            <w:tcBorders>
              <w:top w:val="single" w:sz="4" w:space="0" w:color="auto"/>
            </w:tcBorders>
            <w:shd w:val="clear" w:color="auto" w:fill="C6EFCE"/>
            <w:noWrap/>
            <w:vAlign w:val="center"/>
          </w:tcPr>
          <w:p w14:paraId="244ADBC6" w14:textId="4CDBA5B6" w:rsidR="004C6421" w:rsidRDefault="009D1962">
            <w:pPr>
              <w:pStyle w:val="P68B1DB1-Normal4"/>
              <w:spacing w:after="120"/>
              <w:jc w:val="center"/>
              <w:rPr>
                <w:noProof/>
              </w:rPr>
            </w:pPr>
            <w:r>
              <w:rPr>
                <w:noProof/>
              </w:rPr>
              <w:t>Inwestycja 12 Instrument finansowy na rzecz rozwoju wiodącej pozycji międzynarodowej, przemysłowej i badawczo-rozwojowej w zakresie autobusów bezemisyjnych</w:t>
            </w:r>
          </w:p>
        </w:tc>
        <w:tc>
          <w:tcPr>
            <w:tcW w:w="1134" w:type="dxa"/>
            <w:tcBorders>
              <w:top w:val="single" w:sz="4" w:space="0" w:color="auto"/>
            </w:tcBorders>
            <w:shd w:val="clear" w:color="auto" w:fill="C6EFCE"/>
            <w:noWrap/>
            <w:vAlign w:val="center"/>
          </w:tcPr>
          <w:p w14:paraId="66DE08DA" w14:textId="13734A18" w:rsidR="004C6421" w:rsidRDefault="00CC179E">
            <w:pPr>
              <w:pStyle w:val="P68B1DB1-Normal4"/>
              <w:spacing w:after="120"/>
              <w:jc w:val="center"/>
              <w:rPr>
                <w:noProof/>
              </w:rPr>
            </w:pPr>
            <w:r>
              <w:rPr>
                <w:noProof/>
              </w:rPr>
              <w:t>Milowy</w:t>
            </w:r>
          </w:p>
        </w:tc>
        <w:tc>
          <w:tcPr>
            <w:tcW w:w="1418" w:type="dxa"/>
            <w:tcBorders>
              <w:top w:val="single" w:sz="4" w:space="0" w:color="auto"/>
            </w:tcBorders>
            <w:shd w:val="clear" w:color="auto" w:fill="C6EFCE"/>
            <w:noWrap/>
            <w:vAlign w:val="center"/>
          </w:tcPr>
          <w:p w14:paraId="6F068FCC" w14:textId="77777777" w:rsidR="004C6421" w:rsidRDefault="009D1962">
            <w:pPr>
              <w:pStyle w:val="P68B1DB1-Normal4"/>
              <w:spacing w:after="120"/>
              <w:jc w:val="center"/>
              <w:rPr>
                <w:noProof/>
              </w:rPr>
            </w:pPr>
            <w:r>
              <w:rPr>
                <w:noProof/>
              </w:rPr>
              <w:t>Umowa wykonawcza</w:t>
            </w:r>
          </w:p>
        </w:tc>
        <w:tc>
          <w:tcPr>
            <w:tcW w:w="1984" w:type="dxa"/>
            <w:tcBorders>
              <w:top w:val="single" w:sz="4" w:space="0" w:color="auto"/>
            </w:tcBorders>
            <w:shd w:val="clear" w:color="auto" w:fill="C6EFCE"/>
            <w:noWrap/>
            <w:vAlign w:val="center"/>
          </w:tcPr>
          <w:p w14:paraId="69C787EF" w14:textId="77777777" w:rsidR="004C6421" w:rsidRDefault="009D1962">
            <w:pPr>
              <w:pStyle w:val="P68B1DB1-Normal4"/>
              <w:spacing w:after="120"/>
              <w:jc w:val="center"/>
              <w:rPr>
                <w:noProof/>
              </w:rPr>
            </w:pPr>
            <w:r>
              <w:rPr>
                <w:noProof/>
              </w:rPr>
              <w:t>Wejście w życie umowy wykonawczej</w:t>
            </w:r>
          </w:p>
        </w:tc>
        <w:tc>
          <w:tcPr>
            <w:tcW w:w="1134" w:type="dxa"/>
            <w:tcBorders>
              <w:top w:val="single" w:sz="4" w:space="0" w:color="auto"/>
            </w:tcBorders>
            <w:shd w:val="clear" w:color="auto" w:fill="C6EFCE"/>
            <w:noWrap/>
            <w:vAlign w:val="center"/>
          </w:tcPr>
          <w:p w14:paraId="26B6BB5C" w14:textId="77777777" w:rsidR="004C6421" w:rsidRDefault="009D1962">
            <w:pPr>
              <w:pStyle w:val="P68B1DB1-Normal4"/>
              <w:spacing w:after="120"/>
              <w:jc w:val="center"/>
              <w:rPr>
                <w:noProof/>
              </w:rPr>
            </w:pPr>
            <w:r>
              <w:rPr>
                <w:noProof/>
              </w:rPr>
              <w:t xml:space="preserve"> </w:t>
            </w:r>
          </w:p>
        </w:tc>
        <w:tc>
          <w:tcPr>
            <w:tcW w:w="993" w:type="dxa"/>
            <w:tcBorders>
              <w:top w:val="single" w:sz="4" w:space="0" w:color="auto"/>
            </w:tcBorders>
            <w:shd w:val="clear" w:color="auto" w:fill="C6EFCE"/>
            <w:noWrap/>
            <w:vAlign w:val="center"/>
          </w:tcPr>
          <w:p w14:paraId="4B3E829A" w14:textId="77777777" w:rsidR="004C6421" w:rsidRDefault="004C6421">
            <w:pPr>
              <w:spacing w:after="120"/>
              <w:jc w:val="center"/>
              <w:rPr>
                <w:rFonts w:ascii="Arial Narrow" w:hAnsi="Arial Narrow"/>
                <w:noProof/>
                <w:color w:val="006100"/>
                <w:sz w:val="20"/>
              </w:rPr>
            </w:pPr>
          </w:p>
        </w:tc>
        <w:tc>
          <w:tcPr>
            <w:tcW w:w="992" w:type="dxa"/>
            <w:tcBorders>
              <w:top w:val="single" w:sz="4" w:space="0" w:color="auto"/>
            </w:tcBorders>
            <w:shd w:val="clear" w:color="auto" w:fill="C6EFCE"/>
            <w:noWrap/>
            <w:vAlign w:val="center"/>
          </w:tcPr>
          <w:p w14:paraId="3825210B" w14:textId="77777777" w:rsidR="004C6421" w:rsidRDefault="009D1962">
            <w:pPr>
              <w:pStyle w:val="P68B1DB1-Normal4"/>
              <w:spacing w:after="120"/>
              <w:jc w:val="center"/>
              <w:rPr>
                <w:noProof/>
              </w:rPr>
            </w:pPr>
            <w:r>
              <w:rPr>
                <w:noProof/>
              </w:rPr>
              <w:t xml:space="preserve"> </w:t>
            </w:r>
          </w:p>
        </w:tc>
        <w:tc>
          <w:tcPr>
            <w:tcW w:w="992" w:type="dxa"/>
            <w:tcBorders>
              <w:top w:val="single" w:sz="4" w:space="0" w:color="auto"/>
            </w:tcBorders>
            <w:shd w:val="clear" w:color="auto" w:fill="C6EFCE"/>
            <w:noWrap/>
            <w:vAlign w:val="center"/>
          </w:tcPr>
          <w:p w14:paraId="03716756" w14:textId="48EE4918" w:rsidR="004C6421" w:rsidRDefault="00CC179E">
            <w:pPr>
              <w:pStyle w:val="P68B1DB1-Normal4"/>
              <w:spacing w:after="120"/>
              <w:jc w:val="center"/>
              <w:rPr>
                <w:noProof/>
              </w:rPr>
            </w:pPr>
            <w:r>
              <w:rPr>
                <w:noProof/>
              </w:rPr>
              <w:t>KW. 1</w:t>
            </w:r>
          </w:p>
        </w:tc>
        <w:tc>
          <w:tcPr>
            <w:tcW w:w="709" w:type="dxa"/>
            <w:tcBorders>
              <w:top w:val="single" w:sz="4" w:space="0" w:color="auto"/>
            </w:tcBorders>
            <w:shd w:val="clear" w:color="auto" w:fill="C6EFCE"/>
            <w:noWrap/>
            <w:vAlign w:val="center"/>
          </w:tcPr>
          <w:p w14:paraId="3095F488" w14:textId="77777777" w:rsidR="004C6421" w:rsidRDefault="009D1962">
            <w:pPr>
              <w:pStyle w:val="P68B1DB1-Normal4"/>
              <w:spacing w:after="120"/>
              <w:jc w:val="center"/>
              <w:rPr>
                <w:noProof/>
              </w:rPr>
            </w:pPr>
            <w:r>
              <w:rPr>
                <w:noProof/>
              </w:rPr>
              <w:t>2024</w:t>
            </w:r>
          </w:p>
        </w:tc>
        <w:tc>
          <w:tcPr>
            <w:tcW w:w="3261" w:type="dxa"/>
            <w:tcBorders>
              <w:top w:val="single" w:sz="4" w:space="0" w:color="auto"/>
            </w:tcBorders>
            <w:shd w:val="clear" w:color="auto" w:fill="C6EFCE"/>
            <w:noWrap/>
            <w:vAlign w:val="center"/>
          </w:tcPr>
          <w:p w14:paraId="03D2D848" w14:textId="77777777" w:rsidR="004C6421" w:rsidRDefault="009D1962">
            <w:pPr>
              <w:pStyle w:val="P68B1DB1-Normal4"/>
              <w:jc w:val="both"/>
              <w:rPr>
                <w:noProof/>
              </w:rPr>
            </w:pPr>
            <w:r>
              <w:rPr>
                <w:noProof/>
              </w:rPr>
              <w:t>Wejście w życie umowy wykonawczej.</w:t>
            </w:r>
          </w:p>
        </w:tc>
      </w:tr>
      <w:tr w:rsidR="004C6421" w14:paraId="50660504" w14:textId="77777777">
        <w:trPr>
          <w:trHeight w:val="309"/>
        </w:trPr>
        <w:tc>
          <w:tcPr>
            <w:tcW w:w="1185" w:type="dxa"/>
            <w:tcBorders>
              <w:top w:val="single" w:sz="4" w:space="0" w:color="auto"/>
            </w:tcBorders>
            <w:shd w:val="clear" w:color="auto" w:fill="C6EFCE"/>
            <w:noWrap/>
            <w:vAlign w:val="center"/>
          </w:tcPr>
          <w:p w14:paraId="40A3E082" w14:textId="77777777" w:rsidR="004C6421" w:rsidRDefault="009D1962">
            <w:pPr>
              <w:pStyle w:val="P68B1DB1-Normal4"/>
              <w:spacing w:after="120"/>
              <w:jc w:val="center"/>
              <w:rPr>
                <w:noProof/>
              </w:rPr>
            </w:pPr>
            <w:r>
              <w:rPr>
                <w:noProof/>
              </w:rPr>
              <w:t>M7-33</w:t>
            </w:r>
          </w:p>
        </w:tc>
        <w:tc>
          <w:tcPr>
            <w:tcW w:w="1559" w:type="dxa"/>
            <w:tcBorders>
              <w:top w:val="single" w:sz="4" w:space="0" w:color="auto"/>
            </w:tcBorders>
            <w:shd w:val="clear" w:color="auto" w:fill="C6EFCE"/>
            <w:noWrap/>
            <w:vAlign w:val="center"/>
          </w:tcPr>
          <w:p w14:paraId="69E8ACF9" w14:textId="217113A8" w:rsidR="004C6421" w:rsidRDefault="009D1962">
            <w:pPr>
              <w:pStyle w:val="P68B1DB1-Normal4"/>
              <w:spacing w:after="120"/>
              <w:jc w:val="center"/>
              <w:rPr>
                <w:noProof/>
              </w:rPr>
            </w:pPr>
            <w:r>
              <w:rPr>
                <w:noProof/>
              </w:rPr>
              <w:t>Inwestycja 12 Instrument finansowy na rzecz rozwoju wiodącej pozycji międzynarodowej, przemysłowej i badawczo-rozwojowej w zakresie autobusów bezemisyjnych</w:t>
            </w:r>
          </w:p>
        </w:tc>
        <w:tc>
          <w:tcPr>
            <w:tcW w:w="1134" w:type="dxa"/>
            <w:tcBorders>
              <w:top w:val="single" w:sz="4" w:space="0" w:color="auto"/>
            </w:tcBorders>
            <w:shd w:val="clear" w:color="auto" w:fill="C6EFCE"/>
            <w:noWrap/>
            <w:vAlign w:val="center"/>
          </w:tcPr>
          <w:p w14:paraId="1E40ACD1" w14:textId="77777777" w:rsidR="004C6421" w:rsidRDefault="009D1962">
            <w:pPr>
              <w:pStyle w:val="P68B1DB1-Normal4"/>
              <w:spacing w:after="120"/>
              <w:jc w:val="center"/>
              <w:rPr>
                <w:noProof/>
              </w:rPr>
            </w:pPr>
            <w:r>
              <w:rPr>
                <w:noProof/>
              </w:rPr>
              <w:t>Cel</w:t>
            </w:r>
          </w:p>
        </w:tc>
        <w:tc>
          <w:tcPr>
            <w:tcW w:w="1418" w:type="dxa"/>
            <w:tcBorders>
              <w:top w:val="single" w:sz="4" w:space="0" w:color="auto"/>
            </w:tcBorders>
            <w:shd w:val="clear" w:color="auto" w:fill="C6EFCE"/>
            <w:noWrap/>
            <w:vAlign w:val="center"/>
          </w:tcPr>
          <w:p w14:paraId="32329808" w14:textId="77777777" w:rsidR="004C6421" w:rsidRDefault="009D1962">
            <w:pPr>
              <w:pStyle w:val="P68B1DB1-Normal4"/>
              <w:spacing w:after="120"/>
              <w:jc w:val="center"/>
              <w:rPr>
                <w:noProof/>
              </w:rPr>
            </w:pPr>
            <w:r>
              <w:rPr>
                <w:noProof/>
              </w:rPr>
              <w:t>Umowy prawne podpisane z beneficjentami końcowymi</w:t>
            </w:r>
          </w:p>
        </w:tc>
        <w:tc>
          <w:tcPr>
            <w:tcW w:w="1984" w:type="dxa"/>
            <w:tcBorders>
              <w:top w:val="single" w:sz="4" w:space="0" w:color="auto"/>
            </w:tcBorders>
            <w:shd w:val="clear" w:color="auto" w:fill="C6EFCE"/>
            <w:noWrap/>
            <w:vAlign w:val="center"/>
          </w:tcPr>
          <w:p w14:paraId="59FF3708" w14:textId="77777777" w:rsidR="004C6421" w:rsidRDefault="009D1962">
            <w:pPr>
              <w:pStyle w:val="P68B1DB1-Normal4"/>
              <w:spacing w:after="120"/>
              <w:jc w:val="center"/>
              <w:rPr>
                <w:noProof/>
              </w:rPr>
            </w:pPr>
            <w:r>
              <w:rPr>
                <w:noProof/>
              </w:rPr>
              <w:t xml:space="preserve"> </w:t>
            </w:r>
          </w:p>
        </w:tc>
        <w:tc>
          <w:tcPr>
            <w:tcW w:w="1134" w:type="dxa"/>
            <w:tcBorders>
              <w:top w:val="single" w:sz="4" w:space="0" w:color="auto"/>
            </w:tcBorders>
            <w:shd w:val="clear" w:color="auto" w:fill="C6EFCE"/>
            <w:noWrap/>
            <w:vAlign w:val="center"/>
          </w:tcPr>
          <w:p w14:paraId="2EEF1CBA" w14:textId="77777777" w:rsidR="004C6421" w:rsidRDefault="009D1962">
            <w:pPr>
              <w:pStyle w:val="P68B1DB1-Normal4"/>
              <w:spacing w:after="120"/>
              <w:jc w:val="center"/>
              <w:rPr>
                <w:noProof/>
              </w:rPr>
            </w:pPr>
            <w:r>
              <w:rPr>
                <w:noProof/>
              </w:rPr>
              <w:t>Procent (%)</w:t>
            </w:r>
          </w:p>
        </w:tc>
        <w:tc>
          <w:tcPr>
            <w:tcW w:w="993" w:type="dxa"/>
            <w:tcBorders>
              <w:top w:val="single" w:sz="4" w:space="0" w:color="auto"/>
            </w:tcBorders>
            <w:shd w:val="clear" w:color="auto" w:fill="C6EFCE"/>
            <w:noWrap/>
            <w:vAlign w:val="center"/>
          </w:tcPr>
          <w:p w14:paraId="262DD7D9" w14:textId="77777777" w:rsidR="004C6421" w:rsidRDefault="009D1962">
            <w:pPr>
              <w:pStyle w:val="P68B1DB1-Normal4"/>
              <w:spacing w:after="120"/>
              <w:jc w:val="center"/>
              <w:rPr>
                <w:noProof/>
              </w:rPr>
            </w:pPr>
            <w:r>
              <w:rPr>
                <w:noProof/>
              </w:rPr>
              <w:t>0 %</w:t>
            </w:r>
          </w:p>
        </w:tc>
        <w:tc>
          <w:tcPr>
            <w:tcW w:w="992" w:type="dxa"/>
            <w:tcBorders>
              <w:top w:val="single" w:sz="4" w:space="0" w:color="auto"/>
            </w:tcBorders>
            <w:shd w:val="clear" w:color="auto" w:fill="C6EFCE"/>
            <w:noWrap/>
            <w:vAlign w:val="center"/>
          </w:tcPr>
          <w:p w14:paraId="47BE7639" w14:textId="77777777" w:rsidR="004C6421" w:rsidRDefault="009D1962">
            <w:pPr>
              <w:pStyle w:val="P68B1DB1-Normal4"/>
              <w:spacing w:after="120"/>
              <w:jc w:val="center"/>
              <w:rPr>
                <w:noProof/>
              </w:rPr>
            </w:pPr>
            <w:r>
              <w:rPr>
                <w:noProof/>
              </w:rPr>
              <w:t>100 %</w:t>
            </w:r>
          </w:p>
        </w:tc>
        <w:tc>
          <w:tcPr>
            <w:tcW w:w="992" w:type="dxa"/>
            <w:tcBorders>
              <w:top w:val="single" w:sz="4" w:space="0" w:color="auto"/>
            </w:tcBorders>
            <w:shd w:val="clear" w:color="auto" w:fill="C6EFCE"/>
            <w:noWrap/>
            <w:vAlign w:val="center"/>
          </w:tcPr>
          <w:p w14:paraId="70CA531A" w14:textId="7876F768" w:rsidR="004C6421" w:rsidRDefault="00CC179E">
            <w:pPr>
              <w:pStyle w:val="P68B1DB1-Normal4"/>
              <w:spacing w:after="120"/>
              <w:jc w:val="center"/>
              <w:rPr>
                <w:noProof/>
              </w:rPr>
            </w:pPr>
            <w:r>
              <w:rPr>
                <w:noProof/>
              </w:rPr>
              <w:t>KW. 1</w:t>
            </w:r>
          </w:p>
        </w:tc>
        <w:tc>
          <w:tcPr>
            <w:tcW w:w="709" w:type="dxa"/>
            <w:tcBorders>
              <w:top w:val="single" w:sz="4" w:space="0" w:color="auto"/>
            </w:tcBorders>
            <w:shd w:val="clear" w:color="auto" w:fill="C6EFCE"/>
            <w:noWrap/>
            <w:vAlign w:val="center"/>
          </w:tcPr>
          <w:p w14:paraId="1CE309F4" w14:textId="77777777" w:rsidR="004C6421" w:rsidRDefault="009D1962">
            <w:pPr>
              <w:pStyle w:val="P68B1DB1-Normal4"/>
              <w:spacing w:after="120"/>
              <w:jc w:val="center"/>
              <w:rPr>
                <w:noProof/>
              </w:rPr>
            </w:pPr>
            <w:r>
              <w:rPr>
                <w:noProof/>
              </w:rPr>
              <w:t>2026</w:t>
            </w:r>
          </w:p>
        </w:tc>
        <w:tc>
          <w:tcPr>
            <w:tcW w:w="3261" w:type="dxa"/>
            <w:tcBorders>
              <w:top w:val="single" w:sz="4" w:space="0" w:color="auto"/>
            </w:tcBorders>
            <w:shd w:val="clear" w:color="auto" w:fill="C6EFCE"/>
            <w:noWrap/>
            <w:vAlign w:val="center"/>
          </w:tcPr>
          <w:p w14:paraId="4D0192B5" w14:textId="02D1A24E" w:rsidR="004C6421" w:rsidRDefault="009D1962">
            <w:pPr>
              <w:pStyle w:val="P68B1DB1-Normal4"/>
              <w:spacing w:after="120"/>
              <w:rPr>
                <w:noProof/>
              </w:rPr>
            </w:pPr>
            <w:r>
              <w:rPr>
                <w:noProof/>
              </w:rPr>
              <w:t>Invitalia S.p.A. zawiera prawne umowy w sprawie finansowania z beneficjentami końcowymi na kwotę niezbędną do wykorzystania 100 % inwestycji RRF w instrument (z uwzględnieniem opłat za zarządzanie). Invitalia S.p.A. sporządza sprawozdanie wyszczególniające odsetek tego finansowania, które przyczynia się do realizacji celów klimatycznych, z wykorzystaniem metodyki określonej w załączniku VI do rozporządzenia w sprawie RRF.</w:t>
            </w:r>
          </w:p>
        </w:tc>
      </w:tr>
      <w:tr w:rsidR="004C6421" w14:paraId="4413B665" w14:textId="77777777">
        <w:trPr>
          <w:trHeight w:val="309"/>
        </w:trPr>
        <w:tc>
          <w:tcPr>
            <w:tcW w:w="1185" w:type="dxa"/>
            <w:tcBorders>
              <w:top w:val="single" w:sz="4" w:space="0" w:color="auto"/>
            </w:tcBorders>
            <w:shd w:val="clear" w:color="auto" w:fill="C6EFCE"/>
            <w:noWrap/>
            <w:vAlign w:val="center"/>
          </w:tcPr>
          <w:p w14:paraId="74DB4D6E" w14:textId="77777777" w:rsidR="004C6421" w:rsidRDefault="009D1962">
            <w:pPr>
              <w:pStyle w:val="P68B1DB1-Normal4"/>
              <w:spacing w:after="120"/>
              <w:jc w:val="center"/>
              <w:rPr>
                <w:noProof/>
              </w:rPr>
            </w:pPr>
            <w:r>
              <w:rPr>
                <w:noProof/>
              </w:rPr>
              <w:t>M7-34</w:t>
            </w:r>
          </w:p>
        </w:tc>
        <w:tc>
          <w:tcPr>
            <w:tcW w:w="1559" w:type="dxa"/>
            <w:tcBorders>
              <w:top w:val="single" w:sz="4" w:space="0" w:color="auto"/>
            </w:tcBorders>
            <w:shd w:val="clear" w:color="auto" w:fill="C6EFCE"/>
            <w:noWrap/>
            <w:vAlign w:val="center"/>
          </w:tcPr>
          <w:p w14:paraId="1C367325" w14:textId="3F4C3FAF" w:rsidR="004C6421" w:rsidRDefault="009D1962">
            <w:pPr>
              <w:pStyle w:val="P68B1DB1-Normal4"/>
              <w:spacing w:after="120"/>
              <w:jc w:val="center"/>
              <w:rPr>
                <w:noProof/>
              </w:rPr>
            </w:pPr>
            <w:r>
              <w:rPr>
                <w:noProof/>
              </w:rPr>
              <w:t>Inwestycja 12 Instrument finansowy na rzecz rozwoju wiodącej pozycji międzynarodowej, przemysłowej i badawczo-rozwojowej w zakresie autobusów bezemisyjnych</w:t>
            </w:r>
          </w:p>
        </w:tc>
        <w:tc>
          <w:tcPr>
            <w:tcW w:w="1134" w:type="dxa"/>
            <w:tcBorders>
              <w:top w:val="single" w:sz="4" w:space="0" w:color="auto"/>
            </w:tcBorders>
            <w:shd w:val="clear" w:color="auto" w:fill="C6EFCE"/>
            <w:noWrap/>
            <w:vAlign w:val="center"/>
          </w:tcPr>
          <w:p w14:paraId="6FEC016B" w14:textId="06FE3AE2" w:rsidR="004C6421" w:rsidRDefault="00CC179E">
            <w:pPr>
              <w:pStyle w:val="P68B1DB1-Normal4"/>
              <w:spacing w:after="120"/>
              <w:jc w:val="center"/>
              <w:rPr>
                <w:noProof/>
              </w:rPr>
            </w:pPr>
            <w:r>
              <w:rPr>
                <w:noProof/>
              </w:rPr>
              <w:t>Milowy</w:t>
            </w:r>
          </w:p>
        </w:tc>
        <w:tc>
          <w:tcPr>
            <w:tcW w:w="1418" w:type="dxa"/>
            <w:tcBorders>
              <w:top w:val="single" w:sz="4" w:space="0" w:color="auto"/>
            </w:tcBorders>
            <w:shd w:val="clear" w:color="auto" w:fill="C6EFCE"/>
            <w:noWrap/>
            <w:vAlign w:val="center"/>
          </w:tcPr>
          <w:p w14:paraId="4BFF61CD" w14:textId="77777777" w:rsidR="004C6421" w:rsidRDefault="009D1962">
            <w:pPr>
              <w:pStyle w:val="P68B1DB1-Normal4"/>
              <w:spacing w:after="120"/>
              <w:jc w:val="center"/>
              <w:rPr>
                <w:noProof/>
              </w:rPr>
            </w:pPr>
            <w:r>
              <w:rPr>
                <w:noProof/>
              </w:rPr>
              <w:t>Ministerstwo zakończyło inwestycję</w:t>
            </w:r>
          </w:p>
        </w:tc>
        <w:tc>
          <w:tcPr>
            <w:tcW w:w="1984" w:type="dxa"/>
            <w:tcBorders>
              <w:top w:val="single" w:sz="4" w:space="0" w:color="auto"/>
            </w:tcBorders>
            <w:shd w:val="clear" w:color="auto" w:fill="C6EFCE"/>
            <w:noWrap/>
            <w:vAlign w:val="center"/>
          </w:tcPr>
          <w:p w14:paraId="1F57E019" w14:textId="77777777" w:rsidR="004C6421" w:rsidRDefault="009D1962">
            <w:pPr>
              <w:pStyle w:val="P68B1DB1-Normal4"/>
              <w:spacing w:after="120"/>
              <w:jc w:val="center"/>
              <w:rPr>
                <w:noProof/>
              </w:rPr>
            </w:pPr>
            <w:r>
              <w:rPr>
                <w:noProof/>
              </w:rPr>
              <w:t>Świadectwo transferu</w:t>
            </w:r>
          </w:p>
        </w:tc>
        <w:tc>
          <w:tcPr>
            <w:tcW w:w="1134" w:type="dxa"/>
            <w:tcBorders>
              <w:top w:val="single" w:sz="4" w:space="0" w:color="auto"/>
            </w:tcBorders>
            <w:shd w:val="clear" w:color="auto" w:fill="C6EFCE"/>
            <w:noWrap/>
            <w:vAlign w:val="center"/>
          </w:tcPr>
          <w:p w14:paraId="093CE4C5" w14:textId="77777777" w:rsidR="004C6421" w:rsidRDefault="004C6421">
            <w:pPr>
              <w:spacing w:after="120"/>
              <w:jc w:val="center"/>
              <w:rPr>
                <w:rFonts w:ascii="Arial Narrow" w:hAnsi="Arial Narrow"/>
                <w:noProof/>
                <w:color w:val="006100"/>
                <w:sz w:val="20"/>
              </w:rPr>
            </w:pPr>
          </w:p>
        </w:tc>
        <w:tc>
          <w:tcPr>
            <w:tcW w:w="993" w:type="dxa"/>
            <w:tcBorders>
              <w:top w:val="single" w:sz="4" w:space="0" w:color="auto"/>
            </w:tcBorders>
            <w:shd w:val="clear" w:color="auto" w:fill="C6EFCE"/>
            <w:noWrap/>
            <w:vAlign w:val="center"/>
          </w:tcPr>
          <w:p w14:paraId="00210A33" w14:textId="77777777" w:rsidR="004C6421" w:rsidRDefault="004C6421">
            <w:pPr>
              <w:spacing w:after="120"/>
              <w:jc w:val="center"/>
              <w:rPr>
                <w:rFonts w:ascii="Arial Narrow" w:hAnsi="Arial Narrow"/>
                <w:noProof/>
                <w:color w:val="006100"/>
                <w:sz w:val="20"/>
              </w:rPr>
            </w:pPr>
          </w:p>
        </w:tc>
        <w:tc>
          <w:tcPr>
            <w:tcW w:w="992" w:type="dxa"/>
            <w:tcBorders>
              <w:top w:val="single" w:sz="4" w:space="0" w:color="auto"/>
            </w:tcBorders>
            <w:shd w:val="clear" w:color="auto" w:fill="C6EFCE"/>
            <w:noWrap/>
            <w:vAlign w:val="center"/>
          </w:tcPr>
          <w:p w14:paraId="0E90F596" w14:textId="77777777" w:rsidR="004C6421" w:rsidRDefault="004C6421">
            <w:pPr>
              <w:spacing w:after="120"/>
              <w:jc w:val="center"/>
              <w:rPr>
                <w:rFonts w:ascii="Arial Narrow" w:hAnsi="Arial Narrow"/>
                <w:noProof/>
                <w:color w:val="006100"/>
                <w:sz w:val="20"/>
              </w:rPr>
            </w:pPr>
          </w:p>
        </w:tc>
        <w:tc>
          <w:tcPr>
            <w:tcW w:w="992" w:type="dxa"/>
            <w:tcBorders>
              <w:top w:val="single" w:sz="4" w:space="0" w:color="auto"/>
            </w:tcBorders>
            <w:shd w:val="clear" w:color="auto" w:fill="C6EFCE"/>
            <w:noWrap/>
            <w:vAlign w:val="center"/>
          </w:tcPr>
          <w:p w14:paraId="6A2A31AA" w14:textId="77777777" w:rsidR="004C6421" w:rsidRDefault="009D1962">
            <w:pPr>
              <w:pStyle w:val="P68B1DB1-Normal4"/>
              <w:spacing w:after="120"/>
              <w:jc w:val="center"/>
              <w:rPr>
                <w:noProof/>
              </w:rPr>
            </w:pPr>
            <w:r>
              <w:rPr>
                <w:noProof/>
              </w:rPr>
              <w:t>II KW.</w:t>
            </w:r>
          </w:p>
        </w:tc>
        <w:tc>
          <w:tcPr>
            <w:tcW w:w="709" w:type="dxa"/>
            <w:tcBorders>
              <w:top w:val="single" w:sz="4" w:space="0" w:color="auto"/>
            </w:tcBorders>
            <w:shd w:val="clear" w:color="auto" w:fill="C6EFCE"/>
            <w:noWrap/>
            <w:vAlign w:val="center"/>
          </w:tcPr>
          <w:p w14:paraId="6FC03B7A" w14:textId="77777777" w:rsidR="004C6421" w:rsidRDefault="009D1962">
            <w:pPr>
              <w:pStyle w:val="P68B1DB1-Normal4"/>
              <w:spacing w:after="120"/>
              <w:jc w:val="center"/>
              <w:rPr>
                <w:noProof/>
              </w:rPr>
            </w:pPr>
            <w:r>
              <w:rPr>
                <w:noProof/>
              </w:rPr>
              <w:t>2025</w:t>
            </w:r>
          </w:p>
        </w:tc>
        <w:tc>
          <w:tcPr>
            <w:tcW w:w="3261" w:type="dxa"/>
            <w:tcBorders>
              <w:top w:val="single" w:sz="4" w:space="0" w:color="auto"/>
            </w:tcBorders>
            <w:shd w:val="clear" w:color="auto" w:fill="C6EFCE"/>
            <w:noWrap/>
            <w:vAlign w:val="center"/>
          </w:tcPr>
          <w:p w14:paraId="3CB698E1" w14:textId="6B340300" w:rsidR="004C6421" w:rsidRDefault="009D1962">
            <w:pPr>
              <w:pStyle w:val="P68B1DB1-Normal4"/>
              <w:spacing w:after="120"/>
              <w:rPr>
                <w:noProof/>
              </w:rPr>
            </w:pPr>
            <w:r>
              <w:rPr>
                <w:noProof/>
              </w:rPr>
              <w:t>Włochy przesuną 100 000 000 EUR na rzecz Invitalia S.p.A. na rzecz Instrumentu.</w:t>
            </w:r>
          </w:p>
        </w:tc>
      </w:tr>
    </w:tbl>
    <w:p w14:paraId="4349258C" w14:textId="77777777" w:rsidR="004C6421" w:rsidRDefault="004C6421">
      <w:pPr>
        <w:tabs>
          <w:tab w:val="left" w:pos="4252"/>
        </w:tabs>
        <w:spacing w:after="120"/>
        <w:rPr>
          <w:i/>
          <w:noProof/>
        </w:rPr>
        <w:sectPr w:rsidR="004C6421" w:rsidSect="00797973">
          <w:headerReference w:type="even" r:id="rId417"/>
          <w:headerReference w:type="default" r:id="rId418"/>
          <w:footerReference w:type="even" r:id="rId419"/>
          <w:footerReference w:type="default" r:id="rId420"/>
          <w:headerReference w:type="first" r:id="rId421"/>
          <w:footerReference w:type="first" r:id="rId422"/>
          <w:pgSz w:w="16838" w:h="11906" w:orient="landscape" w:code="9"/>
          <w:pgMar w:top="1134" w:right="1134" w:bottom="1134" w:left="1134" w:header="567" w:footer="567" w:gutter="0"/>
          <w:cols w:space="720"/>
          <w:docGrid w:linePitch="360"/>
        </w:sectPr>
      </w:pPr>
    </w:p>
    <w:p w14:paraId="68323211" w14:textId="1DE40A62" w:rsidR="004C6421" w:rsidRDefault="002175A3">
      <w:pPr>
        <w:pStyle w:val="Heading3"/>
        <w:numPr>
          <w:ilvl w:val="0"/>
          <w:numId w:val="0"/>
        </w:numPr>
        <w:spacing w:before="0"/>
        <w:ind w:left="850" w:hanging="850"/>
        <w:rPr>
          <w:rFonts w:ascii="Segoe UI" w:hAnsi="Segoe UI" w:cs="Segoe UI"/>
          <w:b/>
          <w:i w:val="0"/>
          <w:noProof/>
          <w:sz w:val="18"/>
          <w:u w:val="single"/>
        </w:rPr>
      </w:pPr>
      <w:bookmarkStart w:id="19" w:name="_Hlk180665465"/>
      <w:r>
        <w:rPr>
          <w:rStyle w:val="normaltextrun"/>
          <w:b/>
          <w:noProof/>
          <w:u w:val="single"/>
        </w:rPr>
        <w:t>Q</w:t>
      </w:r>
      <w:r w:rsidR="00CC179E">
        <w:rPr>
          <w:rStyle w:val="normaltextrun"/>
          <w:b/>
          <w:noProof/>
          <w:u w:val="single"/>
        </w:rPr>
        <w:t>.</w:t>
      </w:r>
      <w:r>
        <w:rPr>
          <w:rStyle w:val="normaltextrun"/>
          <w:b/>
          <w:noProof/>
          <w:u w:val="single"/>
        </w:rPr>
        <w:t xml:space="preserve"> 3. </w:t>
      </w:r>
      <w:r>
        <w:rPr>
          <w:noProof/>
        </w:rPr>
        <w:t xml:space="preserve"> </w:t>
      </w:r>
      <w:r>
        <w:rPr>
          <w:rStyle w:val="normaltextrun"/>
          <w:b/>
          <w:noProof/>
          <w:u w:val="single"/>
        </w:rPr>
        <w:t xml:space="preserve">Opis reform i inwestycji związanych z pożyczką </w:t>
      </w:r>
    </w:p>
    <w:p w14:paraId="68B79795" w14:textId="77777777" w:rsidR="004C6421" w:rsidRDefault="009D1962">
      <w:pPr>
        <w:pStyle w:val="P68B1DB1-Heading429"/>
        <w:numPr>
          <w:ilvl w:val="3"/>
          <w:numId w:val="0"/>
        </w:numPr>
        <w:spacing w:before="0"/>
        <w:rPr>
          <w:i/>
          <w:noProof/>
        </w:rPr>
      </w:pPr>
      <w:bookmarkStart w:id="20" w:name="_Hlk140650645"/>
      <w:bookmarkEnd w:id="19"/>
      <w:r>
        <w:rPr>
          <w:noProof/>
        </w:rPr>
        <w:t>Inwestycja 13. Adriatic Line Phase 1 (stacja kompresorowa Sulmona i gazociąg Sestino-Minerbio)</w:t>
      </w:r>
    </w:p>
    <w:p w14:paraId="663F0E10" w14:textId="77777777" w:rsidR="004C6421" w:rsidRDefault="009D1962">
      <w:pPr>
        <w:pStyle w:val="Text1"/>
        <w:spacing w:before="0"/>
        <w:ind w:left="0"/>
        <w:rPr>
          <w:noProof/>
        </w:rPr>
      </w:pPr>
      <w:r>
        <w:rPr>
          <w:noProof/>
        </w:rPr>
        <w:t xml:space="preserve">Celem tej inwestycji jest poprawa infrastruktury energetycznej i instalacji energetycznych w celu zaspokojenia najpilniejszych potrzeb w zakresie bezpieczeństwa dostaw gazu, w tym skroplonego gazu ziemnego, w szczególności w celu umożliwienia dywersyfikacji dostaw w interesie Unii jako całości. </w:t>
      </w:r>
    </w:p>
    <w:p w14:paraId="1C0B5AF9" w14:textId="77777777" w:rsidR="004C6421" w:rsidRDefault="009D1962">
      <w:pPr>
        <w:pStyle w:val="Text1"/>
        <w:spacing w:before="0"/>
        <w:ind w:left="0"/>
        <w:rPr>
          <w:noProof/>
        </w:rPr>
      </w:pPr>
      <w:r>
        <w:rPr>
          <w:noProof/>
        </w:rPr>
        <w:t>Celem inwestycji jest wsparcie budowy tłoczni gazu w Sulmona oraz gazociągu łączącego węzły Sestino i Minerbio w ramach linii Adriatyckiej. Oczekuje się, że nowo wybudowana infrastruktura zwiększy zdolność przesyłu gazu o 14 mln m³/dobę.</w:t>
      </w:r>
    </w:p>
    <w:p w14:paraId="7AADD028" w14:textId="77777777" w:rsidR="004C6421" w:rsidRDefault="009D1962">
      <w:pPr>
        <w:pStyle w:val="Text1"/>
        <w:spacing w:before="0"/>
        <w:ind w:left="0"/>
        <w:rPr>
          <w:noProof/>
        </w:rPr>
      </w:pPr>
      <w:r>
        <w:rPr>
          <w:noProof/>
        </w:rPr>
        <w:t xml:space="preserve">Włochy określają status szczególnych celów ochrony terenu (SSCO) i, w razie potrzeby, dokonują odpowiednich zmian w ocenach oddziaływania na środowisko (Valutazione Incidenza Ambientale) przed rozpoczęciem prac na danych obszarach. </w:t>
      </w:r>
    </w:p>
    <w:p w14:paraId="7917763B" w14:textId="77777777" w:rsidR="004C6421" w:rsidRDefault="009D1962">
      <w:pPr>
        <w:pStyle w:val="Text1"/>
        <w:spacing w:before="0"/>
        <w:ind w:left="0"/>
        <w:rPr>
          <w:noProof/>
        </w:rPr>
      </w:pPr>
      <w:r>
        <w:rPr>
          <w:noProof/>
        </w:rPr>
        <w:t>Tłocznia gazu Sulmona i gazociąg Sestino-Minerbio zostaną zbudowane do dnia 31 sierpnia 2026 r.</w:t>
      </w:r>
    </w:p>
    <w:p w14:paraId="141F9E43" w14:textId="77777777" w:rsidR="004C6421" w:rsidRDefault="009D1962">
      <w:pPr>
        <w:pStyle w:val="P68B1DB1-Heading429"/>
        <w:numPr>
          <w:ilvl w:val="3"/>
          <w:numId w:val="0"/>
        </w:numPr>
        <w:ind w:left="850" w:hanging="850"/>
        <w:rPr>
          <w:noProof/>
        </w:rPr>
      </w:pPr>
      <w:r>
        <w:rPr>
          <w:noProof/>
        </w:rPr>
        <w:t>Inwestycja 14. Infrastruktura na potrzeby transgranicznego eksportu gazu</w:t>
      </w:r>
    </w:p>
    <w:p w14:paraId="1C072850" w14:textId="77777777" w:rsidR="004C6421" w:rsidRDefault="009D1962">
      <w:pPr>
        <w:pStyle w:val="Text1"/>
        <w:spacing w:before="0"/>
        <w:ind w:left="0"/>
        <w:rPr>
          <w:noProof/>
        </w:rPr>
      </w:pPr>
      <w:r>
        <w:rPr>
          <w:noProof/>
        </w:rPr>
        <w:t xml:space="preserve">Celem tej inwestycji jest poprawa infrastruktury energetycznej i instalacji energetycznych w celu zaspokojenia najpilniejszych potrzeb w zakresie bezpieczeństwa dostaw gazu, w tym skroplonego gazu ziemnego, w szczególności w celu umożliwienia dywersyfikacji dostaw w interesie Unii jako całości. </w:t>
      </w:r>
    </w:p>
    <w:p w14:paraId="59A252D6" w14:textId="77777777" w:rsidR="004C6421" w:rsidRDefault="009D1962">
      <w:pPr>
        <w:pStyle w:val="Text1"/>
        <w:spacing w:before="0"/>
        <w:ind w:left="0"/>
        <w:rPr>
          <w:noProof/>
        </w:rPr>
      </w:pPr>
      <w:r>
        <w:rPr>
          <w:noProof/>
        </w:rPr>
        <w:t xml:space="preserve">Inwestycja ta polega na modernizacji istniejącej infrastruktury gazowej umożliwiającej eksport gazu ziemnego przez punkt wyjścia Tarvisio. Inwestycja polega w szczególności na budowie nowej jednostki kompresji elektrycznej w tłoczni Poggio Renatico. Oczekuje się, że nowo wybudowana infrastruktura zwiększy zdolność eksportową gazu przez punkt wyjścia Tarvisio o 8 mld m³/rok. </w:t>
      </w:r>
    </w:p>
    <w:p w14:paraId="4350CA69" w14:textId="77777777" w:rsidR="004C6421" w:rsidRDefault="009D1962">
      <w:pPr>
        <w:pStyle w:val="Text1"/>
        <w:spacing w:before="0"/>
        <w:ind w:left="0"/>
        <w:rPr>
          <w:noProof/>
        </w:rPr>
      </w:pPr>
      <w:r>
        <w:rPr>
          <w:noProof/>
        </w:rPr>
        <w:t xml:space="preserve">Kompresja w tłoczni Poggio Renatico zostanie zbudowana do dnia 31 sierpnia 2026 r. </w:t>
      </w:r>
    </w:p>
    <w:p w14:paraId="0D7202DA" w14:textId="77777777" w:rsidR="004C6421" w:rsidRDefault="009D1962">
      <w:pPr>
        <w:pStyle w:val="P68B1DB1-Heading429"/>
        <w:numPr>
          <w:ilvl w:val="3"/>
          <w:numId w:val="0"/>
        </w:numPr>
        <w:ind w:left="850" w:hanging="850"/>
        <w:rPr>
          <w:noProof/>
        </w:rPr>
      </w:pPr>
      <w:r>
        <w:rPr>
          <w:noProof/>
        </w:rPr>
        <w:t xml:space="preserve">Inwestycja 15. Transizione 5,0 </w:t>
      </w:r>
    </w:p>
    <w:bookmarkEnd w:id="20"/>
    <w:p w14:paraId="69E41D77" w14:textId="77777777" w:rsidR="004C6421" w:rsidRDefault="009D1962">
      <w:pPr>
        <w:pStyle w:val="NormalWeb"/>
        <w:spacing w:before="0" w:beforeAutospacing="0" w:after="120" w:afterAutospacing="0"/>
        <w:jc w:val="both"/>
        <w:rPr>
          <w:noProof/>
          <w:color w:val="0000FF"/>
          <w:sz w:val="21"/>
        </w:rPr>
      </w:pPr>
      <w:r>
        <w:rPr>
          <w:rStyle w:val="normaltextrun"/>
          <w:noProof/>
        </w:rPr>
        <w:t>Środek ten wspiera transformację energetyczną procesów produkcyjnych w kierunku energooszczędnego, zrównoważonego i opartego na odnawialnych źródłach energii modelu produkcji. W związku z tym środek powinien prowadzić do 0,4 Mtoe oszczędności energii w zużyciu energii końcowej w latach 2024–2026.</w:t>
      </w:r>
      <w:r>
        <w:rPr>
          <w:noProof/>
          <w:color w:val="0000FF"/>
          <w:sz w:val="21"/>
        </w:rPr>
        <w:t xml:space="preserve"> </w:t>
      </w:r>
    </w:p>
    <w:p w14:paraId="6F4B47E0" w14:textId="77777777" w:rsidR="004C6421" w:rsidRDefault="009D1962">
      <w:pPr>
        <w:pStyle w:val="NormalWeb"/>
        <w:spacing w:before="0" w:beforeAutospacing="0" w:after="120" w:afterAutospacing="0"/>
        <w:jc w:val="both"/>
        <w:rPr>
          <w:rStyle w:val="normaltextrun"/>
          <w:rFonts w:eastAsiaTheme="majorEastAsia"/>
          <w:noProof/>
        </w:rPr>
      </w:pPr>
      <w:r>
        <w:rPr>
          <w:rStyle w:val="normaltextrun"/>
          <w:noProof/>
        </w:rPr>
        <w:t>Przedsiębiorstwom przyznaje się ulgę podatkową proporcjonalną do wydatków poniesionych w okresie od dnia 1 stycznia 2024 r. do dnia 31 grudnia 2025 r., jeżeli inwestują one w:</w:t>
      </w:r>
    </w:p>
    <w:p w14:paraId="361160ED" w14:textId="77777777" w:rsidR="004C6421" w:rsidRDefault="009D1962">
      <w:pPr>
        <w:pStyle w:val="ListParagraph"/>
        <w:keepNext/>
        <w:numPr>
          <w:ilvl w:val="0"/>
          <w:numId w:val="47"/>
        </w:numPr>
        <w:spacing w:before="0"/>
        <w:contextualSpacing w:val="0"/>
        <w:rPr>
          <w:rStyle w:val="normaltextrun"/>
          <w:noProof/>
        </w:rPr>
      </w:pPr>
      <w:r>
        <w:rPr>
          <w:rStyle w:val="normaltextrun"/>
          <w:noProof/>
        </w:rPr>
        <w:t>aktywa cyfrowe (4,0 rzeczowe dobra inwestycyjne, 4,0 niematerialne dobra inwestycyjne</w:t>
      </w:r>
      <w:r>
        <w:rPr>
          <w:rStyle w:val="FootnoteReference"/>
          <w:rFonts w:eastAsiaTheme="majorEastAsia"/>
          <w:noProof/>
        </w:rPr>
        <w:footnoteReference w:id="124"/>
      </w:r>
      <w:r>
        <w:rPr>
          <w:rStyle w:val="normaltextrun"/>
          <w:noProof/>
        </w:rPr>
        <w:t xml:space="preserve">) </w:t>
      </w:r>
    </w:p>
    <w:p w14:paraId="53C02403" w14:textId="77777777" w:rsidR="004C6421" w:rsidRDefault="009D1962">
      <w:pPr>
        <w:pStyle w:val="NormalWeb"/>
        <w:numPr>
          <w:ilvl w:val="0"/>
          <w:numId w:val="47"/>
        </w:numPr>
        <w:spacing w:before="0" w:beforeAutospacing="0" w:after="120" w:afterAutospacing="0"/>
        <w:jc w:val="both"/>
        <w:rPr>
          <w:rFonts w:eastAsiaTheme="majorEastAsia"/>
          <w:noProof/>
        </w:rPr>
      </w:pPr>
      <w:r>
        <w:rPr>
          <w:noProof/>
        </w:rPr>
        <w:t>aktywa niezbędne do produkcji własnej i konsumpcji własnej ze źródeł odnawialnych (z wyłączeniem biomasy)</w:t>
      </w:r>
    </w:p>
    <w:p w14:paraId="0D325E9C" w14:textId="77777777" w:rsidR="004C6421" w:rsidRDefault="009D1962">
      <w:pPr>
        <w:pStyle w:val="NormalWeb"/>
        <w:numPr>
          <w:ilvl w:val="0"/>
          <w:numId w:val="47"/>
        </w:numPr>
        <w:spacing w:before="0" w:beforeAutospacing="0" w:after="120" w:afterAutospacing="0"/>
        <w:jc w:val="both"/>
        <w:rPr>
          <w:rFonts w:eastAsiaTheme="majorEastAsia"/>
          <w:noProof/>
        </w:rPr>
      </w:pPr>
      <w:r>
        <w:rPr>
          <w:rStyle w:val="normaltextrun"/>
          <w:noProof/>
        </w:rPr>
        <w:t>szkolenie personelu w zakresie umiejętności potrzebnych do transformacji ekologicznej.</w:t>
      </w:r>
    </w:p>
    <w:p w14:paraId="60644024" w14:textId="77777777" w:rsidR="004C6421" w:rsidRDefault="009D1962">
      <w:pPr>
        <w:pStyle w:val="NormalWeb"/>
        <w:spacing w:before="0" w:beforeAutospacing="0" w:after="120" w:afterAutospacing="0"/>
        <w:jc w:val="both"/>
        <w:rPr>
          <w:rFonts w:eastAsiaTheme="majorEastAsia"/>
          <w:noProof/>
        </w:rPr>
      </w:pPr>
      <w:r>
        <w:rPr>
          <w:noProof/>
        </w:rPr>
        <w:t>Korzyść podatkowa musi być proporcjonalna, zgodnie z co najmniej trzema progami przyrostowymi, do zmniejszenia zużycia energii końcowej (o co najmniej 3 %) lub do oszczędności energii osiągniętych w procesach docelowych (o co najmniej 5 % w porównaniu z poprzednim zużyciem dla takich procesów) związanych z inwestycjami w aktywa, o których mowa w lit. a)</w:t>
      </w:r>
      <w:r>
        <w:rPr>
          <w:rStyle w:val="FootnoteReference"/>
          <w:rFonts w:eastAsiaTheme="majorEastAsia"/>
          <w:noProof/>
        </w:rPr>
        <w:footnoteReference w:id="125"/>
      </w:r>
      <w:r>
        <w:rPr>
          <w:noProof/>
        </w:rPr>
        <w:t>.</w:t>
      </w:r>
    </w:p>
    <w:p w14:paraId="00FD8B22" w14:textId="77777777" w:rsidR="004C6421" w:rsidRDefault="009D1962">
      <w:pPr>
        <w:pStyle w:val="NormalWeb"/>
        <w:spacing w:before="0" w:beforeAutospacing="0" w:after="120" w:afterAutospacing="0"/>
        <w:jc w:val="both"/>
        <w:rPr>
          <w:rFonts w:eastAsiaTheme="majorEastAsia"/>
          <w:noProof/>
        </w:rPr>
      </w:pPr>
      <w:r>
        <w:rPr>
          <w:noProof/>
        </w:rPr>
        <w:t>W związku z tym intensywność korzyści podatkowych wzrośnie w zależności od certyfikowanej poprawy efektywności energetycznej i osiągnięcia oszczędności energii.</w:t>
      </w:r>
    </w:p>
    <w:p w14:paraId="19CF59F7" w14:textId="77777777" w:rsidR="004C6421" w:rsidRDefault="009D1962">
      <w:pPr>
        <w:pStyle w:val="NormalWeb"/>
        <w:spacing w:before="0" w:beforeAutospacing="0" w:after="120" w:afterAutospacing="0"/>
        <w:jc w:val="both"/>
        <w:rPr>
          <w:rStyle w:val="normaltextrun"/>
          <w:rFonts w:eastAsiaTheme="majorEastAsia"/>
          <w:noProof/>
        </w:rPr>
      </w:pPr>
      <w:r>
        <w:rPr>
          <w:noProof/>
        </w:rPr>
        <w:t>Aby projekt spełniał kryteria kwalifikowalności, musi on być certyfikowany przez niezależnego oceniającego, że projekt innowacyjny ex ante spełnia kryteria kwalifikowalności związane ze zmniejszeniem całkowitego zużycia energii. Ponadto certyfikacja ex post poświadcza faktyczną realizację inwestycji zgodnie z przepisami certyfikacji ex ante.</w:t>
      </w:r>
    </w:p>
    <w:p w14:paraId="42BB1E91" w14:textId="55552D41" w:rsidR="004C6421" w:rsidRDefault="009D1962">
      <w:pPr>
        <w:pStyle w:val="NormalWeb"/>
        <w:spacing w:before="0" w:beforeAutospacing="0" w:after="120" w:afterAutospacing="0"/>
        <w:jc w:val="both"/>
        <w:rPr>
          <w:rStyle w:val="normaltextrun"/>
          <w:rFonts w:eastAsiaTheme="majorEastAsia"/>
          <w:noProof/>
        </w:rPr>
      </w:pPr>
      <w:r>
        <w:rPr>
          <w:noProof/>
        </w:rPr>
        <w:t>Co najmniej 4 032 000 000 EUR z inwestycji przyczynia się do realizacji celów związanych ze zmianą klimatu zgodnie z załącznikiem VI do rozporządzenia w sprawie RRF.</w:t>
      </w:r>
    </w:p>
    <w:p w14:paraId="025BD6E4" w14:textId="3FB5F6AC" w:rsidR="004C6421" w:rsidRDefault="009D1962">
      <w:pPr>
        <w:spacing w:after="120"/>
        <w:jc w:val="both"/>
        <w:rPr>
          <w:noProof/>
        </w:rPr>
      </w:pPr>
      <w:r>
        <w:rPr>
          <w:noProof/>
        </w:rPr>
        <w:t xml:space="preserve">Do 1 % celu przeznacza się na rozwój platformy informatycznej i powiązane działania na rzecz: zarządzanie certyfikatami przedstawianymi przez beneficjentów; ułatwia ocenę i wymianę danych wykorzystywanych do analizy oraz zarządzanie nimi; oraz (iii) działań w zakresie monitorowania i kontroli. </w:t>
      </w:r>
    </w:p>
    <w:p w14:paraId="184F9078" w14:textId="77777777" w:rsidR="004C6421" w:rsidRDefault="009D1962">
      <w:pPr>
        <w:spacing w:after="120"/>
        <w:jc w:val="both"/>
        <w:rPr>
          <w:noProof/>
        </w:rPr>
      </w:pPr>
      <w:r>
        <w:rPr>
          <w:noProof/>
        </w:rPr>
        <w:t>Ponadto środek ten rozszerza zakres komitetu naukowego ustanowionego w kamieniu Kamień milowy M1C2-1 (Transizione 4.0) w celu opracowania do dnia 31 sierpnia 2026 r. sprawozdania oceniającego skuteczność inwestycji w ramach krajowego planu odbudowy i zwiększania odporności podlegających kompetencjom Ministerstwa Przedsiębiorstw i Made in Italy (MIMIT) oraz możliwe synergie z innymi źródłami finansowania UE w sektorach strategicznych dla UE oraz krajowej konkurencyjności i autonomii.</w:t>
      </w:r>
    </w:p>
    <w:p w14:paraId="3F660272" w14:textId="77777777" w:rsidR="004C6421" w:rsidRDefault="009D1962">
      <w:pPr>
        <w:pStyle w:val="P68B1DB1-Heading429"/>
        <w:numPr>
          <w:ilvl w:val="3"/>
          <w:numId w:val="0"/>
        </w:numPr>
        <w:rPr>
          <w:noProof/>
        </w:rPr>
      </w:pPr>
      <w:r>
        <w:rPr>
          <w:noProof/>
        </w:rPr>
        <w:t>Inwestycja 16. Wsparcie dla MŚP w zakresie własnej produkcji z odnawialnych źródeł energii</w:t>
      </w:r>
    </w:p>
    <w:p w14:paraId="47789865" w14:textId="77777777" w:rsidR="004C6421" w:rsidRDefault="009D1962">
      <w:pPr>
        <w:spacing w:after="120"/>
        <w:jc w:val="both"/>
        <w:rPr>
          <w:noProof/>
        </w:rPr>
      </w:pPr>
      <w:r>
        <w:rPr>
          <w:noProof/>
        </w:rPr>
        <w:t xml:space="preserve">Środek ten obejmuje inwestycje publiczne w program dotacji </w:t>
      </w:r>
      <w:r>
        <w:rPr>
          <w:i/>
          <w:noProof/>
        </w:rPr>
        <w:t xml:space="preserve">„Wsparcie dla MŚP w zakresie własnej produkcji energii ze źródeł odnawialnych” </w:t>
      </w:r>
      <w:r>
        <w:rPr>
          <w:noProof/>
        </w:rPr>
        <w:t>w celu zachęcenia do inwestycji prywatnych i poprawy dostępu do finansowania we Włoszech własnej produkcji energii ze źródeł odnawialnych (OZE).</w:t>
      </w:r>
    </w:p>
    <w:p w14:paraId="787B3161" w14:textId="77777777" w:rsidR="004C6421" w:rsidRDefault="009D1962">
      <w:pPr>
        <w:spacing w:after="120"/>
        <w:jc w:val="both"/>
        <w:rPr>
          <w:noProof/>
        </w:rPr>
      </w:pPr>
      <w:r>
        <w:rPr>
          <w:noProof/>
        </w:rPr>
        <w:t xml:space="preserve">Program ma na celu wspieranie mikroprzedsiębiorstw oraz małych i średnich przedsiębiorstw (MŚP) we wdrażaniu programów inwestycyjnych mających na celu samoprodukcję energii ze źródeł odnawialnych. </w:t>
      </w:r>
    </w:p>
    <w:p w14:paraId="29225C83" w14:textId="77777777" w:rsidR="004C6421" w:rsidRDefault="009D1962">
      <w:pPr>
        <w:spacing w:after="120"/>
        <w:rPr>
          <w:noProof/>
        </w:rPr>
      </w:pPr>
      <w:r>
        <w:rPr>
          <w:noProof/>
        </w:rPr>
        <w:t xml:space="preserve">Program działa poprzez udzielanie dotacji bezpośrednio sektorowi prywatnemu. Na podstawie inwestycji w ramach RRF program ma początkowo na celu zapewnienie dotacji w wysokości co najmniej </w:t>
      </w:r>
      <w:r>
        <w:rPr>
          <w:rFonts w:ascii="Arial Narrow" w:hAnsi="Arial Narrow"/>
          <w:noProof/>
          <w:color w:val="006100"/>
          <w:sz w:val="20"/>
        </w:rPr>
        <w:t xml:space="preserve"> </w:t>
      </w:r>
      <w:r>
        <w:rPr>
          <w:noProof/>
        </w:rPr>
        <w:t>320000000 EUR.</w:t>
      </w:r>
    </w:p>
    <w:p w14:paraId="2643D440" w14:textId="77777777" w:rsidR="004C6421" w:rsidRDefault="009D1962">
      <w:pPr>
        <w:spacing w:after="120"/>
        <w:jc w:val="both"/>
        <w:rPr>
          <w:noProof/>
        </w:rPr>
      </w:pPr>
      <w:r>
        <w:rPr>
          <w:noProof/>
        </w:rPr>
        <w:t>Programem zarządza Invitalia SpA jako partner wykonawczy. Program obejmuje następujące linie produktów:</w:t>
      </w:r>
    </w:p>
    <w:p w14:paraId="133259BE" w14:textId="77777777" w:rsidR="004C6421" w:rsidRDefault="009D1962">
      <w:pPr>
        <w:pStyle w:val="ListParagraph"/>
        <w:numPr>
          <w:ilvl w:val="0"/>
          <w:numId w:val="43"/>
        </w:numPr>
        <w:spacing w:before="0"/>
        <w:contextualSpacing w:val="0"/>
        <w:rPr>
          <w:noProof/>
        </w:rPr>
      </w:pPr>
      <w:r>
        <w:rPr>
          <w:noProof/>
        </w:rPr>
        <w:t xml:space="preserve"> —bezzwrotne wkłady – średnio około 50 % łącznych inwestycji – na zakup systemów i powiązanych technologii cyfrowych, które umożliwiają bezpośrednią produkcję energii ze źródeł odnawialnych na potrzeby bezpośredniej konsumpcji własnej lub poprzez systemy akumulacji/magazynowania.</w:t>
      </w:r>
    </w:p>
    <w:p w14:paraId="0DA9943C" w14:textId="77777777" w:rsidR="004C6421" w:rsidRDefault="009D1962">
      <w:pPr>
        <w:spacing w:after="120"/>
        <w:jc w:val="both"/>
        <w:rPr>
          <w:noProof/>
        </w:rPr>
      </w:pPr>
      <w:r>
        <w:rPr>
          <w:noProof/>
        </w:rPr>
        <w:t>W celu realizacji inwestycji w program Włochy i Invitalia SpA podpisują umowę wykonawczą zawierającą następującą treść:</w:t>
      </w:r>
    </w:p>
    <w:p w14:paraId="3DA87CD7" w14:textId="77777777" w:rsidR="004C6421" w:rsidRDefault="009D1962">
      <w:pPr>
        <w:pStyle w:val="P68B1DB1-LegalNumPar19"/>
        <w:numPr>
          <w:ilvl w:val="0"/>
          <w:numId w:val="44"/>
        </w:numPr>
        <w:spacing w:after="120" w:line="240" w:lineRule="auto"/>
        <w:jc w:val="both"/>
        <w:rPr>
          <w:rFonts w:eastAsia="Times New Roman" w:cs="Times New Roman"/>
          <w:noProof/>
        </w:rPr>
      </w:pPr>
      <w:r>
        <w:rPr>
          <w:noProof/>
        </w:rPr>
        <w:t>Opis procesu decyzyjnego w ramach programu: Ostateczną decyzję inwestycyjną programu podejmuje komitet inwestycyjny lub inny odpowiedni równoważny organ zarządzający i zatwierdza większością głosów członków niezależnych od rządu.</w:t>
      </w:r>
    </w:p>
    <w:p w14:paraId="03CA230B" w14:textId="77777777" w:rsidR="004C6421" w:rsidRDefault="009D1962">
      <w:pPr>
        <w:pStyle w:val="P68B1DB1-LegalNumPar19"/>
        <w:numPr>
          <w:ilvl w:val="0"/>
          <w:numId w:val="37"/>
        </w:numPr>
        <w:spacing w:after="120" w:line="240" w:lineRule="auto"/>
        <w:jc w:val="both"/>
        <w:rPr>
          <w:rFonts w:cs="Times New Roman"/>
          <w:noProof/>
        </w:rPr>
      </w:pPr>
      <w:r>
        <w:rPr>
          <w:noProof/>
        </w:rPr>
        <w:t>Kluczowe wymogi powiązanej polityki inwestycyjnej,</w:t>
      </w:r>
      <w:r>
        <w:rPr>
          <w:b/>
          <w:noProof/>
        </w:rPr>
        <w:t xml:space="preserve"> </w:t>
      </w:r>
      <w:r>
        <w:rPr>
          <w:noProof/>
        </w:rPr>
        <w:t>które obejmują:</w:t>
      </w:r>
    </w:p>
    <w:p w14:paraId="7CAF15CA" w14:textId="77777777" w:rsidR="004C6421" w:rsidRDefault="009D1962">
      <w:pPr>
        <w:pStyle w:val="P68B1DB1-LegalNumPar220"/>
        <w:numPr>
          <w:ilvl w:val="1"/>
          <w:numId w:val="46"/>
        </w:numPr>
        <w:spacing w:after="120" w:line="240" w:lineRule="auto"/>
        <w:ind w:left="1418"/>
        <w:jc w:val="both"/>
        <w:rPr>
          <w:rFonts w:cs="Times New Roman"/>
          <w:noProof/>
        </w:rPr>
      </w:pPr>
      <w:r>
        <w:rPr>
          <w:noProof/>
        </w:rPr>
        <w:t xml:space="preserve">Opis rodzaju udzielonego wsparcia i kwalifikujących się beneficjentów końcowych. </w:t>
      </w:r>
    </w:p>
    <w:p w14:paraId="63E3DA72" w14:textId="77777777" w:rsidR="004C6421" w:rsidRDefault="009D1962">
      <w:pPr>
        <w:pStyle w:val="P68B1DB1-LegalNumPar220"/>
        <w:numPr>
          <w:ilvl w:val="1"/>
          <w:numId w:val="46"/>
        </w:numPr>
        <w:spacing w:after="120" w:line="240" w:lineRule="auto"/>
        <w:ind w:left="1418"/>
        <w:jc w:val="both"/>
        <w:rPr>
          <w:rFonts w:cs="Times New Roman"/>
          <w:noProof/>
        </w:rPr>
      </w:pPr>
      <w:r>
        <w:rPr>
          <w:noProof/>
        </w:rPr>
        <w:t>Wymóg, aby wszystkie wspierane inwestycje były ekonomicznie opłacalne</w:t>
      </w:r>
      <w:r>
        <w:rPr>
          <w:b/>
          <w:noProof/>
        </w:rPr>
        <w:t>.</w:t>
      </w:r>
    </w:p>
    <w:p w14:paraId="37402F31" w14:textId="77777777" w:rsidR="004C6421" w:rsidRDefault="009D1962">
      <w:pPr>
        <w:pStyle w:val="P68B1DB1-LegalNumPar220"/>
        <w:spacing w:after="120" w:line="240" w:lineRule="auto"/>
        <w:ind w:left="1418"/>
        <w:jc w:val="both"/>
        <w:rPr>
          <w:rFonts w:cs="Times New Roman"/>
          <w:noProof/>
        </w:rPr>
      </w:pPr>
      <w:r>
        <w:rPr>
          <w:noProof/>
        </w:rPr>
        <w:t>Wymóg zgodności z zasadą „nie czyń poważnych szkód” (DNSH) zgodnie z wytycznymi technicznymi dotyczącymi zasady DNSH (2021/C58/01). W szczególności w przypadku ogólnego wsparcia dla przedsiębiorstw polityka inwestycyjna wyklucza przedsiębiorstwa, które</w:t>
      </w:r>
      <w:r>
        <w:rPr>
          <w:noProof/>
        </w:rPr>
        <w:footnoteReference w:id="126"/>
      </w:r>
      <w:r>
        <w:rPr>
          <w:noProof/>
        </w:rPr>
        <w:t xml:space="preserve"> w znacznym stopniu koncentrują się na następujących sektorach: (i) produkcja energii z paliw kopalnych i działalność pokrewna</w:t>
      </w:r>
      <w:r>
        <w:rPr>
          <w:noProof/>
        </w:rPr>
        <w:footnoteReference w:id="127"/>
      </w:r>
      <w:r>
        <w:rPr>
          <w:noProof/>
        </w:rPr>
        <w:t>; (II) energochłonne lub wysokoemisyjne gałęzie przemysłu emitujące CO2</w:t>
      </w:r>
      <w:r>
        <w:rPr>
          <w:noProof/>
        </w:rPr>
        <w:footnoteReference w:id="128"/>
      </w:r>
      <w:r>
        <w:rPr>
          <w:noProof/>
        </w:rPr>
        <w:t>; (III) produkcja, wynajem lub sprzedaż pojazdów zanieczyszczających środowisko</w:t>
      </w:r>
      <w:r>
        <w:rPr>
          <w:noProof/>
        </w:rPr>
        <w:footnoteReference w:id="129"/>
      </w:r>
      <w:r>
        <w:rPr>
          <w:noProof/>
        </w:rPr>
        <w:t>; (IV) zbieranie, przetwarzanie i unieszkodliwianie odpadów</w:t>
      </w:r>
      <w:r>
        <w:rPr>
          <w:noProof/>
        </w:rPr>
        <w:footnoteReference w:id="130"/>
      </w:r>
      <w:r>
        <w:rPr>
          <w:noProof/>
        </w:rPr>
        <w:t>, (v) przetwarzanie paliwa jądrowego, produkcja energii jądrowej. Ponadto polityka inwestycyjna wymaga zgodności</w:t>
      </w:r>
      <w:r>
        <w:rPr>
          <w:b/>
          <w:noProof/>
        </w:rPr>
        <w:t xml:space="preserve"> </w:t>
      </w:r>
      <w:r>
        <w:rPr>
          <w:noProof/>
        </w:rPr>
        <w:t xml:space="preserve">z odpowiednimi unijnymi i krajowymi przepisami w zakresie ochrony środowiska beneficjentów końcowych programu. </w:t>
      </w:r>
    </w:p>
    <w:p w14:paraId="345F343B" w14:textId="77777777" w:rsidR="004C6421" w:rsidRDefault="009D1962">
      <w:pPr>
        <w:pStyle w:val="P68B1DB1-LegalNumPar220"/>
        <w:numPr>
          <w:ilvl w:val="1"/>
          <w:numId w:val="46"/>
        </w:numPr>
        <w:spacing w:after="120" w:line="240" w:lineRule="auto"/>
        <w:ind w:left="1418"/>
        <w:jc w:val="both"/>
        <w:rPr>
          <w:rFonts w:cs="Times New Roman"/>
          <w:noProof/>
        </w:rPr>
      </w:pPr>
      <w:r>
        <w:rPr>
          <w:noProof/>
        </w:rPr>
        <w:t>Wymóg, aby beneficjenci końcowi programu nie otrzymywali wsparcia z innych instrumentów unijnych w celu pokrycia tych samych kosztów.</w:t>
      </w:r>
    </w:p>
    <w:p w14:paraId="43639593" w14:textId="77777777" w:rsidR="004C6421" w:rsidRDefault="009D1962">
      <w:pPr>
        <w:pStyle w:val="P68B1DB1-LegalNumPar19"/>
        <w:numPr>
          <w:ilvl w:val="0"/>
          <w:numId w:val="37"/>
        </w:numPr>
        <w:spacing w:after="120" w:line="240" w:lineRule="auto"/>
        <w:jc w:val="both"/>
        <w:rPr>
          <w:rFonts w:cs="Times New Roman"/>
          <w:noProof/>
        </w:rPr>
      </w:pPr>
      <w:r>
        <w:rPr>
          <w:noProof/>
        </w:rPr>
        <w:t>Kwotę objętą umową wykonawczą, strukturę opłat dla partnera wykonawczego oraz wymóg inwestowania wszelkich niewykorzystanych wpływów z programu, w tym po 2026 r., na te same cele polityki.</w:t>
      </w:r>
    </w:p>
    <w:p w14:paraId="5E6DEF95" w14:textId="77777777" w:rsidR="004C6421" w:rsidRDefault="009D1962">
      <w:pPr>
        <w:pStyle w:val="P68B1DB1-LegalNumPar19"/>
        <w:numPr>
          <w:ilvl w:val="0"/>
          <w:numId w:val="37"/>
        </w:numPr>
        <w:spacing w:after="120" w:line="240" w:lineRule="auto"/>
        <w:jc w:val="both"/>
        <w:rPr>
          <w:rFonts w:cs="Times New Roman"/>
          <w:noProof/>
        </w:rPr>
      </w:pPr>
      <w:r>
        <w:rPr>
          <w:noProof/>
        </w:rPr>
        <w:t>Wymogi w zakresie monitorowania, audytu i kontroli, w tym:</w:t>
      </w:r>
    </w:p>
    <w:p w14:paraId="3A8D1666" w14:textId="77777777" w:rsidR="004C6421" w:rsidRDefault="009D1962">
      <w:pPr>
        <w:numPr>
          <w:ilvl w:val="0"/>
          <w:numId w:val="45"/>
        </w:numPr>
        <w:spacing w:after="120"/>
        <w:jc w:val="both"/>
        <w:rPr>
          <w:noProof/>
        </w:rPr>
      </w:pPr>
      <w:r>
        <w:rPr>
          <w:noProof/>
        </w:rPr>
        <w:t>Opis stosowanego przez partnera wykonawczego systemu monitorowania służącego do sprawozdawczości na temat uruchomionych inwestycji.</w:t>
      </w:r>
    </w:p>
    <w:p w14:paraId="51A116C7" w14:textId="77777777" w:rsidR="004C6421" w:rsidRDefault="009D1962">
      <w:pPr>
        <w:numPr>
          <w:ilvl w:val="0"/>
          <w:numId w:val="45"/>
        </w:numPr>
        <w:spacing w:after="120"/>
        <w:jc w:val="both"/>
        <w:rPr>
          <w:noProof/>
        </w:rPr>
      </w:pPr>
      <w:r>
        <w:rPr>
          <w:noProof/>
        </w:rPr>
        <w:t xml:space="preserve">Opis procedur partnera wykonawczego, które zapewniają zapobieganie nadużyciom finansowym, korupcji i konfliktom interesów oraz ich wykrywanie i korygowanie. </w:t>
      </w:r>
    </w:p>
    <w:p w14:paraId="2BF3B453" w14:textId="77777777" w:rsidR="004C6421" w:rsidRDefault="009D1962">
      <w:pPr>
        <w:numPr>
          <w:ilvl w:val="0"/>
          <w:numId w:val="45"/>
        </w:numPr>
        <w:spacing w:after="120"/>
        <w:jc w:val="both"/>
        <w:rPr>
          <w:noProof/>
        </w:rPr>
      </w:pPr>
      <w:r>
        <w:rPr>
          <w:noProof/>
        </w:rPr>
        <w:t>Obowiązek weryfikacji kwalifikowalności każdej operacji zgodnie z wymogami określonymi w umowie wykonawczej przed zobowiązaniem się do finansowania danej operacji.</w:t>
      </w:r>
    </w:p>
    <w:p w14:paraId="3F599A6F" w14:textId="77777777" w:rsidR="004C6421" w:rsidRDefault="009D1962">
      <w:pPr>
        <w:numPr>
          <w:ilvl w:val="0"/>
          <w:numId w:val="45"/>
        </w:numPr>
        <w:spacing w:after="120"/>
        <w:jc w:val="both"/>
        <w:rPr>
          <w:noProof/>
        </w:rPr>
      </w:pPr>
      <w:r>
        <w:rPr>
          <w:noProof/>
        </w:rPr>
        <w:t xml:space="preserve">Obowiązek przeprowadzania audytów ex post opartych na analizie ryzyka zgodnie z planem audytu Invitalia SpA. Audyty te mają na celu sprawdzenie (i) skuteczności systemów kontroli, w tym wykrywania nadużyć finansowych, korupcji i konfliktu interesów; zgodność z zasadą „nie czyń poważnych szkód”, zasadami pomocy państwa, wymogami dotyczącymi celów klimatycznych; oraz (iii) wymóg, zgodnie z którym beneficjenci końcowi programu nie otrzymali wsparcia z innych instrumentów unijnych w celu pokrycia tych samych kosztów, jest spełniony. W ramach audytów sprawdza się również legalność transakcji oraz przestrzeganie warunków obowiązującej umowy wykonawczej. </w:t>
      </w:r>
    </w:p>
    <w:p w14:paraId="6B867CB2" w14:textId="7B348BE6" w:rsidR="004C6421" w:rsidRDefault="009D1962">
      <w:pPr>
        <w:numPr>
          <w:ilvl w:val="0"/>
          <w:numId w:val="37"/>
        </w:numPr>
        <w:spacing w:after="120"/>
        <w:ind w:left="720" w:hanging="360"/>
        <w:jc w:val="both"/>
        <w:rPr>
          <w:noProof/>
        </w:rPr>
      </w:pPr>
      <w:r>
        <w:rPr>
          <w:noProof/>
        </w:rPr>
        <w:t>Wymogi dotyczące inwestycji w dziedzinie klimatu realizowanych przez partnera wykonawczego: 320 000 000 EUR</w:t>
      </w:r>
      <w:r>
        <w:rPr>
          <w:noProof/>
          <w:sz w:val="23"/>
        </w:rPr>
        <w:t xml:space="preserve"> </w:t>
      </w:r>
      <w:r>
        <w:rPr>
          <w:noProof/>
        </w:rPr>
        <w:t>z</w:t>
      </w:r>
      <w:r>
        <w:rPr>
          <w:noProof/>
          <w:sz w:val="23"/>
        </w:rPr>
        <w:t xml:space="preserve"> </w:t>
      </w:r>
      <w:r>
        <w:rPr>
          <w:noProof/>
        </w:rPr>
        <w:t>inwestycji RRF w Instrument przyczynia się do realizacji celów związanych ze zmianą klimatu zgodnie z załącznikiem VI do rozporządzenia w sprawie RRF</w:t>
      </w:r>
      <w:r>
        <w:rPr>
          <w:rStyle w:val="FootnoteReference"/>
          <w:noProof/>
        </w:rPr>
        <w:footnoteReference w:id="131"/>
      </w:r>
      <w:r>
        <w:rPr>
          <w:noProof/>
        </w:rPr>
        <w:t>.</w:t>
      </w:r>
    </w:p>
    <w:p w14:paraId="216AB9D8" w14:textId="77777777" w:rsidR="004C6421" w:rsidRDefault="009D1962">
      <w:pPr>
        <w:spacing w:after="120"/>
        <w:jc w:val="both"/>
        <w:rPr>
          <w:noProof/>
        </w:rPr>
      </w:pPr>
      <w:r>
        <w:rPr>
          <w:noProof/>
        </w:rPr>
        <w:t>Wdrożenie środka należy zakończyć do dnia 31 sierpnia 2026 r.</w:t>
      </w:r>
    </w:p>
    <w:p w14:paraId="16684CA4" w14:textId="77777777" w:rsidR="004C6421" w:rsidRDefault="009D1962">
      <w:pPr>
        <w:pStyle w:val="P68B1DB1-Heading429"/>
        <w:numPr>
          <w:ilvl w:val="3"/>
          <w:numId w:val="0"/>
        </w:numPr>
        <w:spacing w:before="0"/>
        <w:rPr>
          <w:noProof/>
        </w:rPr>
      </w:pPr>
      <w:r>
        <w:rPr>
          <w:noProof/>
        </w:rPr>
        <w:t>Inwestycja 17. Instrument finansowy na rzecz termomodernizacji mieszkań publicznych i socjalnych oraz gospodarstw domowych o niskich dochodach i znajdujących się w trudnej sytuacji</w:t>
      </w:r>
    </w:p>
    <w:p w14:paraId="3A50F9C2" w14:textId="77777777" w:rsidR="004C6421" w:rsidRDefault="009D1962">
      <w:pPr>
        <w:spacing w:after="120"/>
        <w:jc w:val="both"/>
        <w:rPr>
          <w:rFonts w:eastAsia="@MS Mincho"/>
          <w:noProof/>
        </w:rPr>
      </w:pPr>
      <w:r>
        <w:rPr>
          <w:noProof/>
        </w:rPr>
        <w:t xml:space="preserve">Celem działania jest wspieranie renowacji gospodarstw domowych o niskich dochodach i znajdujących się w trudnej sytuacji oraz łagodzenie ubóstwa energetycznego. Środek ten składa się z inwestycji publicznej w instrument „Instrument finansowy na rzecz zmniejszenia ubóstwa energetycznego”, aby zachęcić do inwestycji prywatnych i poprawić dostęp do finansowania renowacji energetycznych w budownictwie socjalnym i publicznym, co zapewni poprawę efektywności energetycznej na poziomie co najmniej 30 %. </w:t>
      </w:r>
    </w:p>
    <w:p w14:paraId="4F8A5A92" w14:textId="77777777" w:rsidR="004C6421" w:rsidRDefault="009D1962">
      <w:pPr>
        <w:keepNext/>
        <w:spacing w:after="120"/>
        <w:jc w:val="both"/>
        <w:rPr>
          <w:noProof/>
        </w:rPr>
      </w:pPr>
      <w:r>
        <w:rPr>
          <w:noProof/>
        </w:rPr>
        <w:t>Instrumentem zarządza partner wykonawczy. Może to być Cassa Depositi e Prestiti lub Europejski Bank Inwestycyjny. Cassa Depositi e Prestiti i Europejski Bank Inwestycyjny mogą również współpracować z partnerami wykonawczymi. Partner wykonawczy jest doprecyzowany w dalszych specyfikacjach ustaleń operacyjnych. Instrument działa poprzez udzielanie dotacji lub subsydiowanych pożyczek przedsiębiorstwom usług energetycznych na renowację budynków mieszkalnych pod kątem efektywności energetycznej.</w:t>
      </w:r>
    </w:p>
    <w:p w14:paraId="09C17DBE" w14:textId="6E56C703" w:rsidR="004C6421" w:rsidRDefault="009D1962">
      <w:pPr>
        <w:keepNext/>
        <w:spacing w:after="120"/>
        <w:jc w:val="both"/>
        <w:rPr>
          <w:noProof/>
        </w:rPr>
      </w:pPr>
      <w:r>
        <w:rPr>
          <w:noProof/>
        </w:rPr>
        <w:t>Na podstawie inwestycji w ramach RRF instrument ma początkowo zapewnić wsparcie finansowe w</w:t>
      </w:r>
      <w:r>
        <w:rPr>
          <w:noProof/>
          <w:sz w:val="23"/>
        </w:rPr>
        <w:t xml:space="preserve"> </w:t>
      </w:r>
      <w:r>
        <w:rPr>
          <w:noProof/>
        </w:rPr>
        <w:t>wysokości</w:t>
      </w:r>
      <w:r>
        <w:rPr>
          <w:noProof/>
          <w:sz w:val="23"/>
        </w:rPr>
        <w:t xml:space="preserve"> </w:t>
      </w:r>
      <w:r>
        <w:rPr>
          <w:noProof/>
        </w:rPr>
        <w:t>co</w:t>
      </w:r>
      <w:r>
        <w:rPr>
          <w:noProof/>
          <w:sz w:val="23"/>
        </w:rPr>
        <w:t xml:space="preserve"> </w:t>
      </w:r>
      <w:r>
        <w:rPr>
          <w:noProof/>
        </w:rPr>
        <w:t>najmniej 1 381 000 000 EUR.</w:t>
      </w:r>
    </w:p>
    <w:p w14:paraId="5F01884F" w14:textId="77777777" w:rsidR="004C6421" w:rsidRDefault="009D1962">
      <w:pPr>
        <w:spacing w:after="120"/>
        <w:jc w:val="both"/>
        <w:rPr>
          <w:noProof/>
        </w:rPr>
      </w:pPr>
      <w:r>
        <w:rPr>
          <w:noProof/>
        </w:rPr>
        <w:t>Instrument obejmuje następujące linie produktów:</w:t>
      </w:r>
    </w:p>
    <w:p w14:paraId="58D737EF" w14:textId="77777777" w:rsidR="004C6421" w:rsidRDefault="009D1962">
      <w:pPr>
        <w:pStyle w:val="P68B1DB1-Normal31"/>
        <w:numPr>
          <w:ilvl w:val="0"/>
          <w:numId w:val="30"/>
        </w:numPr>
        <w:shd w:val="clear" w:color="auto" w:fill="FFFFFF"/>
        <w:spacing w:after="120"/>
        <w:jc w:val="both"/>
        <w:rPr>
          <w:noProof/>
        </w:rPr>
      </w:pPr>
      <w:r>
        <w:rPr>
          <w:noProof/>
        </w:rPr>
        <w:t>Mieszkalnictwo publiczne:</w:t>
      </w:r>
    </w:p>
    <w:p w14:paraId="5389A19E" w14:textId="77777777" w:rsidR="004C6421" w:rsidRDefault="009D1962">
      <w:pPr>
        <w:shd w:val="clear" w:color="auto" w:fill="FFFFFF"/>
        <w:spacing w:after="120"/>
        <w:jc w:val="both"/>
        <w:rPr>
          <w:noProof/>
        </w:rPr>
      </w:pPr>
      <w:r>
        <w:rPr>
          <w:noProof/>
        </w:rPr>
        <w:t>Ta linia produktowa zapewnia wsparcie finansowe w formie dotacji, dotacji na spłatę odsetek, pożyczek subsydiowanych, pożyczek rynkowych dla przedsiębiorstw usług energetycznych (ESCO) na renowację energetyczną mieszkań publicznych.</w:t>
      </w:r>
    </w:p>
    <w:p w14:paraId="620A0369" w14:textId="77777777" w:rsidR="004C6421" w:rsidRDefault="009D1962">
      <w:pPr>
        <w:pStyle w:val="P68B1DB1-ListParagraph32"/>
        <w:numPr>
          <w:ilvl w:val="0"/>
          <w:numId w:val="32"/>
        </w:numPr>
        <w:shd w:val="clear" w:color="auto" w:fill="FFFFFF"/>
        <w:spacing w:before="0"/>
        <w:contextualSpacing w:val="0"/>
        <w:rPr>
          <w:noProof/>
        </w:rPr>
      </w:pPr>
      <w:r>
        <w:rPr>
          <w:noProof/>
        </w:rPr>
        <w:t>Mieszkalnictwo socjalne:</w:t>
      </w:r>
    </w:p>
    <w:p w14:paraId="3531CB41" w14:textId="77777777" w:rsidR="004C6421" w:rsidRDefault="009D1962">
      <w:pPr>
        <w:shd w:val="clear" w:color="auto" w:fill="FFFFFF" w:themeFill="background1"/>
        <w:spacing w:after="120"/>
        <w:jc w:val="both"/>
        <w:rPr>
          <w:b/>
          <w:noProof/>
          <w:color w:val="000000" w:themeColor="text1"/>
        </w:rPr>
      </w:pPr>
      <w:r>
        <w:rPr>
          <w:noProof/>
        </w:rPr>
        <w:t>Ta linia produktowa zapewnia wsparcie finansowe w formie dotacji, dotacji na spłatę odsetek, pożyczek subsydiowanych, pożyczek rynkowych dla przedsiębiorstw usług energetycznych (ESCO) na renowację energetyczną mieszkań socjalnych.</w:t>
      </w:r>
    </w:p>
    <w:p w14:paraId="524F5CF8" w14:textId="77777777" w:rsidR="004C6421" w:rsidRDefault="009D1962">
      <w:pPr>
        <w:pStyle w:val="P68B1DB1-ListParagraph32"/>
        <w:numPr>
          <w:ilvl w:val="0"/>
          <w:numId w:val="38"/>
        </w:numPr>
        <w:shd w:val="clear" w:color="auto" w:fill="FFFFFF" w:themeFill="background1"/>
        <w:spacing w:before="0"/>
        <w:contextualSpacing w:val="0"/>
        <w:rPr>
          <w:noProof/>
        </w:rPr>
      </w:pPr>
      <w:r>
        <w:rPr>
          <w:noProof/>
        </w:rPr>
        <w:t>Renowacje energetyczne w gospodarstwach domowych o niskich dochodach w budynkach wielomieszkaniowych:</w:t>
      </w:r>
    </w:p>
    <w:p w14:paraId="49AE8690" w14:textId="77777777" w:rsidR="004C6421" w:rsidRDefault="009D1962">
      <w:pPr>
        <w:shd w:val="clear" w:color="auto" w:fill="FFFFFF" w:themeFill="background1"/>
        <w:spacing w:after="120"/>
        <w:jc w:val="both"/>
        <w:rPr>
          <w:noProof/>
        </w:rPr>
      </w:pPr>
      <w:r>
        <w:rPr>
          <w:noProof/>
        </w:rPr>
        <w:t>Ta linia produktowa zapewnia wsparcie finansowe w formie dotacji, dotacji na spłatę odsetek, pożyczek subsydiowanych, pożyczek rynkowych dla przedsiębiorstw usług energetycznych (ESCO) na renowacje energetyczne w gospodarstwach domowych o niskich dochodach i znajdujących się w trudnej sytuacji w budynkach wielomieszkaniowych.</w:t>
      </w:r>
    </w:p>
    <w:p w14:paraId="476D0E71" w14:textId="77777777" w:rsidR="004C6421" w:rsidRDefault="009D1962">
      <w:pPr>
        <w:shd w:val="clear" w:color="auto" w:fill="FFFFFF" w:themeFill="background1"/>
        <w:spacing w:after="120"/>
        <w:jc w:val="both"/>
        <w:rPr>
          <w:noProof/>
        </w:rPr>
      </w:pPr>
      <w:r>
        <w:rPr>
          <w:noProof/>
        </w:rPr>
        <w:t>Dwie trzecie obiektu przeznacza się na renowacje energetyczne mieszkań publicznych i socjalnych; jedną trzecią przeznacza się na renowacje energetyczne w gospodarstwach domowych o niskich dochodach w budynkach wielomieszkaniowych.</w:t>
      </w:r>
    </w:p>
    <w:p w14:paraId="3DCFCD82" w14:textId="77777777" w:rsidR="004C6421" w:rsidRDefault="009D1962">
      <w:pPr>
        <w:spacing w:after="120"/>
        <w:jc w:val="both"/>
        <w:rPr>
          <w:noProof/>
        </w:rPr>
      </w:pPr>
      <w:r>
        <w:rPr>
          <w:noProof/>
        </w:rPr>
        <w:t>W celu realizacji inwestycji w instrument Włochy i partner wykonawczy podpisują umowę wykonawczą, która zawiera następującą treść:</w:t>
      </w:r>
    </w:p>
    <w:p w14:paraId="680BC080" w14:textId="77777777" w:rsidR="004C6421" w:rsidRDefault="009D1962">
      <w:pPr>
        <w:pStyle w:val="ListParagraph"/>
        <w:numPr>
          <w:ilvl w:val="0"/>
          <w:numId w:val="39"/>
        </w:numPr>
        <w:spacing w:before="0"/>
        <w:ind w:left="709" w:hanging="425"/>
        <w:contextualSpacing w:val="0"/>
        <w:rPr>
          <w:noProof/>
        </w:rPr>
      </w:pPr>
      <w:r>
        <w:rPr>
          <w:noProof/>
        </w:rPr>
        <w:t>Opis procesu decyzyjnego w ramach Instrumentu: Ostateczną decyzję inwestycyjną instrumentu podejmuje komitet inwestycyjny lub inny odpowiedni równoważny organ zarządzający i zatwierdza większością głosów członków niezależnych od rządu.</w:t>
      </w:r>
    </w:p>
    <w:p w14:paraId="25E4EB42" w14:textId="77777777" w:rsidR="004C6421" w:rsidRDefault="009D1962">
      <w:pPr>
        <w:pStyle w:val="ListParagraph"/>
        <w:numPr>
          <w:ilvl w:val="0"/>
          <w:numId w:val="39"/>
        </w:numPr>
        <w:spacing w:before="0"/>
        <w:ind w:left="709" w:hanging="425"/>
        <w:contextualSpacing w:val="0"/>
        <w:rPr>
          <w:noProof/>
        </w:rPr>
      </w:pPr>
      <w:r>
        <w:rPr>
          <w:noProof/>
        </w:rPr>
        <w:t>Kluczowe wymogi powiązanej polityki inwestycyjnej,</w:t>
      </w:r>
      <w:r>
        <w:rPr>
          <w:b/>
          <w:noProof/>
        </w:rPr>
        <w:t xml:space="preserve"> </w:t>
      </w:r>
      <w:r>
        <w:rPr>
          <w:noProof/>
        </w:rPr>
        <w:t>które obejmują:</w:t>
      </w:r>
    </w:p>
    <w:p w14:paraId="5A220703" w14:textId="77777777" w:rsidR="004C6421" w:rsidRDefault="009D1962">
      <w:pPr>
        <w:pStyle w:val="ListParagraph"/>
        <w:numPr>
          <w:ilvl w:val="1"/>
          <w:numId w:val="39"/>
        </w:numPr>
        <w:spacing w:before="0"/>
        <w:ind w:left="1418"/>
        <w:contextualSpacing w:val="0"/>
        <w:rPr>
          <w:noProof/>
        </w:rPr>
      </w:pPr>
      <w:r>
        <w:rPr>
          <w:noProof/>
        </w:rPr>
        <w:t>Opis produktów finansowych i kwalifikujących się beneficjentów końcowych</w:t>
      </w:r>
      <w:r>
        <w:rPr>
          <w:rStyle w:val="FootnoteReference"/>
          <w:noProof/>
        </w:rPr>
        <w:footnoteReference w:id="132"/>
      </w:r>
      <w:r>
        <w:rPr>
          <w:noProof/>
        </w:rPr>
        <w:t>.</w:t>
      </w:r>
    </w:p>
    <w:p w14:paraId="6673D53B" w14:textId="77777777" w:rsidR="004C6421" w:rsidRDefault="009D1962">
      <w:pPr>
        <w:pStyle w:val="ListParagraph"/>
        <w:numPr>
          <w:ilvl w:val="1"/>
          <w:numId w:val="39"/>
        </w:numPr>
        <w:spacing w:before="0"/>
        <w:ind w:left="1418"/>
        <w:contextualSpacing w:val="0"/>
        <w:rPr>
          <w:noProof/>
        </w:rPr>
      </w:pPr>
      <w:r>
        <w:rPr>
          <w:noProof/>
        </w:rPr>
        <w:t>Wymóg, aby wszystkie wspierane inwestycje były ekonomicznie opłacalne</w:t>
      </w:r>
      <w:r>
        <w:rPr>
          <w:b/>
          <w:noProof/>
        </w:rPr>
        <w:t>.</w:t>
      </w:r>
    </w:p>
    <w:p w14:paraId="04C81BCB" w14:textId="77777777" w:rsidR="004C6421" w:rsidRDefault="009D1962">
      <w:pPr>
        <w:pStyle w:val="ListParagraph"/>
        <w:numPr>
          <w:ilvl w:val="1"/>
          <w:numId w:val="39"/>
        </w:numPr>
        <w:spacing w:before="0"/>
        <w:ind w:left="1418"/>
        <w:contextualSpacing w:val="0"/>
        <w:rPr>
          <w:noProof/>
        </w:rPr>
      </w:pPr>
      <w:r>
        <w:rPr>
          <w:noProof/>
        </w:rPr>
        <w:t>Wymóg zgodności z zasadą „nie czyń poważnych szkód” (DNSH) zgodnie z wytycznymi technicznymi dotyczącymi zasady DNSH (2021/C58/01). W szczególności polityka inwestycyjna wyłącza z kwalifikowalności następujący wykaz działań i aktywów: (i) działania i aktywa związane z paliwami kopalnymi, w tym wykorzystanie niższego szczebla;</w:t>
      </w:r>
      <w:r>
        <w:rPr>
          <w:rStyle w:val="FootnoteReference"/>
          <w:noProof/>
        </w:rPr>
        <w:footnoteReference w:id="133"/>
      </w:r>
      <w:r>
        <w:rPr>
          <w:noProof/>
        </w:rPr>
        <w:t>(ii) działania i aktywa w ramach unijnego systemu handlu uprawnieniami do emisji (ETS) prowadzące do osiągnięcia prognozowanych emisji gazów cieplarnianych, które nie są niższe niż odpowiednie wskaźniki referencyjne;</w:t>
      </w:r>
      <w:r>
        <w:rPr>
          <w:noProof/>
        </w:rPr>
        <w:footnoteReference w:id="134"/>
      </w:r>
      <w:r>
        <w:rPr>
          <w:noProof/>
        </w:rPr>
        <w:t>(iii) działania i aktywa związane ze składowiskami odpadów, spalarniami</w:t>
      </w:r>
      <w:r>
        <w:rPr>
          <w:rStyle w:val="FootnoteReference"/>
          <w:noProof/>
        </w:rPr>
        <w:footnoteReference w:id="135"/>
      </w:r>
      <w:r>
        <w:rPr>
          <w:noProof/>
        </w:rPr>
        <w:t xml:space="preserve"> i zakładami mechaniczno-biologicznego przetwarzania odpadów</w:t>
      </w:r>
      <w:r>
        <w:rPr>
          <w:rStyle w:val="FootnoteReference"/>
          <w:noProof/>
        </w:rPr>
        <w:footnoteReference w:id="136"/>
      </w:r>
      <w:r>
        <w:rPr>
          <w:noProof/>
        </w:rPr>
        <w:t xml:space="preserve">. </w:t>
      </w:r>
    </w:p>
    <w:p w14:paraId="0BDEE8AE" w14:textId="77777777" w:rsidR="004C6421" w:rsidRDefault="009D1962">
      <w:pPr>
        <w:pStyle w:val="ListParagraph"/>
        <w:numPr>
          <w:ilvl w:val="1"/>
          <w:numId w:val="39"/>
        </w:numPr>
        <w:spacing w:before="0"/>
        <w:ind w:left="1418"/>
        <w:contextualSpacing w:val="0"/>
        <w:rPr>
          <w:noProof/>
        </w:rPr>
      </w:pPr>
      <w:r>
        <w:rPr>
          <w:noProof/>
        </w:rPr>
        <w:t>Wymóg, zgodnie z którym beneficjenci końcowi Instrumentu nie mogą otrzymywać wsparcia z innych instrumentów unijnych w celu pokrycia tych samych kosztów.</w:t>
      </w:r>
    </w:p>
    <w:p w14:paraId="01911BF4" w14:textId="77777777" w:rsidR="004C6421" w:rsidRDefault="009D1962">
      <w:pPr>
        <w:pStyle w:val="ListParagraph"/>
        <w:numPr>
          <w:ilvl w:val="0"/>
          <w:numId w:val="39"/>
        </w:numPr>
        <w:spacing w:before="0"/>
        <w:ind w:left="709"/>
        <w:contextualSpacing w:val="0"/>
        <w:rPr>
          <w:noProof/>
        </w:rPr>
      </w:pPr>
      <w:r>
        <w:rPr>
          <w:noProof/>
        </w:rPr>
        <w:t>Kwota objęta umową wykonawczą, struktura opłat dla partnera wykonawczego oraz wymóg reinwestowania wszelkich środków powracających zgodnie z polityką inwestycyjną Instrumentu, chyba że są one wykorzystywane do obsługi spłaty pożyczek w ramach Instrumentu na rzecz Odbudowy i Zwiększania Odporności.</w:t>
      </w:r>
    </w:p>
    <w:p w14:paraId="36EA10B8" w14:textId="77777777" w:rsidR="004C6421" w:rsidRDefault="009D1962">
      <w:pPr>
        <w:pStyle w:val="ListParagraph"/>
        <w:numPr>
          <w:ilvl w:val="0"/>
          <w:numId w:val="39"/>
        </w:numPr>
        <w:spacing w:before="0"/>
        <w:ind w:left="709"/>
        <w:contextualSpacing w:val="0"/>
        <w:rPr>
          <w:noProof/>
        </w:rPr>
      </w:pPr>
      <w:r>
        <w:rPr>
          <w:noProof/>
        </w:rPr>
        <w:t>Wymogi w zakresie monitorowania, audytu i kontroli, w tym:</w:t>
      </w:r>
    </w:p>
    <w:p w14:paraId="4C903BB6" w14:textId="77777777" w:rsidR="004C6421" w:rsidRDefault="009D1962">
      <w:pPr>
        <w:pStyle w:val="ListParagraph"/>
        <w:numPr>
          <w:ilvl w:val="1"/>
          <w:numId w:val="39"/>
        </w:numPr>
        <w:spacing w:before="0"/>
        <w:contextualSpacing w:val="0"/>
        <w:rPr>
          <w:noProof/>
        </w:rPr>
      </w:pPr>
      <w:r>
        <w:rPr>
          <w:noProof/>
        </w:rPr>
        <w:t>Opis stosowanego przez partnera wykonawczego systemu monitorowania służącego do sprawozdawczości na temat uruchomionych inwestycji.</w:t>
      </w:r>
    </w:p>
    <w:p w14:paraId="544F8464" w14:textId="77777777" w:rsidR="004C6421" w:rsidRDefault="009D1962">
      <w:pPr>
        <w:pStyle w:val="ListParagraph"/>
        <w:numPr>
          <w:ilvl w:val="1"/>
          <w:numId w:val="39"/>
        </w:numPr>
        <w:spacing w:before="0"/>
        <w:contextualSpacing w:val="0"/>
        <w:rPr>
          <w:noProof/>
        </w:rPr>
      </w:pPr>
      <w:r>
        <w:rPr>
          <w:noProof/>
        </w:rPr>
        <w:t xml:space="preserve">Opis procedur partnera wykonawczego, które zapewniają zapobieganie nadużyciom finansowym, korupcji i konfliktom interesów oraz ich wykrywanie i korygowanie. </w:t>
      </w:r>
    </w:p>
    <w:p w14:paraId="0996D0EA" w14:textId="77777777" w:rsidR="004C6421" w:rsidRDefault="009D1962">
      <w:pPr>
        <w:pStyle w:val="ListParagraph"/>
        <w:numPr>
          <w:ilvl w:val="1"/>
          <w:numId w:val="39"/>
        </w:numPr>
        <w:spacing w:before="0"/>
        <w:contextualSpacing w:val="0"/>
        <w:rPr>
          <w:noProof/>
        </w:rPr>
      </w:pPr>
      <w:r>
        <w:rPr>
          <w:noProof/>
        </w:rPr>
        <w:t>Obowiązek weryfikacji kwalifikowalności każdej operacji zgodnie z wymogami określonymi w umowie wykonawczej przed zobowiązaniem się do finansowania danej operacji.</w:t>
      </w:r>
    </w:p>
    <w:p w14:paraId="79D959A7" w14:textId="77777777" w:rsidR="004C6421" w:rsidRDefault="009D1962">
      <w:pPr>
        <w:pStyle w:val="ListParagraph"/>
        <w:numPr>
          <w:ilvl w:val="1"/>
          <w:numId w:val="39"/>
        </w:numPr>
        <w:spacing w:before="0"/>
        <w:rPr>
          <w:noProof/>
        </w:rPr>
      </w:pPr>
      <w:r>
        <w:rPr>
          <w:noProof/>
        </w:rPr>
        <w:t xml:space="preserve">Obowiązek przeprowadzania opartych na analizie ryzyka audytów ex post zgodnie z planem audytu Cassa Depositi e Prestiti lub Europejskiego Banku Inwestycyjnego. Audyty te mają na celu sprawdzenie (i) skuteczności systemów kontroli, w tym wykrywania nadużyć finansowych, korupcji i konfliktu interesów; zgodność z zasadą „nie czyń poważnych szkód”, zasadami pomocy państwa, wymogami dotyczącymi celów klimatycznych; oraz (iii) wymóg, zgodnie z którym beneficjenci końcowi Instrumentu nie otrzymali wsparcia z innych instrumentów unijnych w celu pokrycia tych samych kosztów, jest spełniony. W ramach audytów sprawdza się również legalność transakcji oraz przestrzeganie warunków obowiązującej umowy wykonawczej. </w:t>
      </w:r>
    </w:p>
    <w:p w14:paraId="225141CC" w14:textId="77777777" w:rsidR="004C6421" w:rsidRDefault="009D1962">
      <w:pPr>
        <w:spacing w:after="120"/>
        <w:jc w:val="both"/>
        <w:rPr>
          <w:noProof/>
        </w:rPr>
        <w:sectPr w:rsidR="004C6421" w:rsidSect="00797973">
          <w:headerReference w:type="even" r:id="rId423"/>
          <w:headerReference w:type="default" r:id="rId424"/>
          <w:footerReference w:type="even" r:id="rId425"/>
          <w:footerReference w:type="default" r:id="rId426"/>
          <w:headerReference w:type="first" r:id="rId427"/>
          <w:footerReference w:type="first" r:id="rId428"/>
          <w:pgSz w:w="11906" w:h="16838" w:code="12"/>
          <w:pgMar w:top="1440" w:right="1440" w:bottom="1440" w:left="1440" w:header="567" w:footer="567" w:gutter="0"/>
          <w:cols w:space="720"/>
          <w:docGrid w:linePitch="360"/>
        </w:sectPr>
      </w:pPr>
      <w:r>
        <w:rPr>
          <w:noProof/>
        </w:rPr>
        <w:t>Wymogi dotyczące inwestycji w dziedzinie klimatu realizowanych przez partnera wykonawczego: 1 381 000 000 EUR z inwestycji RRF w Instrument przyczynia się do realizacji celów związanych ze zmianą klimatu zgodnie z załącznikiem VI do rozporządzenia w sprawie RRF.</w:t>
      </w:r>
      <w:r>
        <w:rPr>
          <w:rStyle w:val="FootnoteReference"/>
          <w:noProof/>
        </w:rPr>
        <w:footnoteReference w:id="137"/>
      </w:r>
    </w:p>
    <w:p w14:paraId="2255F8C4" w14:textId="77777777" w:rsidR="004C6421" w:rsidRDefault="009D1962">
      <w:pPr>
        <w:spacing w:after="160" w:line="259" w:lineRule="auto"/>
        <w:rPr>
          <w:rStyle w:val="eop"/>
          <w:noProof/>
          <w:u w:val="single"/>
        </w:rPr>
      </w:pPr>
      <w:r>
        <w:rPr>
          <w:rStyle w:val="normaltextrun"/>
          <w:b/>
          <w:noProof/>
          <w:u w:val="single"/>
        </w:rPr>
        <w:t xml:space="preserve">Q.4. </w:t>
      </w:r>
      <w:r>
        <w:rPr>
          <w:noProof/>
        </w:rPr>
        <w:t xml:space="preserve"> </w:t>
      </w:r>
      <w:r>
        <w:rPr>
          <w:rStyle w:val="normaltextrun"/>
          <w:b/>
          <w:noProof/>
          <w:u w:val="single"/>
        </w:rPr>
        <w:t xml:space="preserve">Cele pośrednie, wartości docelowe, wskaźniki i harmonogram monitorowania i realizacji pożyczki </w:t>
      </w:r>
      <w:r>
        <w:rPr>
          <w:rStyle w:val="eop"/>
          <w:noProof/>
          <w:u w:val="single"/>
        </w:rPr>
        <w:t xml:space="preserve"> </w:t>
      </w:r>
    </w:p>
    <w:tbl>
      <w:tblPr>
        <w:tblW w:w="5507" w:type="pct"/>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187"/>
        <w:gridCol w:w="1559"/>
        <w:gridCol w:w="1134"/>
        <w:gridCol w:w="1417"/>
        <w:gridCol w:w="1701"/>
        <w:gridCol w:w="1276"/>
        <w:gridCol w:w="992"/>
        <w:gridCol w:w="1276"/>
        <w:gridCol w:w="851"/>
        <w:gridCol w:w="708"/>
        <w:gridCol w:w="3261"/>
      </w:tblGrid>
      <w:tr w:rsidR="004C6421" w14:paraId="0E60862E" w14:textId="77777777">
        <w:trPr>
          <w:trHeight w:val="765"/>
          <w:tblHeader/>
        </w:trPr>
        <w:tc>
          <w:tcPr>
            <w:tcW w:w="1187" w:type="dxa"/>
            <w:vMerge w:val="restart"/>
            <w:shd w:val="clear" w:color="auto" w:fill="BDD7EE"/>
            <w:vAlign w:val="center"/>
            <w:hideMark/>
          </w:tcPr>
          <w:p w14:paraId="57353FE2" w14:textId="77777777" w:rsidR="004C6421" w:rsidRDefault="009D1962">
            <w:pPr>
              <w:pStyle w:val="P68B1DB1-Normal3"/>
              <w:spacing w:after="120"/>
              <w:jc w:val="center"/>
              <w:rPr>
                <w:noProof/>
              </w:rPr>
            </w:pPr>
            <w:r>
              <w:rPr>
                <w:noProof/>
              </w:rPr>
              <w:t>Numer porządkowy</w:t>
            </w:r>
          </w:p>
        </w:tc>
        <w:tc>
          <w:tcPr>
            <w:tcW w:w="1559" w:type="dxa"/>
            <w:vMerge w:val="restart"/>
            <w:shd w:val="clear" w:color="auto" w:fill="BDD7EE"/>
            <w:vAlign w:val="center"/>
            <w:hideMark/>
          </w:tcPr>
          <w:p w14:paraId="30E0A249" w14:textId="77777777" w:rsidR="004C6421" w:rsidRDefault="009D1962">
            <w:pPr>
              <w:pStyle w:val="P68B1DB1-Normal3"/>
              <w:spacing w:after="120"/>
              <w:jc w:val="center"/>
              <w:rPr>
                <w:noProof/>
              </w:rPr>
            </w:pPr>
            <w:r>
              <w:rPr>
                <w:noProof/>
              </w:rPr>
              <w:t>Powiązane działanie (reforma lub inwestycja)</w:t>
            </w:r>
          </w:p>
        </w:tc>
        <w:tc>
          <w:tcPr>
            <w:tcW w:w="1134" w:type="dxa"/>
            <w:vMerge w:val="restart"/>
            <w:shd w:val="clear" w:color="auto" w:fill="BDD7EE"/>
            <w:vAlign w:val="center"/>
            <w:hideMark/>
          </w:tcPr>
          <w:p w14:paraId="34BE948D" w14:textId="39ECE22E" w:rsidR="004C6421" w:rsidRDefault="00CC179E">
            <w:pPr>
              <w:pStyle w:val="P68B1DB1-Normal3"/>
              <w:spacing w:after="120"/>
              <w:jc w:val="center"/>
              <w:rPr>
                <w:noProof/>
              </w:rPr>
            </w:pPr>
            <w:r>
              <w:rPr>
                <w:noProof/>
              </w:rPr>
              <w:t>Milowy</w:t>
            </w:r>
          </w:p>
          <w:p w14:paraId="0E55AA63" w14:textId="77777777" w:rsidR="004C6421" w:rsidRDefault="009D1962">
            <w:pPr>
              <w:pStyle w:val="P68B1DB1-Normal3"/>
              <w:spacing w:after="120"/>
              <w:jc w:val="center"/>
              <w:rPr>
                <w:noProof/>
              </w:rPr>
            </w:pPr>
            <w:r>
              <w:rPr>
                <w:noProof/>
              </w:rPr>
              <w:t>/Cel</w:t>
            </w:r>
          </w:p>
        </w:tc>
        <w:tc>
          <w:tcPr>
            <w:tcW w:w="1417" w:type="dxa"/>
            <w:vMerge w:val="restart"/>
            <w:shd w:val="clear" w:color="auto" w:fill="BDD7EE"/>
            <w:vAlign w:val="center"/>
            <w:hideMark/>
          </w:tcPr>
          <w:p w14:paraId="07763E2F" w14:textId="77777777" w:rsidR="004C6421" w:rsidRDefault="009D1962">
            <w:pPr>
              <w:pStyle w:val="P68B1DB1-Normal3"/>
              <w:spacing w:after="120"/>
              <w:jc w:val="center"/>
              <w:rPr>
                <w:noProof/>
              </w:rPr>
            </w:pPr>
            <w:r>
              <w:rPr>
                <w:noProof/>
              </w:rPr>
              <w:t>Nazwa</w:t>
            </w:r>
          </w:p>
        </w:tc>
        <w:tc>
          <w:tcPr>
            <w:tcW w:w="1701" w:type="dxa"/>
            <w:vMerge w:val="restart"/>
            <w:shd w:val="clear" w:color="auto" w:fill="BDD7EE"/>
            <w:vAlign w:val="center"/>
            <w:hideMark/>
          </w:tcPr>
          <w:p w14:paraId="5E3C369D" w14:textId="77777777" w:rsidR="004C6421" w:rsidRDefault="009D1962">
            <w:pPr>
              <w:spacing w:after="120"/>
              <w:jc w:val="center"/>
              <w:rPr>
                <w:rFonts w:ascii="Arial Narrow" w:hAnsi="Arial Narrow"/>
                <w:b/>
                <w:noProof/>
                <w:sz w:val="20"/>
              </w:rPr>
            </w:pPr>
            <w:r>
              <w:rPr>
                <w:rFonts w:ascii="Arial Narrow" w:hAnsi="Arial Narrow"/>
                <w:b/>
                <w:noProof/>
                <w:sz w:val="20"/>
              </w:rPr>
              <w:t xml:space="preserve">Wskaźniki jakościowe </w:t>
            </w:r>
            <w:r>
              <w:rPr>
                <w:rFonts w:ascii="Arial Narrow" w:hAnsi="Arial Narrow"/>
                <w:noProof/>
              </w:rPr>
              <w:t xml:space="preserve"> </w:t>
            </w:r>
            <w:r>
              <w:rPr>
                <w:noProof/>
              </w:rPr>
              <w:t xml:space="preserve">  </w:t>
            </w:r>
            <w:r>
              <w:rPr>
                <w:noProof/>
              </w:rPr>
              <w:br/>
            </w:r>
            <w:r>
              <w:rPr>
                <w:rFonts w:ascii="Arial Narrow" w:hAnsi="Arial Narrow"/>
                <w:b/>
                <w:noProof/>
                <w:sz w:val="20"/>
              </w:rPr>
              <w:t>(dla kamieni milowych)</w:t>
            </w:r>
          </w:p>
        </w:tc>
        <w:tc>
          <w:tcPr>
            <w:tcW w:w="3544" w:type="dxa"/>
            <w:gridSpan w:val="3"/>
            <w:shd w:val="clear" w:color="auto" w:fill="BDD7EE"/>
            <w:vAlign w:val="center"/>
            <w:hideMark/>
          </w:tcPr>
          <w:p w14:paraId="4707FEF3" w14:textId="77777777" w:rsidR="004C6421" w:rsidRDefault="009D1962">
            <w:pPr>
              <w:spacing w:after="120"/>
              <w:jc w:val="center"/>
              <w:rPr>
                <w:rFonts w:ascii="Arial Narrow" w:hAnsi="Arial Narrow"/>
                <w:b/>
                <w:noProof/>
                <w:sz w:val="20"/>
              </w:rPr>
            </w:pPr>
            <w:r>
              <w:rPr>
                <w:rFonts w:ascii="Arial Narrow" w:hAnsi="Arial Narrow"/>
                <w:b/>
                <w:noProof/>
                <w:sz w:val="20"/>
              </w:rPr>
              <w:t xml:space="preserve">Wskaźniki ilościowe </w:t>
            </w:r>
            <w:r>
              <w:rPr>
                <w:rFonts w:ascii="Arial Narrow" w:hAnsi="Arial Narrow"/>
                <w:noProof/>
              </w:rPr>
              <w:t xml:space="preserve"> </w:t>
            </w:r>
            <w:r>
              <w:rPr>
                <w:noProof/>
              </w:rPr>
              <w:t xml:space="preserve">  </w:t>
            </w:r>
            <w:r>
              <w:rPr>
                <w:noProof/>
              </w:rPr>
              <w:br/>
            </w:r>
            <w:r>
              <w:rPr>
                <w:rFonts w:ascii="Arial Narrow" w:hAnsi="Arial Narrow"/>
                <w:b/>
                <w:noProof/>
                <w:sz w:val="20"/>
              </w:rPr>
              <w:t>(dla wartości docelowych)</w:t>
            </w:r>
          </w:p>
        </w:tc>
        <w:tc>
          <w:tcPr>
            <w:tcW w:w="1559" w:type="dxa"/>
            <w:gridSpan w:val="2"/>
            <w:shd w:val="clear" w:color="auto" w:fill="BDD7EE"/>
            <w:vAlign w:val="center"/>
            <w:hideMark/>
          </w:tcPr>
          <w:p w14:paraId="18CC88EC" w14:textId="77777777" w:rsidR="004C6421" w:rsidRDefault="009D1962">
            <w:pPr>
              <w:pStyle w:val="P68B1DB1-Normal3"/>
              <w:spacing w:after="120"/>
              <w:jc w:val="center"/>
              <w:rPr>
                <w:noProof/>
              </w:rPr>
            </w:pPr>
            <w:r>
              <w:rPr>
                <w:noProof/>
              </w:rPr>
              <w:t>Orientacyjny harmonogram zakończenia działania</w:t>
            </w:r>
          </w:p>
        </w:tc>
        <w:tc>
          <w:tcPr>
            <w:tcW w:w="3261" w:type="dxa"/>
            <w:vMerge w:val="restart"/>
            <w:shd w:val="clear" w:color="auto" w:fill="BDD7EE"/>
            <w:vAlign w:val="center"/>
            <w:hideMark/>
          </w:tcPr>
          <w:p w14:paraId="79AD74A3" w14:textId="77777777" w:rsidR="004C6421" w:rsidRDefault="009D1962">
            <w:pPr>
              <w:pStyle w:val="P68B1DB1-Normal3"/>
              <w:spacing w:after="120"/>
              <w:jc w:val="center"/>
              <w:rPr>
                <w:noProof/>
              </w:rPr>
            </w:pPr>
            <w:r>
              <w:rPr>
                <w:noProof/>
              </w:rPr>
              <w:t>Opis każdego kamienia milowego i każdej wartości docelowej</w:t>
            </w:r>
          </w:p>
        </w:tc>
      </w:tr>
      <w:tr w:rsidR="004C6421" w14:paraId="410D28A2" w14:textId="77777777">
        <w:trPr>
          <w:trHeight w:val="691"/>
          <w:tblHeader/>
        </w:trPr>
        <w:tc>
          <w:tcPr>
            <w:tcW w:w="1187" w:type="dxa"/>
            <w:vMerge/>
            <w:vAlign w:val="center"/>
            <w:hideMark/>
          </w:tcPr>
          <w:p w14:paraId="28085B05" w14:textId="77777777" w:rsidR="004C6421" w:rsidRDefault="004C6421">
            <w:pPr>
              <w:spacing w:after="120"/>
              <w:jc w:val="center"/>
              <w:rPr>
                <w:rFonts w:ascii="Arial Narrow" w:hAnsi="Arial Narrow"/>
                <w:b/>
                <w:noProof/>
                <w:sz w:val="20"/>
              </w:rPr>
            </w:pPr>
          </w:p>
        </w:tc>
        <w:tc>
          <w:tcPr>
            <w:tcW w:w="1559" w:type="dxa"/>
            <w:vMerge/>
            <w:vAlign w:val="center"/>
            <w:hideMark/>
          </w:tcPr>
          <w:p w14:paraId="63988D28" w14:textId="77777777" w:rsidR="004C6421" w:rsidRDefault="004C6421">
            <w:pPr>
              <w:spacing w:after="120"/>
              <w:jc w:val="center"/>
              <w:rPr>
                <w:rFonts w:ascii="Arial Narrow" w:hAnsi="Arial Narrow"/>
                <w:b/>
                <w:noProof/>
                <w:sz w:val="20"/>
              </w:rPr>
            </w:pPr>
          </w:p>
        </w:tc>
        <w:tc>
          <w:tcPr>
            <w:tcW w:w="1134" w:type="dxa"/>
            <w:vMerge/>
            <w:vAlign w:val="center"/>
            <w:hideMark/>
          </w:tcPr>
          <w:p w14:paraId="6E6C162A" w14:textId="77777777" w:rsidR="004C6421" w:rsidRDefault="004C6421">
            <w:pPr>
              <w:spacing w:after="120"/>
              <w:jc w:val="center"/>
              <w:rPr>
                <w:rFonts w:ascii="Arial Narrow" w:hAnsi="Arial Narrow"/>
                <w:b/>
                <w:noProof/>
                <w:sz w:val="20"/>
              </w:rPr>
            </w:pPr>
          </w:p>
        </w:tc>
        <w:tc>
          <w:tcPr>
            <w:tcW w:w="1417" w:type="dxa"/>
            <w:vMerge/>
            <w:vAlign w:val="center"/>
            <w:hideMark/>
          </w:tcPr>
          <w:p w14:paraId="439B32E8" w14:textId="77777777" w:rsidR="004C6421" w:rsidRDefault="004C6421">
            <w:pPr>
              <w:spacing w:after="120"/>
              <w:jc w:val="center"/>
              <w:rPr>
                <w:rFonts w:ascii="Arial Narrow" w:hAnsi="Arial Narrow"/>
                <w:b/>
                <w:noProof/>
                <w:sz w:val="20"/>
              </w:rPr>
            </w:pPr>
          </w:p>
        </w:tc>
        <w:tc>
          <w:tcPr>
            <w:tcW w:w="1701" w:type="dxa"/>
            <w:vMerge/>
            <w:vAlign w:val="center"/>
            <w:hideMark/>
          </w:tcPr>
          <w:p w14:paraId="33FCCC9E" w14:textId="77777777" w:rsidR="004C6421" w:rsidRDefault="004C6421">
            <w:pPr>
              <w:spacing w:after="120"/>
              <w:jc w:val="center"/>
              <w:rPr>
                <w:rFonts w:ascii="Arial Narrow" w:hAnsi="Arial Narrow"/>
                <w:b/>
                <w:noProof/>
                <w:sz w:val="20"/>
              </w:rPr>
            </w:pPr>
          </w:p>
        </w:tc>
        <w:tc>
          <w:tcPr>
            <w:tcW w:w="1276" w:type="dxa"/>
            <w:shd w:val="clear" w:color="auto" w:fill="BDD7EE"/>
            <w:vAlign w:val="center"/>
            <w:hideMark/>
          </w:tcPr>
          <w:p w14:paraId="0442972E" w14:textId="77777777" w:rsidR="004C6421" w:rsidRDefault="009D1962">
            <w:pPr>
              <w:pStyle w:val="P68B1DB1-Normal3"/>
              <w:spacing w:after="120"/>
              <w:jc w:val="center"/>
              <w:rPr>
                <w:noProof/>
              </w:rPr>
            </w:pPr>
            <w:r>
              <w:rPr>
                <w:noProof/>
              </w:rPr>
              <w:t>Jednostka miary</w:t>
            </w:r>
          </w:p>
        </w:tc>
        <w:tc>
          <w:tcPr>
            <w:tcW w:w="992" w:type="dxa"/>
            <w:shd w:val="clear" w:color="auto" w:fill="BDD7EE"/>
            <w:vAlign w:val="center"/>
            <w:hideMark/>
          </w:tcPr>
          <w:p w14:paraId="09AE61A8" w14:textId="77777777" w:rsidR="004C6421" w:rsidRDefault="009D1962">
            <w:pPr>
              <w:pStyle w:val="P68B1DB1-Normal3"/>
              <w:spacing w:after="120"/>
              <w:jc w:val="center"/>
              <w:rPr>
                <w:noProof/>
              </w:rPr>
            </w:pPr>
            <w:r>
              <w:rPr>
                <w:noProof/>
              </w:rPr>
              <w:t>Bazowy</w:t>
            </w:r>
          </w:p>
        </w:tc>
        <w:tc>
          <w:tcPr>
            <w:tcW w:w="1276" w:type="dxa"/>
            <w:shd w:val="clear" w:color="auto" w:fill="BDD7EE"/>
            <w:vAlign w:val="center"/>
            <w:hideMark/>
          </w:tcPr>
          <w:p w14:paraId="01E52860" w14:textId="77777777" w:rsidR="004C6421" w:rsidRDefault="009D1962">
            <w:pPr>
              <w:pStyle w:val="P68B1DB1-Normal3"/>
              <w:spacing w:after="120"/>
              <w:jc w:val="center"/>
              <w:rPr>
                <w:noProof/>
              </w:rPr>
            </w:pPr>
            <w:r>
              <w:rPr>
                <w:noProof/>
              </w:rPr>
              <w:t>Cel</w:t>
            </w:r>
          </w:p>
        </w:tc>
        <w:tc>
          <w:tcPr>
            <w:tcW w:w="851" w:type="dxa"/>
            <w:shd w:val="clear" w:color="auto" w:fill="BDD7EE"/>
            <w:vAlign w:val="center"/>
            <w:hideMark/>
          </w:tcPr>
          <w:p w14:paraId="4F4AA325" w14:textId="77777777" w:rsidR="004C6421" w:rsidRDefault="009D1962">
            <w:pPr>
              <w:pStyle w:val="P68B1DB1-Normal3"/>
              <w:spacing w:after="120"/>
              <w:jc w:val="center"/>
              <w:rPr>
                <w:noProof/>
              </w:rPr>
            </w:pPr>
            <w:r>
              <w:rPr>
                <w:noProof/>
              </w:rPr>
              <w:t>Kwartał</w:t>
            </w:r>
          </w:p>
        </w:tc>
        <w:tc>
          <w:tcPr>
            <w:tcW w:w="708" w:type="dxa"/>
            <w:shd w:val="clear" w:color="auto" w:fill="BDD7EE"/>
            <w:vAlign w:val="center"/>
            <w:hideMark/>
          </w:tcPr>
          <w:p w14:paraId="7D61AC17" w14:textId="77777777" w:rsidR="004C6421" w:rsidRDefault="009D1962">
            <w:pPr>
              <w:pStyle w:val="P68B1DB1-Normal3"/>
              <w:spacing w:after="120"/>
              <w:jc w:val="center"/>
              <w:rPr>
                <w:noProof/>
              </w:rPr>
            </w:pPr>
            <w:r>
              <w:rPr>
                <w:noProof/>
              </w:rPr>
              <w:t>Rok</w:t>
            </w:r>
          </w:p>
        </w:tc>
        <w:tc>
          <w:tcPr>
            <w:tcW w:w="3261" w:type="dxa"/>
            <w:vMerge/>
            <w:vAlign w:val="center"/>
            <w:hideMark/>
          </w:tcPr>
          <w:p w14:paraId="2713E38C" w14:textId="77777777" w:rsidR="004C6421" w:rsidRDefault="004C6421">
            <w:pPr>
              <w:spacing w:after="120"/>
              <w:jc w:val="center"/>
              <w:rPr>
                <w:rFonts w:ascii="Arial Narrow" w:hAnsi="Arial Narrow"/>
                <w:b/>
                <w:noProof/>
                <w:sz w:val="20"/>
              </w:rPr>
            </w:pPr>
          </w:p>
        </w:tc>
      </w:tr>
      <w:tr w:rsidR="004C6421" w14:paraId="799B0020" w14:textId="77777777">
        <w:trPr>
          <w:trHeight w:val="309"/>
        </w:trPr>
        <w:tc>
          <w:tcPr>
            <w:tcW w:w="1187" w:type="dxa"/>
            <w:shd w:val="clear" w:color="auto" w:fill="C6EFCE"/>
            <w:noWrap/>
            <w:vAlign w:val="center"/>
          </w:tcPr>
          <w:p w14:paraId="30DCA03A" w14:textId="77777777" w:rsidR="004C6421" w:rsidRDefault="009D1962">
            <w:pPr>
              <w:pStyle w:val="P68B1DB1-Normal4"/>
              <w:spacing w:after="120"/>
              <w:jc w:val="center"/>
              <w:rPr>
                <w:noProof/>
              </w:rPr>
            </w:pPr>
            <w:r>
              <w:rPr>
                <w:noProof/>
              </w:rPr>
              <w:t>M7-35</w:t>
            </w:r>
          </w:p>
        </w:tc>
        <w:tc>
          <w:tcPr>
            <w:tcW w:w="1559" w:type="dxa"/>
            <w:shd w:val="clear" w:color="auto" w:fill="C6EFCE"/>
            <w:noWrap/>
            <w:vAlign w:val="center"/>
          </w:tcPr>
          <w:p w14:paraId="1AFB8E97" w14:textId="77777777" w:rsidR="004C6421" w:rsidRDefault="009D1962">
            <w:pPr>
              <w:pStyle w:val="P68B1DB1-Normal4"/>
              <w:spacing w:after="120"/>
              <w:jc w:val="center"/>
              <w:rPr>
                <w:noProof/>
              </w:rPr>
            </w:pPr>
            <w:r>
              <w:rPr>
                <w:noProof/>
              </w:rPr>
              <w:t>Inwestycja 13: Adriatic Line Phase 1 (stacja kompresorowa Sulmona i gazociąg Sestino-Minerbio)</w:t>
            </w:r>
          </w:p>
        </w:tc>
        <w:tc>
          <w:tcPr>
            <w:tcW w:w="1134" w:type="dxa"/>
            <w:shd w:val="clear" w:color="auto" w:fill="C6EFCE"/>
            <w:noWrap/>
            <w:vAlign w:val="center"/>
          </w:tcPr>
          <w:p w14:paraId="3F99EF34" w14:textId="4FADC96A" w:rsidR="004C6421" w:rsidRDefault="00CC179E">
            <w:pPr>
              <w:pStyle w:val="P68B1DB1-Normal4"/>
              <w:spacing w:after="120"/>
              <w:jc w:val="center"/>
              <w:rPr>
                <w:noProof/>
              </w:rPr>
            </w:pPr>
            <w:r>
              <w:rPr>
                <w:noProof/>
              </w:rPr>
              <w:t>Milowy</w:t>
            </w:r>
          </w:p>
        </w:tc>
        <w:tc>
          <w:tcPr>
            <w:tcW w:w="1417" w:type="dxa"/>
            <w:shd w:val="clear" w:color="auto" w:fill="C6EFCE"/>
            <w:noWrap/>
            <w:vAlign w:val="center"/>
          </w:tcPr>
          <w:p w14:paraId="0F7A6826" w14:textId="77777777" w:rsidR="004C6421" w:rsidRDefault="009D1962">
            <w:pPr>
              <w:pStyle w:val="P68B1DB1-Normal4"/>
              <w:spacing w:after="120"/>
              <w:jc w:val="center"/>
              <w:rPr>
                <w:noProof/>
              </w:rPr>
            </w:pPr>
            <w:r>
              <w:rPr>
                <w:noProof/>
              </w:rPr>
              <w:t>Przyjęcie i aktualizacja odpowiednich ocen oddziaływania na środowisko (VIncA)</w:t>
            </w:r>
          </w:p>
        </w:tc>
        <w:tc>
          <w:tcPr>
            <w:tcW w:w="1701" w:type="dxa"/>
            <w:shd w:val="clear" w:color="auto" w:fill="C6EFCE"/>
            <w:noWrap/>
            <w:vAlign w:val="center"/>
          </w:tcPr>
          <w:p w14:paraId="65FA2D81" w14:textId="77777777" w:rsidR="004C6421" w:rsidRDefault="009D1962">
            <w:pPr>
              <w:pStyle w:val="P68B1DB1-Normal4"/>
              <w:spacing w:after="120"/>
              <w:jc w:val="center"/>
              <w:rPr>
                <w:noProof/>
              </w:rPr>
            </w:pPr>
            <w:r>
              <w:rPr>
                <w:noProof/>
              </w:rPr>
              <w:t>Zidentyfikowane SSCO i odpowiednio zmienione i przyjęte Vinca</w:t>
            </w:r>
          </w:p>
        </w:tc>
        <w:tc>
          <w:tcPr>
            <w:tcW w:w="1276" w:type="dxa"/>
            <w:shd w:val="clear" w:color="auto" w:fill="C6EFCE"/>
            <w:noWrap/>
            <w:vAlign w:val="center"/>
          </w:tcPr>
          <w:p w14:paraId="49B09471" w14:textId="77777777" w:rsidR="004C6421" w:rsidRDefault="004C6421">
            <w:pPr>
              <w:spacing w:after="120"/>
              <w:jc w:val="center"/>
              <w:rPr>
                <w:rFonts w:ascii="Arial Narrow" w:hAnsi="Arial Narrow"/>
                <w:noProof/>
                <w:color w:val="006100"/>
                <w:sz w:val="20"/>
              </w:rPr>
            </w:pPr>
          </w:p>
        </w:tc>
        <w:tc>
          <w:tcPr>
            <w:tcW w:w="992" w:type="dxa"/>
            <w:shd w:val="clear" w:color="auto" w:fill="C6EFCE"/>
            <w:noWrap/>
            <w:vAlign w:val="center"/>
          </w:tcPr>
          <w:p w14:paraId="163B8014" w14:textId="77777777" w:rsidR="004C6421" w:rsidRDefault="004C6421">
            <w:pPr>
              <w:spacing w:after="120"/>
              <w:jc w:val="center"/>
              <w:rPr>
                <w:rFonts w:ascii="Arial Narrow" w:hAnsi="Arial Narrow"/>
                <w:noProof/>
                <w:color w:val="006100"/>
                <w:sz w:val="20"/>
              </w:rPr>
            </w:pPr>
          </w:p>
        </w:tc>
        <w:tc>
          <w:tcPr>
            <w:tcW w:w="1276" w:type="dxa"/>
            <w:shd w:val="clear" w:color="auto" w:fill="C6EFCE"/>
            <w:noWrap/>
            <w:vAlign w:val="center"/>
          </w:tcPr>
          <w:p w14:paraId="03AD4E9E" w14:textId="77777777" w:rsidR="004C6421" w:rsidRDefault="004C6421">
            <w:pPr>
              <w:spacing w:after="120"/>
              <w:jc w:val="center"/>
              <w:rPr>
                <w:rFonts w:ascii="Arial Narrow" w:hAnsi="Arial Narrow"/>
                <w:noProof/>
                <w:color w:val="006100"/>
                <w:sz w:val="20"/>
              </w:rPr>
            </w:pPr>
          </w:p>
        </w:tc>
        <w:tc>
          <w:tcPr>
            <w:tcW w:w="851" w:type="dxa"/>
            <w:shd w:val="clear" w:color="auto" w:fill="C6EFCE"/>
            <w:noWrap/>
            <w:vAlign w:val="center"/>
          </w:tcPr>
          <w:p w14:paraId="2AADC496" w14:textId="5914C504" w:rsidR="004C6421" w:rsidRDefault="00CC179E">
            <w:pPr>
              <w:pStyle w:val="P68B1DB1-Normal4"/>
              <w:spacing w:after="120"/>
              <w:jc w:val="center"/>
              <w:rPr>
                <w:noProof/>
              </w:rPr>
            </w:pPr>
            <w:r>
              <w:rPr>
                <w:noProof/>
              </w:rPr>
              <w:t>KW. 1</w:t>
            </w:r>
          </w:p>
        </w:tc>
        <w:tc>
          <w:tcPr>
            <w:tcW w:w="708" w:type="dxa"/>
            <w:shd w:val="clear" w:color="auto" w:fill="C6EFCE"/>
            <w:noWrap/>
            <w:vAlign w:val="center"/>
          </w:tcPr>
          <w:p w14:paraId="675B8961" w14:textId="77777777" w:rsidR="004C6421" w:rsidRDefault="009D1962">
            <w:pPr>
              <w:pStyle w:val="P68B1DB1-Normal4"/>
              <w:spacing w:after="120"/>
              <w:jc w:val="center"/>
              <w:rPr>
                <w:noProof/>
              </w:rPr>
            </w:pPr>
            <w:r>
              <w:rPr>
                <w:noProof/>
              </w:rPr>
              <w:t>2024</w:t>
            </w:r>
          </w:p>
        </w:tc>
        <w:tc>
          <w:tcPr>
            <w:tcW w:w="3261" w:type="dxa"/>
            <w:shd w:val="clear" w:color="auto" w:fill="C6EFCE"/>
            <w:noWrap/>
            <w:vAlign w:val="center"/>
          </w:tcPr>
          <w:p w14:paraId="3DB234BE" w14:textId="77777777" w:rsidR="004C6421" w:rsidRDefault="009D1962">
            <w:pPr>
              <w:pStyle w:val="P68B1DB1-Normal4"/>
              <w:spacing w:after="120"/>
              <w:rPr>
                <w:noProof/>
              </w:rPr>
            </w:pPr>
            <w:bookmarkStart w:id="21" w:name="_Hlk147330404"/>
            <w:r>
              <w:rPr>
                <w:noProof/>
              </w:rPr>
              <w:t>Władze włoskie:</w:t>
            </w:r>
          </w:p>
          <w:p w14:paraId="789E2314" w14:textId="2B4B3E1B" w:rsidR="004C6421" w:rsidRDefault="009D1962">
            <w:pPr>
              <w:pStyle w:val="P68B1DB1-ListParagraph5"/>
              <w:numPr>
                <w:ilvl w:val="0"/>
                <w:numId w:val="28"/>
              </w:numPr>
              <w:spacing w:before="0"/>
              <w:jc w:val="left"/>
              <w:rPr>
                <w:noProof/>
              </w:rPr>
            </w:pPr>
            <w:r>
              <w:rPr>
                <w:noProof/>
              </w:rPr>
              <w:t>Ustanowienie celów ochrony poszczególnych obszarów w odniesieniu do obszarów Natura 2000, których dotyczy projekt, zgodnie z metodyką przyjętą przez Ministerstwo Środowiska i Bezpieczeństwa Energetycznego w latach 2021 i 2023.</w:t>
            </w:r>
          </w:p>
          <w:p w14:paraId="65B4B019" w14:textId="77777777" w:rsidR="004C6421" w:rsidRDefault="009D1962">
            <w:pPr>
              <w:pStyle w:val="P68B1DB1-ListParagraph5"/>
              <w:numPr>
                <w:ilvl w:val="0"/>
                <w:numId w:val="28"/>
              </w:numPr>
              <w:spacing w:before="0"/>
              <w:contextualSpacing w:val="0"/>
              <w:jc w:val="left"/>
              <w:rPr>
                <w:noProof/>
              </w:rPr>
            </w:pPr>
            <w:r>
              <w:rPr>
                <w:noProof/>
              </w:rPr>
              <w:t>Zweryfikowanie odpowiednich ocen już przeprowadzonych na podstawie dyrektywy siedliskowej (VINCA) w świetle nowo ustanowionych standardowych form kosztów.</w:t>
            </w:r>
            <w:bookmarkEnd w:id="21"/>
          </w:p>
          <w:p w14:paraId="5FD49668" w14:textId="77777777" w:rsidR="004C6421" w:rsidRDefault="009D1962">
            <w:pPr>
              <w:pStyle w:val="P68B1DB1-ListParagraph5"/>
              <w:numPr>
                <w:ilvl w:val="0"/>
                <w:numId w:val="28"/>
              </w:numPr>
              <w:spacing w:before="0"/>
              <w:contextualSpacing w:val="0"/>
              <w:jc w:val="left"/>
              <w:rPr>
                <w:noProof/>
              </w:rPr>
            </w:pPr>
            <w:r>
              <w:rPr>
                <w:noProof/>
              </w:rPr>
              <w:t>Aktualizacja (w razie potrzeby) odpowiednich ocen przeprowadzonych już na podstawie dyrektywy siedliskowej zgodnie z krajowymi wytycznymi z dnia 28 grudnia 2019 r. oraz zapewnienie ich włączenia do ogólnej procedury oceny oddziaływania na środowisko.</w:t>
            </w:r>
          </w:p>
        </w:tc>
      </w:tr>
      <w:tr w:rsidR="004C6421" w14:paraId="66F7D6BD" w14:textId="77777777">
        <w:trPr>
          <w:trHeight w:val="309"/>
        </w:trPr>
        <w:tc>
          <w:tcPr>
            <w:tcW w:w="1187" w:type="dxa"/>
            <w:shd w:val="clear" w:color="auto" w:fill="C6EFCE"/>
            <w:noWrap/>
            <w:vAlign w:val="center"/>
          </w:tcPr>
          <w:p w14:paraId="4A60BE7D" w14:textId="77777777" w:rsidR="004C6421" w:rsidRDefault="009D1962">
            <w:pPr>
              <w:pStyle w:val="P68B1DB1-Normal4"/>
              <w:spacing w:after="120"/>
              <w:jc w:val="center"/>
              <w:rPr>
                <w:noProof/>
              </w:rPr>
            </w:pPr>
            <w:r>
              <w:rPr>
                <w:noProof/>
              </w:rPr>
              <w:t>M7–36</w:t>
            </w:r>
          </w:p>
        </w:tc>
        <w:tc>
          <w:tcPr>
            <w:tcW w:w="1559" w:type="dxa"/>
            <w:shd w:val="clear" w:color="auto" w:fill="C6EFCE"/>
            <w:noWrap/>
            <w:vAlign w:val="center"/>
          </w:tcPr>
          <w:p w14:paraId="7C78ACC7" w14:textId="77777777" w:rsidR="004C6421" w:rsidRDefault="009D1962">
            <w:pPr>
              <w:pStyle w:val="P68B1DB1-Normal4"/>
              <w:spacing w:after="120"/>
              <w:jc w:val="center"/>
              <w:rPr>
                <w:noProof/>
              </w:rPr>
            </w:pPr>
            <w:r>
              <w:rPr>
                <w:noProof/>
              </w:rPr>
              <w:t>Inwestycja 13: Adriatic Line Phase 1 (stacja kompresorowa Sulmona i gazociąg Sestino-Minerbio)</w:t>
            </w:r>
          </w:p>
        </w:tc>
        <w:tc>
          <w:tcPr>
            <w:tcW w:w="1134" w:type="dxa"/>
            <w:shd w:val="clear" w:color="auto" w:fill="C6EFCE"/>
            <w:noWrap/>
            <w:vAlign w:val="center"/>
          </w:tcPr>
          <w:p w14:paraId="3C8959A9" w14:textId="0CD71EAC" w:rsidR="004C6421" w:rsidRDefault="00CC179E">
            <w:pPr>
              <w:pStyle w:val="P68B1DB1-Normal4"/>
              <w:spacing w:after="120"/>
              <w:jc w:val="center"/>
              <w:rPr>
                <w:noProof/>
              </w:rPr>
            </w:pPr>
            <w:r>
              <w:rPr>
                <w:noProof/>
              </w:rPr>
              <w:t>Milowy</w:t>
            </w:r>
          </w:p>
        </w:tc>
        <w:tc>
          <w:tcPr>
            <w:tcW w:w="1417" w:type="dxa"/>
            <w:shd w:val="clear" w:color="auto" w:fill="C6EFCE"/>
            <w:noWrap/>
            <w:vAlign w:val="center"/>
          </w:tcPr>
          <w:p w14:paraId="7C417C89" w14:textId="77777777" w:rsidR="004C6421" w:rsidRDefault="009D1962">
            <w:pPr>
              <w:pStyle w:val="P68B1DB1-Normal4"/>
              <w:spacing w:after="120"/>
              <w:jc w:val="center"/>
              <w:rPr>
                <w:noProof/>
              </w:rPr>
            </w:pPr>
            <w:r>
              <w:rPr>
                <w:noProof/>
              </w:rPr>
              <w:t>Udzielenie zamówień</w:t>
            </w:r>
          </w:p>
        </w:tc>
        <w:tc>
          <w:tcPr>
            <w:tcW w:w="1701" w:type="dxa"/>
            <w:shd w:val="clear" w:color="auto" w:fill="C6EFCE"/>
            <w:noWrap/>
            <w:vAlign w:val="center"/>
          </w:tcPr>
          <w:p w14:paraId="7753934B" w14:textId="77777777" w:rsidR="004C6421" w:rsidRDefault="009D1962">
            <w:pPr>
              <w:pStyle w:val="P68B1DB1-Normal4"/>
              <w:spacing w:after="120"/>
              <w:jc w:val="center"/>
              <w:rPr>
                <w:noProof/>
              </w:rPr>
            </w:pPr>
            <w:r>
              <w:rPr>
                <w:noProof/>
              </w:rPr>
              <w:t>Powiadomienie o udzieleniu zamówienia</w:t>
            </w:r>
          </w:p>
        </w:tc>
        <w:tc>
          <w:tcPr>
            <w:tcW w:w="1276" w:type="dxa"/>
            <w:shd w:val="clear" w:color="auto" w:fill="C6EFCE"/>
            <w:noWrap/>
            <w:vAlign w:val="center"/>
          </w:tcPr>
          <w:p w14:paraId="5C46AA71" w14:textId="77777777" w:rsidR="004C6421" w:rsidRDefault="004C6421">
            <w:pPr>
              <w:spacing w:after="120"/>
              <w:jc w:val="center"/>
              <w:rPr>
                <w:rFonts w:ascii="Arial Narrow" w:hAnsi="Arial Narrow"/>
                <w:noProof/>
                <w:color w:val="006100"/>
                <w:sz w:val="20"/>
              </w:rPr>
            </w:pPr>
          </w:p>
        </w:tc>
        <w:tc>
          <w:tcPr>
            <w:tcW w:w="992" w:type="dxa"/>
            <w:shd w:val="clear" w:color="auto" w:fill="C6EFCE"/>
            <w:noWrap/>
            <w:vAlign w:val="center"/>
          </w:tcPr>
          <w:p w14:paraId="1E05972E" w14:textId="77777777" w:rsidR="004C6421" w:rsidRDefault="004C6421">
            <w:pPr>
              <w:spacing w:after="120"/>
              <w:jc w:val="center"/>
              <w:rPr>
                <w:rFonts w:ascii="Arial Narrow" w:hAnsi="Arial Narrow"/>
                <w:noProof/>
                <w:color w:val="006100"/>
                <w:sz w:val="20"/>
              </w:rPr>
            </w:pPr>
          </w:p>
        </w:tc>
        <w:tc>
          <w:tcPr>
            <w:tcW w:w="1276" w:type="dxa"/>
            <w:shd w:val="clear" w:color="auto" w:fill="C6EFCE"/>
            <w:noWrap/>
            <w:vAlign w:val="center"/>
          </w:tcPr>
          <w:p w14:paraId="5785894A" w14:textId="77777777" w:rsidR="004C6421" w:rsidRDefault="004C6421">
            <w:pPr>
              <w:spacing w:after="120"/>
              <w:jc w:val="center"/>
              <w:rPr>
                <w:rFonts w:ascii="Arial Narrow" w:hAnsi="Arial Narrow"/>
                <w:noProof/>
                <w:color w:val="006100"/>
                <w:sz w:val="20"/>
              </w:rPr>
            </w:pPr>
          </w:p>
        </w:tc>
        <w:tc>
          <w:tcPr>
            <w:tcW w:w="851" w:type="dxa"/>
            <w:shd w:val="clear" w:color="auto" w:fill="C6EFCE"/>
            <w:noWrap/>
            <w:vAlign w:val="center"/>
          </w:tcPr>
          <w:p w14:paraId="38F0C3F5" w14:textId="77777777" w:rsidR="004C6421" w:rsidRDefault="009D1962">
            <w:pPr>
              <w:pStyle w:val="P68B1DB1-Normal4"/>
              <w:spacing w:after="120"/>
              <w:jc w:val="center"/>
              <w:rPr>
                <w:noProof/>
              </w:rPr>
            </w:pPr>
            <w:r>
              <w:rPr>
                <w:noProof/>
              </w:rPr>
              <w:t>II KW.</w:t>
            </w:r>
          </w:p>
        </w:tc>
        <w:tc>
          <w:tcPr>
            <w:tcW w:w="708" w:type="dxa"/>
            <w:shd w:val="clear" w:color="auto" w:fill="C6EFCE"/>
            <w:noWrap/>
            <w:vAlign w:val="center"/>
          </w:tcPr>
          <w:p w14:paraId="079A7350" w14:textId="77777777" w:rsidR="004C6421" w:rsidRDefault="009D1962">
            <w:pPr>
              <w:pStyle w:val="P68B1DB1-Normal4"/>
              <w:spacing w:after="120"/>
              <w:jc w:val="center"/>
              <w:rPr>
                <w:noProof/>
              </w:rPr>
            </w:pPr>
            <w:r>
              <w:rPr>
                <w:noProof/>
              </w:rPr>
              <w:t>2024</w:t>
            </w:r>
          </w:p>
        </w:tc>
        <w:tc>
          <w:tcPr>
            <w:tcW w:w="3261" w:type="dxa"/>
            <w:shd w:val="clear" w:color="auto" w:fill="C6EFCE"/>
            <w:noWrap/>
            <w:vAlign w:val="center"/>
          </w:tcPr>
          <w:p w14:paraId="4B46675A" w14:textId="77777777" w:rsidR="004C6421" w:rsidRDefault="009D1962">
            <w:pPr>
              <w:pStyle w:val="P68B1DB1-ListParagraph5"/>
              <w:spacing w:before="0"/>
              <w:ind w:left="0"/>
              <w:contextualSpacing w:val="0"/>
              <w:jc w:val="left"/>
              <w:rPr>
                <w:noProof/>
              </w:rPr>
            </w:pPr>
            <w:r>
              <w:rPr>
                <w:noProof/>
              </w:rPr>
              <w:t>Powiadomienie o udzieleniu wszystkich zamówień na roboty niezbędne do ukończenia tłoczni gazu Sulmona i gazociągu Sestino-Minerbio.</w:t>
            </w:r>
          </w:p>
        </w:tc>
      </w:tr>
      <w:tr w:rsidR="004C6421" w14:paraId="77EF8AC4" w14:textId="77777777">
        <w:trPr>
          <w:trHeight w:val="309"/>
        </w:trPr>
        <w:tc>
          <w:tcPr>
            <w:tcW w:w="1187" w:type="dxa"/>
            <w:shd w:val="clear" w:color="auto" w:fill="C6EFCE"/>
            <w:noWrap/>
            <w:vAlign w:val="center"/>
          </w:tcPr>
          <w:p w14:paraId="4CF5F1D7" w14:textId="77777777" w:rsidR="004C6421" w:rsidRDefault="009D1962">
            <w:pPr>
              <w:pStyle w:val="P68B1DB1-Normal4"/>
              <w:jc w:val="center"/>
              <w:rPr>
                <w:noProof/>
              </w:rPr>
            </w:pPr>
            <w:r>
              <w:rPr>
                <w:noProof/>
              </w:rPr>
              <w:t>M7–37</w:t>
            </w:r>
          </w:p>
        </w:tc>
        <w:tc>
          <w:tcPr>
            <w:tcW w:w="1559" w:type="dxa"/>
            <w:shd w:val="clear" w:color="auto" w:fill="C6EFCE"/>
            <w:noWrap/>
            <w:vAlign w:val="center"/>
          </w:tcPr>
          <w:p w14:paraId="124BB580" w14:textId="77777777" w:rsidR="004C6421" w:rsidRDefault="009D1962">
            <w:pPr>
              <w:pStyle w:val="P68B1DB1-Normal4"/>
              <w:jc w:val="center"/>
              <w:rPr>
                <w:noProof/>
              </w:rPr>
            </w:pPr>
            <w:r>
              <w:rPr>
                <w:noProof/>
              </w:rPr>
              <w:t>Inwestycja 13: Adriatic Line Phase 1 (stacja kompresorowa Sulmona i gazociąg Sestino-Minerbio)</w:t>
            </w:r>
          </w:p>
        </w:tc>
        <w:tc>
          <w:tcPr>
            <w:tcW w:w="1134" w:type="dxa"/>
            <w:shd w:val="clear" w:color="auto" w:fill="C6EFCE"/>
            <w:noWrap/>
            <w:vAlign w:val="center"/>
          </w:tcPr>
          <w:p w14:paraId="7D7EB4A8" w14:textId="33C05565" w:rsidR="004C6421" w:rsidRDefault="00CC179E">
            <w:pPr>
              <w:pStyle w:val="P68B1DB1-Normal4"/>
              <w:jc w:val="center"/>
              <w:rPr>
                <w:noProof/>
              </w:rPr>
            </w:pPr>
            <w:r>
              <w:rPr>
                <w:noProof/>
              </w:rPr>
              <w:t>Milowy</w:t>
            </w:r>
          </w:p>
        </w:tc>
        <w:tc>
          <w:tcPr>
            <w:tcW w:w="1417" w:type="dxa"/>
            <w:shd w:val="clear" w:color="auto" w:fill="C6EFCE"/>
            <w:noWrap/>
            <w:vAlign w:val="center"/>
          </w:tcPr>
          <w:p w14:paraId="00E583FA" w14:textId="77777777" w:rsidR="004C6421" w:rsidRDefault="009D1962">
            <w:pPr>
              <w:pStyle w:val="P68B1DB1-Normal4"/>
              <w:jc w:val="center"/>
              <w:rPr>
                <w:rFonts w:eastAsia="Calibri" w:cstheme="minorHAnsi"/>
                <w:noProof/>
              </w:rPr>
            </w:pPr>
            <w:r>
              <w:rPr>
                <w:noProof/>
              </w:rPr>
              <w:t>Zakończenie prac</w:t>
            </w:r>
          </w:p>
        </w:tc>
        <w:tc>
          <w:tcPr>
            <w:tcW w:w="1701" w:type="dxa"/>
            <w:shd w:val="clear" w:color="auto" w:fill="C6EFCE"/>
            <w:noWrap/>
            <w:vAlign w:val="center"/>
          </w:tcPr>
          <w:p w14:paraId="0004B383" w14:textId="77777777" w:rsidR="004C6421" w:rsidRDefault="009D1962">
            <w:pPr>
              <w:pStyle w:val="P68B1DB1-Normal4"/>
              <w:jc w:val="center"/>
              <w:rPr>
                <w:noProof/>
              </w:rPr>
            </w:pPr>
            <w:r>
              <w:rPr>
                <w:noProof/>
              </w:rPr>
              <w:t>Powiadomienie o zakończeniu prac</w:t>
            </w:r>
          </w:p>
        </w:tc>
        <w:tc>
          <w:tcPr>
            <w:tcW w:w="1276" w:type="dxa"/>
            <w:shd w:val="clear" w:color="auto" w:fill="C6EFCE"/>
            <w:noWrap/>
            <w:vAlign w:val="center"/>
          </w:tcPr>
          <w:p w14:paraId="4F676A14" w14:textId="77777777" w:rsidR="004C6421" w:rsidRDefault="004C6421">
            <w:pPr>
              <w:jc w:val="center"/>
              <w:rPr>
                <w:rFonts w:ascii="Arial Narrow" w:hAnsi="Arial Narrow"/>
                <w:noProof/>
                <w:color w:val="006100"/>
                <w:sz w:val="20"/>
              </w:rPr>
            </w:pPr>
          </w:p>
        </w:tc>
        <w:tc>
          <w:tcPr>
            <w:tcW w:w="992" w:type="dxa"/>
            <w:shd w:val="clear" w:color="auto" w:fill="C6EFCE"/>
            <w:noWrap/>
            <w:vAlign w:val="center"/>
          </w:tcPr>
          <w:p w14:paraId="4D5D5D2A" w14:textId="77777777" w:rsidR="004C6421" w:rsidRDefault="004C6421">
            <w:pPr>
              <w:jc w:val="center"/>
              <w:rPr>
                <w:rFonts w:ascii="Arial Narrow" w:hAnsi="Arial Narrow"/>
                <w:noProof/>
                <w:color w:val="006100"/>
                <w:sz w:val="20"/>
              </w:rPr>
            </w:pPr>
          </w:p>
        </w:tc>
        <w:tc>
          <w:tcPr>
            <w:tcW w:w="1276" w:type="dxa"/>
            <w:shd w:val="clear" w:color="auto" w:fill="C6EFCE"/>
            <w:noWrap/>
            <w:vAlign w:val="center"/>
          </w:tcPr>
          <w:p w14:paraId="11CBE449" w14:textId="77777777" w:rsidR="004C6421" w:rsidRDefault="004C6421">
            <w:pPr>
              <w:jc w:val="center"/>
              <w:rPr>
                <w:rFonts w:ascii="Arial Narrow" w:hAnsi="Arial Narrow"/>
                <w:noProof/>
                <w:color w:val="006100"/>
                <w:sz w:val="20"/>
              </w:rPr>
            </w:pPr>
          </w:p>
        </w:tc>
        <w:tc>
          <w:tcPr>
            <w:tcW w:w="851" w:type="dxa"/>
            <w:shd w:val="clear" w:color="auto" w:fill="C6EFCE"/>
            <w:noWrap/>
            <w:vAlign w:val="center"/>
          </w:tcPr>
          <w:p w14:paraId="560177B2" w14:textId="77777777" w:rsidR="004C6421" w:rsidRDefault="009D1962">
            <w:pPr>
              <w:pStyle w:val="P68B1DB1-Normal4"/>
              <w:jc w:val="center"/>
              <w:rPr>
                <w:noProof/>
              </w:rPr>
            </w:pPr>
            <w:r>
              <w:rPr>
                <w:noProof/>
              </w:rPr>
              <w:t>II KW.</w:t>
            </w:r>
          </w:p>
        </w:tc>
        <w:tc>
          <w:tcPr>
            <w:tcW w:w="708" w:type="dxa"/>
            <w:shd w:val="clear" w:color="auto" w:fill="C6EFCE"/>
            <w:noWrap/>
            <w:vAlign w:val="center"/>
          </w:tcPr>
          <w:p w14:paraId="1159C3D4" w14:textId="77777777" w:rsidR="004C6421" w:rsidRDefault="009D1962">
            <w:pPr>
              <w:pStyle w:val="P68B1DB1-Normal4"/>
              <w:jc w:val="center"/>
              <w:rPr>
                <w:noProof/>
              </w:rPr>
            </w:pPr>
            <w:r>
              <w:rPr>
                <w:noProof/>
              </w:rPr>
              <w:t>2026</w:t>
            </w:r>
          </w:p>
        </w:tc>
        <w:tc>
          <w:tcPr>
            <w:tcW w:w="3261" w:type="dxa"/>
            <w:shd w:val="clear" w:color="auto" w:fill="C6EFCE"/>
            <w:noWrap/>
            <w:vAlign w:val="center"/>
          </w:tcPr>
          <w:p w14:paraId="3BBA5F87" w14:textId="77777777" w:rsidR="004C6421" w:rsidRDefault="009D1962">
            <w:pPr>
              <w:pStyle w:val="P68B1DB1-Normal4"/>
              <w:rPr>
                <w:noProof/>
              </w:rPr>
            </w:pPr>
            <w:r>
              <w:rPr>
                <w:noProof/>
              </w:rPr>
              <w:t>Należy ukończyć tłocznię gazu Sulmona i gazociąg Sestino-Minerbio.</w:t>
            </w:r>
          </w:p>
        </w:tc>
      </w:tr>
      <w:tr w:rsidR="004C6421" w14:paraId="05C5AB0A" w14:textId="77777777">
        <w:trPr>
          <w:trHeight w:val="309"/>
        </w:trPr>
        <w:tc>
          <w:tcPr>
            <w:tcW w:w="1187" w:type="dxa"/>
            <w:shd w:val="clear" w:color="auto" w:fill="C6EFCE"/>
            <w:noWrap/>
            <w:vAlign w:val="center"/>
          </w:tcPr>
          <w:p w14:paraId="3BAB8168" w14:textId="77777777" w:rsidR="004C6421" w:rsidRDefault="009D1962">
            <w:pPr>
              <w:pStyle w:val="P68B1DB1-Normal4"/>
              <w:jc w:val="center"/>
              <w:rPr>
                <w:noProof/>
              </w:rPr>
            </w:pPr>
            <w:r>
              <w:rPr>
                <w:noProof/>
              </w:rPr>
              <w:t>M7-38</w:t>
            </w:r>
          </w:p>
        </w:tc>
        <w:tc>
          <w:tcPr>
            <w:tcW w:w="1559" w:type="dxa"/>
            <w:shd w:val="clear" w:color="auto" w:fill="C6EFCE"/>
            <w:noWrap/>
            <w:vAlign w:val="center"/>
          </w:tcPr>
          <w:p w14:paraId="3D904487" w14:textId="77777777" w:rsidR="004C6421" w:rsidRDefault="009D1962">
            <w:pPr>
              <w:pStyle w:val="P68B1DB1-Normal4"/>
              <w:jc w:val="center"/>
              <w:rPr>
                <w:noProof/>
              </w:rPr>
            </w:pPr>
            <w:r>
              <w:rPr>
                <w:noProof/>
              </w:rPr>
              <w:t>Inwestycja 14: Infrastruktura na potrzeby transgranicznego eksportu gazu</w:t>
            </w:r>
          </w:p>
        </w:tc>
        <w:tc>
          <w:tcPr>
            <w:tcW w:w="1134" w:type="dxa"/>
            <w:shd w:val="clear" w:color="auto" w:fill="C6EFCE"/>
            <w:noWrap/>
            <w:vAlign w:val="center"/>
          </w:tcPr>
          <w:p w14:paraId="62A1CF66" w14:textId="7498E445" w:rsidR="004C6421" w:rsidRDefault="00CC179E">
            <w:pPr>
              <w:pStyle w:val="P68B1DB1-Normal4"/>
              <w:jc w:val="center"/>
              <w:rPr>
                <w:noProof/>
              </w:rPr>
            </w:pPr>
            <w:r>
              <w:rPr>
                <w:noProof/>
              </w:rPr>
              <w:t>Milowy</w:t>
            </w:r>
          </w:p>
        </w:tc>
        <w:tc>
          <w:tcPr>
            <w:tcW w:w="1417" w:type="dxa"/>
            <w:shd w:val="clear" w:color="auto" w:fill="C6EFCE"/>
            <w:noWrap/>
            <w:vAlign w:val="center"/>
          </w:tcPr>
          <w:p w14:paraId="749E6C85" w14:textId="77777777" w:rsidR="004C6421" w:rsidRDefault="009D1962">
            <w:pPr>
              <w:pStyle w:val="P68B1DB1-Normal4"/>
              <w:jc w:val="center"/>
              <w:rPr>
                <w:noProof/>
              </w:rPr>
            </w:pPr>
            <w:r>
              <w:rPr>
                <w:noProof/>
              </w:rPr>
              <w:t>Udzielenie zamówień</w:t>
            </w:r>
          </w:p>
        </w:tc>
        <w:tc>
          <w:tcPr>
            <w:tcW w:w="1701" w:type="dxa"/>
            <w:shd w:val="clear" w:color="auto" w:fill="C6EFCE"/>
            <w:noWrap/>
            <w:vAlign w:val="center"/>
          </w:tcPr>
          <w:p w14:paraId="7CB61CCE" w14:textId="77777777" w:rsidR="004C6421" w:rsidRDefault="009D1962">
            <w:pPr>
              <w:pStyle w:val="P68B1DB1-Normal4"/>
              <w:jc w:val="center"/>
              <w:rPr>
                <w:noProof/>
              </w:rPr>
            </w:pPr>
            <w:r>
              <w:rPr>
                <w:noProof/>
              </w:rPr>
              <w:t>Powiadomienie o udzieleniu zamówienia</w:t>
            </w:r>
          </w:p>
        </w:tc>
        <w:tc>
          <w:tcPr>
            <w:tcW w:w="1276" w:type="dxa"/>
            <w:shd w:val="clear" w:color="auto" w:fill="C6EFCE"/>
            <w:noWrap/>
            <w:vAlign w:val="center"/>
          </w:tcPr>
          <w:p w14:paraId="717BF9A7" w14:textId="77777777" w:rsidR="004C6421" w:rsidRDefault="004C6421">
            <w:pPr>
              <w:jc w:val="center"/>
              <w:rPr>
                <w:rFonts w:ascii="Arial Narrow" w:hAnsi="Arial Narrow"/>
                <w:noProof/>
                <w:color w:val="FF0000"/>
                <w:sz w:val="20"/>
              </w:rPr>
            </w:pPr>
          </w:p>
        </w:tc>
        <w:tc>
          <w:tcPr>
            <w:tcW w:w="992" w:type="dxa"/>
            <w:shd w:val="clear" w:color="auto" w:fill="C6EFCE"/>
            <w:noWrap/>
            <w:vAlign w:val="center"/>
          </w:tcPr>
          <w:p w14:paraId="3C256E62" w14:textId="77777777" w:rsidR="004C6421" w:rsidRDefault="004C6421">
            <w:pPr>
              <w:jc w:val="center"/>
              <w:rPr>
                <w:rFonts w:ascii="Arial Narrow" w:hAnsi="Arial Narrow"/>
                <w:noProof/>
                <w:color w:val="006100"/>
                <w:sz w:val="20"/>
              </w:rPr>
            </w:pPr>
          </w:p>
        </w:tc>
        <w:tc>
          <w:tcPr>
            <w:tcW w:w="1276" w:type="dxa"/>
            <w:shd w:val="clear" w:color="auto" w:fill="C6EFCE"/>
            <w:noWrap/>
            <w:vAlign w:val="center"/>
          </w:tcPr>
          <w:p w14:paraId="0308830B" w14:textId="77777777" w:rsidR="004C6421" w:rsidRDefault="004C6421">
            <w:pPr>
              <w:jc w:val="center"/>
              <w:rPr>
                <w:rFonts w:ascii="Arial Narrow" w:hAnsi="Arial Narrow"/>
                <w:noProof/>
                <w:color w:val="006100"/>
                <w:sz w:val="20"/>
              </w:rPr>
            </w:pPr>
          </w:p>
        </w:tc>
        <w:tc>
          <w:tcPr>
            <w:tcW w:w="851" w:type="dxa"/>
            <w:shd w:val="clear" w:color="auto" w:fill="C6EFCE"/>
            <w:noWrap/>
            <w:vAlign w:val="center"/>
          </w:tcPr>
          <w:p w14:paraId="7897DD83" w14:textId="77777777" w:rsidR="004C6421" w:rsidRDefault="009D1962">
            <w:pPr>
              <w:pStyle w:val="P68B1DB1-Normal4"/>
              <w:jc w:val="center"/>
              <w:rPr>
                <w:noProof/>
              </w:rPr>
            </w:pPr>
            <w:r>
              <w:rPr>
                <w:noProof/>
              </w:rPr>
              <w:t>II KW.</w:t>
            </w:r>
          </w:p>
        </w:tc>
        <w:tc>
          <w:tcPr>
            <w:tcW w:w="708" w:type="dxa"/>
            <w:shd w:val="clear" w:color="auto" w:fill="C6EFCE"/>
            <w:noWrap/>
            <w:vAlign w:val="center"/>
          </w:tcPr>
          <w:p w14:paraId="7519E459" w14:textId="77777777" w:rsidR="004C6421" w:rsidRDefault="009D1962">
            <w:pPr>
              <w:pStyle w:val="P68B1DB1-Normal4"/>
              <w:jc w:val="center"/>
              <w:rPr>
                <w:noProof/>
              </w:rPr>
            </w:pPr>
            <w:r>
              <w:rPr>
                <w:noProof/>
              </w:rPr>
              <w:t>2024</w:t>
            </w:r>
          </w:p>
        </w:tc>
        <w:tc>
          <w:tcPr>
            <w:tcW w:w="3261" w:type="dxa"/>
            <w:shd w:val="clear" w:color="auto" w:fill="C6EFCE"/>
            <w:noWrap/>
            <w:vAlign w:val="center"/>
          </w:tcPr>
          <w:p w14:paraId="7D5A218A" w14:textId="77777777" w:rsidR="004C6421" w:rsidRDefault="009D1962">
            <w:pPr>
              <w:pStyle w:val="P68B1DB1-Normal4"/>
              <w:rPr>
                <w:noProof/>
              </w:rPr>
            </w:pPr>
            <w:r>
              <w:rPr>
                <w:noProof/>
              </w:rPr>
              <w:t>Powiadomienie o udzieleniu wszystkich zamówień na roboty niezbędne do ukończenia tłoczni Poggio Renatico</w:t>
            </w:r>
          </w:p>
        </w:tc>
      </w:tr>
      <w:tr w:rsidR="004C6421" w14:paraId="2F3172C0" w14:textId="77777777">
        <w:trPr>
          <w:trHeight w:val="309"/>
        </w:trPr>
        <w:tc>
          <w:tcPr>
            <w:tcW w:w="1187" w:type="dxa"/>
            <w:shd w:val="clear" w:color="auto" w:fill="C6EFCE"/>
            <w:noWrap/>
            <w:vAlign w:val="center"/>
          </w:tcPr>
          <w:p w14:paraId="0B3F5483" w14:textId="77777777" w:rsidR="004C6421" w:rsidRDefault="009D1962">
            <w:pPr>
              <w:pStyle w:val="P68B1DB1-Normal4"/>
              <w:jc w:val="center"/>
              <w:rPr>
                <w:noProof/>
              </w:rPr>
            </w:pPr>
            <w:r>
              <w:rPr>
                <w:noProof/>
              </w:rPr>
              <w:t>M7–39</w:t>
            </w:r>
          </w:p>
        </w:tc>
        <w:tc>
          <w:tcPr>
            <w:tcW w:w="1559" w:type="dxa"/>
            <w:shd w:val="clear" w:color="auto" w:fill="C6EFCE"/>
            <w:noWrap/>
            <w:vAlign w:val="center"/>
          </w:tcPr>
          <w:p w14:paraId="1799C9B5" w14:textId="77777777" w:rsidR="004C6421" w:rsidRDefault="009D1962">
            <w:pPr>
              <w:pStyle w:val="P68B1DB1-Normal4"/>
              <w:jc w:val="center"/>
              <w:rPr>
                <w:noProof/>
              </w:rPr>
            </w:pPr>
            <w:r>
              <w:rPr>
                <w:noProof/>
              </w:rPr>
              <w:t>Inwestycja 14: Infrastruktura na potrzeby transgranicznego eksportu gazu</w:t>
            </w:r>
          </w:p>
        </w:tc>
        <w:tc>
          <w:tcPr>
            <w:tcW w:w="1134" w:type="dxa"/>
            <w:shd w:val="clear" w:color="auto" w:fill="C6EFCE"/>
            <w:noWrap/>
            <w:vAlign w:val="center"/>
          </w:tcPr>
          <w:p w14:paraId="01DBED5D" w14:textId="287A3071" w:rsidR="004C6421" w:rsidRDefault="00CC179E">
            <w:pPr>
              <w:pStyle w:val="P68B1DB1-Normal4"/>
              <w:jc w:val="center"/>
              <w:rPr>
                <w:noProof/>
              </w:rPr>
            </w:pPr>
            <w:r>
              <w:rPr>
                <w:noProof/>
              </w:rPr>
              <w:t>Milowy</w:t>
            </w:r>
          </w:p>
        </w:tc>
        <w:tc>
          <w:tcPr>
            <w:tcW w:w="1417" w:type="dxa"/>
            <w:shd w:val="clear" w:color="auto" w:fill="C6EFCE"/>
            <w:noWrap/>
            <w:vAlign w:val="center"/>
          </w:tcPr>
          <w:p w14:paraId="6D2DBCA2" w14:textId="77777777" w:rsidR="004C6421" w:rsidRDefault="009D1962">
            <w:pPr>
              <w:pStyle w:val="P68B1DB1-Normal4"/>
              <w:jc w:val="center"/>
              <w:rPr>
                <w:noProof/>
              </w:rPr>
            </w:pPr>
            <w:r>
              <w:rPr>
                <w:noProof/>
              </w:rPr>
              <w:t>Zakończenie prac</w:t>
            </w:r>
          </w:p>
        </w:tc>
        <w:tc>
          <w:tcPr>
            <w:tcW w:w="1701" w:type="dxa"/>
            <w:shd w:val="clear" w:color="auto" w:fill="C6EFCE"/>
            <w:noWrap/>
            <w:vAlign w:val="center"/>
          </w:tcPr>
          <w:p w14:paraId="0EAA875F" w14:textId="77777777" w:rsidR="004C6421" w:rsidRDefault="009D1962">
            <w:pPr>
              <w:pStyle w:val="P68B1DB1-Normal4"/>
              <w:jc w:val="center"/>
              <w:rPr>
                <w:noProof/>
              </w:rPr>
            </w:pPr>
            <w:r>
              <w:rPr>
                <w:noProof/>
              </w:rPr>
              <w:t>Powiadomienie o zakończeniu prac</w:t>
            </w:r>
          </w:p>
        </w:tc>
        <w:tc>
          <w:tcPr>
            <w:tcW w:w="1276" w:type="dxa"/>
            <w:shd w:val="clear" w:color="auto" w:fill="C6EFCE"/>
            <w:noWrap/>
            <w:vAlign w:val="center"/>
          </w:tcPr>
          <w:p w14:paraId="3F17FCF0" w14:textId="77777777" w:rsidR="004C6421" w:rsidRDefault="004C6421">
            <w:pPr>
              <w:jc w:val="center"/>
              <w:rPr>
                <w:rFonts w:ascii="Arial Narrow" w:hAnsi="Arial Narrow"/>
                <w:noProof/>
                <w:color w:val="006100"/>
                <w:sz w:val="20"/>
              </w:rPr>
            </w:pPr>
          </w:p>
        </w:tc>
        <w:tc>
          <w:tcPr>
            <w:tcW w:w="992" w:type="dxa"/>
            <w:shd w:val="clear" w:color="auto" w:fill="C6EFCE"/>
            <w:noWrap/>
            <w:vAlign w:val="center"/>
          </w:tcPr>
          <w:p w14:paraId="164F4A39" w14:textId="77777777" w:rsidR="004C6421" w:rsidRDefault="004C6421">
            <w:pPr>
              <w:jc w:val="center"/>
              <w:rPr>
                <w:rFonts w:ascii="Arial Narrow" w:hAnsi="Arial Narrow"/>
                <w:noProof/>
                <w:color w:val="006100"/>
                <w:sz w:val="20"/>
              </w:rPr>
            </w:pPr>
          </w:p>
        </w:tc>
        <w:tc>
          <w:tcPr>
            <w:tcW w:w="1276" w:type="dxa"/>
            <w:shd w:val="clear" w:color="auto" w:fill="C6EFCE"/>
            <w:noWrap/>
            <w:vAlign w:val="center"/>
          </w:tcPr>
          <w:p w14:paraId="7ADF27AC" w14:textId="77777777" w:rsidR="004C6421" w:rsidRDefault="004C6421">
            <w:pPr>
              <w:jc w:val="center"/>
              <w:rPr>
                <w:rFonts w:ascii="Arial Narrow" w:hAnsi="Arial Narrow"/>
                <w:noProof/>
                <w:color w:val="006100"/>
                <w:sz w:val="20"/>
              </w:rPr>
            </w:pPr>
          </w:p>
        </w:tc>
        <w:tc>
          <w:tcPr>
            <w:tcW w:w="851" w:type="dxa"/>
            <w:shd w:val="clear" w:color="auto" w:fill="C6EFCE"/>
            <w:noWrap/>
            <w:vAlign w:val="center"/>
          </w:tcPr>
          <w:p w14:paraId="5E01EFD0" w14:textId="77777777" w:rsidR="004C6421" w:rsidRDefault="009D1962">
            <w:pPr>
              <w:pStyle w:val="P68B1DB1-Normal4"/>
              <w:jc w:val="center"/>
              <w:rPr>
                <w:noProof/>
              </w:rPr>
            </w:pPr>
            <w:r>
              <w:rPr>
                <w:noProof/>
              </w:rPr>
              <w:t>II KW.</w:t>
            </w:r>
          </w:p>
        </w:tc>
        <w:tc>
          <w:tcPr>
            <w:tcW w:w="708" w:type="dxa"/>
            <w:shd w:val="clear" w:color="auto" w:fill="C6EFCE"/>
            <w:noWrap/>
            <w:vAlign w:val="center"/>
          </w:tcPr>
          <w:p w14:paraId="0B59E1FF" w14:textId="77777777" w:rsidR="004C6421" w:rsidRDefault="009D1962">
            <w:pPr>
              <w:pStyle w:val="P68B1DB1-Normal4"/>
              <w:jc w:val="center"/>
              <w:rPr>
                <w:noProof/>
              </w:rPr>
            </w:pPr>
            <w:r>
              <w:rPr>
                <w:noProof/>
              </w:rPr>
              <w:t>2026</w:t>
            </w:r>
          </w:p>
        </w:tc>
        <w:tc>
          <w:tcPr>
            <w:tcW w:w="3261" w:type="dxa"/>
            <w:shd w:val="clear" w:color="auto" w:fill="C6EFCE"/>
            <w:noWrap/>
            <w:vAlign w:val="center"/>
          </w:tcPr>
          <w:p w14:paraId="123FA88A" w14:textId="77777777" w:rsidR="004C6421" w:rsidRDefault="009D1962">
            <w:pPr>
              <w:pStyle w:val="P68B1DB1-Normal4"/>
              <w:rPr>
                <w:noProof/>
              </w:rPr>
            </w:pPr>
            <w:r>
              <w:rPr>
                <w:noProof/>
              </w:rPr>
              <w:t>Należy ukończyć kompresję w tłoczni Poggio Renatico.</w:t>
            </w:r>
          </w:p>
        </w:tc>
      </w:tr>
      <w:tr w:rsidR="004C6421" w14:paraId="00544320" w14:textId="77777777">
        <w:trPr>
          <w:trHeight w:val="309"/>
        </w:trPr>
        <w:tc>
          <w:tcPr>
            <w:tcW w:w="1187" w:type="dxa"/>
            <w:shd w:val="clear" w:color="auto" w:fill="C6EFCE"/>
            <w:noWrap/>
            <w:vAlign w:val="center"/>
          </w:tcPr>
          <w:p w14:paraId="170C0792" w14:textId="77777777" w:rsidR="004C6421" w:rsidRDefault="009D1962">
            <w:pPr>
              <w:pStyle w:val="P68B1DB1-Normal4"/>
              <w:jc w:val="center"/>
              <w:rPr>
                <w:noProof/>
              </w:rPr>
            </w:pPr>
            <w:r>
              <w:rPr>
                <w:noProof/>
              </w:rPr>
              <w:t>M7–40</w:t>
            </w:r>
          </w:p>
        </w:tc>
        <w:tc>
          <w:tcPr>
            <w:tcW w:w="1559" w:type="dxa"/>
            <w:shd w:val="clear" w:color="auto" w:fill="C6EFCE"/>
            <w:noWrap/>
            <w:vAlign w:val="center"/>
          </w:tcPr>
          <w:p w14:paraId="438B1B05" w14:textId="77777777" w:rsidR="004C6421" w:rsidRDefault="009D1962">
            <w:pPr>
              <w:pStyle w:val="P68B1DB1-Normal4"/>
              <w:jc w:val="center"/>
              <w:rPr>
                <w:noProof/>
              </w:rPr>
            </w:pPr>
            <w:r>
              <w:rPr>
                <w:noProof/>
              </w:rPr>
              <w:t>Inwestycja 15: Transizione 5,0 Zielony</w:t>
            </w:r>
          </w:p>
        </w:tc>
        <w:tc>
          <w:tcPr>
            <w:tcW w:w="1134" w:type="dxa"/>
            <w:shd w:val="clear" w:color="auto" w:fill="C6EFCE"/>
            <w:noWrap/>
            <w:vAlign w:val="center"/>
          </w:tcPr>
          <w:p w14:paraId="4A986462" w14:textId="72A11ED0" w:rsidR="004C6421" w:rsidRDefault="00CC179E">
            <w:pPr>
              <w:pStyle w:val="P68B1DB1-Normal4"/>
              <w:jc w:val="center"/>
              <w:rPr>
                <w:noProof/>
              </w:rPr>
            </w:pPr>
            <w:r>
              <w:rPr>
                <w:noProof/>
              </w:rPr>
              <w:t>Milowy</w:t>
            </w:r>
          </w:p>
        </w:tc>
        <w:tc>
          <w:tcPr>
            <w:tcW w:w="1417" w:type="dxa"/>
            <w:shd w:val="clear" w:color="auto" w:fill="C6EFCE"/>
            <w:noWrap/>
            <w:vAlign w:val="center"/>
          </w:tcPr>
          <w:p w14:paraId="534FEE13" w14:textId="77777777" w:rsidR="004C6421" w:rsidRDefault="009D1962">
            <w:pPr>
              <w:pStyle w:val="P68B1DB1-Normal4"/>
              <w:jc w:val="center"/>
              <w:rPr>
                <w:noProof/>
              </w:rPr>
            </w:pPr>
            <w:r>
              <w:rPr>
                <w:noProof/>
              </w:rPr>
              <w:t>Wejście w życie aktu prawnego ustanawiającego kryteria kwalifikujących się interwencji</w:t>
            </w:r>
          </w:p>
        </w:tc>
        <w:tc>
          <w:tcPr>
            <w:tcW w:w="1701" w:type="dxa"/>
            <w:shd w:val="clear" w:color="auto" w:fill="C6EFCE"/>
            <w:noWrap/>
            <w:vAlign w:val="center"/>
          </w:tcPr>
          <w:p w14:paraId="3C6D2D03" w14:textId="77777777" w:rsidR="004C6421" w:rsidRDefault="009D1962">
            <w:pPr>
              <w:pStyle w:val="P68B1DB1-Normal4"/>
              <w:jc w:val="center"/>
              <w:rPr>
                <w:noProof/>
              </w:rPr>
            </w:pPr>
            <w:r>
              <w:rPr>
                <w:noProof/>
              </w:rPr>
              <w:t>Przepis w</w:t>
            </w:r>
          </w:p>
          <w:p w14:paraId="4364AB53" w14:textId="77777777" w:rsidR="004C6421" w:rsidRDefault="009D1962">
            <w:pPr>
              <w:pStyle w:val="P68B1DB1-Normal4"/>
              <w:jc w:val="center"/>
              <w:rPr>
                <w:noProof/>
              </w:rPr>
            </w:pPr>
            <w:r>
              <w:rPr>
                <w:noProof/>
              </w:rPr>
              <w:t>prawo wskazujące</w:t>
            </w:r>
          </w:p>
          <w:p w14:paraId="080D63D3" w14:textId="77777777" w:rsidR="004C6421" w:rsidRDefault="009D1962">
            <w:pPr>
              <w:pStyle w:val="P68B1DB1-Normal4"/>
              <w:jc w:val="center"/>
              <w:rPr>
                <w:noProof/>
              </w:rPr>
            </w:pPr>
            <w:r>
              <w:rPr>
                <w:noProof/>
              </w:rPr>
              <w:t>wprowadzenie do</w:t>
            </w:r>
          </w:p>
          <w:p w14:paraId="04BB52DF" w14:textId="77777777" w:rsidR="004C6421" w:rsidRDefault="009D1962">
            <w:pPr>
              <w:pStyle w:val="P68B1DB1-Normal4"/>
              <w:jc w:val="center"/>
              <w:rPr>
                <w:noProof/>
                <w:color w:val="FF0000"/>
              </w:rPr>
            </w:pPr>
            <w:r>
              <w:rPr>
                <w:noProof/>
              </w:rPr>
              <w:t>moc ustawy</w:t>
            </w:r>
          </w:p>
        </w:tc>
        <w:tc>
          <w:tcPr>
            <w:tcW w:w="1276" w:type="dxa"/>
            <w:shd w:val="clear" w:color="auto" w:fill="C6EFCE"/>
            <w:noWrap/>
            <w:vAlign w:val="center"/>
          </w:tcPr>
          <w:p w14:paraId="2166F7DA" w14:textId="77777777" w:rsidR="004C6421" w:rsidRDefault="004C6421">
            <w:pPr>
              <w:jc w:val="center"/>
              <w:rPr>
                <w:rFonts w:ascii="Arial Narrow" w:hAnsi="Arial Narrow"/>
                <w:noProof/>
                <w:color w:val="006100"/>
                <w:sz w:val="20"/>
              </w:rPr>
            </w:pPr>
          </w:p>
        </w:tc>
        <w:tc>
          <w:tcPr>
            <w:tcW w:w="992" w:type="dxa"/>
            <w:shd w:val="clear" w:color="auto" w:fill="C6EFCE"/>
            <w:noWrap/>
            <w:vAlign w:val="center"/>
          </w:tcPr>
          <w:p w14:paraId="063F1A93" w14:textId="77777777" w:rsidR="004C6421" w:rsidRDefault="004C6421">
            <w:pPr>
              <w:jc w:val="center"/>
              <w:rPr>
                <w:rFonts w:ascii="Arial Narrow" w:hAnsi="Arial Narrow"/>
                <w:noProof/>
                <w:color w:val="006100"/>
                <w:sz w:val="20"/>
              </w:rPr>
            </w:pPr>
          </w:p>
        </w:tc>
        <w:tc>
          <w:tcPr>
            <w:tcW w:w="1276" w:type="dxa"/>
            <w:shd w:val="clear" w:color="auto" w:fill="C6EFCE"/>
            <w:noWrap/>
            <w:vAlign w:val="center"/>
          </w:tcPr>
          <w:p w14:paraId="3DEB2B9B" w14:textId="77777777" w:rsidR="004C6421" w:rsidRDefault="004C6421">
            <w:pPr>
              <w:jc w:val="center"/>
              <w:rPr>
                <w:rFonts w:ascii="Arial Narrow" w:hAnsi="Arial Narrow"/>
                <w:noProof/>
                <w:color w:val="006100"/>
                <w:sz w:val="20"/>
              </w:rPr>
            </w:pPr>
          </w:p>
        </w:tc>
        <w:tc>
          <w:tcPr>
            <w:tcW w:w="851" w:type="dxa"/>
            <w:shd w:val="clear" w:color="auto" w:fill="C6EFCE"/>
            <w:noWrap/>
            <w:vAlign w:val="center"/>
          </w:tcPr>
          <w:p w14:paraId="01F4A79D" w14:textId="2A280182" w:rsidR="004C6421" w:rsidRDefault="00CC179E">
            <w:pPr>
              <w:pStyle w:val="P68B1DB1-Normal4"/>
              <w:jc w:val="center"/>
              <w:rPr>
                <w:noProof/>
              </w:rPr>
            </w:pPr>
            <w:r>
              <w:rPr>
                <w:noProof/>
              </w:rPr>
              <w:t>KW. 1</w:t>
            </w:r>
          </w:p>
        </w:tc>
        <w:tc>
          <w:tcPr>
            <w:tcW w:w="708" w:type="dxa"/>
            <w:shd w:val="clear" w:color="auto" w:fill="C6EFCE"/>
            <w:noWrap/>
            <w:vAlign w:val="center"/>
          </w:tcPr>
          <w:p w14:paraId="21CEDE65" w14:textId="77777777" w:rsidR="004C6421" w:rsidRDefault="009D1962">
            <w:pPr>
              <w:pStyle w:val="P68B1DB1-Normal4"/>
              <w:jc w:val="center"/>
              <w:rPr>
                <w:noProof/>
              </w:rPr>
            </w:pPr>
            <w:r>
              <w:rPr>
                <w:noProof/>
              </w:rPr>
              <w:t>2024</w:t>
            </w:r>
          </w:p>
        </w:tc>
        <w:tc>
          <w:tcPr>
            <w:tcW w:w="3261" w:type="dxa"/>
            <w:shd w:val="clear" w:color="auto" w:fill="C6EFCE"/>
            <w:noWrap/>
            <w:vAlign w:val="center"/>
          </w:tcPr>
          <w:p w14:paraId="1836908E" w14:textId="77777777" w:rsidR="004C6421" w:rsidRDefault="009D1962">
            <w:pPr>
              <w:pStyle w:val="P68B1DB1-Normal4"/>
              <w:rPr>
                <w:noProof/>
              </w:rPr>
            </w:pPr>
            <w:r>
              <w:rPr>
                <w:noProof/>
              </w:rPr>
              <w:t>W akcie prawnym udostępnia się potencjalnym odbiorcom ulgi podatkowe w okresie przejściowym 5.0, określając kryteria kwalifikowalności, również pod względem minimalnych oszczędności energii, oraz maksymalnego pułapu wydatków na dany środek.</w:t>
            </w:r>
          </w:p>
        </w:tc>
      </w:tr>
      <w:tr w:rsidR="004C6421" w14:paraId="60F73107" w14:textId="77777777">
        <w:trPr>
          <w:trHeight w:val="64"/>
        </w:trPr>
        <w:tc>
          <w:tcPr>
            <w:tcW w:w="1187" w:type="dxa"/>
            <w:shd w:val="clear" w:color="auto" w:fill="C6EFCE"/>
            <w:noWrap/>
            <w:vAlign w:val="center"/>
          </w:tcPr>
          <w:p w14:paraId="3B9FC432" w14:textId="77777777" w:rsidR="004C6421" w:rsidRDefault="009D1962">
            <w:pPr>
              <w:pStyle w:val="P68B1DB1-Normal4"/>
              <w:jc w:val="center"/>
              <w:rPr>
                <w:noProof/>
              </w:rPr>
            </w:pPr>
            <w:r>
              <w:rPr>
                <w:noProof/>
              </w:rPr>
              <w:t>M7–41</w:t>
            </w:r>
          </w:p>
        </w:tc>
        <w:tc>
          <w:tcPr>
            <w:tcW w:w="1559" w:type="dxa"/>
            <w:shd w:val="clear" w:color="auto" w:fill="C6EFCE"/>
            <w:noWrap/>
            <w:vAlign w:val="center"/>
          </w:tcPr>
          <w:p w14:paraId="7B367406" w14:textId="77777777" w:rsidR="004C6421" w:rsidRDefault="009D1962">
            <w:pPr>
              <w:pStyle w:val="P68B1DB1-Normal4"/>
              <w:jc w:val="center"/>
              <w:rPr>
                <w:noProof/>
              </w:rPr>
            </w:pPr>
            <w:r>
              <w:rPr>
                <w:noProof/>
              </w:rPr>
              <w:t>Inwestycja 15: Transizione 5,0 Zielony</w:t>
            </w:r>
          </w:p>
        </w:tc>
        <w:tc>
          <w:tcPr>
            <w:tcW w:w="1134" w:type="dxa"/>
            <w:shd w:val="clear" w:color="auto" w:fill="C6EFCE"/>
            <w:noWrap/>
            <w:vAlign w:val="center"/>
          </w:tcPr>
          <w:p w14:paraId="730E0BCE" w14:textId="77777777" w:rsidR="004C6421" w:rsidRDefault="009D1962">
            <w:pPr>
              <w:pStyle w:val="P68B1DB1-Normal4"/>
              <w:jc w:val="center"/>
              <w:rPr>
                <w:noProof/>
              </w:rPr>
            </w:pPr>
            <w:r>
              <w:rPr>
                <w:noProof/>
              </w:rPr>
              <w:t>Cel</w:t>
            </w:r>
          </w:p>
        </w:tc>
        <w:tc>
          <w:tcPr>
            <w:tcW w:w="1417" w:type="dxa"/>
            <w:shd w:val="clear" w:color="auto" w:fill="C6EFCE"/>
            <w:noWrap/>
            <w:vAlign w:val="center"/>
          </w:tcPr>
          <w:p w14:paraId="7CE7C0F6" w14:textId="77777777" w:rsidR="004C6421" w:rsidRDefault="009D1962">
            <w:pPr>
              <w:pStyle w:val="P68B1DB1-Normal4"/>
              <w:jc w:val="center"/>
              <w:rPr>
                <w:noProof/>
              </w:rPr>
            </w:pPr>
            <w:r>
              <w:rPr>
                <w:noProof/>
              </w:rPr>
              <w:t>Przyznawanie zasobów Instrumentu na rzecz Odbudowy i Zwiększania Odporności</w:t>
            </w:r>
          </w:p>
        </w:tc>
        <w:tc>
          <w:tcPr>
            <w:tcW w:w="1701" w:type="dxa"/>
            <w:shd w:val="clear" w:color="auto" w:fill="C6EFCE"/>
            <w:noWrap/>
            <w:vAlign w:val="center"/>
          </w:tcPr>
          <w:p w14:paraId="61E2A98E" w14:textId="77777777" w:rsidR="004C6421" w:rsidRDefault="004C6421">
            <w:pPr>
              <w:jc w:val="center"/>
              <w:rPr>
                <w:rFonts w:ascii="Arial Narrow" w:hAnsi="Arial Narrow"/>
                <w:noProof/>
                <w:color w:val="006100"/>
                <w:sz w:val="20"/>
              </w:rPr>
            </w:pPr>
          </w:p>
        </w:tc>
        <w:tc>
          <w:tcPr>
            <w:tcW w:w="1276" w:type="dxa"/>
            <w:shd w:val="clear" w:color="auto" w:fill="C6EFCE"/>
            <w:noWrap/>
            <w:vAlign w:val="center"/>
          </w:tcPr>
          <w:p w14:paraId="4F8FA718" w14:textId="77777777" w:rsidR="004C6421" w:rsidRDefault="009D1962">
            <w:pPr>
              <w:pStyle w:val="P68B1DB1-Normal4"/>
              <w:jc w:val="center"/>
              <w:rPr>
                <w:noProof/>
              </w:rPr>
            </w:pPr>
            <w:r>
              <w:rPr>
                <w:noProof/>
              </w:rPr>
              <w:t>Kwota przyznanych środków (EUR)</w:t>
            </w:r>
          </w:p>
        </w:tc>
        <w:tc>
          <w:tcPr>
            <w:tcW w:w="992" w:type="dxa"/>
            <w:shd w:val="clear" w:color="auto" w:fill="C6EFCE"/>
            <w:noWrap/>
            <w:vAlign w:val="center"/>
          </w:tcPr>
          <w:p w14:paraId="550A1CE2" w14:textId="77777777" w:rsidR="004C6421" w:rsidRDefault="009D1962">
            <w:pPr>
              <w:pStyle w:val="P68B1DB1-Normal4"/>
              <w:jc w:val="center"/>
              <w:rPr>
                <w:noProof/>
              </w:rPr>
            </w:pPr>
            <w:r>
              <w:rPr>
                <w:noProof/>
              </w:rPr>
              <w:t>0</w:t>
            </w:r>
          </w:p>
        </w:tc>
        <w:tc>
          <w:tcPr>
            <w:tcW w:w="1276" w:type="dxa"/>
            <w:shd w:val="clear" w:color="auto" w:fill="C6EFCE"/>
            <w:noWrap/>
            <w:vAlign w:val="center"/>
          </w:tcPr>
          <w:p w14:paraId="0002E9CA" w14:textId="77777777" w:rsidR="004C6421" w:rsidRDefault="009D1962">
            <w:pPr>
              <w:pStyle w:val="P68B1DB1-Normal4"/>
              <w:jc w:val="center"/>
              <w:rPr>
                <w:noProof/>
              </w:rPr>
            </w:pPr>
            <w:r>
              <w:rPr>
                <w:noProof/>
              </w:rPr>
              <w:t>6 300 000 000</w:t>
            </w:r>
          </w:p>
        </w:tc>
        <w:tc>
          <w:tcPr>
            <w:tcW w:w="851" w:type="dxa"/>
            <w:shd w:val="clear" w:color="auto" w:fill="C6EFCE"/>
            <w:noWrap/>
            <w:vAlign w:val="center"/>
          </w:tcPr>
          <w:p w14:paraId="0ACF9C24" w14:textId="77777777" w:rsidR="004C6421" w:rsidRDefault="009D1962">
            <w:pPr>
              <w:pStyle w:val="P68B1DB1-Normal4"/>
              <w:jc w:val="center"/>
              <w:rPr>
                <w:noProof/>
              </w:rPr>
            </w:pPr>
            <w:r>
              <w:rPr>
                <w:noProof/>
              </w:rPr>
              <w:t>II KW.</w:t>
            </w:r>
          </w:p>
        </w:tc>
        <w:tc>
          <w:tcPr>
            <w:tcW w:w="708" w:type="dxa"/>
            <w:shd w:val="clear" w:color="auto" w:fill="C6EFCE"/>
            <w:noWrap/>
            <w:vAlign w:val="center"/>
          </w:tcPr>
          <w:p w14:paraId="59A5B592" w14:textId="77777777" w:rsidR="004C6421" w:rsidRDefault="009D1962">
            <w:pPr>
              <w:pStyle w:val="P68B1DB1-Normal4"/>
              <w:jc w:val="center"/>
              <w:rPr>
                <w:noProof/>
              </w:rPr>
            </w:pPr>
            <w:r>
              <w:rPr>
                <w:noProof/>
              </w:rPr>
              <w:t>2026</w:t>
            </w:r>
          </w:p>
        </w:tc>
        <w:tc>
          <w:tcPr>
            <w:tcW w:w="3261" w:type="dxa"/>
            <w:shd w:val="clear" w:color="auto" w:fill="C6EFCE"/>
            <w:noWrap/>
            <w:vAlign w:val="center"/>
          </w:tcPr>
          <w:p w14:paraId="453374F5" w14:textId="77777777" w:rsidR="004C6421" w:rsidRDefault="009D1962">
            <w:pPr>
              <w:pStyle w:val="P68B1DB1-Normal4"/>
              <w:rPr>
                <w:noProof/>
              </w:rPr>
            </w:pPr>
            <w:r>
              <w:rPr>
                <w:noProof/>
              </w:rPr>
              <w:t xml:space="preserve">Powiadomienie o przyznaniu wszystkich środków z RRF przeznaczonych na tę inwestycję. </w:t>
            </w:r>
          </w:p>
          <w:p w14:paraId="621AB058" w14:textId="77777777" w:rsidR="004C6421" w:rsidRDefault="004C6421">
            <w:pPr>
              <w:rPr>
                <w:rFonts w:ascii="Arial Narrow" w:hAnsi="Arial Narrow"/>
                <w:noProof/>
                <w:color w:val="006100"/>
                <w:sz w:val="20"/>
              </w:rPr>
            </w:pPr>
          </w:p>
          <w:p w14:paraId="34EC1BE7" w14:textId="77777777" w:rsidR="004C6421" w:rsidRDefault="009D1962">
            <w:pPr>
              <w:pStyle w:val="P68B1DB1-Normal4"/>
              <w:rPr>
                <w:noProof/>
              </w:rPr>
            </w:pPr>
            <w:r>
              <w:rPr>
                <w:noProof/>
              </w:rPr>
              <w:t>Zadowalające osiągnięcie celu zależy również od opublikowania sprawozdania oceniającego inwestycje w ramach RRF, za które odpowiedzialne jest Ministerstwo Przedsiębiorstw i Made we Włoszech.</w:t>
            </w:r>
          </w:p>
        </w:tc>
      </w:tr>
      <w:tr w:rsidR="004C6421" w14:paraId="4509F056" w14:textId="77777777">
        <w:trPr>
          <w:trHeight w:val="309"/>
        </w:trPr>
        <w:tc>
          <w:tcPr>
            <w:tcW w:w="1187" w:type="dxa"/>
            <w:shd w:val="clear" w:color="auto" w:fill="C6EFCE"/>
            <w:noWrap/>
            <w:vAlign w:val="center"/>
          </w:tcPr>
          <w:p w14:paraId="0620B7A8" w14:textId="77777777" w:rsidR="004C6421" w:rsidRDefault="009D1962">
            <w:pPr>
              <w:pStyle w:val="P68B1DB1-Normal4"/>
              <w:spacing w:after="120"/>
              <w:jc w:val="center"/>
              <w:rPr>
                <w:noProof/>
              </w:rPr>
            </w:pPr>
            <w:r>
              <w:rPr>
                <w:noProof/>
              </w:rPr>
              <w:t>M7–42</w:t>
            </w:r>
          </w:p>
        </w:tc>
        <w:tc>
          <w:tcPr>
            <w:tcW w:w="1559" w:type="dxa"/>
            <w:shd w:val="clear" w:color="auto" w:fill="C6EFCE"/>
            <w:noWrap/>
            <w:vAlign w:val="center"/>
          </w:tcPr>
          <w:p w14:paraId="303260E7" w14:textId="77777777" w:rsidR="004C6421" w:rsidRDefault="009D1962">
            <w:pPr>
              <w:pStyle w:val="P68B1DB1-Normal4"/>
              <w:spacing w:after="120"/>
              <w:jc w:val="center"/>
              <w:rPr>
                <w:noProof/>
              </w:rPr>
            </w:pPr>
            <w:r>
              <w:rPr>
                <w:noProof/>
              </w:rPr>
              <w:t>Inwestycja 15: Transizione 5,0 Zielony</w:t>
            </w:r>
          </w:p>
        </w:tc>
        <w:tc>
          <w:tcPr>
            <w:tcW w:w="1134" w:type="dxa"/>
            <w:shd w:val="clear" w:color="auto" w:fill="C6EFCE"/>
            <w:noWrap/>
            <w:vAlign w:val="center"/>
          </w:tcPr>
          <w:p w14:paraId="17BC5297" w14:textId="77777777" w:rsidR="004C6421" w:rsidRDefault="009D1962">
            <w:pPr>
              <w:pStyle w:val="P68B1DB1-Normal4"/>
              <w:spacing w:after="120"/>
              <w:jc w:val="center"/>
              <w:rPr>
                <w:noProof/>
              </w:rPr>
            </w:pPr>
            <w:r>
              <w:rPr>
                <w:noProof/>
              </w:rPr>
              <w:t>Cel</w:t>
            </w:r>
          </w:p>
        </w:tc>
        <w:tc>
          <w:tcPr>
            <w:tcW w:w="1417" w:type="dxa"/>
            <w:shd w:val="clear" w:color="auto" w:fill="C6EFCE"/>
            <w:noWrap/>
            <w:vAlign w:val="center"/>
          </w:tcPr>
          <w:p w14:paraId="2EB92813" w14:textId="77777777" w:rsidR="004C6421" w:rsidRDefault="009D1962">
            <w:pPr>
              <w:pStyle w:val="P68B1DB1-Normal4"/>
              <w:spacing w:after="120"/>
              <w:jc w:val="center"/>
              <w:rPr>
                <w:noProof/>
              </w:rPr>
            </w:pPr>
            <w:r>
              <w:rPr>
                <w:noProof/>
              </w:rPr>
              <w:t>0,4 Mtoe oszczędności energii w zużyciu energii końcowej w latach 2024–2026</w:t>
            </w:r>
          </w:p>
        </w:tc>
        <w:tc>
          <w:tcPr>
            <w:tcW w:w="1701" w:type="dxa"/>
            <w:shd w:val="clear" w:color="auto" w:fill="C6EFCE"/>
            <w:noWrap/>
            <w:vAlign w:val="center"/>
          </w:tcPr>
          <w:p w14:paraId="104323BE" w14:textId="77777777" w:rsidR="004C6421" w:rsidRDefault="004C6421">
            <w:pPr>
              <w:spacing w:after="120"/>
              <w:jc w:val="center"/>
              <w:rPr>
                <w:rFonts w:ascii="Arial Narrow" w:hAnsi="Arial Narrow"/>
                <w:noProof/>
                <w:color w:val="006100"/>
                <w:sz w:val="20"/>
              </w:rPr>
            </w:pPr>
          </w:p>
        </w:tc>
        <w:tc>
          <w:tcPr>
            <w:tcW w:w="1276" w:type="dxa"/>
            <w:shd w:val="clear" w:color="auto" w:fill="C6EFCE"/>
            <w:noWrap/>
            <w:vAlign w:val="center"/>
          </w:tcPr>
          <w:p w14:paraId="7ABEE465" w14:textId="77777777" w:rsidR="004C6421" w:rsidRDefault="009D1962">
            <w:pPr>
              <w:pStyle w:val="P68B1DB1-Normal4"/>
              <w:spacing w:after="120"/>
              <w:jc w:val="center"/>
              <w:rPr>
                <w:noProof/>
              </w:rPr>
            </w:pPr>
            <w:r>
              <w:rPr>
                <w:noProof/>
              </w:rPr>
              <w:t>Mtoe</w:t>
            </w:r>
          </w:p>
        </w:tc>
        <w:tc>
          <w:tcPr>
            <w:tcW w:w="992" w:type="dxa"/>
            <w:shd w:val="clear" w:color="auto" w:fill="C6EFCE"/>
            <w:noWrap/>
            <w:vAlign w:val="center"/>
          </w:tcPr>
          <w:p w14:paraId="084CF5A0" w14:textId="77777777" w:rsidR="004C6421" w:rsidRDefault="009D1962">
            <w:pPr>
              <w:pStyle w:val="P68B1DB1-Normal4"/>
              <w:spacing w:after="120"/>
              <w:jc w:val="center"/>
              <w:rPr>
                <w:noProof/>
              </w:rPr>
            </w:pPr>
            <w:r>
              <w:rPr>
                <w:noProof/>
              </w:rPr>
              <w:t>0</w:t>
            </w:r>
          </w:p>
        </w:tc>
        <w:tc>
          <w:tcPr>
            <w:tcW w:w="1276" w:type="dxa"/>
            <w:shd w:val="clear" w:color="auto" w:fill="C6EFCE"/>
            <w:noWrap/>
            <w:vAlign w:val="center"/>
          </w:tcPr>
          <w:p w14:paraId="0B77A337" w14:textId="77777777" w:rsidR="004C6421" w:rsidRDefault="009D1962">
            <w:pPr>
              <w:pStyle w:val="P68B1DB1-Normal4"/>
              <w:spacing w:after="120"/>
              <w:jc w:val="center"/>
              <w:rPr>
                <w:noProof/>
              </w:rPr>
            </w:pPr>
            <w:r>
              <w:rPr>
                <w:noProof/>
              </w:rPr>
              <w:t>0.4</w:t>
            </w:r>
          </w:p>
        </w:tc>
        <w:tc>
          <w:tcPr>
            <w:tcW w:w="851" w:type="dxa"/>
            <w:shd w:val="clear" w:color="auto" w:fill="C6EFCE"/>
            <w:noWrap/>
            <w:vAlign w:val="center"/>
          </w:tcPr>
          <w:p w14:paraId="07BD2F47" w14:textId="77777777" w:rsidR="004C6421" w:rsidRDefault="009D1962">
            <w:pPr>
              <w:pStyle w:val="P68B1DB1-Normal4"/>
              <w:spacing w:after="120"/>
              <w:jc w:val="center"/>
              <w:rPr>
                <w:noProof/>
              </w:rPr>
            </w:pPr>
            <w:r>
              <w:rPr>
                <w:noProof/>
              </w:rPr>
              <w:t>II KW.</w:t>
            </w:r>
          </w:p>
        </w:tc>
        <w:tc>
          <w:tcPr>
            <w:tcW w:w="708" w:type="dxa"/>
            <w:shd w:val="clear" w:color="auto" w:fill="C6EFCE"/>
            <w:noWrap/>
            <w:vAlign w:val="center"/>
          </w:tcPr>
          <w:p w14:paraId="7FCB7667" w14:textId="77777777" w:rsidR="004C6421" w:rsidRDefault="009D1962">
            <w:pPr>
              <w:pStyle w:val="P68B1DB1-Normal4"/>
              <w:spacing w:after="120"/>
              <w:jc w:val="center"/>
              <w:rPr>
                <w:noProof/>
              </w:rPr>
            </w:pPr>
            <w:r>
              <w:rPr>
                <w:noProof/>
              </w:rPr>
              <w:t>2026</w:t>
            </w:r>
          </w:p>
        </w:tc>
        <w:tc>
          <w:tcPr>
            <w:tcW w:w="3261" w:type="dxa"/>
            <w:shd w:val="clear" w:color="auto" w:fill="C6EFCE"/>
            <w:noWrap/>
            <w:vAlign w:val="center"/>
          </w:tcPr>
          <w:p w14:paraId="3B8A55CA" w14:textId="77777777" w:rsidR="004C6421" w:rsidRDefault="009D1962">
            <w:pPr>
              <w:pStyle w:val="P68B1DB1-Normal4"/>
              <w:spacing w:after="120"/>
              <w:rPr>
                <w:noProof/>
              </w:rPr>
            </w:pPr>
            <w:r>
              <w:rPr>
                <w:noProof/>
              </w:rPr>
              <w:t>Inwestycja generuje 0,4 MTOE oszczędności energii w zużyciu energii końcowej w latach 2024–2026.</w:t>
            </w:r>
          </w:p>
        </w:tc>
      </w:tr>
      <w:tr w:rsidR="004C6421" w14:paraId="63ADBF08" w14:textId="77777777">
        <w:trPr>
          <w:trHeight w:val="309"/>
        </w:trPr>
        <w:tc>
          <w:tcPr>
            <w:tcW w:w="1187" w:type="dxa"/>
            <w:shd w:val="clear" w:color="auto" w:fill="C6EFCE"/>
            <w:noWrap/>
            <w:vAlign w:val="center"/>
          </w:tcPr>
          <w:p w14:paraId="2955F7CC" w14:textId="77777777" w:rsidR="004C6421" w:rsidRDefault="009D1962">
            <w:pPr>
              <w:pStyle w:val="P68B1DB1-Normal4"/>
              <w:spacing w:after="120"/>
              <w:jc w:val="center"/>
              <w:rPr>
                <w:noProof/>
              </w:rPr>
            </w:pPr>
            <w:r>
              <w:rPr>
                <w:noProof/>
              </w:rPr>
              <w:t>M7-43</w:t>
            </w:r>
          </w:p>
        </w:tc>
        <w:tc>
          <w:tcPr>
            <w:tcW w:w="1559" w:type="dxa"/>
            <w:shd w:val="clear" w:color="auto" w:fill="C6EFCE"/>
            <w:noWrap/>
            <w:vAlign w:val="center"/>
          </w:tcPr>
          <w:p w14:paraId="62101DCE" w14:textId="77777777" w:rsidR="004C6421" w:rsidRDefault="009D1962">
            <w:pPr>
              <w:pStyle w:val="P68B1DB1-Normal4"/>
              <w:spacing w:after="120"/>
              <w:jc w:val="center"/>
              <w:rPr>
                <w:noProof/>
              </w:rPr>
            </w:pPr>
            <w:r>
              <w:rPr>
                <w:noProof/>
              </w:rPr>
              <w:t>Inwestycja 16: Wsparcie dla MŚP w zakresie własnej produkcji z odnawialnych źródeł energii</w:t>
            </w:r>
          </w:p>
        </w:tc>
        <w:tc>
          <w:tcPr>
            <w:tcW w:w="1134" w:type="dxa"/>
            <w:shd w:val="clear" w:color="auto" w:fill="C6EFCE"/>
            <w:noWrap/>
            <w:vAlign w:val="center"/>
          </w:tcPr>
          <w:p w14:paraId="1F5459BB" w14:textId="5BCE9A16" w:rsidR="004C6421" w:rsidRDefault="00CC179E">
            <w:pPr>
              <w:pStyle w:val="P68B1DB1-Normal4"/>
              <w:spacing w:after="120"/>
              <w:jc w:val="center"/>
              <w:rPr>
                <w:noProof/>
              </w:rPr>
            </w:pPr>
            <w:r>
              <w:rPr>
                <w:noProof/>
              </w:rPr>
              <w:t>Milowy</w:t>
            </w:r>
          </w:p>
        </w:tc>
        <w:tc>
          <w:tcPr>
            <w:tcW w:w="1417" w:type="dxa"/>
            <w:shd w:val="clear" w:color="auto" w:fill="C6EFCE"/>
            <w:noWrap/>
            <w:vAlign w:val="center"/>
          </w:tcPr>
          <w:p w14:paraId="02031203" w14:textId="77777777" w:rsidR="004C6421" w:rsidRDefault="009D1962">
            <w:pPr>
              <w:pStyle w:val="P68B1DB1-Normal4"/>
              <w:spacing w:after="120"/>
              <w:jc w:val="center"/>
              <w:rPr>
                <w:noProof/>
              </w:rPr>
            </w:pPr>
            <w:r>
              <w:rPr>
                <w:noProof/>
              </w:rPr>
              <w:t>Umowa wykonawcza</w:t>
            </w:r>
          </w:p>
        </w:tc>
        <w:tc>
          <w:tcPr>
            <w:tcW w:w="1701" w:type="dxa"/>
            <w:shd w:val="clear" w:color="auto" w:fill="C6EFCE"/>
            <w:noWrap/>
            <w:vAlign w:val="center"/>
          </w:tcPr>
          <w:p w14:paraId="4AD69D9C" w14:textId="77777777" w:rsidR="004C6421" w:rsidRDefault="009D1962">
            <w:pPr>
              <w:pStyle w:val="P68B1DB1-Normal4"/>
              <w:spacing w:after="120"/>
              <w:jc w:val="center"/>
              <w:rPr>
                <w:noProof/>
              </w:rPr>
            </w:pPr>
            <w:r>
              <w:rPr>
                <w:noProof/>
              </w:rPr>
              <w:t>Wejście w życie umowy wykonawczej</w:t>
            </w:r>
          </w:p>
        </w:tc>
        <w:tc>
          <w:tcPr>
            <w:tcW w:w="1276" w:type="dxa"/>
            <w:shd w:val="clear" w:color="auto" w:fill="C6EFCE"/>
            <w:noWrap/>
            <w:vAlign w:val="center"/>
          </w:tcPr>
          <w:p w14:paraId="26693D12" w14:textId="77777777" w:rsidR="004C6421" w:rsidRDefault="004C6421">
            <w:pPr>
              <w:spacing w:after="120"/>
              <w:jc w:val="center"/>
              <w:rPr>
                <w:rFonts w:ascii="Arial Narrow" w:hAnsi="Arial Narrow"/>
                <w:noProof/>
                <w:color w:val="006100"/>
                <w:sz w:val="20"/>
              </w:rPr>
            </w:pPr>
          </w:p>
        </w:tc>
        <w:tc>
          <w:tcPr>
            <w:tcW w:w="992" w:type="dxa"/>
            <w:shd w:val="clear" w:color="auto" w:fill="C6EFCE"/>
            <w:noWrap/>
            <w:vAlign w:val="center"/>
          </w:tcPr>
          <w:p w14:paraId="2E58AC63" w14:textId="77777777" w:rsidR="004C6421" w:rsidRDefault="004C6421">
            <w:pPr>
              <w:spacing w:after="120"/>
              <w:jc w:val="center"/>
              <w:rPr>
                <w:rFonts w:ascii="Arial Narrow" w:hAnsi="Arial Narrow"/>
                <w:noProof/>
                <w:color w:val="006100"/>
                <w:sz w:val="20"/>
              </w:rPr>
            </w:pPr>
          </w:p>
        </w:tc>
        <w:tc>
          <w:tcPr>
            <w:tcW w:w="1276" w:type="dxa"/>
            <w:shd w:val="clear" w:color="auto" w:fill="C6EFCE"/>
            <w:noWrap/>
            <w:vAlign w:val="center"/>
          </w:tcPr>
          <w:p w14:paraId="1ADA2B6F" w14:textId="77777777" w:rsidR="004C6421" w:rsidRDefault="004C6421">
            <w:pPr>
              <w:spacing w:after="120"/>
              <w:jc w:val="center"/>
              <w:rPr>
                <w:rFonts w:ascii="Arial Narrow" w:hAnsi="Arial Narrow"/>
                <w:noProof/>
                <w:color w:val="006100"/>
                <w:sz w:val="20"/>
              </w:rPr>
            </w:pPr>
          </w:p>
        </w:tc>
        <w:tc>
          <w:tcPr>
            <w:tcW w:w="851" w:type="dxa"/>
            <w:shd w:val="clear" w:color="auto" w:fill="C6EFCE"/>
            <w:noWrap/>
            <w:vAlign w:val="center"/>
          </w:tcPr>
          <w:p w14:paraId="3EC0F028" w14:textId="1FFA313C" w:rsidR="004C6421" w:rsidRDefault="00CC179E">
            <w:pPr>
              <w:pStyle w:val="P68B1DB1-Normal4"/>
              <w:spacing w:after="120"/>
              <w:jc w:val="center"/>
              <w:rPr>
                <w:noProof/>
              </w:rPr>
            </w:pPr>
            <w:r>
              <w:rPr>
                <w:noProof/>
              </w:rPr>
              <w:t>KW. 4</w:t>
            </w:r>
          </w:p>
        </w:tc>
        <w:tc>
          <w:tcPr>
            <w:tcW w:w="708" w:type="dxa"/>
            <w:shd w:val="clear" w:color="auto" w:fill="C6EFCE"/>
            <w:noWrap/>
            <w:vAlign w:val="center"/>
          </w:tcPr>
          <w:p w14:paraId="0AC9F62B" w14:textId="77777777" w:rsidR="004C6421" w:rsidRDefault="009D1962">
            <w:pPr>
              <w:pStyle w:val="P68B1DB1-Normal4"/>
              <w:spacing w:after="120"/>
              <w:jc w:val="center"/>
              <w:rPr>
                <w:noProof/>
              </w:rPr>
            </w:pPr>
            <w:r>
              <w:rPr>
                <w:noProof/>
              </w:rPr>
              <w:t>2024</w:t>
            </w:r>
          </w:p>
        </w:tc>
        <w:tc>
          <w:tcPr>
            <w:tcW w:w="3261" w:type="dxa"/>
            <w:shd w:val="clear" w:color="auto" w:fill="C6EFCE"/>
            <w:noWrap/>
            <w:vAlign w:val="center"/>
          </w:tcPr>
          <w:p w14:paraId="00F5759D" w14:textId="77777777" w:rsidR="004C6421" w:rsidRDefault="009D1962">
            <w:pPr>
              <w:pStyle w:val="P68B1DB1-Normal4"/>
              <w:spacing w:after="120"/>
              <w:rPr>
                <w:noProof/>
              </w:rPr>
            </w:pPr>
            <w:r>
              <w:rPr>
                <w:noProof/>
              </w:rPr>
              <w:t>Wejście w życie umowy wykonawczej.</w:t>
            </w:r>
          </w:p>
        </w:tc>
      </w:tr>
      <w:tr w:rsidR="004C6421" w14:paraId="6F563D54" w14:textId="77777777">
        <w:trPr>
          <w:trHeight w:val="309"/>
        </w:trPr>
        <w:tc>
          <w:tcPr>
            <w:tcW w:w="1187" w:type="dxa"/>
            <w:shd w:val="clear" w:color="auto" w:fill="C6EFCE"/>
            <w:noWrap/>
            <w:vAlign w:val="center"/>
          </w:tcPr>
          <w:p w14:paraId="1B867C30" w14:textId="77777777" w:rsidR="004C6421" w:rsidRDefault="009D1962">
            <w:pPr>
              <w:pStyle w:val="P68B1DB1-Normal4"/>
              <w:spacing w:after="120"/>
              <w:jc w:val="center"/>
              <w:rPr>
                <w:noProof/>
                <w:color w:val="000000" w:themeColor="text1"/>
              </w:rPr>
            </w:pPr>
            <w:r>
              <w:rPr>
                <w:noProof/>
              </w:rPr>
              <w:t>M7-44</w:t>
            </w:r>
          </w:p>
        </w:tc>
        <w:tc>
          <w:tcPr>
            <w:tcW w:w="1559" w:type="dxa"/>
            <w:shd w:val="clear" w:color="auto" w:fill="C6EFCE"/>
            <w:noWrap/>
            <w:vAlign w:val="center"/>
          </w:tcPr>
          <w:p w14:paraId="1156FA0F" w14:textId="77777777" w:rsidR="004C6421" w:rsidRDefault="009D1962">
            <w:pPr>
              <w:pStyle w:val="P68B1DB1-Normal4"/>
              <w:spacing w:after="120"/>
              <w:jc w:val="center"/>
              <w:rPr>
                <w:noProof/>
              </w:rPr>
            </w:pPr>
            <w:r>
              <w:rPr>
                <w:noProof/>
              </w:rPr>
              <w:t>Inwestycja 16: Wsparcie dla MŚP w zakresie własnej produkcji z odnawialnych źródeł energii</w:t>
            </w:r>
          </w:p>
        </w:tc>
        <w:tc>
          <w:tcPr>
            <w:tcW w:w="1134" w:type="dxa"/>
            <w:shd w:val="clear" w:color="auto" w:fill="C6EFCE"/>
            <w:noWrap/>
            <w:vAlign w:val="center"/>
          </w:tcPr>
          <w:p w14:paraId="50C3C2E7" w14:textId="5C3F8C35" w:rsidR="004C6421" w:rsidRDefault="00CC179E">
            <w:pPr>
              <w:pStyle w:val="P68B1DB1-Normal4"/>
              <w:spacing w:after="120"/>
              <w:jc w:val="center"/>
              <w:rPr>
                <w:noProof/>
              </w:rPr>
            </w:pPr>
            <w:r>
              <w:rPr>
                <w:noProof/>
              </w:rPr>
              <w:t>Milowy</w:t>
            </w:r>
          </w:p>
        </w:tc>
        <w:tc>
          <w:tcPr>
            <w:tcW w:w="1417" w:type="dxa"/>
            <w:shd w:val="clear" w:color="auto" w:fill="C6EFCE"/>
            <w:noWrap/>
            <w:vAlign w:val="center"/>
          </w:tcPr>
          <w:p w14:paraId="0118ED44" w14:textId="77777777" w:rsidR="004C6421" w:rsidRDefault="009D1962">
            <w:pPr>
              <w:pStyle w:val="P68B1DB1-Normal4"/>
              <w:spacing w:after="120"/>
              <w:jc w:val="center"/>
              <w:rPr>
                <w:noProof/>
              </w:rPr>
            </w:pPr>
            <w:r>
              <w:rPr>
                <w:noProof/>
              </w:rPr>
              <w:t>Ministerstwo Przedsiębiorstw i Made we Włoszech zakończyło przekazywanie środków do Invitalii</w:t>
            </w:r>
          </w:p>
        </w:tc>
        <w:tc>
          <w:tcPr>
            <w:tcW w:w="1701" w:type="dxa"/>
            <w:shd w:val="clear" w:color="auto" w:fill="C6EFCE"/>
            <w:noWrap/>
            <w:vAlign w:val="center"/>
          </w:tcPr>
          <w:p w14:paraId="3452F8E9" w14:textId="77777777" w:rsidR="004C6421" w:rsidRDefault="009D1962">
            <w:pPr>
              <w:pStyle w:val="P68B1DB1-Normal4"/>
              <w:spacing w:after="120"/>
              <w:jc w:val="center"/>
              <w:rPr>
                <w:noProof/>
              </w:rPr>
            </w:pPr>
            <w:r>
              <w:rPr>
                <w:noProof/>
              </w:rPr>
              <w:t>Świadectwo transferu</w:t>
            </w:r>
          </w:p>
        </w:tc>
        <w:tc>
          <w:tcPr>
            <w:tcW w:w="1276" w:type="dxa"/>
            <w:shd w:val="clear" w:color="auto" w:fill="C6EFCE"/>
            <w:noWrap/>
            <w:vAlign w:val="center"/>
          </w:tcPr>
          <w:p w14:paraId="6E23C6C1" w14:textId="77777777" w:rsidR="004C6421" w:rsidRDefault="004C6421">
            <w:pPr>
              <w:spacing w:after="120"/>
              <w:jc w:val="center"/>
              <w:rPr>
                <w:rFonts w:ascii="Arial Narrow" w:hAnsi="Arial Narrow"/>
                <w:noProof/>
                <w:color w:val="006100"/>
                <w:sz w:val="20"/>
              </w:rPr>
            </w:pPr>
          </w:p>
        </w:tc>
        <w:tc>
          <w:tcPr>
            <w:tcW w:w="992" w:type="dxa"/>
            <w:shd w:val="clear" w:color="auto" w:fill="C6EFCE"/>
            <w:noWrap/>
            <w:vAlign w:val="center"/>
          </w:tcPr>
          <w:p w14:paraId="6D8CC3B9" w14:textId="77777777" w:rsidR="004C6421" w:rsidRDefault="004C6421">
            <w:pPr>
              <w:spacing w:after="120"/>
              <w:jc w:val="center"/>
              <w:rPr>
                <w:rFonts w:ascii="Arial Narrow" w:hAnsi="Arial Narrow"/>
                <w:noProof/>
                <w:color w:val="006100"/>
                <w:sz w:val="20"/>
              </w:rPr>
            </w:pPr>
          </w:p>
        </w:tc>
        <w:tc>
          <w:tcPr>
            <w:tcW w:w="1276" w:type="dxa"/>
            <w:shd w:val="clear" w:color="auto" w:fill="C6EFCE"/>
            <w:noWrap/>
            <w:vAlign w:val="center"/>
          </w:tcPr>
          <w:p w14:paraId="4C3D7E20" w14:textId="77777777" w:rsidR="004C6421" w:rsidRDefault="004C6421">
            <w:pPr>
              <w:spacing w:after="120"/>
              <w:jc w:val="center"/>
              <w:rPr>
                <w:rFonts w:ascii="Arial Narrow" w:hAnsi="Arial Narrow"/>
                <w:noProof/>
                <w:color w:val="006100"/>
                <w:sz w:val="20"/>
              </w:rPr>
            </w:pPr>
          </w:p>
        </w:tc>
        <w:tc>
          <w:tcPr>
            <w:tcW w:w="851" w:type="dxa"/>
            <w:shd w:val="clear" w:color="auto" w:fill="C6EFCE"/>
            <w:noWrap/>
            <w:vAlign w:val="center"/>
          </w:tcPr>
          <w:p w14:paraId="6E1C7D72" w14:textId="0CF2BD0D" w:rsidR="004C6421" w:rsidRDefault="00CC179E">
            <w:pPr>
              <w:pStyle w:val="P68B1DB1-Normal4"/>
              <w:spacing w:after="120"/>
              <w:jc w:val="center"/>
              <w:rPr>
                <w:noProof/>
              </w:rPr>
            </w:pPr>
            <w:r>
              <w:rPr>
                <w:noProof/>
              </w:rPr>
              <w:t>KW. 4</w:t>
            </w:r>
          </w:p>
        </w:tc>
        <w:tc>
          <w:tcPr>
            <w:tcW w:w="708" w:type="dxa"/>
            <w:shd w:val="clear" w:color="auto" w:fill="C6EFCE"/>
            <w:noWrap/>
            <w:vAlign w:val="center"/>
          </w:tcPr>
          <w:p w14:paraId="560566DD" w14:textId="77777777" w:rsidR="004C6421" w:rsidRDefault="009D1962">
            <w:pPr>
              <w:pStyle w:val="P68B1DB1-Normal4"/>
              <w:spacing w:after="120"/>
              <w:jc w:val="center"/>
              <w:rPr>
                <w:noProof/>
              </w:rPr>
            </w:pPr>
            <w:r>
              <w:rPr>
                <w:noProof/>
              </w:rPr>
              <w:t>2024</w:t>
            </w:r>
          </w:p>
        </w:tc>
        <w:tc>
          <w:tcPr>
            <w:tcW w:w="3261" w:type="dxa"/>
            <w:shd w:val="clear" w:color="auto" w:fill="C6EFCE"/>
            <w:noWrap/>
            <w:vAlign w:val="center"/>
          </w:tcPr>
          <w:p w14:paraId="28480E38" w14:textId="77777777" w:rsidR="004C6421" w:rsidRDefault="009D1962">
            <w:pPr>
              <w:pStyle w:val="P68B1DB1-Normal4"/>
              <w:spacing w:after="120"/>
              <w:rPr>
                <w:noProof/>
              </w:rPr>
            </w:pPr>
            <w:r>
              <w:rPr>
                <w:noProof/>
              </w:rPr>
              <w:t>Włochy przekażą kwotę 320 000 000 EUR na rzecz Invitalia na rzecz instrumentu.</w:t>
            </w:r>
          </w:p>
        </w:tc>
      </w:tr>
      <w:tr w:rsidR="004C6421" w14:paraId="4DDA8E14" w14:textId="77777777">
        <w:trPr>
          <w:trHeight w:val="309"/>
        </w:trPr>
        <w:tc>
          <w:tcPr>
            <w:tcW w:w="1187" w:type="dxa"/>
            <w:shd w:val="clear" w:color="auto" w:fill="C6EFCE"/>
            <w:noWrap/>
            <w:vAlign w:val="center"/>
          </w:tcPr>
          <w:p w14:paraId="5A7BA830" w14:textId="77777777" w:rsidR="004C6421" w:rsidRDefault="009D1962">
            <w:pPr>
              <w:pStyle w:val="P68B1DB1-Normal4"/>
              <w:spacing w:after="120"/>
              <w:jc w:val="center"/>
              <w:rPr>
                <w:noProof/>
              </w:rPr>
            </w:pPr>
            <w:r>
              <w:rPr>
                <w:noProof/>
              </w:rPr>
              <w:t>M7–45</w:t>
            </w:r>
          </w:p>
        </w:tc>
        <w:tc>
          <w:tcPr>
            <w:tcW w:w="1559" w:type="dxa"/>
            <w:shd w:val="clear" w:color="auto" w:fill="C6EFCE"/>
            <w:noWrap/>
            <w:vAlign w:val="center"/>
          </w:tcPr>
          <w:p w14:paraId="54F03033" w14:textId="77777777" w:rsidR="004C6421" w:rsidRDefault="009D1962">
            <w:pPr>
              <w:pStyle w:val="P68B1DB1-Normal4"/>
              <w:spacing w:after="120"/>
              <w:jc w:val="center"/>
              <w:rPr>
                <w:noProof/>
              </w:rPr>
            </w:pPr>
            <w:r>
              <w:rPr>
                <w:noProof/>
              </w:rPr>
              <w:t>Inwestycja 16: Wsparcie dla MŚP w zakresie własnej produkcji z odnawialnych źródeł energii</w:t>
            </w:r>
          </w:p>
        </w:tc>
        <w:tc>
          <w:tcPr>
            <w:tcW w:w="1134" w:type="dxa"/>
            <w:shd w:val="clear" w:color="auto" w:fill="C6EFCE"/>
            <w:noWrap/>
            <w:vAlign w:val="center"/>
          </w:tcPr>
          <w:p w14:paraId="1D75EA8C" w14:textId="77777777" w:rsidR="004C6421" w:rsidRDefault="009D1962">
            <w:pPr>
              <w:pStyle w:val="P68B1DB1-Normal4"/>
              <w:spacing w:after="120"/>
              <w:jc w:val="center"/>
              <w:rPr>
                <w:noProof/>
              </w:rPr>
            </w:pPr>
            <w:r>
              <w:rPr>
                <w:noProof/>
              </w:rPr>
              <w:t>Cel</w:t>
            </w:r>
          </w:p>
        </w:tc>
        <w:tc>
          <w:tcPr>
            <w:tcW w:w="1417" w:type="dxa"/>
            <w:shd w:val="clear" w:color="auto" w:fill="C6EFCE"/>
            <w:noWrap/>
            <w:vAlign w:val="center"/>
          </w:tcPr>
          <w:p w14:paraId="4FB3C46A" w14:textId="77777777" w:rsidR="004C6421" w:rsidRDefault="009D1962">
            <w:pPr>
              <w:pStyle w:val="P68B1DB1-Normal4"/>
              <w:spacing w:after="120"/>
              <w:jc w:val="center"/>
              <w:rPr>
                <w:noProof/>
              </w:rPr>
            </w:pPr>
            <w:r>
              <w:rPr>
                <w:noProof/>
              </w:rPr>
              <w:t>Umowy prawne z beneficjentami końcowymi</w:t>
            </w:r>
          </w:p>
        </w:tc>
        <w:tc>
          <w:tcPr>
            <w:tcW w:w="1701" w:type="dxa"/>
            <w:shd w:val="clear" w:color="auto" w:fill="C6EFCE"/>
            <w:noWrap/>
            <w:vAlign w:val="center"/>
          </w:tcPr>
          <w:p w14:paraId="3E830241" w14:textId="77777777" w:rsidR="004C6421" w:rsidRDefault="009D1962">
            <w:pPr>
              <w:pStyle w:val="P68B1DB1-Normal4"/>
              <w:spacing w:after="120"/>
              <w:jc w:val="center"/>
              <w:rPr>
                <w:noProof/>
              </w:rPr>
            </w:pPr>
            <w:r>
              <w:rPr>
                <w:noProof/>
              </w:rPr>
              <w:t>NIE DOT.</w:t>
            </w:r>
          </w:p>
        </w:tc>
        <w:tc>
          <w:tcPr>
            <w:tcW w:w="1276" w:type="dxa"/>
            <w:shd w:val="clear" w:color="auto" w:fill="C6EFCE"/>
            <w:noWrap/>
            <w:vAlign w:val="center"/>
          </w:tcPr>
          <w:p w14:paraId="42FA5918" w14:textId="77777777" w:rsidR="004C6421" w:rsidRDefault="009D1962">
            <w:pPr>
              <w:pStyle w:val="P68B1DB1-Normal4"/>
              <w:jc w:val="center"/>
              <w:rPr>
                <w:noProof/>
              </w:rPr>
            </w:pPr>
            <w:r>
              <w:rPr>
                <w:noProof/>
              </w:rPr>
              <w:t>Procent(%)</w:t>
            </w:r>
          </w:p>
        </w:tc>
        <w:tc>
          <w:tcPr>
            <w:tcW w:w="992" w:type="dxa"/>
            <w:shd w:val="clear" w:color="auto" w:fill="C6EFCE"/>
            <w:noWrap/>
            <w:vAlign w:val="center"/>
          </w:tcPr>
          <w:p w14:paraId="1938D3A0" w14:textId="77777777" w:rsidR="004C6421" w:rsidRDefault="009D1962">
            <w:pPr>
              <w:pStyle w:val="P68B1DB1-Normal4"/>
              <w:spacing w:after="120"/>
              <w:jc w:val="center"/>
              <w:rPr>
                <w:noProof/>
              </w:rPr>
            </w:pPr>
            <w:r>
              <w:rPr>
                <w:noProof/>
              </w:rPr>
              <w:t>0</w:t>
            </w:r>
          </w:p>
        </w:tc>
        <w:tc>
          <w:tcPr>
            <w:tcW w:w="1276" w:type="dxa"/>
            <w:shd w:val="clear" w:color="auto" w:fill="C6EFCE"/>
            <w:noWrap/>
            <w:vAlign w:val="center"/>
          </w:tcPr>
          <w:p w14:paraId="341B55CD" w14:textId="77777777" w:rsidR="004C6421" w:rsidRDefault="009D1962">
            <w:pPr>
              <w:pStyle w:val="P68B1DB1-Normal4"/>
              <w:spacing w:after="120"/>
              <w:jc w:val="center"/>
              <w:rPr>
                <w:noProof/>
              </w:rPr>
            </w:pPr>
            <w:r>
              <w:rPr>
                <w:noProof/>
              </w:rPr>
              <w:t>100 %</w:t>
            </w:r>
          </w:p>
        </w:tc>
        <w:tc>
          <w:tcPr>
            <w:tcW w:w="851" w:type="dxa"/>
            <w:shd w:val="clear" w:color="auto" w:fill="C6EFCE"/>
            <w:noWrap/>
            <w:vAlign w:val="center"/>
          </w:tcPr>
          <w:p w14:paraId="17B7678D" w14:textId="77777777" w:rsidR="004C6421" w:rsidRDefault="009D1962">
            <w:pPr>
              <w:pStyle w:val="P68B1DB1-Normal4"/>
              <w:spacing w:after="120"/>
              <w:jc w:val="center"/>
              <w:rPr>
                <w:noProof/>
              </w:rPr>
            </w:pPr>
            <w:r>
              <w:rPr>
                <w:noProof/>
              </w:rPr>
              <w:t>II KW.</w:t>
            </w:r>
          </w:p>
        </w:tc>
        <w:tc>
          <w:tcPr>
            <w:tcW w:w="708" w:type="dxa"/>
            <w:shd w:val="clear" w:color="auto" w:fill="C6EFCE"/>
            <w:noWrap/>
            <w:vAlign w:val="center"/>
          </w:tcPr>
          <w:p w14:paraId="720C4A09" w14:textId="77777777" w:rsidR="004C6421" w:rsidRDefault="009D1962">
            <w:pPr>
              <w:pStyle w:val="P68B1DB1-Normal4"/>
              <w:spacing w:after="120"/>
              <w:jc w:val="center"/>
              <w:rPr>
                <w:noProof/>
              </w:rPr>
            </w:pPr>
            <w:r>
              <w:rPr>
                <w:noProof/>
              </w:rPr>
              <w:t>2026</w:t>
            </w:r>
          </w:p>
        </w:tc>
        <w:tc>
          <w:tcPr>
            <w:tcW w:w="3261" w:type="dxa"/>
            <w:shd w:val="clear" w:color="auto" w:fill="C6EFCE"/>
            <w:noWrap/>
            <w:vAlign w:val="center"/>
          </w:tcPr>
          <w:p w14:paraId="5C8135DA" w14:textId="77777777" w:rsidR="004C6421" w:rsidRDefault="009D1962">
            <w:pPr>
              <w:pStyle w:val="P68B1DB1-Normal4"/>
              <w:spacing w:after="120"/>
              <w:rPr>
                <w:noProof/>
              </w:rPr>
            </w:pPr>
            <w:r>
              <w:rPr>
                <w:noProof/>
              </w:rPr>
              <w:t xml:space="preserve">Invitalia S.p.A. musi zawrzeć umowy prawne z beneficjentami końcowymi na kwotę niezbędną do wykorzystania 100 % inwestycji RRF w program (z uwzględnieniem opłat za zarządzanie). </w:t>
            </w:r>
          </w:p>
          <w:p w14:paraId="63FBCC54" w14:textId="77777777" w:rsidR="004C6421" w:rsidRDefault="009D1962">
            <w:pPr>
              <w:pStyle w:val="P68B1DB1-Normal4"/>
              <w:spacing w:after="120"/>
              <w:rPr>
                <w:noProof/>
              </w:rPr>
            </w:pPr>
            <w:r>
              <w:rPr>
                <w:noProof/>
              </w:rPr>
              <w:t>Invitalia S.p.A. sporządza sprawozdanie wyszczególniające odsetek tego finansowania, które przyczynia się do realizacji celów klimatycznych, z wykorzystaniem metodyki określonej w załączniku VI do rozporządzenia w sprawie RRF.</w:t>
            </w:r>
          </w:p>
        </w:tc>
      </w:tr>
      <w:tr w:rsidR="004C6421" w14:paraId="6EA142C4" w14:textId="77777777">
        <w:trPr>
          <w:trHeight w:val="309"/>
        </w:trPr>
        <w:tc>
          <w:tcPr>
            <w:tcW w:w="118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4896DC1" w14:textId="77777777" w:rsidR="004C6421" w:rsidRDefault="009D1962">
            <w:pPr>
              <w:pStyle w:val="P68B1DB1-Normal4"/>
              <w:spacing w:after="120"/>
              <w:jc w:val="center"/>
              <w:rPr>
                <w:noProof/>
              </w:rPr>
            </w:pPr>
            <w:r>
              <w:rPr>
                <w:noProof/>
              </w:rPr>
              <w:t>M7–46</w:t>
            </w:r>
          </w:p>
        </w:tc>
        <w:tc>
          <w:tcPr>
            <w:tcW w:w="155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74472CF" w14:textId="77777777" w:rsidR="004C6421" w:rsidRDefault="009D1962">
            <w:pPr>
              <w:pStyle w:val="P68B1DB1-Normal4"/>
              <w:spacing w:after="120"/>
              <w:jc w:val="center"/>
              <w:rPr>
                <w:noProof/>
              </w:rPr>
            </w:pPr>
            <w:r>
              <w:rPr>
                <w:noProof/>
              </w:rPr>
              <w:t>Inwestycja 17: Instrument finansowy na rzecz termomodernizacji mieszkań publicznych i socjalnych</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F5460A" w14:textId="574B4F7F" w:rsidR="004C6421" w:rsidRDefault="00CC179E">
            <w:pPr>
              <w:pStyle w:val="P68B1DB1-Normal4"/>
              <w:spacing w:after="120"/>
              <w:jc w:val="center"/>
              <w:rPr>
                <w:noProof/>
              </w:rPr>
            </w:pPr>
            <w:r>
              <w:rPr>
                <w:noProof/>
              </w:rPr>
              <w:t>Milowy</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78CDB7A" w14:textId="77777777" w:rsidR="004C6421" w:rsidRDefault="009D1962">
            <w:pPr>
              <w:pStyle w:val="P68B1DB1-Normal4"/>
              <w:spacing w:after="120"/>
              <w:jc w:val="center"/>
              <w:rPr>
                <w:noProof/>
              </w:rPr>
            </w:pPr>
            <w:r>
              <w:rPr>
                <w:noProof/>
              </w:rPr>
              <w:t>Określenie celu określonego w zakresie wymagań i obowiązków</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CCBC19" w14:textId="77777777" w:rsidR="004C6421" w:rsidRDefault="009D1962">
            <w:pPr>
              <w:pStyle w:val="P68B1DB1-Normal4"/>
              <w:spacing w:after="120"/>
              <w:jc w:val="center"/>
              <w:rPr>
                <w:noProof/>
              </w:rPr>
            </w:pPr>
            <w:r>
              <w:rPr>
                <w:noProof/>
              </w:rPr>
              <w:t>Wejście w życie aktu wraz z określeniem zakresu uprawnień instrumentu finansowego</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658F0C2" w14:textId="77777777" w:rsidR="004C6421" w:rsidRDefault="004C6421">
            <w:pPr>
              <w:spacing w:after="120"/>
              <w:jc w:val="center"/>
              <w:rPr>
                <w:rFonts w:ascii="Arial Narrow" w:hAnsi="Arial Narrow"/>
                <w:noProof/>
                <w:color w:val="006100"/>
                <w:sz w:val="20"/>
              </w:rPr>
            </w:pP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D192F0D" w14:textId="77777777" w:rsidR="004C6421" w:rsidRDefault="004C6421">
            <w:pPr>
              <w:spacing w:after="120"/>
              <w:jc w:val="center"/>
              <w:rPr>
                <w:rFonts w:ascii="Arial Narrow" w:hAnsi="Arial Narrow"/>
                <w:noProof/>
                <w:color w:val="00610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A2EC0C4" w14:textId="77777777" w:rsidR="004C6421" w:rsidRDefault="004C6421">
            <w:pPr>
              <w:spacing w:after="120"/>
              <w:jc w:val="center"/>
              <w:rPr>
                <w:rFonts w:ascii="Arial Narrow" w:hAnsi="Arial Narrow"/>
                <w:noProof/>
                <w:color w:val="0061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EA5FE23" w14:textId="77777777" w:rsidR="004C6421" w:rsidRDefault="009D1962">
            <w:pPr>
              <w:pStyle w:val="P68B1DB1-Normal4"/>
              <w:spacing w:after="120"/>
              <w:jc w:val="center"/>
              <w:rPr>
                <w:noProof/>
              </w:rPr>
            </w:pPr>
            <w:r>
              <w:rPr>
                <w:noProof/>
              </w:rPr>
              <w:t>III KW.</w:t>
            </w:r>
          </w:p>
        </w:tc>
        <w:tc>
          <w:tcPr>
            <w:tcW w:w="70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11363E0" w14:textId="77777777" w:rsidR="004C6421" w:rsidRDefault="009D1962">
            <w:pPr>
              <w:pStyle w:val="P68B1DB1-Normal4"/>
              <w:spacing w:after="120"/>
              <w:jc w:val="center"/>
              <w:rPr>
                <w:noProof/>
              </w:rPr>
            </w:pPr>
            <w:r>
              <w:rPr>
                <w:noProof/>
              </w:rPr>
              <w:t>2024</w:t>
            </w:r>
          </w:p>
        </w:tc>
        <w:tc>
          <w:tcPr>
            <w:tcW w:w="3261" w:type="dxa"/>
            <w:tcBorders>
              <w:top w:val="single" w:sz="4" w:space="0" w:color="auto"/>
              <w:left w:val="single" w:sz="4" w:space="0" w:color="auto"/>
              <w:bottom w:val="single" w:sz="4" w:space="0" w:color="auto"/>
              <w:right w:val="single" w:sz="4" w:space="0" w:color="auto"/>
            </w:tcBorders>
            <w:shd w:val="clear" w:color="auto" w:fill="C6EFCE"/>
            <w:noWrap/>
          </w:tcPr>
          <w:p w14:paraId="4FEB5613" w14:textId="77777777" w:rsidR="004C6421" w:rsidRDefault="009D1962">
            <w:pPr>
              <w:pStyle w:val="P68B1DB1-Normal4"/>
              <w:spacing w:after="120"/>
              <w:rPr>
                <w:noProof/>
              </w:rPr>
            </w:pPr>
            <w:r>
              <w:rPr>
                <w:noProof/>
              </w:rPr>
              <w:t xml:space="preserve">Określenie zakresu zadań instrumentu finansowego, który będzie ukierunkowany na mieszkania publiczne i socjalne oraz renowacje energetyczne w gospodarstwach domowych o niskich dochodach i znajdujących się w trudnej sytuacji w budynkach wielomieszkaniowych. </w:t>
            </w:r>
          </w:p>
          <w:p w14:paraId="1251FE9B" w14:textId="77777777" w:rsidR="004C6421" w:rsidRDefault="004C6421">
            <w:pPr>
              <w:spacing w:after="120"/>
              <w:rPr>
                <w:rFonts w:ascii="Arial Narrow" w:hAnsi="Arial Narrow"/>
                <w:noProof/>
                <w:color w:val="006100"/>
                <w:sz w:val="20"/>
              </w:rPr>
            </w:pPr>
          </w:p>
        </w:tc>
      </w:tr>
      <w:tr w:rsidR="004C6421" w14:paraId="55229407" w14:textId="77777777">
        <w:trPr>
          <w:trHeight w:val="309"/>
        </w:trPr>
        <w:tc>
          <w:tcPr>
            <w:tcW w:w="118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B8B5DD4" w14:textId="77777777" w:rsidR="004C6421" w:rsidRDefault="009D1962">
            <w:pPr>
              <w:pStyle w:val="P68B1DB1-Normal4"/>
              <w:spacing w:after="120"/>
              <w:jc w:val="center"/>
              <w:rPr>
                <w:noProof/>
              </w:rPr>
            </w:pPr>
            <w:r>
              <w:rPr>
                <w:noProof/>
              </w:rPr>
              <w:t>M7–47</w:t>
            </w:r>
          </w:p>
        </w:tc>
        <w:tc>
          <w:tcPr>
            <w:tcW w:w="155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9B54F8" w14:textId="77777777" w:rsidR="004C6421" w:rsidRDefault="009D1962">
            <w:pPr>
              <w:pStyle w:val="P68B1DB1-Normal4"/>
              <w:spacing w:after="120"/>
              <w:jc w:val="center"/>
              <w:rPr>
                <w:noProof/>
              </w:rPr>
            </w:pPr>
            <w:r>
              <w:rPr>
                <w:noProof/>
              </w:rPr>
              <w:t>Inwestycja 17: Instrument finansowy na rzecz termomodernizacji mieszkań publicznych i socjalnych</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17AED3" w14:textId="7F35A8AE" w:rsidR="004C6421" w:rsidRDefault="00CC179E">
            <w:pPr>
              <w:pStyle w:val="P68B1DB1-Normal4"/>
              <w:spacing w:after="120"/>
              <w:jc w:val="center"/>
              <w:rPr>
                <w:noProof/>
              </w:rPr>
            </w:pPr>
            <w:r>
              <w:rPr>
                <w:noProof/>
              </w:rPr>
              <w:t>Milowy</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9A8A87" w14:textId="77777777" w:rsidR="004C6421" w:rsidRDefault="009D1962">
            <w:pPr>
              <w:pStyle w:val="P68B1DB1-Normal4"/>
              <w:spacing w:after="120"/>
              <w:jc w:val="center"/>
              <w:rPr>
                <w:noProof/>
              </w:rPr>
            </w:pPr>
            <w:r>
              <w:rPr>
                <w:noProof/>
              </w:rPr>
              <w:t>Umowa wykonawcza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CC12785" w14:textId="77777777" w:rsidR="004C6421" w:rsidRDefault="009D1962">
            <w:pPr>
              <w:pStyle w:val="P68B1DB1-Normal4"/>
              <w:spacing w:after="120"/>
              <w:jc w:val="center"/>
              <w:rPr>
                <w:noProof/>
              </w:rPr>
            </w:pPr>
            <w:r>
              <w:rPr>
                <w:noProof/>
              </w:rPr>
              <w:t>Wejście w życie umowy wykonawczej</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916084A" w14:textId="77777777" w:rsidR="004C6421" w:rsidRDefault="004C6421">
            <w:pPr>
              <w:spacing w:after="120"/>
              <w:jc w:val="center"/>
              <w:rPr>
                <w:rFonts w:ascii="Arial Narrow" w:hAnsi="Arial Narrow"/>
                <w:noProof/>
                <w:color w:val="006100"/>
                <w:sz w:val="20"/>
              </w:rPr>
            </w:pP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D48B2CE" w14:textId="77777777" w:rsidR="004C6421" w:rsidRDefault="004C6421">
            <w:pPr>
              <w:spacing w:after="120"/>
              <w:jc w:val="center"/>
              <w:rPr>
                <w:rFonts w:ascii="Arial Narrow" w:hAnsi="Arial Narrow"/>
                <w:noProof/>
                <w:color w:val="00610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008451" w14:textId="77777777" w:rsidR="004C6421" w:rsidRDefault="004C6421">
            <w:pPr>
              <w:spacing w:after="120"/>
              <w:jc w:val="center"/>
              <w:rPr>
                <w:rFonts w:ascii="Arial Narrow" w:hAnsi="Arial Narrow"/>
                <w:noProof/>
                <w:color w:val="0061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E0FE74" w14:textId="77777777" w:rsidR="004C6421" w:rsidRDefault="009D1962">
            <w:pPr>
              <w:pStyle w:val="P68B1DB1-Normal4"/>
              <w:spacing w:after="120"/>
              <w:jc w:val="center"/>
              <w:rPr>
                <w:noProof/>
              </w:rPr>
            </w:pPr>
            <w:r>
              <w:rPr>
                <w:noProof/>
              </w:rPr>
              <w:t>II KW.</w:t>
            </w:r>
          </w:p>
        </w:tc>
        <w:tc>
          <w:tcPr>
            <w:tcW w:w="70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98E789C" w14:textId="77777777" w:rsidR="004C6421" w:rsidRDefault="009D1962">
            <w:pPr>
              <w:pStyle w:val="P68B1DB1-Normal4"/>
              <w:spacing w:after="120"/>
              <w:jc w:val="center"/>
              <w:rPr>
                <w:noProof/>
              </w:rPr>
            </w:pPr>
            <w:r>
              <w:rPr>
                <w:noProof/>
              </w:rPr>
              <w:t>2025</w:t>
            </w:r>
          </w:p>
        </w:tc>
        <w:tc>
          <w:tcPr>
            <w:tcW w:w="3261" w:type="dxa"/>
            <w:tcBorders>
              <w:top w:val="single" w:sz="4" w:space="0" w:color="auto"/>
              <w:left w:val="single" w:sz="4" w:space="0" w:color="auto"/>
              <w:bottom w:val="single" w:sz="4" w:space="0" w:color="auto"/>
              <w:right w:val="single" w:sz="4" w:space="0" w:color="auto"/>
            </w:tcBorders>
            <w:shd w:val="clear" w:color="auto" w:fill="C6EFCE"/>
            <w:noWrap/>
          </w:tcPr>
          <w:p w14:paraId="69B5FC05" w14:textId="77777777" w:rsidR="004C6421" w:rsidRDefault="009D1962">
            <w:pPr>
              <w:pStyle w:val="P68B1DB1-Normal4"/>
              <w:spacing w:after="120"/>
              <w:jc w:val="both"/>
              <w:rPr>
                <w:noProof/>
              </w:rPr>
            </w:pPr>
            <w:r>
              <w:rPr>
                <w:noProof/>
              </w:rPr>
              <w:t>Wejście w życie umowy wykonawczej zgodnie z wymogami określonymi w opisie środka.</w:t>
            </w:r>
          </w:p>
          <w:p w14:paraId="059235B2" w14:textId="77777777" w:rsidR="004C6421" w:rsidRDefault="009D1962">
            <w:pPr>
              <w:pStyle w:val="P68B1DB1-Normal4"/>
              <w:spacing w:after="120"/>
              <w:jc w:val="both"/>
              <w:rPr>
                <w:noProof/>
              </w:rPr>
            </w:pPr>
            <w:r>
              <w:rPr>
                <w:noProof/>
              </w:rPr>
              <w:t>W szczególności umowa wykonawcza zawiera kryteria kwalifikowalności dotyczące minimalnej poprawy efektywności energetycznej, którą instrument ma osiągnąć (co najmniej 30 % zmniejszenia zapotrzebowania na energię pierwotną) oraz kwalifikujących się gospodarstw domowych (w przypadku gdy kwalifikowalność określana jest na podstawie ich podatności na zagrożenia).</w:t>
            </w:r>
          </w:p>
        </w:tc>
      </w:tr>
      <w:tr w:rsidR="004C6421" w14:paraId="5A860367" w14:textId="77777777">
        <w:trPr>
          <w:trHeight w:val="309"/>
        </w:trPr>
        <w:tc>
          <w:tcPr>
            <w:tcW w:w="118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A95AA62" w14:textId="77777777" w:rsidR="004C6421" w:rsidRDefault="009D1962">
            <w:pPr>
              <w:pStyle w:val="P68B1DB1-Normal4"/>
              <w:spacing w:after="120"/>
              <w:jc w:val="center"/>
              <w:rPr>
                <w:noProof/>
              </w:rPr>
            </w:pPr>
            <w:r>
              <w:rPr>
                <w:noProof/>
              </w:rPr>
              <w:t>M7–48</w:t>
            </w:r>
          </w:p>
        </w:tc>
        <w:tc>
          <w:tcPr>
            <w:tcW w:w="155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B64346" w14:textId="77777777" w:rsidR="004C6421" w:rsidRDefault="009D1962">
            <w:pPr>
              <w:pStyle w:val="P68B1DB1-Normal4"/>
              <w:spacing w:after="120"/>
              <w:jc w:val="center"/>
              <w:rPr>
                <w:noProof/>
              </w:rPr>
            </w:pPr>
            <w:r>
              <w:rPr>
                <w:noProof/>
              </w:rPr>
              <w:t>Inwestycja 17: Instrument finansowy na rzecz termomodernizacji mieszkań publicznych i socjalnych</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D3FADD2" w14:textId="48950A7B" w:rsidR="004C6421" w:rsidRDefault="00CC179E">
            <w:pPr>
              <w:pStyle w:val="P68B1DB1-Normal4"/>
              <w:spacing w:after="120"/>
              <w:jc w:val="center"/>
              <w:rPr>
                <w:noProof/>
              </w:rPr>
            </w:pPr>
            <w:r>
              <w:rPr>
                <w:noProof/>
              </w:rPr>
              <w:t>Milowy</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FC1F84" w14:textId="77777777" w:rsidR="004C6421" w:rsidRDefault="009D1962">
            <w:pPr>
              <w:pStyle w:val="P68B1DB1-Normal4"/>
              <w:spacing w:after="120"/>
              <w:jc w:val="center"/>
              <w:rPr>
                <w:noProof/>
              </w:rPr>
            </w:pPr>
            <w:r>
              <w:rPr>
                <w:noProof/>
              </w:rPr>
              <w:t>Ministerstwo zakończyło inwestycję</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951D6B5" w14:textId="77777777" w:rsidR="004C6421" w:rsidRDefault="009D1962">
            <w:pPr>
              <w:pStyle w:val="P68B1DB1-Normal4"/>
              <w:spacing w:after="120"/>
              <w:jc w:val="center"/>
              <w:rPr>
                <w:noProof/>
              </w:rPr>
            </w:pPr>
            <w:r>
              <w:rPr>
                <w:noProof/>
              </w:rPr>
              <w:t>Świadectwo transferu</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3A6A9BB" w14:textId="77777777" w:rsidR="004C6421" w:rsidRDefault="004C6421">
            <w:pPr>
              <w:spacing w:after="120"/>
              <w:jc w:val="center"/>
              <w:rPr>
                <w:rFonts w:ascii="Arial Narrow" w:hAnsi="Arial Narrow"/>
                <w:noProof/>
                <w:color w:val="006100"/>
                <w:sz w:val="20"/>
              </w:rPr>
            </w:pP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BCA4BD2" w14:textId="77777777" w:rsidR="004C6421" w:rsidRDefault="009D1962">
            <w:pPr>
              <w:pStyle w:val="P68B1DB1-Normal4"/>
              <w:spacing w:after="120"/>
              <w:jc w:val="center"/>
              <w:rPr>
                <w:rFonts w:eastAsia="Arial Narrow" w:cs="Arial Narrow"/>
                <w:noProof/>
              </w:rPr>
            </w:pPr>
            <w:r>
              <w:rPr>
                <w:noProof/>
              </w:rPr>
              <w:t>NIE DOT.</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ACB6571" w14:textId="77777777" w:rsidR="004C6421" w:rsidRDefault="009D1962">
            <w:pPr>
              <w:pStyle w:val="P68B1DB1-Normal4"/>
              <w:spacing w:after="120"/>
              <w:jc w:val="center"/>
              <w:rPr>
                <w:rFonts w:eastAsia="Arial Narrow" w:cs="Arial Narrow"/>
                <w:noProof/>
              </w:rPr>
            </w:pPr>
            <w:r>
              <w:rPr>
                <w:noProof/>
              </w:rPr>
              <w:t xml:space="preserve"> NIE DOT.</w:t>
            </w:r>
          </w:p>
        </w:tc>
        <w:tc>
          <w:tcPr>
            <w:tcW w:w="85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FF9C0F" w14:textId="77777777" w:rsidR="004C6421" w:rsidRDefault="009D1962">
            <w:pPr>
              <w:pStyle w:val="P68B1DB1-Normal4"/>
              <w:spacing w:after="120"/>
              <w:jc w:val="center"/>
              <w:rPr>
                <w:noProof/>
              </w:rPr>
            </w:pPr>
            <w:r>
              <w:rPr>
                <w:noProof/>
              </w:rPr>
              <w:t>II KW.</w:t>
            </w:r>
          </w:p>
        </w:tc>
        <w:tc>
          <w:tcPr>
            <w:tcW w:w="70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12B69A" w14:textId="77777777" w:rsidR="004C6421" w:rsidRDefault="009D1962">
            <w:pPr>
              <w:pStyle w:val="P68B1DB1-Normal4"/>
              <w:spacing w:after="120"/>
              <w:jc w:val="center"/>
              <w:rPr>
                <w:noProof/>
              </w:rPr>
            </w:pPr>
            <w:r>
              <w:rPr>
                <w:noProof/>
              </w:rPr>
              <w:t>2025</w:t>
            </w:r>
          </w:p>
        </w:tc>
        <w:tc>
          <w:tcPr>
            <w:tcW w:w="3261" w:type="dxa"/>
            <w:tcBorders>
              <w:top w:val="single" w:sz="4" w:space="0" w:color="auto"/>
              <w:left w:val="single" w:sz="4" w:space="0" w:color="auto"/>
              <w:bottom w:val="single" w:sz="4" w:space="0" w:color="auto"/>
              <w:right w:val="single" w:sz="4" w:space="0" w:color="auto"/>
            </w:tcBorders>
            <w:shd w:val="clear" w:color="auto" w:fill="C6EFCE"/>
            <w:noWrap/>
          </w:tcPr>
          <w:p w14:paraId="1CF412E8" w14:textId="77777777" w:rsidR="004C6421" w:rsidRDefault="009D1962">
            <w:pPr>
              <w:pStyle w:val="P68B1DB1-Normal4"/>
              <w:spacing w:after="120"/>
              <w:jc w:val="both"/>
              <w:rPr>
                <w:noProof/>
              </w:rPr>
            </w:pPr>
            <w:r>
              <w:rPr>
                <w:noProof/>
              </w:rPr>
              <w:t>Włochy przekazują kwotę 1 381 000 000 EUR partnerowi wykonawczemu w ramach Instrumentu.</w:t>
            </w:r>
          </w:p>
        </w:tc>
      </w:tr>
      <w:tr w:rsidR="004C6421" w14:paraId="01DBD954" w14:textId="77777777">
        <w:trPr>
          <w:trHeight w:val="309"/>
        </w:trPr>
        <w:tc>
          <w:tcPr>
            <w:tcW w:w="118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3D7E4D" w14:textId="77777777" w:rsidR="004C6421" w:rsidRDefault="009D1962">
            <w:pPr>
              <w:pStyle w:val="P68B1DB1-Normal4"/>
              <w:spacing w:after="120"/>
              <w:jc w:val="center"/>
              <w:rPr>
                <w:noProof/>
              </w:rPr>
            </w:pPr>
            <w:r>
              <w:rPr>
                <w:noProof/>
              </w:rPr>
              <w:t>M7–49</w:t>
            </w:r>
          </w:p>
        </w:tc>
        <w:tc>
          <w:tcPr>
            <w:tcW w:w="155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2341C9" w14:textId="77777777" w:rsidR="004C6421" w:rsidRDefault="009D1962">
            <w:pPr>
              <w:pStyle w:val="P68B1DB1-Normal4"/>
              <w:spacing w:after="120"/>
              <w:jc w:val="center"/>
              <w:rPr>
                <w:noProof/>
              </w:rPr>
            </w:pPr>
            <w:r>
              <w:rPr>
                <w:noProof/>
              </w:rPr>
              <w:t>Inwestycja 17: Instrument finansowy na rzecz termomodernizacji mieszkań publicznych i socjalnych</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9FB8DA" w14:textId="77777777" w:rsidR="004C6421" w:rsidRDefault="009D1962">
            <w:pPr>
              <w:pStyle w:val="P68B1DB1-Normal4"/>
              <w:spacing w:after="120"/>
              <w:jc w:val="center"/>
              <w:rPr>
                <w:noProof/>
              </w:rPr>
            </w:pPr>
            <w:r>
              <w:rPr>
                <w:noProof/>
              </w:rPr>
              <w:t>Cel</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D834E59" w14:textId="77777777" w:rsidR="004C6421" w:rsidRDefault="009D1962">
            <w:pPr>
              <w:pStyle w:val="P68B1DB1-Normal4"/>
              <w:spacing w:after="120"/>
              <w:jc w:val="center"/>
              <w:rPr>
                <w:noProof/>
              </w:rPr>
            </w:pPr>
            <w:r>
              <w:rPr>
                <w:noProof/>
              </w:rPr>
              <w:t>Umowy prawne podpisane z beneficjentami końcowymi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1618D4A" w14:textId="77777777" w:rsidR="004C6421" w:rsidRDefault="004C6421">
            <w:pPr>
              <w:spacing w:after="120"/>
              <w:jc w:val="center"/>
              <w:rPr>
                <w:rFonts w:ascii="Arial Narrow" w:hAnsi="Arial Narrow"/>
                <w:noProof/>
                <w:color w:val="00610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6762B5F" w14:textId="77777777" w:rsidR="004C6421" w:rsidRDefault="009D1962">
            <w:pPr>
              <w:pStyle w:val="P68B1DB1-Normal4"/>
              <w:spacing w:after="120"/>
              <w:jc w:val="center"/>
              <w:rPr>
                <w:noProof/>
              </w:rPr>
            </w:pPr>
            <w:r>
              <w:rPr>
                <w:noProof/>
              </w:rPr>
              <w:t>Procent (%)</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6AAD09" w14:textId="77777777" w:rsidR="004C6421" w:rsidRDefault="009D1962">
            <w:pPr>
              <w:pStyle w:val="P68B1DB1-Normal4"/>
              <w:spacing w:after="120"/>
              <w:jc w:val="center"/>
              <w:rPr>
                <w:noProof/>
              </w:rPr>
            </w:pPr>
            <w:r>
              <w:rPr>
                <w:noProof/>
              </w:rPr>
              <w:t>0 %</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D7CFDB9" w14:textId="77777777" w:rsidR="004C6421" w:rsidRDefault="009D1962">
            <w:pPr>
              <w:pStyle w:val="P68B1DB1-Normal4"/>
              <w:spacing w:after="120"/>
              <w:jc w:val="center"/>
              <w:rPr>
                <w:noProof/>
              </w:rPr>
            </w:pPr>
            <w:r>
              <w:rPr>
                <w:noProof/>
              </w:rPr>
              <w:t>100 %</w:t>
            </w:r>
          </w:p>
        </w:tc>
        <w:tc>
          <w:tcPr>
            <w:tcW w:w="85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F1E78AD" w14:textId="77777777" w:rsidR="004C6421" w:rsidRDefault="009D1962">
            <w:pPr>
              <w:pStyle w:val="P68B1DB1-Normal4"/>
              <w:spacing w:after="120"/>
              <w:jc w:val="center"/>
              <w:rPr>
                <w:noProof/>
              </w:rPr>
            </w:pPr>
            <w:r>
              <w:rPr>
                <w:noProof/>
              </w:rPr>
              <w:t>II KW.</w:t>
            </w:r>
          </w:p>
        </w:tc>
        <w:tc>
          <w:tcPr>
            <w:tcW w:w="70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084FDA" w14:textId="77777777" w:rsidR="004C6421" w:rsidRDefault="009D1962">
            <w:pPr>
              <w:pStyle w:val="P68B1DB1-Normal4"/>
              <w:spacing w:after="120"/>
              <w:jc w:val="center"/>
              <w:rPr>
                <w:noProof/>
              </w:rPr>
            </w:pPr>
            <w:r>
              <w:rPr>
                <w:noProof/>
              </w:rPr>
              <w:t>2026</w:t>
            </w:r>
          </w:p>
        </w:tc>
        <w:tc>
          <w:tcPr>
            <w:tcW w:w="3261" w:type="dxa"/>
            <w:tcBorders>
              <w:top w:val="single" w:sz="4" w:space="0" w:color="auto"/>
              <w:left w:val="single" w:sz="4" w:space="0" w:color="auto"/>
              <w:bottom w:val="single" w:sz="4" w:space="0" w:color="auto"/>
              <w:right w:val="single" w:sz="4" w:space="0" w:color="auto"/>
            </w:tcBorders>
            <w:shd w:val="clear" w:color="auto" w:fill="C6EFCE"/>
            <w:noWrap/>
          </w:tcPr>
          <w:p w14:paraId="3CEC3137" w14:textId="77777777" w:rsidR="004C6421" w:rsidRDefault="009D1962">
            <w:pPr>
              <w:pStyle w:val="P68B1DB1-Normal4"/>
              <w:spacing w:after="120"/>
              <w:jc w:val="both"/>
              <w:rPr>
                <w:noProof/>
              </w:rPr>
            </w:pPr>
            <w:r>
              <w:rPr>
                <w:noProof/>
              </w:rPr>
              <w:t>Partner wykonawczy zawiera z przedsiębiorstwami usług energetycznych (ESCO) prawne umowy w sprawie finansowania na kwotę niezbędną do wykorzystania 100 % inwestycji RRF w instrument (z uwzględnieniem opłat za zarządzanie).</w:t>
            </w:r>
          </w:p>
          <w:p w14:paraId="4C28EEB6" w14:textId="77777777" w:rsidR="004C6421" w:rsidRDefault="009D1962">
            <w:pPr>
              <w:pStyle w:val="P68B1DB1-Normal4"/>
              <w:spacing w:after="120"/>
              <w:jc w:val="both"/>
              <w:rPr>
                <w:noProof/>
              </w:rPr>
            </w:pPr>
            <w:r>
              <w:rPr>
                <w:noProof/>
              </w:rPr>
              <w:t>Umowa w sprawie finansowania z przedsiębiorstwami usług energetycznych (ESCO) określa aktywa, które będą przedmiotem renowacji zwiększającej efektywność energetyczną.</w:t>
            </w:r>
          </w:p>
          <w:p w14:paraId="595A8CE3" w14:textId="77777777" w:rsidR="004C6421" w:rsidRDefault="009D1962">
            <w:pPr>
              <w:pStyle w:val="P68B1DB1-Normal4"/>
              <w:spacing w:after="120"/>
              <w:jc w:val="both"/>
              <w:rPr>
                <w:noProof/>
              </w:rPr>
            </w:pPr>
            <w:r>
              <w:rPr>
                <w:noProof/>
              </w:rPr>
              <w:t>100 % tego finansowania przyczynia się do realizacji celów klimatycznych przy użyciu metodyki określonej w załączniku VI do rozporządzenia w sprawie RRF.</w:t>
            </w:r>
          </w:p>
        </w:tc>
      </w:tr>
    </w:tbl>
    <w:p w14:paraId="6A2D1E77" w14:textId="77777777" w:rsidR="004C6421" w:rsidRDefault="004C6421">
      <w:pPr>
        <w:spacing w:after="120"/>
        <w:jc w:val="both"/>
        <w:rPr>
          <w:rFonts w:ascii="Calibri" w:eastAsia="Calibri" w:hAnsi="Calibri" w:cs="Calibri"/>
          <w:noProof/>
          <w:color w:val="000000" w:themeColor="text1"/>
        </w:rPr>
        <w:sectPr w:rsidR="004C6421" w:rsidSect="00797973">
          <w:headerReference w:type="even" r:id="rId429"/>
          <w:headerReference w:type="default" r:id="rId430"/>
          <w:footerReference w:type="even" r:id="rId431"/>
          <w:footerReference w:type="default" r:id="rId432"/>
          <w:headerReference w:type="first" r:id="rId433"/>
          <w:footerReference w:type="first" r:id="rId434"/>
          <w:pgSz w:w="16838" w:h="11906" w:orient="landscape" w:code="12"/>
          <w:pgMar w:top="1440" w:right="1440" w:bottom="1440" w:left="1440" w:header="567" w:footer="567" w:gutter="0"/>
          <w:cols w:space="720"/>
          <w:docGrid w:linePitch="360"/>
        </w:sectPr>
      </w:pPr>
    </w:p>
    <w:p w14:paraId="43A683EA" w14:textId="198FF774" w:rsidR="004C6421" w:rsidRDefault="009D1962">
      <w:pPr>
        <w:pStyle w:val="P68B1DB1-Heading133"/>
        <w:rPr>
          <w:noProof/>
        </w:rPr>
      </w:pPr>
      <w:r>
        <w:rPr>
          <w:noProof/>
        </w:rPr>
        <w:t xml:space="preserve">Szacunkowy łączny koszt planu odbudowy i zwiększania odporności </w:t>
      </w:r>
    </w:p>
    <w:p w14:paraId="661F84FE" w14:textId="1BD4C57C" w:rsidR="004C6421" w:rsidRDefault="009D1962">
      <w:pPr>
        <w:pStyle w:val="P68B1DB1-Normal34"/>
        <w:spacing w:before="120" w:after="120"/>
        <w:jc w:val="both"/>
        <w:rPr>
          <w:noProof/>
        </w:rPr>
      </w:pPr>
      <w:r>
        <w:rPr>
          <w:noProof/>
        </w:rPr>
        <w:t>Szacunkowy łączny koszt planu odbudowy i zwiększania odporności Włoch wynosi 194 415 951 466 EUR.</w:t>
      </w:r>
    </w:p>
    <w:p w14:paraId="623DEE12" w14:textId="77777777" w:rsidR="004C6421" w:rsidRDefault="009D1962">
      <w:pPr>
        <w:pStyle w:val="P68B1DB1-Normal34"/>
        <w:spacing w:before="120" w:after="120"/>
        <w:jc w:val="both"/>
        <w:rPr>
          <w:noProof/>
        </w:rPr>
      </w:pPr>
      <w:r>
        <w:rPr>
          <w:noProof/>
        </w:rPr>
        <w:t xml:space="preserve"> </w:t>
      </w:r>
    </w:p>
    <w:p w14:paraId="7CE314A8" w14:textId="77777777" w:rsidR="004C6421" w:rsidRDefault="009D1962">
      <w:pPr>
        <w:pStyle w:val="P68B1DB1-Normal2"/>
        <w:spacing w:before="120" w:after="120"/>
        <w:jc w:val="both"/>
        <w:rPr>
          <w:noProof/>
        </w:rPr>
      </w:pPr>
      <w:r>
        <w:rPr>
          <w:noProof/>
        </w:rPr>
        <w:t>SEKCJA 2: WSPARCIE FINANSOWE,</w:t>
      </w:r>
    </w:p>
    <w:p w14:paraId="2E9C755B" w14:textId="77777777" w:rsidR="004C6421" w:rsidRDefault="009D1962">
      <w:pPr>
        <w:pStyle w:val="P68B1DB1-ListParagraph35"/>
        <w:numPr>
          <w:ilvl w:val="0"/>
          <w:numId w:val="146"/>
        </w:numPr>
        <w:spacing w:before="0" w:after="0" w:line="279" w:lineRule="auto"/>
        <w:ind w:left="850" w:hanging="850"/>
        <w:rPr>
          <w:noProof/>
        </w:rPr>
      </w:pPr>
      <w:r>
        <w:rPr>
          <w:noProof/>
        </w:rPr>
        <w:t>Udział finansowy</w:t>
      </w:r>
    </w:p>
    <w:p w14:paraId="434EF581" w14:textId="77777777" w:rsidR="004C6421" w:rsidRDefault="009D1962">
      <w:pPr>
        <w:spacing w:before="120" w:after="120"/>
        <w:ind w:left="850"/>
        <w:jc w:val="both"/>
        <w:rPr>
          <w:noProof/>
        </w:rPr>
      </w:pPr>
      <w:r>
        <w:rPr>
          <w:noProof/>
        </w:rPr>
        <w:t>Transze, o których mowa w art. 2 ust. 2, mają następującą strukturę:</w:t>
      </w:r>
    </w:p>
    <w:p w14:paraId="472D40B6" w14:textId="77777777" w:rsidR="004C6421" w:rsidRDefault="009D1962">
      <w:pPr>
        <w:spacing w:before="120" w:after="120"/>
        <w:ind w:left="850"/>
        <w:jc w:val="both"/>
        <w:rPr>
          <w:noProof/>
        </w:rPr>
      </w:pPr>
      <w:r>
        <w:rPr>
          <w:noProof/>
        </w:rPr>
        <w:t xml:space="preserve"> </w:t>
      </w:r>
    </w:p>
    <w:p w14:paraId="2E1860B5" w14:textId="77777777" w:rsidR="004C6421" w:rsidRDefault="009D1962">
      <w:pPr>
        <w:pStyle w:val="ListParagraph"/>
        <w:numPr>
          <w:ilvl w:val="1"/>
          <w:numId w:val="145"/>
        </w:numPr>
        <w:spacing w:before="0" w:after="0" w:line="279" w:lineRule="auto"/>
        <w:ind w:left="850" w:hanging="850"/>
        <w:rPr>
          <w:noProof/>
        </w:rPr>
      </w:pPr>
      <w:r>
        <w:rPr>
          <w:noProof/>
        </w:rPr>
        <w:t>Pierwsza transza (wsparcie bezzwrotne):</w:t>
      </w:r>
    </w:p>
    <w:tbl>
      <w:tblPr>
        <w:tblW w:w="9595" w:type="dxa"/>
        <w:tblInd w:w="120" w:type="dxa"/>
        <w:tblLayout w:type="fixed"/>
        <w:tblLook w:val="04A0" w:firstRow="1" w:lastRow="0" w:firstColumn="1" w:lastColumn="0" w:noHBand="0" w:noVBand="1"/>
      </w:tblPr>
      <w:tblGrid>
        <w:gridCol w:w="1275"/>
        <w:gridCol w:w="2250"/>
        <w:gridCol w:w="1245"/>
        <w:gridCol w:w="4589"/>
        <w:gridCol w:w="236"/>
      </w:tblGrid>
      <w:tr w:rsidR="004C6421" w14:paraId="629608A9" w14:textId="77777777">
        <w:trPr>
          <w:trHeight w:val="900"/>
          <w:tblHeader/>
        </w:trPr>
        <w:tc>
          <w:tcPr>
            <w:tcW w:w="1275" w:type="dxa"/>
            <w:vMerge w:val="restart"/>
            <w:tcBorders>
              <w:top w:val="single" w:sz="4" w:space="0" w:color="auto"/>
              <w:left w:val="single" w:sz="4" w:space="0" w:color="auto"/>
              <w:bottom w:val="single" w:sz="4" w:space="0" w:color="auto"/>
              <w:right w:val="single" w:sz="8" w:space="0" w:color="auto"/>
            </w:tcBorders>
            <w:shd w:val="clear" w:color="auto" w:fill="BDD7EE"/>
            <w:tcMar>
              <w:left w:w="108" w:type="dxa"/>
              <w:right w:w="108" w:type="dxa"/>
            </w:tcMar>
            <w:vAlign w:val="center"/>
          </w:tcPr>
          <w:p w14:paraId="7842CA61" w14:textId="77777777" w:rsidR="004C6421" w:rsidRDefault="009D1962">
            <w:pPr>
              <w:pStyle w:val="P68B1DB1-Normal36"/>
              <w:jc w:val="center"/>
              <w:rPr>
                <w:noProof/>
              </w:rPr>
            </w:pPr>
            <w:r>
              <w:rPr>
                <w:noProof/>
              </w:rPr>
              <w:t>Numer porządkowy</w:t>
            </w:r>
          </w:p>
        </w:tc>
        <w:tc>
          <w:tcPr>
            <w:tcW w:w="2250" w:type="dxa"/>
            <w:vMerge w:val="restart"/>
            <w:tcBorders>
              <w:top w:val="single" w:sz="4" w:space="0" w:color="auto"/>
              <w:left w:val="single" w:sz="8" w:space="0" w:color="auto"/>
              <w:bottom w:val="single" w:sz="4" w:space="0" w:color="auto"/>
              <w:right w:val="single" w:sz="8" w:space="0" w:color="auto"/>
            </w:tcBorders>
            <w:shd w:val="clear" w:color="auto" w:fill="BDD7EE"/>
            <w:tcMar>
              <w:left w:w="108" w:type="dxa"/>
              <w:right w:w="108" w:type="dxa"/>
            </w:tcMar>
            <w:vAlign w:val="center"/>
          </w:tcPr>
          <w:p w14:paraId="355AE825" w14:textId="77777777" w:rsidR="004C6421" w:rsidRDefault="009D1962">
            <w:pPr>
              <w:pStyle w:val="P68B1DB1-Normal36"/>
              <w:jc w:val="center"/>
              <w:rPr>
                <w:noProof/>
              </w:rPr>
            </w:pPr>
            <w:r>
              <w:rPr>
                <w:noProof/>
              </w:rPr>
              <w:t>Powiązane działanie (reforma lub inwestycja)</w:t>
            </w:r>
          </w:p>
        </w:tc>
        <w:tc>
          <w:tcPr>
            <w:tcW w:w="1245" w:type="dxa"/>
            <w:vMerge w:val="restart"/>
            <w:tcBorders>
              <w:top w:val="single" w:sz="4" w:space="0" w:color="auto"/>
              <w:left w:val="single" w:sz="8" w:space="0" w:color="auto"/>
              <w:bottom w:val="single" w:sz="4" w:space="0" w:color="auto"/>
              <w:right w:val="single" w:sz="8" w:space="0" w:color="auto"/>
            </w:tcBorders>
            <w:shd w:val="clear" w:color="auto" w:fill="BDD7EE"/>
            <w:tcMar>
              <w:left w:w="108" w:type="dxa"/>
              <w:right w:w="108" w:type="dxa"/>
            </w:tcMar>
            <w:vAlign w:val="center"/>
          </w:tcPr>
          <w:p w14:paraId="7B88A57C" w14:textId="77777777" w:rsidR="004C6421" w:rsidRDefault="009D1962">
            <w:pPr>
              <w:pStyle w:val="P68B1DB1-Normal36"/>
              <w:jc w:val="center"/>
              <w:rPr>
                <w:noProof/>
              </w:rPr>
            </w:pPr>
            <w:r>
              <w:rPr>
                <w:noProof/>
              </w:rPr>
              <w:t>Kamień milowy/wartość docelowa</w:t>
            </w:r>
          </w:p>
        </w:tc>
        <w:tc>
          <w:tcPr>
            <w:tcW w:w="4589" w:type="dxa"/>
            <w:vMerge w:val="restart"/>
            <w:tcBorders>
              <w:top w:val="single" w:sz="4" w:space="0" w:color="auto"/>
              <w:left w:val="single" w:sz="8" w:space="0" w:color="auto"/>
              <w:bottom w:val="single" w:sz="4" w:space="0" w:color="auto"/>
              <w:right w:val="single" w:sz="4" w:space="0" w:color="auto"/>
            </w:tcBorders>
            <w:shd w:val="clear" w:color="auto" w:fill="BDD7EE"/>
            <w:tcMar>
              <w:left w:w="108" w:type="dxa"/>
              <w:right w:w="108" w:type="dxa"/>
            </w:tcMar>
            <w:vAlign w:val="center"/>
          </w:tcPr>
          <w:p w14:paraId="44418247" w14:textId="77777777" w:rsidR="004C6421" w:rsidRDefault="009D1962">
            <w:pPr>
              <w:pStyle w:val="P68B1DB1-Normal36"/>
              <w:jc w:val="center"/>
              <w:rPr>
                <w:noProof/>
              </w:rPr>
            </w:pPr>
            <w:r>
              <w:rPr>
                <w:noProof/>
              </w:rPr>
              <w:t>Nazwa</w:t>
            </w:r>
          </w:p>
        </w:tc>
        <w:tc>
          <w:tcPr>
            <w:tcW w:w="236" w:type="dxa"/>
            <w:tcBorders>
              <w:top w:val="nil"/>
              <w:left w:val="single" w:sz="4" w:space="0" w:color="auto"/>
              <w:bottom w:val="nil"/>
              <w:right w:val="nil"/>
            </w:tcBorders>
            <w:vAlign w:val="center"/>
          </w:tcPr>
          <w:p w14:paraId="202FBDEE" w14:textId="77777777" w:rsidR="004C6421" w:rsidRDefault="004C6421">
            <w:pPr>
              <w:rPr>
                <w:noProof/>
              </w:rPr>
            </w:pPr>
          </w:p>
        </w:tc>
      </w:tr>
      <w:tr w:rsidR="004C6421" w14:paraId="1BA9F93D" w14:textId="77777777">
        <w:trPr>
          <w:trHeight w:val="510"/>
        </w:trPr>
        <w:tc>
          <w:tcPr>
            <w:tcW w:w="1275" w:type="dxa"/>
            <w:vMerge/>
            <w:tcBorders>
              <w:top w:val="single" w:sz="8" w:space="0" w:color="auto"/>
              <w:left w:val="single" w:sz="4" w:space="0" w:color="auto"/>
              <w:bottom w:val="single" w:sz="4" w:space="0" w:color="auto"/>
              <w:right w:val="single" w:sz="8" w:space="0" w:color="auto"/>
            </w:tcBorders>
            <w:vAlign w:val="center"/>
          </w:tcPr>
          <w:p w14:paraId="30D713E3" w14:textId="77777777" w:rsidR="004C6421" w:rsidRDefault="004C6421">
            <w:pPr>
              <w:rPr>
                <w:noProof/>
              </w:rPr>
            </w:pPr>
          </w:p>
        </w:tc>
        <w:tc>
          <w:tcPr>
            <w:tcW w:w="2250" w:type="dxa"/>
            <w:vMerge/>
            <w:tcBorders>
              <w:top w:val="single" w:sz="8" w:space="0" w:color="auto"/>
              <w:left w:val="single" w:sz="8" w:space="0" w:color="auto"/>
              <w:bottom w:val="single" w:sz="4" w:space="0" w:color="auto"/>
              <w:right w:val="single" w:sz="8" w:space="0" w:color="auto"/>
            </w:tcBorders>
            <w:vAlign w:val="center"/>
          </w:tcPr>
          <w:p w14:paraId="4622B2CC" w14:textId="77777777" w:rsidR="004C6421" w:rsidRDefault="004C6421">
            <w:pPr>
              <w:rPr>
                <w:noProof/>
              </w:rPr>
            </w:pPr>
          </w:p>
        </w:tc>
        <w:tc>
          <w:tcPr>
            <w:tcW w:w="1245" w:type="dxa"/>
            <w:vMerge/>
            <w:tcBorders>
              <w:top w:val="single" w:sz="8" w:space="0" w:color="auto"/>
              <w:left w:val="single" w:sz="8" w:space="0" w:color="auto"/>
              <w:bottom w:val="single" w:sz="4" w:space="0" w:color="auto"/>
              <w:right w:val="single" w:sz="8" w:space="0" w:color="auto"/>
            </w:tcBorders>
            <w:vAlign w:val="center"/>
          </w:tcPr>
          <w:p w14:paraId="3C3212F4" w14:textId="77777777" w:rsidR="004C6421" w:rsidRDefault="004C6421">
            <w:pPr>
              <w:rPr>
                <w:noProof/>
              </w:rPr>
            </w:pPr>
          </w:p>
        </w:tc>
        <w:tc>
          <w:tcPr>
            <w:tcW w:w="4589" w:type="dxa"/>
            <w:vMerge/>
            <w:tcBorders>
              <w:top w:val="single" w:sz="8" w:space="0" w:color="auto"/>
              <w:left w:val="single" w:sz="8" w:space="0" w:color="auto"/>
              <w:bottom w:val="single" w:sz="4" w:space="0" w:color="auto"/>
              <w:right w:val="single" w:sz="4" w:space="0" w:color="auto"/>
            </w:tcBorders>
            <w:vAlign w:val="center"/>
          </w:tcPr>
          <w:p w14:paraId="680DE21F" w14:textId="77777777" w:rsidR="004C6421" w:rsidRDefault="004C6421">
            <w:pPr>
              <w:rPr>
                <w:noProof/>
              </w:rPr>
            </w:pPr>
          </w:p>
        </w:tc>
        <w:tc>
          <w:tcPr>
            <w:tcW w:w="236" w:type="dxa"/>
            <w:tcBorders>
              <w:top w:val="nil"/>
              <w:left w:val="single" w:sz="4" w:space="0" w:color="auto"/>
              <w:bottom w:val="nil"/>
              <w:right w:val="nil"/>
            </w:tcBorders>
            <w:vAlign w:val="center"/>
          </w:tcPr>
          <w:p w14:paraId="77A8A40A" w14:textId="77777777" w:rsidR="004C6421" w:rsidRDefault="004C6421">
            <w:pPr>
              <w:rPr>
                <w:noProof/>
              </w:rPr>
            </w:pPr>
          </w:p>
        </w:tc>
      </w:tr>
      <w:tr w:rsidR="004C6421" w14:paraId="37F46150" w14:textId="77777777">
        <w:trPr>
          <w:trHeight w:val="300"/>
        </w:trPr>
        <w:tc>
          <w:tcPr>
            <w:tcW w:w="1275"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2CB5853" w14:textId="77777777" w:rsidR="004C6421" w:rsidRDefault="009D1962">
            <w:pPr>
              <w:pStyle w:val="P68B1DB1-Normal8"/>
              <w:jc w:val="center"/>
              <w:rPr>
                <w:noProof/>
              </w:rPr>
            </w:pPr>
            <w:r>
              <w:rPr>
                <w:noProof/>
              </w:rPr>
              <w:t>M1C1-51</w:t>
            </w:r>
          </w:p>
        </w:tc>
        <w:tc>
          <w:tcPr>
            <w:tcW w:w="2250"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E0846B7" w14:textId="77777777" w:rsidR="004C6421" w:rsidRDefault="009D1962">
            <w:pPr>
              <w:pStyle w:val="P68B1DB1-Normal8"/>
              <w:rPr>
                <w:noProof/>
              </w:rPr>
            </w:pPr>
            <w:r>
              <w:rPr>
                <w:noProof/>
              </w:rPr>
              <w:t>Reforma 1.9: Reforma administracji publicznej</w:t>
            </w:r>
          </w:p>
        </w:tc>
        <w:tc>
          <w:tcPr>
            <w:tcW w:w="1245"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E8D96CD" w14:textId="53C730BC" w:rsidR="004C6421" w:rsidRDefault="00CC179E">
            <w:pPr>
              <w:pStyle w:val="P68B1DB1-Normal8"/>
              <w:rPr>
                <w:noProof/>
              </w:rPr>
            </w:pPr>
            <w:r>
              <w:rPr>
                <w:noProof/>
              </w:rPr>
              <w:t>Milowy</w:t>
            </w:r>
          </w:p>
        </w:tc>
        <w:tc>
          <w:tcPr>
            <w:tcW w:w="4589"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8DEF26A" w14:textId="77777777" w:rsidR="004C6421" w:rsidRDefault="009D1962">
            <w:pPr>
              <w:pStyle w:val="P68B1DB1-Normal8"/>
              <w:rPr>
                <w:noProof/>
              </w:rPr>
            </w:pPr>
            <w:r>
              <w:rPr>
                <w:noProof/>
              </w:rPr>
              <w:t>Wejście w życie prawa pierwotnego dotyczącego zarządzania włoskim planem odbudowy i zwiększania odporności</w:t>
            </w:r>
          </w:p>
        </w:tc>
        <w:tc>
          <w:tcPr>
            <w:tcW w:w="236" w:type="dxa"/>
            <w:tcBorders>
              <w:top w:val="nil"/>
              <w:left w:val="single" w:sz="8" w:space="0" w:color="auto"/>
              <w:bottom w:val="nil"/>
              <w:right w:val="nil"/>
            </w:tcBorders>
            <w:vAlign w:val="center"/>
          </w:tcPr>
          <w:p w14:paraId="4C06B256" w14:textId="77777777" w:rsidR="004C6421" w:rsidRDefault="004C6421">
            <w:pPr>
              <w:rPr>
                <w:noProof/>
              </w:rPr>
            </w:pPr>
          </w:p>
        </w:tc>
      </w:tr>
      <w:tr w:rsidR="004C6421" w14:paraId="7B1D5D66"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5460C43" w14:textId="77777777" w:rsidR="004C6421" w:rsidRDefault="009D1962">
            <w:pPr>
              <w:pStyle w:val="P68B1DB1-Normal8"/>
              <w:jc w:val="center"/>
              <w:rPr>
                <w:noProof/>
              </w:rPr>
            </w:pPr>
            <w:r>
              <w:rPr>
                <w:noProof/>
              </w:rPr>
              <w:t>M1C1-52</w:t>
            </w:r>
          </w:p>
        </w:tc>
        <w:tc>
          <w:tcPr>
            <w:tcW w:w="225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B5123C8" w14:textId="77777777" w:rsidR="004C6421" w:rsidRDefault="009D1962">
            <w:pPr>
              <w:pStyle w:val="P68B1DB1-Normal8"/>
              <w:rPr>
                <w:noProof/>
              </w:rPr>
            </w:pPr>
            <w:r>
              <w:rPr>
                <w:noProof/>
              </w:rPr>
              <w:t>Reforma 1.9: Reforma administracji publicznej</w:t>
            </w:r>
          </w:p>
        </w:tc>
        <w:tc>
          <w:tcPr>
            <w:tcW w:w="124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2D68765" w14:textId="1BA5850D" w:rsidR="004C6421" w:rsidRDefault="00CC179E">
            <w:pPr>
              <w:pStyle w:val="P68B1DB1-Normal8"/>
              <w:rPr>
                <w:noProof/>
              </w:rPr>
            </w:pPr>
            <w:r>
              <w:rPr>
                <w:noProof/>
              </w:rPr>
              <w:t>Milowy</w:t>
            </w:r>
          </w:p>
        </w:tc>
        <w:tc>
          <w:tcPr>
            <w:tcW w:w="458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B15226F" w14:textId="77777777" w:rsidR="004C6421" w:rsidRDefault="009D1962">
            <w:pPr>
              <w:pStyle w:val="P68B1DB1-Normal8"/>
              <w:rPr>
                <w:noProof/>
              </w:rPr>
            </w:pPr>
            <w:r>
              <w:rPr>
                <w:noProof/>
              </w:rPr>
              <w:t>Wejście w życie prawodawstwa pierwotnego dotyczącego uproszczenia procedur administracyjnych w celu wdrożenia włoskiego planu odbudowy i zwiększania odporności.</w:t>
            </w:r>
          </w:p>
        </w:tc>
        <w:tc>
          <w:tcPr>
            <w:tcW w:w="236" w:type="dxa"/>
            <w:tcBorders>
              <w:top w:val="nil"/>
              <w:left w:val="single" w:sz="8" w:space="0" w:color="auto"/>
              <w:bottom w:val="nil"/>
              <w:right w:val="nil"/>
            </w:tcBorders>
            <w:vAlign w:val="center"/>
          </w:tcPr>
          <w:p w14:paraId="44D6AFA6" w14:textId="77777777" w:rsidR="004C6421" w:rsidRDefault="004C6421">
            <w:pPr>
              <w:rPr>
                <w:noProof/>
              </w:rPr>
            </w:pPr>
          </w:p>
        </w:tc>
      </w:tr>
      <w:tr w:rsidR="004C6421" w14:paraId="6BCE59BE"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0951A0D" w14:textId="77777777" w:rsidR="004C6421" w:rsidRDefault="009D1962">
            <w:pPr>
              <w:pStyle w:val="P68B1DB1-Normal8"/>
              <w:jc w:val="center"/>
              <w:rPr>
                <w:noProof/>
              </w:rPr>
            </w:pPr>
            <w:r>
              <w:rPr>
                <w:noProof/>
              </w:rPr>
              <w:t>M1C1-53</w:t>
            </w:r>
          </w:p>
        </w:tc>
        <w:tc>
          <w:tcPr>
            <w:tcW w:w="225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3153246" w14:textId="77777777" w:rsidR="004C6421" w:rsidRDefault="009D1962">
            <w:pPr>
              <w:pStyle w:val="P68B1DB1-Normal8"/>
              <w:rPr>
                <w:noProof/>
              </w:rPr>
            </w:pPr>
            <w:r>
              <w:rPr>
                <w:noProof/>
              </w:rPr>
              <w:t>Inwestycja 1.9: Zapewnienie pomocy technicznej i wzmocnienie budowania zdolności na potrzeby realizacji włoskiego planu odbudowy i zwiększania odporności</w:t>
            </w:r>
          </w:p>
        </w:tc>
        <w:tc>
          <w:tcPr>
            <w:tcW w:w="124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F368132" w14:textId="37EDF4A7" w:rsidR="004C6421" w:rsidRDefault="00CC179E">
            <w:pPr>
              <w:pStyle w:val="P68B1DB1-Normal8"/>
              <w:rPr>
                <w:noProof/>
              </w:rPr>
            </w:pPr>
            <w:r>
              <w:rPr>
                <w:noProof/>
              </w:rPr>
              <w:t>Milowy</w:t>
            </w:r>
          </w:p>
        </w:tc>
        <w:tc>
          <w:tcPr>
            <w:tcW w:w="458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90725DF" w14:textId="77777777" w:rsidR="004C6421" w:rsidRDefault="009D1962">
            <w:pPr>
              <w:pStyle w:val="P68B1DB1-Normal8"/>
              <w:rPr>
                <w:noProof/>
              </w:rPr>
            </w:pPr>
            <w:r>
              <w:rPr>
                <w:noProof/>
              </w:rPr>
              <w:t>Wejście w życie prawa pierwotnego w celu zapewnienia pomocy technicznej i wzmocnienia budowania zdolności na potrzeby realizacji włoskiego planu odbudowy i zwiększania odporności</w:t>
            </w:r>
          </w:p>
        </w:tc>
        <w:tc>
          <w:tcPr>
            <w:tcW w:w="236" w:type="dxa"/>
            <w:tcBorders>
              <w:top w:val="nil"/>
              <w:left w:val="single" w:sz="8" w:space="0" w:color="auto"/>
              <w:bottom w:val="nil"/>
              <w:right w:val="nil"/>
            </w:tcBorders>
            <w:vAlign w:val="center"/>
          </w:tcPr>
          <w:p w14:paraId="12449329" w14:textId="77777777" w:rsidR="004C6421" w:rsidRDefault="004C6421">
            <w:pPr>
              <w:rPr>
                <w:noProof/>
              </w:rPr>
            </w:pPr>
          </w:p>
        </w:tc>
      </w:tr>
      <w:tr w:rsidR="004C6421" w14:paraId="340BC5EE"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655C3A9" w14:textId="77777777" w:rsidR="004C6421" w:rsidRDefault="009D1962">
            <w:pPr>
              <w:pStyle w:val="P68B1DB1-Normal8"/>
              <w:jc w:val="center"/>
              <w:rPr>
                <w:noProof/>
              </w:rPr>
            </w:pPr>
            <w:r>
              <w:rPr>
                <w:noProof/>
              </w:rPr>
              <w:t>M1C1-69</w:t>
            </w:r>
          </w:p>
        </w:tc>
        <w:tc>
          <w:tcPr>
            <w:tcW w:w="225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3400B22" w14:textId="77777777" w:rsidR="004C6421" w:rsidRDefault="009D1962">
            <w:pPr>
              <w:pStyle w:val="P68B1DB1-Normal8"/>
              <w:rPr>
                <w:noProof/>
              </w:rPr>
            </w:pPr>
            <w:r>
              <w:rPr>
                <w:noProof/>
              </w:rPr>
              <w:t>Reforma 1.10: Reforma ram prawnych dotyczących zamówień publicznych</w:t>
            </w:r>
          </w:p>
        </w:tc>
        <w:tc>
          <w:tcPr>
            <w:tcW w:w="124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AF7B792" w14:textId="3ECF7599" w:rsidR="004C6421" w:rsidRDefault="00CC179E">
            <w:pPr>
              <w:pStyle w:val="P68B1DB1-Normal8"/>
              <w:rPr>
                <w:noProof/>
              </w:rPr>
            </w:pPr>
            <w:r>
              <w:rPr>
                <w:noProof/>
              </w:rPr>
              <w:t>Milowy</w:t>
            </w:r>
          </w:p>
        </w:tc>
        <w:tc>
          <w:tcPr>
            <w:tcW w:w="458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C4A39EE" w14:textId="77777777" w:rsidR="004C6421" w:rsidRDefault="009D1962">
            <w:pPr>
              <w:pStyle w:val="P68B1DB1-Normal8"/>
              <w:rPr>
                <w:noProof/>
              </w:rPr>
            </w:pPr>
            <w:r>
              <w:rPr>
                <w:noProof/>
              </w:rPr>
              <w:t>Wejście w życie dekretu w sprawie uproszczenia systemu zamówień publicznych</w:t>
            </w:r>
          </w:p>
        </w:tc>
        <w:tc>
          <w:tcPr>
            <w:tcW w:w="236" w:type="dxa"/>
            <w:tcBorders>
              <w:top w:val="nil"/>
              <w:left w:val="single" w:sz="8" w:space="0" w:color="auto"/>
              <w:bottom w:val="nil"/>
              <w:right w:val="nil"/>
            </w:tcBorders>
            <w:vAlign w:val="center"/>
          </w:tcPr>
          <w:p w14:paraId="669D1A6D" w14:textId="77777777" w:rsidR="004C6421" w:rsidRDefault="004C6421">
            <w:pPr>
              <w:rPr>
                <w:noProof/>
              </w:rPr>
            </w:pPr>
          </w:p>
        </w:tc>
      </w:tr>
      <w:tr w:rsidR="004C6421" w14:paraId="77CA5767"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2B4F861" w14:textId="77777777" w:rsidR="004C6421" w:rsidRDefault="009D1962">
            <w:pPr>
              <w:pStyle w:val="P68B1DB1-Normal8"/>
              <w:jc w:val="center"/>
              <w:rPr>
                <w:noProof/>
              </w:rPr>
            </w:pPr>
            <w:r>
              <w:rPr>
                <w:noProof/>
              </w:rPr>
              <w:t>M1C1-1</w:t>
            </w:r>
          </w:p>
        </w:tc>
        <w:tc>
          <w:tcPr>
            <w:tcW w:w="225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3A96E91" w14:textId="77777777" w:rsidR="004C6421" w:rsidRDefault="009D1962">
            <w:pPr>
              <w:pStyle w:val="P68B1DB1-Normal8"/>
              <w:rPr>
                <w:noProof/>
              </w:rPr>
            </w:pPr>
            <w:r>
              <w:rPr>
                <w:noProof/>
              </w:rPr>
              <w:t>Reforma 1.1: Zamówienia w dziedzinie ICT</w:t>
            </w:r>
          </w:p>
        </w:tc>
        <w:tc>
          <w:tcPr>
            <w:tcW w:w="124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603758A" w14:textId="37DF3AA3" w:rsidR="004C6421" w:rsidRDefault="00CC179E">
            <w:pPr>
              <w:pStyle w:val="P68B1DB1-Normal8"/>
              <w:rPr>
                <w:noProof/>
              </w:rPr>
            </w:pPr>
            <w:r>
              <w:rPr>
                <w:noProof/>
              </w:rPr>
              <w:t>Milowy</w:t>
            </w:r>
          </w:p>
        </w:tc>
        <w:tc>
          <w:tcPr>
            <w:tcW w:w="458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DC0DFD6" w14:textId="77777777" w:rsidR="004C6421" w:rsidRDefault="009D1962">
            <w:pPr>
              <w:pStyle w:val="P68B1DB1-Normal8"/>
              <w:rPr>
                <w:noProof/>
              </w:rPr>
            </w:pPr>
            <w:r>
              <w:rPr>
                <w:noProof/>
              </w:rPr>
              <w:t>Wejście w życie dekretów z mocą ustawy dotyczących reformy 1.1 „Zamówienia ICT”</w:t>
            </w:r>
          </w:p>
        </w:tc>
        <w:tc>
          <w:tcPr>
            <w:tcW w:w="236" w:type="dxa"/>
            <w:tcBorders>
              <w:top w:val="nil"/>
              <w:left w:val="single" w:sz="8" w:space="0" w:color="auto"/>
              <w:bottom w:val="nil"/>
              <w:right w:val="nil"/>
            </w:tcBorders>
            <w:vAlign w:val="center"/>
          </w:tcPr>
          <w:p w14:paraId="7B57F120" w14:textId="77777777" w:rsidR="004C6421" w:rsidRDefault="004C6421">
            <w:pPr>
              <w:rPr>
                <w:noProof/>
              </w:rPr>
            </w:pPr>
          </w:p>
        </w:tc>
      </w:tr>
      <w:tr w:rsidR="004C6421" w14:paraId="446F01AE"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887F125" w14:textId="77777777" w:rsidR="004C6421" w:rsidRDefault="009D1962">
            <w:pPr>
              <w:pStyle w:val="P68B1DB1-Normal8"/>
              <w:jc w:val="center"/>
              <w:rPr>
                <w:noProof/>
              </w:rPr>
            </w:pPr>
            <w:r>
              <w:rPr>
                <w:noProof/>
              </w:rPr>
              <w:t>M1C1-2</w:t>
            </w:r>
          </w:p>
        </w:tc>
        <w:tc>
          <w:tcPr>
            <w:tcW w:w="225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23AF37C" w14:textId="77777777" w:rsidR="004C6421" w:rsidRDefault="009D1962">
            <w:pPr>
              <w:pStyle w:val="P68B1DB1-Normal8"/>
              <w:rPr>
                <w:noProof/>
              </w:rPr>
            </w:pPr>
            <w:r>
              <w:rPr>
                <w:noProof/>
              </w:rPr>
              <w:t>Reforma 1.3: Chmura przede wszystkim i interoperacyjność</w:t>
            </w:r>
          </w:p>
        </w:tc>
        <w:tc>
          <w:tcPr>
            <w:tcW w:w="124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A9B83C3" w14:textId="09D940B5" w:rsidR="004C6421" w:rsidRDefault="00CC179E">
            <w:pPr>
              <w:pStyle w:val="P68B1DB1-Normal8"/>
              <w:rPr>
                <w:noProof/>
              </w:rPr>
            </w:pPr>
            <w:r>
              <w:rPr>
                <w:noProof/>
              </w:rPr>
              <w:t>Milowy</w:t>
            </w:r>
          </w:p>
        </w:tc>
        <w:tc>
          <w:tcPr>
            <w:tcW w:w="458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B1A8DA9" w14:textId="77777777" w:rsidR="004C6421" w:rsidRDefault="009D1962">
            <w:pPr>
              <w:pStyle w:val="P68B1DB1-Normal8"/>
              <w:rPr>
                <w:noProof/>
              </w:rPr>
            </w:pPr>
            <w:r>
              <w:rPr>
                <w:noProof/>
              </w:rPr>
              <w:t>Wejście w życie dekretów z mocą ustawy dotyczących reformy 1.3 „Pierwsza chmura obliczeniowa i interoperacyjność”</w:t>
            </w:r>
          </w:p>
        </w:tc>
        <w:tc>
          <w:tcPr>
            <w:tcW w:w="236" w:type="dxa"/>
            <w:tcBorders>
              <w:top w:val="nil"/>
              <w:left w:val="single" w:sz="8" w:space="0" w:color="auto"/>
              <w:bottom w:val="nil"/>
              <w:right w:val="nil"/>
            </w:tcBorders>
            <w:vAlign w:val="center"/>
          </w:tcPr>
          <w:p w14:paraId="34B95141" w14:textId="77777777" w:rsidR="004C6421" w:rsidRDefault="004C6421">
            <w:pPr>
              <w:rPr>
                <w:noProof/>
              </w:rPr>
            </w:pPr>
          </w:p>
        </w:tc>
      </w:tr>
      <w:tr w:rsidR="004C6421" w14:paraId="048CF1DD"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1A04C98" w14:textId="77777777" w:rsidR="004C6421" w:rsidRDefault="009D1962">
            <w:pPr>
              <w:pStyle w:val="P68B1DB1-Normal8"/>
              <w:jc w:val="center"/>
              <w:rPr>
                <w:noProof/>
              </w:rPr>
            </w:pPr>
            <w:r>
              <w:rPr>
                <w:noProof/>
              </w:rPr>
              <w:t>M1C1-29</w:t>
            </w:r>
          </w:p>
        </w:tc>
        <w:tc>
          <w:tcPr>
            <w:tcW w:w="225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DA76200" w14:textId="77777777" w:rsidR="004C6421" w:rsidRDefault="009D1962">
            <w:pPr>
              <w:pStyle w:val="P68B1DB1-Normal8"/>
              <w:rPr>
                <w:noProof/>
              </w:rPr>
            </w:pPr>
            <w:r>
              <w:rPr>
                <w:noProof/>
              </w:rPr>
              <w:t>Reforma 1.4: Reforma wymiaru sprawiedliwości w sprawach cywilnych</w:t>
            </w:r>
          </w:p>
        </w:tc>
        <w:tc>
          <w:tcPr>
            <w:tcW w:w="124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9675A5E" w14:textId="6E9409C9" w:rsidR="004C6421" w:rsidRDefault="00CC179E">
            <w:pPr>
              <w:pStyle w:val="P68B1DB1-Normal8"/>
              <w:rPr>
                <w:noProof/>
              </w:rPr>
            </w:pPr>
            <w:r>
              <w:rPr>
                <w:noProof/>
              </w:rPr>
              <w:t>Milowy</w:t>
            </w:r>
          </w:p>
        </w:tc>
        <w:tc>
          <w:tcPr>
            <w:tcW w:w="458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D027CBF" w14:textId="77777777" w:rsidR="004C6421" w:rsidRDefault="009D1962">
            <w:pPr>
              <w:pStyle w:val="P68B1DB1-Normal8"/>
              <w:rPr>
                <w:noProof/>
              </w:rPr>
            </w:pPr>
            <w:r>
              <w:rPr>
                <w:noProof/>
              </w:rPr>
              <w:t>Wejście w życie przepisów umożliwiających reformę wymiaru sprawiedliwości w sprawach cywilnych</w:t>
            </w:r>
          </w:p>
        </w:tc>
        <w:tc>
          <w:tcPr>
            <w:tcW w:w="236" w:type="dxa"/>
            <w:tcBorders>
              <w:top w:val="nil"/>
              <w:left w:val="single" w:sz="8" w:space="0" w:color="auto"/>
              <w:bottom w:val="nil"/>
              <w:right w:val="nil"/>
            </w:tcBorders>
            <w:vAlign w:val="center"/>
          </w:tcPr>
          <w:p w14:paraId="437898DB" w14:textId="77777777" w:rsidR="004C6421" w:rsidRDefault="004C6421">
            <w:pPr>
              <w:rPr>
                <w:noProof/>
              </w:rPr>
            </w:pPr>
          </w:p>
        </w:tc>
      </w:tr>
      <w:tr w:rsidR="004C6421" w14:paraId="4CFAFB04"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E2758C5" w14:textId="77777777" w:rsidR="004C6421" w:rsidRDefault="009D1962">
            <w:pPr>
              <w:pStyle w:val="P68B1DB1-Normal8"/>
              <w:jc w:val="center"/>
              <w:rPr>
                <w:noProof/>
              </w:rPr>
            </w:pPr>
            <w:r>
              <w:rPr>
                <w:noProof/>
              </w:rPr>
              <w:t>M1C1-30</w:t>
            </w:r>
          </w:p>
        </w:tc>
        <w:tc>
          <w:tcPr>
            <w:tcW w:w="225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6853ADC" w14:textId="77777777" w:rsidR="004C6421" w:rsidRDefault="009D1962">
            <w:pPr>
              <w:pStyle w:val="P68B1DB1-Normal8"/>
              <w:rPr>
                <w:noProof/>
              </w:rPr>
            </w:pPr>
            <w:r>
              <w:rPr>
                <w:noProof/>
              </w:rPr>
              <w:t>Reforma 1.5: Reforma wymiaru sprawiedliwości w sprawach karnych</w:t>
            </w:r>
          </w:p>
        </w:tc>
        <w:tc>
          <w:tcPr>
            <w:tcW w:w="124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02FD3BA" w14:textId="40486067" w:rsidR="004C6421" w:rsidRDefault="00CC179E">
            <w:pPr>
              <w:pStyle w:val="P68B1DB1-Normal8"/>
              <w:rPr>
                <w:noProof/>
              </w:rPr>
            </w:pPr>
            <w:r>
              <w:rPr>
                <w:noProof/>
              </w:rPr>
              <w:t>Milowy</w:t>
            </w:r>
          </w:p>
        </w:tc>
        <w:tc>
          <w:tcPr>
            <w:tcW w:w="458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5DA5D30" w14:textId="77777777" w:rsidR="004C6421" w:rsidRDefault="009D1962">
            <w:pPr>
              <w:pStyle w:val="P68B1DB1-Normal8"/>
              <w:rPr>
                <w:noProof/>
              </w:rPr>
            </w:pPr>
            <w:r>
              <w:rPr>
                <w:noProof/>
              </w:rPr>
              <w:t>Wejście w życie przepisów umożliwiających reformę wymiaru sprawiedliwości w sprawach karnych</w:t>
            </w:r>
          </w:p>
        </w:tc>
        <w:tc>
          <w:tcPr>
            <w:tcW w:w="236" w:type="dxa"/>
            <w:tcBorders>
              <w:top w:val="nil"/>
              <w:left w:val="single" w:sz="8" w:space="0" w:color="auto"/>
              <w:bottom w:val="nil"/>
              <w:right w:val="nil"/>
            </w:tcBorders>
            <w:vAlign w:val="center"/>
          </w:tcPr>
          <w:p w14:paraId="1535D361" w14:textId="77777777" w:rsidR="004C6421" w:rsidRDefault="004C6421">
            <w:pPr>
              <w:rPr>
                <w:noProof/>
              </w:rPr>
            </w:pPr>
          </w:p>
        </w:tc>
      </w:tr>
      <w:tr w:rsidR="004C6421" w14:paraId="1FE6CF32"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37CACEE" w14:textId="77777777" w:rsidR="004C6421" w:rsidRDefault="009D1962">
            <w:pPr>
              <w:pStyle w:val="P68B1DB1-Normal8"/>
              <w:jc w:val="center"/>
              <w:rPr>
                <w:noProof/>
              </w:rPr>
            </w:pPr>
            <w:r>
              <w:rPr>
                <w:noProof/>
              </w:rPr>
              <w:t>M1C1-31</w:t>
            </w:r>
          </w:p>
        </w:tc>
        <w:tc>
          <w:tcPr>
            <w:tcW w:w="225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103168D" w14:textId="77777777" w:rsidR="004C6421" w:rsidRDefault="009D1962">
            <w:pPr>
              <w:pStyle w:val="P68B1DB1-Normal8"/>
              <w:rPr>
                <w:noProof/>
              </w:rPr>
            </w:pPr>
            <w:r>
              <w:rPr>
                <w:noProof/>
              </w:rPr>
              <w:t>Reforma 1.6: Reforma ram prawnych dotyczących niewypłacalności</w:t>
            </w:r>
          </w:p>
        </w:tc>
        <w:tc>
          <w:tcPr>
            <w:tcW w:w="124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E85153D" w14:textId="33A716FA" w:rsidR="004C6421" w:rsidRDefault="00CC179E">
            <w:pPr>
              <w:pStyle w:val="P68B1DB1-Normal8"/>
              <w:rPr>
                <w:noProof/>
              </w:rPr>
            </w:pPr>
            <w:r>
              <w:rPr>
                <w:noProof/>
              </w:rPr>
              <w:t>Milowy</w:t>
            </w:r>
          </w:p>
        </w:tc>
        <w:tc>
          <w:tcPr>
            <w:tcW w:w="458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28C7BEE" w14:textId="77777777" w:rsidR="004C6421" w:rsidRDefault="009D1962">
            <w:pPr>
              <w:pStyle w:val="P68B1DB1-Normal8"/>
              <w:rPr>
                <w:noProof/>
              </w:rPr>
            </w:pPr>
            <w:r>
              <w:rPr>
                <w:noProof/>
              </w:rPr>
              <w:t>Wejście w życie przepisów umożliwiających reformę przepisów dotyczących niewypłacalności</w:t>
            </w:r>
          </w:p>
        </w:tc>
        <w:tc>
          <w:tcPr>
            <w:tcW w:w="236" w:type="dxa"/>
            <w:tcBorders>
              <w:top w:val="nil"/>
              <w:left w:val="single" w:sz="8" w:space="0" w:color="auto"/>
              <w:bottom w:val="nil"/>
              <w:right w:val="nil"/>
            </w:tcBorders>
            <w:vAlign w:val="center"/>
          </w:tcPr>
          <w:p w14:paraId="127B5133" w14:textId="77777777" w:rsidR="004C6421" w:rsidRDefault="004C6421">
            <w:pPr>
              <w:rPr>
                <w:noProof/>
              </w:rPr>
            </w:pPr>
          </w:p>
        </w:tc>
      </w:tr>
      <w:tr w:rsidR="004C6421" w14:paraId="55447A8D"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4A77772" w14:textId="77777777" w:rsidR="004C6421" w:rsidRDefault="009D1962">
            <w:pPr>
              <w:pStyle w:val="P68B1DB1-Normal8"/>
              <w:jc w:val="center"/>
              <w:rPr>
                <w:noProof/>
              </w:rPr>
            </w:pPr>
            <w:r>
              <w:rPr>
                <w:noProof/>
              </w:rPr>
              <w:t>M1C1-32</w:t>
            </w:r>
          </w:p>
        </w:tc>
        <w:tc>
          <w:tcPr>
            <w:tcW w:w="225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79E38CA" w14:textId="77777777" w:rsidR="004C6421" w:rsidRDefault="009D1962">
            <w:pPr>
              <w:pStyle w:val="P68B1DB1-Normal8"/>
              <w:rPr>
                <w:noProof/>
              </w:rPr>
            </w:pPr>
            <w:r>
              <w:rPr>
                <w:noProof/>
              </w:rPr>
              <w:t>Inwestycje 1.8: Procedury rekrutacyjne w sądach cywilnych, karnych i administracyjnych</w:t>
            </w:r>
          </w:p>
        </w:tc>
        <w:tc>
          <w:tcPr>
            <w:tcW w:w="124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BF57845" w14:textId="2C293A35" w:rsidR="004C6421" w:rsidRDefault="00CC179E">
            <w:pPr>
              <w:pStyle w:val="P68B1DB1-Normal8"/>
              <w:rPr>
                <w:noProof/>
              </w:rPr>
            </w:pPr>
            <w:r>
              <w:rPr>
                <w:noProof/>
              </w:rPr>
              <w:t>Milowy</w:t>
            </w:r>
          </w:p>
        </w:tc>
        <w:tc>
          <w:tcPr>
            <w:tcW w:w="458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313D592" w14:textId="77777777" w:rsidR="004C6421" w:rsidRDefault="009D1962">
            <w:pPr>
              <w:pStyle w:val="P68B1DB1-Normal8"/>
              <w:rPr>
                <w:noProof/>
              </w:rPr>
            </w:pPr>
            <w:r>
              <w:rPr>
                <w:noProof/>
              </w:rPr>
              <w:t>Wejście w życie specjalnych przepisów regulujących rekrutację w ramach krajowego planu odbudowy i zwiększania odporności</w:t>
            </w:r>
          </w:p>
        </w:tc>
        <w:tc>
          <w:tcPr>
            <w:tcW w:w="236" w:type="dxa"/>
            <w:tcBorders>
              <w:top w:val="nil"/>
              <w:left w:val="single" w:sz="8" w:space="0" w:color="auto"/>
              <w:bottom w:val="nil"/>
              <w:right w:val="nil"/>
            </w:tcBorders>
            <w:vAlign w:val="center"/>
          </w:tcPr>
          <w:p w14:paraId="6AF50818" w14:textId="77777777" w:rsidR="004C6421" w:rsidRDefault="004C6421">
            <w:pPr>
              <w:rPr>
                <w:noProof/>
              </w:rPr>
            </w:pPr>
          </w:p>
        </w:tc>
      </w:tr>
      <w:tr w:rsidR="004C6421" w14:paraId="65C817F9"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F1E5A8D" w14:textId="77777777" w:rsidR="004C6421" w:rsidRDefault="009D1962">
            <w:pPr>
              <w:pStyle w:val="P68B1DB1-Normal8"/>
              <w:jc w:val="center"/>
              <w:rPr>
                <w:noProof/>
              </w:rPr>
            </w:pPr>
            <w:r>
              <w:rPr>
                <w:noProof/>
              </w:rPr>
              <w:t>M1C1-54</w:t>
            </w:r>
          </w:p>
        </w:tc>
        <w:tc>
          <w:tcPr>
            <w:tcW w:w="225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A849936" w14:textId="77777777" w:rsidR="004C6421" w:rsidRDefault="009D1962">
            <w:pPr>
              <w:pStyle w:val="P68B1DB1-Normal8"/>
              <w:rPr>
                <w:noProof/>
              </w:rPr>
            </w:pPr>
            <w:r>
              <w:rPr>
                <w:noProof/>
              </w:rPr>
              <w:t>Inwestycja 1.9: Zapewnienie pomocy technicznej i wzmocnienie budowania zdolności na potrzeby realizacji włoskiego planu odbudowy i zwiększania odporności</w:t>
            </w:r>
          </w:p>
        </w:tc>
        <w:tc>
          <w:tcPr>
            <w:tcW w:w="124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BF652C2" w14:textId="77777777" w:rsidR="004C6421" w:rsidRDefault="009D1962">
            <w:pPr>
              <w:pStyle w:val="P68B1DB1-Normal8"/>
              <w:rPr>
                <w:noProof/>
              </w:rPr>
            </w:pPr>
            <w:r>
              <w:rPr>
                <w:noProof/>
              </w:rPr>
              <w:t>Cel</w:t>
            </w:r>
          </w:p>
        </w:tc>
        <w:tc>
          <w:tcPr>
            <w:tcW w:w="458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3D1A169" w14:textId="77777777" w:rsidR="004C6421" w:rsidRDefault="009D1962">
            <w:pPr>
              <w:pStyle w:val="P68B1DB1-Normal8"/>
              <w:rPr>
                <w:noProof/>
              </w:rPr>
            </w:pPr>
            <w:r>
              <w:rPr>
                <w:noProof/>
              </w:rPr>
              <w:t>Zakończona rekrutacja ekspertów do celów realizacji włoskiego planu odbudowy i zwiększania odporności</w:t>
            </w:r>
          </w:p>
        </w:tc>
        <w:tc>
          <w:tcPr>
            <w:tcW w:w="236" w:type="dxa"/>
            <w:tcBorders>
              <w:top w:val="nil"/>
              <w:left w:val="single" w:sz="8" w:space="0" w:color="auto"/>
              <w:bottom w:val="nil"/>
              <w:right w:val="nil"/>
            </w:tcBorders>
            <w:vAlign w:val="center"/>
          </w:tcPr>
          <w:p w14:paraId="2C2A172E" w14:textId="77777777" w:rsidR="004C6421" w:rsidRDefault="004C6421">
            <w:pPr>
              <w:rPr>
                <w:noProof/>
              </w:rPr>
            </w:pPr>
          </w:p>
        </w:tc>
      </w:tr>
      <w:tr w:rsidR="004C6421" w14:paraId="3AAD53C6"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84CAA9C" w14:textId="77777777" w:rsidR="004C6421" w:rsidRDefault="009D1962">
            <w:pPr>
              <w:pStyle w:val="P68B1DB1-Normal8"/>
              <w:jc w:val="center"/>
              <w:rPr>
                <w:noProof/>
              </w:rPr>
            </w:pPr>
            <w:r>
              <w:rPr>
                <w:noProof/>
              </w:rPr>
              <w:t>M1C1-55</w:t>
            </w:r>
          </w:p>
        </w:tc>
        <w:tc>
          <w:tcPr>
            <w:tcW w:w="225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03A05E1" w14:textId="77777777" w:rsidR="004C6421" w:rsidRDefault="009D1962">
            <w:pPr>
              <w:pStyle w:val="P68B1DB1-Normal8"/>
              <w:rPr>
                <w:noProof/>
              </w:rPr>
            </w:pPr>
            <w:r>
              <w:rPr>
                <w:noProof/>
              </w:rPr>
              <w:t>Reforma 1.9: Reforma administracji publicznej</w:t>
            </w:r>
          </w:p>
        </w:tc>
        <w:tc>
          <w:tcPr>
            <w:tcW w:w="124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D004F19" w14:textId="44AABE5F" w:rsidR="004C6421" w:rsidRDefault="00CC179E">
            <w:pPr>
              <w:pStyle w:val="P68B1DB1-Normal8"/>
              <w:rPr>
                <w:noProof/>
              </w:rPr>
            </w:pPr>
            <w:r>
              <w:rPr>
                <w:noProof/>
              </w:rPr>
              <w:t>Milowy</w:t>
            </w:r>
          </w:p>
        </w:tc>
        <w:tc>
          <w:tcPr>
            <w:tcW w:w="458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FE73B10" w14:textId="77777777" w:rsidR="004C6421" w:rsidRDefault="009D1962">
            <w:pPr>
              <w:pStyle w:val="P68B1DB1-Normal8"/>
              <w:rPr>
                <w:noProof/>
              </w:rPr>
            </w:pPr>
            <w:r>
              <w:rPr>
                <w:noProof/>
              </w:rPr>
              <w:t>Rozszerzenie metodyki stosowanej do włoskiego planu odbudowy i zwiększania odporności na budżet krajowy w celu zwiększenia absorpcji inwestycji</w:t>
            </w:r>
          </w:p>
        </w:tc>
        <w:tc>
          <w:tcPr>
            <w:tcW w:w="236" w:type="dxa"/>
            <w:tcBorders>
              <w:top w:val="nil"/>
              <w:left w:val="single" w:sz="8" w:space="0" w:color="auto"/>
              <w:bottom w:val="nil"/>
              <w:right w:val="nil"/>
            </w:tcBorders>
            <w:vAlign w:val="center"/>
          </w:tcPr>
          <w:p w14:paraId="44D1AB81" w14:textId="77777777" w:rsidR="004C6421" w:rsidRDefault="004C6421">
            <w:pPr>
              <w:rPr>
                <w:noProof/>
              </w:rPr>
            </w:pPr>
          </w:p>
        </w:tc>
      </w:tr>
      <w:tr w:rsidR="004C6421" w14:paraId="75F6AB55"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6739997" w14:textId="77777777" w:rsidR="004C6421" w:rsidRDefault="009D1962">
            <w:pPr>
              <w:pStyle w:val="P68B1DB1-Normal8"/>
              <w:jc w:val="center"/>
              <w:rPr>
                <w:noProof/>
              </w:rPr>
            </w:pPr>
            <w:r>
              <w:rPr>
                <w:noProof/>
              </w:rPr>
              <w:t>M1C1-68</w:t>
            </w:r>
          </w:p>
        </w:tc>
        <w:tc>
          <w:tcPr>
            <w:tcW w:w="225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BD7F459" w14:textId="77777777" w:rsidR="004C6421" w:rsidRDefault="009D1962">
            <w:pPr>
              <w:pStyle w:val="P68B1DB1-Normal8"/>
              <w:rPr>
                <w:noProof/>
              </w:rPr>
            </w:pPr>
            <w:r>
              <w:rPr>
                <w:noProof/>
              </w:rPr>
              <w:t>Reforma 1.9: Reforma administracji publicznej</w:t>
            </w:r>
          </w:p>
        </w:tc>
        <w:tc>
          <w:tcPr>
            <w:tcW w:w="124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6C5C08A" w14:textId="6556286A" w:rsidR="004C6421" w:rsidRDefault="00CC179E">
            <w:pPr>
              <w:pStyle w:val="P68B1DB1-Normal8"/>
              <w:rPr>
                <w:noProof/>
              </w:rPr>
            </w:pPr>
            <w:r>
              <w:rPr>
                <w:noProof/>
              </w:rPr>
              <w:t>Milowy</w:t>
            </w:r>
          </w:p>
        </w:tc>
        <w:tc>
          <w:tcPr>
            <w:tcW w:w="458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B784F8A" w14:textId="77777777" w:rsidR="004C6421" w:rsidRDefault="009D1962">
            <w:pPr>
              <w:pStyle w:val="P68B1DB1-Normal8"/>
              <w:rPr>
                <w:noProof/>
              </w:rPr>
            </w:pPr>
            <w:r>
              <w:rPr>
                <w:noProof/>
              </w:rPr>
              <w:t>System repozytoriów audytu i kontroli: informacje na potrzeby monitorowania wdrażania RRF</w:t>
            </w:r>
          </w:p>
        </w:tc>
        <w:tc>
          <w:tcPr>
            <w:tcW w:w="236" w:type="dxa"/>
            <w:tcBorders>
              <w:top w:val="nil"/>
              <w:left w:val="single" w:sz="8" w:space="0" w:color="auto"/>
              <w:bottom w:val="nil"/>
              <w:right w:val="nil"/>
            </w:tcBorders>
            <w:vAlign w:val="center"/>
          </w:tcPr>
          <w:p w14:paraId="61904011" w14:textId="77777777" w:rsidR="004C6421" w:rsidRDefault="004C6421">
            <w:pPr>
              <w:rPr>
                <w:noProof/>
              </w:rPr>
            </w:pPr>
          </w:p>
        </w:tc>
      </w:tr>
      <w:tr w:rsidR="004C6421" w14:paraId="3142A0F9"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317CFF2" w14:textId="77777777" w:rsidR="004C6421" w:rsidRDefault="009D1962">
            <w:pPr>
              <w:pStyle w:val="P68B1DB1-Normal8"/>
              <w:jc w:val="center"/>
              <w:rPr>
                <w:noProof/>
              </w:rPr>
            </w:pPr>
            <w:r>
              <w:rPr>
                <w:noProof/>
              </w:rPr>
              <w:t>M1C1-71</w:t>
            </w:r>
          </w:p>
        </w:tc>
        <w:tc>
          <w:tcPr>
            <w:tcW w:w="225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3913854" w14:textId="77777777" w:rsidR="004C6421" w:rsidRDefault="009D1962">
            <w:pPr>
              <w:pStyle w:val="P68B1DB1-Normal8"/>
              <w:rPr>
                <w:noProof/>
              </w:rPr>
            </w:pPr>
            <w:r>
              <w:rPr>
                <w:noProof/>
              </w:rPr>
              <w:t>Reforma 1.10: Reforma ram prawnych dotyczących zamówień publicznych</w:t>
            </w:r>
          </w:p>
        </w:tc>
        <w:tc>
          <w:tcPr>
            <w:tcW w:w="124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52AB7F2" w14:textId="3559458C" w:rsidR="004C6421" w:rsidRDefault="00CC179E">
            <w:pPr>
              <w:pStyle w:val="P68B1DB1-Normal8"/>
              <w:rPr>
                <w:noProof/>
              </w:rPr>
            </w:pPr>
            <w:r>
              <w:rPr>
                <w:noProof/>
              </w:rPr>
              <w:t>Milowy</w:t>
            </w:r>
          </w:p>
        </w:tc>
        <w:tc>
          <w:tcPr>
            <w:tcW w:w="458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2DF990E" w14:textId="77777777" w:rsidR="004C6421" w:rsidRDefault="009D1962">
            <w:pPr>
              <w:pStyle w:val="P68B1DB1-Normal8"/>
              <w:rPr>
                <w:noProof/>
              </w:rPr>
            </w:pPr>
            <w:r>
              <w:rPr>
                <w:noProof/>
              </w:rPr>
              <w:t>Wejście w życie wszystkich niezbędnych przepisów ustawowych, wykonawczych i wykonawczych (w tym prawa wtórnego) w odniesieniu do systemu zamówień publicznych</w:t>
            </w:r>
          </w:p>
        </w:tc>
        <w:tc>
          <w:tcPr>
            <w:tcW w:w="236" w:type="dxa"/>
            <w:tcBorders>
              <w:top w:val="nil"/>
              <w:left w:val="single" w:sz="8" w:space="0" w:color="auto"/>
              <w:bottom w:val="nil"/>
              <w:right w:val="nil"/>
            </w:tcBorders>
            <w:vAlign w:val="center"/>
          </w:tcPr>
          <w:p w14:paraId="26FF7545" w14:textId="77777777" w:rsidR="004C6421" w:rsidRDefault="004C6421">
            <w:pPr>
              <w:rPr>
                <w:noProof/>
              </w:rPr>
            </w:pPr>
          </w:p>
        </w:tc>
      </w:tr>
      <w:tr w:rsidR="004C6421" w14:paraId="51195361"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426402E" w14:textId="77777777" w:rsidR="004C6421" w:rsidRDefault="009D1962">
            <w:pPr>
              <w:pStyle w:val="P68B1DB1-Normal8"/>
              <w:jc w:val="center"/>
              <w:rPr>
                <w:noProof/>
              </w:rPr>
            </w:pPr>
            <w:r>
              <w:rPr>
                <w:noProof/>
              </w:rPr>
              <w:t>M1C1-100</w:t>
            </w:r>
          </w:p>
        </w:tc>
        <w:tc>
          <w:tcPr>
            <w:tcW w:w="225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A7908BE" w14:textId="77777777" w:rsidR="004C6421" w:rsidRDefault="009D1962">
            <w:pPr>
              <w:pStyle w:val="P68B1DB1-Normal8"/>
              <w:rPr>
                <w:noProof/>
              </w:rPr>
            </w:pPr>
            <w:r>
              <w:rPr>
                <w:noProof/>
              </w:rPr>
              <w:t>Reforma 1.13: Reforma ram przeglądu wydatków</w:t>
            </w:r>
          </w:p>
        </w:tc>
        <w:tc>
          <w:tcPr>
            <w:tcW w:w="124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051274F" w14:textId="3CCDD9EF" w:rsidR="004C6421" w:rsidRDefault="00CC179E">
            <w:pPr>
              <w:pStyle w:val="P68B1DB1-Normal8"/>
              <w:rPr>
                <w:noProof/>
              </w:rPr>
            </w:pPr>
            <w:r>
              <w:rPr>
                <w:noProof/>
              </w:rPr>
              <w:t>Milowy</w:t>
            </w:r>
          </w:p>
        </w:tc>
        <w:tc>
          <w:tcPr>
            <w:tcW w:w="458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45DC3B6" w14:textId="77777777" w:rsidR="004C6421" w:rsidRDefault="009D1962">
            <w:pPr>
              <w:pStyle w:val="P68B1DB1-Normal8"/>
              <w:rPr>
                <w:noProof/>
              </w:rPr>
            </w:pPr>
            <w:r>
              <w:rPr>
                <w:noProof/>
              </w:rPr>
              <w:t>Wejście w życie przepisów prawnych zwiększających skuteczność przeglądu wydatków – wzmocnienie Ministerstwa Finansów</w:t>
            </w:r>
          </w:p>
        </w:tc>
        <w:tc>
          <w:tcPr>
            <w:tcW w:w="236" w:type="dxa"/>
            <w:tcBorders>
              <w:top w:val="nil"/>
              <w:left w:val="single" w:sz="8" w:space="0" w:color="auto"/>
              <w:bottom w:val="nil"/>
              <w:right w:val="nil"/>
            </w:tcBorders>
            <w:vAlign w:val="center"/>
          </w:tcPr>
          <w:p w14:paraId="5C29F7EE" w14:textId="77777777" w:rsidR="004C6421" w:rsidRDefault="004C6421">
            <w:pPr>
              <w:rPr>
                <w:noProof/>
              </w:rPr>
            </w:pPr>
          </w:p>
        </w:tc>
      </w:tr>
      <w:tr w:rsidR="004C6421" w14:paraId="3372F029"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3A09BFC" w14:textId="77777777" w:rsidR="004C6421" w:rsidRDefault="009D1962">
            <w:pPr>
              <w:pStyle w:val="P68B1DB1-Normal8"/>
              <w:jc w:val="center"/>
              <w:rPr>
                <w:noProof/>
              </w:rPr>
            </w:pPr>
            <w:r>
              <w:rPr>
                <w:noProof/>
              </w:rPr>
              <w:t>M1C1-101</w:t>
            </w:r>
          </w:p>
        </w:tc>
        <w:tc>
          <w:tcPr>
            <w:tcW w:w="225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38CF407" w14:textId="77777777" w:rsidR="004C6421" w:rsidRDefault="009D1962">
            <w:pPr>
              <w:pStyle w:val="P68B1DB1-Normal8"/>
              <w:rPr>
                <w:noProof/>
              </w:rPr>
            </w:pPr>
            <w:r>
              <w:rPr>
                <w:noProof/>
              </w:rPr>
              <w:t xml:space="preserve">Reforma 1.12: Reforma administracji podatkowej </w:t>
            </w:r>
          </w:p>
        </w:tc>
        <w:tc>
          <w:tcPr>
            <w:tcW w:w="124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17A9672" w14:textId="402E8A01" w:rsidR="004C6421" w:rsidRDefault="00CC179E">
            <w:pPr>
              <w:pStyle w:val="P68B1DB1-Normal8"/>
              <w:rPr>
                <w:noProof/>
              </w:rPr>
            </w:pPr>
            <w:r>
              <w:rPr>
                <w:noProof/>
              </w:rPr>
              <w:t>Milowy</w:t>
            </w:r>
          </w:p>
        </w:tc>
        <w:tc>
          <w:tcPr>
            <w:tcW w:w="458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6EA6E74" w14:textId="77777777" w:rsidR="004C6421" w:rsidRDefault="009D1962">
            <w:pPr>
              <w:pStyle w:val="P68B1DB1-Normal8"/>
              <w:rPr>
                <w:noProof/>
              </w:rPr>
            </w:pPr>
            <w:r>
              <w:rPr>
                <w:noProof/>
              </w:rPr>
              <w:t>Przyjęcie przeglądu możliwych działań mających na celu ograniczenie uchylania się od opodatkowania</w:t>
            </w:r>
          </w:p>
        </w:tc>
        <w:tc>
          <w:tcPr>
            <w:tcW w:w="236" w:type="dxa"/>
            <w:tcBorders>
              <w:top w:val="nil"/>
              <w:left w:val="single" w:sz="8" w:space="0" w:color="auto"/>
              <w:bottom w:val="nil"/>
              <w:right w:val="nil"/>
            </w:tcBorders>
            <w:vAlign w:val="center"/>
          </w:tcPr>
          <w:p w14:paraId="5A9C2637" w14:textId="77777777" w:rsidR="004C6421" w:rsidRDefault="004C6421">
            <w:pPr>
              <w:rPr>
                <w:noProof/>
              </w:rPr>
            </w:pPr>
          </w:p>
        </w:tc>
      </w:tr>
      <w:tr w:rsidR="004C6421" w14:paraId="240FAF12"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B74291D" w14:textId="77777777" w:rsidR="004C6421" w:rsidRDefault="009D1962">
            <w:pPr>
              <w:pStyle w:val="P68B1DB1-Normal8"/>
              <w:jc w:val="center"/>
              <w:rPr>
                <w:noProof/>
              </w:rPr>
            </w:pPr>
            <w:r>
              <w:rPr>
                <w:noProof/>
              </w:rPr>
              <w:t>M1C2-1</w:t>
            </w:r>
          </w:p>
        </w:tc>
        <w:tc>
          <w:tcPr>
            <w:tcW w:w="225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25A1DAC" w14:textId="77777777" w:rsidR="004C6421" w:rsidRDefault="009D1962">
            <w:pPr>
              <w:pStyle w:val="P68B1DB1-Normal8"/>
              <w:rPr>
                <w:noProof/>
              </w:rPr>
            </w:pPr>
            <w:r>
              <w:rPr>
                <w:noProof/>
              </w:rPr>
              <w:t>Inwestycja 1: Przejście 4.0</w:t>
            </w:r>
          </w:p>
        </w:tc>
        <w:tc>
          <w:tcPr>
            <w:tcW w:w="124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63104AF" w14:textId="54711C95" w:rsidR="004C6421" w:rsidRDefault="00CC179E">
            <w:pPr>
              <w:pStyle w:val="P68B1DB1-Normal8"/>
              <w:rPr>
                <w:noProof/>
              </w:rPr>
            </w:pPr>
            <w:r>
              <w:rPr>
                <w:noProof/>
              </w:rPr>
              <w:t>Milowy</w:t>
            </w:r>
          </w:p>
        </w:tc>
        <w:tc>
          <w:tcPr>
            <w:tcW w:w="458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18D8611" w14:textId="77777777" w:rsidR="004C6421" w:rsidRDefault="009D1962">
            <w:pPr>
              <w:pStyle w:val="P68B1DB1-Normal8"/>
              <w:rPr>
                <w:noProof/>
              </w:rPr>
            </w:pPr>
            <w:r>
              <w:rPr>
                <w:noProof/>
              </w:rPr>
              <w:t>Wejście w życie aktów prawnych mających na celu udostępnienie potencjalnym beneficjentom ulg podatkowych w okresie przejściowym 4.0 oraz ustanowienie komitetu naukowego</w:t>
            </w:r>
          </w:p>
        </w:tc>
        <w:tc>
          <w:tcPr>
            <w:tcW w:w="236" w:type="dxa"/>
            <w:tcBorders>
              <w:top w:val="nil"/>
              <w:left w:val="single" w:sz="8" w:space="0" w:color="auto"/>
              <w:bottom w:val="nil"/>
              <w:right w:val="nil"/>
            </w:tcBorders>
            <w:vAlign w:val="center"/>
          </w:tcPr>
          <w:p w14:paraId="6D5D0181" w14:textId="77777777" w:rsidR="004C6421" w:rsidRDefault="004C6421">
            <w:pPr>
              <w:rPr>
                <w:noProof/>
              </w:rPr>
            </w:pPr>
          </w:p>
        </w:tc>
      </w:tr>
      <w:tr w:rsidR="004C6421" w14:paraId="0E0678A3"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8BC0D19" w14:textId="77777777" w:rsidR="004C6421" w:rsidRDefault="009D1962">
            <w:pPr>
              <w:pStyle w:val="P68B1DB1-Normal8"/>
              <w:jc w:val="center"/>
              <w:rPr>
                <w:noProof/>
              </w:rPr>
            </w:pPr>
            <w:r>
              <w:rPr>
                <w:noProof/>
              </w:rPr>
              <w:t>M1C3-8</w:t>
            </w:r>
          </w:p>
        </w:tc>
        <w:tc>
          <w:tcPr>
            <w:tcW w:w="225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14F3D78" w14:textId="77777777" w:rsidR="004C6421" w:rsidRDefault="009D1962">
            <w:pPr>
              <w:pStyle w:val="P68B1DB1-Normal8"/>
              <w:rPr>
                <w:noProof/>
              </w:rPr>
            </w:pPr>
            <w:r>
              <w:rPr>
                <w:noProof/>
              </w:rPr>
              <w:t>Inwestycje – 4.1 Centrum turystyki cyfrowej</w:t>
            </w:r>
          </w:p>
        </w:tc>
        <w:tc>
          <w:tcPr>
            <w:tcW w:w="124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7F5DFB6" w14:textId="12626044" w:rsidR="004C6421" w:rsidRDefault="00CC179E">
            <w:pPr>
              <w:pStyle w:val="P68B1DB1-Normal8"/>
              <w:rPr>
                <w:noProof/>
              </w:rPr>
            </w:pPr>
            <w:r>
              <w:rPr>
                <w:noProof/>
              </w:rPr>
              <w:t>Milowy</w:t>
            </w:r>
          </w:p>
        </w:tc>
        <w:tc>
          <w:tcPr>
            <w:tcW w:w="458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E942F05" w14:textId="77777777" w:rsidR="004C6421" w:rsidRDefault="009D1962">
            <w:pPr>
              <w:pStyle w:val="P68B1DB1-Normal8"/>
              <w:rPr>
                <w:noProof/>
              </w:rPr>
            </w:pPr>
            <w:r>
              <w:rPr>
                <w:noProof/>
              </w:rPr>
              <w:t>Udzielanie zamówień na rozwój portalu turystyki cyfrowej</w:t>
            </w:r>
          </w:p>
        </w:tc>
        <w:tc>
          <w:tcPr>
            <w:tcW w:w="236" w:type="dxa"/>
            <w:tcBorders>
              <w:top w:val="nil"/>
              <w:left w:val="single" w:sz="8" w:space="0" w:color="auto"/>
              <w:bottom w:val="nil"/>
              <w:right w:val="nil"/>
            </w:tcBorders>
            <w:vAlign w:val="center"/>
          </w:tcPr>
          <w:p w14:paraId="55DCADDA" w14:textId="77777777" w:rsidR="004C6421" w:rsidRDefault="004C6421">
            <w:pPr>
              <w:rPr>
                <w:noProof/>
              </w:rPr>
            </w:pPr>
          </w:p>
        </w:tc>
      </w:tr>
      <w:tr w:rsidR="004C6421" w14:paraId="6B4CFE08"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94EC308" w14:textId="77777777" w:rsidR="004C6421" w:rsidRDefault="009D1962">
            <w:pPr>
              <w:pStyle w:val="P68B1DB1-Normal8"/>
              <w:jc w:val="center"/>
              <w:rPr>
                <w:noProof/>
              </w:rPr>
            </w:pPr>
            <w:r>
              <w:rPr>
                <w:noProof/>
              </w:rPr>
              <w:t>M2C2-7</w:t>
            </w:r>
          </w:p>
        </w:tc>
        <w:tc>
          <w:tcPr>
            <w:tcW w:w="225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D9CDE20" w14:textId="77777777" w:rsidR="004C6421" w:rsidRDefault="009D1962">
            <w:pPr>
              <w:pStyle w:val="P68B1DB1-Normal8"/>
              <w:rPr>
                <w:noProof/>
              </w:rPr>
            </w:pPr>
            <w:r>
              <w:rPr>
                <w:noProof/>
              </w:rPr>
              <w:t>Reforma 2 Nowe przepisy promujące produkcję i zużycie gazu ze źródeł odnawialnych</w:t>
            </w:r>
          </w:p>
        </w:tc>
        <w:tc>
          <w:tcPr>
            <w:tcW w:w="124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60251C3" w14:textId="6313C5E7" w:rsidR="004C6421" w:rsidRDefault="00CC179E">
            <w:pPr>
              <w:pStyle w:val="P68B1DB1-Normal8"/>
              <w:rPr>
                <w:noProof/>
              </w:rPr>
            </w:pPr>
            <w:r>
              <w:rPr>
                <w:noProof/>
              </w:rPr>
              <w:t>Milowy</w:t>
            </w:r>
          </w:p>
        </w:tc>
        <w:tc>
          <w:tcPr>
            <w:tcW w:w="458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2075B09" w14:textId="77777777" w:rsidR="004C6421" w:rsidRDefault="009D1962">
            <w:pPr>
              <w:pStyle w:val="P68B1DB1-Normal8"/>
              <w:rPr>
                <w:noProof/>
              </w:rPr>
            </w:pPr>
            <w:r>
              <w:rPr>
                <w:noProof/>
              </w:rPr>
              <w:t>Wejście w życie dekretu ustawodawczego promującego wykorzystanie gazu odnawialnego do wykorzystania biometanu w sektorze transportu, przemysłu i mieszkalnictwa oraz dekretu wykonawczego określającego warunki i kryteria jego stosowania oraz nowy system zachęt.</w:t>
            </w:r>
          </w:p>
        </w:tc>
        <w:tc>
          <w:tcPr>
            <w:tcW w:w="236" w:type="dxa"/>
            <w:tcBorders>
              <w:top w:val="nil"/>
              <w:left w:val="single" w:sz="8" w:space="0" w:color="auto"/>
              <w:bottom w:val="nil"/>
              <w:right w:val="nil"/>
            </w:tcBorders>
            <w:vAlign w:val="center"/>
          </w:tcPr>
          <w:p w14:paraId="1F3C6720" w14:textId="77777777" w:rsidR="004C6421" w:rsidRDefault="004C6421">
            <w:pPr>
              <w:rPr>
                <w:noProof/>
              </w:rPr>
            </w:pPr>
          </w:p>
        </w:tc>
      </w:tr>
      <w:tr w:rsidR="004C6421" w14:paraId="5F9CADDE"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3BA56B8" w14:textId="77777777" w:rsidR="004C6421" w:rsidRDefault="009D1962">
            <w:pPr>
              <w:pStyle w:val="P68B1DB1-Normal8"/>
              <w:jc w:val="center"/>
              <w:rPr>
                <w:noProof/>
              </w:rPr>
            </w:pPr>
            <w:r>
              <w:rPr>
                <w:noProof/>
              </w:rPr>
              <w:t>M2C2-37</w:t>
            </w:r>
          </w:p>
        </w:tc>
        <w:tc>
          <w:tcPr>
            <w:tcW w:w="225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E9D9435" w14:textId="77777777" w:rsidR="004C6421" w:rsidRDefault="009D1962">
            <w:pPr>
              <w:pStyle w:val="P68B1DB1-Normal8"/>
              <w:rPr>
                <w:noProof/>
              </w:rPr>
            </w:pPr>
            <w:r>
              <w:rPr>
                <w:noProof/>
              </w:rPr>
              <w:t>Reforma 5: Inteligentniejsze procedury oceny projektów w sektorze lokalnych systemów transportu publicznego z stałymi instalacjami oraz w sektorze szybkiego transportu masowego</w:t>
            </w:r>
          </w:p>
        </w:tc>
        <w:tc>
          <w:tcPr>
            <w:tcW w:w="124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E4B740C" w14:textId="089C0769" w:rsidR="004C6421" w:rsidRDefault="00CC179E">
            <w:pPr>
              <w:pStyle w:val="P68B1DB1-Normal8"/>
              <w:rPr>
                <w:noProof/>
              </w:rPr>
            </w:pPr>
            <w:r>
              <w:rPr>
                <w:noProof/>
              </w:rPr>
              <w:t>Milowy</w:t>
            </w:r>
          </w:p>
        </w:tc>
        <w:tc>
          <w:tcPr>
            <w:tcW w:w="458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FAFAC14" w14:textId="77777777" w:rsidR="004C6421" w:rsidRDefault="009D1962">
            <w:pPr>
              <w:pStyle w:val="P68B1DB1-Normal8"/>
              <w:rPr>
                <w:noProof/>
              </w:rPr>
            </w:pPr>
            <w:r>
              <w:rPr>
                <w:noProof/>
              </w:rPr>
              <w:t>Wejście w życie dekretu z mocą ustawy</w:t>
            </w:r>
          </w:p>
        </w:tc>
        <w:tc>
          <w:tcPr>
            <w:tcW w:w="236" w:type="dxa"/>
            <w:tcBorders>
              <w:top w:val="nil"/>
              <w:left w:val="single" w:sz="8" w:space="0" w:color="auto"/>
              <w:bottom w:val="nil"/>
              <w:right w:val="nil"/>
            </w:tcBorders>
            <w:vAlign w:val="center"/>
          </w:tcPr>
          <w:p w14:paraId="21694C31" w14:textId="77777777" w:rsidR="004C6421" w:rsidRDefault="004C6421">
            <w:pPr>
              <w:rPr>
                <w:noProof/>
              </w:rPr>
            </w:pPr>
          </w:p>
        </w:tc>
      </w:tr>
      <w:tr w:rsidR="004C6421" w14:paraId="1510FBA5"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8C71516" w14:textId="77777777" w:rsidR="004C6421" w:rsidRDefault="009D1962">
            <w:pPr>
              <w:pStyle w:val="P68B1DB1-Normal8"/>
              <w:jc w:val="center"/>
              <w:rPr>
                <w:noProof/>
              </w:rPr>
            </w:pPr>
            <w:r>
              <w:rPr>
                <w:noProof/>
              </w:rPr>
              <w:t>M2C2-41</w:t>
            </w:r>
          </w:p>
        </w:tc>
        <w:tc>
          <w:tcPr>
            <w:tcW w:w="225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880B500" w14:textId="77777777" w:rsidR="004C6421" w:rsidRDefault="009D1962">
            <w:pPr>
              <w:pStyle w:val="P68B1DB1-Normal8"/>
              <w:rPr>
                <w:noProof/>
              </w:rPr>
            </w:pPr>
            <w:r>
              <w:rPr>
                <w:noProof/>
              </w:rPr>
              <w:t>Inwestycje 5.3: Autobusy elektryczne</w:t>
            </w:r>
          </w:p>
        </w:tc>
        <w:tc>
          <w:tcPr>
            <w:tcW w:w="124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CAC89D4" w14:textId="64D50E79" w:rsidR="004C6421" w:rsidRDefault="00CC179E">
            <w:pPr>
              <w:pStyle w:val="P68B1DB1-Normal8"/>
              <w:rPr>
                <w:noProof/>
              </w:rPr>
            </w:pPr>
            <w:r>
              <w:rPr>
                <w:noProof/>
              </w:rPr>
              <w:t>Milowy</w:t>
            </w:r>
          </w:p>
        </w:tc>
        <w:tc>
          <w:tcPr>
            <w:tcW w:w="458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2307923" w14:textId="77777777" w:rsidR="004C6421" w:rsidRDefault="009D1962">
            <w:pPr>
              <w:pStyle w:val="P68B1DB1-Normal8"/>
              <w:rPr>
                <w:noProof/>
              </w:rPr>
            </w:pPr>
            <w:r>
              <w:rPr>
                <w:noProof/>
              </w:rPr>
              <w:t>Wejście w życie dekretu ministerialnego określającego kwotę dostępnych środków na osiągnięcie celu interwencji (łańcuch dostaw autobusów)</w:t>
            </w:r>
          </w:p>
        </w:tc>
        <w:tc>
          <w:tcPr>
            <w:tcW w:w="236" w:type="dxa"/>
            <w:tcBorders>
              <w:top w:val="nil"/>
              <w:left w:val="single" w:sz="8" w:space="0" w:color="auto"/>
              <w:bottom w:val="nil"/>
              <w:right w:val="nil"/>
            </w:tcBorders>
            <w:vAlign w:val="center"/>
          </w:tcPr>
          <w:p w14:paraId="08A3F595" w14:textId="77777777" w:rsidR="004C6421" w:rsidRDefault="004C6421">
            <w:pPr>
              <w:rPr>
                <w:noProof/>
              </w:rPr>
            </w:pPr>
          </w:p>
        </w:tc>
      </w:tr>
      <w:tr w:rsidR="004C6421" w14:paraId="60FBF4A9"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792AA5B" w14:textId="77777777" w:rsidR="004C6421" w:rsidRDefault="009D1962">
            <w:pPr>
              <w:pStyle w:val="P68B1DB1-Normal8"/>
              <w:jc w:val="center"/>
              <w:rPr>
                <w:noProof/>
              </w:rPr>
            </w:pPr>
            <w:r>
              <w:rPr>
                <w:noProof/>
              </w:rPr>
              <w:t>M2C3-1</w:t>
            </w:r>
          </w:p>
        </w:tc>
        <w:tc>
          <w:tcPr>
            <w:tcW w:w="225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09E2E7D" w14:textId="77777777" w:rsidR="004C6421" w:rsidRDefault="009D1962">
            <w:pPr>
              <w:pStyle w:val="P68B1DB1-Normal8"/>
              <w:rPr>
                <w:noProof/>
              </w:rPr>
            </w:pPr>
            <w:r>
              <w:rPr>
                <w:noProof/>
              </w:rPr>
              <w:t xml:space="preserve">Inwestycje 2.1 – Wzmocnienie Ecobonus na rzecz efektywności energetycznej </w:t>
            </w:r>
          </w:p>
        </w:tc>
        <w:tc>
          <w:tcPr>
            <w:tcW w:w="124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F6A4B8D" w14:textId="5C993529" w:rsidR="004C6421" w:rsidRDefault="00CC179E">
            <w:pPr>
              <w:pStyle w:val="P68B1DB1-Normal8"/>
              <w:rPr>
                <w:noProof/>
              </w:rPr>
            </w:pPr>
            <w:r>
              <w:rPr>
                <w:noProof/>
              </w:rPr>
              <w:t>Milowy</w:t>
            </w:r>
          </w:p>
        </w:tc>
        <w:tc>
          <w:tcPr>
            <w:tcW w:w="458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BE12768" w14:textId="77777777" w:rsidR="004C6421" w:rsidRDefault="009D1962">
            <w:pPr>
              <w:pStyle w:val="P68B1DB1-Normal8"/>
              <w:rPr>
                <w:noProof/>
              </w:rPr>
            </w:pPr>
            <w:r>
              <w:rPr>
                <w:noProof/>
              </w:rPr>
              <w:t xml:space="preserve">Wejście w życie przedłużenia obowiązywania Superbonus  </w:t>
            </w:r>
          </w:p>
        </w:tc>
        <w:tc>
          <w:tcPr>
            <w:tcW w:w="236" w:type="dxa"/>
            <w:tcBorders>
              <w:top w:val="nil"/>
              <w:left w:val="single" w:sz="8" w:space="0" w:color="auto"/>
              <w:bottom w:val="nil"/>
              <w:right w:val="nil"/>
            </w:tcBorders>
            <w:vAlign w:val="center"/>
          </w:tcPr>
          <w:p w14:paraId="27B189B0" w14:textId="77777777" w:rsidR="004C6421" w:rsidRDefault="004C6421">
            <w:pPr>
              <w:rPr>
                <w:noProof/>
              </w:rPr>
            </w:pPr>
          </w:p>
        </w:tc>
      </w:tr>
      <w:tr w:rsidR="004C6421" w14:paraId="6CE244D3"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CE5DB6D" w14:textId="77777777" w:rsidR="004C6421" w:rsidRDefault="009D1962">
            <w:pPr>
              <w:pStyle w:val="P68B1DB1-Normal8"/>
              <w:jc w:val="center"/>
              <w:rPr>
                <w:noProof/>
              </w:rPr>
            </w:pPr>
            <w:r>
              <w:rPr>
                <w:noProof/>
              </w:rPr>
              <w:t>M2C4-3</w:t>
            </w:r>
          </w:p>
        </w:tc>
        <w:tc>
          <w:tcPr>
            <w:tcW w:w="225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91FAAE1" w14:textId="77777777" w:rsidR="004C6421" w:rsidRDefault="009D1962">
            <w:pPr>
              <w:pStyle w:val="P68B1DB1-Normal8"/>
              <w:rPr>
                <w:noProof/>
              </w:rPr>
            </w:pPr>
            <w:r>
              <w:rPr>
                <w:noProof/>
              </w:rPr>
              <w:t>Reforma 4.2 „Środki zapewniające pełne zdolności zarządzania zintegrowanymi usługami wodnymi”</w:t>
            </w:r>
          </w:p>
        </w:tc>
        <w:tc>
          <w:tcPr>
            <w:tcW w:w="124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EEB621D" w14:textId="7C9953BC" w:rsidR="004C6421" w:rsidRDefault="00CC179E">
            <w:pPr>
              <w:pStyle w:val="P68B1DB1-Normal8"/>
              <w:rPr>
                <w:noProof/>
              </w:rPr>
            </w:pPr>
            <w:r>
              <w:rPr>
                <w:noProof/>
              </w:rPr>
              <w:t>Milowy</w:t>
            </w:r>
          </w:p>
        </w:tc>
        <w:tc>
          <w:tcPr>
            <w:tcW w:w="458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71FCD5A" w14:textId="77777777" w:rsidR="004C6421" w:rsidRDefault="009D1962">
            <w:pPr>
              <w:pStyle w:val="P68B1DB1-Normal8"/>
              <w:rPr>
                <w:noProof/>
              </w:rPr>
            </w:pPr>
            <w:r>
              <w:rPr>
                <w:noProof/>
              </w:rPr>
              <w:t>Reforma ram prawnych na rzecz lepszego gospodarowania wodą i jej zrównoważonego wykorzystania</w:t>
            </w:r>
          </w:p>
        </w:tc>
        <w:tc>
          <w:tcPr>
            <w:tcW w:w="236" w:type="dxa"/>
            <w:tcBorders>
              <w:top w:val="nil"/>
              <w:left w:val="single" w:sz="8" w:space="0" w:color="auto"/>
              <w:bottom w:val="nil"/>
              <w:right w:val="nil"/>
            </w:tcBorders>
            <w:vAlign w:val="center"/>
          </w:tcPr>
          <w:p w14:paraId="3A15AEDE" w14:textId="77777777" w:rsidR="004C6421" w:rsidRDefault="004C6421">
            <w:pPr>
              <w:rPr>
                <w:noProof/>
              </w:rPr>
            </w:pPr>
          </w:p>
        </w:tc>
      </w:tr>
      <w:tr w:rsidR="004C6421" w14:paraId="3E33CF8A"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F774C1D" w14:textId="77777777" w:rsidR="004C6421" w:rsidRDefault="009D1962">
            <w:pPr>
              <w:pStyle w:val="P68B1DB1-Normal8"/>
              <w:jc w:val="center"/>
              <w:rPr>
                <w:noProof/>
              </w:rPr>
            </w:pPr>
            <w:r>
              <w:rPr>
                <w:noProof/>
              </w:rPr>
              <w:t xml:space="preserve">M3C2-3 </w:t>
            </w:r>
          </w:p>
        </w:tc>
        <w:tc>
          <w:tcPr>
            <w:tcW w:w="225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EAFB8F1" w14:textId="77777777" w:rsidR="004C6421" w:rsidRDefault="009D1962">
            <w:pPr>
              <w:pStyle w:val="P68B1DB1-Normal8"/>
              <w:rPr>
                <w:noProof/>
              </w:rPr>
            </w:pPr>
            <w:r>
              <w:rPr>
                <w:noProof/>
              </w:rPr>
              <w:t xml:space="preserve">Reforma 2.1 – Wdrażanie jednego okienka celnego („Sportello Unico Doganale”) </w:t>
            </w:r>
          </w:p>
        </w:tc>
        <w:tc>
          <w:tcPr>
            <w:tcW w:w="124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656EF89" w14:textId="212E5E71" w:rsidR="004C6421" w:rsidRDefault="00CC179E">
            <w:pPr>
              <w:pStyle w:val="P68B1DB1-Normal8"/>
              <w:rPr>
                <w:noProof/>
              </w:rPr>
            </w:pPr>
            <w:r>
              <w:rPr>
                <w:noProof/>
              </w:rPr>
              <w:t xml:space="preserve">Milowy </w:t>
            </w:r>
          </w:p>
        </w:tc>
        <w:tc>
          <w:tcPr>
            <w:tcW w:w="458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0302985" w14:textId="77777777" w:rsidR="004C6421" w:rsidRDefault="009D1962">
            <w:pPr>
              <w:pStyle w:val="P68B1DB1-Normal8"/>
              <w:rPr>
                <w:noProof/>
              </w:rPr>
            </w:pPr>
            <w:r>
              <w:rPr>
                <w:noProof/>
              </w:rPr>
              <w:t xml:space="preserve">Wejście w życie dekretu o jednolitym punkcie celnym (Sportello Unico Doganale) </w:t>
            </w:r>
          </w:p>
        </w:tc>
        <w:tc>
          <w:tcPr>
            <w:tcW w:w="236" w:type="dxa"/>
            <w:tcBorders>
              <w:top w:val="nil"/>
              <w:left w:val="single" w:sz="8" w:space="0" w:color="auto"/>
              <w:bottom w:val="nil"/>
              <w:right w:val="nil"/>
            </w:tcBorders>
            <w:vAlign w:val="center"/>
          </w:tcPr>
          <w:p w14:paraId="72B5A97B" w14:textId="77777777" w:rsidR="004C6421" w:rsidRDefault="004C6421">
            <w:pPr>
              <w:rPr>
                <w:noProof/>
              </w:rPr>
            </w:pPr>
          </w:p>
        </w:tc>
      </w:tr>
      <w:tr w:rsidR="004C6421" w14:paraId="27F36455"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4ADC4B6" w14:textId="77777777" w:rsidR="004C6421" w:rsidRDefault="009D1962">
            <w:pPr>
              <w:pStyle w:val="P68B1DB1-Normal8"/>
              <w:jc w:val="center"/>
              <w:rPr>
                <w:noProof/>
              </w:rPr>
            </w:pPr>
            <w:r>
              <w:rPr>
                <w:noProof/>
              </w:rPr>
              <w:t>M4C1-1</w:t>
            </w:r>
          </w:p>
        </w:tc>
        <w:tc>
          <w:tcPr>
            <w:tcW w:w="225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9606350" w14:textId="77777777" w:rsidR="004C6421" w:rsidRDefault="009D1962">
            <w:pPr>
              <w:pStyle w:val="P68B1DB1-Normal8"/>
              <w:rPr>
                <w:noProof/>
              </w:rPr>
            </w:pPr>
            <w:r>
              <w:rPr>
                <w:noProof/>
              </w:rPr>
              <w:t>Reforma 1.5: Reforma grup uniwersyteckich; Reforma 1.6: Umożliwienie reformy studiów wyższych; Reforma 4.1: Doktorat – Reforma programów</w:t>
            </w:r>
          </w:p>
        </w:tc>
        <w:tc>
          <w:tcPr>
            <w:tcW w:w="124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1CEF52B" w14:textId="0AE9D45E" w:rsidR="004C6421" w:rsidRDefault="00CC179E">
            <w:pPr>
              <w:pStyle w:val="P68B1DB1-Normal8"/>
              <w:rPr>
                <w:noProof/>
              </w:rPr>
            </w:pPr>
            <w:r>
              <w:rPr>
                <w:noProof/>
              </w:rPr>
              <w:t>Milowy</w:t>
            </w:r>
          </w:p>
        </w:tc>
        <w:tc>
          <w:tcPr>
            <w:tcW w:w="458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BA024E5" w14:textId="77777777" w:rsidR="004C6421" w:rsidRDefault="009D1962">
            <w:pPr>
              <w:pStyle w:val="P68B1DB1-Normal8"/>
              <w:rPr>
                <w:noProof/>
              </w:rPr>
            </w:pPr>
            <w:r>
              <w:rPr>
                <w:noProof/>
              </w:rPr>
              <w:t>Wejście w życie reform systemu szkolnictwa wyższego w celu poprawy wyników kształcenia (prawodawstwo podstawowe) w zakresie: a) umożliwianie uzyskania dyplomów uniwersyteckich; grupy dyplomów uniwersyteckich; C) reforma programów doktoranckich</w:t>
            </w:r>
          </w:p>
        </w:tc>
        <w:tc>
          <w:tcPr>
            <w:tcW w:w="236" w:type="dxa"/>
            <w:tcBorders>
              <w:top w:val="nil"/>
              <w:left w:val="single" w:sz="8" w:space="0" w:color="auto"/>
              <w:bottom w:val="nil"/>
              <w:right w:val="nil"/>
            </w:tcBorders>
            <w:vAlign w:val="center"/>
          </w:tcPr>
          <w:p w14:paraId="49B460D3" w14:textId="77777777" w:rsidR="004C6421" w:rsidRDefault="004C6421">
            <w:pPr>
              <w:rPr>
                <w:noProof/>
              </w:rPr>
            </w:pPr>
          </w:p>
        </w:tc>
      </w:tr>
      <w:tr w:rsidR="004C6421" w14:paraId="22C1A4F5"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F5CD703" w14:textId="77777777" w:rsidR="004C6421" w:rsidRDefault="009D1962">
            <w:pPr>
              <w:pStyle w:val="P68B1DB1-Normal8"/>
              <w:jc w:val="center"/>
              <w:rPr>
                <w:noProof/>
              </w:rPr>
            </w:pPr>
            <w:r>
              <w:rPr>
                <w:noProof/>
              </w:rPr>
              <w:t>M4C1-2</w:t>
            </w:r>
          </w:p>
        </w:tc>
        <w:tc>
          <w:tcPr>
            <w:tcW w:w="225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7B16887" w14:textId="77777777" w:rsidR="004C6421" w:rsidRDefault="009D1962">
            <w:pPr>
              <w:pStyle w:val="P68B1DB1-Normal8"/>
              <w:rPr>
                <w:noProof/>
              </w:rPr>
            </w:pPr>
            <w:r>
              <w:rPr>
                <w:noProof/>
              </w:rPr>
              <w:t>Inwestycja 1.7: Stypendia na dostęp do uczelni</w:t>
            </w:r>
          </w:p>
        </w:tc>
        <w:tc>
          <w:tcPr>
            <w:tcW w:w="124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C03E61A" w14:textId="4784E048" w:rsidR="004C6421" w:rsidRDefault="00CC179E">
            <w:pPr>
              <w:pStyle w:val="P68B1DB1-Normal8"/>
              <w:rPr>
                <w:noProof/>
              </w:rPr>
            </w:pPr>
            <w:r>
              <w:rPr>
                <w:noProof/>
              </w:rPr>
              <w:t>Milowy</w:t>
            </w:r>
          </w:p>
        </w:tc>
        <w:tc>
          <w:tcPr>
            <w:tcW w:w="458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C9F2BDD" w14:textId="77777777" w:rsidR="004C6421" w:rsidRDefault="009D1962">
            <w:pPr>
              <w:pStyle w:val="P68B1DB1-Normal8"/>
              <w:rPr>
                <w:noProof/>
              </w:rPr>
            </w:pPr>
            <w:r>
              <w:rPr>
                <w:noProof/>
              </w:rPr>
              <w:t>Wejście w życie dekretów ministerialnych w sprawie reformy stypendiów w celu zwiększenia dostępu do szkolnictwa wyższego</w:t>
            </w:r>
          </w:p>
        </w:tc>
        <w:tc>
          <w:tcPr>
            <w:tcW w:w="236" w:type="dxa"/>
            <w:tcBorders>
              <w:top w:val="nil"/>
              <w:left w:val="single" w:sz="8" w:space="0" w:color="auto"/>
              <w:bottom w:val="nil"/>
              <w:right w:val="nil"/>
            </w:tcBorders>
            <w:vAlign w:val="center"/>
          </w:tcPr>
          <w:p w14:paraId="6162B4DE" w14:textId="77777777" w:rsidR="004C6421" w:rsidRDefault="004C6421">
            <w:pPr>
              <w:rPr>
                <w:noProof/>
              </w:rPr>
            </w:pPr>
          </w:p>
        </w:tc>
      </w:tr>
      <w:tr w:rsidR="004C6421" w14:paraId="4C8B5799"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9E20B97" w14:textId="77777777" w:rsidR="004C6421" w:rsidRDefault="009D1962">
            <w:pPr>
              <w:pStyle w:val="P68B1DB1-Normal8"/>
              <w:jc w:val="center"/>
              <w:rPr>
                <w:noProof/>
              </w:rPr>
            </w:pPr>
            <w:r>
              <w:rPr>
                <w:noProof/>
              </w:rPr>
              <w:t xml:space="preserve">M5C1-1 </w:t>
            </w:r>
          </w:p>
        </w:tc>
        <w:tc>
          <w:tcPr>
            <w:tcW w:w="225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FE38FB9" w14:textId="77777777" w:rsidR="004C6421" w:rsidRDefault="009D1962">
            <w:pPr>
              <w:pStyle w:val="P68B1DB1-Normal8"/>
              <w:rPr>
                <w:noProof/>
              </w:rPr>
            </w:pPr>
            <w:r>
              <w:rPr>
                <w:noProof/>
              </w:rPr>
              <w:t>Reforma 1 – aktywna polityka rynku pracy i szkolenie zawodowe</w:t>
            </w:r>
          </w:p>
        </w:tc>
        <w:tc>
          <w:tcPr>
            <w:tcW w:w="124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80D8D65" w14:textId="4F9D0498" w:rsidR="004C6421" w:rsidRDefault="00CC179E">
            <w:pPr>
              <w:pStyle w:val="P68B1DB1-Normal8"/>
              <w:rPr>
                <w:noProof/>
              </w:rPr>
            </w:pPr>
            <w:r>
              <w:rPr>
                <w:noProof/>
              </w:rPr>
              <w:t>Milowy</w:t>
            </w:r>
          </w:p>
        </w:tc>
        <w:tc>
          <w:tcPr>
            <w:tcW w:w="458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AF5FF70" w14:textId="77777777" w:rsidR="004C6421" w:rsidRDefault="009D1962">
            <w:pPr>
              <w:pStyle w:val="P68B1DB1-Normal8"/>
              <w:rPr>
                <w:noProof/>
              </w:rPr>
            </w:pPr>
            <w:r>
              <w:rPr>
                <w:noProof/>
              </w:rPr>
              <w:t>Wejście w życie dekretu międzyresortowego ustanawiającego krajowy program gwarantowanego zatrudnienia pracowników (GOL) oraz dekretu międzyresortowego ustanawiającego krajowy plan na rzecz nowych umiejętności</w:t>
            </w:r>
          </w:p>
        </w:tc>
        <w:tc>
          <w:tcPr>
            <w:tcW w:w="236" w:type="dxa"/>
            <w:tcBorders>
              <w:top w:val="nil"/>
              <w:left w:val="single" w:sz="8" w:space="0" w:color="auto"/>
              <w:bottom w:val="nil"/>
              <w:right w:val="nil"/>
            </w:tcBorders>
            <w:vAlign w:val="center"/>
          </w:tcPr>
          <w:p w14:paraId="1A551174" w14:textId="77777777" w:rsidR="004C6421" w:rsidRDefault="004C6421">
            <w:pPr>
              <w:rPr>
                <w:noProof/>
              </w:rPr>
            </w:pPr>
          </w:p>
        </w:tc>
      </w:tr>
      <w:tr w:rsidR="004C6421" w14:paraId="6E5514EC"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8AC54DD" w14:textId="77777777" w:rsidR="004C6421" w:rsidRDefault="009D1962">
            <w:pPr>
              <w:pStyle w:val="P68B1DB1-Normal8"/>
              <w:jc w:val="center"/>
              <w:rPr>
                <w:noProof/>
              </w:rPr>
            </w:pPr>
            <w:r>
              <w:rPr>
                <w:noProof/>
              </w:rPr>
              <w:t>M5C2-1</w:t>
            </w:r>
          </w:p>
        </w:tc>
        <w:tc>
          <w:tcPr>
            <w:tcW w:w="225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6405251" w14:textId="77777777" w:rsidR="004C6421" w:rsidRDefault="009D1962">
            <w:pPr>
              <w:pStyle w:val="P68B1DB1-Normal8"/>
              <w:rPr>
                <w:noProof/>
              </w:rPr>
            </w:pPr>
            <w:r>
              <w:rPr>
                <w:noProof/>
              </w:rPr>
              <w:t>Reforma 1 – Ustawa ramowa o niepełnosprawności</w:t>
            </w:r>
          </w:p>
        </w:tc>
        <w:tc>
          <w:tcPr>
            <w:tcW w:w="124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CA2B177" w14:textId="55C61E46" w:rsidR="004C6421" w:rsidRDefault="00CC179E">
            <w:pPr>
              <w:pStyle w:val="P68B1DB1-Normal8"/>
              <w:rPr>
                <w:noProof/>
              </w:rPr>
            </w:pPr>
            <w:r>
              <w:rPr>
                <w:noProof/>
              </w:rPr>
              <w:t>Milowy</w:t>
            </w:r>
          </w:p>
        </w:tc>
        <w:tc>
          <w:tcPr>
            <w:tcW w:w="458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87ED302" w14:textId="77777777" w:rsidR="004C6421" w:rsidRDefault="009D1962">
            <w:pPr>
              <w:pStyle w:val="P68B1DB1-Normal8"/>
              <w:rPr>
                <w:noProof/>
              </w:rPr>
            </w:pPr>
            <w:r>
              <w:rPr>
                <w:noProof/>
              </w:rPr>
              <w:t>Wejście w życie ustawy ramowej w celu wzmocnienia autonomii osób niepełnosprawnych.</w:t>
            </w:r>
          </w:p>
        </w:tc>
        <w:tc>
          <w:tcPr>
            <w:tcW w:w="236" w:type="dxa"/>
            <w:tcBorders>
              <w:top w:val="nil"/>
              <w:left w:val="single" w:sz="8" w:space="0" w:color="auto"/>
              <w:bottom w:val="nil"/>
              <w:right w:val="nil"/>
            </w:tcBorders>
            <w:vAlign w:val="center"/>
          </w:tcPr>
          <w:p w14:paraId="1471D716" w14:textId="77777777" w:rsidR="004C6421" w:rsidRDefault="004C6421">
            <w:pPr>
              <w:rPr>
                <w:noProof/>
              </w:rPr>
            </w:pPr>
          </w:p>
        </w:tc>
      </w:tr>
      <w:tr w:rsidR="004C6421" w14:paraId="676F0AD4"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11088D6" w14:textId="77777777" w:rsidR="004C6421" w:rsidRDefault="009D1962">
            <w:pPr>
              <w:pStyle w:val="P68B1DB1-Normal8"/>
              <w:jc w:val="center"/>
              <w:rPr>
                <w:noProof/>
              </w:rPr>
            </w:pPr>
            <w:r>
              <w:rPr>
                <w:noProof/>
              </w:rPr>
              <w:t>M5C2-5</w:t>
            </w:r>
          </w:p>
        </w:tc>
        <w:tc>
          <w:tcPr>
            <w:tcW w:w="225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25E5130" w14:textId="77777777" w:rsidR="004C6421" w:rsidRDefault="009D1962">
            <w:pPr>
              <w:pStyle w:val="P68B1DB1-Normal8"/>
              <w:rPr>
                <w:noProof/>
              </w:rPr>
            </w:pPr>
            <w:r>
              <w:rPr>
                <w:noProof/>
              </w:rPr>
              <w:t>Inwestycje 1 – Wspieranie osób znajdujących się w trudnej sytuacji i zapobieganie instytucjonalizacji</w:t>
            </w:r>
          </w:p>
        </w:tc>
        <w:tc>
          <w:tcPr>
            <w:tcW w:w="124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75D50F0" w14:textId="2C844237" w:rsidR="004C6421" w:rsidRDefault="00CC179E">
            <w:pPr>
              <w:pStyle w:val="P68B1DB1-Normal8"/>
              <w:rPr>
                <w:noProof/>
              </w:rPr>
            </w:pPr>
            <w:r>
              <w:rPr>
                <w:noProof/>
              </w:rPr>
              <w:t>Milowy</w:t>
            </w:r>
          </w:p>
        </w:tc>
        <w:tc>
          <w:tcPr>
            <w:tcW w:w="458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1F6F15D" w14:textId="77777777" w:rsidR="004C6421" w:rsidRDefault="009D1962">
            <w:pPr>
              <w:pStyle w:val="P68B1DB1-Normal8"/>
              <w:rPr>
                <w:noProof/>
              </w:rPr>
            </w:pPr>
            <w:r>
              <w:rPr>
                <w:noProof/>
              </w:rPr>
              <w:t>Wejście w życie planu operacyjnego</w:t>
            </w:r>
          </w:p>
        </w:tc>
        <w:tc>
          <w:tcPr>
            <w:tcW w:w="236" w:type="dxa"/>
            <w:tcBorders>
              <w:top w:val="nil"/>
              <w:left w:val="single" w:sz="8" w:space="0" w:color="auto"/>
              <w:bottom w:val="nil"/>
              <w:right w:val="nil"/>
            </w:tcBorders>
            <w:vAlign w:val="center"/>
          </w:tcPr>
          <w:p w14:paraId="09965607" w14:textId="77777777" w:rsidR="004C6421" w:rsidRDefault="004C6421">
            <w:pPr>
              <w:rPr>
                <w:noProof/>
              </w:rPr>
            </w:pPr>
          </w:p>
        </w:tc>
      </w:tr>
      <w:tr w:rsidR="004C6421" w14:paraId="1F834126"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29FF6160" w14:textId="77777777" w:rsidR="004C6421" w:rsidRDefault="009D1962">
            <w:pPr>
              <w:pStyle w:val="P68B1DB1-Normal8"/>
              <w:jc w:val="center"/>
              <w:rPr>
                <w:noProof/>
              </w:rPr>
            </w:pPr>
            <w:r>
              <w:rPr>
                <w:noProof/>
              </w:rPr>
              <w:t xml:space="preserve"> </w:t>
            </w:r>
          </w:p>
        </w:tc>
        <w:tc>
          <w:tcPr>
            <w:tcW w:w="225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45476B1A" w14:textId="77777777" w:rsidR="004C6421" w:rsidRDefault="009D1962">
            <w:pPr>
              <w:pStyle w:val="P68B1DB1-Normal8"/>
              <w:rPr>
                <w:noProof/>
              </w:rPr>
            </w:pPr>
            <w:r>
              <w:rPr>
                <w:noProof/>
              </w:rPr>
              <w:t xml:space="preserve"> </w:t>
            </w:r>
          </w:p>
        </w:tc>
        <w:tc>
          <w:tcPr>
            <w:tcW w:w="124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5FE4AC5F" w14:textId="77777777" w:rsidR="004C6421" w:rsidRDefault="009D1962">
            <w:pPr>
              <w:pStyle w:val="P68B1DB1-Normal8"/>
              <w:rPr>
                <w:noProof/>
              </w:rPr>
            </w:pPr>
            <w:r>
              <w:rPr>
                <w:noProof/>
              </w:rPr>
              <w:t>Kwota transzy</w:t>
            </w:r>
          </w:p>
        </w:tc>
        <w:tc>
          <w:tcPr>
            <w:tcW w:w="458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62B58FE0" w14:textId="0D524DD6" w:rsidR="004C6421" w:rsidRDefault="009D1962">
            <w:pPr>
              <w:rPr>
                <w:noProof/>
              </w:rPr>
            </w:pPr>
            <w:r>
              <w:rPr>
                <w:noProof/>
                <w:color w:val="006100"/>
                <w:sz w:val="20"/>
              </w:rPr>
              <w:t>11494252874 EUR</w:t>
            </w:r>
            <w:r>
              <w:rPr>
                <w:noProof/>
                <w:sz w:val="23"/>
              </w:rPr>
              <w:t xml:space="preserve">  </w:t>
            </w:r>
            <w:r>
              <w:rPr>
                <w:noProof/>
                <w:color w:val="006100"/>
                <w:sz w:val="20"/>
              </w:rPr>
              <w:t xml:space="preserve"> </w:t>
            </w:r>
          </w:p>
        </w:tc>
        <w:tc>
          <w:tcPr>
            <w:tcW w:w="236" w:type="dxa"/>
            <w:tcBorders>
              <w:top w:val="nil"/>
              <w:left w:val="single" w:sz="8" w:space="0" w:color="auto"/>
              <w:bottom w:val="nil"/>
              <w:right w:val="nil"/>
            </w:tcBorders>
            <w:vAlign w:val="center"/>
          </w:tcPr>
          <w:p w14:paraId="6A5D7CA2" w14:textId="77777777" w:rsidR="004C6421" w:rsidRDefault="004C6421">
            <w:pPr>
              <w:rPr>
                <w:noProof/>
              </w:rPr>
            </w:pPr>
          </w:p>
        </w:tc>
      </w:tr>
    </w:tbl>
    <w:p w14:paraId="096710AC" w14:textId="77777777" w:rsidR="004C6421" w:rsidRDefault="009D1962">
      <w:pPr>
        <w:spacing w:before="120" w:after="120"/>
        <w:ind w:left="850"/>
        <w:jc w:val="both"/>
        <w:rPr>
          <w:noProof/>
        </w:rPr>
      </w:pPr>
      <w:r>
        <w:rPr>
          <w:noProof/>
        </w:rPr>
        <w:t xml:space="preserve"> </w:t>
      </w:r>
    </w:p>
    <w:p w14:paraId="51F73CFF" w14:textId="77777777" w:rsidR="004C6421" w:rsidRDefault="009D1962">
      <w:pPr>
        <w:pStyle w:val="ListParagraph"/>
        <w:numPr>
          <w:ilvl w:val="1"/>
          <w:numId w:val="145"/>
        </w:numPr>
        <w:spacing w:before="0" w:after="0" w:line="279" w:lineRule="auto"/>
        <w:ind w:left="850" w:hanging="850"/>
        <w:rPr>
          <w:noProof/>
        </w:rPr>
      </w:pPr>
      <w:r>
        <w:rPr>
          <w:noProof/>
        </w:rPr>
        <w:t>Druga transza (wsparcie bezzwrotne):</w:t>
      </w:r>
    </w:p>
    <w:tbl>
      <w:tblPr>
        <w:tblW w:w="9593" w:type="dxa"/>
        <w:tblInd w:w="120" w:type="dxa"/>
        <w:tblLayout w:type="fixed"/>
        <w:tblLook w:val="04A0" w:firstRow="1" w:lastRow="0" w:firstColumn="1" w:lastColumn="0" w:noHBand="0" w:noVBand="1"/>
      </w:tblPr>
      <w:tblGrid>
        <w:gridCol w:w="1288"/>
        <w:gridCol w:w="2268"/>
        <w:gridCol w:w="1276"/>
        <w:gridCol w:w="4525"/>
        <w:gridCol w:w="236"/>
      </w:tblGrid>
      <w:tr w:rsidR="004C6421" w14:paraId="60D9468C" w14:textId="77777777">
        <w:trPr>
          <w:trHeight w:val="900"/>
          <w:tblHeader/>
        </w:trPr>
        <w:tc>
          <w:tcPr>
            <w:tcW w:w="1288" w:type="dxa"/>
            <w:vMerge w:val="restart"/>
            <w:tcBorders>
              <w:top w:val="single" w:sz="4" w:space="0" w:color="auto"/>
              <w:left w:val="single" w:sz="4" w:space="0" w:color="auto"/>
              <w:bottom w:val="single" w:sz="4" w:space="0" w:color="auto"/>
              <w:right w:val="single" w:sz="8" w:space="0" w:color="auto"/>
            </w:tcBorders>
            <w:shd w:val="clear" w:color="auto" w:fill="BDD7EE"/>
            <w:tcMar>
              <w:left w:w="108" w:type="dxa"/>
              <w:right w:w="108" w:type="dxa"/>
            </w:tcMar>
            <w:vAlign w:val="center"/>
          </w:tcPr>
          <w:p w14:paraId="14EBEA6A" w14:textId="77777777" w:rsidR="004C6421" w:rsidRDefault="009D1962">
            <w:pPr>
              <w:pStyle w:val="P68B1DB1-Normal36"/>
              <w:jc w:val="center"/>
              <w:rPr>
                <w:noProof/>
              </w:rPr>
            </w:pPr>
            <w:r>
              <w:rPr>
                <w:noProof/>
              </w:rPr>
              <w:t>Numer porządkowy</w:t>
            </w:r>
          </w:p>
        </w:tc>
        <w:tc>
          <w:tcPr>
            <w:tcW w:w="2268" w:type="dxa"/>
            <w:vMerge w:val="restart"/>
            <w:tcBorders>
              <w:top w:val="single" w:sz="4" w:space="0" w:color="auto"/>
              <w:left w:val="single" w:sz="8" w:space="0" w:color="auto"/>
              <w:bottom w:val="single" w:sz="4" w:space="0" w:color="auto"/>
              <w:right w:val="single" w:sz="8" w:space="0" w:color="auto"/>
            </w:tcBorders>
            <w:shd w:val="clear" w:color="auto" w:fill="BDD7EE"/>
            <w:tcMar>
              <w:left w:w="108" w:type="dxa"/>
              <w:right w:w="108" w:type="dxa"/>
            </w:tcMar>
            <w:vAlign w:val="center"/>
          </w:tcPr>
          <w:p w14:paraId="398CADF0" w14:textId="77777777" w:rsidR="004C6421" w:rsidRDefault="009D1962">
            <w:pPr>
              <w:pStyle w:val="P68B1DB1-Normal36"/>
              <w:jc w:val="center"/>
              <w:rPr>
                <w:noProof/>
              </w:rPr>
            </w:pPr>
            <w:r>
              <w:rPr>
                <w:noProof/>
              </w:rPr>
              <w:t>Powiązane działanie (reforma lub inwestycja)</w:t>
            </w:r>
          </w:p>
        </w:tc>
        <w:tc>
          <w:tcPr>
            <w:tcW w:w="1276" w:type="dxa"/>
            <w:vMerge w:val="restart"/>
            <w:tcBorders>
              <w:top w:val="single" w:sz="4" w:space="0" w:color="auto"/>
              <w:left w:val="single" w:sz="8" w:space="0" w:color="auto"/>
              <w:bottom w:val="single" w:sz="4" w:space="0" w:color="auto"/>
              <w:right w:val="single" w:sz="8" w:space="0" w:color="auto"/>
            </w:tcBorders>
            <w:shd w:val="clear" w:color="auto" w:fill="BDD7EE"/>
            <w:tcMar>
              <w:left w:w="108" w:type="dxa"/>
              <w:right w:w="108" w:type="dxa"/>
            </w:tcMar>
            <w:vAlign w:val="center"/>
          </w:tcPr>
          <w:p w14:paraId="64F9AA53" w14:textId="77777777" w:rsidR="004C6421" w:rsidRDefault="009D1962">
            <w:pPr>
              <w:pStyle w:val="P68B1DB1-Normal36"/>
              <w:jc w:val="center"/>
              <w:rPr>
                <w:noProof/>
              </w:rPr>
            </w:pPr>
            <w:r>
              <w:rPr>
                <w:noProof/>
              </w:rPr>
              <w:t>Kamień milowy/wartość docelowa</w:t>
            </w:r>
          </w:p>
        </w:tc>
        <w:tc>
          <w:tcPr>
            <w:tcW w:w="4525" w:type="dxa"/>
            <w:vMerge w:val="restart"/>
            <w:tcBorders>
              <w:top w:val="single" w:sz="4" w:space="0" w:color="auto"/>
              <w:left w:val="single" w:sz="8" w:space="0" w:color="auto"/>
              <w:bottom w:val="single" w:sz="4" w:space="0" w:color="auto"/>
              <w:right w:val="single" w:sz="4" w:space="0" w:color="auto"/>
            </w:tcBorders>
            <w:shd w:val="clear" w:color="auto" w:fill="BDD7EE"/>
            <w:tcMar>
              <w:left w:w="108" w:type="dxa"/>
              <w:right w:w="108" w:type="dxa"/>
            </w:tcMar>
            <w:vAlign w:val="center"/>
          </w:tcPr>
          <w:p w14:paraId="59081FB2" w14:textId="77777777" w:rsidR="004C6421" w:rsidRDefault="009D1962">
            <w:pPr>
              <w:pStyle w:val="P68B1DB1-Normal36"/>
              <w:jc w:val="center"/>
              <w:rPr>
                <w:noProof/>
              </w:rPr>
            </w:pPr>
            <w:r>
              <w:rPr>
                <w:noProof/>
              </w:rPr>
              <w:t>Nazwa</w:t>
            </w:r>
          </w:p>
        </w:tc>
        <w:tc>
          <w:tcPr>
            <w:tcW w:w="236" w:type="dxa"/>
            <w:tcBorders>
              <w:top w:val="nil"/>
              <w:left w:val="single" w:sz="4" w:space="0" w:color="auto"/>
              <w:bottom w:val="nil"/>
              <w:right w:val="nil"/>
            </w:tcBorders>
            <w:vAlign w:val="center"/>
          </w:tcPr>
          <w:p w14:paraId="27B4DEEF" w14:textId="77777777" w:rsidR="004C6421" w:rsidRDefault="004C6421">
            <w:pPr>
              <w:rPr>
                <w:noProof/>
              </w:rPr>
            </w:pPr>
          </w:p>
        </w:tc>
      </w:tr>
      <w:tr w:rsidR="004C6421" w14:paraId="2AF6B412" w14:textId="77777777">
        <w:trPr>
          <w:trHeight w:val="510"/>
        </w:trPr>
        <w:tc>
          <w:tcPr>
            <w:tcW w:w="1288" w:type="dxa"/>
            <w:vMerge/>
            <w:tcBorders>
              <w:top w:val="single" w:sz="8" w:space="0" w:color="auto"/>
              <w:left w:val="single" w:sz="4" w:space="0" w:color="auto"/>
              <w:bottom w:val="single" w:sz="4" w:space="0" w:color="auto"/>
              <w:right w:val="single" w:sz="8" w:space="0" w:color="auto"/>
            </w:tcBorders>
            <w:vAlign w:val="center"/>
          </w:tcPr>
          <w:p w14:paraId="0A744CE4" w14:textId="77777777" w:rsidR="004C6421" w:rsidRDefault="004C6421">
            <w:pPr>
              <w:rPr>
                <w:noProof/>
              </w:rPr>
            </w:pPr>
          </w:p>
        </w:tc>
        <w:tc>
          <w:tcPr>
            <w:tcW w:w="2268" w:type="dxa"/>
            <w:vMerge/>
            <w:tcBorders>
              <w:top w:val="single" w:sz="8" w:space="0" w:color="auto"/>
              <w:left w:val="single" w:sz="8" w:space="0" w:color="auto"/>
              <w:bottom w:val="single" w:sz="4" w:space="0" w:color="auto"/>
              <w:right w:val="single" w:sz="8" w:space="0" w:color="auto"/>
            </w:tcBorders>
            <w:vAlign w:val="center"/>
          </w:tcPr>
          <w:p w14:paraId="2AB68D1D" w14:textId="77777777" w:rsidR="004C6421" w:rsidRDefault="004C6421">
            <w:pPr>
              <w:rPr>
                <w:noProof/>
              </w:rPr>
            </w:pPr>
          </w:p>
        </w:tc>
        <w:tc>
          <w:tcPr>
            <w:tcW w:w="1276" w:type="dxa"/>
            <w:vMerge/>
            <w:tcBorders>
              <w:top w:val="single" w:sz="8" w:space="0" w:color="auto"/>
              <w:left w:val="single" w:sz="8" w:space="0" w:color="auto"/>
              <w:bottom w:val="single" w:sz="4" w:space="0" w:color="auto"/>
              <w:right w:val="single" w:sz="8" w:space="0" w:color="auto"/>
            </w:tcBorders>
            <w:vAlign w:val="center"/>
          </w:tcPr>
          <w:p w14:paraId="3850538C" w14:textId="77777777" w:rsidR="004C6421" w:rsidRDefault="004C6421">
            <w:pPr>
              <w:rPr>
                <w:noProof/>
              </w:rPr>
            </w:pPr>
          </w:p>
        </w:tc>
        <w:tc>
          <w:tcPr>
            <w:tcW w:w="4525" w:type="dxa"/>
            <w:vMerge/>
            <w:tcBorders>
              <w:top w:val="single" w:sz="8" w:space="0" w:color="auto"/>
              <w:left w:val="single" w:sz="8" w:space="0" w:color="auto"/>
              <w:bottom w:val="single" w:sz="4" w:space="0" w:color="auto"/>
              <w:right w:val="single" w:sz="4" w:space="0" w:color="auto"/>
            </w:tcBorders>
            <w:vAlign w:val="center"/>
          </w:tcPr>
          <w:p w14:paraId="7CA1FCAB" w14:textId="77777777" w:rsidR="004C6421" w:rsidRDefault="004C6421">
            <w:pPr>
              <w:rPr>
                <w:noProof/>
              </w:rPr>
            </w:pPr>
          </w:p>
        </w:tc>
        <w:tc>
          <w:tcPr>
            <w:tcW w:w="236" w:type="dxa"/>
            <w:tcBorders>
              <w:top w:val="nil"/>
              <w:left w:val="single" w:sz="4" w:space="0" w:color="auto"/>
              <w:bottom w:val="nil"/>
              <w:right w:val="nil"/>
            </w:tcBorders>
            <w:vAlign w:val="center"/>
          </w:tcPr>
          <w:p w14:paraId="6D673204" w14:textId="77777777" w:rsidR="004C6421" w:rsidRDefault="004C6421">
            <w:pPr>
              <w:rPr>
                <w:noProof/>
              </w:rPr>
            </w:pPr>
          </w:p>
        </w:tc>
      </w:tr>
      <w:tr w:rsidR="004C6421" w14:paraId="2AB6C66F" w14:textId="77777777">
        <w:trPr>
          <w:trHeight w:val="300"/>
        </w:trPr>
        <w:tc>
          <w:tcPr>
            <w:tcW w:w="1288"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566F0AD" w14:textId="77777777" w:rsidR="004C6421" w:rsidRDefault="009D1962">
            <w:pPr>
              <w:pStyle w:val="P68B1DB1-Normal8"/>
              <w:jc w:val="center"/>
              <w:rPr>
                <w:noProof/>
              </w:rPr>
            </w:pPr>
            <w:r>
              <w:rPr>
                <w:noProof/>
              </w:rPr>
              <w:t>M2C4-5</w:t>
            </w:r>
          </w:p>
        </w:tc>
        <w:tc>
          <w:tcPr>
            <w:tcW w:w="2268"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92C0A64" w14:textId="77777777" w:rsidR="004C6421" w:rsidRDefault="009D1962">
            <w:pPr>
              <w:pStyle w:val="P68B1DB1-Normal8"/>
              <w:rPr>
                <w:noProof/>
              </w:rPr>
            </w:pPr>
            <w:r>
              <w:rPr>
                <w:noProof/>
              </w:rPr>
              <w:t>Inwestycje 3.2: Cyfryzacja parków narodowych</w:t>
            </w:r>
          </w:p>
        </w:tc>
        <w:tc>
          <w:tcPr>
            <w:tcW w:w="1276"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9978D98" w14:textId="68ED0933" w:rsidR="004C6421" w:rsidRDefault="00CC179E">
            <w:pPr>
              <w:pStyle w:val="P68B1DB1-Normal8"/>
              <w:rPr>
                <w:noProof/>
              </w:rPr>
            </w:pPr>
            <w:r>
              <w:rPr>
                <w:noProof/>
              </w:rPr>
              <w:t>Milowy</w:t>
            </w:r>
          </w:p>
        </w:tc>
        <w:tc>
          <w:tcPr>
            <w:tcW w:w="4525"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61FF64F" w14:textId="77777777" w:rsidR="004C6421" w:rsidRDefault="009D1962">
            <w:pPr>
              <w:pStyle w:val="P68B1DB1-Normal8"/>
              <w:rPr>
                <w:noProof/>
              </w:rPr>
            </w:pPr>
            <w:r>
              <w:rPr>
                <w:noProof/>
              </w:rPr>
              <w:t>Wejście w życie uproszczenia administracyjnego i rozwoju usług cyfrowych dla odwiedzających parki narodowe i chronione obszary morskie</w:t>
            </w:r>
          </w:p>
        </w:tc>
        <w:tc>
          <w:tcPr>
            <w:tcW w:w="236" w:type="dxa"/>
            <w:tcBorders>
              <w:top w:val="nil"/>
              <w:left w:val="single" w:sz="8" w:space="0" w:color="auto"/>
              <w:bottom w:val="nil"/>
              <w:right w:val="nil"/>
            </w:tcBorders>
            <w:vAlign w:val="center"/>
          </w:tcPr>
          <w:p w14:paraId="3338F25E" w14:textId="77777777" w:rsidR="004C6421" w:rsidRDefault="004C6421">
            <w:pPr>
              <w:rPr>
                <w:noProof/>
              </w:rPr>
            </w:pPr>
          </w:p>
        </w:tc>
      </w:tr>
      <w:tr w:rsidR="004C6421" w14:paraId="4914F9A4" w14:textId="77777777">
        <w:trPr>
          <w:trHeight w:val="300"/>
        </w:trPr>
        <w:tc>
          <w:tcPr>
            <w:tcW w:w="128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0E75256" w14:textId="77777777" w:rsidR="004C6421" w:rsidRDefault="009D1962">
            <w:pPr>
              <w:pStyle w:val="P68B1DB1-Normal8"/>
              <w:jc w:val="center"/>
              <w:rPr>
                <w:noProof/>
              </w:rPr>
            </w:pPr>
            <w:r>
              <w:rPr>
                <w:noProof/>
              </w:rPr>
              <w:t>M5C2-9</w:t>
            </w:r>
          </w:p>
        </w:tc>
        <w:tc>
          <w:tcPr>
            <w:tcW w:w="22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54E880F" w14:textId="77777777" w:rsidR="004C6421" w:rsidRDefault="009D1962">
            <w:pPr>
              <w:pStyle w:val="P68B1DB1-Normal8"/>
              <w:rPr>
                <w:noProof/>
              </w:rPr>
            </w:pPr>
            <w:r>
              <w:rPr>
                <w:noProof/>
              </w:rPr>
              <w:t>Inwestycje 3 – Pierwsze i postoje mieszkaniowe</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0C6609F" w14:textId="6886E5D5" w:rsidR="004C6421" w:rsidRDefault="00CC179E">
            <w:pPr>
              <w:pStyle w:val="P68B1DB1-Normal8"/>
              <w:rPr>
                <w:noProof/>
              </w:rPr>
            </w:pPr>
            <w:r>
              <w:rPr>
                <w:noProof/>
              </w:rPr>
              <w:t>Milowy</w:t>
            </w:r>
          </w:p>
        </w:tc>
        <w:tc>
          <w:tcPr>
            <w:tcW w:w="45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5757DF1" w14:textId="77777777" w:rsidR="004C6421" w:rsidRDefault="009D1962">
            <w:pPr>
              <w:pStyle w:val="P68B1DB1-Normal8"/>
              <w:rPr>
                <w:noProof/>
              </w:rPr>
            </w:pPr>
            <w:r>
              <w:rPr>
                <w:noProof/>
              </w:rPr>
              <w:t>Wejście w życie planu operacyjnego dotyczącego projektów dotyczących pierwszego i posterunku mieszkaniowego, określenie wymogów projektów, które mogą być przedstawiane przez podmioty lokalne, oraz ogłoszenie zaproszenia do składania wniosków</w:t>
            </w:r>
          </w:p>
        </w:tc>
        <w:tc>
          <w:tcPr>
            <w:tcW w:w="236" w:type="dxa"/>
            <w:tcBorders>
              <w:top w:val="nil"/>
              <w:left w:val="single" w:sz="8" w:space="0" w:color="auto"/>
              <w:bottom w:val="nil"/>
              <w:right w:val="nil"/>
            </w:tcBorders>
            <w:vAlign w:val="center"/>
          </w:tcPr>
          <w:p w14:paraId="476D59A5" w14:textId="77777777" w:rsidR="004C6421" w:rsidRDefault="004C6421">
            <w:pPr>
              <w:rPr>
                <w:noProof/>
              </w:rPr>
            </w:pPr>
          </w:p>
        </w:tc>
      </w:tr>
      <w:tr w:rsidR="004C6421" w14:paraId="49252688" w14:textId="77777777">
        <w:trPr>
          <w:trHeight w:val="300"/>
        </w:trPr>
        <w:tc>
          <w:tcPr>
            <w:tcW w:w="128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4B9D53B" w14:textId="77777777" w:rsidR="004C6421" w:rsidRDefault="009D1962">
            <w:pPr>
              <w:pStyle w:val="P68B1DB1-Normal8"/>
              <w:jc w:val="center"/>
              <w:rPr>
                <w:noProof/>
              </w:rPr>
            </w:pPr>
            <w:r>
              <w:rPr>
                <w:noProof/>
              </w:rPr>
              <w:t>M1C1-33</w:t>
            </w:r>
          </w:p>
        </w:tc>
        <w:tc>
          <w:tcPr>
            <w:tcW w:w="22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8360B4E" w14:textId="77777777" w:rsidR="004C6421" w:rsidRDefault="009D1962">
            <w:pPr>
              <w:pStyle w:val="P68B1DB1-Normal8"/>
              <w:rPr>
                <w:noProof/>
              </w:rPr>
            </w:pPr>
            <w:r>
              <w:rPr>
                <w:noProof/>
              </w:rPr>
              <w:t>Inwestycje 1.8: Procedury rekrutacyjne w sądach administracyjnych</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C5C8521" w14:textId="77777777" w:rsidR="004C6421" w:rsidRDefault="009D1962">
            <w:pPr>
              <w:pStyle w:val="P68B1DB1-Normal8"/>
              <w:rPr>
                <w:noProof/>
              </w:rPr>
            </w:pPr>
            <w:r>
              <w:rPr>
                <w:noProof/>
              </w:rPr>
              <w:t>Cel</w:t>
            </w:r>
          </w:p>
        </w:tc>
        <w:tc>
          <w:tcPr>
            <w:tcW w:w="45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46C1C01" w14:textId="77777777" w:rsidR="004C6421" w:rsidRDefault="009D1962">
            <w:pPr>
              <w:pStyle w:val="P68B1DB1-Normal8"/>
              <w:rPr>
                <w:noProof/>
              </w:rPr>
            </w:pPr>
            <w:r>
              <w:rPr>
                <w:noProof/>
              </w:rPr>
              <w:t>Rozpoczęcie procedur rekrutacyjnych do sądów administracyjnych</w:t>
            </w:r>
          </w:p>
        </w:tc>
        <w:tc>
          <w:tcPr>
            <w:tcW w:w="236" w:type="dxa"/>
            <w:tcBorders>
              <w:top w:val="nil"/>
              <w:left w:val="single" w:sz="8" w:space="0" w:color="auto"/>
              <w:bottom w:val="nil"/>
              <w:right w:val="nil"/>
            </w:tcBorders>
            <w:vAlign w:val="center"/>
          </w:tcPr>
          <w:p w14:paraId="027B241D" w14:textId="77777777" w:rsidR="004C6421" w:rsidRDefault="004C6421">
            <w:pPr>
              <w:rPr>
                <w:noProof/>
              </w:rPr>
            </w:pPr>
          </w:p>
        </w:tc>
      </w:tr>
      <w:tr w:rsidR="004C6421" w14:paraId="46F70C21" w14:textId="77777777">
        <w:trPr>
          <w:trHeight w:val="300"/>
        </w:trPr>
        <w:tc>
          <w:tcPr>
            <w:tcW w:w="128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143F984" w14:textId="77777777" w:rsidR="004C6421" w:rsidRDefault="009D1962">
            <w:pPr>
              <w:pStyle w:val="P68B1DB1-Normal8"/>
              <w:jc w:val="center"/>
              <w:rPr>
                <w:noProof/>
              </w:rPr>
            </w:pPr>
            <w:r>
              <w:rPr>
                <w:noProof/>
              </w:rPr>
              <w:t>M1C1-56</w:t>
            </w:r>
          </w:p>
        </w:tc>
        <w:tc>
          <w:tcPr>
            <w:tcW w:w="22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7C7F9B9" w14:textId="77777777" w:rsidR="004C6421" w:rsidRDefault="009D1962">
            <w:pPr>
              <w:pStyle w:val="P68B1DB1-Normal8"/>
              <w:rPr>
                <w:noProof/>
              </w:rPr>
            </w:pPr>
            <w:r>
              <w:rPr>
                <w:noProof/>
              </w:rPr>
              <w:t>Reforma 1.9: Reforma administracji publicznej</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DC3ED98" w14:textId="1A2C0355" w:rsidR="004C6421" w:rsidRDefault="00CC179E">
            <w:pPr>
              <w:pStyle w:val="P68B1DB1-Normal8"/>
              <w:rPr>
                <w:noProof/>
              </w:rPr>
            </w:pPr>
            <w:r>
              <w:rPr>
                <w:noProof/>
              </w:rPr>
              <w:t>Milowy</w:t>
            </w:r>
          </w:p>
        </w:tc>
        <w:tc>
          <w:tcPr>
            <w:tcW w:w="45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07ED3B0" w14:textId="77777777" w:rsidR="004C6421" w:rsidRDefault="009D1962">
            <w:pPr>
              <w:pStyle w:val="P68B1DB1-Normal8"/>
              <w:rPr>
                <w:noProof/>
              </w:rPr>
            </w:pPr>
            <w:r>
              <w:rPr>
                <w:noProof/>
              </w:rPr>
              <w:t>Wejście w życie przepisów umożliwiających reformę zatrudnienia w sektorze publicznym</w:t>
            </w:r>
          </w:p>
        </w:tc>
        <w:tc>
          <w:tcPr>
            <w:tcW w:w="236" w:type="dxa"/>
            <w:tcBorders>
              <w:top w:val="nil"/>
              <w:left w:val="single" w:sz="8" w:space="0" w:color="auto"/>
              <w:bottom w:val="nil"/>
              <w:right w:val="nil"/>
            </w:tcBorders>
            <w:vAlign w:val="center"/>
          </w:tcPr>
          <w:p w14:paraId="6C8BB6F7" w14:textId="77777777" w:rsidR="004C6421" w:rsidRDefault="004C6421">
            <w:pPr>
              <w:rPr>
                <w:noProof/>
              </w:rPr>
            </w:pPr>
          </w:p>
        </w:tc>
      </w:tr>
      <w:tr w:rsidR="004C6421" w14:paraId="121C1BA4" w14:textId="77777777">
        <w:trPr>
          <w:trHeight w:val="300"/>
        </w:trPr>
        <w:tc>
          <w:tcPr>
            <w:tcW w:w="128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E992522" w14:textId="77777777" w:rsidR="004C6421" w:rsidRDefault="009D1962">
            <w:pPr>
              <w:pStyle w:val="P68B1DB1-Normal8"/>
              <w:jc w:val="center"/>
              <w:rPr>
                <w:noProof/>
              </w:rPr>
            </w:pPr>
            <w:r>
              <w:rPr>
                <w:noProof/>
              </w:rPr>
              <w:t>M1C1-70</w:t>
            </w:r>
          </w:p>
        </w:tc>
        <w:tc>
          <w:tcPr>
            <w:tcW w:w="22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4324658" w14:textId="77777777" w:rsidR="004C6421" w:rsidRDefault="009D1962">
            <w:pPr>
              <w:pStyle w:val="P68B1DB1-Normal8"/>
              <w:rPr>
                <w:noProof/>
              </w:rPr>
            </w:pPr>
            <w:r>
              <w:rPr>
                <w:noProof/>
              </w:rPr>
              <w:t>Reforma 1.10: Reforma ram prawnych dotyczących zamówień publicznych</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7C17244" w14:textId="25889D63" w:rsidR="004C6421" w:rsidRDefault="00CC179E">
            <w:pPr>
              <w:pStyle w:val="P68B1DB1-Normal8"/>
              <w:rPr>
                <w:noProof/>
              </w:rPr>
            </w:pPr>
            <w:r>
              <w:rPr>
                <w:noProof/>
              </w:rPr>
              <w:t>Milowy</w:t>
            </w:r>
          </w:p>
        </w:tc>
        <w:tc>
          <w:tcPr>
            <w:tcW w:w="45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3495B72" w14:textId="77777777" w:rsidR="004C6421" w:rsidRDefault="009D1962">
            <w:pPr>
              <w:pStyle w:val="P68B1DB1-Normal8"/>
              <w:rPr>
                <w:noProof/>
              </w:rPr>
            </w:pPr>
            <w:r>
              <w:rPr>
                <w:noProof/>
              </w:rPr>
              <w:t>Wejście w życie zmiany kodeksu zamówień publicznych (D.Lgs. nr 50/2016)</w:t>
            </w:r>
          </w:p>
        </w:tc>
        <w:tc>
          <w:tcPr>
            <w:tcW w:w="236" w:type="dxa"/>
            <w:tcBorders>
              <w:top w:val="nil"/>
              <w:left w:val="single" w:sz="8" w:space="0" w:color="auto"/>
              <w:bottom w:val="nil"/>
              <w:right w:val="nil"/>
            </w:tcBorders>
            <w:vAlign w:val="center"/>
          </w:tcPr>
          <w:p w14:paraId="0045D57F" w14:textId="77777777" w:rsidR="004C6421" w:rsidRDefault="004C6421">
            <w:pPr>
              <w:rPr>
                <w:noProof/>
              </w:rPr>
            </w:pPr>
          </w:p>
        </w:tc>
      </w:tr>
      <w:tr w:rsidR="004C6421" w14:paraId="5923E67F" w14:textId="77777777">
        <w:trPr>
          <w:trHeight w:val="300"/>
        </w:trPr>
        <w:tc>
          <w:tcPr>
            <w:tcW w:w="128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B5D2663" w14:textId="77777777" w:rsidR="004C6421" w:rsidRDefault="009D1962">
            <w:pPr>
              <w:pStyle w:val="P68B1DB1-Normal8"/>
              <w:jc w:val="center"/>
              <w:rPr>
                <w:noProof/>
              </w:rPr>
            </w:pPr>
            <w:r>
              <w:rPr>
                <w:noProof/>
              </w:rPr>
              <w:t>M1C1-103</w:t>
            </w:r>
          </w:p>
        </w:tc>
        <w:tc>
          <w:tcPr>
            <w:tcW w:w="22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F969AEF" w14:textId="77777777" w:rsidR="004C6421" w:rsidRDefault="009D1962">
            <w:pPr>
              <w:pStyle w:val="P68B1DB1-Normal8"/>
              <w:rPr>
                <w:noProof/>
              </w:rPr>
            </w:pPr>
            <w:r>
              <w:rPr>
                <w:noProof/>
              </w:rPr>
              <w:t>Reforma 1.12: Reforma administracji podatkowej</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FC28F40" w14:textId="050A99B6" w:rsidR="004C6421" w:rsidRDefault="00CC179E">
            <w:pPr>
              <w:pStyle w:val="P68B1DB1-Normal8"/>
              <w:rPr>
                <w:noProof/>
              </w:rPr>
            </w:pPr>
            <w:r>
              <w:rPr>
                <w:noProof/>
              </w:rPr>
              <w:t>Milowy</w:t>
            </w:r>
          </w:p>
        </w:tc>
        <w:tc>
          <w:tcPr>
            <w:tcW w:w="45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5FE6E95" w14:textId="77777777" w:rsidR="004C6421" w:rsidRDefault="009D1962">
            <w:pPr>
              <w:pStyle w:val="P68B1DB1-Normal8"/>
              <w:rPr>
                <w:noProof/>
              </w:rPr>
            </w:pPr>
            <w:r>
              <w:rPr>
                <w:noProof/>
              </w:rPr>
              <w:t>Wejście w życie prawa pierwotnego i wtórnego oraz przepisów wykonawczych oraz zakończenie procedur administracyjnych mających na celu zachęcanie do przestrzegania przepisów podatkowych oraz usprawnienie audytów i kontroli</w:t>
            </w:r>
          </w:p>
        </w:tc>
        <w:tc>
          <w:tcPr>
            <w:tcW w:w="236" w:type="dxa"/>
            <w:tcBorders>
              <w:top w:val="nil"/>
              <w:left w:val="single" w:sz="8" w:space="0" w:color="auto"/>
              <w:bottom w:val="nil"/>
              <w:right w:val="nil"/>
            </w:tcBorders>
            <w:vAlign w:val="center"/>
          </w:tcPr>
          <w:p w14:paraId="5CE505FF" w14:textId="77777777" w:rsidR="004C6421" w:rsidRDefault="004C6421">
            <w:pPr>
              <w:rPr>
                <w:noProof/>
              </w:rPr>
            </w:pPr>
          </w:p>
        </w:tc>
      </w:tr>
      <w:tr w:rsidR="004C6421" w14:paraId="1A577796" w14:textId="77777777">
        <w:trPr>
          <w:trHeight w:val="300"/>
        </w:trPr>
        <w:tc>
          <w:tcPr>
            <w:tcW w:w="128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14E6E54" w14:textId="77777777" w:rsidR="004C6421" w:rsidRDefault="009D1962">
            <w:pPr>
              <w:pStyle w:val="P68B1DB1-Normal8"/>
              <w:jc w:val="center"/>
              <w:rPr>
                <w:noProof/>
              </w:rPr>
            </w:pPr>
            <w:r>
              <w:rPr>
                <w:noProof/>
              </w:rPr>
              <w:t>M1C1-104</w:t>
            </w:r>
          </w:p>
        </w:tc>
        <w:tc>
          <w:tcPr>
            <w:tcW w:w="22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8EB5E56" w14:textId="77777777" w:rsidR="004C6421" w:rsidRDefault="009D1962">
            <w:pPr>
              <w:pStyle w:val="P68B1DB1-Normal8"/>
              <w:rPr>
                <w:noProof/>
              </w:rPr>
            </w:pPr>
            <w:r>
              <w:rPr>
                <w:noProof/>
              </w:rPr>
              <w:t>Reforma 1.13: Reforma ram przeglądu wydatków</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88EF092" w14:textId="02B79E2F" w:rsidR="004C6421" w:rsidRDefault="00CC179E">
            <w:pPr>
              <w:pStyle w:val="P68B1DB1-Normal8"/>
              <w:rPr>
                <w:noProof/>
              </w:rPr>
            </w:pPr>
            <w:r>
              <w:rPr>
                <w:noProof/>
              </w:rPr>
              <w:t>Milowy</w:t>
            </w:r>
          </w:p>
        </w:tc>
        <w:tc>
          <w:tcPr>
            <w:tcW w:w="45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EAFD705" w14:textId="77777777" w:rsidR="004C6421" w:rsidRDefault="009D1962">
            <w:pPr>
              <w:pStyle w:val="P68B1DB1-Normal8"/>
              <w:rPr>
                <w:noProof/>
              </w:rPr>
            </w:pPr>
            <w:r>
              <w:rPr>
                <w:noProof/>
              </w:rPr>
              <w:t>Przyjęcie celów w zakresie oszczędności na potrzeby przeglądów wydatków na lata 2023–2025</w:t>
            </w:r>
          </w:p>
        </w:tc>
        <w:tc>
          <w:tcPr>
            <w:tcW w:w="236" w:type="dxa"/>
            <w:tcBorders>
              <w:top w:val="nil"/>
              <w:left w:val="single" w:sz="8" w:space="0" w:color="auto"/>
              <w:bottom w:val="nil"/>
              <w:right w:val="nil"/>
            </w:tcBorders>
            <w:vAlign w:val="center"/>
          </w:tcPr>
          <w:p w14:paraId="6AD8CDAE" w14:textId="77777777" w:rsidR="004C6421" w:rsidRDefault="004C6421">
            <w:pPr>
              <w:rPr>
                <w:noProof/>
              </w:rPr>
            </w:pPr>
          </w:p>
        </w:tc>
      </w:tr>
      <w:tr w:rsidR="004C6421" w14:paraId="6B657690" w14:textId="77777777">
        <w:trPr>
          <w:trHeight w:val="300"/>
        </w:trPr>
        <w:tc>
          <w:tcPr>
            <w:tcW w:w="128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8937435" w14:textId="77777777" w:rsidR="004C6421" w:rsidRDefault="009D1962">
            <w:pPr>
              <w:pStyle w:val="P68B1DB1-Normal8"/>
              <w:jc w:val="center"/>
              <w:rPr>
                <w:noProof/>
              </w:rPr>
            </w:pPr>
            <w:r>
              <w:rPr>
                <w:noProof/>
              </w:rPr>
              <w:t>M1C3-11</w:t>
            </w:r>
          </w:p>
        </w:tc>
        <w:tc>
          <w:tcPr>
            <w:tcW w:w="22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BDDF05E" w14:textId="77777777" w:rsidR="004C6421" w:rsidRDefault="009D1962">
            <w:pPr>
              <w:pStyle w:val="P68B1DB1-Normal8"/>
              <w:rPr>
                <w:noProof/>
              </w:rPr>
            </w:pPr>
            <w:r>
              <w:rPr>
                <w:noProof/>
              </w:rPr>
              <w:t>Inwestycje 1.3 – Poprawa efektywności energetycznej w kinach, teatrach i muzeach</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C5B1B31" w14:textId="593C13FD" w:rsidR="004C6421" w:rsidRDefault="00CC179E">
            <w:pPr>
              <w:pStyle w:val="P68B1DB1-Normal8"/>
              <w:rPr>
                <w:noProof/>
              </w:rPr>
            </w:pPr>
            <w:r>
              <w:rPr>
                <w:noProof/>
              </w:rPr>
              <w:t>Milowy</w:t>
            </w:r>
          </w:p>
        </w:tc>
        <w:tc>
          <w:tcPr>
            <w:tcW w:w="45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E2F06DB" w14:textId="77777777" w:rsidR="004C6421" w:rsidRDefault="009D1962">
            <w:pPr>
              <w:pStyle w:val="P68B1DB1-Normal8"/>
              <w:rPr>
                <w:noProof/>
              </w:rPr>
            </w:pPr>
            <w:r>
              <w:rPr>
                <w:noProof/>
              </w:rPr>
              <w:t xml:space="preserve">Wejście w życie dekretu Ministerstwa Kultury w sprawie przydziału zasobów: poprawa efektywności energetycznej w miejscach kultury </w:t>
            </w:r>
          </w:p>
        </w:tc>
        <w:tc>
          <w:tcPr>
            <w:tcW w:w="236" w:type="dxa"/>
            <w:tcBorders>
              <w:top w:val="nil"/>
              <w:left w:val="single" w:sz="8" w:space="0" w:color="auto"/>
              <w:bottom w:val="nil"/>
              <w:right w:val="nil"/>
            </w:tcBorders>
            <w:vAlign w:val="center"/>
          </w:tcPr>
          <w:p w14:paraId="4D26FA84" w14:textId="77777777" w:rsidR="004C6421" w:rsidRDefault="004C6421">
            <w:pPr>
              <w:rPr>
                <w:noProof/>
              </w:rPr>
            </w:pPr>
          </w:p>
        </w:tc>
      </w:tr>
      <w:tr w:rsidR="004C6421" w14:paraId="53E7E427" w14:textId="77777777">
        <w:trPr>
          <w:trHeight w:val="300"/>
        </w:trPr>
        <w:tc>
          <w:tcPr>
            <w:tcW w:w="128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E825FA2" w14:textId="77777777" w:rsidR="004C6421" w:rsidRDefault="009D1962">
            <w:pPr>
              <w:pStyle w:val="P68B1DB1-Normal8"/>
              <w:jc w:val="center"/>
              <w:rPr>
                <w:noProof/>
              </w:rPr>
            </w:pPr>
            <w:r>
              <w:rPr>
                <w:noProof/>
              </w:rPr>
              <w:t>M2C1-1</w:t>
            </w:r>
          </w:p>
        </w:tc>
        <w:tc>
          <w:tcPr>
            <w:tcW w:w="22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A9BA44A" w14:textId="77777777" w:rsidR="004C6421" w:rsidRDefault="009D1962">
            <w:pPr>
              <w:pStyle w:val="P68B1DB1-Normal8"/>
              <w:rPr>
                <w:noProof/>
              </w:rPr>
            </w:pPr>
            <w:r>
              <w:rPr>
                <w:noProof/>
              </w:rPr>
              <w:t>Reforma 1.1 – Krajowa strategia na rzecz gospodarki o obiegu zamkniętym</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FFA8DF1" w14:textId="70D7C37A" w:rsidR="004C6421" w:rsidRDefault="00CC179E">
            <w:pPr>
              <w:pStyle w:val="P68B1DB1-Normal8"/>
              <w:rPr>
                <w:noProof/>
              </w:rPr>
            </w:pPr>
            <w:r>
              <w:rPr>
                <w:noProof/>
              </w:rPr>
              <w:t>Milowy</w:t>
            </w:r>
          </w:p>
        </w:tc>
        <w:tc>
          <w:tcPr>
            <w:tcW w:w="45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A240EF8" w14:textId="77777777" w:rsidR="004C6421" w:rsidRDefault="009D1962">
            <w:pPr>
              <w:pStyle w:val="P68B1DB1-Normal8"/>
              <w:rPr>
                <w:noProof/>
              </w:rPr>
            </w:pPr>
            <w:r>
              <w:rPr>
                <w:noProof/>
              </w:rPr>
              <w:t>Wejście w życie dekretu ministerialnego w sprawie przyjęcia krajowej strategii na rzecz gospodarki o obiegu zamkniętym</w:t>
            </w:r>
          </w:p>
        </w:tc>
        <w:tc>
          <w:tcPr>
            <w:tcW w:w="236" w:type="dxa"/>
            <w:tcBorders>
              <w:top w:val="nil"/>
              <w:left w:val="single" w:sz="8" w:space="0" w:color="auto"/>
              <w:bottom w:val="nil"/>
              <w:right w:val="nil"/>
            </w:tcBorders>
            <w:vAlign w:val="center"/>
          </w:tcPr>
          <w:p w14:paraId="045F37AF" w14:textId="77777777" w:rsidR="004C6421" w:rsidRDefault="004C6421">
            <w:pPr>
              <w:rPr>
                <w:noProof/>
              </w:rPr>
            </w:pPr>
          </w:p>
        </w:tc>
      </w:tr>
      <w:tr w:rsidR="004C6421" w14:paraId="72FE35EA" w14:textId="77777777">
        <w:trPr>
          <w:trHeight w:val="300"/>
        </w:trPr>
        <w:tc>
          <w:tcPr>
            <w:tcW w:w="128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2289320" w14:textId="77777777" w:rsidR="004C6421" w:rsidRDefault="009D1962">
            <w:pPr>
              <w:pStyle w:val="P68B1DB1-Normal8"/>
              <w:jc w:val="center"/>
              <w:rPr>
                <w:noProof/>
              </w:rPr>
            </w:pPr>
            <w:r>
              <w:rPr>
                <w:noProof/>
              </w:rPr>
              <w:t>M2C1-2</w:t>
            </w:r>
          </w:p>
        </w:tc>
        <w:tc>
          <w:tcPr>
            <w:tcW w:w="22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9A0D5C4" w14:textId="77777777" w:rsidR="004C6421" w:rsidRDefault="009D1962">
            <w:pPr>
              <w:pStyle w:val="P68B1DB1-Normal8"/>
              <w:rPr>
                <w:noProof/>
              </w:rPr>
            </w:pPr>
            <w:r>
              <w:rPr>
                <w:noProof/>
              </w:rPr>
              <w:t>Reforma 1.3 – Wsparcie techniczne dla władz lokalnych</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A35A150" w14:textId="207305C0" w:rsidR="004C6421" w:rsidRDefault="00CC179E">
            <w:pPr>
              <w:pStyle w:val="P68B1DB1-Normal8"/>
              <w:rPr>
                <w:noProof/>
              </w:rPr>
            </w:pPr>
            <w:r>
              <w:rPr>
                <w:noProof/>
              </w:rPr>
              <w:t>Milowy</w:t>
            </w:r>
          </w:p>
        </w:tc>
        <w:tc>
          <w:tcPr>
            <w:tcW w:w="45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67A5420" w14:textId="77777777" w:rsidR="004C6421" w:rsidRDefault="009D1962">
            <w:pPr>
              <w:pStyle w:val="P68B1DB1-Normal8"/>
              <w:rPr>
                <w:noProof/>
              </w:rPr>
            </w:pPr>
            <w:r>
              <w:rPr>
                <w:noProof/>
              </w:rPr>
              <w:t>Zatwierdzenie zgody na opracowanie planu działania w zakresie budowania zdolności w celu wsparcia lokalnych władz publicznych</w:t>
            </w:r>
          </w:p>
        </w:tc>
        <w:tc>
          <w:tcPr>
            <w:tcW w:w="236" w:type="dxa"/>
            <w:tcBorders>
              <w:top w:val="nil"/>
              <w:left w:val="single" w:sz="8" w:space="0" w:color="auto"/>
              <w:bottom w:val="nil"/>
              <w:right w:val="nil"/>
            </w:tcBorders>
            <w:vAlign w:val="center"/>
          </w:tcPr>
          <w:p w14:paraId="2DFA3634" w14:textId="77777777" w:rsidR="004C6421" w:rsidRDefault="004C6421">
            <w:pPr>
              <w:rPr>
                <w:noProof/>
              </w:rPr>
            </w:pPr>
          </w:p>
        </w:tc>
      </w:tr>
      <w:tr w:rsidR="004C6421" w14:paraId="7BCAF976" w14:textId="77777777">
        <w:trPr>
          <w:trHeight w:val="300"/>
        </w:trPr>
        <w:tc>
          <w:tcPr>
            <w:tcW w:w="128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D6747B9" w14:textId="77777777" w:rsidR="004C6421" w:rsidRDefault="009D1962">
            <w:pPr>
              <w:pStyle w:val="P68B1DB1-Normal8"/>
              <w:jc w:val="center"/>
              <w:rPr>
                <w:noProof/>
              </w:rPr>
            </w:pPr>
            <w:r>
              <w:rPr>
                <w:noProof/>
              </w:rPr>
              <w:t>M2C1-11</w:t>
            </w:r>
          </w:p>
        </w:tc>
        <w:tc>
          <w:tcPr>
            <w:tcW w:w="22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E374579" w14:textId="77777777" w:rsidR="004C6421" w:rsidRDefault="009D1962">
            <w:pPr>
              <w:pStyle w:val="P68B1DB1-Normal8"/>
              <w:rPr>
                <w:noProof/>
              </w:rPr>
            </w:pPr>
            <w:r>
              <w:rPr>
                <w:noProof/>
              </w:rPr>
              <w:t>Inwestycja 3.3: Kultura i świadomość w zakresie zagadnień i wyzwań środowiskowych</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970EE73" w14:textId="77B055E9" w:rsidR="004C6421" w:rsidRDefault="00CC179E">
            <w:pPr>
              <w:pStyle w:val="P68B1DB1-Normal8"/>
              <w:rPr>
                <w:noProof/>
              </w:rPr>
            </w:pPr>
            <w:r>
              <w:rPr>
                <w:noProof/>
              </w:rPr>
              <w:t>Milowy</w:t>
            </w:r>
          </w:p>
        </w:tc>
        <w:tc>
          <w:tcPr>
            <w:tcW w:w="45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C789429" w14:textId="77777777" w:rsidR="004C6421" w:rsidRDefault="009D1962">
            <w:pPr>
              <w:pStyle w:val="P68B1DB1-Normal8"/>
              <w:rPr>
                <w:noProof/>
              </w:rPr>
            </w:pPr>
            <w:r>
              <w:rPr>
                <w:noProof/>
              </w:rPr>
              <w:t>Uruchomienie platformy internetowej i umowy z autorami</w:t>
            </w:r>
          </w:p>
        </w:tc>
        <w:tc>
          <w:tcPr>
            <w:tcW w:w="236" w:type="dxa"/>
            <w:tcBorders>
              <w:top w:val="nil"/>
              <w:left w:val="single" w:sz="8" w:space="0" w:color="auto"/>
              <w:bottom w:val="nil"/>
              <w:right w:val="nil"/>
            </w:tcBorders>
            <w:vAlign w:val="center"/>
          </w:tcPr>
          <w:p w14:paraId="08D8AF55" w14:textId="77777777" w:rsidR="004C6421" w:rsidRDefault="004C6421">
            <w:pPr>
              <w:rPr>
                <w:noProof/>
              </w:rPr>
            </w:pPr>
          </w:p>
        </w:tc>
      </w:tr>
      <w:tr w:rsidR="004C6421" w14:paraId="0E35E67C" w14:textId="77777777">
        <w:trPr>
          <w:trHeight w:val="300"/>
        </w:trPr>
        <w:tc>
          <w:tcPr>
            <w:tcW w:w="128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4D11CCD" w14:textId="77777777" w:rsidR="004C6421" w:rsidRDefault="009D1962">
            <w:pPr>
              <w:pStyle w:val="P68B1DB1-Normal8"/>
              <w:jc w:val="center"/>
              <w:rPr>
                <w:noProof/>
              </w:rPr>
            </w:pPr>
            <w:r>
              <w:rPr>
                <w:noProof/>
              </w:rPr>
              <w:t>M2C2-18</w:t>
            </w:r>
          </w:p>
        </w:tc>
        <w:tc>
          <w:tcPr>
            <w:tcW w:w="22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54AC4E8" w14:textId="77777777" w:rsidR="004C6421" w:rsidRDefault="009D1962">
            <w:pPr>
              <w:pStyle w:val="P68B1DB1-Normal8"/>
              <w:rPr>
                <w:noProof/>
              </w:rPr>
            </w:pPr>
            <w:r>
              <w:rPr>
                <w:noProof/>
              </w:rPr>
              <w:t>Inwestycja 3.5 Badania i rozwój w zakresie wodoru</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070C95B" w14:textId="42DCD091" w:rsidR="004C6421" w:rsidRDefault="00CC179E">
            <w:pPr>
              <w:pStyle w:val="P68B1DB1-Normal8"/>
              <w:rPr>
                <w:noProof/>
              </w:rPr>
            </w:pPr>
            <w:r>
              <w:rPr>
                <w:noProof/>
              </w:rPr>
              <w:t>Milowy</w:t>
            </w:r>
          </w:p>
        </w:tc>
        <w:tc>
          <w:tcPr>
            <w:tcW w:w="45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1E97010" w14:textId="77777777" w:rsidR="004C6421" w:rsidRDefault="009D1962">
            <w:pPr>
              <w:pStyle w:val="P68B1DB1-Normal8"/>
              <w:rPr>
                <w:noProof/>
              </w:rPr>
            </w:pPr>
            <w:r>
              <w:rPr>
                <w:noProof/>
              </w:rPr>
              <w:t>Udzielanie wszystkich zamówień publicznych na badania i rozwój na projekty badawcze dotyczące wodoru</w:t>
            </w:r>
          </w:p>
        </w:tc>
        <w:tc>
          <w:tcPr>
            <w:tcW w:w="236" w:type="dxa"/>
            <w:tcBorders>
              <w:top w:val="nil"/>
              <w:left w:val="single" w:sz="8" w:space="0" w:color="auto"/>
              <w:bottom w:val="nil"/>
              <w:right w:val="nil"/>
            </w:tcBorders>
            <w:vAlign w:val="center"/>
          </w:tcPr>
          <w:p w14:paraId="237D0502" w14:textId="77777777" w:rsidR="004C6421" w:rsidRDefault="004C6421">
            <w:pPr>
              <w:rPr>
                <w:noProof/>
              </w:rPr>
            </w:pPr>
          </w:p>
        </w:tc>
      </w:tr>
      <w:tr w:rsidR="004C6421" w14:paraId="7417E230" w14:textId="77777777">
        <w:trPr>
          <w:trHeight w:val="300"/>
        </w:trPr>
        <w:tc>
          <w:tcPr>
            <w:tcW w:w="128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4D7E4D5" w14:textId="77777777" w:rsidR="004C6421" w:rsidRDefault="009D1962">
            <w:pPr>
              <w:pStyle w:val="P68B1DB1-Normal8"/>
              <w:jc w:val="center"/>
              <w:rPr>
                <w:noProof/>
              </w:rPr>
            </w:pPr>
            <w:r>
              <w:rPr>
                <w:noProof/>
              </w:rPr>
              <w:t>M2C2-21</w:t>
            </w:r>
          </w:p>
        </w:tc>
        <w:tc>
          <w:tcPr>
            <w:tcW w:w="22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972ABA7" w14:textId="77777777" w:rsidR="004C6421" w:rsidRDefault="009D1962">
            <w:pPr>
              <w:pStyle w:val="P68B1DB1-Normal8"/>
              <w:rPr>
                <w:noProof/>
              </w:rPr>
            </w:pPr>
            <w:r>
              <w:rPr>
                <w:noProof/>
              </w:rPr>
              <w:t>Reforma 4 Środki na rzecz wspierania konkurencyjności wodoru</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F2FEB34" w14:textId="2C3A2D82" w:rsidR="004C6421" w:rsidRDefault="00CC179E">
            <w:pPr>
              <w:pStyle w:val="P68B1DB1-Normal8"/>
              <w:rPr>
                <w:noProof/>
              </w:rPr>
            </w:pPr>
            <w:r>
              <w:rPr>
                <w:noProof/>
              </w:rPr>
              <w:t>Milowy</w:t>
            </w:r>
          </w:p>
        </w:tc>
        <w:tc>
          <w:tcPr>
            <w:tcW w:w="45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C5EF2F2" w14:textId="77777777" w:rsidR="004C6421" w:rsidRDefault="009D1962">
            <w:pPr>
              <w:pStyle w:val="P68B1DB1-Normal8"/>
              <w:rPr>
                <w:noProof/>
              </w:rPr>
            </w:pPr>
            <w:r>
              <w:rPr>
                <w:noProof/>
              </w:rPr>
              <w:t>Wejście w życie zachęt podatkowych</w:t>
            </w:r>
          </w:p>
        </w:tc>
        <w:tc>
          <w:tcPr>
            <w:tcW w:w="236" w:type="dxa"/>
            <w:tcBorders>
              <w:top w:val="nil"/>
              <w:left w:val="single" w:sz="8" w:space="0" w:color="auto"/>
              <w:bottom w:val="nil"/>
              <w:right w:val="nil"/>
            </w:tcBorders>
            <w:vAlign w:val="center"/>
          </w:tcPr>
          <w:p w14:paraId="419B0B93" w14:textId="77777777" w:rsidR="004C6421" w:rsidRDefault="004C6421">
            <w:pPr>
              <w:rPr>
                <w:noProof/>
              </w:rPr>
            </w:pPr>
          </w:p>
        </w:tc>
      </w:tr>
      <w:tr w:rsidR="004C6421" w14:paraId="50ABD251" w14:textId="77777777">
        <w:trPr>
          <w:trHeight w:val="300"/>
        </w:trPr>
        <w:tc>
          <w:tcPr>
            <w:tcW w:w="128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34D38D5" w14:textId="77777777" w:rsidR="004C6421" w:rsidRDefault="009D1962">
            <w:pPr>
              <w:pStyle w:val="P68B1DB1-Normal8"/>
              <w:jc w:val="center"/>
              <w:rPr>
                <w:noProof/>
              </w:rPr>
            </w:pPr>
            <w:r>
              <w:rPr>
                <w:noProof/>
              </w:rPr>
              <w:t>M2C2-38</w:t>
            </w:r>
          </w:p>
        </w:tc>
        <w:tc>
          <w:tcPr>
            <w:tcW w:w="22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48A24B6" w14:textId="77777777" w:rsidR="004C6421" w:rsidRDefault="009D1962">
            <w:pPr>
              <w:pStyle w:val="P68B1DB1-Normal8"/>
              <w:rPr>
                <w:noProof/>
              </w:rPr>
            </w:pPr>
            <w:r>
              <w:rPr>
                <w:noProof/>
              </w:rPr>
              <w:t>Inwestycja 5.1: Odnawialne źródła energii i baterie</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2AF3215" w14:textId="4EF09E1B" w:rsidR="004C6421" w:rsidRDefault="00CC179E">
            <w:pPr>
              <w:pStyle w:val="P68B1DB1-Normal8"/>
              <w:rPr>
                <w:noProof/>
              </w:rPr>
            </w:pPr>
            <w:r>
              <w:rPr>
                <w:noProof/>
              </w:rPr>
              <w:t>Milowy</w:t>
            </w:r>
          </w:p>
        </w:tc>
        <w:tc>
          <w:tcPr>
            <w:tcW w:w="45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62132E9" w14:textId="77777777" w:rsidR="004C6421" w:rsidRDefault="009D1962">
            <w:pPr>
              <w:pStyle w:val="P68B1DB1-Normal8"/>
              <w:rPr>
                <w:noProof/>
              </w:rPr>
            </w:pPr>
            <w:r>
              <w:rPr>
                <w:noProof/>
              </w:rPr>
              <w:t>Wejście w życie dekretu ministerialnego</w:t>
            </w:r>
          </w:p>
        </w:tc>
        <w:tc>
          <w:tcPr>
            <w:tcW w:w="236" w:type="dxa"/>
            <w:tcBorders>
              <w:top w:val="nil"/>
              <w:left w:val="single" w:sz="8" w:space="0" w:color="auto"/>
              <w:bottom w:val="nil"/>
              <w:right w:val="nil"/>
            </w:tcBorders>
            <w:vAlign w:val="center"/>
          </w:tcPr>
          <w:p w14:paraId="62AAE1F8" w14:textId="77777777" w:rsidR="004C6421" w:rsidRDefault="004C6421">
            <w:pPr>
              <w:rPr>
                <w:noProof/>
              </w:rPr>
            </w:pPr>
          </w:p>
        </w:tc>
      </w:tr>
      <w:tr w:rsidR="004C6421" w14:paraId="5454336B" w14:textId="77777777">
        <w:trPr>
          <w:trHeight w:val="300"/>
        </w:trPr>
        <w:tc>
          <w:tcPr>
            <w:tcW w:w="128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AB0447D" w14:textId="77777777" w:rsidR="004C6421" w:rsidRDefault="009D1962">
            <w:pPr>
              <w:pStyle w:val="P68B1DB1-Normal8"/>
              <w:jc w:val="center"/>
              <w:rPr>
                <w:noProof/>
              </w:rPr>
            </w:pPr>
            <w:r>
              <w:rPr>
                <w:noProof/>
              </w:rPr>
              <w:t>M2C2-42</w:t>
            </w:r>
          </w:p>
        </w:tc>
        <w:tc>
          <w:tcPr>
            <w:tcW w:w="22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740722A" w14:textId="77777777" w:rsidR="004C6421" w:rsidRDefault="009D1962">
            <w:pPr>
              <w:pStyle w:val="P68B1DB1-Normal8"/>
              <w:rPr>
                <w:noProof/>
              </w:rPr>
            </w:pPr>
            <w:r>
              <w:rPr>
                <w:noProof/>
              </w:rPr>
              <w:t>Inwestycja 5.4: Wsparcie dla przedsiębiorstw typu start-up i kapitału wysokiego ryzyka działających w ramach transformacji ekologicznej</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E68674F" w14:textId="7FEE4F64" w:rsidR="004C6421" w:rsidRDefault="00CC179E">
            <w:pPr>
              <w:pStyle w:val="P68B1DB1-Normal8"/>
              <w:rPr>
                <w:noProof/>
              </w:rPr>
            </w:pPr>
            <w:r>
              <w:rPr>
                <w:noProof/>
              </w:rPr>
              <w:t>Milowy</w:t>
            </w:r>
          </w:p>
        </w:tc>
        <w:tc>
          <w:tcPr>
            <w:tcW w:w="45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650286E" w14:textId="77777777" w:rsidR="004C6421" w:rsidRDefault="009D1962">
            <w:pPr>
              <w:pStyle w:val="P68B1DB1-Normal8"/>
              <w:rPr>
                <w:noProof/>
              </w:rPr>
            </w:pPr>
            <w:r>
              <w:rPr>
                <w:noProof/>
              </w:rPr>
              <w:t>Podpisanie umowy finansowej</w:t>
            </w:r>
          </w:p>
        </w:tc>
        <w:tc>
          <w:tcPr>
            <w:tcW w:w="236" w:type="dxa"/>
            <w:tcBorders>
              <w:top w:val="nil"/>
              <w:left w:val="single" w:sz="8" w:space="0" w:color="auto"/>
              <w:bottom w:val="nil"/>
              <w:right w:val="nil"/>
            </w:tcBorders>
            <w:vAlign w:val="center"/>
          </w:tcPr>
          <w:p w14:paraId="1C2BB890" w14:textId="77777777" w:rsidR="004C6421" w:rsidRDefault="004C6421">
            <w:pPr>
              <w:rPr>
                <w:noProof/>
              </w:rPr>
            </w:pPr>
          </w:p>
        </w:tc>
      </w:tr>
      <w:tr w:rsidR="004C6421" w14:paraId="350CEB71" w14:textId="77777777">
        <w:trPr>
          <w:trHeight w:val="300"/>
        </w:trPr>
        <w:tc>
          <w:tcPr>
            <w:tcW w:w="128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D45782C" w14:textId="77777777" w:rsidR="004C6421" w:rsidRDefault="009D1962">
            <w:pPr>
              <w:pStyle w:val="P68B1DB1-Normal8"/>
              <w:jc w:val="center"/>
              <w:rPr>
                <w:noProof/>
              </w:rPr>
            </w:pPr>
            <w:r>
              <w:rPr>
                <w:noProof/>
              </w:rPr>
              <w:t>M2C3-4</w:t>
            </w:r>
          </w:p>
        </w:tc>
        <w:tc>
          <w:tcPr>
            <w:tcW w:w="22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D2003D5" w14:textId="77777777" w:rsidR="004C6421" w:rsidRDefault="009D1962">
            <w:pPr>
              <w:pStyle w:val="P68B1DB1-Normal8"/>
              <w:rPr>
                <w:noProof/>
              </w:rPr>
            </w:pPr>
            <w:r>
              <w:rPr>
                <w:noProof/>
              </w:rPr>
              <w:t>Reforma 1.1: Uproszczenie i przyspieszenie procedur interwencji w zakresie efektywności energetycznej</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03FBFAC" w14:textId="7468AA82" w:rsidR="004C6421" w:rsidRDefault="00CC179E">
            <w:pPr>
              <w:pStyle w:val="P68B1DB1-Normal8"/>
              <w:rPr>
                <w:noProof/>
              </w:rPr>
            </w:pPr>
            <w:r>
              <w:rPr>
                <w:noProof/>
              </w:rPr>
              <w:t>Milowy</w:t>
            </w:r>
          </w:p>
        </w:tc>
        <w:tc>
          <w:tcPr>
            <w:tcW w:w="45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8A8F349" w14:textId="77777777" w:rsidR="004C6421" w:rsidRDefault="009D1962">
            <w:pPr>
              <w:pStyle w:val="P68B1DB1-Normal8"/>
              <w:rPr>
                <w:noProof/>
              </w:rPr>
            </w:pPr>
            <w:r>
              <w:rPr>
                <w:noProof/>
              </w:rPr>
              <w:t>Uproszczenie i przyspieszenie procedur interwencji w zakresie efektywności energetycznej</w:t>
            </w:r>
          </w:p>
        </w:tc>
        <w:tc>
          <w:tcPr>
            <w:tcW w:w="236" w:type="dxa"/>
            <w:tcBorders>
              <w:top w:val="nil"/>
              <w:left w:val="single" w:sz="8" w:space="0" w:color="auto"/>
              <w:bottom w:val="nil"/>
              <w:right w:val="nil"/>
            </w:tcBorders>
            <w:vAlign w:val="center"/>
          </w:tcPr>
          <w:p w14:paraId="348A3480" w14:textId="77777777" w:rsidR="004C6421" w:rsidRDefault="004C6421">
            <w:pPr>
              <w:rPr>
                <w:noProof/>
              </w:rPr>
            </w:pPr>
          </w:p>
        </w:tc>
      </w:tr>
      <w:tr w:rsidR="004C6421" w14:paraId="3256CAE4" w14:textId="77777777">
        <w:trPr>
          <w:trHeight w:val="300"/>
        </w:trPr>
        <w:tc>
          <w:tcPr>
            <w:tcW w:w="128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BB118D4" w14:textId="77777777" w:rsidR="004C6421" w:rsidRDefault="009D1962">
            <w:pPr>
              <w:pStyle w:val="P68B1DB1-Normal8"/>
              <w:jc w:val="center"/>
              <w:rPr>
                <w:noProof/>
              </w:rPr>
            </w:pPr>
            <w:r>
              <w:rPr>
                <w:noProof/>
              </w:rPr>
              <w:t>M2C4-1</w:t>
            </w:r>
          </w:p>
        </w:tc>
        <w:tc>
          <w:tcPr>
            <w:tcW w:w="22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412617E" w14:textId="77777777" w:rsidR="004C6421" w:rsidRDefault="009D1962">
            <w:pPr>
              <w:pStyle w:val="P68B1DB1-Normal8"/>
              <w:rPr>
                <w:noProof/>
              </w:rPr>
            </w:pPr>
            <w:r>
              <w:rPr>
                <w:noProof/>
              </w:rPr>
              <w:t>Reforma 2.1. Uproszczenie i przyspieszenie procedur wdrażania interwencji przeciwko niestabilności hydrogeologicznej</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0330EDE" w14:textId="6E622EBE" w:rsidR="004C6421" w:rsidRDefault="00CC179E">
            <w:pPr>
              <w:pStyle w:val="P68B1DB1-Normal8"/>
              <w:rPr>
                <w:noProof/>
              </w:rPr>
            </w:pPr>
            <w:r>
              <w:rPr>
                <w:noProof/>
              </w:rPr>
              <w:t>Milowy</w:t>
            </w:r>
          </w:p>
        </w:tc>
        <w:tc>
          <w:tcPr>
            <w:tcW w:w="45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1CE2A4C" w14:textId="77777777" w:rsidR="004C6421" w:rsidRDefault="009D1962">
            <w:pPr>
              <w:pStyle w:val="P68B1DB1-Normal8"/>
              <w:rPr>
                <w:noProof/>
              </w:rPr>
            </w:pPr>
            <w:r>
              <w:rPr>
                <w:noProof/>
              </w:rPr>
              <w:t>Wejście w życie uproszczenia ram prawnych w celu lepszego zarządzania zagrożeniami hydrologicznymi</w:t>
            </w:r>
          </w:p>
        </w:tc>
        <w:tc>
          <w:tcPr>
            <w:tcW w:w="236" w:type="dxa"/>
            <w:tcBorders>
              <w:top w:val="nil"/>
              <w:left w:val="single" w:sz="8" w:space="0" w:color="auto"/>
              <w:bottom w:val="nil"/>
              <w:right w:val="nil"/>
            </w:tcBorders>
            <w:vAlign w:val="center"/>
          </w:tcPr>
          <w:p w14:paraId="4D3982AB" w14:textId="77777777" w:rsidR="004C6421" w:rsidRDefault="004C6421">
            <w:pPr>
              <w:rPr>
                <w:noProof/>
              </w:rPr>
            </w:pPr>
          </w:p>
        </w:tc>
      </w:tr>
      <w:tr w:rsidR="004C6421" w14:paraId="2E1E2A89" w14:textId="77777777">
        <w:trPr>
          <w:trHeight w:val="300"/>
        </w:trPr>
        <w:tc>
          <w:tcPr>
            <w:tcW w:w="128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6B24E77" w14:textId="77777777" w:rsidR="004C6421" w:rsidRDefault="009D1962">
            <w:pPr>
              <w:pStyle w:val="P68B1DB1-Normal8"/>
              <w:jc w:val="center"/>
              <w:rPr>
                <w:noProof/>
              </w:rPr>
            </w:pPr>
            <w:r>
              <w:rPr>
                <w:noProof/>
              </w:rPr>
              <w:t>M2C4-4</w:t>
            </w:r>
          </w:p>
        </w:tc>
        <w:tc>
          <w:tcPr>
            <w:tcW w:w="22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1790991" w14:textId="77777777" w:rsidR="004C6421" w:rsidRDefault="009D1962">
            <w:pPr>
              <w:pStyle w:val="P68B1DB1-Normal8"/>
              <w:rPr>
                <w:noProof/>
              </w:rPr>
            </w:pPr>
            <w:r>
              <w:rPr>
                <w:noProof/>
              </w:rPr>
              <w:t>Reforma 4.2 „Środki zapewniające pełne zdolności zarządzania zintegrowanymi usługami wodnymi”</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B70CD73" w14:textId="47A8100E" w:rsidR="004C6421" w:rsidRDefault="00CC179E">
            <w:pPr>
              <w:pStyle w:val="P68B1DB1-Normal8"/>
              <w:rPr>
                <w:noProof/>
              </w:rPr>
            </w:pPr>
            <w:r>
              <w:rPr>
                <w:noProof/>
              </w:rPr>
              <w:t>Milowy</w:t>
            </w:r>
          </w:p>
        </w:tc>
        <w:tc>
          <w:tcPr>
            <w:tcW w:w="45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186A373" w14:textId="77777777" w:rsidR="004C6421" w:rsidRDefault="009D1962">
            <w:pPr>
              <w:pStyle w:val="P68B1DB1-Normal8"/>
              <w:rPr>
                <w:noProof/>
              </w:rPr>
            </w:pPr>
            <w:r>
              <w:rPr>
                <w:noProof/>
              </w:rPr>
              <w:t>Wejście w życie nowych ram prawnych dotyczących celów nawadniania</w:t>
            </w:r>
          </w:p>
        </w:tc>
        <w:tc>
          <w:tcPr>
            <w:tcW w:w="236" w:type="dxa"/>
            <w:tcBorders>
              <w:top w:val="nil"/>
              <w:left w:val="single" w:sz="8" w:space="0" w:color="auto"/>
              <w:bottom w:val="nil"/>
              <w:right w:val="nil"/>
            </w:tcBorders>
            <w:vAlign w:val="center"/>
          </w:tcPr>
          <w:p w14:paraId="7539311D" w14:textId="77777777" w:rsidR="004C6421" w:rsidRDefault="004C6421">
            <w:pPr>
              <w:rPr>
                <w:noProof/>
              </w:rPr>
            </w:pPr>
          </w:p>
        </w:tc>
      </w:tr>
      <w:tr w:rsidR="004C6421" w14:paraId="7035AB7F" w14:textId="77777777">
        <w:trPr>
          <w:trHeight w:val="300"/>
        </w:trPr>
        <w:tc>
          <w:tcPr>
            <w:tcW w:w="128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6528D21" w14:textId="77777777" w:rsidR="004C6421" w:rsidRDefault="009D1962">
            <w:pPr>
              <w:pStyle w:val="P68B1DB1-Normal8"/>
              <w:jc w:val="center"/>
              <w:rPr>
                <w:noProof/>
              </w:rPr>
            </w:pPr>
            <w:r>
              <w:rPr>
                <w:noProof/>
              </w:rPr>
              <w:t>M4C1-3</w:t>
            </w:r>
          </w:p>
        </w:tc>
        <w:tc>
          <w:tcPr>
            <w:tcW w:w="22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7FD1024" w14:textId="77777777" w:rsidR="004C6421" w:rsidRDefault="009D1962">
            <w:pPr>
              <w:pStyle w:val="P68B1DB1-Normal8"/>
              <w:rPr>
                <w:noProof/>
              </w:rPr>
            </w:pPr>
            <w:r>
              <w:rPr>
                <w:noProof/>
              </w:rPr>
              <w:t>Reforma 2.1: Rekrutacja nauczycieli</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261172A" w14:textId="157CCB9F" w:rsidR="004C6421" w:rsidRDefault="00CC179E">
            <w:pPr>
              <w:pStyle w:val="P68B1DB1-Normal8"/>
              <w:rPr>
                <w:noProof/>
              </w:rPr>
            </w:pPr>
            <w:r>
              <w:rPr>
                <w:noProof/>
              </w:rPr>
              <w:t>Milowy</w:t>
            </w:r>
          </w:p>
        </w:tc>
        <w:tc>
          <w:tcPr>
            <w:tcW w:w="45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1C250D1" w14:textId="77777777" w:rsidR="004C6421" w:rsidRDefault="009D1962">
            <w:pPr>
              <w:pStyle w:val="P68B1DB1-Normal8"/>
              <w:rPr>
                <w:noProof/>
              </w:rPr>
            </w:pPr>
            <w:r>
              <w:rPr>
                <w:noProof/>
              </w:rPr>
              <w:t>Wejście w życie reformy zawodu nauczyciela.</w:t>
            </w:r>
          </w:p>
        </w:tc>
        <w:tc>
          <w:tcPr>
            <w:tcW w:w="236" w:type="dxa"/>
            <w:tcBorders>
              <w:top w:val="nil"/>
              <w:left w:val="single" w:sz="8" w:space="0" w:color="auto"/>
              <w:bottom w:val="nil"/>
              <w:right w:val="nil"/>
            </w:tcBorders>
            <w:vAlign w:val="center"/>
          </w:tcPr>
          <w:p w14:paraId="76A3425C" w14:textId="77777777" w:rsidR="004C6421" w:rsidRDefault="004C6421">
            <w:pPr>
              <w:rPr>
                <w:noProof/>
              </w:rPr>
            </w:pPr>
          </w:p>
        </w:tc>
      </w:tr>
      <w:tr w:rsidR="004C6421" w14:paraId="72CBC785" w14:textId="77777777">
        <w:trPr>
          <w:trHeight w:val="300"/>
        </w:trPr>
        <w:tc>
          <w:tcPr>
            <w:tcW w:w="128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6010C84" w14:textId="77777777" w:rsidR="004C6421" w:rsidRDefault="009D1962">
            <w:pPr>
              <w:pStyle w:val="P68B1DB1-Normal8"/>
              <w:jc w:val="center"/>
              <w:rPr>
                <w:noProof/>
              </w:rPr>
            </w:pPr>
            <w:r>
              <w:rPr>
                <w:noProof/>
              </w:rPr>
              <w:t>M4C1-4</w:t>
            </w:r>
          </w:p>
        </w:tc>
        <w:tc>
          <w:tcPr>
            <w:tcW w:w="22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149F4A8" w14:textId="77777777" w:rsidR="004C6421" w:rsidRDefault="009D1962">
            <w:pPr>
              <w:pStyle w:val="P68B1DB1-Normal8"/>
              <w:rPr>
                <w:noProof/>
              </w:rPr>
            </w:pPr>
            <w:r>
              <w:rPr>
                <w:noProof/>
              </w:rPr>
              <w:t>Inwestycje 3.2: Szkoła 4.0: innowacyjne szkoły, okablowanie, nowe klasy i warsztaty</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D3B7633" w14:textId="6F9C40C4" w:rsidR="004C6421" w:rsidRDefault="00CC179E">
            <w:pPr>
              <w:pStyle w:val="P68B1DB1-Normal8"/>
              <w:rPr>
                <w:noProof/>
              </w:rPr>
            </w:pPr>
            <w:r>
              <w:rPr>
                <w:noProof/>
              </w:rPr>
              <w:t>Milowy</w:t>
            </w:r>
          </w:p>
        </w:tc>
        <w:tc>
          <w:tcPr>
            <w:tcW w:w="45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D32399A" w14:textId="77777777" w:rsidR="004C6421" w:rsidRDefault="009D1962">
            <w:pPr>
              <w:pStyle w:val="P68B1DB1-Normal8"/>
              <w:rPr>
                <w:noProof/>
              </w:rPr>
            </w:pPr>
            <w:r>
              <w:rPr>
                <w:noProof/>
              </w:rPr>
              <w:t>Przyjęto plan szkoły 4.0 mający na celu wspieranie transformacji cyfrowej włoskiego systemu szkolnictwa</w:t>
            </w:r>
          </w:p>
        </w:tc>
        <w:tc>
          <w:tcPr>
            <w:tcW w:w="236" w:type="dxa"/>
            <w:tcBorders>
              <w:top w:val="nil"/>
              <w:left w:val="single" w:sz="8" w:space="0" w:color="auto"/>
              <w:bottom w:val="nil"/>
              <w:right w:val="nil"/>
            </w:tcBorders>
            <w:vAlign w:val="center"/>
          </w:tcPr>
          <w:p w14:paraId="4AD89B54" w14:textId="77777777" w:rsidR="004C6421" w:rsidRDefault="004C6421">
            <w:pPr>
              <w:rPr>
                <w:noProof/>
              </w:rPr>
            </w:pPr>
          </w:p>
        </w:tc>
      </w:tr>
      <w:tr w:rsidR="004C6421" w14:paraId="49F05056" w14:textId="77777777">
        <w:trPr>
          <w:trHeight w:val="300"/>
        </w:trPr>
        <w:tc>
          <w:tcPr>
            <w:tcW w:w="128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EB229A3" w14:textId="77777777" w:rsidR="004C6421" w:rsidRDefault="009D1962">
            <w:pPr>
              <w:pStyle w:val="P68B1DB1-Normal8"/>
              <w:jc w:val="center"/>
              <w:rPr>
                <w:noProof/>
              </w:rPr>
            </w:pPr>
            <w:r>
              <w:rPr>
                <w:noProof/>
              </w:rPr>
              <w:t>M4C2-4</w:t>
            </w:r>
          </w:p>
        </w:tc>
        <w:tc>
          <w:tcPr>
            <w:tcW w:w="22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3F4107A" w14:textId="77777777" w:rsidR="004C6421" w:rsidRDefault="009D1962">
            <w:pPr>
              <w:pStyle w:val="P68B1DB1-Normal8"/>
              <w:rPr>
                <w:noProof/>
              </w:rPr>
            </w:pPr>
            <w:r>
              <w:rPr>
                <w:noProof/>
              </w:rPr>
              <w:t>Reforma 1.1: Wdrażanie środków wspierających badania i rozwój w celu promowania uproszczenia i mobilności</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529165A" w14:textId="586D8D46" w:rsidR="004C6421" w:rsidRDefault="00CC179E">
            <w:pPr>
              <w:pStyle w:val="P68B1DB1-Normal8"/>
              <w:rPr>
                <w:noProof/>
              </w:rPr>
            </w:pPr>
            <w:r>
              <w:rPr>
                <w:noProof/>
              </w:rPr>
              <w:t>Milowy</w:t>
            </w:r>
          </w:p>
        </w:tc>
        <w:tc>
          <w:tcPr>
            <w:tcW w:w="45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44B421A" w14:textId="77777777" w:rsidR="004C6421" w:rsidRDefault="009D1962">
            <w:pPr>
              <w:pStyle w:val="P68B1DB1-Normal8"/>
              <w:rPr>
                <w:noProof/>
              </w:rPr>
            </w:pPr>
            <w:r>
              <w:rPr>
                <w:noProof/>
              </w:rPr>
              <w:t>Wejście w życie dekretów ministerialnych w sprawie uproszczenia badań i rozwoju oraz mobilności związanych ze zwykłym funduszem finansowym.</w:t>
            </w:r>
          </w:p>
        </w:tc>
        <w:tc>
          <w:tcPr>
            <w:tcW w:w="236" w:type="dxa"/>
            <w:tcBorders>
              <w:top w:val="nil"/>
              <w:left w:val="single" w:sz="8" w:space="0" w:color="auto"/>
              <w:bottom w:val="nil"/>
              <w:right w:val="nil"/>
            </w:tcBorders>
            <w:vAlign w:val="center"/>
          </w:tcPr>
          <w:p w14:paraId="4633BD41" w14:textId="77777777" w:rsidR="004C6421" w:rsidRDefault="004C6421">
            <w:pPr>
              <w:rPr>
                <w:noProof/>
              </w:rPr>
            </w:pPr>
          </w:p>
        </w:tc>
      </w:tr>
      <w:tr w:rsidR="004C6421" w14:paraId="721AB451" w14:textId="77777777">
        <w:trPr>
          <w:trHeight w:val="300"/>
        </w:trPr>
        <w:tc>
          <w:tcPr>
            <w:tcW w:w="128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2346D866" w14:textId="77777777" w:rsidR="004C6421" w:rsidRDefault="009D1962">
            <w:pPr>
              <w:pStyle w:val="P68B1DB1-Normal8"/>
              <w:jc w:val="center"/>
              <w:rPr>
                <w:noProof/>
              </w:rPr>
            </w:pPr>
            <w:r>
              <w:rPr>
                <w:noProof/>
              </w:rPr>
              <w:t xml:space="preserve"> </w:t>
            </w:r>
          </w:p>
        </w:tc>
        <w:tc>
          <w:tcPr>
            <w:tcW w:w="22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6FE87CC5" w14:textId="77777777" w:rsidR="004C6421" w:rsidRDefault="009D1962">
            <w:pPr>
              <w:pStyle w:val="P68B1DB1-Normal8"/>
              <w:rPr>
                <w:noProof/>
              </w:rPr>
            </w:pPr>
            <w:r>
              <w:rPr>
                <w:noProof/>
              </w:rPr>
              <w:t xml:space="preserve"> </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450788DA" w14:textId="77777777" w:rsidR="004C6421" w:rsidRDefault="009D1962">
            <w:pPr>
              <w:pStyle w:val="P68B1DB1-Normal8"/>
              <w:rPr>
                <w:noProof/>
              </w:rPr>
            </w:pPr>
            <w:r>
              <w:rPr>
                <w:noProof/>
              </w:rPr>
              <w:t>Kwota transzy</w:t>
            </w:r>
          </w:p>
        </w:tc>
        <w:tc>
          <w:tcPr>
            <w:tcW w:w="45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4D19F3A1" w14:textId="3490D7D8" w:rsidR="004C6421" w:rsidRDefault="009D1962">
            <w:pPr>
              <w:rPr>
                <w:noProof/>
              </w:rPr>
            </w:pPr>
            <w:r>
              <w:rPr>
                <w:noProof/>
                <w:color w:val="006100"/>
                <w:sz w:val="20"/>
              </w:rPr>
              <w:t>11494252874 EUR</w:t>
            </w:r>
            <w:r>
              <w:rPr>
                <w:noProof/>
                <w:sz w:val="23"/>
              </w:rPr>
              <w:t xml:space="preserve">  </w:t>
            </w:r>
            <w:r>
              <w:rPr>
                <w:noProof/>
                <w:color w:val="006100"/>
                <w:sz w:val="20"/>
              </w:rPr>
              <w:t xml:space="preserve"> </w:t>
            </w:r>
          </w:p>
        </w:tc>
        <w:tc>
          <w:tcPr>
            <w:tcW w:w="236" w:type="dxa"/>
            <w:tcBorders>
              <w:top w:val="nil"/>
              <w:left w:val="single" w:sz="8" w:space="0" w:color="auto"/>
              <w:bottom w:val="nil"/>
              <w:right w:val="nil"/>
            </w:tcBorders>
            <w:vAlign w:val="center"/>
          </w:tcPr>
          <w:p w14:paraId="77A4388F" w14:textId="77777777" w:rsidR="004C6421" w:rsidRDefault="004C6421">
            <w:pPr>
              <w:rPr>
                <w:noProof/>
              </w:rPr>
            </w:pPr>
          </w:p>
        </w:tc>
      </w:tr>
    </w:tbl>
    <w:p w14:paraId="45CA5A76" w14:textId="77777777" w:rsidR="004C6421" w:rsidRDefault="009D1962">
      <w:pPr>
        <w:spacing w:line="257" w:lineRule="auto"/>
        <w:rPr>
          <w:noProof/>
        </w:rPr>
      </w:pPr>
      <w:r>
        <w:rPr>
          <w:noProof/>
        </w:rPr>
        <w:t xml:space="preserve"> </w:t>
      </w:r>
    </w:p>
    <w:p w14:paraId="7EFD4BDC" w14:textId="77777777" w:rsidR="004C6421" w:rsidRDefault="009D1962">
      <w:pPr>
        <w:pStyle w:val="ListParagraph"/>
        <w:numPr>
          <w:ilvl w:val="1"/>
          <w:numId w:val="145"/>
        </w:numPr>
        <w:spacing w:before="0" w:after="0" w:line="279" w:lineRule="auto"/>
        <w:ind w:left="850" w:hanging="850"/>
        <w:rPr>
          <w:noProof/>
        </w:rPr>
      </w:pPr>
      <w:r>
        <w:rPr>
          <w:noProof/>
        </w:rPr>
        <w:t>Trzecia transza (bezzwrotne wsparcie):</w:t>
      </w:r>
    </w:p>
    <w:tbl>
      <w:tblPr>
        <w:tblW w:w="9594" w:type="dxa"/>
        <w:tblInd w:w="120" w:type="dxa"/>
        <w:tblLayout w:type="fixed"/>
        <w:tblLook w:val="04A0" w:firstRow="1" w:lastRow="0" w:firstColumn="1" w:lastColumn="0" w:noHBand="0" w:noVBand="1"/>
      </w:tblPr>
      <w:tblGrid>
        <w:gridCol w:w="1395"/>
        <w:gridCol w:w="3541"/>
        <w:gridCol w:w="1260"/>
        <w:gridCol w:w="3162"/>
        <w:gridCol w:w="236"/>
      </w:tblGrid>
      <w:tr w:rsidR="004C6421" w14:paraId="0B0A4251" w14:textId="77777777">
        <w:trPr>
          <w:trHeight w:val="900"/>
          <w:tblHeader/>
        </w:trPr>
        <w:tc>
          <w:tcPr>
            <w:tcW w:w="1395" w:type="dxa"/>
            <w:vMerge w:val="restart"/>
            <w:tcBorders>
              <w:top w:val="single" w:sz="4" w:space="0" w:color="auto"/>
              <w:left w:val="single" w:sz="4" w:space="0" w:color="auto"/>
              <w:bottom w:val="single" w:sz="4" w:space="0" w:color="auto"/>
              <w:right w:val="single" w:sz="8" w:space="0" w:color="auto"/>
            </w:tcBorders>
            <w:shd w:val="clear" w:color="auto" w:fill="BDD7EE"/>
            <w:tcMar>
              <w:left w:w="108" w:type="dxa"/>
              <w:right w:w="108" w:type="dxa"/>
            </w:tcMar>
            <w:vAlign w:val="center"/>
          </w:tcPr>
          <w:p w14:paraId="565445CF" w14:textId="77777777" w:rsidR="004C6421" w:rsidRDefault="009D1962">
            <w:pPr>
              <w:pStyle w:val="P68B1DB1-Normal36"/>
              <w:jc w:val="center"/>
              <w:rPr>
                <w:noProof/>
              </w:rPr>
            </w:pPr>
            <w:r>
              <w:rPr>
                <w:noProof/>
              </w:rPr>
              <w:t>Numer porządkowy</w:t>
            </w:r>
          </w:p>
        </w:tc>
        <w:tc>
          <w:tcPr>
            <w:tcW w:w="3541" w:type="dxa"/>
            <w:vMerge w:val="restart"/>
            <w:tcBorders>
              <w:top w:val="single" w:sz="4" w:space="0" w:color="auto"/>
              <w:left w:val="single" w:sz="8" w:space="0" w:color="auto"/>
              <w:bottom w:val="single" w:sz="4" w:space="0" w:color="auto"/>
              <w:right w:val="single" w:sz="8" w:space="0" w:color="auto"/>
            </w:tcBorders>
            <w:shd w:val="clear" w:color="auto" w:fill="BDD7EE"/>
            <w:tcMar>
              <w:left w:w="108" w:type="dxa"/>
              <w:right w:w="108" w:type="dxa"/>
            </w:tcMar>
            <w:vAlign w:val="center"/>
          </w:tcPr>
          <w:p w14:paraId="7A06FF05" w14:textId="77777777" w:rsidR="004C6421" w:rsidRDefault="009D1962">
            <w:pPr>
              <w:pStyle w:val="P68B1DB1-Normal36"/>
              <w:jc w:val="center"/>
              <w:rPr>
                <w:noProof/>
              </w:rPr>
            </w:pPr>
            <w:r>
              <w:rPr>
                <w:noProof/>
              </w:rPr>
              <w:t>Powiązane działanie (reforma lub inwestycja)</w:t>
            </w:r>
          </w:p>
        </w:tc>
        <w:tc>
          <w:tcPr>
            <w:tcW w:w="1260" w:type="dxa"/>
            <w:vMerge w:val="restart"/>
            <w:tcBorders>
              <w:top w:val="single" w:sz="4" w:space="0" w:color="auto"/>
              <w:left w:val="single" w:sz="8" w:space="0" w:color="auto"/>
              <w:bottom w:val="single" w:sz="4" w:space="0" w:color="auto"/>
              <w:right w:val="single" w:sz="8" w:space="0" w:color="auto"/>
            </w:tcBorders>
            <w:shd w:val="clear" w:color="auto" w:fill="BDD7EE"/>
            <w:tcMar>
              <w:left w:w="108" w:type="dxa"/>
              <w:right w:w="108" w:type="dxa"/>
            </w:tcMar>
            <w:vAlign w:val="center"/>
          </w:tcPr>
          <w:p w14:paraId="79726770" w14:textId="77777777" w:rsidR="004C6421" w:rsidRDefault="009D1962">
            <w:pPr>
              <w:pStyle w:val="P68B1DB1-Normal36"/>
              <w:jc w:val="center"/>
              <w:rPr>
                <w:noProof/>
              </w:rPr>
            </w:pPr>
            <w:r>
              <w:rPr>
                <w:noProof/>
              </w:rPr>
              <w:t>Kamień milowy/wartość docelowa</w:t>
            </w:r>
          </w:p>
        </w:tc>
        <w:tc>
          <w:tcPr>
            <w:tcW w:w="3162" w:type="dxa"/>
            <w:vMerge w:val="restart"/>
            <w:tcBorders>
              <w:top w:val="single" w:sz="4" w:space="0" w:color="auto"/>
              <w:left w:val="single" w:sz="8" w:space="0" w:color="auto"/>
              <w:bottom w:val="single" w:sz="4" w:space="0" w:color="auto"/>
              <w:right w:val="single" w:sz="4" w:space="0" w:color="auto"/>
            </w:tcBorders>
            <w:shd w:val="clear" w:color="auto" w:fill="BDD7EE"/>
            <w:tcMar>
              <w:left w:w="108" w:type="dxa"/>
              <w:right w:w="108" w:type="dxa"/>
            </w:tcMar>
            <w:vAlign w:val="center"/>
          </w:tcPr>
          <w:p w14:paraId="34F72102" w14:textId="77777777" w:rsidR="004C6421" w:rsidRDefault="009D1962">
            <w:pPr>
              <w:pStyle w:val="P68B1DB1-Normal36"/>
              <w:jc w:val="center"/>
              <w:rPr>
                <w:noProof/>
              </w:rPr>
            </w:pPr>
            <w:r>
              <w:rPr>
                <w:noProof/>
              </w:rPr>
              <w:t>Nazwa</w:t>
            </w:r>
          </w:p>
        </w:tc>
        <w:tc>
          <w:tcPr>
            <w:tcW w:w="236" w:type="dxa"/>
            <w:tcBorders>
              <w:top w:val="nil"/>
              <w:left w:val="single" w:sz="4" w:space="0" w:color="auto"/>
              <w:bottom w:val="nil"/>
              <w:right w:val="nil"/>
            </w:tcBorders>
            <w:vAlign w:val="center"/>
          </w:tcPr>
          <w:p w14:paraId="07BA242B" w14:textId="77777777" w:rsidR="004C6421" w:rsidRDefault="004C6421">
            <w:pPr>
              <w:rPr>
                <w:noProof/>
              </w:rPr>
            </w:pPr>
          </w:p>
        </w:tc>
      </w:tr>
      <w:tr w:rsidR="004C6421" w14:paraId="472C3EC3" w14:textId="77777777">
        <w:trPr>
          <w:trHeight w:val="510"/>
        </w:trPr>
        <w:tc>
          <w:tcPr>
            <w:tcW w:w="1395" w:type="dxa"/>
            <w:vMerge/>
            <w:tcBorders>
              <w:top w:val="single" w:sz="8" w:space="0" w:color="auto"/>
              <w:left w:val="single" w:sz="4" w:space="0" w:color="auto"/>
              <w:bottom w:val="single" w:sz="4" w:space="0" w:color="auto"/>
              <w:right w:val="single" w:sz="8" w:space="0" w:color="auto"/>
            </w:tcBorders>
            <w:vAlign w:val="center"/>
          </w:tcPr>
          <w:p w14:paraId="239ED5D9" w14:textId="77777777" w:rsidR="004C6421" w:rsidRDefault="004C6421">
            <w:pPr>
              <w:rPr>
                <w:noProof/>
              </w:rPr>
            </w:pPr>
          </w:p>
        </w:tc>
        <w:tc>
          <w:tcPr>
            <w:tcW w:w="3541" w:type="dxa"/>
            <w:vMerge/>
            <w:tcBorders>
              <w:top w:val="single" w:sz="8" w:space="0" w:color="auto"/>
              <w:left w:val="single" w:sz="8" w:space="0" w:color="auto"/>
              <w:bottom w:val="single" w:sz="4" w:space="0" w:color="auto"/>
              <w:right w:val="single" w:sz="8" w:space="0" w:color="auto"/>
            </w:tcBorders>
            <w:vAlign w:val="center"/>
          </w:tcPr>
          <w:p w14:paraId="1F7EB70E" w14:textId="77777777" w:rsidR="004C6421" w:rsidRDefault="004C6421">
            <w:pPr>
              <w:rPr>
                <w:noProof/>
              </w:rPr>
            </w:pPr>
          </w:p>
        </w:tc>
        <w:tc>
          <w:tcPr>
            <w:tcW w:w="1260" w:type="dxa"/>
            <w:vMerge/>
            <w:tcBorders>
              <w:top w:val="single" w:sz="8" w:space="0" w:color="auto"/>
              <w:left w:val="single" w:sz="8" w:space="0" w:color="auto"/>
              <w:bottom w:val="single" w:sz="4" w:space="0" w:color="auto"/>
              <w:right w:val="single" w:sz="8" w:space="0" w:color="auto"/>
            </w:tcBorders>
            <w:vAlign w:val="center"/>
          </w:tcPr>
          <w:p w14:paraId="5B416A07" w14:textId="77777777" w:rsidR="004C6421" w:rsidRDefault="004C6421">
            <w:pPr>
              <w:rPr>
                <w:noProof/>
              </w:rPr>
            </w:pPr>
          </w:p>
        </w:tc>
        <w:tc>
          <w:tcPr>
            <w:tcW w:w="3162" w:type="dxa"/>
            <w:vMerge/>
            <w:tcBorders>
              <w:top w:val="single" w:sz="8" w:space="0" w:color="auto"/>
              <w:left w:val="single" w:sz="8" w:space="0" w:color="auto"/>
              <w:bottom w:val="single" w:sz="4" w:space="0" w:color="auto"/>
              <w:right w:val="single" w:sz="4" w:space="0" w:color="auto"/>
            </w:tcBorders>
            <w:vAlign w:val="center"/>
          </w:tcPr>
          <w:p w14:paraId="778D757E" w14:textId="77777777" w:rsidR="004C6421" w:rsidRDefault="004C6421">
            <w:pPr>
              <w:rPr>
                <w:noProof/>
              </w:rPr>
            </w:pPr>
          </w:p>
        </w:tc>
        <w:tc>
          <w:tcPr>
            <w:tcW w:w="236" w:type="dxa"/>
            <w:tcBorders>
              <w:top w:val="nil"/>
              <w:left w:val="single" w:sz="4" w:space="0" w:color="auto"/>
              <w:bottom w:val="nil"/>
              <w:right w:val="nil"/>
            </w:tcBorders>
            <w:vAlign w:val="center"/>
          </w:tcPr>
          <w:p w14:paraId="08E152A5" w14:textId="77777777" w:rsidR="004C6421" w:rsidRDefault="004C6421">
            <w:pPr>
              <w:rPr>
                <w:noProof/>
              </w:rPr>
            </w:pPr>
          </w:p>
        </w:tc>
      </w:tr>
      <w:tr w:rsidR="004C6421" w14:paraId="3C266921" w14:textId="77777777">
        <w:trPr>
          <w:trHeight w:val="300"/>
        </w:trPr>
        <w:tc>
          <w:tcPr>
            <w:tcW w:w="1395"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77088DF" w14:textId="77777777" w:rsidR="004C6421" w:rsidRDefault="009D1962">
            <w:pPr>
              <w:pStyle w:val="P68B1DB1-Normal8"/>
              <w:jc w:val="center"/>
              <w:rPr>
                <w:noProof/>
              </w:rPr>
            </w:pPr>
            <w:r>
              <w:rPr>
                <w:noProof/>
              </w:rPr>
              <w:t>M2C4-2</w:t>
            </w:r>
          </w:p>
        </w:tc>
        <w:tc>
          <w:tcPr>
            <w:tcW w:w="3541"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33F982D" w14:textId="77777777" w:rsidR="004C6421" w:rsidRDefault="009D1962">
            <w:pPr>
              <w:pStyle w:val="P68B1DB1-Normal8"/>
              <w:rPr>
                <w:noProof/>
              </w:rPr>
            </w:pPr>
            <w:r>
              <w:rPr>
                <w:noProof/>
              </w:rPr>
              <w:t>Reforma 4.2 „Środki zapewniające pełne zdolności zarządzania zintegrowanymi usługami wodnymi”</w:t>
            </w:r>
          </w:p>
        </w:tc>
        <w:tc>
          <w:tcPr>
            <w:tcW w:w="1260"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9BD9C90" w14:textId="7DD189D2" w:rsidR="004C6421" w:rsidRDefault="00CC179E">
            <w:pPr>
              <w:pStyle w:val="P68B1DB1-Normal8"/>
              <w:rPr>
                <w:noProof/>
              </w:rPr>
            </w:pPr>
            <w:r>
              <w:rPr>
                <w:noProof/>
              </w:rPr>
              <w:t>Milowy</w:t>
            </w:r>
          </w:p>
        </w:tc>
        <w:tc>
          <w:tcPr>
            <w:tcW w:w="3162"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A2C0C38" w14:textId="77777777" w:rsidR="004C6421" w:rsidRDefault="009D1962">
            <w:pPr>
              <w:pStyle w:val="P68B1DB1-Normal8"/>
              <w:rPr>
                <w:noProof/>
              </w:rPr>
            </w:pPr>
            <w:r>
              <w:rPr>
                <w:noProof/>
              </w:rPr>
              <w:t xml:space="preserve">Wejście w życie reformy mającej na celu zapewnienie pełnych zdolności zarządzania zintegrowanymi usługami wodnymi </w:t>
            </w:r>
          </w:p>
        </w:tc>
        <w:tc>
          <w:tcPr>
            <w:tcW w:w="236" w:type="dxa"/>
            <w:tcBorders>
              <w:top w:val="nil"/>
              <w:left w:val="single" w:sz="8" w:space="0" w:color="auto"/>
              <w:bottom w:val="nil"/>
              <w:right w:val="nil"/>
            </w:tcBorders>
            <w:vAlign w:val="center"/>
          </w:tcPr>
          <w:p w14:paraId="46DD8AE6" w14:textId="77777777" w:rsidR="004C6421" w:rsidRDefault="004C6421">
            <w:pPr>
              <w:rPr>
                <w:noProof/>
              </w:rPr>
            </w:pPr>
          </w:p>
        </w:tc>
      </w:tr>
      <w:tr w:rsidR="004C6421" w14:paraId="5C6DC422"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89BED15" w14:textId="77777777" w:rsidR="004C6421" w:rsidRDefault="009D1962">
            <w:pPr>
              <w:pStyle w:val="P68B1DB1-Normal8"/>
              <w:jc w:val="center"/>
              <w:rPr>
                <w:noProof/>
              </w:rPr>
            </w:pPr>
            <w:r>
              <w:rPr>
                <w:noProof/>
              </w:rPr>
              <w:t>M1C1-3</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0E30D28" w14:textId="77777777" w:rsidR="004C6421" w:rsidRDefault="009D1962">
            <w:pPr>
              <w:pStyle w:val="P68B1DB1-Normal8"/>
              <w:rPr>
                <w:noProof/>
              </w:rPr>
            </w:pPr>
            <w:r>
              <w:rPr>
                <w:noProof/>
              </w:rPr>
              <w:t>Inwestycje 1.1: Infrastruktura cyfrowa</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17C78CC" w14:textId="6AA143DC" w:rsidR="004C6421" w:rsidRDefault="00CC179E">
            <w:pPr>
              <w:pStyle w:val="P68B1DB1-Normal8"/>
              <w:rPr>
                <w:noProof/>
              </w:rPr>
            </w:pPr>
            <w:r>
              <w:rPr>
                <w:noProof/>
              </w:rPr>
              <w:t>Milowy</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F32E59B" w14:textId="77777777" w:rsidR="004C6421" w:rsidRDefault="009D1962">
            <w:pPr>
              <w:pStyle w:val="P68B1DB1-Normal8"/>
              <w:rPr>
                <w:noProof/>
              </w:rPr>
            </w:pPr>
            <w:r>
              <w:rPr>
                <w:noProof/>
              </w:rPr>
              <w:t>Zakończenie programu Polo Strategico Nazionale (PSN)</w:t>
            </w:r>
          </w:p>
        </w:tc>
        <w:tc>
          <w:tcPr>
            <w:tcW w:w="236" w:type="dxa"/>
            <w:tcBorders>
              <w:top w:val="nil"/>
              <w:left w:val="single" w:sz="8" w:space="0" w:color="auto"/>
              <w:bottom w:val="nil"/>
              <w:right w:val="nil"/>
            </w:tcBorders>
            <w:vAlign w:val="center"/>
          </w:tcPr>
          <w:p w14:paraId="1E9F32D4" w14:textId="77777777" w:rsidR="004C6421" w:rsidRDefault="004C6421">
            <w:pPr>
              <w:rPr>
                <w:noProof/>
              </w:rPr>
            </w:pPr>
          </w:p>
        </w:tc>
      </w:tr>
      <w:tr w:rsidR="004C6421" w14:paraId="6E485632"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A0A3360" w14:textId="77777777" w:rsidR="004C6421" w:rsidRDefault="009D1962">
            <w:pPr>
              <w:pStyle w:val="P68B1DB1-Normal8"/>
              <w:jc w:val="center"/>
              <w:rPr>
                <w:noProof/>
              </w:rPr>
            </w:pPr>
            <w:r>
              <w:rPr>
                <w:noProof/>
              </w:rPr>
              <w:t>M1C1-4</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461E0B5" w14:textId="77777777" w:rsidR="004C6421" w:rsidRDefault="009D1962">
            <w:pPr>
              <w:pStyle w:val="P68B1DB1-Normal8"/>
              <w:rPr>
                <w:noProof/>
              </w:rPr>
            </w:pPr>
            <w:r>
              <w:rPr>
                <w:noProof/>
              </w:rPr>
              <w:t>Inwestycja 1.3.1: Krajowa platforma danych cyfrowych</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9F68340" w14:textId="47B53174" w:rsidR="004C6421" w:rsidRDefault="00CC179E">
            <w:pPr>
              <w:pStyle w:val="P68B1DB1-Normal8"/>
              <w:rPr>
                <w:noProof/>
              </w:rPr>
            </w:pPr>
            <w:r>
              <w:rPr>
                <w:noProof/>
              </w:rPr>
              <w:t>Milowy</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1162610" w14:textId="77777777" w:rsidR="004C6421" w:rsidRDefault="009D1962">
            <w:pPr>
              <w:pStyle w:val="P68B1DB1-Normal8"/>
              <w:rPr>
                <w:noProof/>
              </w:rPr>
            </w:pPr>
            <w:r>
              <w:rPr>
                <w:noProof/>
              </w:rPr>
              <w:t>Operacyjna krajowa platforma danych cyfrowych</w:t>
            </w:r>
          </w:p>
        </w:tc>
        <w:tc>
          <w:tcPr>
            <w:tcW w:w="236" w:type="dxa"/>
            <w:tcBorders>
              <w:top w:val="nil"/>
              <w:left w:val="single" w:sz="8" w:space="0" w:color="auto"/>
              <w:bottom w:val="nil"/>
              <w:right w:val="nil"/>
            </w:tcBorders>
            <w:vAlign w:val="center"/>
          </w:tcPr>
          <w:p w14:paraId="39BEF84C" w14:textId="77777777" w:rsidR="004C6421" w:rsidRDefault="004C6421">
            <w:pPr>
              <w:rPr>
                <w:noProof/>
              </w:rPr>
            </w:pPr>
          </w:p>
        </w:tc>
      </w:tr>
      <w:tr w:rsidR="004C6421" w14:paraId="0DE231E5"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81FAD27" w14:textId="77777777" w:rsidR="004C6421" w:rsidRDefault="009D1962">
            <w:pPr>
              <w:pStyle w:val="P68B1DB1-Normal8"/>
              <w:jc w:val="center"/>
              <w:rPr>
                <w:noProof/>
              </w:rPr>
            </w:pPr>
            <w:r>
              <w:rPr>
                <w:noProof/>
              </w:rPr>
              <w:t>M1C1-5</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242AE13" w14:textId="77777777" w:rsidR="004C6421" w:rsidRDefault="009D1962">
            <w:pPr>
              <w:pStyle w:val="P68B1DB1-Normal8"/>
              <w:rPr>
                <w:noProof/>
              </w:rPr>
            </w:pPr>
            <w:r>
              <w:rPr>
                <w:noProof/>
              </w:rPr>
              <w:t>Inwestycja 1.5: Cyberbezpieczeństwo</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31CE0DF" w14:textId="0D370383" w:rsidR="004C6421" w:rsidRDefault="00CC179E">
            <w:pPr>
              <w:pStyle w:val="P68B1DB1-Normal8"/>
              <w:rPr>
                <w:noProof/>
              </w:rPr>
            </w:pPr>
            <w:r>
              <w:rPr>
                <w:noProof/>
              </w:rPr>
              <w:t>Milowy</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5EBC047" w14:textId="77777777" w:rsidR="004C6421" w:rsidRDefault="009D1962">
            <w:pPr>
              <w:pStyle w:val="P68B1DB1-Normal8"/>
              <w:rPr>
                <w:noProof/>
              </w:rPr>
            </w:pPr>
            <w:r>
              <w:rPr>
                <w:noProof/>
              </w:rPr>
              <w:t>Utworzenie nowej Krajowej Agencji ds. Cyberbezpieczeństwa</w:t>
            </w:r>
          </w:p>
        </w:tc>
        <w:tc>
          <w:tcPr>
            <w:tcW w:w="236" w:type="dxa"/>
            <w:tcBorders>
              <w:top w:val="nil"/>
              <w:left w:val="single" w:sz="8" w:space="0" w:color="auto"/>
              <w:bottom w:val="nil"/>
              <w:right w:val="nil"/>
            </w:tcBorders>
            <w:vAlign w:val="center"/>
          </w:tcPr>
          <w:p w14:paraId="303C219C" w14:textId="77777777" w:rsidR="004C6421" w:rsidRDefault="004C6421">
            <w:pPr>
              <w:rPr>
                <w:noProof/>
              </w:rPr>
            </w:pPr>
          </w:p>
        </w:tc>
      </w:tr>
      <w:tr w:rsidR="004C6421" w14:paraId="7FFF9874"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9A0D7F6" w14:textId="77777777" w:rsidR="004C6421" w:rsidRDefault="009D1962">
            <w:pPr>
              <w:pStyle w:val="P68B1DB1-Normal8"/>
              <w:jc w:val="center"/>
              <w:rPr>
                <w:noProof/>
              </w:rPr>
            </w:pPr>
            <w:r>
              <w:rPr>
                <w:noProof/>
              </w:rPr>
              <w:t>M1C1-6</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A89D3ED" w14:textId="77777777" w:rsidR="004C6421" w:rsidRDefault="009D1962">
            <w:pPr>
              <w:pStyle w:val="P68B1DB1-Normal8"/>
              <w:rPr>
                <w:noProof/>
              </w:rPr>
            </w:pPr>
            <w:r>
              <w:rPr>
                <w:noProof/>
              </w:rPr>
              <w:t>Inwestycja 1.5: Cyberbezpieczeństwo</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49429F4" w14:textId="128E804D" w:rsidR="004C6421" w:rsidRDefault="00CC179E">
            <w:pPr>
              <w:pStyle w:val="P68B1DB1-Normal8"/>
              <w:rPr>
                <w:noProof/>
              </w:rPr>
            </w:pPr>
            <w:r>
              <w:rPr>
                <w:noProof/>
              </w:rPr>
              <w:t>Milowy</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31A3CFA" w14:textId="77777777" w:rsidR="004C6421" w:rsidRDefault="009D1962">
            <w:pPr>
              <w:pStyle w:val="P68B1DB1-Normal8"/>
              <w:rPr>
                <w:noProof/>
              </w:rPr>
            </w:pPr>
            <w:r>
              <w:rPr>
                <w:noProof/>
              </w:rPr>
              <w:t>Wstępne wdrożenie krajowych usług w zakresie cyberbezpieczeństwa</w:t>
            </w:r>
          </w:p>
        </w:tc>
        <w:tc>
          <w:tcPr>
            <w:tcW w:w="236" w:type="dxa"/>
            <w:tcBorders>
              <w:top w:val="nil"/>
              <w:left w:val="single" w:sz="8" w:space="0" w:color="auto"/>
              <w:bottom w:val="nil"/>
              <w:right w:val="nil"/>
            </w:tcBorders>
            <w:vAlign w:val="center"/>
          </w:tcPr>
          <w:p w14:paraId="20A1F34D" w14:textId="77777777" w:rsidR="004C6421" w:rsidRDefault="004C6421">
            <w:pPr>
              <w:rPr>
                <w:noProof/>
              </w:rPr>
            </w:pPr>
          </w:p>
        </w:tc>
      </w:tr>
      <w:tr w:rsidR="004C6421" w14:paraId="6C6A0CFE"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B8895ED" w14:textId="77777777" w:rsidR="004C6421" w:rsidRDefault="009D1962">
            <w:pPr>
              <w:pStyle w:val="P68B1DB1-Normal8"/>
              <w:jc w:val="center"/>
              <w:rPr>
                <w:noProof/>
              </w:rPr>
            </w:pPr>
            <w:r>
              <w:rPr>
                <w:noProof/>
              </w:rPr>
              <w:t>M1C1-7</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1EC5B46" w14:textId="77777777" w:rsidR="004C6421" w:rsidRDefault="009D1962">
            <w:pPr>
              <w:pStyle w:val="P68B1DB1-Normal8"/>
              <w:rPr>
                <w:noProof/>
              </w:rPr>
            </w:pPr>
            <w:r>
              <w:rPr>
                <w:noProof/>
              </w:rPr>
              <w:t>Inwestycja 1.5: Cyberbezpieczeństwo</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3764C6B" w14:textId="7FDCB6ED" w:rsidR="004C6421" w:rsidRDefault="00CC179E">
            <w:pPr>
              <w:pStyle w:val="P68B1DB1-Normal8"/>
              <w:rPr>
                <w:noProof/>
              </w:rPr>
            </w:pPr>
            <w:r>
              <w:rPr>
                <w:noProof/>
              </w:rPr>
              <w:t>Milowy</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C5E835B" w14:textId="77777777" w:rsidR="004C6421" w:rsidRDefault="009D1962">
            <w:pPr>
              <w:pStyle w:val="P68B1DB1-Normal8"/>
              <w:rPr>
                <w:noProof/>
              </w:rPr>
            </w:pPr>
            <w:r>
              <w:rPr>
                <w:noProof/>
              </w:rPr>
              <w:t>Uruchomienie sieci laboratoriów ds. kontroli bezpieczeństwa cybernetycznego i certyfikacji cyberbezpieczeństwa</w:t>
            </w:r>
          </w:p>
        </w:tc>
        <w:tc>
          <w:tcPr>
            <w:tcW w:w="236" w:type="dxa"/>
            <w:tcBorders>
              <w:top w:val="nil"/>
              <w:left w:val="single" w:sz="8" w:space="0" w:color="auto"/>
              <w:bottom w:val="nil"/>
              <w:right w:val="nil"/>
            </w:tcBorders>
            <w:vAlign w:val="center"/>
          </w:tcPr>
          <w:p w14:paraId="30E215C6" w14:textId="77777777" w:rsidR="004C6421" w:rsidRDefault="004C6421">
            <w:pPr>
              <w:rPr>
                <w:noProof/>
              </w:rPr>
            </w:pPr>
          </w:p>
        </w:tc>
      </w:tr>
      <w:tr w:rsidR="004C6421" w14:paraId="27F62EE0"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B8151BA" w14:textId="77777777" w:rsidR="004C6421" w:rsidRDefault="009D1962">
            <w:pPr>
              <w:pStyle w:val="P68B1DB1-Normal8"/>
              <w:jc w:val="center"/>
              <w:rPr>
                <w:noProof/>
              </w:rPr>
            </w:pPr>
            <w:r>
              <w:rPr>
                <w:noProof/>
              </w:rPr>
              <w:t>M1C1-8</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B29244F" w14:textId="77777777" w:rsidR="004C6421" w:rsidRDefault="009D1962">
            <w:pPr>
              <w:pStyle w:val="P68B1DB1-Normal8"/>
              <w:rPr>
                <w:noProof/>
              </w:rPr>
            </w:pPr>
            <w:r>
              <w:rPr>
                <w:noProof/>
              </w:rPr>
              <w:t>Inwestycja 1.5: Cyberbezpieczeństwo</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462DF71" w14:textId="5162A1B3" w:rsidR="004C6421" w:rsidRDefault="00CC179E">
            <w:pPr>
              <w:pStyle w:val="P68B1DB1-Normal8"/>
              <w:rPr>
                <w:noProof/>
              </w:rPr>
            </w:pPr>
            <w:r>
              <w:rPr>
                <w:noProof/>
              </w:rPr>
              <w:t>Milowy</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022A588" w14:textId="77777777" w:rsidR="004C6421" w:rsidRDefault="009D1962">
            <w:pPr>
              <w:pStyle w:val="P68B1DB1-Normal8"/>
              <w:rPr>
                <w:noProof/>
              </w:rPr>
            </w:pPr>
            <w:r>
              <w:rPr>
                <w:noProof/>
              </w:rPr>
              <w:t>Uruchomienie centralnej jednostki audytu ds. środków bezpieczeństwa PSNC i NIS</w:t>
            </w:r>
          </w:p>
        </w:tc>
        <w:tc>
          <w:tcPr>
            <w:tcW w:w="236" w:type="dxa"/>
            <w:tcBorders>
              <w:top w:val="nil"/>
              <w:left w:val="single" w:sz="8" w:space="0" w:color="auto"/>
              <w:bottom w:val="nil"/>
              <w:right w:val="nil"/>
            </w:tcBorders>
            <w:vAlign w:val="center"/>
          </w:tcPr>
          <w:p w14:paraId="4C34FDB7" w14:textId="77777777" w:rsidR="004C6421" w:rsidRDefault="004C6421">
            <w:pPr>
              <w:rPr>
                <w:noProof/>
              </w:rPr>
            </w:pPr>
          </w:p>
        </w:tc>
      </w:tr>
      <w:tr w:rsidR="004C6421" w14:paraId="7122D43B"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A70FDA0" w14:textId="77777777" w:rsidR="004C6421" w:rsidRDefault="009D1962">
            <w:pPr>
              <w:pStyle w:val="P68B1DB1-Normal8"/>
              <w:jc w:val="center"/>
              <w:rPr>
                <w:noProof/>
              </w:rPr>
            </w:pPr>
            <w:r>
              <w:rPr>
                <w:noProof/>
              </w:rPr>
              <w:t>M1C1-9</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BBEAA15" w14:textId="77777777" w:rsidR="004C6421" w:rsidRDefault="009D1962">
            <w:pPr>
              <w:pStyle w:val="P68B1DB1-Normal8"/>
              <w:rPr>
                <w:noProof/>
              </w:rPr>
            </w:pPr>
            <w:r>
              <w:rPr>
                <w:noProof/>
              </w:rPr>
              <w:t>Inwestycja 1.5: Cyberbezpieczeństwo</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C8FC1FD" w14:textId="77777777" w:rsidR="004C6421" w:rsidRDefault="009D1962">
            <w:pPr>
              <w:pStyle w:val="P68B1DB1-Normal8"/>
              <w:rPr>
                <w:noProof/>
              </w:rPr>
            </w:pPr>
            <w:r>
              <w:rPr>
                <w:noProof/>
              </w:rPr>
              <w:t>Cel</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212095C" w14:textId="77777777" w:rsidR="004C6421" w:rsidRDefault="009D1962">
            <w:pPr>
              <w:pStyle w:val="P68B1DB1-Normal8"/>
              <w:rPr>
                <w:noProof/>
              </w:rPr>
            </w:pPr>
            <w:r>
              <w:rPr>
                <w:noProof/>
              </w:rPr>
              <w:t>Wsparcie modernizacji struktur bezpieczeństwa T1</w:t>
            </w:r>
          </w:p>
        </w:tc>
        <w:tc>
          <w:tcPr>
            <w:tcW w:w="236" w:type="dxa"/>
            <w:tcBorders>
              <w:top w:val="nil"/>
              <w:left w:val="single" w:sz="8" w:space="0" w:color="auto"/>
              <w:bottom w:val="nil"/>
              <w:right w:val="nil"/>
            </w:tcBorders>
            <w:vAlign w:val="center"/>
          </w:tcPr>
          <w:p w14:paraId="68FDF166" w14:textId="77777777" w:rsidR="004C6421" w:rsidRDefault="004C6421">
            <w:pPr>
              <w:rPr>
                <w:noProof/>
              </w:rPr>
            </w:pPr>
          </w:p>
        </w:tc>
      </w:tr>
      <w:tr w:rsidR="004C6421" w14:paraId="7A0A27E3"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034D723" w14:textId="77777777" w:rsidR="004C6421" w:rsidRDefault="009D1962">
            <w:pPr>
              <w:pStyle w:val="P68B1DB1-Normal8"/>
              <w:jc w:val="center"/>
              <w:rPr>
                <w:noProof/>
              </w:rPr>
            </w:pPr>
            <w:r>
              <w:rPr>
                <w:noProof/>
              </w:rPr>
              <w:t>M1C1-10</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62E55B8" w14:textId="77777777" w:rsidR="004C6421" w:rsidRDefault="009D1962">
            <w:pPr>
              <w:pStyle w:val="P68B1DB1-Normal8"/>
              <w:rPr>
                <w:noProof/>
              </w:rPr>
            </w:pPr>
            <w:r>
              <w:rPr>
                <w:noProof/>
              </w:rPr>
              <w:t>Reforma 1.2: Wsparcie transformacji</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A9B654A" w14:textId="4FE236C1" w:rsidR="004C6421" w:rsidRDefault="00CC179E">
            <w:pPr>
              <w:pStyle w:val="P68B1DB1-Normal8"/>
              <w:rPr>
                <w:noProof/>
              </w:rPr>
            </w:pPr>
            <w:r>
              <w:rPr>
                <w:noProof/>
              </w:rPr>
              <w:t>Milowy</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6897B82" w14:textId="77777777" w:rsidR="004C6421" w:rsidRDefault="009D1962">
            <w:pPr>
              <w:pStyle w:val="P68B1DB1-Normal8"/>
              <w:rPr>
                <w:noProof/>
              </w:rPr>
            </w:pPr>
            <w:r>
              <w:rPr>
                <w:noProof/>
              </w:rPr>
              <w:t>Wejście w życie utworzenia zespołu ds. transformacji i NewCo</w:t>
            </w:r>
          </w:p>
        </w:tc>
        <w:tc>
          <w:tcPr>
            <w:tcW w:w="236" w:type="dxa"/>
            <w:tcBorders>
              <w:top w:val="nil"/>
              <w:left w:val="single" w:sz="8" w:space="0" w:color="auto"/>
              <w:bottom w:val="nil"/>
              <w:right w:val="nil"/>
            </w:tcBorders>
            <w:vAlign w:val="center"/>
          </w:tcPr>
          <w:p w14:paraId="735409D5" w14:textId="77777777" w:rsidR="004C6421" w:rsidRDefault="004C6421">
            <w:pPr>
              <w:rPr>
                <w:noProof/>
              </w:rPr>
            </w:pPr>
          </w:p>
        </w:tc>
      </w:tr>
      <w:tr w:rsidR="004C6421" w14:paraId="64A02F5B"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2A924E0" w14:textId="77777777" w:rsidR="004C6421" w:rsidRDefault="009D1962">
            <w:pPr>
              <w:pStyle w:val="P68B1DB1-Normal8"/>
              <w:jc w:val="center"/>
              <w:rPr>
                <w:noProof/>
              </w:rPr>
            </w:pPr>
            <w:r>
              <w:rPr>
                <w:noProof/>
              </w:rPr>
              <w:t>M1C1-34</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DF8977D" w14:textId="77777777" w:rsidR="004C6421" w:rsidRDefault="009D1962">
            <w:pPr>
              <w:pStyle w:val="P68B1DB1-Normal8"/>
              <w:rPr>
                <w:noProof/>
              </w:rPr>
            </w:pPr>
            <w:r>
              <w:rPr>
                <w:noProof/>
              </w:rPr>
              <w:t>Inwestycje 1.8: Procedury rekrutacyjne do kancelarii rozpraw sądowych w sprawach cywilnych i karnych</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4D888D4" w14:textId="77777777" w:rsidR="004C6421" w:rsidRDefault="009D1962">
            <w:pPr>
              <w:pStyle w:val="P68B1DB1-Normal8"/>
              <w:rPr>
                <w:noProof/>
              </w:rPr>
            </w:pPr>
            <w:r>
              <w:rPr>
                <w:noProof/>
              </w:rPr>
              <w:t>Cel</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205EE81" w14:textId="77777777" w:rsidR="004C6421" w:rsidRDefault="009D1962">
            <w:pPr>
              <w:pStyle w:val="P68B1DB1-Normal8"/>
              <w:rPr>
                <w:noProof/>
              </w:rPr>
            </w:pPr>
            <w:r>
              <w:rPr>
                <w:noProof/>
              </w:rPr>
              <w:t>Rozpoczęcie procedur rekrutacyjnych do sądów cywilnych i karnych</w:t>
            </w:r>
          </w:p>
        </w:tc>
        <w:tc>
          <w:tcPr>
            <w:tcW w:w="236" w:type="dxa"/>
            <w:tcBorders>
              <w:top w:val="nil"/>
              <w:left w:val="single" w:sz="8" w:space="0" w:color="auto"/>
              <w:bottom w:val="nil"/>
              <w:right w:val="nil"/>
            </w:tcBorders>
            <w:vAlign w:val="center"/>
          </w:tcPr>
          <w:p w14:paraId="589B9B43" w14:textId="77777777" w:rsidR="004C6421" w:rsidRDefault="004C6421">
            <w:pPr>
              <w:rPr>
                <w:noProof/>
              </w:rPr>
            </w:pPr>
          </w:p>
        </w:tc>
      </w:tr>
      <w:tr w:rsidR="004C6421" w14:paraId="6969C044"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045A3FA" w14:textId="77777777" w:rsidR="004C6421" w:rsidRDefault="009D1962">
            <w:pPr>
              <w:pStyle w:val="P68B1DB1-Normal8"/>
              <w:jc w:val="center"/>
              <w:rPr>
                <w:noProof/>
              </w:rPr>
            </w:pPr>
            <w:r>
              <w:rPr>
                <w:noProof/>
              </w:rPr>
              <w:t>M1C1-35</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AB09991" w14:textId="77777777" w:rsidR="004C6421" w:rsidRDefault="009D1962">
            <w:pPr>
              <w:pStyle w:val="P68B1DB1-Normal8"/>
              <w:rPr>
                <w:noProof/>
              </w:rPr>
            </w:pPr>
            <w:r>
              <w:rPr>
                <w:noProof/>
              </w:rPr>
              <w:t>Reforma 1.7: Reforma sądów podatkowych</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400314F" w14:textId="345B6514" w:rsidR="004C6421" w:rsidRDefault="00CC179E">
            <w:pPr>
              <w:pStyle w:val="P68B1DB1-Normal8"/>
              <w:rPr>
                <w:noProof/>
              </w:rPr>
            </w:pPr>
            <w:r>
              <w:rPr>
                <w:noProof/>
              </w:rPr>
              <w:t>Milowy</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670712D" w14:textId="77777777" w:rsidR="004C6421" w:rsidRDefault="009D1962">
            <w:pPr>
              <w:pStyle w:val="P68B1DB1-Normal8"/>
              <w:rPr>
                <w:noProof/>
              </w:rPr>
            </w:pPr>
            <w:r>
              <w:rPr>
                <w:noProof/>
              </w:rPr>
              <w:t>Kompleksowa reforma sądów podatkowych pierwszej i drugiej instancji</w:t>
            </w:r>
          </w:p>
        </w:tc>
        <w:tc>
          <w:tcPr>
            <w:tcW w:w="236" w:type="dxa"/>
            <w:tcBorders>
              <w:top w:val="nil"/>
              <w:left w:val="single" w:sz="8" w:space="0" w:color="auto"/>
              <w:bottom w:val="nil"/>
              <w:right w:val="nil"/>
            </w:tcBorders>
            <w:vAlign w:val="center"/>
          </w:tcPr>
          <w:p w14:paraId="12B29E26" w14:textId="77777777" w:rsidR="004C6421" w:rsidRDefault="004C6421">
            <w:pPr>
              <w:rPr>
                <w:noProof/>
              </w:rPr>
            </w:pPr>
          </w:p>
        </w:tc>
      </w:tr>
      <w:tr w:rsidR="004C6421" w14:paraId="2A167577"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901CDD7" w14:textId="77777777" w:rsidR="004C6421" w:rsidRDefault="009D1962">
            <w:pPr>
              <w:pStyle w:val="P68B1DB1-Normal8"/>
              <w:jc w:val="center"/>
              <w:rPr>
                <w:noProof/>
              </w:rPr>
            </w:pPr>
            <w:r>
              <w:rPr>
                <w:noProof/>
              </w:rPr>
              <w:t>M1C1-36</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542827A" w14:textId="77777777" w:rsidR="004C6421" w:rsidRDefault="009D1962">
            <w:pPr>
              <w:pStyle w:val="P68B1DB1-Normal8"/>
              <w:rPr>
                <w:noProof/>
              </w:rPr>
            </w:pPr>
            <w:r>
              <w:rPr>
                <w:noProof/>
              </w:rPr>
              <w:t>Reformy 1.4, 1.5 i 1.6: Reforma wymiaru sprawiedliwości w sprawach cywilnych i karnych oraz reforma upadłości</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3946634" w14:textId="31417760" w:rsidR="004C6421" w:rsidRDefault="00CC179E">
            <w:pPr>
              <w:pStyle w:val="P68B1DB1-Normal8"/>
              <w:rPr>
                <w:noProof/>
              </w:rPr>
            </w:pPr>
            <w:r>
              <w:rPr>
                <w:noProof/>
              </w:rPr>
              <w:t>Milowy</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F219150" w14:textId="77777777" w:rsidR="004C6421" w:rsidRDefault="009D1962">
            <w:pPr>
              <w:pStyle w:val="P68B1DB1-Normal8"/>
              <w:rPr>
                <w:noProof/>
              </w:rPr>
            </w:pPr>
            <w:r>
              <w:rPr>
                <w:noProof/>
              </w:rPr>
              <w:t>Wejście w życie aktów delegowanych dotyczących reformy wymiaru sprawiedliwości w sprawach cywilnych i karnych oraz reformy dotyczącej niewypłacalności</w:t>
            </w:r>
          </w:p>
        </w:tc>
        <w:tc>
          <w:tcPr>
            <w:tcW w:w="236" w:type="dxa"/>
            <w:tcBorders>
              <w:top w:val="nil"/>
              <w:left w:val="single" w:sz="8" w:space="0" w:color="auto"/>
              <w:bottom w:val="nil"/>
              <w:right w:val="nil"/>
            </w:tcBorders>
            <w:vAlign w:val="center"/>
          </w:tcPr>
          <w:p w14:paraId="05D07B4A" w14:textId="77777777" w:rsidR="004C6421" w:rsidRDefault="004C6421">
            <w:pPr>
              <w:rPr>
                <w:noProof/>
              </w:rPr>
            </w:pPr>
          </w:p>
        </w:tc>
      </w:tr>
      <w:tr w:rsidR="004C6421" w14:paraId="67349A32"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AA516D2" w14:textId="77777777" w:rsidR="004C6421" w:rsidRDefault="009D1962">
            <w:pPr>
              <w:pStyle w:val="P68B1DB1-Normal8"/>
              <w:jc w:val="center"/>
              <w:rPr>
                <w:noProof/>
              </w:rPr>
            </w:pPr>
            <w:r>
              <w:rPr>
                <w:noProof/>
              </w:rPr>
              <w:t>M1C1-57</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A693FCB" w14:textId="77777777" w:rsidR="004C6421" w:rsidRDefault="009D1962">
            <w:pPr>
              <w:pStyle w:val="P68B1DB1-Normal8"/>
              <w:rPr>
                <w:noProof/>
              </w:rPr>
            </w:pPr>
            <w:r>
              <w:rPr>
                <w:noProof/>
              </w:rPr>
              <w:t>Reforma 1.9: Reforma administracji publicznej</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2C12FDA" w14:textId="378D5FD0" w:rsidR="004C6421" w:rsidRDefault="00CC179E">
            <w:pPr>
              <w:pStyle w:val="P68B1DB1-Normal8"/>
              <w:rPr>
                <w:noProof/>
              </w:rPr>
            </w:pPr>
            <w:r>
              <w:rPr>
                <w:noProof/>
              </w:rPr>
              <w:t>Milowy</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855A79F" w14:textId="77777777" w:rsidR="004C6421" w:rsidRDefault="009D1962">
            <w:pPr>
              <w:pStyle w:val="P68B1DB1-Normal8"/>
              <w:rPr>
                <w:noProof/>
              </w:rPr>
            </w:pPr>
            <w:r>
              <w:rPr>
                <w:noProof/>
              </w:rPr>
              <w:t>Wejście w życie procedur administracyjnych dotyczących reformy upraszczającej mającej na celu wdrożenie RRF</w:t>
            </w:r>
          </w:p>
        </w:tc>
        <w:tc>
          <w:tcPr>
            <w:tcW w:w="236" w:type="dxa"/>
            <w:tcBorders>
              <w:top w:val="nil"/>
              <w:left w:val="single" w:sz="8" w:space="0" w:color="auto"/>
              <w:bottom w:val="nil"/>
              <w:right w:val="nil"/>
            </w:tcBorders>
            <w:vAlign w:val="center"/>
          </w:tcPr>
          <w:p w14:paraId="790C480A" w14:textId="77777777" w:rsidR="004C6421" w:rsidRDefault="004C6421">
            <w:pPr>
              <w:rPr>
                <w:noProof/>
              </w:rPr>
            </w:pPr>
          </w:p>
        </w:tc>
      </w:tr>
      <w:tr w:rsidR="004C6421" w14:paraId="0A2EB2AF"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80C6606" w14:textId="77777777" w:rsidR="004C6421" w:rsidRDefault="009D1962">
            <w:pPr>
              <w:pStyle w:val="P68B1DB1-Normal8"/>
              <w:jc w:val="center"/>
              <w:rPr>
                <w:noProof/>
              </w:rPr>
            </w:pPr>
            <w:r>
              <w:rPr>
                <w:noProof/>
              </w:rPr>
              <w:t>M1C1-102</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EB2E9AB" w14:textId="77777777" w:rsidR="004C6421" w:rsidRDefault="009D1962">
            <w:pPr>
              <w:pStyle w:val="P68B1DB1-Normal8"/>
              <w:rPr>
                <w:noProof/>
              </w:rPr>
            </w:pPr>
            <w:r>
              <w:rPr>
                <w:noProof/>
              </w:rPr>
              <w:t>Reforma 1.13: Reforma ram przeglądu wydatków</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0BB17C4" w14:textId="45A18268" w:rsidR="004C6421" w:rsidRDefault="00CC179E">
            <w:pPr>
              <w:pStyle w:val="P68B1DB1-Normal8"/>
              <w:rPr>
                <w:noProof/>
              </w:rPr>
            </w:pPr>
            <w:r>
              <w:rPr>
                <w:noProof/>
              </w:rPr>
              <w:t>Milowy</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48BA174" w14:textId="77777777" w:rsidR="004C6421" w:rsidRDefault="009D1962">
            <w:pPr>
              <w:pStyle w:val="P68B1DB1-Normal8"/>
              <w:rPr>
                <w:noProof/>
              </w:rPr>
            </w:pPr>
            <w:r>
              <w:rPr>
                <w:noProof/>
              </w:rPr>
              <w:t>Przyjęcie sprawozdania w sprawie skuteczności praktyk stosowanych przez wybrane organy administracji publicznej przy formułowaniu i wdrażaniu planów oszczędnościowych</w:t>
            </w:r>
          </w:p>
        </w:tc>
        <w:tc>
          <w:tcPr>
            <w:tcW w:w="236" w:type="dxa"/>
            <w:tcBorders>
              <w:top w:val="nil"/>
              <w:left w:val="single" w:sz="8" w:space="0" w:color="auto"/>
              <w:bottom w:val="nil"/>
              <w:right w:val="nil"/>
            </w:tcBorders>
            <w:vAlign w:val="center"/>
          </w:tcPr>
          <w:p w14:paraId="0BBDC4AC" w14:textId="77777777" w:rsidR="004C6421" w:rsidRDefault="004C6421">
            <w:pPr>
              <w:rPr>
                <w:noProof/>
              </w:rPr>
            </w:pPr>
          </w:p>
        </w:tc>
      </w:tr>
      <w:tr w:rsidR="004C6421" w14:paraId="4AA32F00"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C899FE4" w14:textId="77777777" w:rsidR="004C6421" w:rsidRDefault="009D1962">
            <w:pPr>
              <w:pStyle w:val="P68B1DB1-Normal8"/>
              <w:jc w:val="center"/>
              <w:rPr>
                <w:noProof/>
              </w:rPr>
            </w:pPr>
            <w:r>
              <w:rPr>
                <w:noProof/>
              </w:rPr>
              <w:t>M1C1-105</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6C7D023" w14:textId="77777777" w:rsidR="004C6421" w:rsidRDefault="009D1962">
            <w:pPr>
              <w:pStyle w:val="P68B1DB1-Normal8"/>
              <w:rPr>
                <w:noProof/>
              </w:rPr>
            </w:pPr>
            <w:r>
              <w:rPr>
                <w:noProof/>
              </w:rPr>
              <w:t>Reforma 1.12: Reforma administracji podatkowej</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A888E2E" w14:textId="77777777" w:rsidR="004C6421" w:rsidRDefault="009D1962">
            <w:pPr>
              <w:pStyle w:val="P68B1DB1-Normal8"/>
              <w:rPr>
                <w:noProof/>
              </w:rPr>
            </w:pPr>
            <w:r>
              <w:rPr>
                <w:noProof/>
              </w:rPr>
              <w:t>Cel</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3C34EC8" w14:textId="77777777" w:rsidR="004C6421" w:rsidRDefault="009D1962">
            <w:pPr>
              <w:pStyle w:val="P68B1DB1-Normal8"/>
              <w:rPr>
                <w:noProof/>
              </w:rPr>
            </w:pPr>
            <w:r>
              <w:rPr>
                <w:noProof/>
              </w:rPr>
              <w:t>Większa liczba „oznaczeń zgodności”</w:t>
            </w:r>
          </w:p>
        </w:tc>
        <w:tc>
          <w:tcPr>
            <w:tcW w:w="236" w:type="dxa"/>
            <w:tcBorders>
              <w:top w:val="nil"/>
              <w:left w:val="single" w:sz="8" w:space="0" w:color="auto"/>
              <w:bottom w:val="nil"/>
              <w:right w:val="nil"/>
            </w:tcBorders>
            <w:vAlign w:val="center"/>
          </w:tcPr>
          <w:p w14:paraId="16B220DB" w14:textId="77777777" w:rsidR="004C6421" w:rsidRDefault="004C6421">
            <w:pPr>
              <w:rPr>
                <w:noProof/>
              </w:rPr>
            </w:pPr>
          </w:p>
        </w:tc>
      </w:tr>
      <w:tr w:rsidR="004C6421" w14:paraId="542CD4F6"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14EEABD" w14:textId="77777777" w:rsidR="004C6421" w:rsidRDefault="009D1962">
            <w:pPr>
              <w:pStyle w:val="P68B1DB1-Normal8"/>
              <w:jc w:val="center"/>
              <w:rPr>
                <w:noProof/>
              </w:rPr>
            </w:pPr>
            <w:r>
              <w:rPr>
                <w:noProof/>
              </w:rPr>
              <w:t>M1C1-106</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B904965" w14:textId="77777777" w:rsidR="004C6421" w:rsidRDefault="009D1962">
            <w:pPr>
              <w:pStyle w:val="P68B1DB1-Normal8"/>
              <w:rPr>
                <w:noProof/>
              </w:rPr>
            </w:pPr>
            <w:r>
              <w:rPr>
                <w:noProof/>
              </w:rPr>
              <w:t>Reforma 1.12: Reforma administracji podatkowej</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95CA7E4" w14:textId="77777777" w:rsidR="004C6421" w:rsidRDefault="009D1962">
            <w:pPr>
              <w:pStyle w:val="P68B1DB1-Normal8"/>
              <w:rPr>
                <w:noProof/>
              </w:rPr>
            </w:pPr>
            <w:r>
              <w:rPr>
                <w:noProof/>
              </w:rPr>
              <w:t>Cel</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2A1CDF1" w14:textId="77777777" w:rsidR="004C6421" w:rsidRDefault="009D1962">
            <w:pPr>
              <w:pStyle w:val="P68B1DB1-Normal8"/>
              <w:rPr>
                <w:noProof/>
              </w:rPr>
            </w:pPr>
            <w:r>
              <w:rPr>
                <w:noProof/>
              </w:rPr>
              <w:t>Zmniejszenie liczby fałszywie pozytywnych „oznaczeń zgodności”</w:t>
            </w:r>
          </w:p>
        </w:tc>
        <w:tc>
          <w:tcPr>
            <w:tcW w:w="236" w:type="dxa"/>
            <w:tcBorders>
              <w:top w:val="nil"/>
              <w:left w:val="single" w:sz="8" w:space="0" w:color="auto"/>
              <w:bottom w:val="nil"/>
              <w:right w:val="nil"/>
            </w:tcBorders>
            <w:vAlign w:val="center"/>
          </w:tcPr>
          <w:p w14:paraId="3466508C" w14:textId="77777777" w:rsidR="004C6421" w:rsidRDefault="004C6421">
            <w:pPr>
              <w:rPr>
                <w:noProof/>
              </w:rPr>
            </w:pPr>
          </w:p>
        </w:tc>
      </w:tr>
      <w:tr w:rsidR="004C6421" w14:paraId="5C002D4A"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6F2D3DB" w14:textId="77777777" w:rsidR="004C6421" w:rsidRDefault="009D1962">
            <w:pPr>
              <w:pStyle w:val="P68B1DB1-Normal8"/>
              <w:jc w:val="center"/>
              <w:rPr>
                <w:noProof/>
              </w:rPr>
            </w:pPr>
            <w:r>
              <w:rPr>
                <w:noProof/>
              </w:rPr>
              <w:t>M1C1-107</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CB66761" w14:textId="77777777" w:rsidR="004C6421" w:rsidRDefault="009D1962">
            <w:pPr>
              <w:pStyle w:val="P68B1DB1-Normal8"/>
              <w:rPr>
                <w:noProof/>
              </w:rPr>
            </w:pPr>
            <w:r>
              <w:rPr>
                <w:noProof/>
              </w:rPr>
              <w:t>Reforma 1.12: Reforma administracji podatkowej</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CA8C084" w14:textId="77777777" w:rsidR="004C6421" w:rsidRDefault="009D1962">
            <w:pPr>
              <w:pStyle w:val="P68B1DB1-Normal8"/>
              <w:rPr>
                <w:noProof/>
              </w:rPr>
            </w:pPr>
            <w:r>
              <w:rPr>
                <w:noProof/>
              </w:rPr>
              <w:t>Cel</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0EE5E59" w14:textId="77777777" w:rsidR="004C6421" w:rsidRDefault="009D1962">
            <w:pPr>
              <w:pStyle w:val="P68B1DB1-Normal8"/>
              <w:rPr>
                <w:noProof/>
              </w:rPr>
            </w:pPr>
            <w:r>
              <w:rPr>
                <w:noProof/>
              </w:rPr>
              <w:t>Wzrost dochodów podatkowych generowany przez „pismo w sprawie zgodności”</w:t>
            </w:r>
          </w:p>
        </w:tc>
        <w:tc>
          <w:tcPr>
            <w:tcW w:w="236" w:type="dxa"/>
            <w:tcBorders>
              <w:top w:val="nil"/>
              <w:left w:val="single" w:sz="8" w:space="0" w:color="auto"/>
              <w:bottom w:val="nil"/>
              <w:right w:val="nil"/>
            </w:tcBorders>
            <w:vAlign w:val="center"/>
          </w:tcPr>
          <w:p w14:paraId="43A6405E" w14:textId="77777777" w:rsidR="004C6421" w:rsidRDefault="004C6421">
            <w:pPr>
              <w:rPr>
                <w:noProof/>
              </w:rPr>
            </w:pPr>
          </w:p>
        </w:tc>
      </w:tr>
      <w:tr w:rsidR="004C6421" w14:paraId="0A5B4265"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DD6533E" w14:textId="77777777" w:rsidR="004C6421" w:rsidRDefault="009D1962">
            <w:pPr>
              <w:pStyle w:val="P68B1DB1-Normal8"/>
              <w:jc w:val="center"/>
              <w:rPr>
                <w:noProof/>
              </w:rPr>
            </w:pPr>
            <w:r>
              <w:rPr>
                <w:noProof/>
              </w:rPr>
              <w:t>M1C2-6</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2441F74" w14:textId="77777777" w:rsidR="004C6421" w:rsidRDefault="009D1962">
            <w:pPr>
              <w:pStyle w:val="P68B1DB1-Normal8"/>
              <w:rPr>
                <w:noProof/>
              </w:rPr>
            </w:pPr>
            <w:r>
              <w:rPr>
                <w:noProof/>
              </w:rPr>
              <w:t>Reforma nr 2: Roczne ustawy o konkurencji</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A778C3E" w14:textId="6014B36F" w:rsidR="004C6421" w:rsidRDefault="00CC179E">
            <w:pPr>
              <w:pStyle w:val="P68B1DB1-Normal8"/>
              <w:rPr>
                <w:noProof/>
              </w:rPr>
            </w:pPr>
            <w:r>
              <w:rPr>
                <w:noProof/>
              </w:rPr>
              <w:t>Milowy</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74BFDF8" w14:textId="77777777" w:rsidR="004C6421" w:rsidRDefault="009D1962">
            <w:pPr>
              <w:pStyle w:val="P68B1DB1-Normal8"/>
              <w:rPr>
                <w:noProof/>
              </w:rPr>
            </w:pPr>
            <w:r>
              <w:rPr>
                <w:noProof/>
              </w:rPr>
              <w:t>Wejście w życie rocznej ustawy o konkurencji z 2021 r.</w:t>
            </w:r>
          </w:p>
        </w:tc>
        <w:tc>
          <w:tcPr>
            <w:tcW w:w="236" w:type="dxa"/>
            <w:tcBorders>
              <w:top w:val="nil"/>
              <w:left w:val="single" w:sz="8" w:space="0" w:color="auto"/>
              <w:bottom w:val="nil"/>
              <w:right w:val="nil"/>
            </w:tcBorders>
            <w:vAlign w:val="center"/>
          </w:tcPr>
          <w:p w14:paraId="595AC598" w14:textId="77777777" w:rsidR="004C6421" w:rsidRDefault="004C6421">
            <w:pPr>
              <w:rPr>
                <w:noProof/>
              </w:rPr>
            </w:pPr>
          </w:p>
        </w:tc>
      </w:tr>
      <w:tr w:rsidR="004C6421" w14:paraId="0CDDBD63"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A0EDEED" w14:textId="77777777" w:rsidR="004C6421" w:rsidRDefault="009D1962">
            <w:pPr>
              <w:pStyle w:val="P68B1DB1-Normal8"/>
              <w:jc w:val="center"/>
              <w:rPr>
                <w:noProof/>
              </w:rPr>
            </w:pPr>
            <w:r>
              <w:rPr>
                <w:noProof/>
              </w:rPr>
              <w:t>M1C2-7</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78B19D1" w14:textId="77777777" w:rsidR="004C6421" w:rsidRDefault="009D1962">
            <w:pPr>
              <w:pStyle w:val="P68B1DB1-Normal8"/>
              <w:rPr>
                <w:noProof/>
              </w:rPr>
            </w:pPr>
            <w:r>
              <w:rPr>
                <w:noProof/>
              </w:rPr>
              <w:t>Reforma nr 2: Roczne ustawy o konkurencji</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E6A3A19" w14:textId="1534997F" w:rsidR="004C6421" w:rsidRDefault="00CC179E">
            <w:pPr>
              <w:pStyle w:val="P68B1DB1-Normal8"/>
              <w:rPr>
                <w:noProof/>
              </w:rPr>
            </w:pPr>
            <w:r>
              <w:rPr>
                <w:noProof/>
              </w:rPr>
              <w:t>Milowy</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C439C63" w14:textId="77777777" w:rsidR="004C6421" w:rsidRDefault="009D1962">
            <w:pPr>
              <w:pStyle w:val="P68B1DB1-Normal8"/>
              <w:rPr>
                <w:noProof/>
              </w:rPr>
            </w:pPr>
            <w:r>
              <w:rPr>
                <w:noProof/>
              </w:rPr>
              <w:t>Wejście w życie wszystkich środków wykonawczych związanych z energią i prawodawstwa wtórnego (w razie potrzeby)</w:t>
            </w:r>
          </w:p>
        </w:tc>
        <w:tc>
          <w:tcPr>
            <w:tcW w:w="236" w:type="dxa"/>
            <w:tcBorders>
              <w:top w:val="nil"/>
              <w:left w:val="single" w:sz="8" w:space="0" w:color="auto"/>
              <w:bottom w:val="nil"/>
              <w:right w:val="nil"/>
            </w:tcBorders>
            <w:vAlign w:val="center"/>
          </w:tcPr>
          <w:p w14:paraId="68D34A7E" w14:textId="77777777" w:rsidR="004C6421" w:rsidRDefault="004C6421">
            <w:pPr>
              <w:rPr>
                <w:noProof/>
              </w:rPr>
            </w:pPr>
          </w:p>
        </w:tc>
      </w:tr>
      <w:tr w:rsidR="004C6421" w14:paraId="56791DF0"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1B72AE0" w14:textId="77777777" w:rsidR="004C6421" w:rsidRDefault="009D1962">
            <w:pPr>
              <w:pStyle w:val="P68B1DB1-Normal8"/>
              <w:jc w:val="center"/>
              <w:rPr>
                <w:noProof/>
              </w:rPr>
            </w:pPr>
            <w:r>
              <w:rPr>
                <w:noProof/>
              </w:rPr>
              <w:t>M1C2-8</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AF497C9" w14:textId="77777777" w:rsidR="004C6421" w:rsidRDefault="009D1962">
            <w:pPr>
              <w:pStyle w:val="P68B1DB1-Normal8"/>
              <w:rPr>
                <w:noProof/>
              </w:rPr>
            </w:pPr>
            <w:r>
              <w:rPr>
                <w:noProof/>
              </w:rPr>
              <w:t>Reforma nr 2: Roczne ustawy o konkurencji</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46FCDA3" w14:textId="1DF14D65" w:rsidR="004C6421" w:rsidRDefault="00CC179E">
            <w:pPr>
              <w:pStyle w:val="P68B1DB1-Normal8"/>
              <w:rPr>
                <w:noProof/>
              </w:rPr>
            </w:pPr>
            <w:r>
              <w:rPr>
                <w:noProof/>
              </w:rPr>
              <w:t>Milowy</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030DB55" w14:textId="77777777" w:rsidR="004C6421" w:rsidRDefault="009D1962">
            <w:pPr>
              <w:pStyle w:val="P68B1DB1-Normal8"/>
              <w:rPr>
                <w:noProof/>
              </w:rPr>
            </w:pPr>
            <w:r>
              <w:rPr>
                <w:noProof/>
              </w:rPr>
              <w:t>Wejście w życie wszystkich środków wykonawczych (w tym, w razie potrzeby, prawa wtórnego) w celu skutecznego wdrożenia i stosowania środków wynikających z rocznej ustawy o konkurencji z 2021 r.</w:t>
            </w:r>
          </w:p>
        </w:tc>
        <w:tc>
          <w:tcPr>
            <w:tcW w:w="236" w:type="dxa"/>
            <w:tcBorders>
              <w:top w:val="nil"/>
              <w:left w:val="single" w:sz="8" w:space="0" w:color="auto"/>
              <w:bottom w:val="nil"/>
              <w:right w:val="nil"/>
            </w:tcBorders>
            <w:vAlign w:val="center"/>
          </w:tcPr>
          <w:p w14:paraId="6D5AFBC1" w14:textId="77777777" w:rsidR="004C6421" w:rsidRDefault="004C6421">
            <w:pPr>
              <w:rPr>
                <w:noProof/>
              </w:rPr>
            </w:pPr>
          </w:p>
        </w:tc>
      </w:tr>
      <w:tr w:rsidR="004C6421" w14:paraId="6175F6AC"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F7E6DF4" w14:textId="77777777" w:rsidR="004C6421" w:rsidRDefault="009D1962">
            <w:pPr>
              <w:pStyle w:val="P68B1DB1-Normal8"/>
              <w:jc w:val="center"/>
              <w:rPr>
                <w:noProof/>
              </w:rPr>
            </w:pPr>
            <w:r>
              <w:rPr>
                <w:noProof/>
              </w:rPr>
              <w:t>M1C3-6</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04D2DD1" w14:textId="77777777" w:rsidR="004C6421" w:rsidRDefault="009D1962">
            <w:pPr>
              <w:pStyle w:val="P68B1DB1-Normal8"/>
              <w:rPr>
                <w:noProof/>
              </w:rPr>
            </w:pPr>
            <w:r>
              <w:rPr>
                <w:noProof/>
              </w:rPr>
              <w:t>Reforma – 3.1 Minimalne kryteria środowiskowe dotyczące wydarzeń kulturalnych</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BE36E4A" w14:textId="4D32CE44" w:rsidR="004C6421" w:rsidRDefault="00CC179E">
            <w:pPr>
              <w:pStyle w:val="P68B1DB1-Normal8"/>
              <w:rPr>
                <w:noProof/>
              </w:rPr>
            </w:pPr>
            <w:r>
              <w:rPr>
                <w:noProof/>
              </w:rPr>
              <w:t>Milowy</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F0ACBAB" w14:textId="77777777" w:rsidR="004C6421" w:rsidRDefault="009D1962">
            <w:pPr>
              <w:pStyle w:val="P68B1DB1-Normal8"/>
              <w:rPr>
                <w:noProof/>
              </w:rPr>
            </w:pPr>
            <w:r>
              <w:rPr>
                <w:noProof/>
              </w:rPr>
              <w:t>Wejście w życie dekretu określającego kryteria społeczne i środowiskowe w zamówieniach publicznych na wydarzenia kulturalne finansowane ze środków publicznych</w:t>
            </w:r>
          </w:p>
        </w:tc>
        <w:tc>
          <w:tcPr>
            <w:tcW w:w="236" w:type="dxa"/>
            <w:tcBorders>
              <w:top w:val="nil"/>
              <w:left w:val="single" w:sz="8" w:space="0" w:color="auto"/>
              <w:bottom w:val="nil"/>
              <w:right w:val="nil"/>
            </w:tcBorders>
            <w:vAlign w:val="center"/>
          </w:tcPr>
          <w:p w14:paraId="5C346790" w14:textId="77777777" w:rsidR="004C6421" w:rsidRDefault="004C6421">
            <w:pPr>
              <w:rPr>
                <w:noProof/>
              </w:rPr>
            </w:pPr>
          </w:p>
        </w:tc>
      </w:tr>
      <w:tr w:rsidR="004C6421" w14:paraId="43F7A9E9"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5850BE4" w14:textId="77777777" w:rsidR="004C6421" w:rsidRDefault="009D1962">
            <w:pPr>
              <w:pStyle w:val="P68B1DB1-Normal8"/>
              <w:jc w:val="center"/>
              <w:rPr>
                <w:noProof/>
              </w:rPr>
            </w:pPr>
            <w:r>
              <w:rPr>
                <w:noProof/>
              </w:rPr>
              <w:t>M2C1-3</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C25D06A" w14:textId="77777777" w:rsidR="004C6421" w:rsidRDefault="009D1962">
            <w:pPr>
              <w:pStyle w:val="P68B1DB1-Normal8"/>
              <w:rPr>
                <w:noProof/>
              </w:rPr>
            </w:pPr>
            <w:r>
              <w:rPr>
                <w:noProof/>
              </w:rPr>
              <w:t>Inwestycja 2.1: Plan logistyczny dla sektorów rolno-spożywczego, rybołówstwa i akwakultury, leśnictwa, kwiaciarstwa i szkółek roślin</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1B96141" w14:textId="311FF7D9" w:rsidR="004C6421" w:rsidRDefault="00CC179E">
            <w:pPr>
              <w:pStyle w:val="P68B1DB1-Normal8"/>
              <w:rPr>
                <w:noProof/>
              </w:rPr>
            </w:pPr>
            <w:r>
              <w:rPr>
                <w:noProof/>
              </w:rPr>
              <w:t>Milowy</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FD4BFEC" w14:textId="77777777" w:rsidR="004C6421" w:rsidRDefault="009D1962">
            <w:pPr>
              <w:pStyle w:val="P68B1DB1-Normal8"/>
              <w:rPr>
                <w:noProof/>
              </w:rPr>
            </w:pPr>
            <w:r>
              <w:rPr>
                <w:noProof/>
              </w:rPr>
              <w:t>Publikacja ostatecznego rankingu w ramach systemu zachęt logistycznych</w:t>
            </w:r>
          </w:p>
        </w:tc>
        <w:tc>
          <w:tcPr>
            <w:tcW w:w="236" w:type="dxa"/>
            <w:tcBorders>
              <w:top w:val="nil"/>
              <w:left w:val="single" w:sz="8" w:space="0" w:color="auto"/>
              <w:bottom w:val="nil"/>
              <w:right w:val="nil"/>
            </w:tcBorders>
            <w:vAlign w:val="center"/>
          </w:tcPr>
          <w:p w14:paraId="0FD39B40" w14:textId="77777777" w:rsidR="004C6421" w:rsidRDefault="004C6421">
            <w:pPr>
              <w:rPr>
                <w:noProof/>
              </w:rPr>
            </w:pPr>
          </w:p>
        </w:tc>
      </w:tr>
      <w:tr w:rsidR="004C6421" w14:paraId="6B0C4CC5"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F3E2A50" w14:textId="77777777" w:rsidR="004C6421" w:rsidRDefault="009D1962">
            <w:pPr>
              <w:pStyle w:val="P68B1DB1-Normal8"/>
              <w:jc w:val="center"/>
              <w:rPr>
                <w:noProof/>
              </w:rPr>
            </w:pPr>
            <w:r>
              <w:rPr>
                <w:noProof/>
              </w:rPr>
              <w:t>M2C1-4</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EE9EA4B" w14:textId="77777777" w:rsidR="004C6421" w:rsidRDefault="009D1962">
            <w:pPr>
              <w:pStyle w:val="P68B1DB1-Normal8"/>
              <w:rPr>
                <w:noProof/>
              </w:rPr>
            </w:pPr>
            <w:r>
              <w:rPr>
                <w:noProof/>
              </w:rPr>
              <w:t>Inwestycje 2.2: Park rolno-słoneczny</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ECE3808" w14:textId="77777777" w:rsidR="004C6421" w:rsidRDefault="009D1962">
            <w:pPr>
              <w:pStyle w:val="P68B1DB1-Normal8"/>
              <w:rPr>
                <w:noProof/>
              </w:rPr>
            </w:pPr>
            <w:r>
              <w:rPr>
                <w:noProof/>
              </w:rPr>
              <w:t>Cel</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8485D40" w14:textId="77777777" w:rsidR="004C6421" w:rsidRDefault="009D1962">
            <w:pPr>
              <w:pStyle w:val="P68B1DB1-Normal8"/>
              <w:rPr>
                <w:noProof/>
              </w:rPr>
            </w:pPr>
            <w:r>
              <w:rPr>
                <w:noProof/>
              </w:rPr>
              <w:t>Alokacja zasobów dla beneficjentów jako % całkowitych środków finansowych przeznaczonych na inwestycję</w:t>
            </w:r>
          </w:p>
        </w:tc>
        <w:tc>
          <w:tcPr>
            <w:tcW w:w="236" w:type="dxa"/>
            <w:tcBorders>
              <w:top w:val="nil"/>
              <w:left w:val="single" w:sz="8" w:space="0" w:color="auto"/>
              <w:bottom w:val="nil"/>
              <w:right w:val="nil"/>
            </w:tcBorders>
            <w:vAlign w:val="center"/>
          </w:tcPr>
          <w:p w14:paraId="6B2E51FD" w14:textId="77777777" w:rsidR="004C6421" w:rsidRDefault="004C6421">
            <w:pPr>
              <w:rPr>
                <w:noProof/>
              </w:rPr>
            </w:pPr>
          </w:p>
        </w:tc>
      </w:tr>
      <w:tr w:rsidR="004C6421" w14:paraId="7AB79F09"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1EA1721" w14:textId="77777777" w:rsidR="004C6421" w:rsidRDefault="009D1962">
            <w:pPr>
              <w:pStyle w:val="P68B1DB1-Normal8"/>
              <w:jc w:val="center"/>
              <w:rPr>
                <w:noProof/>
              </w:rPr>
            </w:pPr>
            <w:r>
              <w:rPr>
                <w:noProof/>
              </w:rPr>
              <w:t>M2C2-8</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C8626AE" w14:textId="77777777" w:rsidR="004C6421" w:rsidRDefault="009D1962">
            <w:pPr>
              <w:pStyle w:val="P68B1DB1-Normal8"/>
              <w:rPr>
                <w:noProof/>
              </w:rPr>
            </w:pPr>
            <w:r>
              <w:rPr>
                <w:noProof/>
              </w:rPr>
              <w:t>Inwestycje 2.1 Wzmocnienie inteligentnych sieci</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186A4F2" w14:textId="3273FDF3" w:rsidR="004C6421" w:rsidRDefault="00CC179E">
            <w:pPr>
              <w:pStyle w:val="P68B1DB1-Normal8"/>
              <w:rPr>
                <w:noProof/>
              </w:rPr>
            </w:pPr>
            <w:r>
              <w:rPr>
                <w:noProof/>
              </w:rPr>
              <w:t>Milowy</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572B98D" w14:textId="77777777" w:rsidR="004C6421" w:rsidRDefault="009D1962">
            <w:pPr>
              <w:pStyle w:val="P68B1DB1-Normal8"/>
              <w:rPr>
                <w:noProof/>
              </w:rPr>
            </w:pPr>
            <w:r>
              <w:rPr>
                <w:noProof/>
              </w:rPr>
              <w:t>Udzielanie zamówień publicznych (wszystkich) w celu zwiększenia przepustowości sieci</w:t>
            </w:r>
          </w:p>
        </w:tc>
        <w:tc>
          <w:tcPr>
            <w:tcW w:w="236" w:type="dxa"/>
            <w:tcBorders>
              <w:top w:val="nil"/>
              <w:left w:val="single" w:sz="8" w:space="0" w:color="auto"/>
              <w:bottom w:val="nil"/>
              <w:right w:val="nil"/>
            </w:tcBorders>
            <w:vAlign w:val="center"/>
          </w:tcPr>
          <w:p w14:paraId="1D44FD56" w14:textId="77777777" w:rsidR="004C6421" w:rsidRDefault="004C6421">
            <w:pPr>
              <w:rPr>
                <w:noProof/>
              </w:rPr>
            </w:pPr>
          </w:p>
        </w:tc>
      </w:tr>
      <w:tr w:rsidR="004C6421" w14:paraId="354A11FB"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15D1174" w14:textId="77777777" w:rsidR="004C6421" w:rsidRDefault="009D1962">
            <w:pPr>
              <w:pStyle w:val="P68B1DB1-Normal8"/>
              <w:jc w:val="center"/>
              <w:rPr>
                <w:noProof/>
              </w:rPr>
            </w:pPr>
            <w:r>
              <w:rPr>
                <w:noProof/>
              </w:rPr>
              <w:t>M2C2-12</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A7392A4" w14:textId="77777777" w:rsidR="004C6421" w:rsidRDefault="009D1962">
            <w:pPr>
              <w:pStyle w:val="P68B1DB1-Normal8"/>
              <w:rPr>
                <w:noProof/>
              </w:rPr>
            </w:pPr>
            <w:r>
              <w:rPr>
                <w:noProof/>
              </w:rPr>
              <w:t>Inwestycje 2.2 Interwencje mające na celu zwiększenie odporności sieci elektroenergetycznej</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ECD6F06" w14:textId="26E21D02" w:rsidR="004C6421" w:rsidRDefault="00CC179E">
            <w:pPr>
              <w:pStyle w:val="P68B1DB1-Normal8"/>
              <w:rPr>
                <w:noProof/>
              </w:rPr>
            </w:pPr>
            <w:r>
              <w:rPr>
                <w:noProof/>
              </w:rPr>
              <w:t>Milowy</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A292408" w14:textId="77777777" w:rsidR="004C6421" w:rsidRDefault="009D1962">
            <w:pPr>
              <w:pStyle w:val="P68B1DB1-Normal8"/>
              <w:rPr>
                <w:noProof/>
              </w:rPr>
            </w:pPr>
            <w:r>
              <w:rPr>
                <w:noProof/>
              </w:rPr>
              <w:t>Przyznanie dotacji na projekty mające na celu zwiększenie odporności sieci elektroenergetycznej</w:t>
            </w:r>
          </w:p>
        </w:tc>
        <w:tc>
          <w:tcPr>
            <w:tcW w:w="236" w:type="dxa"/>
            <w:tcBorders>
              <w:top w:val="nil"/>
              <w:left w:val="single" w:sz="8" w:space="0" w:color="auto"/>
              <w:bottom w:val="nil"/>
              <w:right w:val="nil"/>
            </w:tcBorders>
            <w:vAlign w:val="center"/>
          </w:tcPr>
          <w:p w14:paraId="6757FB21" w14:textId="77777777" w:rsidR="004C6421" w:rsidRDefault="004C6421">
            <w:pPr>
              <w:rPr>
                <w:noProof/>
              </w:rPr>
            </w:pPr>
          </w:p>
        </w:tc>
      </w:tr>
      <w:tr w:rsidR="004C6421" w14:paraId="52A15715"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5A0A0B9" w14:textId="77777777" w:rsidR="004C6421" w:rsidRDefault="009D1962">
            <w:pPr>
              <w:pStyle w:val="P68B1DB1-Normal8"/>
              <w:jc w:val="center"/>
              <w:rPr>
                <w:noProof/>
              </w:rPr>
            </w:pPr>
            <w:r>
              <w:rPr>
                <w:noProof/>
              </w:rPr>
              <w:t>M3C2-1</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E42D18B" w14:textId="77777777" w:rsidR="004C6421" w:rsidRDefault="009D1962">
            <w:pPr>
              <w:pStyle w:val="P68B1DB1-Normal8"/>
              <w:rPr>
                <w:noProof/>
              </w:rPr>
            </w:pPr>
            <w:r>
              <w:rPr>
                <w:noProof/>
              </w:rPr>
              <w:t xml:space="preserve">Reforma 1.1 – Uproszczenie procedur dotyczących procesu planowania strategicznego </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46D908B" w14:textId="4B7FA560" w:rsidR="004C6421" w:rsidRDefault="00CC179E">
            <w:pPr>
              <w:pStyle w:val="P68B1DB1-Normal8"/>
              <w:rPr>
                <w:noProof/>
              </w:rPr>
            </w:pPr>
            <w:r>
              <w:rPr>
                <w:noProof/>
              </w:rPr>
              <w:t>Milowy</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A4F168A" w14:textId="77777777" w:rsidR="004C6421" w:rsidRDefault="009D1962">
            <w:pPr>
              <w:pStyle w:val="P68B1DB1-Normal8"/>
              <w:rPr>
                <w:noProof/>
              </w:rPr>
            </w:pPr>
            <w:r>
              <w:rPr>
                <w:noProof/>
              </w:rPr>
              <w:t>Wejście w życie zmian legislacyjnych związanych z uproszczeniem procedur dotyczących procesu planowania strategicznego</w:t>
            </w:r>
          </w:p>
        </w:tc>
        <w:tc>
          <w:tcPr>
            <w:tcW w:w="236" w:type="dxa"/>
            <w:tcBorders>
              <w:top w:val="nil"/>
              <w:left w:val="single" w:sz="8" w:space="0" w:color="auto"/>
              <w:bottom w:val="nil"/>
              <w:right w:val="nil"/>
            </w:tcBorders>
            <w:vAlign w:val="center"/>
          </w:tcPr>
          <w:p w14:paraId="17207125" w14:textId="77777777" w:rsidR="004C6421" w:rsidRDefault="004C6421">
            <w:pPr>
              <w:rPr>
                <w:noProof/>
              </w:rPr>
            </w:pPr>
          </w:p>
        </w:tc>
      </w:tr>
      <w:tr w:rsidR="004C6421" w14:paraId="236D3936"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29694C7" w14:textId="77777777" w:rsidR="004C6421" w:rsidRDefault="009D1962">
            <w:pPr>
              <w:pStyle w:val="P68B1DB1-Normal8"/>
              <w:jc w:val="center"/>
              <w:rPr>
                <w:noProof/>
              </w:rPr>
            </w:pPr>
            <w:r>
              <w:rPr>
                <w:noProof/>
              </w:rPr>
              <w:t>M3C2-2</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5D64918" w14:textId="77777777" w:rsidR="004C6421" w:rsidRDefault="009D1962">
            <w:pPr>
              <w:pStyle w:val="P68B1DB1-Normal8"/>
              <w:rPr>
                <w:noProof/>
              </w:rPr>
            </w:pPr>
            <w:r>
              <w:rPr>
                <w:noProof/>
              </w:rPr>
              <w:t>Reforma 1.2 – Konkurencyjne udzielanie koncesji w portach włoskich</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8BEFD66" w14:textId="7AF830EF" w:rsidR="004C6421" w:rsidRDefault="00CC179E">
            <w:pPr>
              <w:pStyle w:val="P68B1DB1-Normal8"/>
              <w:rPr>
                <w:noProof/>
              </w:rPr>
            </w:pPr>
            <w:r>
              <w:rPr>
                <w:noProof/>
              </w:rPr>
              <w:t>Milowy</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20C3088" w14:textId="77777777" w:rsidR="004C6421" w:rsidRDefault="009D1962">
            <w:pPr>
              <w:pStyle w:val="P68B1DB1-Normal8"/>
              <w:rPr>
                <w:noProof/>
              </w:rPr>
            </w:pPr>
            <w:r>
              <w:rPr>
                <w:noProof/>
              </w:rPr>
              <w:t>Wejście w życie rozporządzenia w sprawie koncesji portowych</w:t>
            </w:r>
          </w:p>
        </w:tc>
        <w:tc>
          <w:tcPr>
            <w:tcW w:w="236" w:type="dxa"/>
            <w:tcBorders>
              <w:top w:val="nil"/>
              <w:left w:val="single" w:sz="8" w:space="0" w:color="auto"/>
              <w:bottom w:val="nil"/>
              <w:right w:val="nil"/>
            </w:tcBorders>
            <w:vAlign w:val="center"/>
          </w:tcPr>
          <w:p w14:paraId="38AEC2A0" w14:textId="77777777" w:rsidR="004C6421" w:rsidRDefault="004C6421">
            <w:pPr>
              <w:rPr>
                <w:noProof/>
              </w:rPr>
            </w:pPr>
          </w:p>
        </w:tc>
      </w:tr>
      <w:tr w:rsidR="004C6421" w14:paraId="18B76A96"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038923A" w14:textId="77777777" w:rsidR="004C6421" w:rsidRDefault="009D1962">
            <w:pPr>
              <w:pStyle w:val="P68B1DB1-Normal8"/>
              <w:jc w:val="center"/>
              <w:rPr>
                <w:noProof/>
              </w:rPr>
            </w:pPr>
            <w:r>
              <w:rPr>
                <w:noProof/>
              </w:rPr>
              <w:t>M3C2-4</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54E8B19" w14:textId="77777777" w:rsidR="004C6421" w:rsidRDefault="009D1962">
            <w:pPr>
              <w:pStyle w:val="P68B1DB1-Normal8"/>
              <w:rPr>
                <w:noProof/>
              </w:rPr>
            </w:pPr>
            <w:r>
              <w:rPr>
                <w:noProof/>
              </w:rPr>
              <w:t>Reforma 1.3 – Uproszczenie procedur udzielania zezwoleń dla zakładów prasowania na zimno</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13AF142" w14:textId="1E7A3198" w:rsidR="004C6421" w:rsidRDefault="00CC179E">
            <w:pPr>
              <w:pStyle w:val="P68B1DB1-Normal8"/>
              <w:rPr>
                <w:noProof/>
              </w:rPr>
            </w:pPr>
            <w:r>
              <w:rPr>
                <w:noProof/>
              </w:rPr>
              <w:t>Milowy</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D464D24" w14:textId="77777777" w:rsidR="004C6421" w:rsidRDefault="009D1962">
            <w:pPr>
              <w:pStyle w:val="P68B1DB1-Normal8"/>
              <w:rPr>
                <w:noProof/>
              </w:rPr>
            </w:pPr>
            <w:r>
              <w:rPr>
                <w:noProof/>
              </w:rPr>
              <w:t>Wejście w życie uproszczenia procedur wydawania zezwoleń dla zakładów prasowania na zimno</w:t>
            </w:r>
          </w:p>
        </w:tc>
        <w:tc>
          <w:tcPr>
            <w:tcW w:w="236" w:type="dxa"/>
            <w:tcBorders>
              <w:top w:val="nil"/>
              <w:left w:val="single" w:sz="8" w:space="0" w:color="auto"/>
              <w:bottom w:val="nil"/>
              <w:right w:val="nil"/>
            </w:tcBorders>
            <w:vAlign w:val="center"/>
          </w:tcPr>
          <w:p w14:paraId="4D0A2197" w14:textId="77777777" w:rsidR="004C6421" w:rsidRDefault="004C6421">
            <w:pPr>
              <w:rPr>
                <w:noProof/>
              </w:rPr>
            </w:pPr>
          </w:p>
        </w:tc>
      </w:tr>
      <w:tr w:rsidR="004C6421" w14:paraId="0B48FD9A"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F80AFF8" w14:textId="77777777" w:rsidR="004C6421" w:rsidRDefault="009D1962">
            <w:pPr>
              <w:pStyle w:val="P68B1DB1-Normal8"/>
              <w:jc w:val="center"/>
              <w:rPr>
                <w:noProof/>
              </w:rPr>
            </w:pPr>
            <w:r>
              <w:rPr>
                <w:noProof/>
              </w:rPr>
              <w:t>M4C1-5</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6EB8EC5" w14:textId="77777777" w:rsidR="004C6421" w:rsidRDefault="009D1962">
            <w:pPr>
              <w:pStyle w:val="P68B1DB1-Normal8"/>
              <w:rPr>
                <w:noProof/>
              </w:rPr>
            </w:pPr>
            <w:r>
              <w:rPr>
                <w:noProof/>
              </w:rPr>
              <w:t>Reforma 1.3: Reorganizacja systemu szkolnictwa; Reforma 1.2: Reforma systemu szkolnictwa wyższego kształcenia zawodowego (ITS); Reforma 1.1: Reforma instytutów technicznych i zawodowych; Reforma 1.4: Reforma systemu orientacji</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5D0CE97" w14:textId="77777777" w:rsidR="004C6421" w:rsidRDefault="009D1962">
            <w:pPr>
              <w:pStyle w:val="P68B1DB1-Normal8"/>
              <w:rPr>
                <w:noProof/>
              </w:rPr>
            </w:pPr>
            <w:r>
              <w:rPr>
                <w:noProof/>
              </w:rPr>
              <w:t>Etapy</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6926B72" w14:textId="77777777" w:rsidR="004C6421" w:rsidRDefault="009D1962">
            <w:pPr>
              <w:pStyle w:val="P68B1DB1-Normal8"/>
              <w:rPr>
                <w:noProof/>
              </w:rPr>
            </w:pPr>
            <w:r>
              <w:rPr>
                <w:noProof/>
              </w:rPr>
              <w:t>Wejście w życie reform systemu szkolnictwa podstawowego i średniego w celu poprawy wyników kształcenia</w:t>
            </w:r>
          </w:p>
        </w:tc>
        <w:tc>
          <w:tcPr>
            <w:tcW w:w="236" w:type="dxa"/>
            <w:tcBorders>
              <w:top w:val="nil"/>
              <w:left w:val="single" w:sz="8" w:space="0" w:color="auto"/>
              <w:bottom w:val="nil"/>
              <w:right w:val="nil"/>
            </w:tcBorders>
            <w:vAlign w:val="center"/>
          </w:tcPr>
          <w:p w14:paraId="0A30C02C" w14:textId="77777777" w:rsidR="004C6421" w:rsidRDefault="004C6421">
            <w:pPr>
              <w:rPr>
                <w:noProof/>
              </w:rPr>
            </w:pPr>
          </w:p>
        </w:tc>
      </w:tr>
      <w:tr w:rsidR="004C6421" w14:paraId="29942A32"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A35B778" w14:textId="77777777" w:rsidR="004C6421" w:rsidRDefault="009D1962">
            <w:pPr>
              <w:pStyle w:val="P68B1DB1-Normal8"/>
              <w:jc w:val="center"/>
              <w:rPr>
                <w:noProof/>
              </w:rPr>
            </w:pPr>
            <w:r>
              <w:rPr>
                <w:noProof/>
              </w:rPr>
              <w:t>M4C1-6</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9CC24C0" w14:textId="77777777" w:rsidR="004C6421" w:rsidRDefault="009D1962">
            <w:pPr>
              <w:pStyle w:val="P68B1DB1-Normal8"/>
              <w:rPr>
                <w:noProof/>
              </w:rPr>
            </w:pPr>
            <w:r>
              <w:rPr>
                <w:noProof/>
              </w:rPr>
              <w:t>Reforma 2.2: Szkolnictwo wyższe i ustawiczne szkolenie kadry kierowniczej szkół, nauczycieli, personelu administracyjnego i technicznego</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7AAAF65" w14:textId="50CD55EE" w:rsidR="004C6421" w:rsidRDefault="00CC179E">
            <w:pPr>
              <w:pStyle w:val="P68B1DB1-Normal8"/>
              <w:rPr>
                <w:noProof/>
              </w:rPr>
            </w:pPr>
            <w:r>
              <w:rPr>
                <w:noProof/>
              </w:rPr>
              <w:t>Milowy</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A1780C5" w14:textId="77777777" w:rsidR="004C6421" w:rsidRDefault="009D1962">
            <w:pPr>
              <w:pStyle w:val="P68B1DB1-Normal8"/>
              <w:rPr>
                <w:noProof/>
              </w:rPr>
            </w:pPr>
            <w:r>
              <w:rPr>
                <w:noProof/>
              </w:rPr>
              <w:t>Wejście w życie przepisów mających na celu stworzenie wysokiej jakości systemu szkoleń dla szkół.</w:t>
            </w:r>
          </w:p>
        </w:tc>
        <w:tc>
          <w:tcPr>
            <w:tcW w:w="236" w:type="dxa"/>
            <w:tcBorders>
              <w:top w:val="nil"/>
              <w:left w:val="single" w:sz="8" w:space="0" w:color="auto"/>
              <w:bottom w:val="nil"/>
              <w:right w:val="nil"/>
            </w:tcBorders>
            <w:vAlign w:val="center"/>
          </w:tcPr>
          <w:p w14:paraId="62B3DF8E" w14:textId="77777777" w:rsidR="004C6421" w:rsidRDefault="004C6421">
            <w:pPr>
              <w:rPr>
                <w:noProof/>
              </w:rPr>
            </w:pPr>
          </w:p>
        </w:tc>
      </w:tr>
      <w:tr w:rsidR="004C6421" w14:paraId="66C209C9"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4239150" w14:textId="77777777" w:rsidR="004C6421" w:rsidRDefault="009D1962">
            <w:pPr>
              <w:pStyle w:val="P68B1DB1-Normal8"/>
              <w:jc w:val="center"/>
              <w:rPr>
                <w:noProof/>
              </w:rPr>
            </w:pPr>
            <w:r>
              <w:rPr>
                <w:noProof/>
              </w:rPr>
              <w:t>M4C2-1</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38A7909" w14:textId="77777777" w:rsidR="004C6421" w:rsidRDefault="009D1962">
            <w:pPr>
              <w:pStyle w:val="P68B1DB1-Normal8"/>
              <w:rPr>
                <w:noProof/>
              </w:rPr>
            </w:pPr>
            <w:r>
              <w:rPr>
                <w:noProof/>
              </w:rPr>
              <w:t>Inwestycje 1.2: Finansowanie projektów przedstawianych przez młodych naukowców</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2523959" w14:textId="77777777" w:rsidR="004C6421" w:rsidRDefault="009D1962">
            <w:pPr>
              <w:pStyle w:val="P68B1DB1-Normal8"/>
              <w:rPr>
                <w:noProof/>
              </w:rPr>
            </w:pPr>
            <w:r>
              <w:rPr>
                <w:noProof/>
              </w:rPr>
              <w:t>Cel</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76EAE1A" w14:textId="77777777" w:rsidR="004C6421" w:rsidRDefault="009D1962">
            <w:pPr>
              <w:pStyle w:val="P68B1DB1-Normal8"/>
              <w:rPr>
                <w:noProof/>
              </w:rPr>
            </w:pPr>
            <w:r>
              <w:rPr>
                <w:noProof/>
              </w:rPr>
              <w:t>Liczba studentów, którym przyznano stypendium badawcze</w:t>
            </w:r>
          </w:p>
        </w:tc>
        <w:tc>
          <w:tcPr>
            <w:tcW w:w="236" w:type="dxa"/>
            <w:tcBorders>
              <w:top w:val="nil"/>
              <w:left w:val="single" w:sz="8" w:space="0" w:color="auto"/>
              <w:bottom w:val="nil"/>
              <w:right w:val="nil"/>
            </w:tcBorders>
            <w:vAlign w:val="center"/>
          </w:tcPr>
          <w:p w14:paraId="5C19D9B6" w14:textId="77777777" w:rsidR="004C6421" w:rsidRDefault="004C6421">
            <w:pPr>
              <w:rPr>
                <w:noProof/>
              </w:rPr>
            </w:pPr>
          </w:p>
        </w:tc>
      </w:tr>
      <w:tr w:rsidR="004C6421" w14:paraId="770F2768"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CFE48B9" w14:textId="77777777" w:rsidR="004C6421" w:rsidRDefault="009D1962">
            <w:pPr>
              <w:pStyle w:val="P68B1DB1-Normal8"/>
              <w:jc w:val="center"/>
              <w:rPr>
                <w:noProof/>
              </w:rPr>
            </w:pPr>
            <w:r>
              <w:rPr>
                <w:noProof/>
              </w:rPr>
              <w:t xml:space="preserve">M5C1-2 </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238BFD8" w14:textId="77777777" w:rsidR="004C6421" w:rsidRDefault="009D1962">
            <w:pPr>
              <w:pStyle w:val="P68B1DB1-Normal8"/>
              <w:rPr>
                <w:noProof/>
              </w:rPr>
            </w:pPr>
            <w:r>
              <w:rPr>
                <w:noProof/>
              </w:rPr>
              <w:t>Reforma 1 – aktywna polityka rynku pracy i szkolenie zawodowe</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62484C1" w14:textId="706670C3" w:rsidR="004C6421" w:rsidRDefault="00CC179E">
            <w:pPr>
              <w:pStyle w:val="P68B1DB1-Normal8"/>
              <w:rPr>
                <w:noProof/>
              </w:rPr>
            </w:pPr>
            <w:r>
              <w:rPr>
                <w:noProof/>
              </w:rPr>
              <w:t>Milowy</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205BE4D" w14:textId="77777777" w:rsidR="004C6421" w:rsidRDefault="009D1962">
            <w:pPr>
              <w:pStyle w:val="P68B1DB1-Normal8"/>
              <w:rPr>
                <w:noProof/>
              </w:rPr>
            </w:pPr>
            <w:r>
              <w:rPr>
                <w:noProof/>
              </w:rPr>
              <w:t xml:space="preserve">Wejście w życie na szczeblu regionalnym wszystkich planów dotyczących publicznych służb zatrudnienia  </w:t>
            </w:r>
          </w:p>
        </w:tc>
        <w:tc>
          <w:tcPr>
            <w:tcW w:w="236" w:type="dxa"/>
            <w:tcBorders>
              <w:top w:val="nil"/>
              <w:left w:val="single" w:sz="8" w:space="0" w:color="auto"/>
              <w:bottom w:val="nil"/>
              <w:right w:val="nil"/>
            </w:tcBorders>
            <w:vAlign w:val="center"/>
          </w:tcPr>
          <w:p w14:paraId="416266D1" w14:textId="77777777" w:rsidR="004C6421" w:rsidRDefault="004C6421">
            <w:pPr>
              <w:rPr>
                <w:noProof/>
              </w:rPr>
            </w:pPr>
          </w:p>
        </w:tc>
      </w:tr>
      <w:tr w:rsidR="004C6421" w14:paraId="19D7DDEA"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B67A590" w14:textId="77777777" w:rsidR="004C6421" w:rsidRDefault="009D1962">
            <w:pPr>
              <w:pStyle w:val="P68B1DB1-Normal8"/>
              <w:jc w:val="center"/>
              <w:rPr>
                <w:noProof/>
              </w:rPr>
            </w:pPr>
            <w:r>
              <w:rPr>
                <w:noProof/>
              </w:rPr>
              <w:t xml:space="preserve">M5C1-6 </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24744A0" w14:textId="77777777" w:rsidR="004C6421" w:rsidRDefault="009D1962">
            <w:pPr>
              <w:pStyle w:val="P68B1DB1-Normal8"/>
              <w:rPr>
                <w:noProof/>
              </w:rPr>
            </w:pPr>
            <w:r>
              <w:rPr>
                <w:noProof/>
              </w:rPr>
              <w:t xml:space="preserve">Inwestycje 1 – Wzmocnienie publicznych służb zatrudnienia </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3209A9F" w14:textId="77777777" w:rsidR="004C6421" w:rsidRDefault="009D1962">
            <w:pPr>
              <w:pStyle w:val="P68B1DB1-Normal8"/>
              <w:rPr>
                <w:noProof/>
              </w:rPr>
            </w:pPr>
            <w:r>
              <w:rPr>
                <w:noProof/>
              </w:rPr>
              <w:t>Cel</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4D8A034" w14:textId="77777777" w:rsidR="004C6421" w:rsidRDefault="009D1962">
            <w:pPr>
              <w:pStyle w:val="P68B1DB1-Normal8"/>
              <w:rPr>
                <w:noProof/>
              </w:rPr>
            </w:pPr>
            <w:r>
              <w:rPr>
                <w:noProof/>
              </w:rPr>
              <w:t>Publiczne służby zatrudnienia realizują działania przewidziane w planie wzmocnienia w okresie trzech lat 2021–2023</w:t>
            </w:r>
          </w:p>
        </w:tc>
        <w:tc>
          <w:tcPr>
            <w:tcW w:w="236" w:type="dxa"/>
            <w:tcBorders>
              <w:top w:val="nil"/>
              <w:left w:val="single" w:sz="8" w:space="0" w:color="auto"/>
              <w:bottom w:val="nil"/>
              <w:right w:val="nil"/>
            </w:tcBorders>
            <w:vAlign w:val="center"/>
          </w:tcPr>
          <w:p w14:paraId="0586A796" w14:textId="77777777" w:rsidR="004C6421" w:rsidRDefault="004C6421">
            <w:pPr>
              <w:rPr>
                <w:noProof/>
              </w:rPr>
            </w:pPr>
          </w:p>
        </w:tc>
      </w:tr>
      <w:tr w:rsidR="004C6421" w14:paraId="266242A9"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9692B3C" w14:textId="77777777" w:rsidR="004C6421" w:rsidRDefault="009D1962">
            <w:pPr>
              <w:pStyle w:val="P68B1DB1-Normal8"/>
              <w:jc w:val="center"/>
              <w:rPr>
                <w:noProof/>
              </w:rPr>
            </w:pPr>
            <w:r>
              <w:rPr>
                <w:noProof/>
              </w:rPr>
              <w:t xml:space="preserve">M5C1-8 </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2AC4C61" w14:textId="77777777" w:rsidR="004C6421" w:rsidRDefault="009D1962">
            <w:pPr>
              <w:pStyle w:val="P68B1DB1-Normal8"/>
              <w:rPr>
                <w:noProof/>
              </w:rPr>
            </w:pPr>
            <w:r>
              <w:rPr>
                <w:noProof/>
              </w:rPr>
              <w:t>Reforma 2 – Praca nierejestrowana</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6FAE5D4" w14:textId="2500D8DC" w:rsidR="004C6421" w:rsidRDefault="00CC179E">
            <w:pPr>
              <w:pStyle w:val="P68B1DB1-Normal8"/>
              <w:rPr>
                <w:noProof/>
              </w:rPr>
            </w:pPr>
            <w:r>
              <w:rPr>
                <w:noProof/>
              </w:rPr>
              <w:t>Milowy</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24FBF86" w14:textId="77777777" w:rsidR="004C6421" w:rsidRDefault="009D1962">
            <w:pPr>
              <w:pStyle w:val="P68B1DB1-Normal8"/>
              <w:rPr>
                <w:noProof/>
              </w:rPr>
            </w:pPr>
            <w:r>
              <w:rPr>
                <w:noProof/>
              </w:rPr>
              <w:t>Wejście w życie krajowego planu i planu wdrożenia planu działania na rzecz zwalczania pracy nierejestrowanej we wszystkich sektorach gospodarki.</w:t>
            </w:r>
          </w:p>
        </w:tc>
        <w:tc>
          <w:tcPr>
            <w:tcW w:w="236" w:type="dxa"/>
            <w:tcBorders>
              <w:top w:val="nil"/>
              <w:left w:val="single" w:sz="8" w:space="0" w:color="auto"/>
              <w:bottom w:val="nil"/>
              <w:right w:val="nil"/>
            </w:tcBorders>
            <w:vAlign w:val="center"/>
          </w:tcPr>
          <w:p w14:paraId="6873326C" w14:textId="77777777" w:rsidR="004C6421" w:rsidRDefault="004C6421">
            <w:pPr>
              <w:rPr>
                <w:noProof/>
              </w:rPr>
            </w:pPr>
          </w:p>
        </w:tc>
      </w:tr>
      <w:tr w:rsidR="004C6421" w14:paraId="62A77519"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2A416AD" w14:textId="77777777" w:rsidR="004C6421" w:rsidRDefault="009D1962">
            <w:pPr>
              <w:pStyle w:val="P68B1DB1-Normal8"/>
              <w:jc w:val="center"/>
              <w:rPr>
                <w:noProof/>
              </w:rPr>
            </w:pPr>
            <w:r>
              <w:rPr>
                <w:noProof/>
              </w:rPr>
              <w:t>M5C1-12</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C06B70E" w14:textId="77777777" w:rsidR="004C6421" w:rsidRDefault="009D1962">
            <w:pPr>
              <w:pStyle w:val="P68B1DB1-Normal8"/>
              <w:rPr>
                <w:noProof/>
              </w:rPr>
            </w:pPr>
            <w:r>
              <w:rPr>
                <w:noProof/>
              </w:rPr>
              <w:t>Inwestycje 2 – System certyfikacji równouprawnienia płci</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8A93D25" w14:textId="2C8C38AE" w:rsidR="004C6421" w:rsidRDefault="00CC179E">
            <w:pPr>
              <w:pStyle w:val="P68B1DB1-Normal8"/>
              <w:rPr>
                <w:noProof/>
              </w:rPr>
            </w:pPr>
            <w:r>
              <w:rPr>
                <w:noProof/>
              </w:rPr>
              <w:t>Milowy</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F9BA2F7" w14:textId="77777777" w:rsidR="004C6421" w:rsidRDefault="009D1962">
            <w:pPr>
              <w:pStyle w:val="P68B1DB1-Normal8"/>
              <w:rPr>
                <w:noProof/>
              </w:rPr>
            </w:pPr>
            <w:r>
              <w:rPr>
                <w:noProof/>
              </w:rPr>
              <w:t xml:space="preserve">Wejście w życie systemu certyfikacji równości płci i towarzyszących mu mechanizmów zachęt dla przedsiębiorstw </w:t>
            </w:r>
          </w:p>
        </w:tc>
        <w:tc>
          <w:tcPr>
            <w:tcW w:w="236" w:type="dxa"/>
            <w:tcBorders>
              <w:top w:val="nil"/>
              <w:left w:val="single" w:sz="8" w:space="0" w:color="auto"/>
              <w:bottom w:val="nil"/>
              <w:right w:val="nil"/>
            </w:tcBorders>
            <w:vAlign w:val="center"/>
          </w:tcPr>
          <w:p w14:paraId="60C78E35" w14:textId="77777777" w:rsidR="004C6421" w:rsidRDefault="004C6421">
            <w:pPr>
              <w:rPr>
                <w:noProof/>
              </w:rPr>
            </w:pPr>
          </w:p>
        </w:tc>
      </w:tr>
      <w:tr w:rsidR="004C6421" w14:paraId="3D2B6CD4"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D4424DC" w14:textId="77777777" w:rsidR="004C6421" w:rsidRDefault="009D1962">
            <w:pPr>
              <w:pStyle w:val="P68B1DB1-Normal8"/>
              <w:jc w:val="center"/>
              <w:rPr>
                <w:noProof/>
              </w:rPr>
            </w:pPr>
            <w:r>
              <w:rPr>
                <w:noProof/>
              </w:rPr>
              <w:t>M5C2-7</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A46F186" w14:textId="77777777" w:rsidR="004C6421" w:rsidRDefault="009D1962">
            <w:pPr>
              <w:pStyle w:val="P68B1DB1-Normal8"/>
              <w:rPr>
                <w:noProof/>
              </w:rPr>
            </w:pPr>
            <w:r>
              <w:rPr>
                <w:noProof/>
              </w:rPr>
              <w:t>Inwestycje 2 – Wzory autonomii dla osób niepełnosprawnych</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EAC8736" w14:textId="77777777" w:rsidR="004C6421" w:rsidRDefault="009D1962">
            <w:pPr>
              <w:pStyle w:val="P68B1DB1-Normal8"/>
              <w:rPr>
                <w:noProof/>
              </w:rPr>
            </w:pPr>
            <w:r>
              <w:rPr>
                <w:noProof/>
              </w:rPr>
              <w:t>Cel</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BCBDAD0" w14:textId="77777777" w:rsidR="004C6421" w:rsidRDefault="009D1962">
            <w:pPr>
              <w:pStyle w:val="P68B1DB1-Normal8"/>
              <w:rPr>
                <w:noProof/>
              </w:rPr>
            </w:pPr>
            <w:r>
              <w:rPr>
                <w:noProof/>
              </w:rPr>
              <w:t>Okręgi społeczne zrealizowały co najmniej jeden projekt związany z renowacją pomieszczeń mieszkalnych lub udostępnieniem urządzeń ICT osobom niepełnosprawnym, któremu towarzyszy szkolenie w zakresie umiejętności cyfrowych</w:t>
            </w:r>
          </w:p>
        </w:tc>
        <w:tc>
          <w:tcPr>
            <w:tcW w:w="236" w:type="dxa"/>
            <w:tcBorders>
              <w:top w:val="nil"/>
              <w:left w:val="single" w:sz="8" w:space="0" w:color="auto"/>
              <w:bottom w:val="nil"/>
              <w:right w:val="nil"/>
            </w:tcBorders>
            <w:vAlign w:val="center"/>
          </w:tcPr>
          <w:p w14:paraId="3696403E" w14:textId="77777777" w:rsidR="004C6421" w:rsidRDefault="004C6421">
            <w:pPr>
              <w:rPr>
                <w:noProof/>
              </w:rPr>
            </w:pPr>
          </w:p>
        </w:tc>
      </w:tr>
      <w:tr w:rsidR="004C6421" w14:paraId="7B1536C7"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5FAE6D8" w14:textId="77777777" w:rsidR="004C6421" w:rsidRDefault="009D1962">
            <w:pPr>
              <w:pStyle w:val="P68B1DB1-Normal8"/>
              <w:jc w:val="center"/>
              <w:rPr>
                <w:noProof/>
              </w:rPr>
            </w:pPr>
            <w:r>
              <w:rPr>
                <w:noProof/>
              </w:rPr>
              <w:t>M5C3-1</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576C08A" w14:textId="77777777" w:rsidR="004C6421" w:rsidRDefault="009D1962">
            <w:pPr>
              <w:pStyle w:val="P68B1DB1-Normal8"/>
              <w:rPr>
                <w:noProof/>
              </w:rPr>
            </w:pPr>
            <w:r>
              <w:rPr>
                <w:noProof/>
              </w:rPr>
              <w:t>Inwestycja 1.1.1: Obszary wewnętrzne – Wzmocnienie usług społecznych i infrastruktury społecznej</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7C54053" w14:textId="1A672D00" w:rsidR="004C6421" w:rsidRDefault="00CC179E">
            <w:pPr>
              <w:pStyle w:val="P68B1DB1-Normal8"/>
              <w:rPr>
                <w:noProof/>
              </w:rPr>
            </w:pPr>
            <w:r>
              <w:rPr>
                <w:noProof/>
              </w:rPr>
              <w:t>Milowy</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541BA51" w14:textId="0A99F22A" w:rsidR="004C6421" w:rsidRDefault="009D1962">
            <w:pPr>
              <w:rPr>
                <w:noProof/>
              </w:rPr>
            </w:pPr>
            <w:r>
              <w:rPr>
                <w:noProof/>
                <w:color w:val="006100"/>
                <w:sz w:val="20"/>
              </w:rPr>
              <w:t>Udzielenie zamówienia na interwencje mające na celu poprawę usług i infrastruktury społecznej na obszarach wewnętrznych oraz wsparcie aptek w gminach o liczbie mieszkańców poniżej 3000</w:t>
            </w:r>
          </w:p>
        </w:tc>
        <w:tc>
          <w:tcPr>
            <w:tcW w:w="236" w:type="dxa"/>
            <w:tcBorders>
              <w:top w:val="nil"/>
              <w:left w:val="single" w:sz="8" w:space="0" w:color="auto"/>
              <w:bottom w:val="nil"/>
              <w:right w:val="nil"/>
            </w:tcBorders>
            <w:vAlign w:val="center"/>
          </w:tcPr>
          <w:p w14:paraId="2595B388" w14:textId="77777777" w:rsidR="004C6421" w:rsidRDefault="004C6421">
            <w:pPr>
              <w:rPr>
                <w:noProof/>
              </w:rPr>
            </w:pPr>
          </w:p>
        </w:tc>
      </w:tr>
      <w:tr w:rsidR="004C6421" w14:paraId="7E444A2C"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7E37058" w14:textId="77777777" w:rsidR="004C6421" w:rsidRDefault="009D1962">
            <w:pPr>
              <w:pStyle w:val="P68B1DB1-Normal8"/>
              <w:jc w:val="center"/>
              <w:rPr>
                <w:noProof/>
              </w:rPr>
            </w:pPr>
            <w:r>
              <w:rPr>
                <w:noProof/>
              </w:rPr>
              <w:t>M6C2-1</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B59CA24" w14:textId="77777777" w:rsidR="004C6421" w:rsidRDefault="009D1962">
            <w:pPr>
              <w:pStyle w:val="P68B1DB1-Normal8"/>
              <w:rPr>
                <w:noProof/>
              </w:rPr>
            </w:pPr>
            <w:r>
              <w:rPr>
                <w:noProof/>
              </w:rPr>
              <w:t>Reforma 1: Przegląd i aktualizacja obecnych ram prawnych instytutów naukowych ds. szpitali i opieki (IRCCS) oraz polityki badawczej Ministerstwa Zdrowia w celu wzmocnienia powiązań między badaniami, innowacjami i opieką zdrowotną</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EACAFC0" w14:textId="03361EEA" w:rsidR="004C6421" w:rsidRDefault="00CC179E">
            <w:pPr>
              <w:pStyle w:val="P68B1DB1-Normal8"/>
              <w:rPr>
                <w:noProof/>
              </w:rPr>
            </w:pPr>
            <w:r>
              <w:rPr>
                <w:noProof/>
              </w:rPr>
              <w:t>Milowy</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1DF4F82" w14:textId="77777777" w:rsidR="004C6421" w:rsidRDefault="009D1962">
            <w:pPr>
              <w:pStyle w:val="P68B1DB1-Normal8"/>
              <w:rPr>
                <w:noProof/>
              </w:rPr>
            </w:pPr>
            <w:r>
              <w:rPr>
                <w:noProof/>
              </w:rPr>
              <w:t>Wejście w życie dekretu ustawodawczego przewidującego reorganizację rozporządzeń dotyczących naukowych instytutów hospitalizacji i opieki (IRCSS)</w:t>
            </w:r>
          </w:p>
        </w:tc>
        <w:tc>
          <w:tcPr>
            <w:tcW w:w="236" w:type="dxa"/>
            <w:tcBorders>
              <w:top w:val="nil"/>
              <w:left w:val="single" w:sz="8" w:space="0" w:color="auto"/>
              <w:bottom w:val="nil"/>
              <w:right w:val="nil"/>
            </w:tcBorders>
            <w:vAlign w:val="center"/>
          </w:tcPr>
          <w:p w14:paraId="1EFA2AAF" w14:textId="77777777" w:rsidR="004C6421" w:rsidRDefault="004C6421">
            <w:pPr>
              <w:rPr>
                <w:noProof/>
              </w:rPr>
            </w:pPr>
          </w:p>
        </w:tc>
      </w:tr>
      <w:tr w:rsidR="004C6421" w14:paraId="3FCEE86E" w14:textId="77777777">
        <w:trPr>
          <w:trHeight w:val="300"/>
        </w:trPr>
        <w:tc>
          <w:tcPr>
            <w:tcW w:w="139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1CDE6895" w14:textId="77777777" w:rsidR="004C6421" w:rsidRDefault="009D1962">
            <w:pPr>
              <w:pStyle w:val="P68B1DB1-Normal8"/>
              <w:jc w:val="center"/>
              <w:rPr>
                <w:noProof/>
              </w:rPr>
            </w:pPr>
            <w:r>
              <w:rPr>
                <w:noProof/>
              </w:rPr>
              <w:t xml:space="preserve"> </w:t>
            </w:r>
          </w:p>
        </w:tc>
        <w:tc>
          <w:tcPr>
            <w:tcW w:w="354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1B5ED381" w14:textId="77777777" w:rsidR="004C6421" w:rsidRDefault="009D1962">
            <w:pPr>
              <w:pStyle w:val="P68B1DB1-Normal8"/>
              <w:rPr>
                <w:noProof/>
              </w:rPr>
            </w:pPr>
            <w:r>
              <w:rPr>
                <w:noProof/>
              </w:rPr>
              <w:t xml:space="preserve"> </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1FE4B842" w14:textId="77777777" w:rsidR="004C6421" w:rsidRDefault="009D1962">
            <w:pPr>
              <w:pStyle w:val="P68B1DB1-Normal8"/>
              <w:rPr>
                <w:noProof/>
              </w:rPr>
            </w:pPr>
            <w:r>
              <w:rPr>
                <w:noProof/>
              </w:rPr>
              <w:t>Kwota transzy</w:t>
            </w:r>
          </w:p>
        </w:tc>
        <w:tc>
          <w:tcPr>
            <w:tcW w:w="316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247D7EE4" w14:textId="2EDDB5F3" w:rsidR="004C6421" w:rsidRDefault="009D1962">
            <w:pPr>
              <w:rPr>
                <w:noProof/>
              </w:rPr>
            </w:pPr>
            <w:r>
              <w:rPr>
                <w:noProof/>
                <w:color w:val="006100"/>
                <w:sz w:val="20"/>
              </w:rPr>
              <w:t>11494252874 EUR</w:t>
            </w:r>
            <w:r>
              <w:rPr>
                <w:noProof/>
                <w:sz w:val="23"/>
              </w:rPr>
              <w:t xml:space="preserve">  </w:t>
            </w:r>
          </w:p>
        </w:tc>
        <w:tc>
          <w:tcPr>
            <w:tcW w:w="236" w:type="dxa"/>
            <w:tcBorders>
              <w:top w:val="nil"/>
              <w:left w:val="single" w:sz="8" w:space="0" w:color="auto"/>
              <w:bottom w:val="nil"/>
              <w:right w:val="nil"/>
            </w:tcBorders>
            <w:vAlign w:val="center"/>
          </w:tcPr>
          <w:p w14:paraId="7D79AC2B" w14:textId="77777777" w:rsidR="004C6421" w:rsidRDefault="004C6421">
            <w:pPr>
              <w:rPr>
                <w:noProof/>
              </w:rPr>
            </w:pPr>
          </w:p>
        </w:tc>
      </w:tr>
    </w:tbl>
    <w:p w14:paraId="0E6E119F" w14:textId="77777777" w:rsidR="004C6421" w:rsidRDefault="004C6421">
      <w:pPr>
        <w:pStyle w:val="ListParagraph"/>
        <w:spacing w:before="0" w:after="0" w:line="279" w:lineRule="auto"/>
        <w:ind w:left="850"/>
        <w:rPr>
          <w:noProof/>
        </w:rPr>
      </w:pPr>
    </w:p>
    <w:p w14:paraId="7FB792B5" w14:textId="5B81678A" w:rsidR="004C6421" w:rsidRDefault="009D1962">
      <w:pPr>
        <w:pStyle w:val="ListParagraph"/>
        <w:numPr>
          <w:ilvl w:val="1"/>
          <w:numId w:val="145"/>
        </w:numPr>
        <w:spacing w:before="0" w:after="0" w:line="279" w:lineRule="auto"/>
        <w:ind w:left="850" w:hanging="850"/>
        <w:rPr>
          <w:noProof/>
        </w:rPr>
      </w:pPr>
      <w:r>
        <w:rPr>
          <w:noProof/>
        </w:rPr>
        <w:t>Czwarta rata (wsparcie bezzwrotne):</w:t>
      </w:r>
    </w:p>
    <w:tbl>
      <w:tblPr>
        <w:tblW w:w="9593" w:type="dxa"/>
        <w:tblInd w:w="120" w:type="dxa"/>
        <w:tblLayout w:type="fixed"/>
        <w:tblLook w:val="04A0" w:firstRow="1" w:lastRow="0" w:firstColumn="1" w:lastColumn="0" w:noHBand="0" w:noVBand="1"/>
      </w:tblPr>
      <w:tblGrid>
        <w:gridCol w:w="1435"/>
        <w:gridCol w:w="3543"/>
        <w:gridCol w:w="1276"/>
        <w:gridCol w:w="3103"/>
        <w:gridCol w:w="236"/>
      </w:tblGrid>
      <w:tr w:rsidR="004C6421" w14:paraId="11BB9926" w14:textId="77777777">
        <w:trPr>
          <w:trHeight w:val="900"/>
          <w:tblHeader/>
        </w:trPr>
        <w:tc>
          <w:tcPr>
            <w:tcW w:w="1435" w:type="dxa"/>
            <w:vMerge w:val="restart"/>
            <w:tcBorders>
              <w:top w:val="single" w:sz="4" w:space="0" w:color="auto"/>
              <w:left w:val="single" w:sz="4" w:space="0" w:color="auto"/>
              <w:bottom w:val="single" w:sz="4" w:space="0" w:color="auto"/>
              <w:right w:val="single" w:sz="8" w:space="0" w:color="auto"/>
            </w:tcBorders>
            <w:shd w:val="clear" w:color="auto" w:fill="BDD7EE"/>
            <w:tcMar>
              <w:left w:w="108" w:type="dxa"/>
              <w:right w:w="108" w:type="dxa"/>
            </w:tcMar>
            <w:vAlign w:val="center"/>
          </w:tcPr>
          <w:p w14:paraId="40842649" w14:textId="77777777" w:rsidR="004C6421" w:rsidRDefault="009D1962">
            <w:pPr>
              <w:pStyle w:val="P68B1DB1-Normal36"/>
              <w:jc w:val="center"/>
              <w:rPr>
                <w:noProof/>
              </w:rPr>
            </w:pPr>
            <w:r>
              <w:rPr>
                <w:noProof/>
              </w:rPr>
              <w:t>Numer porządkowy</w:t>
            </w:r>
          </w:p>
        </w:tc>
        <w:tc>
          <w:tcPr>
            <w:tcW w:w="3543" w:type="dxa"/>
            <w:vMerge w:val="restart"/>
            <w:tcBorders>
              <w:top w:val="single" w:sz="4" w:space="0" w:color="auto"/>
              <w:left w:val="single" w:sz="8" w:space="0" w:color="auto"/>
              <w:bottom w:val="single" w:sz="4" w:space="0" w:color="auto"/>
              <w:right w:val="single" w:sz="8" w:space="0" w:color="auto"/>
            </w:tcBorders>
            <w:shd w:val="clear" w:color="auto" w:fill="BDD7EE"/>
            <w:tcMar>
              <w:left w:w="108" w:type="dxa"/>
              <w:right w:w="108" w:type="dxa"/>
            </w:tcMar>
            <w:vAlign w:val="center"/>
          </w:tcPr>
          <w:p w14:paraId="28BD942A" w14:textId="77777777" w:rsidR="004C6421" w:rsidRDefault="009D1962">
            <w:pPr>
              <w:pStyle w:val="P68B1DB1-Normal36"/>
              <w:jc w:val="center"/>
              <w:rPr>
                <w:noProof/>
              </w:rPr>
            </w:pPr>
            <w:r>
              <w:rPr>
                <w:noProof/>
              </w:rPr>
              <w:t>Powiązane działanie (reforma lub inwestycja)</w:t>
            </w:r>
          </w:p>
        </w:tc>
        <w:tc>
          <w:tcPr>
            <w:tcW w:w="1276" w:type="dxa"/>
            <w:vMerge w:val="restart"/>
            <w:tcBorders>
              <w:top w:val="single" w:sz="4" w:space="0" w:color="auto"/>
              <w:left w:val="single" w:sz="8" w:space="0" w:color="auto"/>
              <w:bottom w:val="single" w:sz="4" w:space="0" w:color="auto"/>
              <w:right w:val="single" w:sz="8" w:space="0" w:color="auto"/>
            </w:tcBorders>
            <w:shd w:val="clear" w:color="auto" w:fill="BDD7EE"/>
            <w:tcMar>
              <w:left w:w="108" w:type="dxa"/>
              <w:right w:w="108" w:type="dxa"/>
            </w:tcMar>
            <w:vAlign w:val="center"/>
          </w:tcPr>
          <w:p w14:paraId="0BE9DA57" w14:textId="77777777" w:rsidR="004C6421" w:rsidRDefault="009D1962">
            <w:pPr>
              <w:pStyle w:val="P68B1DB1-Normal36"/>
              <w:jc w:val="center"/>
              <w:rPr>
                <w:noProof/>
              </w:rPr>
            </w:pPr>
            <w:r>
              <w:rPr>
                <w:noProof/>
              </w:rPr>
              <w:t>Kamień milowy/wartość docelowa</w:t>
            </w:r>
          </w:p>
        </w:tc>
        <w:tc>
          <w:tcPr>
            <w:tcW w:w="3103" w:type="dxa"/>
            <w:vMerge w:val="restart"/>
            <w:tcBorders>
              <w:top w:val="single" w:sz="4" w:space="0" w:color="auto"/>
              <w:left w:val="single" w:sz="8" w:space="0" w:color="auto"/>
              <w:bottom w:val="single" w:sz="4" w:space="0" w:color="auto"/>
              <w:right w:val="single" w:sz="4" w:space="0" w:color="auto"/>
            </w:tcBorders>
            <w:shd w:val="clear" w:color="auto" w:fill="BDD7EE"/>
            <w:tcMar>
              <w:left w:w="108" w:type="dxa"/>
              <w:right w:w="108" w:type="dxa"/>
            </w:tcMar>
            <w:vAlign w:val="center"/>
          </w:tcPr>
          <w:p w14:paraId="2569EF3C" w14:textId="77777777" w:rsidR="004C6421" w:rsidRDefault="009D1962">
            <w:pPr>
              <w:pStyle w:val="P68B1DB1-Normal36"/>
              <w:jc w:val="center"/>
              <w:rPr>
                <w:noProof/>
              </w:rPr>
            </w:pPr>
            <w:r>
              <w:rPr>
                <w:noProof/>
              </w:rPr>
              <w:t>Nazwa</w:t>
            </w:r>
          </w:p>
        </w:tc>
        <w:tc>
          <w:tcPr>
            <w:tcW w:w="236" w:type="dxa"/>
            <w:tcBorders>
              <w:top w:val="nil"/>
              <w:left w:val="single" w:sz="4" w:space="0" w:color="auto"/>
              <w:bottom w:val="nil"/>
              <w:right w:val="nil"/>
            </w:tcBorders>
            <w:vAlign w:val="center"/>
          </w:tcPr>
          <w:p w14:paraId="6C0B8A0A" w14:textId="77777777" w:rsidR="004C6421" w:rsidRDefault="004C6421">
            <w:pPr>
              <w:rPr>
                <w:noProof/>
              </w:rPr>
            </w:pPr>
          </w:p>
        </w:tc>
      </w:tr>
      <w:tr w:rsidR="004C6421" w14:paraId="79D0E721" w14:textId="77777777">
        <w:trPr>
          <w:trHeight w:val="510"/>
        </w:trPr>
        <w:tc>
          <w:tcPr>
            <w:tcW w:w="1435" w:type="dxa"/>
            <w:vMerge/>
            <w:tcBorders>
              <w:top w:val="single" w:sz="8" w:space="0" w:color="auto"/>
              <w:left w:val="single" w:sz="4" w:space="0" w:color="auto"/>
              <w:bottom w:val="single" w:sz="4" w:space="0" w:color="auto"/>
              <w:right w:val="single" w:sz="8" w:space="0" w:color="auto"/>
            </w:tcBorders>
            <w:vAlign w:val="center"/>
          </w:tcPr>
          <w:p w14:paraId="64EEEF7D" w14:textId="77777777" w:rsidR="004C6421" w:rsidRDefault="004C6421">
            <w:pPr>
              <w:rPr>
                <w:noProof/>
              </w:rPr>
            </w:pPr>
          </w:p>
        </w:tc>
        <w:tc>
          <w:tcPr>
            <w:tcW w:w="3543" w:type="dxa"/>
            <w:vMerge/>
            <w:tcBorders>
              <w:top w:val="single" w:sz="8" w:space="0" w:color="auto"/>
              <w:left w:val="single" w:sz="8" w:space="0" w:color="auto"/>
              <w:bottom w:val="single" w:sz="4" w:space="0" w:color="auto"/>
              <w:right w:val="single" w:sz="8" w:space="0" w:color="auto"/>
            </w:tcBorders>
            <w:vAlign w:val="center"/>
          </w:tcPr>
          <w:p w14:paraId="3D668074" w14:textId="77777777" w:rsidR="004C6421" w:rsidRDefault="004C6421">
            <w:pPr>
              <w:rPr>
                <w:noProof/>
              </w:rPr>
            </w:pPr>
          </w:p>
        </w:tc>
        <w:tc>
          <w:tcPr>
            <w:tcW w:w="1276" w:type="dxa"/>
            <w:vMerge/>
            <w:tcBorders>
              <w:top w:val="single" w:sz="8" w:space="0" w:color="auto"/>
              <w:left w:val="single" w:sz="8" w:space="0" w:color="auto"/>
              <w:bottom w:val="single" w:sz="4" w:space="0" w:color="auto"/>
              <w:right w:val="single" w:sz="8" w:space="0" w:color="auto"/>
            </w:tcBorders>
            <w:vAlign w:val="center"/>
          </w:tcPr>
          <w:p w14:paraId="205AA727" w14:textId="77777777" w:rsidR="004C6421" w:rsidRDefault="004C6421">
            <w:pPr>
              <w:rPr>
                <w:noProof/>
              </w:rPr>
            </w:pPr>
          </w:p>
        </w:tc>
        <w:tc>
          <w:tcPr>
            <w:tcW w:w="3103" w:type="dxa"/>
            <w:vMerge/>
            <w:tcBorders>
              <w:top w:val="single" w:sz="8" w:space="0" w:color="auto"/>
              <w:left w:val="single" w:sz="8" w:space="0" w:color="auto"/>
              <w:bottom w:val="single" w:sz="4" w:space="0" w:color="auto"/>
              <w:right w:val="single" w:sz="4" w:space="0" w:color="auto"/>
            </w:tcBorders>
            <w:vAlign w:val="center"/>
          </w:tcPr>
          <w:p w14:paraId="50CB41CF" w14:textId="77777777" w:rsidR="004C6421" w:rsidRDefault="004C6421">
            <w:pPr>
              <w:rPr>
                <w:noProof/>
              </w:rPr>
            </w:pPr>
          </w:p>
        </w:tc>
        <w:tc>
          <w:tcPr>
            <w:tcW w:w="236" w:type="dxa"/>
            <w:tcBorders>
              <w:top w:val="nil"/>
              <w:left w:val="single" w:sz="4" w:space="0" w:color="auto"/>
              <w:bottom w:val="nil"/>
              <w:right w:val="nil"/>
            </w:tcBorders>
            <w:vAlign w:val="center"/>
          </w:tcPr>
          <w:p w14:paraId="20A87659" w14:textId="77777777" w:rsidR="004C6421" w:rsidRDefault="004C6421">
            <w:pPr>
              <w:rPr>
                <w:noProof/>
              </w:rPr>
            </w:pPr>
          </w:p>
        </w:tc>
      </w:tr>
      <w:tr w:rsidR="004C6421" w14:paraId="6302F170" w14:textId="77777777">
        <w:trPr>
          <w:trHeight w:val="300"/>
        </w:trPr>
        <w:tc>
          <w:tcPr>
            <w:tcW w:w="1435"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E3FE309" w14:textId="77777777" w:rsidR="004C6421" w:rsidRDefault="009D1962">
            <w:pPr>
              <w:pStyle w:val="P68B1DB1-Normal8"/>
              <w:jc w:val="center"/>
              <w:rPr>
                <w:noProof/>
              </w:rPr>
            </w:pPr>
            <w:r>
              <w:rPr>
                <w:noProof/>
              </w:rPr>
              <w:t>M1C1-11</w:t>
            </w:r>
          </w:p>
        </w:tc>
        <w:tc>
          <w:tcPr>
            <w:tcW w:w="3543"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3F5A876" w14:textId="77777777" w:rsidR="004C6421" w:rsidRDefault="009D1962">
            <w:pPr>
              <w:pStyle w:val="P68B1DB1-Normal8"/>
              <w:rPr>
                <w:noProof/>
              </w:rPr>
            </w:pPr>
            <w:r>
              <w:rPr>
                <w:noProof/>
              </w:rPr>
              <w:t>Inwestycje 1.6.6: Cyfryzacja policji finansowej</w:t>
            </w:r>
          </w:p>
        </w:tc>
        <w:tc>
          <w:tcPr>
            <w:tcW w:w="1276"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24C88B1" w14:textId="77777777" w:rsidR="004C6421" w:rsidRDefault="009D1962">
            <w:pPr>
              <w:pStyle w:val="P68B1DB1-Normal8"/>
              <w:rPr>
                <w:noProof/>
              </w:rPr>
            </w:pPr>
            <w:r>
              <w:rPr>
                <w:noProof/>
              </w:rPr>
              <w:t>Cel</w:t>
            </w:r>
          </w:p>
        </w:tc>
        <w:tc>
          <w:tcPr>
            <w:tcW w:w="3103"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D24AF44" w14:textId="77777777" w:rsidR="004C6421" w:rsidRDefault="009D1962">
            <w:pPr>
              <w:pStyle w:val="P68B1DB1-Normal8"/>
              <w:rPr>
                <w:noProof/>
              </w:rPr>
            </w:pPr>
            <w:r>
              <w:rPr>
                <w:noProof/>
              </w:rPr>
              <w:t>Policja Finansowa – Zakup profesjonalnych usług w zakresie nauki o danych T1</w:t>
            </w:r>
          </w:p>
        </w:tc>
        <w:tc>
          <w:tcPr>
            <w:tcW w:w="236" w:type="dxa"/>
            <w:tcBorders>
              <w:top w:val="nil"/>
              <w:left w:val="single" w:sz="8" w:space="0" w:color="auto"/>
              <w:bottom w:val="nil"/>
              <w:right w:val="nil"/>
            </w:tcBorders>
            <w:vAlign w:val="center"/>
          </w:tcPr>
          <w:p w14:paraId="236489B0" w14:textId="77777777" w:rsidR="004C6421" w:rsidRDefault="004C6421">
            <w:pPr>
              <w:rPr>
                <w:noProof/>
              </w:rPr>
            </w:pPr>
          </w:p>
        </w:tc>
      </w:tr>
      <w:tr w:rsidR="004C6421" w14:paraId="6185FAB1"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2F540FD" w14:textId="77777777" w:rsidR="004C6421" w:rsidRDefault="009D1962">
            <w:pPr>
              <w:pStyle w:val="P68B1DB1-Normal8"/>
              <w:jc w:val="center"/>
              <w:rPr>
                <w:noProof/>
              </w:rPr>
            </w:pPr>
            <w:r>
              <w:rPr>
                <w:noProof/>
              </w:rPr>
              <w:t>M1C1-72</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5CAE196" w14:textId="77777777" w:rsidR="004C6421" w:rsidRDefault="009D1962">
            <w:pPr>
              <w:pStyle w:val="P68B1DB1-Normal8"/>
              <w:rPr>
                <w:noProof/>
              </w:rPr>
            </w:pPr>
            <w:r>
              <w:rPr>
                <w:noProof/>
              </w:rPr>
              <w:t>Reforma 1.11: Zmniejszenie opóźnień w płatnościach dokonywanych przez organy administracji publicznej i służby zdrowia</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33CE966" w14:textId="4E4C962D" w:rsidR="004C6421" w:rsidRDefault="00CC179E">
            <w:pPr>
              <w:pStyle w:val="P68B1DB1-Normal8"/>
              <w:rPr>
                <w:noProof/>
              </w:rPr>
            </w:pPr>
            <w:r>
              <w:rPr>
                <w:noProof/>
              </w:rPr>
              <w:t>Milowy</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2D2B77B" w14:textId="77777777" w:rsidR="004C6421" w:rsidRDefault="009D1962">
            <w:pPr>
              <w:pStyle w:val="P68B1DB1-Normal8"/>
              <w:rPr>
                <w:noProof/>
              </w:rPr>
            </w:pPr>
            <w:r>
              <w:rPr>
                <w:noProof/>
              </w:rPr>
              <w:t>Zatwierdza się środki mające na celu zmniejszenie opóźnień w płatnościach ze strony administracji publicznej na rzecz przedsiębiorstw</w:t>
            </w:r>
          </w:p>
        </w:tc>
        <w:tc>
          <w:tcPr>
            <w:tcW w:w="236" w:type="dxa"/>
            <w:tcBorders>
              <w:top w:val="nil"/>
              <w:left w:val="single" w:sz="8" w:space="0" w:color="auto"/>
              <w:bottom w:val="nil"/>
              <w:right w:val="nil"/>
            </w:tcBorders>
            <w:vAlign w:val="center"/>
          </w:tcPr>
          <w:p w14:paraId="18D5EA30" w14:textId="77777777" w:rsidR="004C6421" w:rsidRDefault="004C6421">
            <w:pPr>
              <w:rPr>
                <w:noProof/>
              </w:rPr>
            </w:pPr>
          </w:p>
        </w:tc>
      </w:tr>
      <w:tr w:rsidR="004C6421" w14:paraId="5DC92E13"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BEF4E89" w14:textId="77777777" w:rsidR="004C6421" w:rsidRDefault="009D1962">
            <w:pPr>
              <w:pStyle w:val="P68B1DB1-Normal8"/>
              <w:jc w:val="center"/>
              <w:rPr>
                <w:noProof/>
              </w:rPr>
            </w:pPr>
            <w:r>
              <w:rPr>
                <w:noProof/>
              </w:rPr>
              <w:t>M1C1-73</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6A4CFBC" w14:textId="77777777" w:rsidR="004C6421" w:rsidRDefault="009D1962">
            <w:pPr>
              <w:pStyle w:val="P68B1DB1-Normal8"/>
              <w:rPr>
                <w:noProof/>
              </w:rPr>
            </w:pPr>
            <w:r>
              <w:rPr>
                <w:noProof/>
              </w:rPr>
              <w:t>Reforma 1.10: Reforma ram prawnych dotyczących zamówień publicznych</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BC243C7" w14:textId="6B2A2BC4" w:rsidR="004C6421" w:rsidRDefault="00CC179E">
            <w:pPr>
              <w:pStyle w:val="P68B1DB1-Normal8"/>
              <w:rPr>
                <w:noProof/>
              </w:rPr>
            </w:pPr>
            <w:r>
              <w:rPr>
                <w:noProof/>
              </w:rPr>
              <w:t>Milowy</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6AEF306" w14:textId="77777777" w:rsidR="004C6421" w:rsidRDefault="009D1962">
            <w:pPr>
              <w:pStyle w:val="P68B1DB1-Normal8"/>
              <w:rPr>
                <w:noProof/>
              </w:rPr>
            </w:pPr>
            <w:r>
              <w:rPr>
                <w:noProof/>
              </w:rPr>
              <w:t>Wejście w życie reformy kodeksu zamówień publicznych</w:t>
            </w:r>
          </w:p>
        </w:tc>
        <w:tc>
          <w:tcPr>
            <w:tcW w:w="236" w:type="dxa"/>
            <w:tcBorders>
              <w:top w:val="nil"/>
              <w:left w:val="single" w:sz="8" w:space="0" w:color="auto"/>
              <w:bottom w:val="nil"/>
              <w:right w:val="nil"/>
            </w:tcBorders>
            <w:vAlign w:val="center"/>
          </w:tcPr>
          <w:p w14:paraId="70ADFCD3" w14:textId="77777777" w:rsidR="004C6421" w:rsidRDefault="004C6421">
            <w:pPr>
              <w:rPr>
                <w:noProof/>
              </w:rPr>
            </w:pPr>
          </w:p>
        </w:tc>
      </w:tr>
      <w:tr w:rsidR="004C6421" w14:paraId="4C59F416"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9F97FD3" w14:textId="77777777" w:rsidR="004C6421" w:rsidRDefault="009D1962">
            <w:pPr>
              <w:pStyle w:val="P68B1DB1-Normal8"/>
              <w:jc w:val="center"/>
              <w:rPr>
                <w:noProof/>
              </w:rPr>
            </w:pPr>
            <w:r>
              <w:rPr>
                <w:noProof/>
              </w:rPr>
              <w:t>M2C2-14</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3A96ADD" w14:textId="77777777" w:rsidR="004C6421" w:rsidRDefault="009D1962">
            <w:pPr>
              <w:pStyle w:val="P68B1DB1-Normal8"/>
              <w:rPr>
                <w:noProof/>
              </w:rPr>
            </w:pPr>
            <w:r>
              <w:rPr>
                <w:noProof/>
              </w:rPr>
              <w:t>Inwestycja 3.3 Badanie wodoru w transporcie drogowym</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5757660" w14:textId="4BDDF2DE" w:rsidR="004C6421" w:rsidRDefault="00CC179E">
            <w:pPr>
              <w:pStyle w:val="P68B1DB1-Normal8"/>
              <w:rPr>
                <w:noProof/>
              </w:rPr>
            </w:pPr>
            <w:r>
              <w:rPr>
                <w:noProof/>
              </w:rPr>
              <w:t>Milowy</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64B35C4" w14:textId="77777777" w:rsidR="004C6421" w:rsidRDefault="009D1962">
            <w:pPr>
              <w:pStyle w:val="P68B1DB1-Normal8"/>
              <w:rPr>
                <w:noProof/>
              </w:rPr>
            </w:pPr>
            <w:r>
              <w:rPr>
                <w:noProof/>
              </w:rPr>
              <w:t>Udzielanie (wszystkich) zamówień publicznych na budowę stacji ładowania opartych na wodorze</w:t>
            </w:r>
          </w:p>
        </w:tc>
        <w:tc>
          <w:tcPr>
            <w:tcW w:w="236" w:type="dxa"/>
            <w:tcBorders>
              <w:top w:val="nil"/>
              <w:left w:val="single" w:sz="8" w:space="0" w:color="auto"/>
              <w:bottom w:val="nil"/>
              <w:right w:val="nil"/>
            </w:tcBorders>
            <w:vAlign w:val="center"/>
          </w:tcPr>
          <w:p w14:paraId="5E5A6177" w14:textId="77777777" w:rsidR="004C6421" w:rsidRDefault="004C6421">
            <w:pPr>
              <w:rPr>
                <w:noProof/>
              </w:rPr>
            </w:pPr>
          </w:p>
        </w:tc>
      </w:tr>
      <w:tr w:rsidR="004C6421" w14:paraId="1F700688"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1F5D260" w14:textId="77777777" w:rsidR="004C6421" w:rsidRDefault="009D1962">
            <w:pPr>
              <w:pStyle w:val="P68B1DB1-Normal8"/>
              <w:jc w:val="center"/>
              <w:rPr>
                <w:noProof/>
              </w:rPr>
            </w:pPr>
            <w:r>
              <w:rPr>
                <w:noProof/>
              </w:rPr>
              <w:t>M2C2-16</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E94734F" w14:textId="77777777" w:rsidR="004C6421" w:rsidRDefault="009D1962">
            <w:pPr>
              <w:pStyle w:val="P68B1DB1-Normal8"/>
              <w:rPr>
                <w:noProof/>
              </w:rPr>
            </w:pPr>
            <w:r>
              <w:rPr>
                <w:noProof/>
              </w:rPr>
              <w:t>Inwestycja 3.4 Testowanie wodoru na potrzeby mobilności kolejowej</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0186DA5" w14:textId="1CBB0172" w:rsidR="004C6421" w:rsidRDefault="00CC179E">
            <w:pPr>
              <w:pStyle w:val="P68B1DB1-Normal8"/>
              <w:rPr>
                <w:noProof/>
              </w:rPr>
            </w:pPr>
            <w:r>
              <w:rPr>
                <w:noProof/>
              </w:rPr>
              <w:t>Milowy</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4334BE1" w14:textId="77777777" w:rsidR="004C6421" w:rsidRDefault="009D1962">
            <w:pPr>
              <w:pStyle w:val="P68B1DB1-Normal8"/>
              <w:rPr>
                <w:noProof/>
              </w:rPr>
            </w:pPr>
            <w:r>
              <w:rPr>
                <w:noProof/>
              </w:rPr>
              <w:t>Przydział zasobów na testowanie wodoru na potrzeby mobilności kolejowej</w:t>
            </w:r>
          </w:p>
        </w:tc>
        <w:tc>
          <w:tcPr>
            <w:tcW w:w="236" w:type="dxa"/>
            <w:tcBorders>
              <w:top w:val="nil"/>
              <w:left w:val="single" w:sz="8" w:space="0" w:color="auto"/>
              <w:bottom w:val="nil"/>
              <w:right w:val="nil"/>
            </w:tcBorders>
            <w:vAlign w:val="center"/>
          </w:tcPr>
          <w:p w14:paraId="5EF2B0A8" w14:textId="77777777" w:rsidR="004C6421" w:rsidRDefault="004C6421">
            <w:pPr>
              <w:rPr>
                <w:noProof/>
              </w:rPr>
            </w:pPr>
          </w:p>
        </w:tc>
      </w:tr>
      <w:tr w:rsidR="004C6421" w14:paraId="28233462"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7B75FA8" w14:textId="77777777" w:rsidR="004C6421" w:rsidRDefault="009D1962">
            <w:pPr>
              <w:pStyle w:val="P68B1DB1-Normal8"/>
              <w:jc w:val="center"/>
              <w:rPr>
                <w:noProof/>
              </w:rPr>
            </w:pPr>
            <w:r>
              <w:rPr>
                <w:noProof/>
              </w:rPr>
              <w:t>M2C2-20</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0DD781D" w14:textId="77777777" w:rsidR="004C6421" w:rsidRDefault="009D1962">
            <w:pPr>
              <w:pStyle w:val="P68B1DB1-Normal8"/>
              <w:rPr>
                <w:noProof/>
              </w:rPr>
            </w:pPr>
            <w:r>
              <w:rPr>
                <w:noProof/>
              </w:rPr>
              <w:t>Reforma 3 Uproszczenie administracyjne i zmniejszenie barier regulacyjnych utrudniających wprowadzanie wodoru</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B55C056" w14:textId="4D33413D" w:rsidR="004C6421" w:rsidRDefault="00CC179E">
            <w:pPr>
              <w:pStyle w:val="P68B1DB1-Normal8"/>
              <w:rPr>
                <w:noProof/>
              </w:rPr>
            </w:pPr>
            <w:r>
              <w:rPr>
                <w:noProof/>
              </w:rPr>
              <w:t>Milowy</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3C067E0" w14:textId="77777777" w:rsidR="004C6421" w:rsidRDefault="009D1962">
            <w:pPr>
              <w:pStyle w:val="P68B1DB1-Normal8"/>
              <w:rPr>
                <w:noProof/>
              </w:rPr>
            </w:pPr>
            <w:r>
              <w:rPr>
                <w:noProof/>
              </w:rPr>
              <w:t>Wejście w życie niezbędnych działań legislacyjnych</w:t>
            </w:r>
          </w:p>
        </w:tc>
        <w:tc>
          <w:tcPr>
            <w:tcW w:w="236" w:type="dxa"/>
            <w:tcBorders>
              <w:top w:val="nil"/>
              <w:left w:val="single" w:sz="8" w:space="0" w:color="auto"/>
              <w:bottom w:val="nil"/>
              <w:right w:val="nil"/>
            </w:tcBorders>
            <w:vAlign w:val="center"/>
          </w:tcPr>
          <w:p w14:paraId="375DE4E7" w14:textId="77777777" w:rsidR="004C6421" w:rsidRDefault="004C6421">
            <w:pPr>
              <w:rPr>
                <w:noProof/>
              </w:rPr>
            </w:pPr>
          </w:p>
        </w:tc>
      </w:tr>
      <w:tr w:rsidR="004C6421" w14:paraId="3752DE00"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99D4B7F" w14:textId="77777777" w:rsidR="004C6421" w:rsidRDefault="009D1962">
            <w:pPr>
              <w:pStyle w:val="P68B1DB1-Normal8"/>
              <w:jc w:val="center"/>
              <w:rPr>
                <w:noProof/>
              </w:rPr>
            </w:pPr>
            <w:r>
              <w:rPr>
                <w:noProof/>
              </w:rPr>
              <w:t>M5C2-3</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266344E" w14:textId="77777777" w:rsidR="004C6421" w:rsidRDefault="009D1962">
            <w:pPr>
              <w:pStyle w:val="P68B1DB1-Normal8"/>
              <w:rPr>
                <w:noProof/>
              </w:rPr>
            </w:pPr>
            <w:r>
              <w:rPr>
                <w:noProof/>
              </w:rPr>
              <w:t>Reforma 2 – Reforma na rzecz osób starszych, które nie są samowystarczalne</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5F18721" w14:textId="425A9E4C" w:rsidR="004C6421" w:rsidRDefault="00CC179E">
            <w:pPr>
              <w:pStyle w:val="P68B1DB1-Normal8"/>
              <w:rPr>
                <w:noProof/>
              </w:rPr>
            </w:pPr>
            <w:r>
              <w:rPr>
                <w:noProof/>
              </w:rPr>
              <w:t>Milowy</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DD9BAF5" w14:textId="77777777" w:rsidR="004C6421" w:rsidRDefault="009D1962">
            <w:pPr>
              <w:pStyle w:val="P68B1DB1-Normal8"/>
              <w:rPr>
                <w:noProof/>
              </w:rPr>
            </w:pPr>
            <w:r>
              <w:rPr>
                <w:noProof/>
              </w:rPr>
              <w:t>Wejście w życie ustawy ramowej wzmacniającej działania na rzecz niesamodzielności osób starszych</w:t>
            </w:r>
          </w:p>
        </w:tc>
        <w:tc>
          <w:tcPr>
            <w:tcW w:w="236" w:type="dxa"/>
            <w:tcBorders>
              <w:top w:val="nil"/>
              <w:left w:val="single" w:sz="8" w:space="0" w:color="auto"/>
              <w:bottom w:val="nil"/>
              <w:right w:val="nil"/>
            </w:tcBorders>
            <w:vAlign w:val="center"/>
          </w:tcPr>
          <w:p w14:paraId="74E604CB" w14:textId="77777777" w:rsidR="004C6421" w:rsidRDefault="004C6421">
            <w:pPr>
              <w:rPr>
                <w:noProof/>
              </w:rPr>
            </w:pPr>
          </w:p>
        </w:tc>
      </w:tr>
      <w:tr w:rsidR="004C6421" w14:paraId="4DA12426"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11B8264" w14:textId="77777777" w:rsidR="004C6421" w:rsidRDefault="009D1962">
            <w:pPr>
              <w:pStyle w:val="P68B1DB1-Normal8"/>
              <w:jc w:val="center"/>
              <w:rPr>
                <w:noProof/>
              </w:rPr>
            </w:pPr>
            <w:r>
              <w:rPr>
                <w:noProof/>
              </w:rPr>
              <w:t>M1C1-37</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765E862" w14:textId="77777777" w:rsidR="004C6421" w:rsidRDefault="009D1962">
            <w:pPr>
              <w:pStyle w:val="P68B1DB1-Normal8"/>
              <w:rPr>
                <w:noProof/>
              </w:rPr>
            </w:pPr>
            <w:r>
              <w:rPr>
                <w:noProof/>
              </w:rPr>
              <w:t>Reformy 1.4 i 1.5: Reforma wymiaru sprawiedliwości w sprawach cywilnych i karnych</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B90B7F7" w14:textId="29779AFC" w:rsidR="004C6421" w:rsidRDefault="00CC179E">
            <w:pPr>
              <w:pStyle w:val="P68B1DB1-Normal8"/>
              <w:rPr>
                <w:noProof/>
              </w:rPr>
            </w:pPr>
            <w:r>
              <w:rPr>
                <w:noProof/>
              </w:rPr>
              <w:t>Milowy</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9EE6532" w14:textId="77777777" w:rsidR="004C6421" w:rsidRDefault="009D1962">
            <w:pPr>
              <w:pStyle w:val="P68B1DB1-Normal8"/>
              <w:rPr>
                <w:noProof/>
              </w:rPr>
            </w:pPr>
            <w:r>
              <w:rPr>
                <w:noProof/>
              </w:rPr>
              <w:t>Wejście w życie reformy wymiaru sprawiedliwości w sprawach cywilnych i karnych</w:t>
            </w:r>
          </w:p>
        </w:tc>
        <w:tc>
          <w:tcPr>
            <w:tcW w:w="236" w:type="dxa"/>
            <w:tcBorders>
              <w:top w:val="nil"/>
              <w:left w:val="single" w:sz="8" w:space="0" w:color="auto"/>
              <w:bottom w:val="nil"/>
              <w:right w:val="nil"/>
            </w:tcBorders>
            <w:vAlign w:val="center"/>
          </w:tcPr>
          <w:p w14:paraId="09AD04E3" w14:textId="77777777" w:rsidR="004C6421" w:rsidRDefault="004C6421">
            <w:pPr>
              <w:rPr>
                <w:noProof/>
              </w:rPr>
            </w:pPr>
          </w:p>
        </w:tc>
      </w:tr>
      <w:tr w:rsidR="004C6421" w14:paraId="140DF297"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9F49BAC" w14:textId="77777777" w:rsidR="004C6421" w:rsidRDefault="009D1962">
            <w:pPr>
              <w:pStyle w:val="P68B1DB1-Normal8"/>
              <w:jc w:val="center"/>
              <w:rPr>
                <w:noProof/>
              </w:rPr>
            </w:pPr>
            <w:r>
              <w:rPr>
                <w:noProof/>
              </w:rPr>
              <w:t>M1C1-58</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804F577" w14:textId="77777777" w:rsidR="004C6421" w:rsidRDefault="009D1962">
            <w:pPr>
              <w:pStyle w:val="P68B1DB1-Normal8"/>
              <w:rPr>
                <w:noProof/>
              </w:rPr>
            </w:pPr>
            <w:r>
              <w:rPr>
                <w:noProof/>
              </w:rPr>
              <w:t>Reforma 1.9: Reforma administracji publicznej</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149CA37" w14:textId="6C817310" w:rsidR="004C6421" w:rsidRDefault="00CC179E">
            <w:pPr>
              <w:pStyle w:val="P68B1DB1-Normal8"/>
              <w:rPr>
                <w:noProof/>
              </w:rPr>
            </w:pPr>
            <w:r>
              <w:rPr>
                <w:noProof/>
              </w:rPr>
              <w:t>Milowy</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6DFA714" w14:textId="77777777" w:rsidR="004C6421" w:rsidRDefault="009D1962">
            <w:pPr>
              <w:pStyle w:val="P68B1DB1-Normal8"/>
              <w:rPr>
                <w:noProof/>
              </w:rPr>
            </w:pPr>
            <w:r>
              <w:rPr>
                <w:noProof/>
              </w:rPr>
              <w:t>Wejście w życie aktów prawnych dotyczących reformy zatrudnienia w sektorze publicznym</w:t>
            </w:r>
          </w:p>
        </w:tc>
        <w:tc>
          <w:tcPr>
            <w:tcW w:w="236" w:type="dxa"/>
            <w:tcBorders>
              <w:top w:val="nil"/>
              <w:left w:val="single" w:sz="8" w:space="0" w:color="auto"/>
              <w:bottom w:val="nil"/>
              <w:right w:val="nil"/>
            </w:tcBorders>
            <w:vAlign w:val="center"/>
          </w:tcPr>
          <w:p w14:paraId="3D1970EC" w14:textId="77777777" w:rsidR="004C6421" w:rsidRDefault="004C6421">
            <w:pPr>
              <w:rPr>
                <w:noProof/>
              </w:rPr>
            </w:pPr>
          </w:p>
        </w:tc>
      </w:tr>
      <w:tr w:rsidR="004C6421" w14:paraId="0D9F6C4F"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620510F" w14:textId="77777777" w:rsidR="004C6421" w:rsidRDefault="009D1962">
            <w:pPr>
              <w:pStyle w:val="P68B1DB1-Normal8"/>
              <w:jc w:val="center"/>
              <w:rPr>
                <w:noProof/>
              </w:rPr>
            </w:pPr>
            <w:r>
              <w:rPr>
                <w:noProof/>
              </w:rPr>
              <w:t>M1C1-74</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0D2B438" w14:textId="77777777" w:rsidR="004C6421" w:rsidRDefault="009D1962">
            <w:pPr>
              <w:pStyle w:val="P68B1DB1-Normal8"/>
              <w:rPr>
                <w:noProof/>
              </w:rPr>
            </w:pPr>
            <w:r>
              <w:rPr>
                <w:noProof/>
              </w:rPr>
              <w:t>Reforma 1.10: Reforma ram prawnych dotyczących zamówień publicznych</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E58A747" w14:textId="3D280B86" w:rsidR="004C6421" w:rsidRDefault="00CC179E">
            <w:pPr>
              <w:pStyle w:val="P68B1DB1-Normal8"/>
              <w:rPr>
                <w:noProof/>
              </w:rPr>
            </w:pPr>
            <w:r>
              <w:rPr>
                <w:noProof/>
              </w:rPr>
              <w:t>Milowy</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A162DF3" w14:textId="77777777" w:rsidR="004C6421" w:rsidRDefault="009D1962">
            <w:pPr>
              <w:pStyle w:val="P68B1DB1-Normal8"/>
              <w:rPr>
                <w:noProof/>
              </w:rPr>
            </w:pPr>
            <w:r>
              <w:rPr>
                <w:noProof/>
              </w:rPr>
              <w:t>Wejście w życie wszystkich niezbędnych środków wykonawczych i prawodawstwa wtórnego dotyczących reformy dotyczącej uproszczenia kodeksu zamówień publicznych</w:t>
            </w:r>
          </w:p>
        </w:tc>
        <w:tc>
          <w:tcPr>
            <w:tcW w:w="236" w:type="dxa"/>
            <w:tcBorders>
              <w:top w:val="nil"/>
              <w:left w:val="single" w:sz="8" w:space="0" w:color="auto"/>
              <w:bottom w:val="nil"/>
              <w:right w:val="nil"/>
            </w:tcBorders>
            <w:vAlign w:val="center"/>
          </w:tcPr>
          <w:p w14:paraId="6FEDB757" w14:textId="77777777" w:rsidR="004C6421" w:rsidRDefault="004C6421">
            <w:pPr>
              <w:rPr>
                <w:noProof/>
              </w:rPr>
            </w:pPr>
          </w:p>
        </w:tc>
      </w:tr>
      <w:tr w:rsidR="004C6421" w14:paraId="5858BDF4"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80AD529" w14:textId="77777777" w:rsidR="004C6421" w:rsidRDefault="009D1962">
            <w:pPr>
              <w:pStyle w:val="P68B1DB1-Normal8"/>
              <w:jc w:val="center"/>
              <w:rPr>
                <w:noProof/>
              </w:rPr>
            </w:pPr>
            <w:r>
              <w:rPr>
                <w:noProof/>
              </w:rPr>
              <w:t>M1C1-109</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2A06428" w14:textId="77777777" w:rsidR="004C6421" w:rsidRDefault="009D1962">
            <w:pPr>
              <w:pStyle w:val="P68B1DB1-Normal8"/>
              <w:rPr>
                <w:noProof/>
              </w:rPr>
            </w:pPr>
            <w:r>
              <w:rPr>
                <w:noProof/>
              </w:rPr>
              <w:t>Reforma 1.12: Reforma administracji podatkowej</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E2F1957" w14:textId="77777777" w:rsidR="004C6421" w:rsidRDefault="009D1962">
            <w:pPr>
              <w:pStyle w:val="P68B1DB1-Normal8"/>
              <w:rPr>
                <w:noProof/>
              </w:rPr>
            </w:pPr>
            <w:r>
              <w:rPr>
                <w:noProof/>
              </w:rPr>
              <w:t>Cel</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FEBEB08" w14:textId="77777777" w:rsidR="004C6421" w:rsidRDefault="009D1962">
            <w:pPr>
              <w:pStyle w:val="P68B1DB1-Normal8"/>
              <w:rPr>
                <w:noProof/>
              </w:rPr>
            </w:pPr>
            <w:r>
              <w:rPr>
                <w:noProof/>
              </w:rPr>
              <w:t>Wysyłanie pierwszych uprzednio wypełnionych deklaracji podatkowych VAT</w:t>
            </w:r>
          </w:p>
        </w:tc>
        <w:tc>
          <w:tcPr>
            <w:tcW w:w="236" w:type="dxa"/>
            <w:tcBorders>
              <w:top w:val="nil"/>
              <w:left w:val="single" w:sz="8" w:space="0" w:color="auto"/>
              <w:bottom w:val="nil"/>
              <w:right w:val="nil"/>
            </w:tcBorders>
            <w:vAlign w:val="center"/>
          </w:tcPr>
          <w:p w14:paraId="78A4763B" w14:textId="77777777" w:rsidR="004C6421" w:rsidRDefault="004C6421">
            <w:pPr>
              <w:rPr>
                <w:noProof/>
              </w:rPr>
            </w:pPr>
          </w:p>
        </w:tc>
      </w:tr>
      <w:tr w:rsidR="004C6421" w14:paraId="108C2321"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F7C11AE" w14:textId="77777777" w:rsidR="004C6421" w:rsidRDefault="009D1962">
            <w:pPr>
              <w:pStyle w:val="P68B1DB1-Normal8"/>
              <w:jc w:val="center"/>
              <w:rPr>
                <w:noProof/>
              </w:rPr>
            </w:pPr>
            <w:r>
              <w:rPr>
                <w:noProof/>
              </w:rPr>
              <w:t>M2C2-27</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5BF2A76" w14:textId="77777777" w:rsidR="004C6421" w:rsidRDefault="009D1962">
            <w:pPr>
              <w:pStyle w:val="P68B1DB1-Normal8"/>
              <w:rPr>
                <w:noProof/>
              </w:rPr>
            </w:pPr>
            <w:r>
              <w:rPr>
                <w:noProof/>
              </w:rPr>
              <w:t>Inwestycja 4.3 Instalacja infrastruktury ładowania</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1CCBA14" w14:textId="444EDDEF" w:rsidR="004C6421" w:rsidRDefault="00CC179E">
            <w:pPr>
              <w:pStyle w:val="P68B1DB1-Normal8"/>
              <w:rPr>
                <w:noProof/>
              </w:rPr>
            </w:pPr>
            <w:r>
              <w:rPr>
                <w:noProof/>
              </w:rPr>
              <w:t>Milowy</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60B3023" w14:textId="77777777" w:rsidR="004C6421" w:rsidRDefault="009D1962">
            <w:pPr>
              <w:pStyle w:val="P68B1DB1-Normal8"/>
              <w:rPr>
                <w:noProof/>
              </w:rPr>
            </w:pPr>
            <w:r>
              <w:rPr>
                <w:noProof/>
              </w:rPr>
              <w:t>Udzielanie wszystkich zamówień publicznych na instalację infrastruktury ładowania M1</w:t>
            </w:r>
          </w:p>
        </w:tc>
        <w:tc>
          <w:tcPr>
            <w:tcW w:w="236" w:type="dxa"/>
            <w:tcBorders>
              <w:top w:val="nil"/>
              <w:left w:val="single" w:sz="8" w:space="0" w:color="auto"/>
              <w:bottom w:val="nil"/>
              <w:right w:val="nil"/>
            </w:tcBorders>
            <w:vAlign w:val="center"/>
          </w:tcPr>
          <w:p w14:paraId="16428244" w14:textId="77777777" w:rsidR="004C6421" w:rsidRDefault="004C6421">
            <w:pPr>
              <w:rPr>
                <w:noProof/>
              </w:rPr>
            </w:pPr>
          </w:p>
        </w:tc>
      </w:tr>
      <w:tr w:rsidR="004C6421" w14:paraId="36934C23"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B2C53D8" w14:textId="77777777" w:rsidR="004C6421" w:rsidRDefault="009D1962">
            <w:pPr>
              <w:pStyle w:val="P68B1DB1-Normal8"/>
              <w:jc w:val="center"/>
              <w:rPr>
                <w:noProof/>
              </w:rPr>
            </w:pPr>
            <w:r>
              <w:rPr>
                <w:noProof/>
              </w:rPr>
              <w:t>M2C2-33</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E9981C7" w14:textId="77777777" w:rsidR="004C6421" w:rsidRDefault="009D1962">
            <w:pPr>
              <w:pStyle w:val="P68B1DB1-Normal37"/>
              <w:rPr>
                <w:noProof/>
              </w:rPr>
            </w:pPr>
            <w:r>
              <w:rPr>
                <w:noProof/>
                <w:color w:val="006100"/>
              </w:rPr>
              <w:t>Inwestycja 4.4.2: Wzmocnienie regionalnego taboru kolejowego transportu publicznego z pociągami bezemisyjnymi i usługą powszechną</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2146FF6" w14:textId="20A4F3E4" w:rsidR="004C6421" w:rsidRDefault="00CC179E">
            <w:pPr>
              <w:pStyle w:val="P68B1DB1-Normal8"/>
              <w:rPr>
                <w:noProof/>
              </w:rPr>
            </w:pPr>
            <w:r>
              <w:rPr>
                <w:noProof/>
              </w:rPr>
              <w:t>Milowy</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517DA7A" w14:textId="77777777" w:rsidR="004C6421" w:rsidRDefault="009D1962">
            <w:pPr>
              <w:pStyle w:val="P68B1DB1-Normal8"/>
              <w:rPr>
                <w:noProof/>
              </w:rPr>
            </w:pPr>
            <w:r>
              <w:rPr>
                <w:noProof/>
              </w:rPr>
              <w:t>Udzielanie wszystkich zamówień publicznych na wzmocnienie regionalnego taboru kolejowego transportu publicznego pociągami bezemisyjnymi i usługą powszechną</w:t>
            </w:r>
          </w:p>
        </w:tc>
        <w:tc>
          <w:tcPr>
            <w:tcW w:w="236" w:type="dxa"/>
            <w:tcBorders>
              <w:top w:val="nil"/>
              <w:left w:val="single" w:sz="8" w:space="0" w:color="auto"/>
              <w:bottom w:val="nil"/>
              <w:right w:val="nil"/>
            </w:tcBorders>
            <w:vAlign w:val="center"/>
          </w:tcPr>
          <w:p w14:paraId="5F25574F" w14:textId="77777777" w:rsidR="004C6421" w:rsidRDefault="004C6421">
            <w:pPr>
              <w:rPr>
                <w:noProof/>
              </w:rPr>
            </w:pPr>
          </w:p>
        </w:tc>
      </w:tr>
      <w:tr w:rsidR="004C6421" w14:paraId="3CED89F5"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BDCBDC5" w14:textId="77777777" w:rsidR="004C6421" w:rsidRDefault="009D1962">
            <w:pPr>
              <w:pStyle w:val="P68B1DB1-Normal8"/>
              <w:jc w:val="center"/>
              <w:rPr>
                <w:noProof/>
              </w:rPr>
            </w:pPr>
            <w:r>
              <w:rPr>
                <w:noProof/>
              </w:rPr>
              <w:t>M2C3-2</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E690D59" w14:textId="77777777" w:rsidR="004C6421" w:rsidRDefault="009D1962">
            <w:pPr>
              <w:pStyle w:val="P68B1DB1-Normal8"/>
              <w:rPr>
                <w:noProof/>
              </w:rPr>
            </w:pPr>
            <w:r>
              <w:rPr>
                <w:noProof/>
              </w:rPr>
              <w:t xml:space="preserve">Inwestycje 2.1 – Wzmocnienie Ecobonus na rzecz efektywności energetycznej </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F3206EB" w14:textId="77777777" w:rsidR="004C6421" w:rsidRDefault="009D1962">
            <w:pPr>
              <w:pStyle w:val="P68B1DB1-Normal8"/>
              <w:rPr>
                <w:noProof/>
              </w:rPr>
            </w:pPr>
            <w:r>
              <w:rPr>
                <w:noProof/>
              </w:rPr>
              <w:t>Cel</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D403B50" w14:textId="77777777" w:rsidR="004C6421" w:rsidRDefault="009D1962">
            <w:pPr>
              <w:pStyle w:val="P68B1DB1-Normal8"/>
              <w:rPr>
                <w:noProof/>
              </w:rPr>
            </w:pPr>
            <w:r>
              <w:rPr>
                <w:noProof/>
              </w:rPr>
              <w:t>Renowacja budynków Superbonus T1</w:t>
            </w:r>
          </w:p>
        </w:tc>
        <w:tc>
          <w:tcPr>
            <w:tcW w:w="236" w:type="dxa"/>
            <w:tcBorders>
              <w:top w:val="nil"/>
              <w:left w:val="single" w:sz="8" w:space="0" w:color="auto"/>
              <w:bottom w:val="nil"/>
              <w:right w:val="nil"/>
            </w:tcBorders>
            <w:vAlign w:val="center"/>
          </w:tcPr>
          <w:p w14:paraId="34305304" w14:textId="77777777" w:rsidR="004C6421" w:rsidRDefault="004C6421">
            <w:pPr>
              <w:rPr>
                <w:noProof/>
              </w:rPr>
            </w:pPr>
          </w:p>
        </w:tc>
      </w:tr>
      <w:tr w:rsidR="004C6421" w14:paraId="4CFBB81A"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FD25D1B" w14:textId="77777777" w:rsidR="004C6421" w:rsidRDefault="009D1962">
            <w:pPr>
              <w:pStyle w:val="P68B1DB1-Normal8"/>
              <w:jc w:val="center"/>
              <w:rPr>
                <w:noProof/>
              </w:rPr>
            </w:pPr>
            <w:r>
              <w:rPr>
                <w:noProof/>
              </w:rPr>
              <w:t>M4C1-9</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44AE499" w14:textId="77777777" w:rsidR="004C6421" w:rsidRDefault="009D1962">
            <w:pPr>
              <w:pStyle w:val="P68B1DB1-Normal8"/>
              <w:rPr>
                <w:noProof/>
              </w:rPr>
            </w:pPr>
            <w:r>
              <w:rPr>
                <w:noProof/>
              </w:rPr>
              <w:t>Inwestycje 1.1: Plan dotyczący żłobków i przedszkoli oraz usług wczesnej edukacji i opieki nad dzieckiem</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8308AF1" w14:textId="732D320A" w:rsidR="004C6421" w:rsidRDefault="00CC179E">
            <w:pPr>
              <w:pStyle w:val="P68B1DB1-Normal8"/>
              <w:rPr>
                <w:noProof/>
              </w:rPr>
            </w:pPr>
            <w:r>
              <w:rPr>
                <w:noProof/>
              </w:rPr>
              <w:t>Milowy</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94EEC5C" w14:textId="77777777" w:rsidR="004C6421" w:rsidRDefault="009D1962">
            <w:pPr>
              <w:pStyle w:val="P68B1DB1-Normal8"/>
              <w:rPr>
                <w:noProof/>
              </w:rPr>
            </w:pPr>
            <w:r>
              <w:rPr>
                <w:noProof/>
              </w:rPr>
              <w:t>Udzielenie zamówień na budowę, remont i zapewnienie bezpieczeństwa żłobków, przedszkoli oraz usług wczesnej edukacji i opieki nad dzieckiem</w:t>
            </w:r>
          </w:p>
        </w:tc>
        <w:tc>
          <w:tcPr>
            <w:tcW w:w="236" w:type="dxa"/>
            <w:tcBorders>
              <w:top w:val="nil"/>
              <w:left w:val="single" w:sz="8" w:space="0" w:color="auto"/>
              <w:bottom w:val="nil"/>
              <w:right w:val="nil"/>
            </w:tcBorders>
            <w:vAlign w:val="center"/>
          </w:tcPr>
          <w:p w14:paraId="73CE50B9" w14:textId="77777777" w:rsidR="004C6421" w:rsidRDefault="004C6421">
            <w:pPr>
              <w:rPr>
                <w:noProof/>
              </w:rPr>
            </w:pPr>
          </w:p>
        </w:tc>
      </w:tr>
      <w:tr w:rsidR="004C6421" w14:paraId="78C1B87C"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FD290B0" w14:textId="77777777" w:rsidR="004C6421" w:rsidRDefault="009D1962">
            <w:pPr>
              <w:pStyle w:val="P68B1DB1-Normal8"/>
              <w:jc w:val="center"/>
              <w:rPr>
                <w:noProof/>
              </w:rPr>
            </w:pPr>
            <w:r>
              <w:rPr>
                <w:noProof/>
              </w:rPr>
              <w:t>M5C3-8</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C05A892" w14:textId="77777777" w:rsidR="004C6421" w:rsidRDefault="009D1962">
            <w:pPr>
              <w:pStyle w:val="P68B1DB1-Normal8"/>
              <w:rPr>
                <w:noProof/>
              </w:rPr>
            </w:pPr>
            <w:r>
              <w:rPr>
                <w:noProof/>
              </w:rPr>
              <w:t>Inwestycja 1.3: Zorganizowane interwencje społeczno-edukacyjne mające na celu zwalczanie ubóstwa edukacyjnego na południu, wspierające trzeci sektor</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020D3F7" w14:textId="77777777" w:rsidR="004C6421" w:rsidRDefault="009D1962">
            <w:pPr>
              <w:pStyle w:val="P68B1DB1-Normal8"/>
              <w:rPr>
                <w:noProof/>
              </w:rPr>
            </w:pPr>
            <w:r>
              <w:rPr>
                <w:noProof/>
              </w:rPr>
              <w:t>Cel</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6706601" w14:textId="77777777" w:rsidR="004C6421" w:rsidRDefault="009D1962">
            <w:pPr>
              <w:pStyle w:val="P68B1DB1-Normal8"/>
              <w:rPr>
                <w:noProof/>
              </w:rPr>
            </w:pPr>
            <w:r>
              <w:rPr>
                <w:noProof/>
              </w:rPr>
              <w:t>Wsparcie edukacyjne dla małoletnich (pierwsza partia)</w:t>
            </w:r>
          </w:p>
        </w:tc>
        <w:tc>
          <w:tcPr>
            <w:tcW w:w="236" w:type="dxa"/>
            <w:tcBorders>
              <w:top w:val="nil"/>
              <w:left w:val="single" w:sz="8" w:space="0" w:color="auto"/>
              <w:bottom w:val="nil"/>
              <w:right w:val="nil"/>
            </w:tcBorders>
            <w:vAlign w:val="center"/>
          </w:tcPr>
          <w:p w14:paraId="2105DB7B" w14:textId="77777777" w:rsidR="004C6421" w:rsidRDefault="004C6421">
            <w:pPr>
              <w:rPr>
                <w:noProof/>
              </w:rPr>
            </w:pPr>
          </w:p>
        </w:tc>
      </w:tr>
      <w:tr w:rsidR="004C6421" w14:paraId="69470F2C"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3ACF6CEA" w14:textId="77777777" w:rsidR="004C6421" w:rsidRDefault="009D1962">
            <w:pPr>
              <w:pStyle w:val="P68B1DB1-Normal8"/>
              <w:jc w:val="center"/>
              <w:rPr>
                <w:noProof/>
              </w:rPr>
            </w:pPr>
            <w:r>
              <w:rPr>
                <w:noProof/>
              </w:rPr>
              <w:t xml:space="preserve"> </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4292129E" w14:textId="77777777" w:rsidR="004C6421" w:rsidRDefault="009D1962">
            <w:pPr>
              <w:pStyle w:val="P68B1DB1-Normal8"/>
              <w:rPr>
                <w:noProof/>
              </w:rPr>
            </w:pPr>
            <w:r>
              <w:rPr>
                <w:noProof/>
              </w:rPr>
              <w:t xml:space="preserve"> </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78E1076B" w14:textId="77777777" w:rsidR="004C6421" w:rsidRDefault="009D1962">
            <w:pPr>
              <w:pStyle w:val="P68B1DB1-Normal8"/>
              <w:rPr>
                <w:noProof/>
              </w:rPr>
            </w:pPr>
            <w:r>
              <w:rPr>
                <w:noProof/>
              </w:rPr>
              <w:t>Kwota transzy</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6BE693C5" w14:textId="46B6BD33" w:rsidR="004C6421" w:rsidRDefault="009D1962">
            <w:pPr>
              <w:rPr>
                <w:noProof/>
              </w:rPr>
            </w:pPr>
            <w:r>
              <w:rPr>
                <w:noProof/>
                <w:color w:val="006100"/>
                <w:sz w:val="20"/>
              </w:rPr>
              <w:t>2315646882 EUR</w:t>
            </w:r>
            <w:r>
              <w:rPr>
                <w:noProof/>
                <w:sz w:val="23"/>
              </w:rPr>
              <w:t xml:space="preserve">  </w:t>
            </w:r>
          </w:p>
        </w:tc>
        <w:tc>
          <w:tcPr>
            <w:tcW w:w="236" w:type="dxa"/>
            <w:tcBorders>
              <w:top w:val="nil"/>
              <w:left w:val="single" w:sz="8" w:space="0" w:color="auto"/>
              <w:bottom w:val="nil"/>
              <w:right w:val="nil"/>
            </w:tcBorders>
            <w:vAlign w:val="center"/>
          </w:tcPr>
          <w:p w14:paraId="07BFEF2C" w14:textId="77777777" w:rsidR="004C6421" w:rsidRDefault="004C6421">
            <w:pPr>
              <w:rPr>
                <w:noProof/>
              </w:rPr>
            </w:pPr>
          </w:p>
        </w:tc>
      </w:tr>
    </w:tbl>
    <w:p w14:paraId="54151751" w14:textId="77777777" w:rsidR="004C6421" w:rsidRDefault="004C6421">
      <w:pPr>
        <w:pStyle w:val="ListParagraph"/>
        <w:spacing w:before="0" w:after="0" w:line="279" w:lineRule="auto"/>
        <w:ind w:left="850"/>
        <w:rPr>
          <w:noProof/>
        </w:rPr>
      </w:pPr>
    </w:p>
    <w:p w14:paraId="661E00EB" w14:textId="43A961AE" w:rsidR="004C6421" w:rsidRDefault="009D1962">
      <w:pPr>
        <w:pStyle w:val="ListParagraph"/>
        <w:numPr>
          <w:ilvl w:val="1"/>
          <w:numId w:val="145"/>
        </w:numPr>
        <w:spacing w:before="0" w:after="0" w:line="279" w:lineRule="auto"/>
        <w:ind w:left="850" w:hanging="850"/>
        <w:rPr>
          <w:noProof/>
        </w:rPr>
      </w:pPr>
      <w:r>
        <w:rPr>
          <w:noProof/>
        </w:rPr>
        <w:t>Piąta rata (bezzwrotne wsparcie):</w:t>
      </w:r>
    </w:p>
    <w:tbl>
      <w:tblPr>
        <w:tblW w:w="936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0"/>
        <w:gridCol w:w="3543"/>
        <w:gridCol w:w="1276"/>
        <w:gridCol w:w="3112"/>
      </w:tblGrid>
      <w:tr w:rsidR="004C6421" w14:paraId="034CA223" w14:textId="77777777">
        <w:trPr>
          <w:trHeight w:val="1425"/>
          <w:tblHeader/>
        </w:trPr>
        <w:tc>
          <w:tcPr>
            <w:tcW w:w="1430" w:type="dxa"/>
            <w:shd w:val="clear" w:color="auto" w:fill="BDD7EE"/>
            <w:tcMar>
              <w:left w:w="108" w:type="dxa"/>
              <w:right w:w="108" w:type="dxa"/>
            </w:tcMar>
            <w:vAlign w:val="center"/>
          </w:tcPr>
          <w:p w14:paraId="281633D4" w14:textId="77777777" w:rsidR="004C6421" w:rsidRDefault="009D1962">
            <w:pPr>
              <w:pStyle w:val="P68B1DB1-Normal36"/>
              <w:jc w:val="center"/>
              <w:rPr>
                <w:noProof/>
              </w:rPr>
            </w:pPr>
            <w:r>
              <w:rPr>
                <w:noProof/>
              </w:rPr>
              <w:t>Numer porządkowy</w:t>
            </w:r>
          </w:p>
        </w:tc>
        <w:tc>
          <w:tcPr>
            <w:tcW w:w="3543" w:type="dxa"/>
            <w:shd w:val="clear" w:color="auto" w:fill="BDD7EE"/>
            <w:tcMar>
              <w:left w:w="108" w:type="dxa"/>
              <w:right w:w="108" w:type="dxa"/>
            </w:tcMar>
            <w:vAlign w:val="center"/>
          </w:tcPr>
          <w:p w14:paraId="76CF1A8A" w14:textId="77777777" w:rsidR="004C6421" w:rsidRDefault="009D1962">
            <w:pPr>
              <w:pStyle w:val="P68B1DB1-Normal36"/>
              <w:jc w:val="center"/>
              <w:rPr>
                <w:noProof/>
              </w:rPr>
            </w:pPr>
            <w:r>
              <w:rPr>
                <w:noProof/>
              </w:rPr>
              <w:t>Powiązane działanie (reforma lub inwestycja)</w:t>
            </w:r>
          </w:p>
        </w:tc>
        <w:tc>
          <w:tcPr>
            <w:tcW w:w="1276" w:type="dxa"/>
            <w:shd w:val="clear" w:color="auto" w:fill="BDD7EE"/>
            <w:tcMar>
              <w:left w:w="108" w:type="dxa"/>
              <w:right w:w="108" w:type="dxa"/>
            </w:tcMar>
            <w:vAlign w:val="center"/>
          </w:tcPr>
          <w:p w14:paraId="023A07C3" w14:textId="77777777" w:rsidR="004C6421" w:rsidRDefault="009D1962">
            <w:pPr>
              <w:pStyle w:val="P68B1DB1-Normal36"/>
              <w:jc w:val="center"/>
              <w:rPr>
                <w:noProof/>
              </w:rPr>
            </w:pPr>
            <w:r>
              <w:rPr>
                <w:noProof/>
              </w:rPr>
              <w:t>Kamień milowy/wartość docelowa</w:t>
            </w:r>
          </w:p>
        </w:tc>
        <w:tc>
          <w:tcPr>
            <w:tcW w:w="3112" w:type="dxa"/>
            <w:shd w:val="clear" w:color="auto" w:fill="BDD7EE"/>
            <w:tcMar>
              <w:left w:w="108" w:type="dxa"/>
              <w:right w:w="108" w:type="dxa"/>
            </w:tcMar>
            <w:vAlign w:val="center"/>
          </w:tcPr>
          <w:p w14:paraId="07487F69" w14:textId="77777777" w:rsidR="004C6421" w:rsidRDefault="009D1962">
            <w:pPr>
              <w:pStyle w:val="P68B1DB1-Normal36"/>
              <w:jc w:val="center"/>
              <w:rPr>
                <w:noProof/>
              </w:rPr>
            </w:pPr>
            <w:r>
              <w:rPr>
                <w:noProof/>
              </w:rPr>
              <w:t>Nazwa</w:t>
            </w:r>
          </w:p>
        </w:tc>
      </w:tr>
      <w:tr w:rsidR="004C6421" w14:paraId="16F684DF" w14:textId="77777777">
        <w:trPr>
          <w:trHeight w:val="300"/>
        </w:trPr>
        <w:tc>
          <w:tcPr>
            <w:tcW w:w="1430" w:type="dxa"/>
            <w:shd w:val="clear" w:color="auto" w:fill="C6EFCE"/>
            <w:tcMar>
              <w:left w:w="108" w:type="dxa"/>
              <w:right w:w="108" w:type="dxa"/>
            </w:tcMar>
            <w:vAlign w:val="center"/>
          </w:tcPr>
          <w:p w14:paraId="2DF4CBA8" w14:textId="77777777" w:rsidR="004C6421" w:rsidRDefault="009D1962">
            <w:pPr>
              <w:pStyle w:val="P68B1DB1-Normal8"/>
              <w:jc w:val="center"/>
              <w:rPr>
                <w:noProof/>
              </w:rPr>
            </w:pPr>
            <w:r>
              <w:rPr>
                <w:noProof/>
              </w:rPr>
              <w:t>M1C2-4</w:t>
            </w:r>
          </w:p>
        </w:tc>
        <w:tc>
          <w:tcPr>
            <w:tcW w:w="3543" w:type="dxa"/>
            <w:shd w:val="clear" w:color="auto" w:fill="C6EFCE"/>
            <w:tcMar>
              <w:left w:w="108" w:type="dxa"/>
              <w:right w:w="108" w:type="dxa"/>
            </w:tcMar>
            <w:vAlign w:val="center"/>
          </w:tcPr>
          <w:p w14:paraId="2335CA66" w14:textId="77777777" w:rsidR="004C6421" w:rsidRDefault="009D1962">
            <w:pPr>
              <w:pStyle w:val="P68B1DB1-Normal8"/>
              <w:rPr>
                <w:noProof/>
              </w:rPr>
            </w:pPr>
            <w:r>
              <w:rPr>
                <w:noProof/>
              </w:rPr>
              <w:t>Reforma 1: Reforma systemu własności przemysłowej</w:t>
            </w:r>
          </w:p>
        </w:tc>
        <w:tc>
          <w:tcPr>
            <w:tcW w:w="1276" w:type="dxa"/>
            <w:shd w:val="clear" w:color="auto" w:fill="C6EFCE"/>
            <w:tcMar>
              <w:left w:w="108" w:type="dxa"/>
              <w:right w:w="108" w:type="dxa"/>
            </w:tcMar>
            <w:vAlign w:val="center"/>
          </w:tcPr>
          <w:p w14:paraId="61A270E3" w14:textId="27E59D06" w:rsidR="004C6421" w:rsidRDefault="00CC179E">
            <w:pPr>
              <w:pStyle w:val="P68B1DB1-Normal8"/>
              <w:rPr>
                <w:noProof/>
              </w:rPr>
            </w:pPr>
            <w:r>
              <w:rPr>
                <w:noProof/>
              </w:rPr>
              <w:t>Milowy</w:t>
            </w:r>
          </w:p>
        </w:tc>
        <w:tc>
          <w:tcPr>
            <w:tcW w:w="3112" w:type="dxa"/>
            <w:shd w:val="clear" w:color="auto" w:fill="C6EFCE"/>
            <w:tcMar>
              <w:left w:w="108" w:type="dxa"/>
              <w:right w:w="108" w:type="dxa"/>
            </w:tcMar>
            <w:vAlign w:val="center"/>
          </w:tcPr>
          <w:p w14:paraId="2FD19965" w14:textId="77777777" w:rsidR="004C6421" w:rsidRDefault="009D1962">
            <w:pPr>
              <w:pStyle w:val="P68B1DB1-Normal8"/>
              <w:rPr>
                <w:noProof/>
              </w:rPr>
            </w:pPr>
            <w:r>
              <w:rPr>
                <w:noProof/>
              </w:rPr>
              <w:t>Wejście w życie dekretu ustawodawczego mającego na celu reformę włoskiego kodeksu własności przemysłowej oraz odpowiednich aktów wykonawczych</w:t>
            </w:r>
          </w:p>
        </w:tc>
      </w:tr>
      <w:tr w:rsidR="004C6421" w14:paraId="596E64B9" w14:textId="77777777">
        <w:trPr>
          <w:trHeight w:val="300"/>
        </w:trPr>
        <w:tc>
          <w:tcPr>
            <w:tcW w:w="1430" w:type="dxa"/>
            <w:shd w:val="clear" w:color="auto" w:fill="C6EFCE"/>
            <w:tcMar>
              <w:left w:w="108" w:type="dxa"/>
              <w:right w:w="108" w:type="dxa"/>
            </w:tcMar>
            <w:vAlign w:val="center"/>
          </w:tcPr>
          <w:p w14:paraId="0A5415F0" w14:textId="77777777" w:rsidR="004C6421" w:rsidRDefault="009D1962">
            <w:pPr>
              <w:pStyle w:val="P68B1DB1-Normal8"/>
              <w:jc w:val="center"/>
              <w:rPr>
                <w:noProof/>
              </w:rPr>
            </w:pPr>
            <w:r>
              <w:rPr>
                <w:noProof/>
              </w:rPr>
              <w:t>M1C3-4</w:t>
            </w:r>
          </w:p>
        </w:tc>
        <w:tc>
          <w:tcPr>
            <w:tcW w:w="3543" w:type="dxa"/>
            <w:shd w:val="clear" w:color="auto" w:fill="C6EFCE"/>
            <w:tcMar>
              <w:left w:w="108" w:type="dxa"/>
              <w:right w:w="108" w:type="dxa"/>
            </w:tcMar>
            <w:vAlign w:val="center"/>
          </w:tcPr>
          <w:p w14:paraId="56DA5122" w14:textId="77777777" w:rsidR="004C6421" w:rsidRDefault="009D1962">
            <w:pPr>
              <w:pStyle w:val="P68B1DB1-Normal8"/>
              <w:rPr>
                <w:noProof/>
              </w:rPr>
            </w:pPr>
            <w:r>
              <w:rPr>
                <w:noProof/>
              </w:rPr>
              <w:t>Inwestycje – 1.3 Poprawa efektywności energetycznej w kinach, teatrach i muzeach</w:t>
            </w:r>
          </w:p>
        </w:tc>
        <w:tc>
          <w:tcPr>
            <w:tcW w:w="1276" w:type="dxa"/>
            <w:shd w:val="clear" w:color="auto" w:fill="C6EFCE"/>
            <w:tcMar>
              <w:left w:w="108" w:type="dxa"/>
              <w:right w:w="108" w:type="dxa"/>
            </w:tcMar>
            <w:vAlign w:val="center"/>
          </w:tcPr>
          <w:p w14:paraId="106760FE" w14:textId="77777777" w:rsidR="004C6421" w:rsidRDefault="009D1962">
            <w:pPr>
              <w:pStyle w:val="P68B1DB1-Normal8"/>
              <w:rPr>
                <w:noProof/>
              </w:rPr>
            </w:pPr>
            <w:r>
              <w:rPr>
                <w:noProof/>
              </w:rPr>
              <w:t>Cel</w:t>
            </w:r>
          </w:p>
        </w:tc>
        <w:tc>
          <w:tcPr>
            <w:tcW w:w="3112" w:type="dxa"/>
            <w:shd w:val="clear" w:color="auto" w:fill="C6EFCE"/>
            <w:tcMar>
              <w:left w:w="108" w:type="dxa"/>
              <w:right w:w="108" w:type="dxa"/>
            </w:tcMar>
            <w:vAlign w:val="center"/>
          </w:tcPr>
          <w:p w14:paraId="6900A95E" w14:textId="77777777" w:rsidR="004C6421" w:rsidRDefault="009D1962">
            <w:pPr>
              <w:pStyle w:val="P68B1DB1-Normal8"/>
              <w:rPr>
                <w:noProof/>
              </w:rPr>
            </w:pPr>
            <w:r>
              <w:rPr>
                <w:noProof/>
              </w:rPr>
              <w:t>Interwencje w publicznych muzeach i obiektach kultury, salach teatralnych i kinach zamkniętych (pierwsza partia)</w:t>
            </w:r>
          </w:p>
        </w:tc>
      </w:tr>
      <w:tr w:rsidR="004C6421" w14:paraId="0209BB7A" w14:textId="77777777">
        <w:trPr>
          <w:trHeight w:val="300"/>
        </w:trPr>
        <w:tc>
          <w:tcPr>
            <w:tcW w:w="1430" w:type="dxa"/>
            <w:shd w:val="clear" w:color="auto" w:fill="C6EFCE"/>
            <w:tcMar>
              <w:left w:w="108" w:type="dxa"/>
              <w:right w:w="108" w:type="dxa"/>
            </w:tcMar>
            <w:vAlign w:val="center"/>
          </w:tcPr>
          <w:p w14:paraId="7B1AE46C" w14:textId="77777777" w:rsidR="004C6421" w:rsidRDefault="009D1962">
            <w:pPr>
              <w:pStyle w:val="P68B1DB1-Normal8"/>
              <w:jc w:val="center"/>
              <w:rPr>
                <w:noProof/>
              </w:rPr>
            </w:pPr>
            <w:r>
              <w:rPr>
                <w:noProof/>
              </w:rPr>
              <w:t>M1C1-12</w:t>
            </w:r>
          </w:p>
        </w:tc>
        <w:tc>
          <w:tcPr>
            <w:tcW w:w="3543" w:type="dxa"/>
            <w:shd w:val="clear" w:color="auto" w:fill="C6EFCE"/>
            <w:tcMar>
              <w:left w:w="108" w:type="dxa"/>
              <w:right w:w="108" w:type="dxa"/>
            </w:tcMar>
            <w:vAlign w:val="center"/>
          </w:tcPr>
          <w:p w14:paraId="51B9ED8F" w14:textId="77777777" w:rsidR="004C6421" w:rsidRDefault="009D1962">
            <w:pPr>
              <w:pStyle w:val="P68B1DB1-Normal8"/>
              <w:rPr>
                <w:noProof/>
              </w:rPr>
            </w:pPr>
            <w:r>
              <w:rPr>
                <w:noProof/>
              </w:rPr>
              <w:t>Inwestycja 1.3.2: Jednolity portal cyfrowy</w:t>
            </w:r>
          </w:p>
        </w:tc>
        <w:tc>
          <w:tcPr>
            <w:tcW w:w="1276" w:type="dxa"/>
            <w:shd w:val="clear" w:color="auto" w:fill="C6EFCE"/>
            <w:tcMar>
              <w:left w:w="108" w:type="dxa"/>
              <w:right w:w="108" w:type="dxa"/>
            </w:tcMar>
            <w:vAlign w:val="center"/>
          </w:tcPr>
          <w:p w14:paraId="64DB5732" w14:textId="77777777" w:rsidR="004C6421" w:rsidRDefault="009D1962">
            <w:pPr>
              <w:pStyle w:val="P68B1DB1-Normal8"/>
              <w:rPr>
                <w:noProof/>
              </w:rPr>
            </w:pPr>
            <w:r>
              <w:rPr>
                <w:noProof/>
              </w:rPr>
              <w:t>Cel</w:t>
            </w:r>
          </w:p>
        </w:tc>
        <w:tc>
          <w:tcPr>
            <w:tcW w:w="3112" w:type="dxa"/>
            <w:shd w:val="clear" w:color="auto" w:fill="C6EFCE"/>
            <w:tcMar>
              <w:left w:w="108" w:type="dxa"/>
              <w:right w:w="108" w:type="dxa"/>
            </w:tcMar>
            <w:vAlign w:val="center"/>
          </w:tcPr>
          <w:p w14:paraId="4DAD079C" w14:textId="77777777" w:rsidR="004C6421" w:rsidRDefault="009D1962">
            <w:pPr>
              <w:pStyle w:val="P68B1DB1-Normal8"/>
              <w:rPr>
                <w:noProof/>
              </w:rPr>
            </w:pPr>
            <w:r>
              <w:rPr>
                <w:noProof/>
              </w:rPr>
              <w:t>Jednolity portal cyfrowy</w:t>
            </w:r>
          </w:p>
        </w:tc>
      </w:tr>
      <w:tr w:rsidR="004C6421" w14:paraId="4867FA41" w14:textId="77777777">
        <w:trPr>
          <w:trHeight w:val="300"/>
        </w:trPr>
        <w:tc>
          <w:tcPr>
            <w:tcW w:w="1430" w:type="dxa"/>
            <w:shd w:val="clear" w:color="auto" w:fill="C6EFCE"/>
            <w:tcMar>
              <w:left w:w="108" w:type="dxa"/>
              <w:right w:w="108" w:type="dxa"/>
            </w:tcMar>
            <w:vAlign w:val="center"/>
          </w:tcPr>
          <w:p w14:paraId="4A69D597" w14:textId="77777777" w:rsidR="004C6421" w:rsidRDefault="009D1962">
            <w:pPr>
              <w:pStyle w:val="P68B1DB1-Normal8"/>
              <w:jc w:val="center"/>
              <w:rPr>
                <w:noProof/>
              </w:rPr>
            </w:pPr>
            <w:r>
              <w:rPr>
                <w:noProof/>
              </w:rPr>
              <w:t>M1C1-13</w:t>
            </w:r>
          </w:p>
        </w:tc>
        <w:tc>
          <w:tcPr>
            <w:tcW w:w="3543" w:type="dxa"/>
            <w:shd w:val="clear" w:color="auto" w:fill="C6EFCE"/>
            <w:tcMar>
              <w:left w:w="108" w:type="dxa"/>
              <w:right w:w="108" w:type="dxa"/>
            </w:tcMar>
            <w:vAlign w:val="center"/>
          </w:tcPr>
          <w:p w14:paraId="5933EA62" w14:textId="77777777" w:rsidR="004C6421" w:rsidRDefault="009D1962">
            <w:pPr>
              <w:pStyle w:val="P68B1DB1-Normal8"/>
              <w:rPr>
                <w:noProof/>
              </w:rPr>
            </w:pPr>
            <w:r>
              <w:rPr>
                <w:noProof/>
              </w:rPr>
              <w:t>Inwestycje 1.4.6: Mobilność jako usługa dla Włoch</w:t>
            </w:r>
          </w:p>
        </w:tc>
        <w:tc>
          <w:tcPr>
            <w:tcW w:w="1276" w:type="dxa"/>
            <w:shd w:val="clear" w:color="auto" w:fill="C6EFCE"/>
            <w:tcMar>
              <w:left w:w="108" w:type="dxa"/>
              <w:right w:w="108" w:type="dxa"/>
            </w:tcMar>
            <w:vAlign w:val="center"/>
          </w:tcPr>
          <w:p w14:paraId="37B38AFE" w14:textId="2EC5BE88" w:rsidR="004C6421" w:rsidRDefault="00CC179E">
            <w:pPr>
              <w:pStyle w:val="P68B1DB1-Normal8"/>
              <w:rPr>
                <w:noProof/>
              </w:rPr>
            </w:pPr>
            <w:r>
              <w:rPr>
                <w:noProof/>
              </w:rPr>
              <w:t>Milowy</w:t>
            </w:r>
          </w:p>
        </w:tc>
        <w:tc>
          <w:tcPr>
            <w:tcW w:w="3112" w:type="dxa"/>
            <w:shd w:val="clear" w:color="auto" w:fill="C6EFCE"/>
            <w:tcMar>
              <w:left w:w="108" w:type="dxa"/>
              <w:right w:w="108" w:type="dxa"/>
            </w:tcMar>
            <w:vAlign w:val="center"/>
          </w:tcPr>
          <w:p w14:paraId="7DE8007F" w14:textId="77777777" w:rsidR="004C6421" w:rsidRDefault="009D1962">
            <w:pPr>
              <w:pStyle w:val="P68B1DB1-Normal8"/>
              <w:rPr>
                <w:noProof/>
              </w:rPr>
            </w:pPr>
            <w:r>
              <w:rPr>
                <w:noProof/>
              </w:rPr>
              <w:t>Mobilność jako rozwiązania usługowe M1</w:t>
            </w:r>
          </w:p>
        </w:tc>
      </w:tr>
      <w:tr w:rsidR="004C6421" w14:paraId="69782673" w14:textId="77777777">
        <w:trPr>
          <w:trHeight w:val="300"/>
        </w:trPr>
        <w:tc>
          <w:tcPr>
            <w:tcW w:w="1430" w:type="dxa"/>
            <w:shd w:val="clear" w:color="auto" w:fill="C6EFCE"/>
            <w:tcMar>
              <w:left w:w="108" w:type="dxa"/>
              <w:right w:w="108" w:type="dxa"/>
            </w:tcMar>
            <w:vAlign w:val="center"/>
          </w:tcPr>
          <w:p w14:paraId="57F85BAA" w14:textId="77777777" w:rsidR="004C6421" w:rsidRDefault="009D1962">
            <w:pPr>
              <w:pStyle w:val="P68B1DB1-Normal8"/>
              <w:jc w:val="center"/>
              <w:rPr>
                <w:noProof/>
              </w:rPr>
            </w:pPr>
            <w:r>
              <w:rPr>
                <w:noProof/>
              </w:rPr>
              <w:t>M1C1-38</w:t>
            </w:r>
          </w:p>
        </w:tc>
        <w:tc>
          <w:tcPr>
            <w:tcW w:w="3543" w:type="dxa"/>
            <w:shd w:val="clear" w:color="auto" w:fill="C6EFCE"/>
            <w:tcMar>
              <w:left w:w="108" w:type="dxa"/>
              <w:right w:w="108" w:type="dxa"/>
            </w:tcMar>
            <w:vAlign w:val="center"/>
          </w:tcPr>
          <w:p w14:paraId="6DE1709B" w14:textId="77777777" w:rsidR="004C6421" w:rsidRDefault="009D1962">
            <w:pPr>
              <w:pStyle w:val="P68B1DB1-Normal8"/>
              <w:rPr>
                <w:noProof/>
              </w:rPr>
            </w:pPr>
            <w:r>
              <w:rPr>
                <w:noProof/>
              </w:rPr>
              <w:t>Reforma 1.8: Cyfryzacja wymiaru sprawiedliwości</w:t>
            </w:r>
          </w:p>
        </w:tc>
        <w:tc>
          <w:tcPr>
            <w:tcW w:w="1276" w:type="dxa"/>
            <w:shd w:val="clear" w:color="auto" w:fill="C6EFCE"/>
            <w:tcMar>
              <w:left w:w="108" w:type="dxa"/>
              <w:right w:w="108" w:type="dxa"/>
            </w:tcMar>
            <w:vAlign w:val="center"/>
          </w:tcPr>
          <w:p w14:paraId="7CA9E111" w14:textId="732B2897" w:rsidR="004C6421" w:rsidRDefault="00CC179E">
            <w:pPr>
              <w:pStyle w:val="P68B1DB1-Normal8"/>
              <w:rPr>
                <w:noProof/>
              </w:rPr>
            </w:pPr>
            <w:r>
              <w:rPr>
                <w:noProof/>
              </w:rPr>
              <w:t>Milowy</w:t>
            </w:r>
          </w:p>
        </w:tc>
        <w:tc>
          <w:tcPr>
            <w:tcW w:w="3112" w:type="dxa"/>
            <w:shd w:val="clear" w:color="auto" w:fill="C6EFCE"/>
            <w:tcMar>
              <w:left w:w="108" w:type="dxa"/>
              <w:right w:w="108" w:type="dxa"/>
            </w:tcMar>
            <w:vAlign w:val="center"/>
          </w:tcPr>
          <w:p w14:paraId="1C2C45A2" w14:textId="77777777" w:rsidR="004C6421" w:rsidRDefault="009D1962">
            <w:pPr>
              <w:pStyle w:val="P68B1DB1-Normal8"/>
              <w:rPr>
                <w:noProof/>
              </w:rPr>
            </w:pPr>
            <w:r>
              <w:rPr>
                <w:noProof/>
              </w:rPr>
              <w:t>Cyfryzacja systemu wymiaru sprawiedliwości</w:t>
            </w:r>
          </w:p>
        </w:tc>
      </w:tr>
      <w:tr w:rsidR="004C6421" w14:paraId="1182BDE8" w14:textId="77777777">
        <w:trPr>
          <w:trHeight w:val="300"/>
        </w:trPr>
        <w:tc>
          <w:tcPr>
            <w:tcW w:w="1430" w:type="dxa"/>
            <w:shd w:val="clear" w:color="auto" w:fill="C6EFCE"/>
            <w:tcMar>
              <w:left w:w="108" w:type="dxa"/>
              <w:right w:w="108" w:type="dxa"/>
            </w:tcMar>
            <w:vAlign w:val="center"/>
          </w:tcPr>
          <w:p w14:paraId="4167F85F" w14:textId="77777777" w:rsidR="004C6421" w:rsidRDefault="009D1962">
            <w:pPr>
              <w:pStyle w:val="P68B1DB1-Normal8"/>
              <w:jc w:val="center"/>
              <w:rPr>
                <w:noProof/>
              </w:rPr>
            </w:pPr>
            <w:r>
              <w:rPr>
                <w:noProof/>
              </w:rPr>
              <w:t>M1C1-59</w:t>
            </w:r>
          </w:p>
        </w:tc>
        <w:tc>
          <w:tcPr>
            <w:tcW w:w="3543" w:type="dxa"/>
            <w:shd w:val="clear" w:color="auto" w:fill="C6EFCE"/>
            <w:tcMar>
              <w:left w:w="108" w:type="dxa"/>
              <w:right w:w="108" w:type="dxa"/>
            </w:tcMar>
            <w:vAlign w:val="center"/>
          </w:tcPr>
          <w:p w14:paraId="4CB0323F" w14:textId="77777777" w:rsidR="004C6421" w:rsidRDefault="009D1962">
            <w:pPr>
              <w:pStyle w:val="P68B1DB1-Normal8"/>
              <w:rPr>
                <w:noProof/>
              </w:rPr>
            </w:pPr>
            <w:r>
              <w:rPr>
                <w:noProof/>
              </w:rPr>
              <w:t>Reforma 1.9: Reforma administracji publicznej</w:t>
            </w:r>
          </w:p>
        </w:tc>
        <w:tc>
          <w:tcPr>
            <w:tcW w:w="1276" w:type="dxa"/>
            <w:shd w:val="clear" w:color="auto" w:fill="C6EFCE"/>
            <w:tcMar>
              <w:left w:w="108" w:type="dxa"/>
              <w:right w:w="108" w:type="dxa"/>
            </w:tcMar>
            <w:vAlign w:val="center"/>
          </w:tcPr>
          <w:p w14:paraId="1E847DA5" w14:textId="59C12A1B" w:rsidR="004C6421" w:rsidRDefault="00CC179E">
            <w:pPr>
              <w:pStyle w:val="P68B1DB1-Normal8"/>
              <w:rPr>
                <w:noProof/>
              </w:rPr>
            </w:pPr>
            <w:r>
              <w:rPr>
                <w:noProof/>
              </w:rPr>
              <w:t>Milowy</w:t>
            </w:r>
          </w:p>
        </w:tc>
        <w:tc>
          <w:tcPr>
            <w:tcW w:w="3112" w:type="dxa"/>
            <w:shd w:val="clear" w:color="auto" w:fill="C6EFCE"/>
            <w:tcMar>
              <w:left w:w="108" w:type="dxa"/>
              <w:right w:w="108" w:type="dxa"/>
            </w:tcMar>
            <w:vAlign w:val="center"/>
          </w:tcPr>
          <w:p w14:paraId="5BD4E5DA" w14:textId="77777777" w:rsidR="004C6421" w:rsidRDefault="009D1962">
            <w:pPr>
              <w:pStyle w:val="P68B1DB1-Normal8"/>
              <w:rPr>
                <w:noProof/>
              </w:rPr>
            </w:pPr>
            <w:r>
              <w:rPr>
                <w:noProof/>
              </w:rPr>
              <w:t>Wejście w życie strategicznego zarządzania zasobami ludzkimi w administracji publicznej</w:t>
            </w:r>
          </w:p>
        </w:tc>
      </w:tr>
      <w:tr w:rsidR="004C6421" w14:paraId="461C8883" w14:textId="77777777">
        <w:trPr>
          <w:trHeight w:val="300"/>
        </w:trPr>
        <w:tc>
          <w:tcPr>
            <w:tcW w:w="1430" w:type="dxa"/>
            <w:shd w:val="clear" w:color="auto" w:fill="C6EFCE"/>
            <w:tcMar>
              <w:left w:w="108" w:type="dxa"/>
              <w:right w:w="108" w:type="dxa"/>
            </w:tcMar>
            <w:vAlign w:val="center"/>
          </w:tcPr>
          <w:p w14:paraId="5FBC1B5C" w14:textId="77777777" w:rsidR="004C6421" w:rsidRDefault="009D1962">
            <w:pPr>
              <w:pStyle w:val="P68B1DB1-Normal8"/>
              <w:jc w:val="center"/>
              <w:rPr>
                <w:noProof/>
              </w:rPr>
            </w:pPr>
            <w:r>
              <w:rPr>
                <w:noProof/>
              </w:rPr>
              <w:t>M1C1-73quater</w:t>
            </w:r>
          </w:p>
        </w:tc>
        <w:tc>
          <w:tcPr>
            <w:tcW w:w="3543" w:type="dxa"/>
            <w:shd w:val="clear" w:color="auto" w:fill="C6EFCE"/>
            <w:tcMar>
              <w:left w:w="108" w:type="dxa"/>
              <w:right w:w="108" w:type="dxa"/>
            </w:tcMar>
            <w:vAlign w:val="center"/>
          </w:tcPr>
          <w:p w14:paraId="4E728D76" w14:textId="77777777" w:rsidR="004C6421" w:rsidRDefault="009D1962">
            <w:pPr>
              <w:pStyle w:val="P68B1DB1-Normal8"/>
              <w:rPr>
                <w:noProof/>
              </w:rPr>
            </w:pPr>
            <w:r>
              <w:rPr>
                <w:noProof/>
              </w:rPr>
              <w:t>Reforma 1.10: Reforma ram prawnych dotyczących zamówień publicznych</w:t>
            </w:r>
          </w:p>
        </w:tc>
        <w:tc>
          <w:tcPr>
            <w:tcW w:w="1276" w:type="dxa"/>
            <w:shd w:val="clear" w:color="auto" w:fill="C6EFCE"/>
            <w:tcMar>
              <w:left w:w="108" w:type="dxa"/>
              <w:right w:w="108" w:type="dxa"/>
            </w:tcMar>
            <w:vAlign w:val="center"/>
          </w:tcPr>
          <w:p w14:paraId="1BA9B712" w14:textId="62793462" w:rsidR="004C6421" w:rsidRDefault="00CC179E">
            <w:pPr>
              <w:pStyle w:val="P68B1DB1-Normal8"/>
              <w:rPr>
                <w:noProof/>
              </w:rPr>
            </w:pPr>
            <w:r>
              <w:rPr>
                <w:noProof/>
              </w:rPr>
              <w:t>Milowy</w:t>
            </w:r>
          </w:p>
        </w:tc>
        <w:tc>
          <w:tcPr>
            <w:tcW w:w="3112" w:type="dxa"/>
            <w:shd w:val="clear" w:color="auto" w:fill="C6EFCE"/>
            <w:tcMar>
              <w:left w:w="108" w:type="dxa"/>
              <w:right w:w="108" w:type="dxa"/>
            </w:tcMar>
            <w:vAlign w:val="center"/>
          </w:tcPr>
          <w:p w14:paraId="58E0E0CA" w14:textId="77777777" w:rsidR="004C6421" w:rsidRDefault="009D1962">
            <w:pPr>
              <w:pStyle w:val="P68B1DB1-Normal8"/>
              <w:rPr>
                <w:noProof/>
              </w:rPr>
            </w:pPr>
            <w:r>
              <w:rPr>
                <w:noProof/>
              </w:rPr>
              <w:t>Wejście w życie wytycznych dotyczących zamówień poniżej progu UE</w:t>
            </w:r>
          </w:p>
        </w:tc>
      </w:tr>
      <w:tr w:rsidR="004C6421" w14:paraId="3672012C" w14:textId="77777777">
        <w:trPr>
          <w:trHeight w:val="300"/>
        </w:trPr>
        <w:tc>
          <w:tcPr>
            <w:tcW w:w="1430" w:type="dxa"/>
            <w:shd w:val="clear" w:color="auto" w:fill="C6EFCE"/>
            <w:tcMar>
              <w:left w:w="108" w:type="dxa"/>
              <w:right w:w="108" w:type="dxa"/>
            </w:tcMar>
            <w:vAlign w:val="center"/>
          </w:tcPr>
          <w:p w14:paraId="4FADEF58" w14:textId="77777777" w:rsidR="004C6421" w:rsidRDefault="009D1962">
            <w:pPr>
              <w:pStyle w:val="P68B1DB1-Normal8"/>
              <w:jc w:val="center"/>
              <w:rPr>
                <w:noProof/>
              </w:rPr>
            </w:pPr>
            <w:r>
              <w:rPr>
                <w:noProof/>
              </w:rPr>
              <w:t>M1C1-75</w:t>
            </w:r>
          </w:p>
        </w:tc>
        <w:tc>
          <w:tcPr>
            <w:tcW w:w="3543" w:type="dxa"/>
            <w:shd w:val="clear" w:color="auto" w:fill="C6EFCE"/>
            <w:tcMar>
              <w:left w:w="108" w:type="dxa"/>
              <w:right w:w="108" w:type="dxa"/>
            </w:tcMar>
            <w:vAlign w:val="center"/>
          </w:tcPr>
          <w:p w14:paraId="5EC3D012" w14:textId="77777777" w:rsidR="004C6421" w:rsidRDefault="009D1962">
            <w:pPr>
              <w:pStyle w:val="P68B1DB1-Normal8"/>
              <w:rPr>
                <w:noProof/>
              </w:rPr>
            </w:pPr>
            <w:r>
              <w:rPr>
                <w:noProof/>
              </w:rPr>
              <w:t>Reforma 1.10: Reforma ram prawnych dotyczących zamówień publicznych</w:t>
            </w:r>
          </w:p>
        </w:tc>
        <w:tc>
          <w:tcPr>
            <w:tcW w:w="1276" w:type="dxa"/>
            <w:shd w:val="clear" w:color="auto" w:fill="C6EFCE"/>
            <w:tcMar>
              <w:left w:w="108" w:type="dxa"/>
              <w:right w:w="108" w:type="dxa"/>
            </w:tcMar>
            <w:vAlign w:val="center"/>
          </w:tcPr>
          <w:p w14:paraId="191218DC" w14:textId="5EDB86FD" w:rsidR="004C6421" w:rsidRDefault="00CC179E">
            <w:pPr>
              <w:pStyle w:val="P68B1DB1-Normal8"/>
              <w:rPr>
                <w:noProof/>
              </w:rPr>
            </w:pPr>
            <w:r>
              <w:rPr>
                <w:noProof/>
              </w:rPr>
              <w:t>Milowy</w:t>
            </w:r>
          </w:p>
        </w:tc>
        <w:tc>
          <w:tcPr>
            <w:tcW w:w="3112" w:type="dxa"/>
            <w:shd w:val="clear" w:color="auto" w:fill="C6EFCE"/>
            <w:tcMar>
              <w:left w:w="108" w:type="dxa"/>
              <w:right w:w="108" w:type="dxa"/>
            </w:tcMar>
            <w:vAlign w:val="center"/>
          </w:tcPr>
          <w:p w14:paraId="66506CFD" w14:textId="77777777" w:rsidR="004C6421" w:rsidRDefault="009D1962">
            <w:pPr>
              <w:pStyle w:val="P68B1DB1-Normal8"/>
              <w:rPr>
                <w:noProof/>
              </w:rPr>
            </w:pPr>
            <w:r>
              <w:rPr>
                <w:noProof/>
              </w:rPr>
              <w:t>Pełne funkcjonowanie krajowego systemu e-zamówień</w:t>
            </w:r>
          </w:p>
        </w:tc>
      </w:tr>
      <w:tr w:rsidR="004C6421" w14:paraId="70D090D9" w14:textId="77777777">
        <w:trPr>
          <w:trHeight w:val="300"/>
        </w:trPr>
        <w:tc>
          <w:tcPr>
            <w:tcW w:w="1430" w:type="dxa"/>
            <w:shd w:val="clear" w:color="auto" w:fill="C6EFCE"/>
            <w:tcMar>
              <w:left w:w="108" w:type="dxa"/>
              <w:right w:w="108" w:type="dxa"/>
            </w:tcMar>
            <w:vAlign w:val="center"/>
          </w:tcPr>
          <w:p w14:paraId="4EA3D7F7" w14:textId="77777777" w:rsidR="004C6421" w:rsidRDefault="009D1962">
            <w:pPr>
              <w:pStyle w:val="P68B1DB1-Normal8"/>
              <w:jc w:val="center"/>
              <w:rPr>
                <w:noProof/>
              </w:rPr>
            </w:pPr>
            <w:r>
              <w:rPr>
                <w:noProof/>
              </w:rPr>
              <w:t>M1C1-84</w:t>
            </w:r>
          </w:p>
        </w:tc>
        <w:tc>
          <w:tcPr>
            <w:tcW w:w="3543" w:type="dxa"/>
            <w:shd w:val="clear" w:color="auto" w:fill="C6EFCE"/>
            <w:tcMar>
              <w:left w:w="108" w:type="dxa"/>
              <w:right w:w="108" w:type="dxa"/>
            </w:tcMar>
            <w:vAlign w:val="center"/>
          </w:tcPr>
          <w:p w14:paraId="7EA0F68B" w14:textId="77777777" w:rsidR="004C6421" w:rsidRDefault="009D1962">
            <w:pPr>
              <w:pStyle w:val="P68B1DB1-Normal8"/>
              <w:rPr>
                <w:noProof/>
              </w:rPr>
            </w:pPr>
            <w:r>
              <w:rPr>
                <w:noProof/>
              </w:rPr>
              <w:t>Reforma 1.10: Reforma ram prawnych dotyczących zamówień publicznych</w:t>
            </w:r>
          </w:p>
        </w:tc>
        <w:tc>
          <w:tcPr>
            <w:tcW w:w="1276" w:type="dxa"/>
            <w:shd w:val="clear" w:color="auto" w:fill="C6EFCE"/>
            <w:tcMar>
              <w:left w:w="108" w:type="dxa"/>
              <w:right w:w="108" w:type="dxa"/>
            </w:tcMar>
            <w:vAlign w:val="center"/>
          </w:tcPr>
          <w:p w14:paraId="001F2E35" w14:textId="77777777" w:rsidR="004C6421" w:rsidRDefault="009D1962">
            <w:pPr>
              <w:pStyle w:val="P68B1DB1-Normal8"/>
              <w:rPr>
                <w:noProof/>
              </w:rPr>
            </w:pPr>
            <w:r>
              <w:rPr>
                <w:noProof/>
              </w:rPr>
              <w:t>Cel</w:t>
            </w:r>
          </w:p>
        </w:tc>
        <w:tc>
          <w:tcPr>
            <w:tcW w:w="3112" w:type="dxa"/>
            <w:shd w:val="clear" w:color="auto" w:fill="C6EFCE"/>
            <w:tcMar>
              <w:left w:w="108" w:type="dxa"/>
              <w:right w:w="108" w:type="dxa"/>
            </w:tcMar>
            <w:vAlign w:val="center"/>
          </w:tcPr>
          <w:p w14:paraId="473C5689" w14:textId="77777777" w:rsidR="004C6421" w:rsidRDefault="009D1962">
            <w:pPr>
              <w:pStyle w:val="P68B1DB1-Normal8"/>
              <w:rPr>
                <w:noProof/>
              </w:rPr>
            </w:pPr>
            <w:r>
              <w:rPr>
                <w:noProof/>
              </w:rPr>
              <w:t>Średni czas między publikacją a udzieleniem zamówienia</w:t>
            </w:r>
          </w:p>
        </w:tc>
      </w:tr>
      <w:tr w:rsidR="004C6421" w14:paraId="60FAA2E8" w14:textId="77777777">
        <w:trPr>
          <w:trHeight w:val="300"/>
        </w:trPr>
        <w:tc>
          <w:tcPr>
            <w:tcW w:w="1430" w:type="dxa"/>
            <w:shd w:val="clear" w:color="auto" w:fill="C6EFCE"/>
            <w:tcMar>
              <w:left w:w="108" w:type="dxa"/>
              <w:right w:w="108" w:type="dxa"/>
            </w:tcMar>
            <w:vAlign w:val="center"/>
          </w:tcPr>
          <w:p w14:paraId="0C51BD36" w14:textId="77777777" w:rsidR="004C6421" w:rsidRDefault="009D1962">
            <w:pPr>
              <w:pStyle w:val="P68B1DB1-Normal8"/>
              <w:jc w:val="center"/>
              <w:rPr>
                <w:noProof/>
              </w:rPr>
            </w:pPr>
            <w:r>
              <w:rPr>
                <w:noProof/>
              </w:rPr>
              <w:t>M1C1-86</w:t>
            </w:r>
          </w:p>
        </w:tc>
        <w:tc>
          <w:tcPr>
            <w:tcW w:w="3543" w:type="dxa"/>
            <w:shd w:val="clear" w:color="auto" w:fill="C6EFCE"/>
            <w:tcMar>
              <w:left w:w="108" w:type="dxa"/>
              <w:right w:w="108" w:type="dxa"/>
            </w:tcMar>
            <w:vAlign w:val="center"/>
          </w:tcPr>
          <w:p w14:paraId="36D47525" w14:textId="77777777" w:rsidR="004C6421" w:rsidRDefault="009D1962">
            <w:pPr>
              <w:pStyle w:val="P68B1DB1-Normal8"/>
              <w:rPr>
                <w:noProof/>
              </w:rPr>
            </w:pPr>
            <w:r>
              <w:rPr>
                <w:noProof/>
              </w:rPr>
              <w:t>Reforma 1.10: Reforma ram prawnych dotyczących zamówień publicznych</w:t>
            </w:r>
          </w:p>
        </w:tc>
        <w:tc>
          <w:tcPr>
            <w:tcW w:w="1276" w:type="dxa"/>
            <w:shd w:val="clear" w:color="auto" w:fill="C6EFCE"/>
            <w:tcMar>
              <w:left w:w="108" w:type="dxa"/>
              <w:right w:w="108" w:type="dxa"/>
            </w:tcMar>
            <w:vAlign w:val="center"/>
          </w:tcPr>
          <w:p w14:paraId="0F9ECC95" w14:textId="77777777" w:rsidR="004C6421" w:rsidRDefault="009D1962">
            <w:pPr>
              <w:pStyle w:val="P68B1DB1-Normal8"/>
              <w:rPr>
                <w:noProof/>
              </w:rPr>
            </w:pPr>
            <w:r>
              <w:rPr>
                <w:noProof/>
              </w:rPr>
              <w:t>Cel</w:t>
            </w:r>
          </w:p>
        </w:tc>
        <w:tc>
          <w:tcPr>
            <w:tcW w:w="3112" w:type="dxa"/>
            <w:shd w:val="clear" w:color="auto" w:fill="C6EFCE"/>
            <w:tcMar>
              <w:left w:w="108" w:type="dxa"/>
              <w:right w:w="108" w:type="dxa"/>
            </w:tcMar>
            <w:vAlign w:val="center"/>
          </w:tcPr>
          <w:p w14:paraId="5A1B3630" w14:textId="77777777" w:rsidR="004C6421" w:rsidRDefault="009D1962">
            <w:pPr>
              <w:pStyle w:val="P68B1DB1-Normal8"/>
              <w:rPr>
                <w:noProof/>
              </w:rPr>
            </w:pPr>
            <w:r>
              <w:rPr>
                <w:noProof/>
              </w:rPr>
              <w:t>Urzędnicy służby cywilnej przeszkoleni w ramach strategii na rzecz profesjonalizacji nabywców publicznych</w:t>
            </w:r>
          </w:p>
        </w:tc>
      </w:tr>
      <w:tr w:rsidR="004C6421" w14:paraId="450898B0" w14:textId="77777777">
        <w:trPr>
          <w:trHeight w:val="300"/>
        </w:trPr>
        <w:tc>
          <w:tcPr>
            <w:tcW w:w="1430" w:type="dxa"/>
            <w:shd w:val="clear" w:color="auto" w:fill="C6EFCE"/>
            <w:tcMar>
              <w:left w:w="108" w:type="dxa"/>
              <w:right w:w="108" w:type="dxa"/>
            </w:tcMar>
            <w:vAlign w:val="center"/>
          </w:tcPr>
          <w:p w14:paraId="0A488576" w14:textId="77777777" w:rsidR="004C6421" w:rsidRDefault="009D1962">
            <w:pPr>
              <w:pStyle w:val="P68B1DB1-Normal8"/>
              <w:jc w:val="center"/>
              <w:rPr>
                <w:noProof/>
              </w:rPr>
            </w:pPr>
            <w:r>
              <w:rPr>
                <w:noProof/>
              </w:rPr>
              <w:t>M1C1-87</w:t>
            </w:r>
          </w:p>
        </w:tc>
        <w:tc>
          <w:tcPr>
            <w:tcW w:w="3543" w:type="dxa"/>
            <w:shd w:val="clear" w:color="auto" w:fill="C6EFCE"/>
            <w:tcMar>
              <w:left w:w="108" w:type="dxa"/>
              <w:right w:w="108" w:type="dxa"/>
            </w:tcMar>
            <w:vAlign w:val="center"/>
          </w:tcPr>
          <w:p w14:paraId="1B34B7EB" w14:textId="77777777" w:rsidR="004C6421" w:rsidRDefault="009D1962">
            <w:pPr>
              <w:pStyle w:val="P68B1DB1-Normal8"/>
              <w:rPr>
                <w:noProof/>
              </w:rPr>
            </w:pPr>
            <w:r>
              <w:rPr>
                <w:noProof/>
              </w:rPr>
              <w:t>Reforma 1.10: Reforma ram prawnych dotyczących zamówień publicznych</w:t>
            </w:r>
          </w:p>
        </w:tc>
        <w:tc>
          <w:tcPr>
            <w:tcW w:w="1276" w:type="dxa"/>
            <w:shd w:val="clear" w:color="auto" w:fill="C6EFCE"/>
            <w:tcMar>
              <w:left w:w="108" w:type="dxa"/>
              <w:right w:w="108" w:type="dxa"/>
            </w:tcMar>
            <w:vAlign w:val="center"/>
          </w:tcPr>
          <w:p w14:paraId="508060C0" w14:textId="77777777" w:rsidR="004C6421" w:rsidRDefault="009D1962">
            <w:pPr>
              <w:pStyle w:val="P68B1DB1-Normal8"/>
              <w:rPr>
                <w:noProof/>
              </w:rPr>
            </w:pPr>
            <w:r>
              <w:rPr>
                <w:noProof/>
              </w:rPr>
              <w:t>Cel</w:t>
            </w:r>
          </w:p>
        </w:tc>
        <w:tc>
          <w:tcPr>
            <w:tcW w:w="3112" w:type="dxa"/>
            <w:shd w:val="clear" w:color="auto" w:fill="C6EFCE"/>
            <w:tcMar>
              <w:left w:w="108" w:type="dxa"/>
              <w:right w:w="108" w:type="dxa"/>
            </w:tcMar>
            <w:vAlign w:val="center"/>
          </w:tcPr>
          <w:p w14:paraId="680C904C" w14:textId="77777777" w:rsidR="004C6421" w:rsidRDefault="009D1962">
            <w:pPr>
              <w:pStyle w:val="P68B1DB1-Normal8"/>
              <w:rPr>
                <w:noProof/>
              </w:rPr>
            </w:pPr>
            <w:r>
              <w:rPr>
                <w:noProof/>
              </w:rPr>
              <w:t>Instytucje zamawiające stosujące dynamiczne systemy zakupów</w:t>
            </w:r>
          </w:p>
        </w:tc>
      </w:tr>
      <w:tr w:rsidR="004C6421" w14:paraId="3F82FA54" w14:textId="77777777">
        <w:trPr>
          <w:trHeight w:val="300"/>
        </w:trPr>
        <w:tc>
          <w:tcPr>
            <w:tcW w:w="1430" w:type="dxa"/>
            <w:shd w:val="clear" w:color="auto" w:fill="C6EFCE"/>
            <w:tcMar>
              <w:left w:w="108" w:type="dxa"/>
              <w:right w:w="108" w:type="dxa"/>
            </w:tcMar>
            <w:vAlign w:val="center"/>
          </w:tcPr>
          <w:p w14:paraId="75D6730C" w14:textId="77777777" w:rsidR="004C6421" w:rsidRDefault="009D1962">
            <w:pPr>
              <w:pStyle w:val="P68B1DB1-Normal8"/>
              <w:jc w:val="center"/>
              <w:rPr>
                <w:noProof/>
              </w:rPr>
            </w:pPr>
            <w:r>
              <w:rPr>
                <w:noProof/>
              </w:rPr>
              <w:t>M1C1-110</w:t>
            </w:r>
          </w:p>
        </w:tc>
        <w:tc>
          <w:tcPr>
            <w:tcW w:w="3543" w:type="dxa"/>
            <w:shd w:val="clear" w:color="auto" w:fill="C6EFCE"/>
            <w:tcMar>
              <w:left w:w="108" w:type="dxa"/>
              <w:right w:w="108" w:type="dxa"/>
            </w:tcMar>
            <w:vAlign w:val="center"/>
          </w:tcPr>
          <w:p w14:paraId="3F088EC4" w14:textId="77777777" w:rsidR="004C6421" w:rsidRDefault="009D1962">
            <w:pPr>
              <w:pStyle w:val="P68B1DB1-Normal8"/>
              <w:rPr>
                <w:noProof/>
              </w:rPr>
            </w:pPr>
            <w:r>
              <w:rPr>
                <w:noProof/>
              </w:rPr>
              <w:t>Reforma 1.13: Reforma ram przeglądu wydatków</w:t>
            </w:r>
          </w:p>
        </w:tc>
        <w:tc>
          <w:tcPr>
            <w:tcW w:w="1276" w:type="dxa"/>
            <w:shd w:val="clear" w:color="auto" w:fill="C6EFCE"/>
            <w:tcMar>
              <w:left w:w="108" w:type="dxa"/>
              <w:right w:w="108" w:type="dxa"/>
            </w:tcMar>
            <w:vAlign w:val="center"/>
          </w:tcPr>
          <w:p w14:paraId="4659D556" w14:textId="26D68DA0" w:rsidR="004C6421" w:rsidRDefault="00CC179E">
            <w:pPr>
              <w:pStyle w:val="P68B1DB1-Normal8"/>
              <w:rPr>
                <w:noProof/>
              </w:rPr>
            </w:pPr>
            <w:r>
              <w:rPr>
                <w:noProof/>
              </w:rPr>
              <w:t>Milowy</w:t>
            </w:r>
          </w:p>
        </w:tc>
        <w:tc>
          <w:tcPr>
            <w:tcW w:w="3112" w:type="dxa"/>
            <w:shd w:val="clear" w:color="auto" w:fill="C6EFCE"/>
            <w:tcMar>
              <w:left w:w="108" w:type="dxa"/>
              <w:right w:w="108" w:type="dxa"/>
            </w:tcMar>
            <w:vAlign w:val="center"/>
          </w:tcPr>
          <w:p w14:paraId="7F5A1FCD" w14:textId="77777777" w:rsidR="004C6421" w:rsidRDefault="009D1962">
            <w:pPr>
              <w:pStyle w:val="P68B1DB1-Normal8"/>
              <w:rPr>
                <w:noProof/>
              </w:rPr>
            </w:pPr>
            <w:r>
              <w:rPr>
                <w:noProof/>
              </w:rPr>
              <w:t>Zmiana klasyfikacji ogólnego budżetu państwa w odniesieniu do wydatków na ochronę środowiska oraz wydatków promujących równość płci</w:t>
            </w:r>
          </w:p>
        </w:tc>
      </w:tr>
      <w:tr w:rsidR="004C6421" w14:paraId="46782338" w14:textId="77777777">
        <w:trPr>
          <w:trHeight w:val="300"/>
        </w:trPr>
        <w:tc>
          <w:tcPr>
            <w:tcW w:w="1430" w:type="dxa"/>
            <w:shd w:val="clear" w:color="auto" w:fill="C6EFCE"/>
            <w:tcMar>
              <w:left w:w="108" w:type="dxa"/>
              <w:right w:w="108" w:type="dxa"/>
            </w:tcMar>
            <w:vAlign w:val="center"/>
          </w:tcPr>
          <w:p w14:paraId="1ECA2FED" w14:textId="77777777" w:rsidR="004C6421" w:rsidRDefault="009D1962">
            <w:pPr>
              <w:pStyle w:val="P68B1DB1-Normal8"/>
              <w:jc w:val="center"/>
              <w:rPr>
                <w:noProof/>
              </w:rPr>
            </w:pPr>
            <w:r>
              <w:rPr>
                <w:noProof/>
              </w:rPr>
              <w:t>M1C2-9</w:t>
            </w:r>
          </w:p>
        </w:tc>
        <w:tc>
          <w:tcPr>
            <w:tcW w:w="3543" w:type="dxa"/>
            <w:shd w:val="clear" w:color="auto" w:fill="C6EFCE"/>
            <w:tcMar>
              <w:left w:w="108" w:type="dxa"/>
              <w:right w:w="108" w:type="dxa"/>
            </w:tcMar>
            <w:vAlign w:val="center"/>
          </w:tcPr>
          <w:p w14:paraId="4D9D4E8B" w14:textId="77777777" w:rsidR="004C6421" w:rsidRDefault="009D1962">
            <w:pPr>
              <w:pStyle w:val="P68B1DB1-Normal8"/>
              <w:rPr>
                <w:noProof/>
              </w:rPr>
            </w:pPr>
            <w:r>
              <w:rPr>
                <w:noProof/>
              </w:rPr>
              <w:t>Reforma nr 2: Roczne ustawy o konkurencji</w:t>
            </w:r>
          </w:p>
        </w:tc>
        <w:tc>
          <w:tcPr>
            <w:tcW w:w="1276" w:type="dxa"/>
            <w:shd w:val="clear" w:color="auto" w:fill="C6EFCE"/>
            <w:tcMar>
              <w:left w:w="108" w:type="dxa"/>
              <w:right w:w="108" w:type="dxa"/>
            </w:tcMar>
            <w:vAlign w:val="center"/>
          </w:tcPr>
          <w:p w14:paraId="26DB1439" w14:textId="1003F451" w:rsidR="004C6421" w:rsidRDefault="00CC179E">
            <w:pPr>
              <w:pStyle w:val="P68B1DB1-Normal8"/>
              <w:rPr>
                <w:noProof/>
              </w:rPr>
            </w:pPr>
            <w:r>
              <w:rPr>
                <w:noProof/>
              </w:rPr>
              <w:t>Milowy</w:t>
            </w:r>
          </w:p>
        </w:tc>
        <w:tc>
          <w:tcPr>
            <w:tcW w:w="3112" w:type="dxa"/>
            <w:shd w:val="clear" w:color="auto" w:fill="C6EFCE"/>
            <w:tcMar>
              <w:left w:w="108" w:type="dxa"/>
              <w:right w:w="108" w:type="dxa"/>
            </w:tcMar>
            <w:vAlign w:val="center"/>
          </w:tcPr>
          <w:p w14:paraId="3DA38D7F" w14:textId="77777777" w:rsidR="004C6421" w:rsidRDefault="009D1962">
            <w:pPr>
              <w:pStyle w:val="P68B1DB1-Normal8"/>
              <w:rPr>
                <w:noProof/>
              </w:rPr>
            </w:pPr>
            <w:r>
              <w:rPr>
                <w:noProof/>
              </w:rPr>
              <w:t>Wejście w życie rocznej ustawy o konkurencji 2022 r.</w:t>
            </w:r>
          </w:p>
        </w:tc>
      </w:tr>
      <w:tr w:rsidR="004C6421" w14:paraId="3A394629" w14:textId="77777777">
        <w:trPr>
          <w:trHeight w:val="300"/>
        </w:trPr>
        <w:tc>
          <w:tcPr>
            <w:tcW w:w="1430" w:type="dxa"/>
            <w:shd w:val="clear" w:color="auto" w:fill="C6EFCE"/>
            <w:tcMar>
              <w:left w:w="108" w:type="dxa"/>
              <w:right w:w="108" w:type="dxa"/>
            </w:tcMar>
            <w:vAlign w:val="center"/>
          </w:tcPr>
          <w:p w14:paraId="09EBEC45" w14:textId="77777777" w:rsidR="004C6421" w:rsidRDefault="009D1962">
            <w:pPr>
              <w:pStyle w:val="P68B1DB1-Normal8"/>
              <w:jc w:val="center"/>
              <w:rPr>
                <w:noProof/>
              </w:rPr>
            </w:pPr>
            <w:r>
              <w:rPr>
                <w:noProof/>
              </w:rPr>
              <w:t>M1C2-10</w:t>
            </w:r>
          </w:p>
        </w:tc>
        <w:tc>
          <w:tcPr>
            <w:tcW w:w="3543" w:type="dxa"/>
            <w:shd w:val="clear" w:color="auto" w:fill="C6EFCE"/>
            <w:tcMar>
              <w:left w:w="108" w:type="dxa"/>
              <w:right w:w="108" w:type="dxa"/>
            </w:tcMar>
            <w:vAlign w:val="center"/>
          </w:tcPr>
          <w:p w14:paraId="3AD3CD23" w14:textId="77777777" w:rsidR="004C6421" w:rsidRDefault="009D1962">
            <w:pPr>
              <w:pStyle w:val="P68B1DB1-Normal8"/>
              <w:rPr>
                <w:noProof/>
              </w:rPr>
            </w:pPr>
            <w:r>
              <w:rPr>
                <w:noProof/>
              </w:rPr>
              <w:t>Reforma nr 2: Roczne ustawy o konkurencji</w:t>
            </w:r>
          </w:p>
        </w:tc>
        <w:tc>
          <w:tcPr>
            <w:tcW w:w="1276" w:type="dxa"/>
            <w:shd w:val="clear" w:color="auto" w:fill="C6EFCE"/>
            <w:tcMar>
              <w:left w:w="108" w:type="dxa"/>
              <w:right w:w="108" w:type="dxa"/>
            </w:tcMar>
            <w:vAlign w:val="center"/>
          </w:tcPr>
          <w:p w14:paraId="6A7188C9" w14:textId="02C07BF4" w:rsidR="004C6421" w:rsidRDefault="00CC179E">
            <w:pPr>
              <w:pStyle w:val="P68B1DB1-Normal8"/>
              <w:rPr>
                <w:noProof/>
              </w:rPr>
            </w:pPr>
            <w:r>
              <w:rPr>
                <w:noProof/>
              </w:rPr>
              <w:t>Milowy</w:t>
            </w:r>
          </w:p>
        </w:tc>
        <w:tc>
          <w:tcPr>
            <w:tcW w:w="3112" w:type="dxa"/>
            <w:shd w:val="clear" w:color="auto" w:fill="C6EFCE"/>
            <w:tcMar>
              <w:left w:w="108" w:type="dxa"/>
              <w:right w:w="108" w:type="dxa"/>
            </w:tcMar>
            <w:vAlign w:val="center"/>
          </w:tcPr>
          <w:p w14:paraId="20997564" w14:textId="77777777" w:rsidR="004C6421" w:rsidRDefault="009D1962">
            <w:pPr>
              <w:pStyle w:val="P68B1DB1-Normal8"/>
              <w:rPr>
                <w:noProof/>
              </w:rPr>
            </w:pPr>
            <w:r>
              <w:rPr>
                <w:noProof/>
              </w:rPr>
              <w:t>Wejście w życie wszystkich środków wykonawczych (w tym, w razie potrzeby, prawa wtórnego) w celu skutecznego wdrożenia i stosowania środków wynikających z rocznej ustawy o konkurencji z 2022 r.</w:t>
            </w:r>
          </w:p>
        </w:tc>
      </w:tr>
      <w:tr w:rsidR="004C6421" w14:paraId="5804C7EC" w14:textId="77777777">
        <w:trPr>
          <w:trHeight w:val="300"/>
        </w:trPr>
        <w:tc>
          <w:tcPr>
            <w:tcW w:w="1430" w:type="dxa"/>
            <w:shd w:val="clear" w:color="auto" w:fill="C6EFCE"/>
            <w:tcMar>
              <w:left w:w="108" w:type="dxa"/>
              <w:right w:w="108" w:type="dxa"/>
            </w:tcMar>
            <w:vAlign w:val="center"/>
          </w:tcPr>
          <w:p w14:paraId="42455BA6" w14:textId="77777777" w:rsidR="004C6421" w:rsidRDefault="009D1962">
            <w:pPr>
              <w:pStyle w:val="P68B1DB1-Normal8"/>
              <w:jc w:val="center"/>
              <w:rPr>
                <w:noProof/>
              </w:rPr>
            </w:pPr>
            <w:r>
              <w:rPr>
                <w:noProof/>
              </w:rPr>
              <w:t>M1C3-7</w:t>
            </w:r>
          </w:p>
        </w:tc>
        <w:tc>
          <w:tcPr>
            <w:tcW w:w="3543" w:type="dxa"/>
            <w:shd w:val="clear" w:color="auto" w:fill="C6EFCE"/>
            <w:tcMar>
              <w:left w:w="108" w:type="dxa"/>
              <w:right w:w="108" w:type="dxa"/>
            </w:tcMar>
            <w:vAlign w:val="center"/>
          </w:tcPr>
          <w:p w14:paraId="79D9D774" w14:textId="77777777" w:rsidR="004C6421" w:rsidRDefault="009D1962">
            <w:pPr>
              <w:pStyle w:val="P68B1DB1-Normal8"/>
              <w:rPr>
                <w:noProof/>
              </w:rPr>
            </w:pPr>
            <w:r>
              <w:rPr>
                <w:noProof/>
              </w:rPr>
              <w:t>Inwestycje – 3.3 Budowanie potencjału podmiotów działających w dziedzinie kultury w celu zarządzania transformacją cyfrową i ekologiczną.</w:t>
            </w:r>
          </w:p>
        </w:tc>
        <w:tc>
          <w:tcPr>
            <w:tcW w:w="1276" w:type="dxa"/>
            <w:shd w:val="clear" w:color="auto" w:fill="C6EFCE"/>
            <w:tcMar>
              <w:left w:w="108" w:type="dxa"/>
              <w:right w:w="108" w:type="dxa"/>
            </w:tcMar>
            <w:vAlign w:val="center"/>
          </w:tcPr>
          <w:p w14:paraId="352B696A" w14:textId="2D5FFFC8" w:rsidR="004C6421" w:rsidRDefault="00CC179E">
            <w:pPr>
              <w:pStyle w:val="P68B1DB1-Normal8"/>
              <w:rPr>
                <w:noProof/>
              </w:rPr>
            </w:pPr>
            <w:r>
              <w:rPr>
                <w:noProof/>
              </w:rPr>
              <w:t>Milowy</w:t>
            </w:r>
          </w:p>
        </w:tc>
        <w:tc>
          <w:tcPr>
            <w:tcW w:w="3112" w:type="dxa"/>
            <w:shd w:val="clear" w:color="auto" w:fill="C6EFCE"/>
            <w:tcMar>
              <w:left w:w="108" w:type="dxa"/>
              <w:right w:w="108" w:type="dxa"/>
            </w:tcMar>
            <w:vAlign w:val="center"/>
          </w:tcPr>
          <w:p w14:paraId="5D77CD1D" w14:textId="77777777" w:rsidR="004C6421" w:rsidRDefault="009D1962">
            <w:pPr>
              <w:pStyle w:val="P68B1DB1-Normal8"/>
              <w:rPr>
                <w:noProof/>
              </w:rPr>
            </w:pPr>
            <w:r>
              <w:rPr>
                <w:noProof/>
              </w:rPr>
              <w:t>Udzielanie wszystkich zamówień publicznych z organizacją wdrażającą/beneficjentami w odniesieniu do wszystkich interwencji mających na celu zarządzanie transformacją cyfrową i ekologiczną podmiotów działających w sektorze kultury</w:t>
            </w:r>
          </w:p>
        </w:tc>
      </w:tr>
      <w:tr w:rsidR="004C6421" w14:paraId="62FAB03B" w14:textId="77777777">
        <w:trPr>
          <w:trHeight w:val="300"/>
        </w:trPr>
        <w:tc>
          <w:tcPr>
            <w:tcW w:w="1430" w:type="dxa"/>
            <w:shd w:val="clear" w:color="auto" w:fill="C6EFCE"/>
            <w:tcMar>
              <w:left w:w="108" w:type="dxa"/>
              <w:right w:w="108" w:type="dxa"/>
            </w:tcMar>
            <w:vAlign w:val="center"/>
          </w:tcPr>
          <w:p w14:paraId="4A768246" w14:textId="77777777" w:rsidR="004C6421" w:rsidRDefault="009D1962">
            <w:pPr>
              <w:pStyle w:val="P68B1DB1-Normal8"/>
              <w:jc w:val="center"/>
              <w:rPr>
                <w:noProof/>
              </w:rPr>
            </w:pPr>
            <w:r>
              <w:rPr>
                <w:noProof/>
              </w:rPr>
              <w:t>M2C1-5</w:t>
            </w:r>
          </w:p>
        </w:tc>
        <w:tc>
          <w:tcPr>
            <w:tcW w:w="3543" w:type="dxa"/>
            <w:shd w:val="clear" w:color="auto" w:fill="C6EFCE"/>
            <w:tcMar>
              <w:left w:w="108" w:type="dxa"/>
              <w:right w:w="108" w:type="dxa"/>
            </w:tcMar>
            <w:vAlign w:val="center"/>
          </w:tcPr>
          <w:p w14:paraId="3F709398" w14:textId="77777777" w:rsidR="004C6421" w:rsidRDefault="009D1962">
            <w:pPr>
              <w:pStyle w:val="P68B1DB1-Normal8"/>
              <w:rPr>
                <w:noProof/>
              </w:rPr>
            </w:pPr>
            <w:r>
              <w:rPr>
                <w:noProof/>
              </w:rPr>
              <w:t>Inwestycje 2.2: Park rolno-słoneczny</w:t>
            </w:r>
          </w:p>
        </w:tc>
        <w:tc>
          <w:tcPr>
            <w:tcW w:w="1276" w:type="dxa"/>
            <w:shd w:val="clear" w:color="auto" w:fill="C6EFCE"/>
            <w:tcMar>
              <w:left w:w="108" w:type="dxa"/>
              <w:right w:w="108" w:type="dxa"/>
            </w:tcMar>
            <w:vAlign w:val="center"/>
          </w:tcPr>
          <w:p w14:paraId="5CDAF1BA" w14:textId="77777777" w:rsidR="004C6421" w:rsidRDefault="009D1962">
            <w:pPr>
              <w:pStyle w:val="P68B1DB1-Normal8"/>
              <w:rPr>
                <w:noProof/>
              </w:rPr>
            </w:pPr>
            <w:r>
              <w:rPr>
                <w:noProof/>
              </w:rPr>
              <w:t>Cel</w:t>
            </w:r>
          </w:p>
        </w:tc>
        <w:tc>
          <w:tcPr>
            <w:tcW w:w="3112" w:type="dxa"/>
            <w:shd w:val="clear" w:color="auto" w:fill="C6EFCE"/>
            <w:tcMar>
              <w:left w:w="108" w:type="dxa"/>
              <w:right w:w="108" w:type="dxa"/>
            </w:tcMar>
            <w:vAlign w:val="center"/>
          </w:tcPr>
          <w:p w14:paraId="56785FA9" w14:textId="77777777" w:rsidR="004C6421" w:rsidRDefault="009D1962">
            <w:pPr>
              <w:pStyle w:val="P68B1DB1-Normal8"/>
              <w:rPr>
                <w:noProof/>
              </w:rPr>
            </w:pPr>
            <w:r>
              <w:rPr>
                <w:noProof/>
              </w:rPr>
              <w:t>Alokacja zasobów dla beneficjentów jako % całkowitych środków finansowych przeznaczonych na inwestycję</w:t>
            </w:r>
          </w:p>
        </w:tc>
      </w:tr>
      <w:tr w:rsidR="004C6421" w14:paraId="1DA52C8E" w14:textId="77777777">
        <w:trPr>
          <w:trHeight w:val="300"/>
        </w:trPr>
        <w:tc>
          <w:tcPr>
            <w:tcW w:w="1430" w:type="dxa"/>
            <w:shd w:val="clear" w:color="auto" w:fill="C6EFCE"/>
            <w:tcMar>
              <w:left w:w="108" w:type="dxa"/>
              <w:right w:w="108" w:type="dxa"/>
            </w:tcMar>
            <w:vAlign w:val="center"/>
          </w:tcPr>
          <w:p w14:paraId="4647BF78" w14:textId="77777777" w:rsidR="004C6421" w:rsidRDefault="009D1962">
            <w:pPr>
              <w:pStyle w:val="P68B1DB1-Normal8"/>
              <w:jc w:val="center"/>
              <w:rPr>
                <w:noProof/>
              </w:rPr>
            </w:pPr>
            <w:r>
              <w:rPr>
                <w:noProof/>
              </w:rPr>
              <w:t>M2C2-22</w:t>
            </w:r>
          </w:p>
        </w:tc>
        <w:tc>
          <w:tcPr>
            <w:tcW w:w="3543" w:type="dxa"/>
            <w:shd w:val="clear" w:color="auto" w:fill="C6EFCE"/>
            <w:tcMar>
              <w:left w:w="108" w:type="dxa"/>
              <w:right w:w="108" w:type="dxa"/>
            </w:tcMar>
            <w:vAlign w:val="center"/>
          </w:tcPr>
          <w:p w14:paraId="498937FC" w14:textId="77777777" w:rsidR="004C6421" w:rsidRDefault="009D1962">
            <w:pPr>
              <w:pStyle w:val="P68B1DB1-Normal8"/>
              <w:rPr>
                <w:noProof/>
              </w:rPr>
            </w:pPr>
            <w:r>
              <w:rPr>
                <w:noProof/>
              </w:rPr>
              <w:t>Inwestycje 4.1 Inwestycje w mobilność miękką (krajowy plan ścieżki cyklu)</w:t>
            </w:r>
          </w:p>
        </w:tc>
        <w:tc>
          <w:tcPr>
            <w:tcW w:w="1276" w:type="dxa"/>
            <w:shd w:val="clear" w:color="auto" w:fill="C6EFCE"/>
            <w:tcMar>
              <w:left w:w="108" w:type="dxa"/>
              <w:right w:w="108" w:type="dxa"/>
            </w:tcMar>
            <w:vAlign w:val="center"/>
          </w:tcPr>
          <w:p w14:paraId="30358CC6" w14:textId="77777777" w:rsidR="004C6421" w:rsidRDefault="009D1962">
            <w:pPr>
              <w:pStyle w:val="P68B1DB1-Normal8"/>
              <w:rPr>
                <w:noProof/>
              </w:rPr>
            </w:pPr>
            <w:r>
              <w:rPr>
                <w:noProof/>
              </w:rPr>
              <w:t>Docelowy:</w:t>
            </w:r>
          </w:p>
        </w:tc>
        <w:tc>
          <w:tcPr>
            <w:tcW w:w="3112" w:type="dxa"/>
            <w:shd w:val="clear" w:color="auto" w:fill="C6EFCE"/>
            <w:tcMar>
              <w:left w:w="108" w:type="dxa"/>
              <w:right w:w="108" w:type="dxa"/>
            </w:tcMar>
            <w:vAlign w:val="center"/>
          </w:tcPr>
          <w:p w14:paraId="116653AF" w14:textId="77777777" w:rsidR="004C6421" w:rsidRDefault="009D1962">
            <w:pPr>
              <w:pStyle w:val="P68B1DB1-Normal8"/>
              <w:rPr>
                <w:noProof/>
              </w:rPr>
            </w:pPr>
            <w:r>
              <w:rPr>
                <w:noProof/>
              </w:rPr>
              <w:t>Pasy ruchu rowerowego T1</w:t>
            </w:r>
          </w:p>
        </w:tc>
      </w:tr>
      <w:tr w:rsidR="004C6421" w14:paraId="725E8771" w14:textId="77777777">
        <w:trPr>
          <w:trHeight w:val="300"/>
        </w:trPr>
        <w:tc>
          <w:tcPr>
            <w:tcW w:w="1430" w:type="dxa"/>
            <w:shd w:val="clear" w:color="auto" w:fill="C6EFCE"/>
            <w:tcMar>
              <w:left w:w="108" w:type="dxa"/>
              <w:right w:w="108" w:type="dxa"/>
            </w:tcMar>
            <w:vAlign w:val="center"/>
          </w:tcPr>
          <w:p w14:paraId="64AAFE1A" w14:textId="77777777" w:rsidR="004C6421" w:rsidRDefault="009D1962">
            <w:pPr>
              <w:pStyle w:val="P68B1DB1-Normal8"/>
              <w:jc w:val="center"/>
              <w:rPr>
                <w:noProof/>
              </w:rPr>
            </w:pPr>
            <w:r>
              <w:rPr>
                <w:noProof/>
              </w:rPr>
              <w:t>M4C1-10</w:t>
            </w:r>
          </w:p>
        </w:tc>
        <w:tc>
          <w:tcPr>
            <w:tcW w:w="3543" w:type="dxa"/>
            <w:shd w:val="clear" w:color="auto" w:fill="C6EFCE"/>
            <w:tcMar>
              <w:left w:w="108" w:type="dxa"/>
              <w:right w:w="108" w:type="dxa"/>
            </w:tcMar>
            <w:vAlign w:val="center"/>
          </w:tcPr>
          <w:p w14:paraId="0EE32655" w14:textId="77777777" w:rsidR="004C6421" w:rsidRDefault="009D1962">
            <w:pPr>
              <w:pStyle w:val="P68B1DB1-Normal8"/>
              <w:rPr>
                <w:noProof/>
              </w:rPr>
            </w:pPr>
            <w:r>
              <w:rPr>
                <w:noProof/>
              </w:rPr>
              <w:t>Reforma 2.1: Rekrutacja nauczycieli; Reforma 1.3: Reorganizacja systemu szkolnictwa; Reforma 1.2: Reforma systemu szkolnictwa wyższego kształcenia zawodowego (ITS); Reforma 1.4: Reforma systemu „orientacji”; Reforma 1.5: Reforma grup uniwersyteckich; Reforma 1.6: Umożliwienie reformy studiów wyższych</w:t>
            </w:r>
          </w:p>
        </w:tc>
        <w:tc>
          <w:tcPr>
            <w:tcW w:w="1276" w:type="dxa"/>
            <w:shd w:val="clear" w:color="auto" w:fill="C6EFCE"/>
            <w:tcMar>
              <w:left w:w="108" w:type="dxa"/>
              <w:right w:w="108" w:type="dxa"/>
            </w:tcMar>
            <w:vAlign w:val="center"/>
          </w:tcPr>
          <w:p w14:paraId="3B423A29" w14:textId="56E461B7" w:rsidR="004C6421" w:rsidRDefault="00CC179E">
            <w:pPr>
              <w:pStyle w:val="P68B1DB1-Normal8"/>
              <w:rPr>
                <w:noProof/>
              </w:rPr>
            </w:pPr>
            <w:r>
              <w:rPr>
                <w:noProof/>
              </w:rPr>
              <w:t>Milowy</w:t>
            </w:r>
          </w:p>
        </w:tc>
        <w:tc>
          <w:tcPr>
            <w:tcW w:w="3112" w:type="dxa"/>
            <w:shd w:val="clear" w:color="auto" w:fill="C6EFCE"/>
            <w:tcMar>
              <w:left w:w="108" w:type="dxa"/>
              <w:right w:w="108" w:type="dxa"/>
            </w:tcMar>
            <w:vAlign w:val="center"/>
          </w:tcPr>
          <w:p w14:paraId="76BE01F8" w14:textId="77777777" w:rsidR="004C6421" w:rsidRDefault="009D1962">
            <w:pPr>
              <w:pStyle w:val="P68B1DB1-Normal8"/>
              <w:rPr>
                <w:noProof/>
              </w:rPr>
            </w:pPr>
            <w:r>
              <w:rPr>
                <w:noProof/>
              </w:rPr>
              <w:t>Wejście w życie rozporządzeń mających na celu skuteczne wdrożenie i stosowanie w razie potrzeby wszystkich środków dotyczących reform szkolnictwa podstawowego, średniego i wyższego</w:t>
            </w:r>
          </w:p>
        </w:tc>
      </w:tr>
      <w:tr w:rsidR="004C6421" w14:paraId="069CB3D4" w14:textId="77777777">
        <w:trPr>
          <w:trHeight w:val="300"/>
        </w:trPr>
        <w:tc>
          <w:tcPr>
            <w:tcW w:w="1430" w:type="dxa"/>
            <w:shd w:val="clear" w:color="auto" w:fill="C6EFCE"/>
            <w:tcMar>
              <w:left w:w="108" w:type="dxa"/>
              <w:right w:w="108" w:type="dxa"/>
            </w:tcMar>
            <w:vAlign w:val="center"/>
          </w:tcPr>
          <w:p w14:paraId="2F7F0019" w14:textId="77777777" w:rsidR="004C6421" w:rsidRDefault="009D1962">
            <w:pPr>
              <w:pStyle w:val="P68B1DB1-Normal8"/>
              <w:jc w:val="center"/>
              <w:rPr>
                <w:noProof/>
              </w:rPr>
            </w:pPr>
            <w:r>
              <w:rPr>
                <w:noProof/>
              </w:rPr>
              <w:t>M4C1-11</w:t>
            </w:r>
          </w:p>
        </w:tc>
        <w:tc>
          <w:tcPr>
            <w:tcW w:w="3543" w:type="dxa"/>
            <w:shd w:val="clear" w:color="auto" w:fill="C6EFCE"/>
            <w:tcMar>
              <w:left w:w="108" w:type="dxa"/>
              <w:right w:w="108" w:type="dxa"/>
            </w:tcMar>
            <w:vAlign w:val="center"/>
          </w:tcPr>
          <w:p w14:paraId="36339746" w14:textId="77777777" w:rsidR="004C6421" w:rsidRDefault="009D1962">
            <w:pPr>
              <w:pStyle w:val="P68B1DB1-Normal8"/>
              <w:rPr>
                <w:noProof/>
              </w:rPr>
            </w:pPr>
            <w:r>
              <w:rPr>
                <w:noProof/>
              </w:rPr>
              <w:t>Inwestycja 1.7: Stypendia na dostęp do uczelni</w:t>
            </w:r>
          </w:p>
        </w:tc>
        <w:tc>
          <w:tcPr>
            <w:tcW w:w="1276" w:type="dxa"/>
            <w:shd w:val="clear" w:color="auto" w:fill="C6EFCE"/>
            <w:tcMar>
              <w:left w:w="108" w:type="dxa"/>
              <w:right w:w="108" w:type="dxa"/>
            </w:tcMar>
            <w:vAlign w:val="center"/>
          </w:tcPr>
          <w:p w14:paraId="743F2A40" w14:textId="77777777" w:rsidR="004C6421" w:rsidRDefault="009D1962">
            <w:pPr>
              <w:pStyle w:val="P68B1DB1-Normal8"/>
              <w:rPr>
                <w:noProof/>
              </w:rPr>
            </w:pPr>
            <w:r>
              <w:rPr>
                <w:noProof/>
              </w:rPr>
              <w:t>Cel</w:t>
            </w:r>
          </w:p>
        </w:tc>
        <w:tc>
          <w:tcPr>
            <w:tcW w:w="3112" w:type="dxa"/>
            <w:shd w:val="clear" w:color="auto" w:fill="C6EFCE"/>
            <w:tcMar>
              <w:left w:w="108" w:type="dxa"/>
              <w:right w:w="108" w:type="dxa"/>
            </w:tcMar>
            <w:vAlign w:val="center"/>
          </w:tcPr>
          <w:p w14:paraId="3644C094" w14:textId="77777777" w:rsidR="004C6421" w:rsidRDefault="009D1962">
            <w:pPr>
              <w:pStyle w:val="P68B1DB1-Normal8"/>
              <w:rPr>
                <w:noProof/>
              </w:rPr>
            </w:pPr>
            <w:r>
              <w:rPr>
                <w:noProof/>
              </w:rPr>
              <w:t>Przyznane stypendium uniwersyteckie</w:t>
            </w:r>
          </w:p>
        </w:tc>
      </w:tr>
      <w:tr w:rsidR="004C6421" w14:paraId="7BFB9FA9" w14:textId="77777777">
        <w:trPr>
          <w:trHeight w:val="300"/>
        </w:trPr>
        <w:tc>
          <w:tcPr>
            <w:tcW w:w="1430" w:type="dxa"/>
            <w:shd w:val="clear" w:color="auto" w:fill="C6EFCE"/>
            <w:tcMar>
              <w:left w:w="108" w:type="dxa"/>
              <w:right w:w="108" w:type="dxa"/>
            </w:tcMar>
            <w:vAlign w:val="center"/>
          </w:tcPr>
          <w:p w14:paraId="44AB791F" w14:textId="77777777" w:rsidR="004C6421" w:rsidRDefault="009D1962">
            <w:pPr>
              <w:pStyle w:val="P68B1DB1-Normal8"/>
              <w:jc w:val="center"/>
              <w:rPr>
                <w:noProof/>
              </w:rPr>
            </w:pPr>
            <w:r>
              <w:rPr>
                <w:noProof/>
              </w:rPr>
              <w:t>M5C3-3</w:t>
            </w:r>
          </w:p>
        </w:tc>
        <w:tc>
          <w:tcPr>
            <w:tcW w:w="3543" w:type="dxa"/>
            <w:shd w:val="clear" w:color="auto" w:fill="C6EFCE"/>
            <w:tcMar>
              <w:left w:w="108" w:type="dxa"/>
              <w:right w:w="108" w:type="dxa"/>
            </w:tcMar>
            <w:vAlign w:val="center"/>
          </w:tcPr>
          <w:p w14:paraId="01528171" w14:textId="77777777" w:rsidR="004C6421" w:rsidRDefault="009D1962">
            <w:pPr>
              <w:pStyle w:val="P68B1DB1-Normal8"/>
              <w:rPr>
                <w:noProof/>
              </w:rPr>
            </w:pPr>
            <w:r>
              <w:rPr>
                <w:noProof/>
              </w:rPr>
              <w:t>Inwestycja 2: Lokalna bliskość placówek opieki zdrowotnej</w:t>
            </w:r>
          </w:p>
        </w:tc>
        <w:tc>
          <w:tcPr>
            <w:tcW w:w="1276" w:type="dxa"/>
            <w:shd w:val="clear" w:color="auto" w:fill="C6EFCE"/>
            <w:tcMar>
              <w:left w:w="108" w:type="dxa"/>
              <w:right w:w="108" w:type="dxa"/>
            </w:tcMar>
            <w:vAlign w:val="center"/>
          </w:tcPr>
          <w:p w14:paraId="553C8419" w14:textId="77777777" w:rsidR="004C6421" w:rsidRDefault="009D1962">
            <w:pPr>
              <w:pStyle w:val="P68B1DB1-Normal8"/>
              <w:rPr>
                <w:noProof/>
              </w:rPr>
            </w:pPr>
            <w:r>
              <w:rPr>
                <w:noProof/>
              </w:rPr>
              <w:t>Cel</w:t>
            </w:r>
          </w:p>
        </w:tc>
        <w:tc>
          <w:tcPr>
            <w:tcW w:w="3112" w:type="dxa"/>
            <w:shd w:val="clear" w:color="auto" w:fill="C6EFCE"/>
            <w:tcMar>
              <w:left w:w="108" w:type="dxa"/>
              <w:right w:w="108" w:type="dxa"/>
            </w:tcMar>
            <w:vAlign w:val="center"/>
          </w:tcPr>
          <w:p w14:paraId="0DA487D5" w14:textId="1999ED6C" w:rsidR="004C6421" w:rsidRDefault="009D1962">
            <w:pPr>
              <w:rPr>
                <w:noProof/>
              </w:rPr>
            </w:pPr>
            <w:r>
              <w:rPr>
                <w:noProof/>
                <w:color w:val="006100"/>
                <w:sz w:val="20"/>
              </w:rPr>
              <w:t>Reforma 1.5: Reforma grup uniwersyteckich; Reforma 1.6:</w:t>
            </w:r>
            <w:r>
              <w:rPr>
                <w:noProof/>
                <w:sz w:val="23"/>
              </w:rPr>
              <w:t xml:space="preserve"> </w:t>
            </w:r>
            <w:r>
              <w:rPr>
                <w:noProof/>
                <w:color w:val="006100"/>
                <w:sz w:val="20"/>
              </w:rPr>
              <w:t>Umożliwienie reformy studiów wyższych</w:t>
            </w:r>
          </w:p>
        </w:tc>
      </w:tr>
      <w:tr w:rsidR="004C6421" w14:paraId="027A87C6" w14:textId="77777777">
        <w:trPr>
          <w:trHeight w:val="300"/>
        </w:trPr>
        <w:tc>
          <w:tcPr>
            <w:tcW w:w="1430" w:type="dxa"/>
            <w:shd w:val="clear" w:color="auto" w:fill="C6EFCE"/>
            <w:tcMar>
              <w:left w:w="108" w:type="dxa"/>
              <w:right w:w="108" w:type="dxa"/>
            </w:tcMar>
            <w:vAlign w:val="center"/>
          </w:tcPr>
          <w:p w14:paraId="7F2919D1" w14:textId="77777777" w:rsidR="004C6421" w:rsidRDefault="009D1962">
            <w:pPr>
              <w:pStyle w:val="P68B1DB1-Normal8"/>
              <w:jc w:val="center"/>
              <w:rPr>
                <w:noProof/>
              </w:rPr>
            </w:pPr>
            <w:r>
              <w:rPr>
                <w:noProof/>
              </w:rPr>
              <w:t>M1C1-113</w:t>
            </w:r>
          </w:p>
        </w:tc>
        <w:tc>
          <w:tcPr>
            <w:tcW w:w="3543" w:type="dxa"/>
            <w:shd w:val="clear" w:color="auto" w:fill="C6EFCE"/>
            <w:tcMar>
              <w:left w:w="108" w:type="dxa"/>
              <w:right w:w="108" w:type="dxa"/>
            </w:tcMar>
            <w:vAlign w:val="center"/>
          </w:tcPr>
          <w:p w14:paraId="66D057D7" w14:textId="77777777" w:rsidR="004C6421" w:rsidRDefault="009D1962">
            <w:pPr>
              <w:pStyle w:val="P68B1DB1-Normal8"/>
              <w:rPr>
                <w:noProof/>
              </w:rPr>
            </w:pPr>
            <w:r>
              <w:rPr>
                <w:noProof/>
              </w:rPr>
              <w:t>Reforma 1.12: Reforma administracji podatkowej</w:t>
            </w:r>
          </w:p>
        </w:tc>
        <w:tc>
          <w:tcPr>
            <w:tcW w:w="1276" w:type="dxa"/>
            <w:shd w:val="clear" w:color="auto" w:fill="C6EFCE"/>
            <w:tcMar>
              <w:left w:w="108" w:type="dxa"/>
              <w:right w:w="108" w:type="dxa"/>
            </w:tcMar>
            <w:vAlign w:val="center"/>
          </w:tcPr>
          <w:p w14:paraId="61C6C91E" w14:textId="77777777" w:rsidR="004C6421" w:rsidRDefault="009D1962">
            <w:pPr>
              <w:pStyle w:val="P68B1DB1-Normal8"/>
              <w:rPr>
                <w:noProof/>
              </w:rPr>
            </w:pPr>
            <w:r>
              <w:rPr>
                <w:noProof/>
              </w:rPr>
              <w:t>Cel</w:t>
            </w:r>
          </w:p>
        </w:tc>
        <w:tc>
          <w:tcPr>
            <w:tcW w:w="3112" w:type="dxa"/>
            <w:shd w:val="clear" w:color="auto" w:fill="C6EFCE"/>
            <w:tcMar>
              <w:left w:w="108" w:type="dxa"/>
              <w:right w:w="108" w:type="dxa"/>
            </w:tcMar>
            <w:vAlign w:val="center"/>
          </w:tcPr>
          <w:p w14:paraId="221E60F6" w14:textId="77777777" w:rsidR="004C6421" w:rsidRDefault="009D1962">
            <w:pPr>
              <w:pStyle w:val="P68B1DB1-Normal8"/>
              <w:rPr>
                <w:noProof/>
              </w:rPr>
            </w:pPr>
            <w:r>
              <w:rPr>
                <w:noProof/>
              </w:rPr>
              <w:t>Większa liczba „oznaczeń zgodności”</w:t>
            </w:r>
          </w:p>
        </w:tc>
      </w:tr>
      <w:tr w:rsidR="004C6421" w14:paraId="671202C7" w14:textId="77777777">
        <w:trPr>
          <w:trHeight w:val="300"/>
        </w:trPr>
        <w:tc>
          <w:tcPr>
            <w:tcW w:w="1430" w:type="dxa"/>
            <w:shd w:val="clear" w:color="auto" w:fill="C6EFCE"/>
            <w:tcMar>
              <w:left w:w="108" w:type="dxa"/>
              <w:right w:w="108" w:type="dxa"/>
            </w:tcMar>
            <w:vAlign w:val="center"/>
          </w:tcPr>
          <w:p w14:paraId="31B77891" w14:textId="77777777" w:rsidR="004C6421" w:rsidRDefault="009D1962">
            <w:pPr>
              <w:pStyle w:val="P68B1DB1-Normal8"/>
              <w:jc w:val="center"/>
              <w:rPr>
                <w:noProof/>
              </w:rPr>
            </w:pPr>
            <w:r>
              <w:rPr>
                <w:noProof/>
              </w:rPr>
              <w:t>M1C1-114</w:t>
            </w:r>
          </w:p>
        </w:tc>
        <w:tc>
          <w:tcPr>
            <w:tcW w:w="3543" w:type="dxa"/>
            <w:shd w:val="clear" w:color="auto" w:fill="C6EFCE"/>
            <w:tcMar>
              <w:left w:w="108" w:type="dxa"/>
              <w:right w:w="108" w:type="dxa"/>
            </w:tcMar>
            <w:vAlign w:val="center"/>
          </w:tcPr>
          <w:p w14:paraId="66993103" w14:textId="77777777" w:rsidR="004C6421" w:rsidRDefault="009D1962">
            <w:pPr>
              <w:pStyle w:val="P68B1DB1-Normal8"/>
              <w:rPr>
                <w:noProof/>
              </w:rPr>
            </w:pPr>
            <w:r>
              <w:rPr>
                <w:noProof/>
              </w:rPr>
              <w:t>Reforma 1.12: Reforma administracji podatkowej</w:t>
            </w:r>
          </w:p>
        </w:tc>
        <w:tc>
          <w:tcPr>
            <w:tcW w:w="1276" w:type="dxa"/>
            <w:shd w:val="clear" w:color="auto" w:fill="C6EFCE"/>
            <w:tcMar>
              <w:left w:w="108" w:type="dxa"/>
              <w:right w:w="108" w:type="dxa"/>
            </w:tcMar>
            <w:vAlign w:val="center"/>
          </w:tcPr>
          <w:p w14:paraId="1DFA24DF" w14:textId="77777777" w:rsidR="004C6421" w:rsidRDefault="009D1962">
            <w:pPr>
              <w:pStyle w:val="P68B1DB1-Normal8"/>
              <w:rPr>
                <w:noProof/>
              </w:rPr>
            </w:pPr>
            <w:r>
              <w:rPr>
                <w:noProof/>
              </w:rPr>
              <w:t>Cel</w:t>
            </w:r>
          </w:p>
        </w:tc>
        <w:tc>
          <w:tcPr>
            <w:tcW w:w="3112" w:type="dxa"/>
            <w:shd w:val="clear" w:color="auto" w:fill="C6EFCE"/>
            <w:tcMar>
              <w:left w:w="108" w:type="dxa"/>
              <w:right w:w="108" w:type="dxa"/>
            </w:tcMar>
            <w:vAlign w:val="center"/>
          </w:tcPr>
          <w:p w14:paraId="20653E41" w14:textId="77777777" w:rsidR="004C6421" w:rsidRDefault="009D1962">
            <w:pPr>
              <w:pStyle w:val="P68B1DB1-Normal8"/>
              <w:rPr>
                <w:noProof/>
              </w:rPr>
            </w:pPr>
            <w:r>
              <w:rPr>
                <w:noProof/>
              </w:rPr>
              <w:t>Wzrost dochodów podatkowych generowany przez „pismo w sprawie zgodności”</w:t>
            </w:r>
          </w:p>
        </w:tc>
      </w:tr>
      <w:tr w:rsidR="004C6421" w14:paraId="61655EB3" w14:textId="77777777">
        <w:trPr>
          <w:trHeight w:val="300"/>
        </w:trPr>
        <w:tc>
          <w:tcPr>
            <w:tcW w:w="1430" w:type="dxa"/>
            <w:shd w:val="clear" w:color="auto" w:fill="C6EFCE"/>
            <w:tcMar>
              <w:left w:w="108" w:type="dxa"/>
              <w:right w:w="108" w:type="dxa"/>
            </w:tcMar>
            <w:vAlign w:val="bottom"/>
          </w:tcPr>
          <w:p w14:paraId="39016ADA" w14:textId="77777777" w:rsidR="004C6421" w:rsidRDefault="009D1962">
            <w:pPr>
              <w:pStyle w:val="P68B1DB1-Normal8"/>
              <w:jc w:val="center"/>
              <w:rPr>
                <w:noProof/>
              </w:rPr>
            </w:pPr>
            <w:r>
              <w:rPr>
                <w:noProof/>
              </w:rPr>
              <w:t xml:space="preserve"> </w:t>
            </w:r>
          </w:p>
        </w:tc>
        <w:tc>
          <w:tcPr>
            <w:tcW w:w="3543" w:type="dxa"/>
            <w:shd w:val="clear" w:color="auto" w:fill="C6EFCE"/>
            <w:tcMar>
              <w:left w:w="108" w:type="dxa"/>
              <w:right w:w="108" w:type="dxa"/>
            </w:tcMar>
            <w:vAlign w:val="bottom"/>
          </w:tcPr>
          <w:p w14:paraId="066D0FE1" w14:textId="77777777" w:rsidR="004C6421" w:rsidRDefault="009D1962">
            <w:pPr>
              <w:pStyle w:val="P68B1DB1-Normal8"/>
              <w:rPr>
                <w:noProof/>
              </w:rPr>
            </w:pPr>
            <w:r>
              <w:rPr>
                <w:noProof/>
              </w:rPr>
              <w:t xml:space="preserve"> </w:t>
            </w:r>
          </w:p>
        </w:tc>
        <w:tc>
          <w:tcPr>
            <w:tcW w:w="1276" w:type="dxa"/>
            <w:shd w:val="clear" w:color="auto" w:fill="C6EFCE"/>
            <w:tcMar>
              <w:left w:w="108" w:type="dxa"/>
              <w:right w:w="108" w:type="dxa"/>
            </w:tcMar>
            <w:vAlign w:val="bottom"/>
          </w:tcPr>
          <w:p w14:paraId="2106E6AF" w14:textId="77777777" w:rsidR="004C6421" w:rsidRDefault="009D1962">
            <w:pPr>
              <w:pStyle w:val="P68B1DB1-Normal8"/>
              <w:rPr>
                <w:noProof/>
              </w:rPr>
            </w:pPr>
            <w:r>
              <w:rPr>
                <w:noProof/>
              </w:rPr>
              <w:t>Kwota transzy</w:t>
            </w:r>
          </w:p>
        </w:tc>
        <w:tc>
          <w:tcPr>
            <w:tcW w:w="3112" w:type="dxa"/>
            <w:shd w:val="clear" w:color="auto" w:fill="C6EFCE"/>
            <w:tcMar>
              <w:left w:w="108" w:type="dxa"/>
              <w:right w:w="108" w:type="dxa"/>
            </w:tcMar>
            <w:vAlign w:val="bottom"/>
          </w:tcPr>
          <w:p w14:paraId="20CC870A" w14:textId="2E5A5243" w:rsidR="004C6421" w:rsidRDefault="009D1962">
            <w:pPr>
              <w:rPr>
                <w:noProof/>
              </w:rPr>
            </w:pPr>
            <w:r>
              <w:rPr>
                <w:noProof/>
                <w:color w:val="006100"/>
                <w:sz w:val="20"/>
              </w:rPr>
              <w:t>3621492701 EUR</w:t>
            </w:r>
            <w:r>
              <w:rPr>
                <w:noProof/>
                <w:sz w:val="23"/>
              </w:rPr>
              <w:t xml:space="preserve">   </w:t>
            </w:r>
            <w:r>
              <w:rPr>
                <w:rFonts w:ascii="Arial Narrow" w:eastAsia="Arial Narrow" w:hAnsi="Arial Narrow" w:cs="Arial Narrow"/>
                <w:noProof/>
                <w:color w:val="006100"/>
                <w:sz w:val="20"/>
              </w:rPr>
              <w:t xml:space="preserve"> </w:t>
            </w:r>
          </w:p>
        </w:tc>
      </w:tr>
    </w:tbl>
    <w:p w14:paraId="4E2610E0" w14:textId="77777777" w:rsidR="004C6421" w:rsidRDefault="004C6421">
      <w:pPr>
        <w:pStyle w:val="ListParagraph"/>
        <w:spacing w:before="0" w:after="0" w:line="279" w:lineRule="auto"/>
        <w:ind w:left="850"/>
        <w:rPr>
          <w:noProof/>
        </w:rPr>
      </w:pPr>
    </w:p>
    <w:p w14:paraId="08EEF197" w14:textId="4135F5DE" w:rsidR="004C6421" w:rsidRDefault="009D1962">
      <w:pPr>
        <w:pStyle w:val="ListParagraph"/>
        <w:numPr>
          <w:ilvl w:val="1"/>
          <w:numId w:val="145"/>
        </w:numPr>
        <w:spacing w:before="0" w:after="0" w:line="279" w:lineRule="auto"/>
        <w:ind w:left="850" w:hanging="850"/>
        <w:rPr>
          <w:noProof/>
        </w:rPr>
      </w:pPr>
      <w:r>
        <w:rPr>
          <w:noProof/>
        </w:rPr>
        <w:t>Szósta rata (wsparcie bezzwrotne):</w:t>
      </w:r>
    </w:p>
    <w:tbl>
      <w:tblPr>
        <w:tblW w:w="9594" w:type="dxa"/>
        <w:tblInd w:w="120" w:type="dxa"/>
        <w:tblLayout w:type="fixed"/>
        <w:tblLook w:val="04A0" w:firstRow="1" w:lastRow="0" w:firstColumn="1" w:lastColumn="0" w:noHBand="0" w:noVBand="1"/>
      </w:tblPr>
      <w:tblGrid>
        <w:gridCol w:w="1435"/>
        <w:gridCol w:w="3538"/>
        <w:gridCol w:w="1185"/>
        <w:gridCol w:w="3200"/>
        <w:gridCol w:w="236"/>
      </w:tblGrid>
      <w:tr w:rsidR="004C6421" w14:paraId="0798930A" w14:textId="77777777">
        <w:trPr>
          <w:trHeight w:val="900"/>
          <w:tblHeader/>
        </w:trPr>
        <w:tc>
          <w:tcPr>
            <w:tcW w:w="1435"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51B6EB4C" w14:textId="77777777" w:rsidR="004C6421" w:rsidRDefault="009D1962">
            <w:pPr>
              <w:pStyle w:val="P68B1DB1-Normal36"/>
              <w:jc w:val="center"/>
              <w:rPr>
                <w:noProof/>
              </w:rPr>
            </w:pPr>
            <w:r>
              <w:rPr>
                <w:noProof/>
              </w:rPr>
              <w:t>Numer porządkowy</w:t>
            </w:r>
          </w:p>
        </w:tc>
        <w:tc>
          <w:tcPr>
            <w:tcW w:w="3538"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716D9A59" w14:textId="77777777" w:rsidR="004C6421" w:rsidRDefault="009D1962">
            <w:pPr>
              <w:pStyle w:val="P68B1DB1-Normal36"/>
              <w:jc w:val="center"/>
              <w:rPr>
                <w:noProof/>
              </w:rPr>
            </w:pPr>
            <w:r>
              <w:rPr>
                <w:noProof/>
              </w:rPr>
              <w:t>Powiązane działanie (reforma lub inwestycja)</w:t>
            </w:r>
          </w:p>
        </w:tc>
        <w:tc>
          <w:tcPr>
            <w:tcW w:w="1185"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14C73D13" w14:textId="77777777" w:rsidR="004C6421" w:rsidRDefault="009D1962">
            <w:pPr>
              <w:pStyle w:val="P68B1DB1-Normal36"/>
              <w:jc w:val="center"/>
              <w:rPr>
                <w:noProof/>
              </w:rPr>
            </w:pPr>
            <w:r>
              <w:rPr>
                <w:noProof/>
              </w:rPr>
              <w:t>Kamień milowy/wartość docelowa</w:t>
            </w:r>
          </w:p>
        </w:tc>
        <w:tc>
          <w:tcPr>
            <w:tcW w:w="3200"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3A7EB561" w14:textId="77777777" w:rsidR="004C6421" w:rsidRDefault="009D1962">
            <w:pPr>
              <w:pStyle w:val="P68B1DB1-Normal36"/>
              <w:jc w:val="center"/>
              <w:rPr>
                <w:noProof/>
              </w:rPr>
            </w:pPr>
            <w:r>
              <w:rPr>
                <w:noProof/>
              </w:rPr>
              <w:t>Nazwa</w:t>
            </w:r>
          </w:p>
        </w:tc>
        <w:tc>
          <w:tcPr>
            <w:tcW w:w="236" w:type="dxa"/>
            <w:tcBorders>
              <w:top w:val="nil"/>
              <w:left w:val="single" w:sz="4" w:space="0" w:color="auto"/>
              <w:bottom w:val="nil"/>
              <w:right w:val="nil"/>
            </w:tcBorders>
            <w:vAlign w:val="center"/>
          </w:tcPr>
          <w:p w14:paraId="2A011BE9" w14:textId="77777777" w:rsidR="004C6421" w:rsidRDefault="004C6421">
            <w:pPr>
              <w:rPr>
                <w:noProof/>
              </w:rPr>
            </w:pPr>
          </w:p>
        </w:tc>
      </w:tr>
      <w:tr w:rsidR="004C6421" w14:paraId="2CEEAADD" w14:textId="77777777">
        <w:trPr>
          <w:trHeight w:val="510"/>
        </w:trPr>
        <w:tc>
          <w:tcPr>
            <w:tcW w:w="1435" w:type="dxa"/>
            <w:vMerge/>
            <w:tcBorders>
              <w:top w:val="single" w:sz="4" w:space="0" w:color="auto"/>
              <w:left w:val="single" w:sz="4" w:space="0" w:color="auto"/>
              <w:bottom w:val="single" w:sz="4" w:space="0" w:color="auto"/>
              <w:right w:val="single" w:sz="4" w:space="0" w:color="auto"/>
            </w:tcBorders>
            <w:vAlign w:val="center"/>
          </w:tcPr>
          <w:p w14:paraId="034D8E80" w14:textId="77777777" w:rsidR="004C6421" w:rsidRDefault="004C6421">
            <w:pPr>
              <w:rPr>
                <w:noProof/>
              </w:rPr>
            </w:pPr>
          </w:p>
        </w:tc>
        <w:tc>
          <w:tcPr>
            <w:tcW w:w="3538" w:type="dxa"/>
            <w:vMerge/>
            <w:tcBorders>
              <w:top w:val="single" w:sz="4" w:space="0" w:color="auto"/>
              <w:left w:val="single" w:sz="4" w:space="0" w:color="auto"/>
              <w:bottom w:val="single" w:sz="4" w:space="0" w:color="auto"/>
              <w:right w:val="single" w:sz="4" w:space="0" w:color="auto"/>
            </w:tcBorders>
            <w:vAlign w:val="center"/>
          </w:tcPr>
          <w:p w14:paraId="516069E3" w14:textId="77777777" w:rsidR="004C6421" w:rsidRDefault="004C6421">
            <w:pPr>
              <w:rPr>
                <w:noProof/>
              </w:rPr>
            </w:pPr>
          </w:p>
        </w:tc>
        <w:tc>
          <w:tcPr>
            <w:tcW w:w="1185" w:type="dxa"/>
            <w:vMerge/>
            <w:tcBorders>
              <w:top w:val="single" w:sz="4" w:space="0" w:color="auto"/>
              <w:left w:val="single" w:sz="4" w:space="0" w:color="auto"/>
              <w:bottom w:val="single" w:sz="4" w:space="0" w:color="auto"/>
              <w:right w:val="single" w:sz="4" w:space="0" w:color="auto"/>
            </w:tcBorders>
            <w:vAlign w:val="center"/>
          </w:tcPr>
          <w:p w14:paraId="7ACB1BCE" w14:textId="77777777" w:rsidR="004C6421" w:rsidRDefault="004C6421">
            <w:pPr>
              <w:rPr>
                <w:noProof/>
              </w:rPr>
            </w:pPr>
          </w:p>
        </w:tc>
        <w:tc>
          <w:tcPr>
            <w:tcW w:w="3200" w:type="dxa"/>
            <w:vMerge/>
            <w:tcBorders>
              <w:top w:val="single" w:sz="4" w:space="0" w:color="auto"/>
              <w:left w:val="single" w:sz="4" w:space="0" w:color="auto"/>
              <w:bottom w:val="single" w:sz="4" w:space="0" w:color="auto"/>
              <w:right w:val="single" w:sz="4" w:space="0" w:color="auto"/>
            </w:tcBorders>
            <w:vAlign w:val="center"/>
          </w:tcPr>
          <w:p w14:paraId="5CF6A5B8" w14:textId="77777777" w:rsidR="004C6421" w:rsidRDefault="004C6421">
            <w:pPr>
              <w:rPr>
                <w:noProof/>
              </w:rPr>
            </w:pPr>
          </w:p>
        </w:tc>
        <w:tc>
          <w:tcPr>
            <w:tcW w:w="236" w:type="dxa"/>
            <w:tcBorders>
              <w:top w:val="nil"/>
              <w:left w:val="single" w:sz="4" w:space="0" w:color="auto"/>
              <w:bottom w:val="nil"/>
              <w:right w:val="nil"/>
            </w:tcBorders>
            <w:vAlign w:val="center"/>
          </w:tcPr>
          <w:p w14:paraId="7D4075A8" w14:textId="77777777" w:rsidR="004C6421" w:rsidRDefault="004C6421">
            <w:pPr>
              <w:rPr>
                <w:noProof/>
              </w:rPr>
            </w:pPr>
          </w:p>
        </w:tc>
      </w:tr>
      <w:tr w:rsidR="004C6421" w14:paraId="40058AF8" w14:textId="77777777">
        <w:trPr>
          <w:trHeight w:val="300"/>
        </w:trPr>
        <w:tc>
          <w:tcPr>
            <w:tcW w:w="1435"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B1DAB70" w14:textId="77777777" w:rsidR="004C6421" w:rsidRDefault="009D1962">
            <w:pPr>
              <w:pStyle w:val="P68B1DB1-Normal8"/>
              <w:jc w:val="center"/>
              <w:rPr>
                <w:noProof/>
              </w:rPr>
            </w:pPr>
            <w:r>
              <w:rPr>
                <w:noProof/>
              </w:rPr>
              <w:t>M1C1-14bis</w:t>
            </w:r>
          </w:p>
        </w:tc>
        <w:tc>
          <w:tcPr>
            <w:tcW w:w="3538"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C46C8A6" w14:textId="77777777" w:rsidR="004C6421" w:rsidRDefault="009D1962">
            <w:pPr>
              <w:pStyle w:val="P68B1DB1-Normal8"/>
              <w:rPr>
                <w:noProof/>
              </w:rPr>
            </w:pPr>
            <w:r>
              <w:rPr>
                <w:noProof/>
              </w:rPr>
              <w:t>Reforma 1.9a: Reforma na rzecz przyspieszenia wdrażania polityki spójności</w:t>
            </w:r>
          </w:p>
        </w:tc>
        <w:tc>
          <w:tcPr>
            <w:tcW w:w="1185"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28C3D6D" w14:textId="128593F5" w:rsidR="004C6421" w:rsidRDefault="00CC179E">
            <w:pPr>
              <w:pStyle w:val="P68B1DB1-Normal8"/>
              <w:rPr>
                <w:noProof/>
              </w:rPr>
            </w:pPr>
            <w:r>
              <w:rPr>
                <w:noProof/>
              </w:rPr>
              <w:t xml:space="preserve">Milowy </w:t>
            </w:r>
          </w:p>
        </w:tc>
        <w:tc>
          <w:tcPr>
            <w:tcW w:w="3200"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91D767C" w14:textId="77777777" w:rsidR="004C6421" w:rsidRDefault="009D1962">
            <w:pPr>
              <w:pStyle w:val="P68B1DB1-Normal8"/>
              <w:rPr>
                <w:noProof/>
              </w:rPr>
            </w:pPr>
            <w:r>
              <w:rPr>
                <w:noProof/>
              </w:rPr>
              <w:t>Wejście w życie przepisów krajowych mających na celu przyspieszenie wdrażania polityki spójności</w:t>
            </w:r>
          </w:p>
        </w:tc>
        <w:tc>
          <w:tcPr>
            <w:tcW w:w="236" w:type="dxa"/>
            <w:tcBorders>
              <w:top w:val="nil"/>
              <w:left w:val="single" w:sz="8" w:space="0" w:color="auto"/>
              <w:bottom w:val="nil"/>
              <w:right w:val="nil"/>
            </w:tcBorders>
            <w:vAlign w:val="center"/>
          </w:tcPr>
          <w:p w14:paraId="3A573E80" w14:textId="77777777" w:rsidR="004C6421" w:rsidRDefault="004C6421">
            <w:pPr>
              <w:rPr>
                <w:noProof/>
              </w:rPr>
            </w:pPr>
          </w:p>
        </w:tc>
      </w:tr>
      <w:tr w:rsidR="004C6421" w14:paraId="1491D7CB"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FB11719" w14:textId="77777777" w:rsidR="004C6421" w:rsidRDefault="009D1962">
            <w:pPr>
              <w:pStyle w:val="P68B1DB1-Normal8"/>
              <w:jc w:val="center"/>
              <w:rPr>
                <w:noProof/>
              </w:rPr>
            </w:pPr>
            <w:r>
              <w:rPr>
                <w:noProof/>
              </w:rPr>
              <w:t>M1C1-15</w:t>
            </w:r>
          </w:p>
        </w:tc>
        <w:tc>
          <w:tcPr>
            <w:tcW w:w="353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7CFED1A" w14:textId="77777777" w:rsidR="004C6421" w:rsidRDefault="009D1962">
            <w:pPr>
              <w:pStyle w:val="P68B1DB1-Normal8"/>
              <w:rPr>
                <w:noProof/>
              </w:rPr>
            </w:pPr>
            <w:r>
              <w:rPr>
                <w:noProof/>
              </w:rPr>
              <w:t>Inwestycje 1.6.6: Cyfryzacja policji finansowej</w:t>
            </w:r>
          </w:p>
        </w:tc>
        <w:tc>
          <w:tcPr>
            <w:tcW w:w="118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EC7E22D" w14:textId="77777777" w:rsidR="004C6421" w:rsidRDefault="009D1962">
            <w:pPr>
              <w:pStyle w:val="P68B1DB1-Normal8"/>
              <w:rPr>
                <w:noProof/>
              </w:rPr>
            </w:pPr>
            <w:r>
              <w:rPr>
                <w:noProof/>
              </w:rPr>
              <w:t>Cel</w:t>
            </w:r>
          </w:p>
        </w:tc>
        <w:tc>
          <w:tcPr>
            <w:tcW w:w="3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53CA920" w14:textId="77777777" w:rsidR="004C6421" w:rsidRDefault="009D1962">
            <w:pPr>
              <w:pStyle w:val="P68B1DB1-Normal8"/>
              <w:rPr>
                <w:noProof/>
              </w:rPr>
            </w:pPr>
            <w:r>
              <w:rPr>
                <w:noProof/>
              </w:rPr>
              <w:t>Policja Finansowa – Zakup profesjonalnych usług w zakresie nauki o danych T2</w:t>
            </w:r>
          </w:p>
        </w:tc>
        <w:tc>
          <w:tcPr>
            <w:tcW w:w="236" w:type="dxa"/>
            <w:tcBorders>
              <w:top w:val="nil"/>
              <w:left w:val="single" w:sz="8" w:space="0" w:color="auto"/>
              <w:bottom w:val="nil"/>
              <w:right w:val="nil"/>
            </w:tcBorders>
            <w:vAlign w:val="center"/>
          </w:tcPr>
          <w:p w14:paraId="5330DCC2" w14:textId="77777777" w:rsidR="004C6421" w:rsidRDefault="004C6421">
            <w:pPr>
              <w:rPr>
                <w:noProof/>
              </w:rPr>
            </w:pPr>
          </w:p>
        </w:tc>
      </w:tr>
      <w:tr w:rsidR="004C6421" w14:paraId="3E56B713"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A104E01" w14:textId="77777777" w:rsidR="004C6421" w:rsidRDefault="009D1962">
            <w:pPr>
              <w:pStyle w:val="P68B1DB1-Normal8"/>
              <w:jc w:val="center"/>
              <w:rPr>
                <w:noProof/>
              </w:rPr>
            </w:pPr>
            <w:r>
              <w:rPr>
                <w:noProof/>
              </w:rPr>
              <w:t>M1C1-37bis</w:t>
            </w:r>
          </w:p>
        </w:tc>
        <w:tc>
          <w:tcPr>
            <w:tcW w:w="353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E8D4C3D" w14:textId="77777777" w:rsidR="004C6421" w:rsidRDefault="009D1962">
            <w:pPr>
              <w:pStyle w:val="P68B1DB1-Normal8"/>
              <w:rPr>
                <w:noProof/>
              </w:rPr>
            </w:pPr>
            <w:r>
              <w:rPr>
                <w:noProof/>
              </w:rPr>
              <w:t>Reforma 1.4: Reforma wymiaru sprawiedliwości w sprawach cywilnych</w:t>
            </w:r>
          </w:p>
        </w:tc>
        <w:tc>
          <w:tcPr>
            <w:tcW w:w="118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DB28BC4" w14:textId="2989D5C1" w:rsidR="004C6421" w:rsidRDefault="00CC179E">
            <w:pPr>
              <w:pStyle w:val="P68B1DB1-Normal8"/>
              <w:rPr>
                <w:noProof/>
              </w:rPr>
            </w:pPr>
            <w:r>
              <w:rPr>
                <w:noProof/>
              </w:rPr>
              <w:t>Milowy</w:t>
            </w:r>
          </w:p>
        </w:tc>
        <w:tc>
          <w:tcPr>
            <w:tcW w:w="3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5A89C3F" w14:textId="77777777" w:rsidR="004C6421" w:rsidRDefault="009D1962">
            <w:pPr>
              <w:pStyle w:val="P68B1DB1-Normal8"/>
              <w:rPr>
                <w:noProof/>
              </w:rPr>
            </w:pPr>
            <w:r>
              <w:rPr>
                <w:noProof/>
              </w:rPr>
              <w:t>Wejście w życie środków mających na celu zmniejszenie zaległości</w:t>
            </w:r>
          </w:p>
        </w:tc>
        <w:tc>
          <w:tcPr>
            <w:tcW w:w="236" w:type="dxa"/>
            <w:tcBorders>
              <w:top w:val="nil"/>
              <w:left w:val="single" w:sz="8" w:space="0" w:color="auto"/>
              <w:bottom w:val="nil"/>
              <w:right w:val="nil"/>
            </w:tcBorders>
            <w:vAlign w:val="center"/>
          </w:tcPr>
          <w:p w14:paraId="207EDFA6" w14:textId="77777777" w:rsidR="004C6421" w:rsidRDefault="004C6421">
            <w:pPr>
              <w:rPr>
                <w:noProof/>
              </w:rPr>
            </w:pPr>
          </w:p>
        </w:tc>
      </w:tr>
      <w:tr w:rsidR="004C6421" w14:paraId="0AA1C45A"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FBA3097" w14:textId="77777777" w:rsidR="004C6421" w:rsidRDefault="009D1962">
            <w:pPr>
              <w:pStyle w:val="P68B1DB1-Normal8"/>
              <w:jc w:val="center"/>
              <w:rPr>
                <w:noProof/>
              </w:rPr>
            </w:pPr>
            <w:r>
              <w:rPr>
                <w:noProof/>
              </w:rPr>
              <w:t>M1C1-72bis</w:t>
            </w:r>
          </w:p>
        </w:tc>
        <w:tc>
          <w:tcPr>
            <w:tcW w:w="353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4E6DEC8" w14:textId="77777777" w:rsidR="004C6421" w:rsidRDefault="009D1962">
            <w:pPr>
              <w:pStyle w:val="P68B1DB1-Normal8"/>
              <w:rPr>
                <w:noProof/>
              </w:rPr>
            </w:pPr>
            <w:r>
              <w:rPr>
                <w:noProof/>
              </w:rPr>
              <w:t>Reforma 1.11: Zmniejszenie opóźnień w płatnościach dokonywanych przez organy administracji publicznej i służby zdrowia</w:t>
            </w:r>
          </w:p>
        </w:tc>
        <w:tc>
          <w:tcPr>
            <w:tcW w:w="118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7FD74E6" w14:textId="27DA05FC" w:rsidR="004C6421" w:rsidRDefault="00CC179E">
            <w:pPr>
              <w:pStyle w:val="P68B1DB1-Normal8"/>
              <w:rPr>
                <w:noProof/>
              </w:rPr>
            </w:pPr>
            <w:r>
              <w:rPr>
                <w:noProof/>
              </w:rPr>
              <w:t>Milowy</w:t>
            </w:r>
          </w:p>
        </w:tc>
        <w:tc>
          <w:tcPr>
            <w:tcW w:w="3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17A7805" w14:textId="77777777" w:rsidR="004C6421" w:rsidRDefault="009D1962">
            <w:pPr>
              <w:pStyle w:val="P68B1DB1-Normal8"/>
              <w:rPr>
                <w:noProof/>
              </w:rPr>
            </w:pPr>
            <w:r>
              <w:rPr>
                <w:noProof/>
              </w:rPr>
              <w:t>Działania legislacyjne i szczegółowe mające na celu zmniejszenie opóźnień w płatnościach na szczeblu centralnym/lokalnym</w:t>
            </w:r>
          </w:p>
        </w:tc>
        <w:tc>
          <w:tcPr>
            <w:tcW w:w="236" w:type="dxa"/>
            <w:tcBorders>
              <w:top w:val="nil"/>
              <w:left w:val="single" w:sz="8" w:space="0" w:color="auto"/>
              <w:bottom w:val="nil"/>
              <w:right w:val="nil"/>
            </w:tcBorders>
            <w:vAlign w:val="center"/>
          </w:tcPr>
          <w:p w14:paraId="525B10D6" w14:textId="77777777" w:rsidR="004C6421" w:rsidRDefault="004C6421">
            <w:pPr>
              <w:rPr>
                <w:noProof/>
              </w:rPr>
            </w:pPr>
          </w:p>
        </w:tc>
      </w:tr>
      <w:tr w:rsidR="004C6421" w14:paraId="575688C1"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AF67121" w14:textId="77777777" w:rsidR="004C6421" w:rsidRDefault="009D1962">
            <w:pPr>
              <w:pStyle w:val="P68B1DB1-Normal8"/>
              <w:jc w:val="center"/>
              <w:rPr>
                <w:noProof/>
              </w:rPr>
            </w:pPr>
            <w:r>
              <w:rPr>
                <w:noProof/>
              </w:rPr>
              <w:t>M1C1-85</w:t>
            </w:r>
          </w:p>
        </w:tc>
        <w:tc>
          <w:tcPr>
            <w:tcW w:w="353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B5F0748" w14:textId="77777777" w:rsidR="004C6421" w:rsidRDefault="009D1962">
            <w:pPr>
              <w:pStyle w:val="P68B1DB1-Normal8"/>
              <w:rPr>
                <w:noProof/>
              </w:rPr>
            </w:pPr>
            <w:r>
              <w:rPr>
                <w:noProof/>
              </w:rPr>
              <w:t>Reforma 1.10: Reforma ram prawnych dotyczących zamówień publicznych</w:t>
            </w:r>
          </w:p>
        </w:tc>
        <w:tc>
          <w:tcPr>
            <w:tcW w:w="118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7A73E94" w14:textId="77777777" w:rsidR="004C6421" w:rsidRDefault="009D1962">
            <w:pPr>
              <w:pStyle w:val="P68B1DB1-Normal8"/>
              <w:rPr>
                <w:noProof/>
              </w:rPr>
            </w:pPr>
            <w:r>
              <w:rPr>
                <w:noProof/>
              </w:rPr>
              <w:t>Cel</w:t>
            </w:r>
          </w:p>
        </w:tc>
        <w:tc>
          <w:tcPr>
            <w:tcW w:w="3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618A369" w14:textId="77777777" w:rsidR="004C6421" w:rsidRDefault="009D1962">
            <w:pPr>
              <w:pStyle w:val="P68B1DB1-Normal8"/>
              <w:rPr>
                <w:noProof/>
              </w:rPr>
            </w:pPr>
            <w:r>
              <w:rPr>
                <w:noProof/>
              </w:rPr>
              <w:t>Średni czas między udzieleniem zamówienia a realizacją infrastruktury</w:t>
            </w:r>
          </w:p>
        </w:tc>
        <w:tc>
          <w:tcPr>
            <w:tcW w:w="236" w:type="dxa"/>
            <w:tcBorders>
              <w:top w:val="nil"/>
              <w:left w:val="single" w:sz="8" w:space="0" w:color="auto"/>
              <w:bottom w:val="nil"/>
              <w:right w:val="nil"/>
            </w:tcBorders>
            <w:vAlign w:val="center"/>
          </w:tcPr>
          <w:p w14:paraId="4A41BF59" w14:textId="77777777" w:rsidR="004C6421" w:rsidRDefault="004C6421">
            <w:pPr>
              <w:rPr>
                <w:noProof/>
              </w:rPr>
            </w:pPr>
          </w:p>
        </w:tc>
      </w:tr>
      <w:tr w:rsidR="004C6421" w14:paraId="3C72D213"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DC942A2" w14:textId="77777777" w:rsidR="004C6421" w:rsidRDefault="009D1962">
            <w:pPr>
              <w:pStyle w:val="P68B1DB1-Normal8"/>
              <w:jc w:val="center"/>
              <w:rPr>
                <w:noProof/>
              </w:rPr>
            </w:pPr>
            <w:r>
              <w:rPr>
                <w:noProof/>
              </w:rPr>
              <w:t>M1C1-99 </w:t>
            </w:r>
          </w:p>
        </w:tc>
        <w:tc>
          <w:tcPr>
            <w:tcW w:w="353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D0E179F" w14:textId="77777777" w:rsidR="004C6421" w:rsidRDefault="009D1962">
            <w:pPr>
              <w:pStyle w:val="P68B1DB1-Normal8"/>
              <w:rPr>
                <w:noProof/>
              </w:rPr>
            </w:pPr>
            <w:r>
              <w:rPr>
                <w:noProof/>
              </w:rPr>
              <w:t>Reforma 1.10: Reforma ram prawnych dotyczących zamówień publicznych </w:t>
            </w:r>
          </w:p>
        </w:tc>
        <w:tc>
          <w:tcPr>
            <w:tcW w:w="118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0ACEF46" w14:textId="77777777" w:rsidR="004C6421" w:rsidRDefault="009D1962">
            <w:pPr>
              <w:pStyle w:val="P68B1DB1-Normal8"/>
              <w:rPr>
                <w:noProof/>
              </w:rPr>
            </w:pPr>
            <w:r>
              <w:rPr>
                <w:noProof/>
              </w:rPr>
              <w:t>Cel </w:t>
            </w:r>
          </w:p>
        </w:tc>
        <w:tc>
          <w:tcPr>
            <w:tcW w:w="3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5643954" w14:textId="77777777" w:rsidR="004C6421" w:rsidRDefault="009D1962">
            <w:pPr>
              <w:pStyle w:val="P68B1DB1-Normal8"/>
              <w:rPr>
                <w:noProof/>
              </w:rPr>
            </w:pPr>
            <w:r>
              <w:rPr>
                <w:noProof/>
              </w:rPr>
              <w:t>Instytucje zamawiające stosujące dynamiczne systemy zakupów </w:t>
            </w:r>
          </w:p>
        </w:tc>
        <w:tc>
          <w:tcPr>
            <w:tcW w:w="236" w:type="dxa"/>
            <w:tcBorders>
              <w:top w:val="nil"/>
              <w:left w:val="single" w:sz="8" w:space="0" w:color="auto"/>
              <w:bottom w:val="nil"/>
              <w:right w:val="nil"/>
            </w:tcBorders>
            <w:vAlign w:val="center"/>
          </w:tcPr>
          <w:p w14:paraId="30F830BF" w14:textId="77777777" w:rsidR="004C6421" w:rsidRDefault="004C6421">
            <w:pPr>
              <w:rPr>
                <w:noProof/>
              </w:rPr>
            </w:pPr>
          </w:p>
        </w:tc>
      </w:tr>
      <w:tr w:rsidR="004C6421" w14:paraId="43A0FF2F"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BF1EFB5" w14:textId="77777777" w:rsidR="004C6421" w:rsidRDefault="009D1962">
            <w:pPr>
              <w:pStyle w:val="P68B1DB1-Normal8"/>
              <w:jc w:val="center"/>
              <w:rPr>
                <w:noProof/>
              </w:rPr>
            </w:pPr>
            <w:r>
              <w:rPr>
                <w:noProof/>
              </w:rPr>
              <w:t>M2C2-6</w:t>
            </w:r>
          </w:p>
        </w:tc>
        <w:tc>
          <w:tcPr>
            <w:tcW w:w="353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B85AD33" w14:textId="77777777" w:rsidR="004C6421" w:rsidRDefault="009D1962">
            <w:pPr>
              <w:pStyle w:val="P68B1DB1-Normal8"/>
              <w:rPr>
                <w:noProof/>
              </w:rPr>
            </w:pPr>
            <w:r>
              <w:rPr>
                <w:noProof/>
              </w:rPr>
              <w:t>Reforma 1 Uproszczenie procedur wydawania zezwoleń na elektrownie lądowe i morskie wykorzystujące energię odnawialną oraz nowe ramy prawne w celu utrzymania produkcji ze źródeł odnawialnych oraz przedłużenie okresu i kwalifikowalności obecnych systemów wsparcia</w:t>
            </w:r>
          </w:p>
        </w:tc>
        <w:tc>
          <w:tcPr>
            <w:tcW w:w="118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2524B14" w14:textId="72246937" w:rsidR="004C6421" w:rsidRDefault="00CC179E">
            <w:pPr>
              <w:pStyle w:val="P68B1DB1-Normal8"/>
              <w:rPr>
                <w:noProof/>
              </w:rPr>
            </w:pPr>
            <w:r>
              <w:rPr>
                <w:noProof/>
              </w:rPr>
              <w:t>Milowy</w:t>
            </w:r>
          </w:p>
        </w:tc>
        <w:tc>
          <w:tcPr>
            <w:tcW w:w="3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A171807" w14:textId="77777777" w:rsidR="004C6421" w:rsidRDefault="009D1962">
            <w:pPr>
              <w:pStyle w:val="P68B1DB1-Normal8"/>
              <w:rPr>
                <w:noProof/>
              </w:rPr>
            </w:pPr>
            <w:r>
              <w:rPr>
                <w:noProof/>
              </w:rPr>
              <w:t>Wejście w życie ram prawnych mających na celu uproszczenie procedur wydawania zezwoleń na budowę struktur dla lądowych i morskich odnawialnych źródeł energii</w:t>
            </w:r>
          </w:p>
        </w:tc>
        <w:tc>
          <w:tcPr>
            <w:tcW w:w="236" w:type="dxa"/>
            <w:tcBorders>
              <w:top w:val="nil"/>
              <w:left w:val="single" w:sz="8" w:space="0" w:color="auto"/>
              <w:bottom w:val="nil"/>
              <w:right w:val="nil"/>
            </w:tcBorders>
            <w:vAlign w:val="center"/>
          </w:tcPr>
          <w:p w14:paraId="1301B59D" w14:textId="77777777" w:rsidR="004C6421" w:rsidRDefault="004C6421">
            <w:pPr>
              <w:rPr>
                <w:noProof/>
              </w:rPr>
            </w:pPr>
          </w:p>
        </w:tc>
      </w:tr>
      <w:tr w:rsidR="004C6421" w14:paraId="30EDCF9C"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26A7BEE" w14:textId="77777777" w:rsidR="004C6421" w:rsidRDefault="009D1962">
            <w:pPr>
              <w:pStyle w:val="P68B1DB1-Normal8"/>
              <w:jc w:val="center"/>
              <w:rPr>
                <w:noProof/>
              </w:rPr>
            </w:pPr>
            <w:r>
              <w:rPr>
                <w:noProof/>
              </w:rPr>
              <w:t>M4C1-8</w:t>
            </w:r>
          </w:p>
        </w:tc>
        <w:tc>
          <w:tcPr>
            <w:tcW w:w="353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A210260" w14:textId="77777777" w:rsidR="004C6421" w:rsidRDefault="009D1962">
            <w:pPr>
              <w:pStyle w:val="P68B1DB1-Normal8"/>
              <w:rPr>
                <w:noProof/>
              </w:rPr>
            </w:pPr>
            <w:r>
              <w:rPr>
                <w:noProof/>
              </w:rPr>
              <w:t>Inwestycja 1.3: Plan poprawy infrastruktury sportowej w szkołach</w:t>
            </w:r>
          </w:p>
        </w:tc>
        <w:tc>
          <w:tcPr>
            <w:tcW w:w="118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F64D717" w14:textId="79E5468F" w:rsidR="004C6421" w:rsidRDefault="00CC179E">
            <w:pPr>
              <w:pStyle w:val="P68B1DB1-Normal8"/>
              <w:rPr>
                <w:noProof/>
              </w:rPr>
            </w:pPr>
            <w:r>
              <w:rPr>
                <w:noProof/>
              </w:rPr>
              <w:t>Milowy</w:t>
            </w:r>
          </w:p>
        </w:tc>
        <w:tc>
          <w:tcPr>
            <w:tcW w:w="3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A9C92BA" w14:textId="77777777" w:rsidR="004C6421" w:rsidRDefault="009D1962">
            <w:pPr>
              <w:pStyle w:val="P68B1DB1-Normal8"/>
              <w:rPr>
                <w:noProof/>
              </w:rPr>
            </w:pPr>
            <w:r>
              <w:rPr>
                <w:noProof/>
              </w:rPr>
              <w:t>Udzielanie zamówień na interwencje mające na celu budowę i renowację obiektów sportowych i siłowni do użytku szkolnego</w:t>
            </w:r>
          </w:p>
        </w:tc>
        <w:tc>
          <w:tcPr>
            <w:tcW w:w="236" w:type="dxa"/>
            <w:tcBorders>
              <w:top w:val="nil"/>
              <w:left w:val="single" w:sz="8" w:space="0" w:color="auto"/>
              <w:bottom w:val="nil"/>
              <w:right w:val="nil"/>
            </w:tcBorders>
            <w:vAlign w:val="center"/>
          </w:tcPr>
          <w:p w14:paraId="43B5CFB3" w14:textId="77777777" w:rsidR="004C6421" w:rsidRDefault="004C6421">
            <w:pPr>
              <w:rPr>
                <w:noProof/>
              </w:rPr>
            </w:pPr>
          </w:p>
        </w:tc>
      </w:tr>
      <w:tr w:rsidR="004C6421" w14:paraId="1AB16369"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E425563" w14:textId="77777777" w:rsidR="004C6421" w:rsidRDefault="009D1962">
            <w:pPr>
              <w:pStyle w:val="P68B1DB1-Normal8"/>
              <w:jc w:val="center"/>
              <w:rPr>
                <w:noProof/>
              </w:rPr>
            </w:pPr>
            <w:r>
              <w:rPr>
                <w:noProof/>
              </w:rPr>
              <w:t xml:space="preserve">M5C1-9 </w:t>
            </w:r>
          </w:p>
        </w:tc>
        <w:tc>
          <w:tcPr>
            <w:tcW w:w="353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1D275E8" w14:textId="77777777" w:rsidR="004C6421" w:rsidRDefault="009D1962">
            <w:pPr>
              <w:pStyle w:val="P68B1DB1-Normal8"/>
              <w:rPr>
                <w:noProof/>
              </w:rPr>
            </w:pPr>
            <w:r>
              <w:rPr>
                <w:noProof/>
              </w:rPr>
              <w:t>Reforma 2 – Praca nierejestrowana</w:t>
            </w:r>
          </w:p>
        </w:tc>
        <w:tc>
          <w:tcPr>
            <w:tcW w:w="118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2020EF0" w14:textId="6BD0C539" w:rsidR="004C6421" w:rsidRDefault="00CC179E">
            <w:pPr>
              <w:pStyle w:val="P68B1DB1-Normal8"/>
              <w:rPr>
                <w:noProof/>
              </w:rPr>
            </w:pPr>
            <w:r>
              <w:rPr>
                <w:noProof/>
              </w:rPr>
              <w:t>Milowy</w:t>
            </w:r>
          </w:p>
        </w:tc>
        <w:tc>
          <w:tcPr>
            <w:tcW w:w="3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403D5DE" w14:textId="77777777" w:rsidR="004C6421" w:rsidRDefault="009D1962">
            <w:pPr>
              <w:pStyle w:val="P68B1DB1-Normal8"/>
              <w:rPr>
                <w:noProof/>
              </w:rPr>
            </w:pPr>
            <w:r>
              <w:rPr>
                <w:noProof/>
              </w:rPr>
              <w:t>Prowadzenie działań w celu zwalczania pracy nierejestrowanej</w:t>
            </w:r>
          </w:p>
        </w:tc>
        <w:tc>
          <w:tcPr>
            <w:tcW w:w="236" w:type="dxa"/>
            <w:tcBorders>
              <w:top w:val="nil"/>
              <w:left w:val="single" w:sz="8" w:space="0" w:color="auto"/>
              <w:bottom w:val="nil"/>
              <w:right w:val="nil"/>
            </w:tcBorders>
            <w:vAlign w:val="center"/>
          </w:tcPr>
          <w:p w14:paraId="023086D6" w14:textId="77777777" w:rsidR="004C6421" w:rsidRDefault="004C6421">
            <w:pPr>
              <w:rPr>
                <w:noProof/>
              </w:rPr>
            </w:pPr>
          </w:p>
        </w:tc>
      </w:tr>
      <w:tr w:rsidR="004C6421" w14:paraId="71A4AE67"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23F784F" w14:textId="77777777" w:rsidR="004C6421" w:rsidRDefault="009D1962">
            <w:pPr>
              <w:pStyle w:val="P68B1DB1-Normal8"/>
              <w:jc w:val="center"/>
              <w:rPr>
                <w:noProof/>
              </w:rPr>
            </w:pPr>
            <w:r>
              <w:rPr>
                <w:noProof/>
              </w:rPr>
              <w:t>M5C2-4</w:t>
            </w:r>
          </w:p>
        </w:tc>
        <w:tc>
          <w:tcPr>
            <w:tcW w:w="353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7F72BEA" w14:textId="77777777" w:rsidR="004C6421" w:rsidRDefault="009D1962">
            <w:pPr>
              <w:pStyle w:val="P68B1DB1-Normal8"/>
              <w:rPr>
                <w:noProof/>
              </w:rPr>
            </w:pPr>
            <w:r>
              <w:rPr>
                <w:noProof/>
              </w:rPr>
              <w:t>Reforma 2 – Reforma dotycząca osób starszych, które nie są samowystarczalne</w:t>
            </w:r>
          </w:p>
        </w:tc>
        <w:tc>
          <w:tcPr>
            <w:tcW w:w="118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05C9935" w14:textId="432AFD7D" w:rsidR="004C6421" w:rsidRDefault="00CC179E">
            <w:pPr>
              <w:pStyle w:val="P68B1DB1-Normal8"/>
              <w:rPr>
                <w:noProof/>
              </w:rPr>
            </w:pPr>
            <w:r>
              <w:rPr>
                <w:noProof/>
              </w:rPr>
              <w:t>Milowy</w:t>
            </w:r>
          </w:p>
        </w:tc>
        <w:tc>
          <w:tcPr>
            <w:tcW w:w="3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B6E60FE" w14:textId="77777777" w:rsidR="004C6421" w:rsidRDefault="009D1962">
            <w:pPr>
              <w:pStyle w:val="P68B1DB1-Normal8"/>
              <w:rPr>
                <w:noProof/>
              </w:rPr>
            </w:pPr>
            <w:r>
              <w:rPr>
                <w:noProof/>
              </w:rPr>
              <w:t>Wejście w życie dekretów ustawodawczych, które rozwijają przepisy określone w ustawie ramowej w celu wzmocnienia działań na rzecz osób starszych, które nie są samowystarczalne</w:t>
            </w:r>
          </w:p>
        </w:tc>
        <w:tc>
          <w:tcPr>
            <w:tcW w:w="236" w:type="dxa"/>
            <w:tcBorders>
              <w:top w:val="nil"/>
              <w:left w:val="single" w:sz="8" w:space="0" w:color="auto"/>
              <w:bottom w:val="nil"/>
              <w:right w:val="nil"/>
            </w:tcBorders>
            <w:vAlign w:val="center"/>
          </w:tcPr>
          <w:p w14:paraId="348BC8D7" w14:textId="77777777" w:rsidR="004C6421" w:rsidRDefault="004C6421">
            <w:pPr>
              <w:rPr>
                <w:noProof/>
              </w:rPr>
            </w:pPr>
          </w:p>
        </w:tc>
      </w:tr>
      <w:tr w:rsidR="004C6421" w14:paraId="043C3919"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5C39E80" w14:textId="77777777" w:rsidR="004C6421" w:rsidRDefault="009D1962">
            <w:pPr>
              <w:pStyle w:val="P68B1DB1-Normal8"/>
              <w:jc w:val="center"/>
              <w:rPr>
                <w:noProof/>
              </w:rPr>
            </w:pPr>
            <w:r>
              <w:rPr>
                <w:noProof/>
              </w:rPr>
              <w:t>M7-9</w:t>
            </w:r>
          </w:p>
        </w:tc>
        <w:tc>
          <w:tcPr>
            <w:tcW w:w="353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CA482B8" w14:textId="77777777" w:rsidR="004C6421" w:rsidRDefault="009D1962">
            <w:pPr>
              <w:pStyle w:val="P68B1DB1-Normal8"/>
              <w:rPr>
                <w:noProof/>
              </w:rPr>
            </w:pPr>
            <w:r>
              <w:rPr>
                <w:noProof/>
              </w:rPr>
              <w:t>Reforma 5: Plan na rzecz nowych umiejętności – przemiany</w:t>
            </w:r>
          </w:p>
        </w:tc>
        <w:tc>
          <w:tcPr>
            <w:tcW w:w="118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E37AE19" w14:textId="634B7FE5" w:rsidR="004C6421" w:rsidRDefault="00CC179E">
            <w:pPr>
              <w:pStyle w:val="P68B1DB1-Normal8"/>
              <w:rPr>
                <w:noProof/>
              </w:rPr>
            </w:pPr>
            <w:r>
              <w:rPr>
                <w:noProof/>
              </w:rPr>
              <w:t>Milowy</w:t>
            </w:r>
          </w:p>
        </w:tc>
        <w:tc>
          <w:tcPr>
            <w:tcW w:w="3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91EEC72" w14:textId="77777777" w:rsidR="004C6421" w:rsidRDefault="009D1962">
            <w:pPr>
              <w:pStyle w:val="P68B1DB1-Normal8"/>
              <w:rPr>
                <w:noProof/>
              </w:rPr>
            </w:pPr>
            <w:r>
              <w:rPr>
                <w:noProof/>
              </w:rPr>
              <w:t>Przyjęcie i publikacja nowego planu na rzecz umiejętności – przemiany i planu działania na rzecz wdrożenia</w:t>
            </w:r>
          </w:p>
        </w:tc>
        <w:tc>
          <w:tcPr>
            <w:tcW w:w="236" w:type="dxa"/>
            <w:tcBorders>
              <w:top w:val="nil"/>
              <w:left w:val="single" w:sz="8" w:space="0" w:color="auto"/>
              <w:bottom w:val="nil"/>
              <w:right w:val="nil"/>
            </w:tcBorders>
            <w:vAlign w:val="center"/>
          </w:tcPr>
          <w:p w14:paraId="52619273" w14:textId="77777777" w:rsidR="004C6421" w:rsidRDefault="004C6421">
            <w:pPr>
              <w:rPr>
                <w:noProof/>
              </w:rPr>
            </w:pPr>
          </w:p>
        </w:tc>
      </w:tr>
      <w:tr w:rsidR="004C6421" w14:paraId="3C07B331"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567161A" w14:textId="77777777" w:rsidR="004C6421" w:rsidRDefault="009D1962">
            <w:pPr>
              <w:pStyle w:val="P68B1DB1-Normal8"/>
              <w:jc w:val="center"/>
              <w:rPr>
                <w:noProof/>
              </w:rPr>
            </w:pPr>
            <w:r>
              <w:rPr>
                <w:noProof/>
              </w:rPr>
              <w:t>M7-32</w:t>
            </w:r>
          </w:p>
        </w:tc>
        <w:tc>
          <w:tcPr>
            <w:tcW w:w="353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EC7A8C1" w14:textId="77777777" w:rsidR="004C6421" w:rsidRDefault="009D1962">
            <w:pPr>
              <w:pStyle w:val="P68B1DB1-Normal8"/>
              <w:rPr>
                <w:noProof/>
              </w:rPr>
            </w:pPr>
            <w:r>
              <w:rPr>
                <w:noProof/>
              </w:rPr>
              <w:t>Inwestycja 12 Instrument finansowy na rzecz rozwoju wiodącej pozycji międzynarodowej, przemysłowej i badawczo-rozwojowej w zakresie autobusów bezemisyjnych</w:t>
            </w:r>
          </w:p>
        </w:tc>
        <w:tc>
          <w:tcPr>
            <w:tcW w:w="118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CA1CEA1" w14:textId="62766C13" w:rsidR="004C6421" w:rsidRDefault="00CC179E">
            <w:pPr>
              <w:pStyle w:val="P68B1DB1-Normal8"/>
              <w:rPr>
                <w:noProof/>
              </w:rPr>
            </w:pPr>
            <w:r>
              <w:rPr>
                <w:noProof/>
              </w:rPr>
              <w:t>Milowy</w:t>
            </w:r>
          </w:p>
        </w:tc>
        <w:tc>
          <w:tcPr>
            <w:tcW w:w="3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680BA27" w14:textId="77777777" w:rsidR="004C6421" w:rsidRDefault="009D1962">
            <w:pPr>
              <w:pStyle w:val="P68B1DB1-Normal8"/>
              <w:rPr>
                <w:noProof/>
              </w:rPr>
            </w:pPr>
            <w:r>
              <w:rPr>
                <w:noProof/>
              </w:rPr>
              <w:t>Umowa wykonawcza</w:t>
            </w:r>
          </w:p>
        </w:tc>
        <w:tc>
          <w:tcPr>
            <w:tcW w:w="236" w:type="dxa"/>
            <w:tcBorders>
              <w:top w:val="nil"/>
              <w:left w:val="single" w:sz="8" w:space="0" w:color="auto"/>
              <w:bottom w:val="nil"/>
              <w:right w:val="nil"/>
            </w:tcBorders>
            <w:vAlign w:val="center"/>
          </w:tcPr>
          <w:p w14:paraId="33721E78" w14:textId="77777777" w:rsidR="004C6421" w:rsidRDefault="004C6421">
            <w:pPr>
              <w:rPr>
                <w:noProof/>
              </w:rPr>
            </w:pPr>
          </w:p>
        </w:tc>
      </w:tr>
      <w:tr w:rsidR="004C6421" w14:paraId="429EF518"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E72313A" w14:textId="77777777" w:rsidR="004C6421" w:rsidRDefault="009D1962">
            <w:pPr>
              <w:pStyle w:val="P68B1DB1-Normal8"/>
              <w:jc w:val="center"/>
              <w:rPr>
                <w:noProof/>
              </w:rPr>
            </w:pPr>
            <w:r>
              <w:rPr>
                <w:noProof/>
              </w:rPr>
              <w:t>M1C1-39</w:t>
            </w:r>
          </w:p>
        </w:tc>
        <w:tc>
          <w:tcPr>
            <w:tcW w:w="353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DD72A0D" w14:textId="77777777" w:rsidR="004C6421" w:rsidRDefault="009D1962">
            <w:pPr>
              <w:pStyle w:val="P68B1DB1-Normal8"/>
              <w:rPr>
                <w:noProof/>
              </w:rPr>
            </w:pPr>
            <w:r>
              <w:rPr>
                <w:noProof/>
              </w:rPr>
              <w:t>Inwestycje 1.8: Procedury rekrutacji do sądów cywilnych i karnych</w:t>
            </w:r>
          </w:p>
        </w:tc>
        <w:tc>
          <w:tcPr>
            <w:tcW w:w="118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2752677" w14:textId="77777777" w:rsidR="004C6421" w:rsidRDefault="009D1962">
            <w:pPr>
              <w:pStyle w:val="P68B1DB1-Normal8"/>
              <w:rPr>
                <w:noProof/>
              </w:rPr>
            </w:pPr>
            <w:r>
              <w:rPr>
                <w:noProof/>
              </w:rPr>
              <w:t>Cel</w:t>
            </w:r>
          </w:p>
        </w:tc>
        <w:tc>
          <w:tcPr>
            <w:tcW w:w="3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35172BA" w14:textId="77777777" w:rsidR="004C6421" w:rsidRDefault="009D1962">
            <w:pPr>
              <w:pStyle w:val="P68B1DB1-Normal8"/>
              <w:rPr>
                <w:noProof/>
              </w:rPr>
            </w:pPr>
            <w:r>
              <w:rPr>
                <w:noProof/>
              </w:rPr>
              <w:t>Zakończenie procedur rekrutacji do sądów cywilnych i karnych oraz służb terytorialnych i centralnych Ministerstwa Sprawiedliwości odpowiedzialnych za realizację RRP</w:t>
            </w:r>
          </w:p>
        </w:tc>
        <w:tc>
          <w:tcPr>
            <w:tcW w:w="236" w:type="dxa"/>
            <w:tcBorders>
              <w:top w:val="nil"/>
              <w:left w:val="single" w:sz="8" w:space="0" w:color="auto"/>
              <w:bottom w:val="nil"/>
              <w:right w:val="nil"/>
            </w:tcBorders>
            <w:vAlign w:val="center"/>
          </w:tcPr>
          <w:p w14:paraId="16AB3F10" w14:textId="77777777" w:rsidR="004C6421" w:rsidRDefault="004C6421">
            <w:pPr>
              <w:rPr>
                <w:noProof/>
              </w:rPr>
            </w:pPr>
          </w:p>
        </w:tc>
      </w:tr>
      <w:tr w:rsidR="004C6421" w14:paraId="3CFFBCA5"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72D80F8" w14:textId="77777777" w:rsidR="004C6421" w:rsidRDefault="009D1962">
            <w:pPr>
              <w:pStyle w:val="P68B1DB1-Normal8"/>
              <w:jc w:val="center"/>
              <w:rPr>
                <w:noProof/>
              </w:rPr>
            </w:pPr>
            <w:r>
              <w:rPr>
                <w:noProof/>
              </w:rPr>
              <w:t>M1C1-40</w:t>
            </w:r>
          </w:p>
        </w:tc>
        <w:tc>
          <w:tcPr>
            <w:tcW w:w="353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7B98F78" w14:textId="77777777" w:rsidR="004C6421" w:rsidRDefault="009D1962">
            <w:pPr>
              <w:pStyle w:val="P68B1DB1-Normal8"/>
              <w:rPr>
                <w:noProof/>
              </w:rPr>
            </w:pPr>
            <w:r>
              <w:rPr>
                <w:noProof/>
              </w:rPr>
              <w:t>Inwestycje 1.8: Procedury rekrutacyjne w sądach administracyjnych</w:t>
            </w:r>
          </w:p>
        </w:tc>
        <w:tc>
          <w:tcPr>
            <w:tcW w:w="118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4C1E595" w14:textId="77777777" w:rsidR="004C6421" w:rsidRDefault="009D1962">
            <w:pPr>
              <w:pStyle w:val="P68B1DB1-Normal8"/>
              <w:rPr>
                <w:noProof/>
              </w:rPr>
            </w:pPr>
            <w:r>
              <w:rPr>
                <w:noProof/>
              </w:rPr>
              <w:t>Cel</w:t>
            </w:r>
          </w:p>
        </w:tc>
        <w:tc>
          <w:tcPr>
            <w:tcW w:w="3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D9149B1" w14:textId="77777777" w:rsidR="004C6421" w:rsidRDefault="009D1962">
            <w:pPr>
              <w:pStyle w:val="P68B1DB1-Normal8"/>
              <w:rPr>
                <w:noProof/>
              </w:rPr>
            </w:pPr>
            <w:r>
              <w:rPr>
                <w:noProof/>
              </w:rPr>
              <w:t>Zakończenie procedur rekrutacyjnych do sądów administracyjnych</w:t>
            </w:r>
          </w:p>
        </w:tc>
        <w:tc>
          <w:tcPr>
            <w:tcW w:w="236" w:type="dxa"/>
            <w:tcBorders>
              <w:top w:val="nil"/>
              <w:left w:val="single" w:sz="8" w:space="0" w:color="auto"/>
              <w:bottom w:val="nil"/>
              <w:right w:val="nil"/>
            </w:tcBorders>
            <w:vAlign w:val="center"/>
          </w:tcPr>
          <w:p w14:paraId="69C4C67E" w14:textId="77777777" w:rsidR="004C6421" w:rsidRDefault="004C6421">
            <w:pPr>
              <w:rPr>
                <w:noProof/>
              </w:rPr>
            </w:pPr>
          </w:p>
        </w:tc>
      </w:tr>
      <w:tr w:rsidR="004C6421" w14:paraId="3734481C"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9F4DCDC" w14:textId="77777777" w:rsidR="004C6421" w:rsidRDefault="009D1962">
            <w:pPr>
              <w:pStyle w:val="P68B1DB1-Normal8"/>
              <w:jc w:val="center"/>
              <w:rPr>
                <w:noProof/>
              </w:rPr>
            </w:pPr>
            <w:r>
              <w:rPr>
                <w:noProof/>
              </w:rPr>
              <w:t>M1C1-41</w:t>
            </w:r>
          </w:p>
        </w:tc>
        <w:tc>
          <w:tcPr>
            <w:tcW w:w="353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1C9B260" w14:textId="77777777" w:rsidR="004C6421" w:rsidRDefault="009D1962">
            <w:pPr>
              <w:pStyle w:val="P68B1DB1-Normal8"/>
              <w:rPr>
                <w:noProof/>
              </w:rPr>
            </w:pPr>
            <w:r>
              <w:rPr>
                <w:noProof/>
              </w:rPr>
              <w:t>Inwestycje 1.8: Procedury rekrutacyjne w sądach administracyjnych</w:t>
            </w:r>
          </w:p>
        </w:tc>
        <w:tc>
          <w:tcPr>
            <w:tcW w:w="118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1CCC72C" w14:textId="77777777" w:rsidR="004C6421" w:rsidRDefault="009D1962">
            <w:pPr>
              <w:pStyle w:val="P68B1DB1-Normal8"/>
              <w:rPr>
                <w:noProof/>
              </w:rPr>
            </w:pPr>
            <w:r>
              <w:rPr>
                <w:noProof/>
              </w:rPr>
              <w:t>Cel</w:t>
            </w:r>
          </w:p>
        </w:tc>
        <w:tc>
          <w:tcPr>
            <w:tcW w:w="3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801A29B" w14:textId="77777777" w:rsidR="004C6421" w:rsidRDefault="009D1962">
            <w:pPr>
              <w:pStyle w:val="P68B1DB1-Normal8"/>
              <w:rPr>
                <w:noProof/>
              </w:rPr>
            </w:pPr>
            <w:r>
              <w:rPr>
                <w:noProof/>
              </w:rPr>
              <w:t>Zmniejszenie liczby zaległych spraw dotyczących regionalnych sądów administracyjnych</w:t>
            </w:r>
          </w:p>
        </w:tc>
        <w:tc>
          <w:tcPr>
            <w:tcW w:w="236" w:type="dxa"/>
            <w:tcBorders>
              <w:top w:val="nil"/>
              <w:left w:val="single" w:sz="8" w:space="0" w:color="auto"/>
              <w:bottom w:val="nil"/>
              <w:right w:val="nil"/>
            </w:tcBorders>
            <w:vAlign w:val="center"/>
          </w:tcPr>
          <w:p w14:paraId="11C7C098" w14:textId="77777777" w:rsidR="004C6421" w:rsidRDefault="004C6421">
            <w:pPr>
              <w:rPr>
                <w:noProof/>
              </w:rPr>
            </w:pPr>
          </w:p>
        </w:tc>
      </w:tr>
      <w:tr w:rsidR="004C6421" w14:paraId="6599BF46"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BBF192F" w14:textId="77777777" w:rsidR="004C6421" w:rsidRDefault="009D1962">
            <w:pPr>
              <w:pStyle w:val="P68B1DB1-Normal8"/>
              <w:jc w:val="center"/>
              <w:rPr>
                <w:noProof/>
              </w:rPr>
            </w:pPr>
            <w:r>
              <w:rPr>
                <w:noProof/>
              </w:rPr>
              <w:t>M1C1-42</w:t>
            </w:r>
          </w:p>
        </w:tc>
        <w:tc>
          <w:tcPr>
            <w:tcW w:w="353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D361710" w14:textId="77777777" w:rsidR="004C6421" w:rsidRDefault="009D1962">
            <w:pPr>
              <w:pStyle w:val="P68B1DB1-Normal8"/>
              <w:rPr>
                <w:noProof/>
              </w:rPr>
            </w:pPr>
            <w:r>
              <w:rPr>
                <w:noProof/>
              </w:rPr>
              <w:t>Inwestycje 1.8: Procedury rekrutacyjne w sądach administracyjnych</w:t>
            </w:r>
          </w:p>
        </w:tc>
        <w:tc>
          <w:tcPr>
            <w:tcW w:w="118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F1F855F" w14:textId="77777777" w:rsidR="004C6421" w:rsidRDefault="009D1962">
            <w:pPr>
              <w:pStyle w:val="P68B1DB1-Normal8"/>
              <w:rPr>
                <w:noProof/>
              </w:rPr>
            </w:pPr>
            <w:r>
              <w:rPr>
                <w:noProof/>
              </w:rPr>
              <w:t>Cel</w:t>
            </w:r>
          </w:p>
        </w:tc>
        <w:tc>
          <w:tcPr>
            <w:tcW w:w="3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74C6F12" w14:textId="77777777" w:rsidR="004C6421" w:rsidRDefault="009D1962">
            <w:pPr>
              <w:pStyle w:val="P68B1DB1-Normal8"/>
              <w:rPr>
                <w:noProof/>
              </w:rPr>
            </w:pPr>
            <w:r>
              <w:rPr>
                <w:noProof/>
              </w:rPr>
              <w:t>Zmniejszenie liczby zaległych spraw w Radzie Stanu</w:t>
            </w:r>
          </w:p>
        </w:tc>
        <w:tc>
          <w:tcPr>
            <w:tcW w:w="236" w:type="dxa"/>
            <w:tcBorders>
              <w:top w:val="nil"/>
              <w:left w:val="single" w:sz="8" w:space="0" w:color="auto"/>
              <w:bottom w:val="nil"/>
              <w:right w:val="nil"/>
            </w:tcBorders>
            <w:vAlign w:val="center"/>
          </w:tcPr>
          <w:p w14:paraId="0A4DCC0D" w14:textId="77777777" w:rsidR="004C6421" w:rsidRDefault="004C6421">
            <w:pPr>
              <w:rPr>
                <w:noProof/>
              </w:rPr>
            </w:pPr>
          </w:p>
        </w:tc>
      </w:tr>
      <w:tr w:rsidR="004C6421" w14:paraId="4DF62934"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64BD53E" w14:textId="77777777" w:rsidR="004C6421" w:rsidRDefault="009D1962">
            <w:pPr>
              <w:pStyle w:val="P68B1DB1-Normal8"/>
              <w:jc w:val="center"/>
              <w:rPr>
                <w:noProof/>
              </w:rPr>
            </w:pPr>
            <w:r>
              <w:rPr>
                <w:noProof/>
              </w:rPr>
              <w:t>M1C1-59 BIS</w:t>
            </w:r>
          </w:p>
        </w:tc>
        <w:tc>
          <w:tcPr>
            <w:tcW w:w="353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6408C2F" w14:textId="77777777" w:rsidR="004C6421" w:rsidRDefault="009D1962">
            <w:pPr>
              <w:pStyle w:val="P68B1DB1-Normal8"/>
              <w:rPr>
                <w:noProof/>
              </w:rPr>
            </w:pPr>
            <w:r>
              <w:rPr>
                <w:noProof/>
              </w:rPr>
              <w:t xml:space="preserve">Reforma 1.9: Reforma administracji publicznej </w:t>
            </w:r>
          </w:p>
        </w:tc>
        <w:tc>
          <w:tcPr>
            <w:tcW w:w="118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54EA6B0" w14:textId="741D06B7" w:rsidR="004C6421" w:rsidRDefault="00CC179E">
            <w:pPr>
              <w:pStyle w:val="P68B1DB1-Normal8"/>
              <w:rPr>
                <w:noProof/>
              </w:rPr>
            </w:pPr>
            <w:r>
              <w:rPr>
                <w:noProof/>
              </w:rPr>
              <w:t>Milowy</w:t>
            </w:r>
          </w:p>
        </w:tc>
        <w:tc>
          <w:tcPr>
            <w:tcW w:w="3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55D8FF2" w14:textId="77777777" w:rsidR="004C6421" w:rsidRDefault="009D1962">
            <w:pPr>
              <w:pStyle w:val="P68B1DB1-Normal8"/>
              <w:rPr>
                <w:noProof/>
              </w:rPr>
            </w:pPr>
            <w:r>
              <w:rPr>
                <w:noProof/>
              </w:rPr>
              <w:t>Wdrożenie strategicznego zarządzania zasobami ludzkimi w administracji publicznej</w:t>
            </w:r>
          </w:p>
        </w:tc>
        <w:tc>
          <w:tcPr>
            <w:tcW w:w="236" w:type="dxa"/>
            <w:tcBorders>
              <w:top w:val="nil"/>
              <w:left w:val="single" w:sz="8" w:space="0" w:color="auto"/>
              <w:bottom w:val="nil"/>
              <w:right w:val="nil"/>
            </w:tcBorders>
            <w:vAlign w:val="center"/>
          </w:tcPr>
          <w:p w14:paraId="416800DE" w14:textId="77777777" w:rsidR="004C6421" w:rsidRDefault="004C6421">
            <w:pPr>
              <w:rPr>
                <w:noProof/>
              </w:rPr>
            </w:pPr>
          </w:p>
        </w:tc>
      </w:tr>
      <w:tr w:rsidR="004C6421" w14:paraId="752FA847"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7978096" w14:textId="77777777" w:rsidR="004C6421" w:rsidRDefault="009D1962">
            <w:pPr>
              <w:pStyle w:val="P68B1DB1-Normal8"/>
              <w:jc w:val="center"/>
              <w:rPr>
                <w:noProof/>
              </w:rPr>
            </w:pPr>
            <w:r>
              <w:rPr>
                <w:noProof/>
              </w:rPr>
              <w:t>M1C1-73bis</w:t>
            </w:r>
          </w:p>
        </w:tc>
        <w:tc>
          <w:tcPr>
            <w:tcW w:w="353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A2CEC63" w14:textId="77777777" w:rsidR="004C6421" w:rsidRDefault="009D1962">
            <w:pPr>
              <w:pStyle w:val="P68B1DB1-Normal8"/>
              <w:rPr>
                <w:noProof/>
              </w:rPr>
            </w:pPr>
            <w:r>
              <w:rPr>
                <w:noProof/>
              </w:rPr>
              <w:t>Reforma 1.10: Reforma ram prawnych dotyczących zamówień publicznych</w:t>
            </w:r>
          </w:p>
        </w:tc>
        <w:tc>
          <w:tcPr>
            <w:tcW w:w="118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8754909" w14:textId="18979750" w:rsidR="004C6421" w:rsidRDefault="00CC179E">
            <w:pPr>
              <w:pStyle w:val="P68B1DB1-Normal8"/>
              <w:rPr>
                <w:noProof/>
              </w:rPr>
            </w:pPr>
            <w:r>
              <w:rPr>
                <w:noProof/>
              </w:rPr>
              <w:t>Milowy</w:t>
            </w:r>
          </w:p>
        </w:tc>
        <w:tc>
          <w:tcPr>
            <w:tcW w:w="3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67FCB84" w14:textId="77777777" w:rsidR="004C6421" w:rsidRDefault="009D1962">
            <w:pPr>
              <w:pStyle w:val="P68B1DB1-Normal8"/>
              <w:rPr>
                <w:noProof/>
              </w:rPr>
            </w:pPr>
            <w:r>
              <w:rPr>
                <w:noProof/>
              </w:rPr>
              <w:t>Przyjęcie okólnika zawierającego wytyczne dotyczące systemu kwalifikowania dla instytucji zamawiających</w:t>
            </w:r>
          </w:p>
        </w:tc>
        <w:tc>
          <w:tcPr>
            <w:tcW w:w="236" w:type="dxa"/>
            <w:tcBorders>
              <w:top w:val="nil"/>
              <w:left w:val="single" w:sz="8" w:space="0" w:color="auto"/>
              <w:bottom w:val="nil"/>
              <w:right w:val="nil"/>
            </w:tcBorders>
            <w:vAlign w:val="center"/>
          </w:tcPr>
          <w:p w14:paraId="2FAF5A80" w14:textId="77777777" w:rsidR="004C6421" w:rsidRDefault="004C6421">
            <w:pPr>
              <w:rPr>
                <w:noProof/>
              </w:rPr>
            </w:pPr>
          </w:p>
        </w:tc>
      </w:tr>
      <w:tr w:rsidR="004C6421" w14:paraId="3030BCC2"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057AC72" w14:textId="77777777" w:rsidR="004C6421" w:rsidRDefault="009D1962">
            <w:pPr>
              <w:pStyle w:val="P68B1DB1-Normal8"/>
              <w:jc w:val="center"/>
              <w:rPr>
                <w:noProof/>
              </w:rPr>
            </w:pPr>
            <w:r>
              <w:rPr>
                <w:noProof/>
              </w:rPr>
              <w:t>M1C1-108</w:t>
            </w:r>
          </w:p>
        </w:tc>
        <w:tc>
          <w:tcPr>
            <w:tcW w:w="353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E7F669B" w14:textId="77777777" w:rsidR="004C6421" w:rsidRDefault="009D1962">
            <w:pPr>
              <w:pStyle w:val="P68B1DB1-Normal8"/>
              <w:rPr>
                <w:noProof/>
              </w:rPr>
            </w:pPr>
            <w:r>
              <w:rPr>
                <w:noProof/>
              </w:rPr>
              <w:t>Reforma 1.15: Reforma zasad rachunkowości publicznej</w:t>
            </w:r>
          </w:p>
        </w:tc>
        <w:tc>
          <w:tcPr>
            <w:tcW w:w="118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890364D" w14:textId="0A94A338" w:rsidR="004C6421" w:rsidRDefault="00CC179E">
            <w:pPr>
              <w:pStyle w:val="P68B1DB1-Normal8"/>
              <w:rPr>
                <w:noProof/>
              </w:rPr>
            </w:pPr>
            <w:r>
              <w:rPr>
                <w:noProof/>
              </w:rPr>
              <w:t>Milowy</w:t>
            </w:r>
          </w:p>
        </w:tc>
        <w:tc>
          <w:tcPr>
            <w:tcW w:w="3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F801AB0" w14:textId="77777777" w:rsidR="004C6421" w:rsidRDefault="009D1962">
            <w:pPr>
              <w:pStyle w:val="P68B1DB1-Normal8"/>
              <w:rPr>
                <w:noProof/>
              </w:rPr>
            </w:pPr>
            <w:r>
              <w:rPr>
                <w:noProof/>
              </w:rPr>
              <w:t>Zatwierdzenie ram koncepcyjnych, zbioru standardów rachunkowości memoriałowej oraz wielowymiarowego schematu kont</w:t>
            </w:r>
          </w:p>
        </w:tc>
        <w:tc>
          <w:tcPr>
            <w:tcW w:w="236" w:type="dxa"/>
            <w:tcBorders>
              <w:top w:val="nil"/>
              <w:left w:val="single" w:sz="8" w:space="0" w:color="auto"/>
              <w:bottom w:val="nil"/>
              <w:right w:val="nil"/>
            </w:tcBorders>
            <w:vAlign w:val="center"/>
          </w:tcPr>
          <w:p w14:paraId="008CAF61" w14:textId="77777777" w:rsidR="004C6421" w:rsidRDefault="004C6421">
            <w:pPr>
              <w:rPr>
                <w:noProof/>
              </w:rPr>
            </w:pPr>
          </w:p>
        </w:tc>
      </w:tr>
      <w:tr w:rsidR="004C6421" w14:paraId="5BBAF4F3"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8C631DF" w14:textId="77777777" w:rsidR="004C6421" w:rsidRDefault="009D1962">
            <w:pPr>
              <w:pStyle w:val="P68B1DB1-Normal8"/>
              <w:jc w:val="center"/>
              <w:rPr>
                <w:noProof/>
              </w:rPr>
            </w:pPr>
            <w:r>
              <w:rPr>
                <w:noProof/>
              </w:rPr>
              <w:t>M1C1-111</w:t>
            </w:r>
          </w:p>
        </w:tc>
        <w:tc>
          <w:tcPr>
            <w:tcW w:w="353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67423B9" w14:textId="77777777" w:rsidR="004C6421" w:rsidRDefault="009D1962">
            <w:pPr>
              <w:pStyle w:val="P68B1DB1-Normal8"/>
              <w:rPr>
                <w:noProof/>
              </w:rPr>
            </w:pPr>
            <w:r>
              <w:rPr>
                <w:noProof/>
              </w:rPr>
              <w:t>Reforma 1.13: Reforma ram przeglądu wydatków</w:t>
            </w:r>
          </w:p>
        </w:tc>
        <w:tc>
          <w:tcPr>
            <w:tcW w:w="118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08B3AFC" w14:textId="034655F1" w:rsidR="004C6421" w:rsidRDefault="00CC179E">
            <w:pPr>
              <w:pStyle w:val="P68B1DB1-Normal8"/>
              <w:rPr>
                <w:noProof/>
              </w:rPr>
            </w:pPr>
            <w:r>
              <w:rPr>
                <w:noProof/>
              </w:rPr>
              <w:t>Milowy</w:t>
            </w:r>
          </w:p>
        </w:tc>
        <w:tc>
          <w:tcPr>
            <w:tcW w:w="3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862BA07" w14:textId="77777777" w:rsidR="004C6421" w:rsidRDefault="009D1962">
            <w:pPr>
              <w:pStyle w:val="P68B1DB1-Normal8"/>
              <w:rPr>
                <w:noProof/>
              </w:rPr>
            </w:pPr>
            <w:r>
              <w:rPr>
                <w:noProof/>
              </w:rPr>
              <w:t>Zakończenie rocznego przeglądu wydatków na 2023 r. w odniesieniu do celu w zakresie oszczędności określonego w 2022 r. na 2023 r.</w:t>
            </w:r>
          </w:p>
        </w:tc>
        <w:tc>
          <w:tcPr>
            <w:tcW w:w="236" w:type="dxa"/>
            <w:tcBorders>
              <w:top w:val="nil"/>
              <w:left w:val="single" w:sz="8" w:space="0" w:color="auto"/>
              <w:bottom w:val="nil"/>
              <w:right w:val="nil"/>
            </w:tcBorders>
            <w:vAlign w:val="center"/>
          </w:tcPr>
          <w:p w14:paraId="6E876858" w14:textId="77777777" w:rsidR="004C6421" w:rsidRDefault="004C6421">
            <w:pPr>
              <w:rPr>
                <w:noProof/>
              </w:rPr>
            </w:pPr>
          </w:p>
        </w:tc>
      </w:tr>
      <w:tr w:rsidR="004C6421" w14:paraId="5D18BDE6"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E53E738" w14:textId="77777777" w:rsidR="004C6421" w:rsidRDefault="009D1962">
            <w:pPr>
              <w:pStyle w:val="P68B1DB1-Normal8"/>
              <w:jc w:val="center"/>
              <w:rPr>
                <w:noProof/>
              </w:rPr>
            </w:pPr>
            <w:r>
              <w:rPr>
                <w:noProof/>
              </w:rPr>
              <w:t>M1C1-112</w:t>
            </w:r>
          </w:p>
        </w:tc>
        <w:tc>
          <w:tcPr>
            <w:tcW w:w="353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3DA1A1F" w14:textId="77777777" w:rsidR="004C6421" w:rsidRDefault="009D1962">
            <w:pPr>
              <w:pStyle w:val="P68B1DB1-Normal8"/>
              <w:rPr>
                <w:noProof/>
              </w:rPr>
            </w:pPr>
            <w:r>
              <w:rPr>
                <w:noProof/>
              </w:rPr>
              <w:t>Reforma 1.12: Reforma administracji podatkowej</w:t>
            </w:r>
          </w:p>
        </w:tc>
        <w:tc>
          <w:tcPr>
            <w:tcW w:w="118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128FBBE" w14:textId="77777777" w:rsidR="004C6421" w:rsidRDefault="009D1962">
            <w:pPr>
              <w:pStyle w:val="P68B1DB1-Normal8"/>
              <w:rPr>
                <w:noProof/>
              </w:rPr>
            </w:pPr>
            <w:r>
              <w:rPr>
                <w:noProof/>
              </w:rPr>
              <w:t>Cel</w:t>
            </w:r>
          </w:p>
        </w:tc>
        <w:tc>
          <w:tcPr>
            <w:tcW w:w="3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C4E71C0" w14:textId="77777777" w:rsidR="004C6421" w:rsidRDefault="009D1962">
            <w:pPr>
              <w:pStyle w:val="P68B1DB1-Normal8"/>
              <w:rPr>
                <w:noProof/>
              </w:rPr>
            </w:pPr>
            <w:r>
              <w:rPr>
                <w:noProof/>
              </w:rPr>
              <w:t>Poprawa zdolności operacyjnej administracji podatkowej zgodnie z celami dotyczącymi zatrudnienia określonymi w „Planie wykonania na lata 2021–2023” Agencji Skarbowej</w:t>
            </w:r>
          </w:p>
        </w:tc>
        <w:tc>
          <w:tcPr>
            <w:tcW w:w="236" w:type="dxa"/>
            <w:tcBorders>
              <w:top w:val="nil"/>
              <w:left w:val="single" w:sz="8" w:space="0" w:color="auto"/>
              <w:bottom w:val="nil"/>
              <w:right w:val="nil"/>
            </w:tcBorders>
            <w:vAlign w:val="center"/>
          </w:tcPr>
          <w:p w14:paraId="486EC8C3" w14:textId="77777777" w:rsidR="004C6421" w:rsidRDefault="004C6421">
            <w:pPr>
              <w:rPr>
                <w:noProof/>
              </w:rPr>
            </w:pPr>
          </w:p>
        </w:tc>
      </w:tr>
      <w:tr w:rsidR="004C6421" w14:paraId="2BCCE9E2"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93A1153" w14:textId="77777777" w:rsidR="004C6421" w:rsidRDefault="009D1962">
            <w:pPr>
              <w:pStyle w:val="P68B1DB1-Normal8"/>
              <w:jc w:val="center"/>
              <w:rPr>
                <w:noProof/>
              </w:rPr>
            </w:pPr>
            <w:r>
              <w:rPr>
                <w:noProof/>
              </w:rPr>
              <w:t>M1C2-2</w:t>
            </w:r>
          </w:p>
        </w:tc>
        <w:tc>
          <w:tcPr>
            <w:tcW w:w="353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3B75ECA" w14:textId="77777777" w:rsidR="004C6421" w:rsidRDefault="009D1962">
            <w:pPr>
              <w:pStyle w:val="P68B1DB1-Normal8"/>
              <w:rPr>
                <w:noProof/>
              </w:rPr>
            </w:pPr>
            <w:r>
              <w:rPr>
                <w:noProof/>
              </w:rPr>
              <w:t>Inwestycja 1: Przejście 4.0</w:t>
            </w:r>
          </w:p>
        </w:tc>
        <w:tc>
          <w:tcPr>
            <w:tcW w:w="118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CBC49B9" w14:textId="77777777" w:rsidR="004C6421" w:rsidRDefault="009D1962">
            <w:pPr>
              <w:pStyle w:val="P68B1DB1-Normal8"/>
              <w:rPr>
                <w:noProof/>
              </w:rPr>
            </w:pPr>
            <w:r>
              <w:rPr>
                <w:noProof/>
              </w:rPr>
              <w:t>Cel</w:t>
            </w:r>
          </w:p>
        </w:tc>
        <w:tc>
          <w:tcPr>
            <w:tcW w:w="3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E64E59F" w14:textId="77777777" w:rsidR="004C6421" w:rsidRDefault="009D1962">
            <w:pPr>
              <w:pStyle w:val="P68B1DB1-Normal8"/>
              <w:rPr>
                <w:noProof/>
              </w:rPr>
            </w:pPr>
            <w:r>
              <w:rPr>
                <w:noProof/>
              </w:rPr>
              <w:t>Przejście 4.0 ulgi podatkowe przyznane przedsiębiorstwom na podstawie deklaracji podatkowych przedstawionych w latach 2021–2022</w:t>
            </w:r>
          </w:p>
        </w:tc>
        <w:tc>
          <w:tcPr>
            <w:tcW w:w="236" w:type="dxa"/>
            <w:tcBorders>
              <w:top w:val="nil"/>
              <w:left w:val="single" w:sz="8" w:space="0" w:color="auto"/>
              <w:bottom w:val="nil"/>
              <w:right w:val="nil"/>
            </w:tcBorders>
            <w:vAlign w:val="center"/>
          </w:tcPr>
          <w:p w14:paraId="6FC9CD11" w14:textId="77777777" w:rsidR="004C6421" w:rsidRDefault="004C6421">
            <w:pPr>
              <w:rPr>
                <w:noProof/>
              </w:rPr>
            </w:pPr>
          </w:p>
        </w:tc>
      </w:tr>
      <w:tr w:rsidR="004C6421" w14:paraId="32758670"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F353B5F" w14:textId="77777777" w:rsidR="004C6421" w:rsidRDefault="009D1962">
            <w:pPr>
              <w:pStyle w:val="P68B1DB1-Normal8"/>
              <w:jc w:val="center"/>
              <w:rPr>
                <w:noProof/>
              </w:rPr>
            </w:pPr>
            <w:r>
              <w:rPr>
                <w:noProof/>
              </w:rPr>
              <w:t>M1C3-9</w:t>
            </w:r>
          </w:p>
        </w:tc>
        <w:tc>
          <w:tcPr>
            <w:tcW w:w="353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8339529" w14:textId="77777777" w:rsidR="004C6421" w:rsidRDefault="009D1962">
            <w:pPr>
              <w:pStyle w:val="P68B1DB1-Normal8"/>
              <w:rPr>
                <w:noProof/>
              </w:rPr>
            </w:pPr>
            <w:r>
              <w:rPr>
                <w:noProof/>
              </w:rPr>
              <w:t>Inwestycje 4.1 Centrum turystyki cyfrowej</w:t>
            </w:r>
          </w:p>
        </w:tc>
        <w:tc>
          <w:tcPr>
            <w:tcW w:w="118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DEE243B" w14:textId="77777777" w:rsidR="004C6421" w:rsidRDefault="009D1962">
            <w:pPr>
              <w:pStyle w:val="P68B1DB1-Normal8"/>
              <w:rPr>
                <w:noProof/>
              </w:rPr>
            </w:pPr>
            <w:r>
              <w:rPr>
                <w:noProof/>
              </w:rPr>
              <w:t>Cel</w:t>
            </w:r>
          </w:p>
        </w:tc>
        <w:tc>
          <w:tcPr>
            <w:tcW w:w="3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3F0B935" w14:textId="77777777" w:rsidR="004C6421" w:rsidRDefault="009D1962">
            <w:pPr>
              <w:pStyle w:val="P68B1DB1-Normal8"/>
              <w:rPr>
                <w:noProof/>
              </w:rPr>
            </w:pPr>
            <w:r>
              <w:rPr>
                <w:noProof/>
              </w:rPr>
              <w:t>Zaangażowanie operatorów turystycznych w centrum turystyki cyfrowej</w:t>
            </w:r>
          </w:p>
        </w:tc>
        <w:tc>
          <w:tcPr>
            <w:tcW w:w="236" w:type="dxa"/>
            <w:tcBorders>
              <w:top w:val="nil"/>
              <w:left w:val="single" w:sz="8" w:space="0" w:color="auto"/>
              <w:bottom w:val="nil"/>
              <w:right w:val="nil"/>
            </w:tcBorders>
            <w:vAlign w:val="center"/>
          </w:tcPr>
          <w:p w14:paraId="54FE14EC" w14:textId="77777777" w:rsidR="004C6421" w:rsidRDefault="004C6421">
            <w:pPr>
              <w:rPr>
                <w:noProof/>
              </w:rPr>
            </w:pPr>
          </w:p>
        </w:tc>
      </w:tr>
      <w:tr w:rsidR="004C6421" w14:paraId="1BD36000"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1B35552" w14:textId="77777777" w:rsidR="004C6421" w:rsidRDefault="009D1962">
            <w:pPr>
              <w:pStyle w:val="P68B1DB1-Normal8"/>
              <w:jc w:val="center"/>
              <w:rPr>
                <w:noProof/>
              </w:rPr>
            </w:pPr>
            <w:r>
              <w:rPr>
                <w:noProof/>
              </w:rPr>
              <w:t>M1C3-10</w:t>
            </w:r>
          </w:p>
        </w:tc>
        <w:tc>
          <w:tcPr>
            <w:tcW w:w="353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7DD1470" w14:textId="77777777" w:rsidR="004C6421" w:rsidRDefault="009D1962">
            <w:pPr>
              <w:pStyle w:val="P68B1DB1-Normal8"/>
              <w:rPr>
                <w:noProof/>
              </w:rPr>
            </w:pPr>
            <w:r>
              <w:rPr>
                <w:noProof/>
              </w:rPr>
              <w:t xml:space="preserve">Reforma 4.1 Regulacja dotycząca zawodów przewodników turystycznych. </w:t>
            </w:r>
          </w:p>
        </w:tc>
        <w:tc>
          <w:tcPr>
            <w:tcW w:w="118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765EAE0" w14:textId="3C5BB3AD" w:rsidR="004C6421" w:rsidRDefault="00CC179E">
            <w:pPr>
              <w:pStyle w:val="P68B1DB1-Normal8"/>
              <w:rPr>
                <w:noProof/>
              </w:rPr>
            </w:pPr>
            <w:r>
              <w:rPr>
                <w:noProof/>
              </w:rPr>
              <w:t>Milowy</w:t>
            </w:r>
          </w:p>
        </w:tc>
        <w:tc>
          <w:tcPr>
            <w:tcW w:w="3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BF05336" w14:textId="77777777" w:rsidR="004C6421" w:rsidRDefault="009D1962">
            <w:pPr>
              <w:pStyle w:val="P68B1DB1-Normal8"/>
              <w:rPr>
                <w:noProof/>
              </w:rPr>
            </w:pPr>
            <w:r>
              <w:rPr>
                <w:noProof/>
              </w:rPr>
              <w:t>Definicja normy krajowej dla przewodników turystycznych</w:t>
            </w:r>
          </w:p>
        </w:tc>
        <w:tc>
          <w:tcPr>
            <w:tcW w:w="236" w:type="dxa"/>
            <w:tcBorders>
              <w:top w:val="nil"/>
              <w:left w:val="single" w:sz="8" w:space="0" w:color="auto"/>
              <w:bottom w:val="nil"/>
              <w:right w:val="nil"/>
            </w:tcBorders>
            <w:vAlign w:val="center"/>
          </w:tcPr>
          <w:p w14:paraId="2DB53588" w14:textId="77777777" w:rsidR="004C6421" w:rsidRDefault="004C6421">
            <w:pPr>
              <w:rPr>
                <w:noProof/>
              </w:rPr>
            </w:pPr>
          </w:p>
        </w:tc>
      </w:tr>
      <w:tr w:rsidR="004C6421" w14:paraId="3799602B"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7169F51" w14:textId="77777777" w:rsidR="004C6421" w:rsidRDefault="009D1962">
            <w:pPr>
              <w:pStyle w:val="P68B1DB1-Normal8"/>
              <w:jc w:val="center"/>
              <w:rPr>
                <w:noProof/>
              </w:rPr>
            </w:pPr>
            <w:r>
              <w:rPr>
                <w:noProof/>
              </w:rPr>
              <w:t>M2C1-6</w:t>
            </w:r>
          </w:p>
        </w:tc>
        <w:tc>
          <w:tcPr>
            <w:tcW w:w="353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9EAAC8F" w14:textId="77777777" w:rsidR="004C6421" w:rsidRDefault="009D1962">
            <w:pPr>
              <w:pStyle w:val="P68B1DB1-Normal8"/>
              <w:rPr>
                <w:noProof/>
              </w:rPr>
            </w:pPr>
            <w:r>
              <w:rPr>
                <w:noProof/>
              </w:rPr>
              <w:t>Inwestycje 2.2: Park rolno-słoneczny</w:t>
            </w:r>
          </w:p>
        </w:tc>
        <w:tc>
          <w:tcPr>
            <w:tcW w:w="118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AEAC464" w14:textId="77777777" w:rsidR="004C6421" w:rsidRDefault="009D1962">
            <w:pPr>
              <w:pStyle w:val="P68B1DB1-Normal8"/>
              <w:rPr>
                <w:noProof/>
              </w:rPr>
            </w:pPr>
            <w:r>
              <w:rPr>
                <w:noProof/>
              </w:rPr>
              <w:t>Cel</w:t>
            </w:r>
          </w:p>
        </w:tc>
        <w:tc>
          <w:tcPr>
            <w:tcW w:w="3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B7CED05" w14:textId="77777777" w:rsidR="004C6421" w:rsidRDefault="009D1962">
            <w:pPr>
              <w:pStyle w:val="P68B1DB1-Normal8"/>
              <w:rPr>
                <w:noProof/>
              </w:rPr>
            </w:pPr>
            <w:r>
              <w:rPr>
                <w:noProof/>
              </w:rPr>
              <w:t>Alokacja zasobów dla beneficjentów jako % całkowitych środków finansowych przeznaczonych na inwestycję</w:t>
            </w:r>
          </w:p>
        </w:tc>
        <w:tc>
          <w:tcPr>
            <w:tcW w:w="236" w:type="dxa"/>
            <w:tcBorders>
              <w:top w:val="nil"/>
              <w:left w:val="single" w:sz="8" w:space="0" w:color="auto"/>
              <w:bottom w:val="nil"/>
              <w:right w:val="nil"/>
            </w:tcBorders>
            <w:vAlign w:val="center"/>
          </w:tcPr>
          <w:p w14:paraId="429DB79A" w14:textId="77777777" w:rsidR="004C6421" w:rsidRDefault="004C6421">
            <w:pPr>
              <w:rPr>
                <w:noProof/>
              </w:rPr>
            </w:pPr>
          </w:p>
        </w:tc>
      </w:tr>
      <w:tr w:rsidR="004C6421" w14:paraId="110C421D"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20B2791" w14:textId="77777777" w:rsidR="004C6421" w:rsidRDefault="009D1962">
            <w:pPr>
              <w:pStyle w:val="P68B1DB1-Normal8"/>
              <w:jc w:val="center"/>
              <w:rPr>
                <w:noProof/>
              </w:rPr>
            </w:pPr>
            <w:r>
              <w:rPr>
                <w:noProof/>
              </w:rPr>
              <w:t>M3C2-5</w:t>
            </w:r>
          </w:p>
        </w:tc>
        <w:tc>
          <w:tcPr>
            <w:tcW w:w="353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0F9A643" w14:textId="77777777" w:rsidR="004C6421" w:rsidRDefault="009D1962">
            <w:pPr>
              <w:pStyle w:val="P68B1DB1-Normal8"/>
              <w:rPr>
                <w:noProof/>
              </w:rPr>
            </w:pPr>
            <w:r>
              <w:rPr>
                <w:noProof/>
              </w:rPr>
              <w:t>Inwestycje 2.1 – Cyfryzacja łańcucha logistycznego</w:t>
            </w:r>
          </w:p>
        </w:tc>
        <w:tc>
          <w:tcPr>
            <w:tcW w:w="118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46C4836" w14:textId="77777777" w:rsidR="004C6421" w:rsidRDefault="009D1962">
            <w:pPr>
              <w:pStyle w:val="P68B1DB1-Normal8"/>
              <w:rPr>
                <w:noProof/>
              </w:rPr>
            </w:pPr>
            <w:r>
              <w:rPr>
                <w:noProof/>
              </w:rPr>
              <w:t>Cel</w:t>
            </w:r>
          </w:p>
        </w:tc>
        <w:tc>
          <w:tcPr>
            <w:tcW w:w="3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91AFA5D" w14:textId="77777777" w:rsidR="004C6421" w:rsidRDefault="009D1962">
            <w:pPr>
              <w:pStyle w:val="P68B1DB1-Normal8"/>
              <w:rPr>
                <w:noProof/>
              </w:rPr>
            </w:pPr>
            <w:r>
              <w:rPr>
                <w:noProof/>
              </w:rPr>
              <w:t>Cyfryzacja łańcucha logistycznego</w:t>
            </w:r>
          </w:p>
        </w:tc>
        <w:tc>
          <w:tcPr>
            <w:tcW w:w="236" w:type="dxa"/>
            <w:tcBorders>
              <w:top w:val="nil"/>
              <w:left w:val="single" w:sz="8" w:space="0" w:color="auto"/>
              <w:bottom w:val="nil"/>
              <w:right w:val="nil"/>
            </w:tcBorders>
            <w:vAlign w:val="center"/>
          </w:tcPr>
          <w:p w14:paraId="3B0384D9" w14:textId="77777777" w:rsidR="004C6421" w:rsidRDefault="004C6421">
            <w:pPr>
              <w:rPr>
                <w:noProof/>
              </w:rPr>
            </w:pPr>
          </w:p>
        </w:tc>
      </w:tr>
      <w:tr w:rsidR="004C6421" w14:paraId="1BA4F8E9"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E511EBD" w14:textId="77777777" w:rsidR="004C6421" w:rsidRDefault="009D1962">
            <w:pPr>
              <w:pStyle w:val="P68B1DB1-Normal8"/>
              <w:jc w:val="center"/>
              <w:rPr>
                <w:noProof/>
              </w:rPr>
            </w:pPr>
            <w:r>
              <w:rPr>
                <w:noProof/>
              </w:rPr>
              <w:t>M5C2-2</w:t>
            </w:r>
          </w:p>
        </w:tc>
        <w:tc>
          <w:tcPr>
            <w:tcW w:w="353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9150816" w14:textId="77777777" w:rsidR="004C6421" w:rsidRDefault="009D1962">
            <w:pPr>
              <w:pStyle w:val="P68B1DB1-Normal8"/>
              <w:rPr>
                <w:noProof/>
              </w:rPr>
            </w:pPr>
            <w:r>
              <w:rPr>
                <w:noProof/>
              </w:rPr>
              <w:t>Reforma 1 – Ustawa ramowa o niepełnosprawności</w:t>
            </w:r>
          </w:p>
        </w:tc>
        <w:tc>
          <w:tcPr>
            <w:tcW w:w="118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6E3FC26" w14:textId="2508C560" w:rsidR="004C6421" w:rsidRDefault="00CC179E">
            <w:pPr>
              <w:pStyle w:val="P68B1DB1-Normal8"/>
              <w:rPr>
                <w:noProof/>
              </w:rPr>
            </w:pPr>
            <w:r>
              <w:rPr>
                <w:noProof/>
              </w:rPr>
              <w:t>Milowy</w:t>
            </w:r>
          </w:p>
        </w:tc>
        <w:tc>
          <w:tcPr>
            <w:tcW w:w="3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34D1493" w14:textId="77777777" w:rsidR="004C6421" w:rsidRDefault="009D1962">
            <w:pPr>
              <w:pStyle w:val="P68B1DB1-Normal8"/>
              <w:rPr>
                <w:noProof/>
              </w:rPr>
            </w:pPr>
            <w:r>
              <w:rPr>
                <w:noProof/>
              </w:rPr>
              <w:t>Wejście w życie dekretów ustawodawczych zmieniających przepisy ustawy ramowej w celu wzmocnienia autonomii osób niepełnosprawnych</w:t>
            </w:r>
          </w:p>
        </w:tc>
        <w:tc>
          <w:tcPr>
            <w:tcW w:w="236" w:type="dxa"/>
            <w:tcBorders>
              <w:top w:val="nil"/>
              <w:left w:val="single" w:sz="8" w:space="0" w:color="auto"/>
              <w:bottom w:val="nil"/>
              <w:right w:val="nil"/>
            </w:tcBorders>
            <w:vAlign w:val="center"/>
          </w:tcPr>
          <w:p w14:paraId="0F1B0BEB" w14:textId="77777777" w:rsidR="004C6421" w:rsidRDefault="004C6421">
            <w:pPr>
              <w:rPr>
                <w:noProof/>
              </w:rPr>
            </w:pPr>
          </w:p>
        </w:tc>
      </w:tr>
      <w:tr w:rsidR="004C6421" w14:paraId="69F60D7B"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22EDC183" w14:textId="77777777" w:rsidR="004C6421" w:rsidRDefault="009D1962">
            <w:pPr>
              <w:pStyle w:val="P68B1DB1-Normal8"/>
              <w:jc w:val="center"/>
              <w:rPr>
                <w:noProof/>
              </w:rPr>
            </w:pPr>
            <w:r>
              <w:rPr>
                <w:noProof/>
              </w:rPr>
              <w:t xml:space="preserve"> </w:t>
            </w:r>
          </w:p>
        </w:tc>
        <w:tc>
          <w:tcPr>
            <w:tcW w:w="353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16258147" w14:textId="77777777" w:rsidR="004C6421" w:rsidRDefault="009D1962">
            <w:pPr>
              <w:pStyle w:val="P68B1DB1-Normal8"/>
              <w:rPr>
                <w:noProof/>
              </w:rPr>
            </w:pPr>
            <w:r>
              <w:rPr>
                <w:noProof/>
              </w:rPr>
              <w:t xml:space="preserve"> </w:t>
            </w:r>
          </w:p>
        </w:tc>
        <w:tc>
          <w:tcPr>
            <w:tcW w:w="118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37DD4D98" w14:textId="77777777" w:rsidR="004C6421" w:rsidRDefault="009D1962">
            <w:pPr>
              <w:pStyle w:val="P68B1DB1-Normal8"/>
              <w:rPr>
                <w:noProof/>
              </w:rPr>
            </w:pPr>
            <w:r>
              <w:rPr>
                <w:noProof/>
              </w:rPr>
              <w:t>Kwota transzy</w:t>
            </w:r>
          </w:p>
        </w:tc>
        <w:tc>
          <w:tcPr>
            <w:tcW w:w="3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3FF6A107" w14:textId="5EAA3333" w:rsidR="004C6421" w:rsidRDefault="009D1962">
            <w:pPr>
              <w:rPr>
                <w:noProof/>
              </w:rPr>
            </w:pPr>
            <w:r>
              <w:rPr>
                <w:noProof/>
                <w:color w:val="006100"/>
                <w:sz w:val="20"/>
              </w:rPr>
              <w:t>2053579667 EUR</w:t>
            </w:r>
            <w:r>
              <w:rPr>
                <w:noProof/>
                <w:sz w:val="23"/>
              </w:rPr>
              <w:t xml:space="preserve">  </w:t>
            </w:r>
          </w:p>
        </w:tc>
        <w:tc>
          <w:tcPr>
            <w:tcW w:w="236" w:type="dxa"/>
            <w:tcBorders>
              <w:top w:val="nil"/>
              <w:left w:val="single" w:sz="8" w:space="0" w:color="auto"/>
              <w:bottom w:val="nil"/>
              <w:right w:val="nil"/>
            </w:tcBorders>
            <w:vAlign w:val="center"/>
          </w:tcPr>
          <w:p w14:paraId="738C5717" w14:textId="77777777" w:rsidR="004C6421" w:rsidRDefault="004C6421">
            <w:pPr>
              <w:rPr>
                <w:noProof/>
              </w:rPr>
            </w:pPr>
          </w:p>
        </w:tc>
      </w:tr>
    </w:tbl>
    <w:p w14:paraId="03F15FAE" w14:textId="77777777" w:rsidR="004C6421" w:rsidRDefault="004C6421">
      <w:pPr>
        <w:pStyle w:val="ListParagraph"/>
        <w:spacing w:before="0" w:after="0" w:line="279" w:lineRule="auto"/>
        <w:ind w:left="850"/>
        <w:rPr>
          <w:noProof/>
        </w:rPr>
      </w:pPr>
    </w:p>
    <w:p w14:paraId="1F7018E7" w14:textId="427B0165" w:rsidR="004C6421" w:rsidRDefault="009D1962">
      <w:pPr>
        <w:pStyle w:val="ListParagraph"/>
        <w:numPr>
          <w:ilvl w:val="1"/>
          <w:numId w:val="145"/>
        </w:numPr>
        <w:spacing w:before="0" w:after="0" w:line="279" w:lineRule="auto"/>
        <w:ind w:left="850" w:hanging="850"/>
        <w:rPr>
          <w:noProof/>
        </w:rPr>
      </w:pPr>
      <w:r>
        <w:rPr>
          <w:noProof/>
        </w:rPr>
        <w:t>Siódma rata (wsparcie bezzwrotne):</w:t>
      </w:r>
    </w:p>
    <w:tbl>
      <w:tblPr>
        <w:tblW w:w="9593" w:type="dxa"/>
        <w:tblInd w:w="120" w:type="dxa"/>
        <w:tblLayout w:type="fixed"/>
        <w:tblLook w:val="04A0" w:firstRow="1" w:lastRow="0" w:firstColumn="1" w:lastColumn="0" w:noHBand="0" w:noVBand="1"/>
      </w:tblPr>
      <w:tblGrid>
        <w:gridCol w:w="1435"/>
        <w:gridCol w:w="3543"/>
        <w:gridCol w:w="1276"/>
        <w:gridCol w:w="3103"/>
        <w:gridCol w:w="236"/>
      </w:tblGrid>
      <w:tr w:rsidR="004C6421" w14:paraId="52E85599" w14:textId="77777777">
        <w:trPr>
          <w:trHeight w:val="900"/>
          <w:tblHeader/>
        </w:trPr>
        <w:tc>
          <w:tcPr>
            <w:tcW w:w="1435" w:type="dxa"/>
            <w:vMerge w:val="restart"/>
            <w:tcBorders>
              <w:top w:val="single" w:sz="4" w:space="0" w:color="auto"/>
              <w:left w:val="single" w:sz="4" w:space="0" w:color="auto"/>
              <w:bottom w:val="single" w:sz="4" w:space="0" w:color="auto"/>
              <w:right w:val="single" w:sz="8" w:space="0" w:color="auto"/>
            </w:tcBorders>
            <w:shd w:val="clear" w:color="auto" w:fill="BDD7EE"/>
            <w:tcMar>
              <w:left w:w="108" w:type="dxa"/>
              <w:right w:w="108" w:type="dxa"/>
            </w:tcMar>
            <w:vAlign w:val="center"/>
          </w:tcPr>
          <w:p w14:paraId="2A781B01" w14:textId="77777777" w:rsidR="004C6421" w:rsidRDefault="009D1962">
            <w:pPr>
              <w:pStyle w:val="P68B1DB1-Normal36"/>
              <w:jc w:val="center"/>
              <w:rPr>
                <w:noProof/>
              </w:rPr>
            </w:pPr>
            <w:r>
              <w:rPr>
                <w:noProof/>
              </w:rPr>
              <w:t>Numer porządkowy</w:t>
            </w:r>
          </w:p>
        </w:tc>
        <w:tc>
          <w:tcPr>
            <w:tcW w:w="3543" w:type="dxa"/>
            <w:vMerge w:val="restart"/>
            <w:tcBorders>
              <w:top w:val="single" w:sz="4" w:space="0" w:color="auto"/>
              <w:left w:val="single" w:sz="8" w:space="0" w:color="auto"/>
              <w:bottom w:val="single" w:sz="4" w:space="0" w:color="auto"/>
              <w:right w:val="single" w:sz="8" w:space="0" w:color="auto"/>
            </w:tcBorders>
            <w:shd w:val="clear" w:color="auto" w:fill="BDD7EE"/>
            <w:tcMar>
              <w:left w:w="108" w:type="dxa"/>
              <w:right w:w="108" w:type="dxa"/>
            </w:tcMar>
            <w:vAlign w:val="center"/>
          </w:tcPr>
          <w:p w14:paraId="5CB0BAF8" w14:textId="77777777" w:rsidR="004C6421" w:rsidRDefault="009D1962">
            <w:pPr>
              <w:pStyle w:val="P68B1DB1-Normal36"/>
              <w:jc w:val="center"/>
              <w:rPr>
                <w:noProof/>
              </w:rPr>
            </w:pPr>
            <w:r>
              <w:rPr>
                <w:noProof/>
              </w:rPr>
              <w:t>Powiązane działanie (reforma lub inwestycja)</w:t>
            </w:r>
          </w:p>
        </w:tc>
        <w:tc>
          <w:tcPr>
            <w:tcW w:w="1276" w:type="dxa"/>
            <w:vMerge w:val="restart"/>
            <w:tcBorders>
              <w:top w:val="single" w:sz="4" w:space="0" w:color="auto"/>
              <w:left w:val="single" w:sz="8" w:space="0" w:color="auto"/>
              <w:bottom w:val="single" w:sz="4" w:space="0" w:color="auto"/>
              <w:right w:val="single" w:sz="8" w:space="0" w:color="auto"/>
            </w:tcBorders>
            <w:shd w:val="clear" w:color="auto" w:fill="BDD7EE"/>
            <w:tcMar>
              <w:left w:w="108" w:type="dxa"/>
              <w:right w:w="108" w:type="dxa"/>
            </w:tcMar>
            <w:vAlign w:val="center"/>
          </w:tcPr>
          <w:p w14:paraId="0301B27C" w14:textId="77777777" w:rsidR="004C6421" w:rsidRDefault="009D1962">
            <w:pPr>
              <w:pStyle w:val="P68B1DB1-Normal36"/>
              <w:jc w:val="center"/>
              <w:rPr>
                <w:noProof/>
              </w:rPr>
            </w:pPr>
            <w:r>
              <w:rPr>
                <w:noProof/>
              </w:rPr>
              <w:t>Kamień milowy/wartość docelowa</w:t>
            </w:r>
          </w:p>
        </w:tc>
        <w:tc>
          <w:tcPr>
            <w:tcW w:w="3103" w:type="dxa"/>
            <w:vMerge w:val="restart"/>
            <w:tcBorders>
              <w:top w:val="single" w:sz="4" w:space="0" w:color="auto"/>
              <w:left w:val="single" w:sz="8" w:space="0" w:color="auto"/>
              <w:bottom w:val="single" w:sz="4" w:space="0" w:color="auto"/>
              <w:right w:val="single" w:sz="4" w:space="0" w:color="auto"/>
            </w:tcBorders>
            <w:shd w:val="clear" w:color="auto" w:fill="BDD7EE"/>
            <w:tcMar>
              <w:left w:w="108" w:type="dxa"/>
              <w:right w:w="108" w:type="dxa"/>
            </w:tcMar>
            <w:vAlign w:val="center"/>
          </w:tcPr>
          <w:p w14:paraId="7328F238" w14:textId="77777777" w:rsidR="004C6421" w:rsidRDefault="009D1962">
            <w:pPr>
              <w:pStyle w:val="P68B1DB1-Normal36"/>
              <w:jc w:val="center"/>
              <w:rPr>
                <w:noProof/>
              </w:rPr>
            </w:pPr>
            <w:r>
              <w:rPr>
                <w:noProof/>
              </w:rPr>
              <w:t>Nazwa</w:t>
            </w:r>
          </w:p>
        </w:tc>
        <w:tc>
          <w:tcPr>
            <w:tcW w:w="236" w:type="dxa"/>
            <w:tcBorders>
              <w:top w:val="nil"/>
              <w:left w:val="single" w:sz="4" w:space="0" w:color="auto"/>
              <w:bottom w:val="nil"/>
              <w:right w:val="nil"/>
            </w:tcBorders>
            <w:vAlign w:val="center"/>
          </w:tcPr>
          <w:p w14:paraId="04E150E0" w14:textId="77777777" w:rsidR="004C6421" w:rsidRDefault="004C6421">
            <w:pPr>
              <w:rPr>
                <w:noProof/>
              </w:rPr>
            </w:pPr>
          </w:p>
        </w:tc>
      </w:tr>
      <w:tr w:rsidR="004C6421" w14:paraId="2585F315" w14:textId="77777777">
        <w:trPr>
          <w:trHeight w:val="510"/>
        </w:trPr>
        <w:tc>
          <w:tcPr>
            <w:tcW w:w="1435" w:type="dxa"/>
            <w:vMerge/>
            <w:tcBorders>
              <w:top w:val="single" w:sz="8" w:space="0" w:color="auto"/>
              <w:left w:val="single" w:sz="4" w:space="0" w:color="auto"/>
              <w:bottom w:val="single" w:sz="4" w:space="0" w:color="auto"/>
              <w:right w:val="single" w:sz="8" w:space="0" w:color="auto"/>
            </w:tcBorders>
            <w:vAlign w:val="center"/>
          </w:tcPr>
          <w:p w14:paraId="3628BF93" w14:textId="77777777" w:rsidR="004C6421" w:rsidRDefault="004C6421">
            <w:pPr>
              <w:rPr>
                <w:noProof/>
              </w:rPr>
            </w:pPr>
          </w:p>
        </w:tc>
        <w:tc>
          <w:tcPr>
            <w:tcW w:w="3543" w:type="dxa"/>
            <w:vMerge/>
            <w:tcBorders>
              <w:top w:val="single" w:sz="8" w:space="0" w:color="auto"/>
              <w:left w:val="single" w:sz="8" w:space="0" w:color="auto"/>
              <w:bottom w:val="single" w:sz="4" w:space="0" w:color="auto"/>
              <w:right w:val="single" w:sz="8" w:space="0" w:color="auto"/>
            </w:tcBorders>
            <w:vAlign w:val="center"/>
          </w:tcPr>
          <w:p w14:paraId="544A40F2" w14:textId="77777777" w:rsidR="004C6421" w:rsidRDefault="004C6421">
            <w:pPr>
              <w:rPr>
                <w:noProof/>
              </w:rPr>
            </w:pPr>
          </w:p>
        </w:tc>
        <w:tc>
          <w:tcPr>
            <w:tcW w:w="1276" w:type="dxa"/>
            <w:vMerge/>
            <w:tcBorders>
              <w:top w:val="single" w:sz="8" w:space="0" w:color="auto"/>
              <w:left w:val="single" w:sz="8" w:space="0" w:color="auto"/>
              <w:bottom w:val="single" w:sz="4" w:space="0" w:color="auto"/>
              <w:right w:val="single" w:sz="8" w:space="0" w:color="auto"/>
            </w:tcBorders>
            <w:vAlign w:val="center"/>
          </w:tcPr>
          <w:p w14:paraId="3FAA55E3" w14:textId="77777777" w:rsidR="004C6421" w:rsidRDefault="004C6421">
            <w:pPr>
              <w:rPr>
                <w:noProof/>
              </w:rPr>
            </w:pPr>
          </w:p>
        </w:tc>
        <w:tc>
          <w:tcPr>
            <w:tcW w:w="3103" w:type="dxa"/>
            <w:vMerge/>
            <w:tcBorders>
              <w:top w:val="single" w:sz="8" w:space="0" w:color="auto"/>
              <w:left w:val="single" w:sz="8" w:space="0" w:color="auto"/>
              <w:bottom w:val="single" w:sz="4" w:space="0" w:color="auto"/>
              <w:right w:val="single" w:sz="4" w:space="0" w:color="auto"/>
            </w:tcBorders>
            <w:vAlign w:val="center"/>
          </w:tcPr>
          <w:p w14:paraId="04ADB45E" w14:textId="77777777" w:rsidR="004C6421" w:rsidRDefault="004C6421">
            <w:pPr>
              <w:rPr>
                <w:noProof/>
              </w:rPr>
            </w:pPr>
          </w:p>
        </w:tc>
        <w:tc>
          <w:tcPr>
            <w:tcW w:w="236" w:type="dxa"/>
            <w:tcBorders>
              <w:top w:val="nil"/>
              <w:left w:val="single" w:sz="4" w:space="0" w:color="auto"/>
              <w:bottom w:val="nil"/>
              <w:right w:val="nil"/>
            </w:tcBorders>
            <w:vAlign w:val="center"/>
          </w:tcPr>
          <w:p w14:paraId="16ED37E4" w14:textId="77777777" w:rsidR="004C6421" w:rsidRDefault="004C6421">
            <w:pPr>
              <w:rPr>
                <w:noProof/>
              </w:rPr>
            </w:pPr>
          </w:p>
        </w:tc>
      </w:tr>
      <w:tr w:rsidR="004C6421" w14:paraId="07DCD600" w14:textId="77777777">
        <w:trPr>
          <w:trHeight w:val="300"/>
        </w:trPr>
        <w:tc>
          <w:tcPr>
            <w:tcW w:w="1435"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ECB2A86" w14:textId="77777777" w:rsidR="004C6421" w:rsidRDefault="009D1962">
            <w:pPr>
              <w:pStyle w:val="P68B1DB1-Normal8"/>
              <w:jc w:val="center"/>
              <w:rPr>
                <w:noProof/>
              </w:rPr>
            </w:pPr>
            <w:r>
              <w:rPr>
                <w:noProof/>
              </w:rPr>
              <w:t>M1C1-17</w:t>
            </w:r>
          </w:p>
        </w:tc>
        <w:tc>
          <w:tcPr>
            <w:tcW w:w="3543"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32B0B80" w14:textId="77777777" w:rsidR="004C6421" w:rsidRDefault="009D1962">
            <w:pPr>
              <w:pStyle w:val="P68B1DB1-Normal8"/>
              <w:rPr>
                <w:noProof/>
              </w:rPr>
            </w:pPr>
            <w:r>
              <w:rPr>
                <w:noProof/>
              </w:rPr>
              <w:t>Inwestycje 1.1: Infrastruktura cyfrowa</w:t>
            </w:r>
          </w:p>
        </w:tc>
        <w:tc>
          <w:tcPr>
            <w:tcW w:w="1276"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5652FE0" w14:textId="77777777" w:rsidR="004C6421" w:rsidRDefault="009D1962">
            <w:pPr>
              <w:pStyle w:val="P68B1DB1-Normal8"/>
              <w:rPr>
                <w:noProof/>
              </w:rPr>
            </w:pPr>
            <w:r>
              <w:rPr>
                <w:noProof/>
              </w:rPr>
              <w:t>Cel</w:t>
            </w:r>
          </w:p>
        </w:tc>
        <w:tc>
          <w:tcPr>
            <w:tcW w:w="3103"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5EA8050" w14:textId="77777777" w:rsidR="004C6421" w:rsidRDefault="009D1962">
            <w:pPr>
              <w:pStyle w:val="P68B1DB1-Normal8"/>
              <w:rPr>
                <w:noProof/>
              </w:rPr>
            </w:pPr>
            <w:r>
              <w:rPr>
                <w:noProof/>
              </w:rPr>
              <w:t>Migracja do Polo Strategico Nazionale T1</w:t>
            </w:r>
          </w:p>
        </w:tc>
        <w:tc>
          <w:tcPr>
            <w:tcW w:w="236" w:type="dxa"/>
            <w:tcBorders>
              <w:top w:val="nil"/>
              <w:left w:val="single" w:sz="8" w:space="0" w:color="auto"/>
              <w:bottom w:val="nil"/>
              <w:right w:val="nil"/>
            </w:tcBorders>
            <w:vAlign w:val="center"/>
          </w:tcPr>
          <w:p w14:paraId="30495208" w14:textId="77777777" w:rsidR="004C6421" w:rsidRDefault="004C6421">
            <w:pPr>
              <w:rPr>
                <w:noProof/>
              </w:rPr>
            </w:pPr>
          </w:p>
        </w:tc>
      </w:tr>
      <w:tr w:rsidR="004C6421" w14:paraId="554AAF5A"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E0A705A" w14:textId="77777777" w:rsidR="004C6421" w:rsidRDefault="009D1962">
            <w:pPr>
              <w:pStyle w:val="P68B1DB1-Normal8"/>
              <w:jc w:val="center"/>
              <w:rPr>
                <w:noProof/>
              </w:rPr>
            </w:pPr>
            <w:r>
              <w:rPr>
                <w:noProof/>
              </w:rPr>
              <w:t>M7-7</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18508EF" w14:textId="77777777" w:rsidR="004C6421" w:rsidRDefault="009D1962">
            <w:pPr>
              <w:pStyle w:val="P68B1DB1-Normal8"/>
              <w:rPr>
                <w:noProof/>
              </w:rPr>
            </w:pPr>
            <w:r>
              <w:rPr>
                <w:noProof/>
              </w:rPr>
              <w:t>Reforma 4: Ograniczenie ryzyka finansowego związanego z odnawialnymi umowami zakupu energii elektrycznej (umowy zakupu energii elektrycznej)</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7B4834D" w14:textId="5C88AFF7" w:rsidR="004C6421" w:rsidRDefault="00CC179E">
            <w:pPr>
              <w:pStyle w:val="P68B1DB1-Normal8"/>
              <w:rPr>
                <w:noProof/>
              </w:rPr>
            </w:pPr>
            <w:r>
              <w:rPr>
                <w:noProof/>
              </w:rPr>
              <w:t>Milowy</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31E0FF1" w14:textId="77777777" w:rsidR="004C6421" w:rsidRDefault="009D1962">
            <w:pPr>
              <w:pStyle w:val="P68B1DB1-Normal8"/>
              <w:rPr>
                <w:noProof/>
              </w:rPr>
            </w:pPr>
            <w:r>
              <w:rPr>
                <w:noProof/>
              </w:rPr>
              <w:t>Wejście w życie prawa pierwotnego</w:t>
            </w:r>
          </w:p>
        </w:tc>
        <w:tc>
          <w:tcPr>
            <w:tcW w:w="236" w:type="dxa"/>
            <w:tcBorders>
              <w:top w:val="nil"/>
              <w:left w:val="single" w:sz="8" w:space="0" w:color="auto"/>
              <w:bottom w:val="nil"/>
              <w:right w:val="nil"/>
            </w:tcBorders>
            <w:vAlign w:val="center"/>
          </w:tcPr>
          <w:p w14:paraId="73566AC3" w14:textId="77777777" w:rsidR="004C6421" w:rsidRDefault="004C6421">
            <w:pPr>
              <w:rPr>
                <w:noProof/>
              </w:rPr>
            </w:pPr>
          </w:p>
        </w:tc>
      </w:tr>
      <w:tr w:rsidR="004C6421" w14:paraId="70906721"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D35FAEB" w14:textId="77777777" w:rsidR="004C6421" w:rsidRDefault="009D1962">
            <w:pPr>
              <w:pStyle w:val="P68B1DB1-Normal8"/>
              <w:jc w:val="center"/>
              <w:rPr>
                <w:noProof/>
              </w:rPr>
            </w:pPr>
            <w:r>
              <w:rPr>
                <w:noProof/>
              </w:rPr>
              <w:t>M7-14</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AE7E071" w14:textId="77777777" w:rsidR="004C6421" w:rsidRDefault="009D1962">
            <w:pPr>
              <w:pStyle w:val="P68B1DB1-Normal8"/>
              <w:rPr>
                <w:noProof/>
              </w:rPr>
            </w:pPr>
            <w:r>
              <w:rPr>
                <w:noProof/>
              </w:rPr>
              <w:t>Inwestycja 4: Link Tyrreński</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C9A0512" w14:textId="02D38A80" w:rsidR="004C6421" w:rsidRDefault="00CC179E">
            <w:pPr>
              <w:pStyle w:val="P68B1DB1-Normal8"/>
              <w:rPr>
                <w:noProof/>
              </w:rPr>
            </w:pPr>
            <w:r>
              <w:rPr>
                <w:noProof/>
              </w:rPr>
              <w:t>Milowy</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BC18251" w14:textId="77777777" w:rsidR="004C6421" w:rsidRDefault="009D1962">
            <w:pPr>
              <w:pStyle w:val="P68B1DB1-Normal8"/>
              <w:rPr>
                <w:noProof/>
              </w:rPr>
            </w:pPr>
            <w:r>
              <w:rPr>
                <w:noProof/>
              </w:rPr>
              <w:t>Udzielenie zamówień</w:t>
            </w:r>
          </w:p>
        </w:tc>
        <w:tc>
          <w:tcPr>
            <w:tcW w:w="236" w:type="dxa"/>
            <w:tcBorders>
              <w:top w:val="nil"/>
              <w:left w:val="single" w:sz="8" w:space="0" w:color="auto"/>
              <w:bottom w:val="nil"/>
              <w:right w:val="nil"/>
            </w:tcBorders>
            <w:vAlign w:val="center"/>
          </w:tcPr>
          <w:p w14:paraId="09B14428" w14:textId="77777777" w:rsidR="004C6421" w:rsidRDefault="004C6421">
            <w:pPr>
              <w:rPr>
                <w:noProof/>
              </w:rPr>
            </w:pPr>
          </w:p>
        </w:tc>
      </w:tr>
      <w:tr w:rsidR="004C6421" w14:paraId="42437238"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ED14A75" w14:textId="77777777" w:rsidR="004C6421" w:rsidRDefault="009D1962">
            <w:pPr>
              <w:pStyle w:val="P68B1DB1-Normal8"/>
              <w:jc w:val="center"/>
              <w:rPr>
                <w:noProof/>
              </w:rPr>
            </w:pPr>
            <w:r>
              <w:rPr>
                <w:noProof/>
              </w:rPr>
              <w:t xml:space="preserve">M3C2-7 </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E2252E0" w14:textId="77777777" w:rsidR="004C6421" w:rsidRDefault="009D1962">
            <w:pPr>
              <w:pStyle w:val="P68B1DB1-Normal8"/>
              <w:rPr>
                <w:noProof/>
              </w:rPr>
            </w:pPr>
            <w:r>
              <w:rPr>
                <w:noProof/>
              </w:rPr>
              <w:t xml:space="preserve">Inwestycja 2.3: Prasowanie na zimno </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5D25CA1" w14:textId="0874F5F8" w:rsidR="004C6421" w:rsidRDefault="00CC179E">
            <w:pPr>
              <w:pStyle w:val="P68B1DB1-Normal8"/>
              <w:rPr>
                <w:noProof/>
              </w:rPr>
            </w:pPr>
            <w:r>
              <w:rPr>
                <w:noProof/>
              </w:rPr>
              <w:t xml:space="preserve">Milowy </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2384CB3" w14:textId="77777777" w:rsidR="004C6421" w:rsidRDefault="009D1962">
            <w:pPr>
              <w:pStyle w:val="P68B1DB1-Normal8"/>
              <w:rPr>
                <w:noProof/>
              </w:rPr>
            </w:pPr>
            <w:r>
              <w:rPr>
                <w:noProof/>
              </w:rPr>
              <w:t xml:space="preserve">Udzielanie wszystkich zamówień publicznych </w:t>
            </w:r>
          </w:p>
        </w:tc>
        <w:tc>
          <w:tcPr>
            <w:tcW w:w="236" w:type="dxa"/>
            <w:tcBorders>
              <w:top w:val="nil"/>
              <w:left w:val="single" w:sz="8" w:space="0" w:color="auto"/>
              <w:bottom w:val="nil"/>
              <w:right w:val="nil"/>
            </w:tcBorders>
            <w:vAlign w:val="center"/>
          </w:tcPr>
          <w:p w14:paraId="24E3626B" w14:textId="77777777" w:rsidR="004C6421" w:rsidRDefault="004C6421">
            <w:pPr>
              <w:rPr>
                <w:noProof/>
              </w:rPr>
            </w:pPr>
          </w:p>
        </w:tc>
      </w:tr>
      <w:tr w:rsidR="004C6421" w14:paraId="7CF30064"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081B5E5" w14:textId="77777777" w:rsidR="004C6421" w:rsidRDefault="009D1962">
            <w:pPr>
              <w:pStyle w:val="P68B1DB1-Normal8"/>
              <w:jc w:val="center"/>
              <w:rPr>
                <w:noProof/>
              </w:rPr>
            </w:pPr>
            <w:r>
              <w:rPr>
                <w:noProof/>
              </w:rPr>
              <w:t>M1C1-18</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B2BED13" w14:textId="77777777" w:rsidR="004C6421" w:rsidRDefault="009D1962">
            <w:pPr>
              <w:pStyle w:val="P68B1DB1-Normal8"/>
              <w:rPr>
                <w:noProof/>
              </w:rPr>
            </w:pPr>
            <w:r>
              <w:rPr>
                <w:noProof/>
              </w:rPr>
              <w:t>Inwestycja 1.3.1: Krajowa platforma danych cyfrowych</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F32FEC4" w14:textId="77777777" w:rsidR="004C6421" w:rsidRDefault="009D1962">
            <w:pPr>
              <w:pStyle w:val="P68B1DB1-Normal8"/>
              <w:rPr>
                <w:noProof/>
              </w:rPr>
            </w:pPr>
            <w:r>
              <w:rPr>
                <w:noProof/>
              </w:rPr>
              <w:t>Cel</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26491A0" w14:textId="77777777" w:rsidR="004C6421" w:rsidRDefault="009D1962">
            <w:pPr>
              <w:pStyle w:val="P68B1DB1-Normal8"/>
              <w:rPr>
                <w:noProof/>
              </w:rPr>
            </w:pPr>
            <w:r>
              <w:rPr>
                <w:noProof/>
              </w:rPr>
              <w:t>API w krajowej platformie danych cyfrowych T1</w:t>
            </w:r>
          </w:p>
        </w:tc>
        <w:tc>
          <w:tcPr>
            <w:tcW w:w="236" w:type="dxa"/>
            <w:tcBorders>
              <w:top w:val="nil"/>
              <w:left w:val="single" w:sz="8" w:space="0" w:color="auto"/>
              <w:bottom w:val="nil"/>
              <w:right w:val="nil"/>
            </w:tcBorders>
            <w:vAlign w:val="center"/>
          </w:tcPr>
          <w:p w14:paraId="27337A99" w14:textId="77777777" w:rsidR="004C6421" w:rsidRDefault="004C6421">
            <w:pPr>
              <w:rPr>
                <w:noProof/>
              </w:rPr>
            </w:pPr>
          </w:p>
        </w:tc>
      </w:tr>
      <w:tr w:rsidR="004C6421" w14:paraId="14419035"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163011B" w14:textId="77777777" w:rsidR="004C6421" w:rsidRDefault="009D1962">
            <w:pPr>
              <w:pStyle w:val="P68B1DB1-Normal8"/>
              <w:jc w:val="center"/>
              <w:rPr>
                <w:noProof/>
              </w:rPr>
            </w:pPr>
            <w:r>
              <w:rPr>
                <w:noProof/>
              </w:rPr>
              <w:t>M1C1-19</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E2E1731" w14:textId="77777777" w:rsidR="004C6421" w:rsidRDefault="009D1962">
            <w:pPr>
              <w:pStyle w:val="P68B1DB1-Normal8"/>
              <w:rPr>
                <w:noProof/>
              </w:rPr>
            </w:pPr>
            <w:r>
              <w:rPr>
                <w:noProof/>
              </w:rPr>
              <w:t>Inwestycja 1.5: Cyberbezpieczeństwo</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93C76FC" w14:textId="77777777" w:rsidR="004C6421" w:rsidRDefault="009D1962">
            <w:pPr>
              <w:pStyle w:val="P68B1DB1-Normal8"/>
              <w:rPr>
                <w:noProof/>
              </w:rPr>
            </w:pPr>
            <w:r>
              <w:rPr>
                <w:noProof/>
              </w:rPr>
              <w:t>Cel</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FAD86A0" w14:textId="77777777" w:rsidR="004C6421" w:rsidRDefault="009D1962">
            <w:pPr>
              <w:pStyle w:val="P68B1DB1-Normal8"/>
              <w:rPr>
                <w:noProof/>
              </w:rPr>
            </w:pPr>
            <w:r>
              <w:rPr>
                <w:noProof/>
              </w:rPr>
              <w:t>Wsparcie modernizacji struktur bezpieczeństwa T2</w:t>
            </w:r>
          </w:p>
        </w:tc>
        <w:tc>
          <w:tcPr>
            <w:tcW w:w="236" w:type="dxa"/>
            <w:tcBorders>
              <w:top w:val="nil"/>
              <w:left w:val="single" w:sz="8" w:space="0" w:color="auto"/>
              <w:bottom w:val="nil"/>
              <w:right w:val="nil"/>
            </w:tcBorders>
            <w:vAlign w:val="center"/>
          </w:tcPr>
          <w:p w14:paraId="4F12833D" w14:textId="77777777" w:rsidR="004C6421" w:rsidRDefault="004C6421">
            <w:pPr>
              <w:rPr>
                <w:noProof/>
              </w:rPr>
            </w:pPr>
          </w:p>
        </w:tc>
      </w:tr>
      <w:tr w:rsidR="004C6421" w14:paraId="131D6B3C"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245FAF3" w14:textId="77777777" w:rsidR="004C6421" w:rsidRDefault="009D1962">
            <w:pPr>
              <w:pStyle w:val="P68B1DB1-Normal8"/>
              <w:jc w:val="center"/>
              <w:rPr>
                <w:noProof/>
              </w:rPr>
            </w:pPr>
            <w:r>
              <w:rPr>
                <w:noProof/>
              </w:rPr>
              <w:t>M1C1-20</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1B910DF" w14:textId="77777777" w:rsidR="004C6421" w:rsidRDefault="009D1962">
            <w:pPr>
              <w:pStyle w:val="P68B1DB1-Normal8"/>
              <w:rPr>
                <w:noProof/>
              </w:rPr>
            </w:pPr>
            <w:r>
              <w:rPr>
                <w:noProof/>
              </w:rPr>
              <w:t>Inwestycja 1.5: Cyberbezpieczeństwo</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3C9179F" w14:textId="0A0CD7AF" w:rsidR="004C6421" w:rsidRDefault="00CC179E">
            <w:pPr>
              <w:pStyle w:val="P68B1DB1-Normal8"/>
              <w:rPr>
                <w:noProof/>
              </w:rPr>
            </w:pPr>
            <w:r>
              <w:rPr>
                <w:noProof/>
              </w:rPr>
              <w:t>Milowy</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49C1C16" w14:textId="77777777" w:rsidR="004C6421" w:rsidRDefault="009D1962">
            <w:pPr>
              <w:pStyle w:val="P68B1DB1-Normal8"/>
              <w:rPr>
                <w:noProof/>
              </w:rPr>
            </w:pPr>
            <w:r>
              <w:rPr>
                <w:noProof/>
              </w:rPr>
              <w:t>Pełne wdrożenie krajowych usług w zakresie cyberbezpieczeństwa</w:t>
            </w:r>
          </w:p>
        </w:tc>
        <w:tc>
          <w:tcPr>
            <w:tcW w:w="236" w:type="dxa"/>
            <w:tcBorders>
              <w:top w:val="nil"/>
              <w:left w:val="single" w:sz="8" w:space="0" w:color="auto"/>
              <w:bottom w:val="nil"/>
              <w:right w:val="nil"/>
            </w:tcBorders>
            <w:vAlign w:val="center"/>
          </w:tcPr>
          <w:p w14:paraId="73EE2C11" w14:textId="77777777" w:rsidR="004C6421" w:rsidRDefault="004C6421">
            <w:pPr>
              <w:rPr>
                <w:noProof/>
              </w:rPr>
            </w:pPr>
          </w:p>
        </w:tc>
      </w:tr>
      <w:tr w:rsidR="004C6421" w14:paraId="392DB373"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AA7955E" w14:textId="77777777" w:rsidR="004C6421" w:rsidRDefault="009D1962">
            <w:pPr>
              <w:pStyle w:val="P68B1DB1-Normal8"/>
              <w:jc w:val="center"/>
              <w:rPr>
                <w:noProof/>
              </w:rPr>
            </w:pPr>
            <w:r>
              <w:rPr>
                <w:noProof/>
              </w:rPr>
              <w:t>M1C1-21</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A1A164F" w14:textId="77777777" w:rsidR="004C6421" w:rsidRDefault="009D1962">
            <w:pPr>
              <w:pStyle w:val="P68B1DB1-Normal8"/>
              <w:rPr>
                <w:noProof/>
              </w:rPr>
            </w:pPr>
            <w:r>
              <w:rPr>
                <w:noProof/>
              </w:rPr>
              <w:t>Inwestycja 1.5: Cyberbezpieczeństwo</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5D6A267" w14:textId="29BAFB9B" w:rsidR="004C6421" w:rsidRDefault="00CC179E">
            <w:pPr>
              <w:pStyle w:val="P68B1DB1-Normal8"/>
              <w:rPr>
                <w:noProof/>
              </w:rPr>
            </w:pPr>
            <w:r>
              <w:rPr>
                <w:noProof/>
              </w:rPr>
              <w:t>Milowy</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6210AC1" w14:textId="77777777" w:rsidR="004C6421" w:rsidRDefault="009D1962">
            <w:pPr>
              <w:pStyle w:val="P68B1DB1-Normal8"/>
              <w:rPr>
                <w:noProof/>
              </w:rPr>
            </w:pPr>
            <w:r>
              <w:rPr>
                <w:noProof/>
              </w:rPr>
              <w:t>Zakończenie tworzenia sieci laboratoriów ds. kontroli bezpieczeństwa cybernetycznego i certyfikacji cyberbezpieczeństwa, ośrodków oceny</w:t>
            </w:r>
          </w:p>
        </w:tc>
        <w:tc>
          <w:tcPr>
            <w:tcW w:w="236" w:type="dxa"/>
            <w:tcBorders>
              <w:top w:val="nil"/>
              <w:left w:val="single" w:sz="8" w:space="0" w:color="auto"/>
              <w:bottom w:val="nil"/>
              <w:right w:val="nil"/>
            </w:tcBorders>
            <w:vAlign w:val="center"/>
          </w:tcPr>
          <w:p w14:paraId="1CA676F1" w14:textId="77777777" w:rsidR="004C6421" w:rsidRDefault="004C6421">
            <w:pPr>
              <w:rPr>
                <w:noProof/>
              </w:rPr>
            </w:pPr>
          </w:p>
        </w:tc>
      </w:tr>
      <w:tr w:rsidR="004C6421" w14:paraId="3FEFD8C9"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94A0996" w14:textId="77777777" w:rsidR="004C6421" w:rsidRDefault="009D1962">
            <w:pPr>
              <w:pStyle w:val="P68B1DB1-Normal8"/>
              <w:jc w:val="center"/>
              <w:rPr>
                <w:noProof/>
              </w:rPr>
            </w:pPr>
            <w:r>
              <w:rPr>
                <w:noProof/>
              </w:rPr>
              <w:t>M1C1-22</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85E8BEC" w14:textId="77777777" w:rsidR="004C6421" w:rsidRDefault="009D1962">
            <w:pPr>
              <w:pStyle w:val="P68B1DB1-Normal8"/>
              <w:rPr>
                <w:noProof/>
              </w:rPr>
            </w:pPr>
            <w:r>
              <w:rPr>
                <w:noProof/>
              </w:rPr>
              <w:t>Inwestycja 1.5: Cyberbezpieczeństwo</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E2A9AB2" w14:textId="055325E2" w:rsidR="004C6421" w:rsidRDefault="00CC179E">
            <w:pPr>
              <w:pStyle w:val="P68B1DB1-Normal8"/>
              <w:rPr>
                <w:noProof/>
              </w:rPr>
            </w:pPr>
            <w:r>
              <w:rPr>
                <w:noProof/>
              </w:rPr>
              <w:t>Milowy</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37DA72F" w14:textId="77777777" w:rsidR="004C6421" w:rsidRDefault="009D1962">
            <w:pPr>
              <w:pStyle w:val="P68B1DB1-Normal8"/>
              <w:rPr>
                <w:noProof/>
              </w:rPr>
            </w:pPr>
            <w:r>
              <w:rPr>
                <w:noProof/>
              </w:rPr>
              <w:t>Pełne działanie centralnej jednostki audytowej ds. środków bezpieczeństwa PSNC i NIS po zakończeniu co najmniej 30 inspekcji</w:t>
            </w:r>
          </w:p>
        </w:tc>
        <w:tc>
          <w:tcPr>
            <w:tcW w:w="236" w:type="dxa"/>
            <w:tcBorders>
              <w:top w:val="nil"/>
              <w:left w:val="single" w:sz="8" w:space="0" w:color="auto"/>
              <w:bottom w:val="nil"/>
              <w:right w:val="nil"/>
            </w:tcBorders>
            <w:vAlign w:val="center"/>
          </w:tcPr>
          <w:p w14:paraId="46838E1D" w14:textId="77777777" w:rsidR="004C6421" w:rsidRDefault="004C6421">
            <w:pPr>
              <w:rPr>
                <w:noProof/>
              </w:rPr>
            </w:pPr>
          </w:p>
        </w:tc>
      </w:tr>
      <w:tr w:rsidR="004C6421" w14:paraId="21ABFB73"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F5C6039" w14:textId="77777777" w:rsidR="004C6421" w:rsidRDefault="009D1962">
            <w:pPr>
              <w:pStyle w:val="P68B1DB1-Normal8"/>
              <w:jc w:val="center"/>
              <w:rPr>
                <w:noProof/>
              </w:rPr>
            </w:pPr>
            <w:r>
              <w:rPr>
                <w:noProof/>
              </w:rPr>
              <w:t>M1C1-43</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5E4564E" w14:textId="77777777" w:rsidR="004C6421" w:rsidRDefault="009D1962">
            <w:pPr>
              <w:pStyle w:val="P68B1DB1-Normal8"/>
              <w:rPr>
                <w:noProof/>
              </w:rPr>
            </w:pPr>
            <w:r>
              <w:rPr>
                <w:noProof/>
              </w:rPr>
              <w:t>Reforma 1.4: Reforma wymiaru sprawiedliwości w sprawach cywilnych</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3CFC1E1" w14:textId="77777777" w:rsidR="004C6421" w:rsidRDefault="009D1962">
            <w:pPr>
              <w:pStyle w:val="P68B1DB1-Normal8"/>
              <w:rPr>
                <w:noProof/>
              </w:rPr>
            </w:pPr>
            <w:r>
              <w:rPr>
                <w:noProof/>
              </w:rPr>
              <w:t>Cel</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44DC2E2" w14:textId="77777777" w:rsidR="004C6421" w:rsidRDefault="009D1962">
            <w:pPr>
              <w:pStyle w:val="P68B1DB1-Normal8"/>
              <w:rPr>
                <w:noProof/>
              </w:rPr>
            </w:pPr>
            <w:r>
              <w:rPr>
                <w:noProof/>
              </w:rPr>
              <w:t>Zmniejszenie liczby zaległych spraw w sądach powszechnych w sprawach cywilnych (pierwsza instancja)</w:t>
            </w:r>
          </w:p>
        </w:tc>
        <w:tc>
          <w:tcPr>
            <w:tcW w:w="236" w:type="dxa"/>
            <w:tcBorders>
              <w:top w:val="nil"/>
              <w:left w:val="single" w:sz="8" w:space="0" w:color="auto"/>
              <w:bottom w:val="nil"/>
              <w:right w:val="nil"/>
            </w:tcBorders>
            <w:vAlign w:val="center"/>
          </w:tcPr>
          <w:p w14:paraId="263A3264" w14:textId="77777777" w:rsidR="004C6421" w:rsidRDefault="004C6421">
            <w:pPr>
              <w:rPr>
                <w:noProof/>
              </w:rPr>
            </w:pPr>
          </w:p>
        </w:tc>
      </w:tr>
      <w:tr w:rsidR="004C6421" w14:paraId="45FDB2B7"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DDA2B70" w14:textId="77777777" w:rsidR="004C6421" w:rsidRDefault="009D1962">
            <w:pPr>
              <w:pStyle w:val="P68B1DB1-Normal8"/>
              <w:jc w:val="center"/>
              <w:rPr>
                <w:noProof/>
              </w:rPr>
            </w:pPr>
            <w:r>
              <w:rPr>
                <w:noProof/>
              </w:rPr>
              <w:t>M1C1-44</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5C15E87" w14:textId="77777777" w:rsidR="004C6421" w:rsidRDefault="009D1962">
            <w:pPr>
              <w:pStyle w:val="P68B1DB1-Normal8"/>
              <w:rPr>
                <w:noProof/>
              </w:rPr>
            </w:pPr>
            <w:r>
              <w:rPr>
                <w:noProof/>
              </w:rPr>
              <w:t>Reforma 1.4: Reforma wymiaru sprawiedliwości w sprawach cywilnych</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65417AB" w14:textId="77777777" w:rsidR="004C6421" w:rsidRDefault="009D1962">
            <w:pPr>
              <w:pStyle w:val="P68B1DB1-Normal8"/>
              <w:rPr>
                <w:noProof/>
              </w:rPr>
            </w:pPr>
            <w:r>
              <w:rPr>
                <w:noProof/>
              </w:rPr>
              <w:t>Cel</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31CBE8E" w14:textId="77777777" w:rsidR="004C6421" w:rsidRDefault="009D1962">
            <w:pPr>
              <w:pStyle w:val="P68B1DB1-Normal8"/>
              <w:rPr>
                <w:noProof/>
              </w:rPr>
            </w:pPr>
            <w:r>
              <w:rPr>
                <w:noProof/>
              </w:rPr>
              <w:t>Zmniejszenie liczby zaległych spraw w Sądzie Apelacyjnym w sprawach cywilnych (druga instancja)</w:t>
            </w:r>
          </w:p>
        </w:tc>
        <w:tc>
          <w:tcPr>
            <w:tcW w:w="236" w:type="dxa"/>
            <w:tcBorders>
              <w:top w:val="nil"/>
              <w:left w:val="single" w:sz="8" w:space="0" w:color="auto"/>
              <w:bottom w:val="nil"/>
              <w:right w:val="nil"/>
            </w:tcBorders>
            <w:vAlign w:val="center"/>
          </w:tcPr>
          <w:p w14:paraId="10C739B6" w14:textId="77777777" w:rsidR="004C6421" w:rsidRDefault="004C6421">
            <w:pPr>
              <w:rPr>
                <w:noProof/>
              </w:rPr>
            </w:pPr>
          </w:p>
        </w:tc>
      </w:tr>
      <w:tr w:rsidR="004C6421" w14:paraId="679B19BB"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0BDE7C7" w14:textId="77777777" w:rsidR="004C6421" w:rsidRDefault="009D1962">
            <w:pPr>
              <w:pStyle w:val="P68B1DB1-Normal8"/>
              <w:jc w:val="center"/>
              <w:rPr>
                <w:noProof/>
              </w:rPr>
            </w:pPr>
            <w:r>
              <w:rPr>
                <w:noProof/>
              </w:rPr>
              <w:t>M1C1-60</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0719A35" w14:textId="77777777" w:rsidR="004C6421" w:rsidRDefault="009D1962">
            <w:pPr>
              <w:pStyle w:val="P68B1DB1-Normal8"/>
              <w:rPr>
                <w:noProof/>
              </w:rPr>
            </w:pPr>
            <w:r>
              <w:rPr>
                <w:noProof/>
              </w:rPr>
              <w:t>Reforma 1.9: Reforma administracji publicznej</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1359FB9" w14:textId="61E10101" w:rsidR="004C6421" w:rsidRDefault="00CC179E">
            <w:pPr>
              <w:pStyle w:val="P68B1DB1-Normal8"/>
              <w:rPr>
                <w:noProof/>
              </w:rPr>
            </w:pPr>
            <w:r>
              <w:rPr>
                <w:noProof/>
              </w:rPr>
              <w:t>Milowy</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13D4617" w14:textId="77777777" w:rsidR="004C6421" w:rsidRDefault="009D1962">
            <w:pPr>
              <w:pStyle w:val="P68B1DB1-Normal8"/>
              <w:rPr>
                <w:noProof/>
              </w:rPr>
            </w:pPr>
            <w:r>
              <w:rPr>
                <w:noProof/>
              </w:rPr>
              <w:t>Pełne wdrożenie (w tym wszystkich aktów delegowanych) uproszczenia lub cyfryzacji zestawu 200 kluczowych procedur mających wpływ na obywateli i przedsiębiorstwa</w:t>
            </w:r>
          </w:p>
        </w:tc>
        <w:tc>
          <w:tcPr>
            <w:tcW w:w="236" w:type="dxa"/>
            <w:tcBorders>
              <w:top w:val="nil"/>
              <w:left w:val="single" w:sz="8" w:space="0" w:color="auto"/>
              <w:bottom w:val="nil"/>
              <w:right w:val="nil"/>
            </w:tcBorders>
            <w:vAlign w:val="center"/>
          </w:tcPr>
          <w:p w14:paraId="46B6A314" w14:textId="77777777" w:rsidR="004C6421" w:rsidRDefault="004C6421">
            <w:pPr>
              <w:rPr>
                <w:noProof/>
              </w:rPr>
            </w:pPr>
          </w:p>
        </w:tc>
      </w:tr>
      <w:tr w:rsidR="004C6421" w14:paraId="4CCBDD47"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4370CD3" w14:textId="77777777" w:rsidR="004C6421" w:rsidRDefault="009D1962">
            <w:pPr>
              <w:pStyle w:val="P68B1DB1-Normal8"/>
              <w:jc w:val="center"/>
              <w:rPr>
                <w:noProof/>
              </w:rPr>
            </w:pPr>
            <w:r>
              <w:rPr>
                <w:noProof/>
              </w:rPr>
              <w:t>M1C1-72ter</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EF3D817" w14:textId="77777777" w:rsidR="004C6421" w:rsidRDefault="009D1962">
            <w:pPr>
              <w:pStyle w:val="P68B1DB1-Normal8"/>
              <w:rPr>
                <w:noProof/>
              </w:rPr>
            </w:pPr>
            <w:r>
              <w:rPr>
                <w:noProof/>
              </w:rPr>
              <w:t>Reforma 1.11: Zmniejszenie opóźnień w płatnościach dokonywanych przez organy administracji publicznej i służby zdrowia</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BB5B13D" w14:textId="0FF05C28" w:rsidR="004C6421" w:rsidRDefault="00CC179E">
            <w:pPr>
              <w:pStyle w:val="P68B1DB1-Normal8"/>
              <w:rPr>
                <w:noProof/>
              </w:rPr>
            </w:pPr>
            <w:r>
              <w:rPr>
                <w:noProof/>
              </w:rPr>
              <w:t>Milowy</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45D448E" w14:textId="77777777" w:rsidR="004C6421" w:rsidRDefault="009D1962">
            <w:pPr>
              <w:pStyle w:val="P68B1DB1-Normal8"/>
              <w:rPr>
                <w:noProof/>
              </w:rPr>
            </w:pPr>
            <w:r>
              <w:rPr>
                <w:noProof/>
              </w:rPr>
              <w:t>Zwiększenie zasobów ludzkich zajmujących się opóźnionymi płatnościami</w:t>
            </w:r>
          </w:p>
        </w:tc>
        <w:tc>
          <w:tcPr>
            <w:tcW w:w="236" w:type="dxa"/>
            <w:tcBorders>
              <w:top w:val="nil"/>
              <w:left w:val="single" w:sz="8" w:space="0" w:color="auto"/>
              <w:bottom w:val="nil"/>
              <w:right w:val="nil"/>
            </w:tcBorders>
            <w:vAlign w:val="center"/>
          </w:tcPr>
          <w:p w14:paraId="491BDBCB" w14:textId="77777777" w:rsidR="004C6421" w:rsidRDefault="004C6421">
            <w:pPr>
              <w:rPr>
                <w:noProof/>
              </w:rPr>
            </w:pPr>
          </w:p>
        </w:tc>
      </w:tr>
      <w:tr w:rsidR="004C6421" w14:paraId="07C9BCD1"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3F4C12A" w14:textId="77777777" w:rsidR="004C6421" w:rsidRDefault="009D1962">
            <w:pPr>
              <w:pStyle w:val="P68B1DB1-Normal8"/>
              <w:jc w:val="center"/>
              <w:rPr>
                <w:noProof/>
              </w:rPr>
            </w:pPr>
            <w:r>
              <w:rPr>
                <w:noProof/>
              </w:rPr>
              <w:t>M1C1-72quater</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FA32FF7" w14:textId="77777777" w:rsidR="004C6421" w:rsidRDefault="009D1962">
            <w:pPr>
              <w:pStyle w:val="P68B1DB1-Normal8"/>
              <w:rPr>
                <w:noProof/>
              </w:rPr>
            </w:pPr>
            <w:r>
              <w:rPr>
                <w:noProof/>
              </w:rPr>
              <w:t>Reforma 1.11: Zmniejszenie opóźnień w płatnościach dokonywanych przez organy administracji publicznej i służby zdrowia</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273EA0D" w14:textId="130C2760" w:rsidR="004C6421" w:rsidRDefault="00CC179E">
            <w:pPr>
              <w:pStyle w:val="P68B1DB1-Normal8"/>
              <w:rPr>
                <w:noProof/>
              </w:rPr>
            </w:pPr>
            <w:r>
              <w:rPr>
                <w:noProof/>
              </w:rPr>
              <w:t>Milowy</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3E6CDF6" w14:textId="77777777" w:rsidR="004C6421" w:rsidRDefault="009D1962">
            <w:pPr>
              <w:pStyle w:val="P68B1DB1-Normal8"/>
              <w:rPr>
                <w:noProof/>
              </w:rPr>
            </w:pPr>
            <w:r>
              <w:rPr>
                <w:noProof/>
              </w:rPr>
              <w:t>Przyjęcie planu działania</w:t>
            </w:r>
          </w:p>
        </w:tc>
        <w:tc>
          <w:tcPr>
            <w:tcW w:w="236" w:type="dxa"/>
            <w:tcBorders>
              <w:top w:val="nil"/>
              <w:left w:val="single" w:sz="8" w:space="0" w:color="auto"/>
              <w:bottom w:val="nil"/>
              <w:right w:val="nil"/>
            </w:tcBorders>
            <w:vAlign w:val="center"/>
          </w:tcPr>
          <w:p w14:paraId="08783D06" w14:textId="77777777" w:rsidR="004C6421" w:rsidRDefault="004C6421">
            <w:pPr>
              <w:rPr>
                <w:noProof/>
              </w:rPr>
            </w:pPr>
          </w:p>
        </w:tc>
      </w:tr>
      <w:tr w:rsidR="004C6421" w14:paraId="5DA7DE79"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15D42CA" w14:textId="77777777" w:rsidR="004C6421" w:rsidRDefault="009D1962">
            <w:pPr>
              <w:pStyle w:val="P68B1DB1-Normal8"/>
              <w:jc w:val="center"/>
              <w:rPr>
                <w:noProof/>
              </w:rPr>
            </w:pPr>
            <w:r>
              <w:rPr>
                <w:noProof/>
              </w:rPr>
              <w:t>M1C1-73ter</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1D8274F" w14:textId="77777777" w:rsidR="004C6421" w:rsidRDefault="009D1962">
            <w:pPr>
              <w:pStyle w:val="P68B1DB1-Normal8"/>
              <w:rPr>
                <w:noProof/>
              </w:rPr>
            </w:pPr>
            <w:r>
              <w:rPr>
                <w:noProof/>
              </w:rPr>
              <w:t>Reforma 1.10: Reforma ram prawnych dotyczących zamówień publicznych</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C68D910" w14:textId="544F543B" w:rsidR="004C6421" w:rsidRDefault="00CC179E">
            <w:pPr>
              <w:pStyle w:val="P68B1DB1-Normal8"/>
              <w:rPr>
                <w:noProof/>
              </w:rPr>
            </w:pPr>
            <w:r>
              <w:rPr>
                <w:noProof/>
              </w:rPr>
              <w:t>Milowy</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D5C3313" w14:textId="77777777" w:rsidR="004C6421" w:rsidRDefault="009D1962">
            <w:pPr>
              <w:pStyle w:val="P68B1DB1-Normal8"/>
              <w:rPr>
                <w:noProof/>
              </w:rPr>
            </w:pPr>
            <w:r>
              <w:rPr>
                <w:noProof/>
              </w:rPr>
              <w:t xml:space="preserve">Zachęty do kwalifikacji i profesjonalizacji instytucji zamawiających. </w:t>
            </w:r>
          </w:p>
        </w:tc>
        <w:tc>
          <w:tcPr>
            <w:tcW w:w="236" w:type="dxa"/>
            <w:tcBorders>
              <w:top w:val="nil"/>
              <w:left w:val="single" w:sz="8" w:space="0" w:color="auto"/>
              <w:bottom w:val="nil"/>
              <w:right w:val="nil"/>
            </w:tcBorders>
            <w:vAlign w:val="center"/>
          </w:tcPr>
          <w:p w14:paraId="252027E9" w14:textId="77777777" w:rsidR="004C6421" w:rsidRDefault="004C6421">
            <w:pPr>
              <w:rPr>
                <w:noProof/>
              </w:rPr>
            </w:pPr>
          </w:p>
        </w:tc>
      </w:tr>
      <w:tr w:rsidR="004C6421" w14:paraId="5BD3C84B"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C0EB714" w14:textId="77777777" w:rsidR="004C6421" w:rsidRDefault="009D1962">
            <w:pPr>
              <w:pStyle w:val="P68B1DB1-Normal8"/>
              <w:jc w:val="center"/>
              <w:rPr>
                <w:noProof/>
              </w:rPr>
            </w:pPr>
            <w:r>
              <w:rPr>
                <w:noProof/>
              </w:rPr>
              <w:t>M1C1-73quinquies</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B923C0E" w14:textId="77777777" w:rsidR="004C6421" w:rsidRDefault="009D1962">
            <w:pPr>
              <w:pStyle w:val="P68B1DB1-Normal8"/>
              <w:rPr>
                <w:noProof/>
              </w:rPr>
            </w:pPr>
            <w:r>
              <w:rPr>
                <w:noProof/>
              </w:rPr>
              <w:t>Reforma 1.10: Reforma ram prawnych dotyczących zamówień publicznych</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416AAFF" w14:textId="025F4AC8" w:rsidR="004C6421" w:rsidRDefault="00CC179E">
            <w:pPr>
              <w:pStyle w:val="P68B1DB1-Normal8"/>
              <w:rPr>
                <w:noProof/>
              </w:rPr>
            </w:pPr>
            <w:r>
              <w:rPr>
                <w:noProof/>
              </w:rPr>
              <w:t>Milowy</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4AABE2C" w14:textId="77777777" w:rsidR="004C6421" w:rsidRDefault="009D1962">
            <w:pPr>
              <w:pStyle w:val="P68B1DB1-Normal8"/>
              <w:rPr>
                <w:noProof/>
              </w:rPr>
            </w:pPr>
            <w:r>
              <w:rPr>
                <w:noProof/>
              </w:rPr>
              <w:t>Wejście w życie nowych przepisów prawnych dotyczących finansowania projektów</w:t>
            </w:r>
          </w:p>
        </w:tc>
        <w:tc>
          <w:tcPr>
            <w:tcW w:w="236" w:type="dxa"/>
            <w:tcBorders>
              <w:top w:val="nil"/>
              <w:left w:val="single" w:sz="8" w:space="0" w:color="auto"/>
              <w:bottom w:val="nil"/>
              <w:right w:val="nil"/>
            </w:tcBorders>
            <w:vAlign w:val="center"/>
          </w:tcPr>
          <w:p w14:paraId="754E6709" w14:textId="77777777" w:rsidR="004C6421" w:rsidRDefault="004C6421">
            <w:pPr>
              <w:rPr>
                <w:noProof/>
              </w:rPr>
            </w:pPr>
          </w:p>
        </w:tc>
      </w:tr>
      <w:tr w:rsidR="004C6421" w14:paraId="47EF55C1"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6B7C12E" w14:textId="77777777" w:rsidR="004C6421" w:rsidRDefault="009D1962">
            <w:pPr>
              <w:pStyle w:val="P68B1DB1-Normal8"/>
              <w:jc w:val="center"/>
              <w:rPr>
                <w:noProof/>
              </w:rPr>
            </w:pPr>
            <w:r>
              <w:rPr>
                <w:noProof/>
              </w:rPr>
              <w:t>M1C1-75bis</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27AFD0B" w14:textId="77777777" w:rsidR="004C6421" w:rsidRDefault="009D1962">
            <w:pPr>
              <w:pStyle w:val="P68B1DB1-Normal8"/>
              <w:rPr>
                <w:noProof/>
              </w:rPr>
            </w:pPr>
            <w:r>
              <w:rPr>
                <w:noProof/>
              </w:rPr>
              <w:t xml:space="preserve">Inwestycja 1.10: Wsparcie na rzecz kwalifikacji i e-zamówień </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34A6816" w14:textId="1CC48AFD" w:rsidR="004C6421" w:rsidRDefault="00CC179E">
            <w:pPr>
              <w:pStyle w:val="P68B1DB1-Normal8"/>
              <w:rPr>
                <w:noProof/>
              </w:rPr>
            </w:pPr>
            <w:r>
              <w:rPr>
                <w:noProof/>
              </w:rPr>
              <w:t>Milowy</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887ECB5" w14:textId="77777777" w:rsidR="004C6421" w:rsidRDefault="009D1962">
            <w:pPr>
              <w:pStyle w:val="P68B1DB1-Normal8"/>
              <w:rPr>
                <w:noProof/>
              </w:rPr>
            </w:pPr>
            <w:r>
              <w:rPr>
                <w:noProof/>
              </w:rPr>
              <w:t>Wsparcie na rzecz kwalifikacji i e-zamówień</w:t>
            </w:r>
          </w:p>
        </w:tc>
        <w:tc>
          <w:tcPr>
            <w:tcW w:w="236" w:type="dxa"/>
            <w:tcBorders>
              <w:top w:val="nil"/>
              <w:left w:val="single" w:sz="8" w:space="0" w:color="auto"/>
              <w:bottom w:val="nil"/>
              <w:right w:val="nil"/>
            </w:tcBorders>
            <w:vAlign w:val="center"/>
          </w:tcPr>
          <w:p w14:paraId="2190B7FE" w14:textId="77777777" w:rsidR="004C6421" w:rsidRDefault="004C6421">
            <w:pPr>
              <w:rPr>
                <w:noProof/>
              </w:rPr>
            </w:pPr>
          </w:p>
        </w:tc>
      </w:tr>
      <w:tr w:rsidR="004C6421" w14:paraId="48CE986A"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3B995B8" w14:textId="77777777" w:rsidR="004C6421" w:rsidRDefault="009D1962">
            <w:pPr>
              <w:pStyle w:val="P68B1DB1-Normal8"/>
              <w:jc w:val="center"/>
              <w:rPr>
                <w:noProof/>
              </w:rPr>
            </w:pPr>
            <w:r>
              <w:rPr>
                <w:noProof/>
              </w:rPr>
              <w:t>M1C1-84bis</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1B18E0F" w14:textId="77777777" w:rsidR="004C6421" w:rsidRDefault="009D1962">
            <w:pPr>
              <w:pStyle w:val="P68B1DB1-Normal8"/>
              <w:rPr>
                <w:noProof/>
              </w:rPr>
            </w:pPr>
            <w:r>
              <w:rPr>
                <w:noProof/>
              </w:rPr>
              <w:t>Reforma 1.10: Reforma ram prawnych dotyczących zamówień publicznych</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3A3A399" w14:textId="3B14C575" w:rsidR="004C6421" w:rsidRDefault="00CC179E">
            <w:pPr>
              <w:pStyle w:val="P68B1DB1-Normal8"/>
              <w:rPr>
                <w:noProof/>
              </w:rPr>
            </w:pPr>
            <w:r>
              <w:rPr>
                <w:noProof/>
              </w:rPr>
              <w:t>Milowy</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7C80FBB" w14:textId="77777777" w:rsidR="004C6421" w:rsidRDefault="009D1962">
            <w:pPr>
              <w:pStyle w:val="P68B1DB1-Normal8"/>
              <w:rPr>
                <w:noProof/>
              </w:rPr>
            </w:pPr>
            <w:r>
              <w:rPr>
                <w:noProof/>
              </w:rPr>
              <w:t>Środki mające na celu poprawę szybkości podejmowania decyzji w sprawie udzielania zamówień przez instytucje zamawiające</w:t>
            </w:r>
          </w:p>
        </w:tc>
        <w:tc>
          <w:tcPr>
            <w:tcW w:w="236" w:type="dxa"/>
            <w:tcBorders>
              <w:top w:val="nil"/>
              <w:left w:val="single" w:sz="8" w:space="0" w:color="auto"/>
              <w:bottom w:val="nil"/>
              <w:right w:val="nil"/>
            </w:tcBorders>
            <w:vAlign w:val="center"/>
          </w:tcPr>
          <w:p w14:paraId="61104908" w14:textId="77777777" w:rsidR="004C6421" w:rsidRDefault="004C6421">
            <w:pPr>
              <w:rPr>
                <w:noProof/>
              </w:rPr>
            </w:pPr>
          </w:p>
        </w:tc>
      </w:tr>
      <w:tr w:rsidR="004C6421" w14:paraId="54DC41B8"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8B9F28D" w14:textId="77777777" w:rsidR="004C6421" w:rsidRDefault="009D1962">
            <w:pPr>
              <w:pStyle w:val="P68B1DB1-Normal8"/>
              <w:jc w:val="center"/>
              <w:rPr>
                <w:noProof/>
              </w:rPr>
            </w:pPr>
            <w:r>
              <w:rPr>
                <w:noProof/>
              </w:rPr>
              <w:t>M1C1-98</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09ACF1B" w14:textId="77777777" w:rsidR="004C6421" w:rsidRDefault="009D1962">
            <w:pPr>
              <w:pStyle w:val="P68B1DB1-Normal8"/>
              <w:rPr>
                <w:noProof/>
              </w:rPr>
            </w:pPr>
            <w:r>
              <w:rPr>
                <w:noProof/>
              </w:rPr>
              <w:t>Reforma 1.10: Reforma ram prawnych dotyczących zamówień publicznych</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E082E60" w14:textId="77777777" w:rsidR="004C6421" w:rsidRDefault="009D1962">
            <w:pPr>
              <w:pStyle w:val="P68B1DB1-Normal8"/>
              <w:rPr>
                <w:noProof/>
              </w:rPr>
            </w:pPr>
            <w:r>
              <w:rPr>
                <w:noProof/>
              </w:rPr>
              <w:t>Cel</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AE80478" w14:textId="77777777" w:rsidR="004C6421" w:rsidRDefault="009D1962">
            <w:pPr>
              <w:pStyle w:val="P68B1DB1-Normal8"/>
              <w:rPr>
                <w:noProof/>
              </w:rPr>
            </w:pPr>
            <w:r>
              <w:rPr>
                <w:noProof/>
              </w:rPr>
              <w:t>Urzędnicy służby cywilnej przeszkoleni w ramach strategii na rzecz profesjonalizacji nabywców publicznych</w:t>
            </w:r>
          </w:p>
        </w:tc>
        <w:tc>
          <w:tcPr>
            <w:tcW w:w="236" w:type="dxa"/>
            <w:tcBorders>
              <w:top w:val="nil"/>
              <w:left w:val="single" w:sz="8" w:space="0" w:color="auto"/>
              <w:bottom w:val="nil"/>
              <w:right w:val="nil"/>
            </w:tcBorders>
            <w:vAlign w:val="center"/>
          </w:tcPr>
          <w:p w14:paraId="32006981" w14:textId="77777777" w:rsidR="004C6421" w:rsidRDefault="004C6421">
            <w:pPr>
              <w:rPr>
                <w:noProof/>
              </w:rPr>
            </w:pPr>
          </w:p>
        </w:tc>
      </w:tr>
      <w:tr w:rsidR="004C6421" w14:paraId="026C2FA1"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0D2111A" w14:textId="77777777" w:rsidR="004C6421" w:rsidRDefault="009D1962">
            <w:pPr>
              <w:pStyle w:val="P68B1DB1-Normal8"/>
              <w:jc w:val="center"/>
              <w:rPr>
                <w:noProof/>
              </w:rPr>
            </w:pPr>
            <w:r>
              <w:rPr>
                <w:noProof/>
              </w:rPr>
              <w:t>M1C2-11</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5E6E372" w14:textId="77777777" w:rsidR="004C6421" w:rsidRDefault="009D1962">
            <w:pPr>
              <w:pStyle w:val="P68B1DB1-Normal8"/>
              <w:rPr>
                <w:noProof/>
              </w:rPr>
            </w:pPr>
            <w:r>
              <w:rPr>
                <w:noProof/>
              </w:rPr>
              <w:t>Reforma nr 2: Roczne ustawy o konkurencji</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5B04D73" w14:textId="26E7F72B" w:rsidR="004C6421" w:rsidRDefault="00CC179E">
            <w:pPr>
              <w:pStyle w:val="P68B1DB1-Normal8"/>
              <w:rPr>
                <w:noProof/>
              </w:rPr>
            </w:pPr>
            <w:r>
              <w:rPr>
                <w:noProof/>
              </w:rPr>
              <w:t>Milowy</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7982819" w14:textId="77777777" w:rsidR="004C6421" w:rsidRDefault="009D1962">
            <w:pPr>
              <w:pStyle w:val="P68B1DB1-Normal8"/>
              <w:rPr>
                <w:noProof/>
              </w:rPr>
            </w:pPr>
            <w:r>
              <w:rPr>
                <w:noProof/>
              </w:rPr>
              <w:t>Wejście w życie rocznej ustawy o konkurencji 2023 r.</w:t>
            </w:r>
          </w:p>
        </w:tc>
        <w:tc>
          <w:tcPr>
            <w:tcW w:w="236" w:type="dxa"/>
            <w:tcBorders>
              <w:top w:val="nil"/>
              <w:left w:val="single" w:sz="8" w:space="0" w:color="auto"/>
              <w:bottom w:val="nil"/>
              <w:right w:val="nil"/>
            </w:tcBorders>
            <w:vAlign w:val="center"/>
          </w:tcPr>
          <w:p w14:paraId="7346E92C" w14:textId="77777777" w:rsidR="004C6421" w:rsidRDefault="004C6421">
            <w:pPr>
              <w:rPr>
                <w:noProof/>
              </w:rPr>
            </w:pPr>
          </w:p>
        </w:tc>
      </w:tr>
      <w:tr w:rsidR="004C6421" w14:paraId="69ECE84D"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B6BE3AC" w14:textId="77777777" w:rsidR="004C6421" w:rsidRDefault="009D1962">
            <w:pPr>
              <w:pStyle w:val="P68B1DB1-Normal8"/>
              <w:jc w:val="center"/>
              <w:rPr>
                <w:noProof/>
              </w:rPr>
            </w:pPr>
            <w:r>
              <w:rPr>
                <w:noProof/>
              </w:rPr>
              <w:t>M1C2-12</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509E918" w14:textId="77777777" w:rsidR="004C6421" w:rsidRDefault="009D1962">
            <w:pPr>
              <w:pStyle w:val="P68B1DB1-Normal8"/>
              <w:rPr>
                <w:noProof/>
              </w:rPr>
            </w:pPr>
            <w:r>
              <w:rPr>
                <w:noProof/>
              </w:rPr>
              <w:t>Reforma nr 2: Roczne ustawy o konkurencji</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840239D" w14:textId="2C01E20C" w:rsidR="004C6421" w:rsidRDefault="00CC179E">
            <w:pPr>
              <w:pStyle w:val="P68B1DB1-Normal8"/>
              <w:rPr>
                <w:noProof/>
              </w:rPr>
            </w:pPr>
            <w:r>
              <w:rPr>
                <w:noProof/>
              </w:rPr>
              <w:t>Milowy</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FA309CA" w14:textId="77777777" w:rsidR="004C6421" w:rsidRDefault="009D1962">
            <w:pPr>
              <w:pStyle w:val="P68B1DB1-Normal8"/>
              <w:rPr>
                <w:noProof/>
              </w:rPr>
            </w:pPr>
            <w:r>
              <w:rPr>
                <w:noProof/>
              </w:rPr>
              <w:t>Wejście w życie wszystkich środków wykonawczych (w tym w razie potrzeby prawa wtórnego) w celu skutecznego wdrożenia i stosowania środków wynikających z rocznej ustawy o konkurencji na 2023 r.</w:t>
            </w:r>
          </w:p>
        </w:tc>
        <w:tc>
          <w:tcPr>
            <w:tcW w:w="236" w:type="dxa"/>
            <w:tcBorders>
              <w:top w:val="nil"/>
              <w:left w:val="single" w:sz="8" w:space="0" w:color="auto"/>
              <w:bottom w:val="nil"/>
              <w:right w:val="nil"/>
            </w:tcBorders>
            <w:vAlign w:val="center"/>
          </w:tcPr>
          <w:p w14:paraId="6CBB565C" w14:textId="77777777" w:rsidR="004C6421" w:rsidRDefault="004C6421">
            <w:pPr>
              <w:rPr>
                <w:noProof/>
              </w:rPr>
            </w:pPr>
          </w:p>
        </w:tc>
      </w:tr>
      <w:tr w:rsidR="004C6421" w14:paraId="60CF494A"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098CCEE" w14:textId="77777777" w:rsidR="004C6421" w:rsidRDefault="009D1962">
            <w:pPr>
              <w:pStyle w:val="P68B1DB1-Normal8"/>
              <w:jc w:val="center"/>
              <w:rPr>
                <w:noProof/>
              </w:rPr>
            </w:pPr>
            <w:r>
              <w:rPr>
                <w:noProof/>
              </w:rPr>
              <w:t>M2C1-6bis</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0FAA313" w14:textId="77777777" w:rsidR="004C6421" w:rsidRDefault="009D1962">
            <w:pPr>
              <w:pStyle w:val="P68B1DB1-Normal8"/>
              <w:rPr>
                <w:noProof/>
              </w:rPr>
            </w:pPr>
            <w:r>
              <w:rPr>
                <w:noProof/>
              </w:rPr>
              <w:t>Inwestycje 2.2: Park rolno-słoneczny</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A4ED6DB" w14:textId="77777777" w:rsidR="004C6421" w:rsidRDefault="009D1962">
            <w:pPr>
              <w:pStyle w:val="P68B1DB1-Normal8"/>
              <w:rPr>
                <w:noProof/>
              </w:rPr>
            </w:pPr>
            <w:r>
              <w:rPr>
                <w:noProof/>
              </w:rPr>
              <w:t>Cel</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D959048" w14:textId="77777777" w:rsidR="004C6421" w:rsidRDefault="009D1962">
            <w:pPr>
              <w:pStyle w:val="P68B1DB1-Normal8"/>
              <w:rPr>
                <w:noProof/>
              </w:rPr>
            </w:pPr>
            <w:r>
              <w:rPr>
                <w:noProof/>
              </w:rPr>
              <w:t>Alokacja zasobów dla beneficjentów jako % całkowitych środków finansowych przeznaczonych na inwestycję</w:t>
            </w:r>
          </w:p>
        </w:tc>
        <w:tc>
          <w:tcPr>
            <w:tcW w:w="236" w:type="dxa"/>
            <w:tcBorders>
              <w:top w:val="nil"/>
              <w:left w:val="single" w:sz="8" w:space="0" w:color="auto"/>
              <w:bottom w:val="nil"/>
              <w:right w:val="nil"/>
            </w:tcBorders>
            <w:vAlign w:val="center"/>
          </w:tcPr>
          <w:p w14:paraId="1DCD1C9C" w14:textId="77777777" w:rsidR="004C6421" w:rsidRDefault="004C6421">
            <w:pPr>
              <w:rPr>
                <w:noProof/>
              </w:rPr>
            </w:pPr>
          </w:p>
        </w:tc>
      </w:tr>
      <w:tr w:rsidR="004C6421" w14:paraId="4B433719"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B3B73B4" w14:textId="77777777" w:rsidR="004C6421" w:rsidRDefault="009D1962">
            <w:pPr>
              <w:pStyle w:val="P68B1DB1-Normal8"/>
              <w:jc w:val="center"/>
              <w:rPr>
                <w:noProof/>
              </w:rPr>
            </w:pPr>
            <w:r>
              <w:rPr>
                <w:noProof/>
              </w:rPr>
              <w:t>M2C1-7</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2D26F60" w14:textId="77777777" w:rsidR="004C6421" w:rsidRDefault="009D1962">
            <w:pPr>
              <w:pStyle w:val="P68B1DB1-Normal8"/>
              <w:rPr>
                <w:noProof/>
              </w:rPr>
            </w:pPr>
            <w:r>
              <w:rPr>
                <w:noProof/>
              </w:rPr>
              <w:t>Inwestycja 2.3: Innowacje i mechanizacja w sektorze rolnym i spożywczym</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E076514" w14:textId="77777777" w:rsidR="004C6421" w:rsidRDefault="009D1962">
            <w:pPr>
              <w:pStyle w:val="P68B1DB1-Normal8"/>
              <w:rPr>
                <w:noProof/>
              </w:rPr>
            </w:pPr>
            <w:r>
              <w:rPr>
                <w:noProof/>
              </w:rPr>
              <w:t>Cel</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CBD9ABD" w14:textId="77777777" w:rsidR="004C6421" w:rsidRDefault="009D1962">
            <w:pPr>
              <w:pStyle w:val="P68B1DB1-Normal8"/>
              <w:rPr>
                <w:noProof/>
              </w:rPr>
            </w:pPr>
            <w:r>
              <w:rPr>
                <w:noProof/>
              </w:rPr>
              <w:t>Publikacja ostatecznych rankingów wraz z określeniem ostatecznych odbiorców.</w:t>
            </w:r>
          </w:p>
        </w:tc>
        <w:tc>
          <w:tcPr>
            <w:tcW w:w="236" w:type="dxa"/>
            <w:tcBorders>
              <w:top w:val="nil"/>
              <w:left w:val="single" w:sz="8" w:space="0" w:color="auto"/>
              <w:bottom w:val="nil"/>
              <w:right w:val="nil"/>
            </w:tcBorders>
            <w:vAlign w:val="center"/>
          </w:tcPr>
          <w:p w14:paraId="70E639C5" w14:textId="77777777" w:rsidR="004C6421" w:rsidRDefault="004C6421">
            <w:pPr>
              <w:rPr>
                <w:noProof/>
              </w:rPr>
            </w:pPr>
          </w:p>
        </w:tc>
      </w:tr>
      <w:tr w:rsidR="004C6421" w14:paraId="31E93423"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CA58FB9" w14:textId="77777777" w:rsidR="004C6421" w:rsidRDefault="009D1962">
            <w:pPr>
              <w:pStyle w:val="P68B1DB1-Normal8"/>
              <w:jc w:val="center"/>
              <w:rPr>
                <w:noProof/>
              </w:rPr>
            </w:pPr>
            <w:r>
              <w:rPr>
                <w:noProof/>
              </w:rPr>
              <w:t>M2C2-28</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6879DA6" w14:textId="77777777" w:rsidR="004C6421" w:rsidRDefault="009D1962">
            <w:pPr>
              <w:pStyle w:val="P68B1DB1-Normal8"/>
              <w:rPr>
                <w:noProof/>
              </w:rPr>
            </w:pPr>
            <w:r>
              <w:rPr>
                <w:noProof/>
              </w:rPr>
              <w:t>Inwestycja 4.3 Instalacja infrastruktury ładowania</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BB7C372" w14:textId="5F49AD64" w:rsidR="004C6421" w:rsidRDefault="00CC179E">
            <w:pPr>
              <w:pStyle w:val="P68B1DB1-Normal8"/>
              <w:rPr>
                <w:noProof/>
              </w:rPr>
            </w:pPr>
            <w:r>
              <w:rPr>
                <w:noProof/>
              </w:rPr>
              <w:t>Milowy</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3D1B399" w14:textId="77777777" w:rsidR="004C6421" w:rsidRDefault="009D1962">
            <w:pPr>
              <w:pStyle w:val="P68B1DB1-Normal8"/>
              <w:rPr>
                <w:noProof/>
              </w:rPr>
            </w:pPr>
            <w:r>
              <w:rPr>
                <w:noProof/>
              </w:rPr>
              <w:t>Udzielanie wszystkich zamówień publicznych na instalację infrastruktury ładowania M2</w:t>
            </w:r>
          </w:p>
        </w:tc>
        <w:tc>
          <w:tcPr>
            <w:tcW w:w="236" w:type="dxa"/>
            <w:tcBorders>
              <w:top w:val="nil"/>
              <w:left w:val="single" w:sz="8" w:space="0" w:color="auto"/>
              <w:bottom w:val="nil"/>
              <w:right w:val="nil"/>
            </w:tcBorders>
            <w:vAlign w:val="center"/>
          </w:tcPr>
          <w:p w14:paraId="6EE3BD7C" w14:textId="77777777" w:rsidR="004C6421" w:rsidRDefault="004C6421">
            <w:pPr>
              <w:rPr>
                <w:noProof/>
              </w:rPr>
            </w:pPr>
          </w:p>
        </w:tc>
      </w:tr>
      <w:tr w:rsidR="004C6421" w14:paraId="7D7CC7A4"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A81E061" w14:textId="77777777" w:rsidR="004C6421" w:rsidRDefault="009D1962">
            <w:pPr>
              <w:pStyle w:val="P68B1DB1-Normal8"/>
              <w:jc w:val="center"/>
              <w:rPr>
                <w:noProof/>
              </w:rPr>
            </w:pPr>
            <w:r>
              <w:rPr>
                <w:noProof/>
              </w:rPr>
              <w:t>M4C1-12</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389D5E2" w14:textId="77777777" w:rsidR="004C6421" w:rsidRDefault="009D1962">
            <w:pPr>
              <w:pStyle w:val="P68B1DB1-Normal8"/>
              <w:rPr>
                <w:noProof/>
              </w:rPr>
            </w:pPr>
            <w:r>
              <w:rPr>
                <w:noProof/>
              </w:rPr>
              <w:t>Inwestycja 4.1: Rozszerzenie liczby i możliwości kariery doktoranckich (nastawione na badania naukowe, administracja publiczna i dziedzictwo kulturowe)</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9DF277B" w14:textId="77777777" w:rsidR="004C6421" w:rsidRDefault="009D1962">
            <w:pPr>
              <w:pStyle w:val="P68B1DB1-Normal8"/>
              <w:rPr>
                <w:noProof/>
              </w:rPr>
            </w:pPr>
            <w:r>
              <w:rPr>
                <w:noProof/>
              </w:rPr>
              <w:t>Cel</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0FA4E23" w14:textId="77777777" w:rsidR="004C6421" w:rsidRDefault="009D1962">
            <w:pPr>
              <w:pStyle w:val="P68B1DB1-Normal8"/>
              <w:rPr>
                <w:noProof/>
              </w:rPr>
            </w:pPr>
            <w:r>
              <w:rPr>
                <w:noProof/>
              </w:rPr>
              <w:t>Stypendia doktoranckie przyznawane rocznie (ponad 3 lata)</w:t>
            </w:r>
          </w:p>
        </w:tc>
        <w:tc>
          <w:tcPr>
            <w:tcW w:w="236" w:type="dxa"/>
            <w:tcBorders>
              <w:top w:val="nil"/>
              <w:left w:val="single" w:sz="8" w:space="0" w:color="auto"/>
              <w:bottom w:val="nil"/>
              <w:right w:val="nil"/>
            </w:tcBorders>
            <w:vAlign w:val="center"/>
          </w:tcPr>
          <w:p w14:paraId="3D944DE3" w14:textId="77777777" w:rsidR="004C6421" w:rsidRDefault="004C6421">
            <w:pPr>
              <w:rPr>
                <w:noProof/>
              </w:rPr>
            </w:pPr>
          </w:p>
        </w:tc>
      </w:tr>
      <w:tr w:rsidR="004C6421" w14:paraId="6A2965F3"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703D80A" w14:textId="77777777" w:rsidR="004C6421" w:rsidRDefault="009D1962">
            <w:pPr>
              <w:pStyle w:val="P68B1DB1-Normal8"/>
              <w:jc w:val="center"/>
              <w:rPr>
                <w:noProof/>
              </w:rPr>
            </w:pPr>
            <w:r>
              <w:rPr>
                <w:noProof/>
              </w:rPr>
              <w:t>M4C1-14</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983BC0B" w14:textId="77777777" w:rsidR="004C6421" w:rsidRDefault="009D1962">
            <w:pPr>
              <w:pStyle w:val="P68B1DB1-Normal8"/>
              <w:rPr>
                <w:noProof/>
              </w:rPr>
            </w:pPr>
            <w:r>
              <w:rPr>
                <w:noProof/>
              </w:rPr>
              <w:t xml:space="preserve">Reforma 2.1: Rekrutacja nauczycieli </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DD1C59E" w14:textId="77777777" w:rsidR="004C6421" w:rsidRDefault="009D1962">
            <w:pPr>
              <w:pStyle w:val="P68B1DB1-Normal8"/>
              <w:rPr>
                <w:noProof/>
              </w:rPr>
            </w:pPr>
            <w:r>
              <w:rPr>
                <w:noProof/>
              </w:rPr>
              <w:t>Cel</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3970D26" w14:textId="77777777" w:rsidR="004C6421" w:rsidRDefault="009D1962">
            <w:pPr>
              <w:pStyle w:val="P68B1DB1-Normal8"/>
              <w:rPr>
                <w:noProof/>
              </w:rPr>
            </w:pPr>
            <w:r>
              <w:rPr>
                <w:noProof/>
              </w:rPr>
              <w:t>Nauczyciele zatrudnieni w ramach zreformowanego systemu rekrutacji</w:t>
            </w:r>
          </w:p>
        </w:tc>
        <w:tc>
          <w:tcPr>
            <w:tcW w:w="236" w:type="dxa"/>
            <w:tcBorders>
              <w:top w:val="nil"/>
              <w:left w:val="single" w:sz="8" w:space="0" w:color="auto"/>
              <w:bottom w:val="nil"/>
              <w:right w:val="nil"/>
            </w:tcBorders>
            <w:vAlign w:val="center"/>
          </w:tcPr>
          <w:p w14:paraId="44E040F9" w14:textId="77777777" w:rsidR="004C6421" w:rsidRDefault="004C6421">
            <w:pPr>
              <w:rPr>
                <w:noProof/>
              </w:rPr>
            </w:pPr>
          </w:p>
        </w:tc>
      </w:tr>
      <w:tr w:rsidR="004C6421" w14:paraId="1704A0B6"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138FEC8" w14:textId="77777777" w:rsidR="004C6421" w:rsidRDefault="009D1962">
            <w:pPr>
              <w:pStyle w:val="P68B1DB1-Normal8"/>
              <w:jc w:val="center"/>
              <w:rPr>
                <w:noProof/>
              </w:rPr>
            </w:pPr>
            <w:r>
              <w:rPr>
                <w:noProof/>
              </w:rPr>
              <w:t>M4C1-15</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29320E4" w14:textId="77777777" w:rsidR="004C6421" w:rsidRDefault="009D1962">
            <w:pPr>
              <w:pStyle w:val="P68B1DB1-Normal8"/>
              <w:rPr>
                <w:noProof/>
              </w:rPr>
            </w:pPr>
            <w:r>
              <w:rPr>
                <w:noProof/>
              </w:rPr>
              <w:t>Inwestycja 1.7: Stypendia na dostęp do uczelni</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1618353" w14:textId="77777777" w:rsidR="004C6421" w:rsidRDefault="009D1962">
            <w:pPr>
              <w:pStyle w:val="P68B1DB1-Normal8"/>
              <w:rPr>
                <w:noProof/>
              </w:rPr>
            </w:pPr>
            <w:r>
              <w:rPr>
                <w:noProof/>
              </w:rPr>
              <w:t>Cel</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4F7DF59" w14:textId="77777777" w:rsidR="004C6421" w:rsidRDefault="009D1962">
            <w:pPr>
              <w:pStyle w:val="P68B1DB1-Normal8"/>
              <w:rPr>
                <w:noProof/>
              </w:rPr>
            </w:pPr>
            <w:r>
              <w:rPr>
                <w:noProof/>
              </w:rPr>
              <w:t>Przyznane stypendia na dostęp do uczelni</w:t>
            </w:r>
          </w:p>
        </w:tc>
        <w:tc>
          <w:tcPr>
            <w:tcW w:w="236" w:type="dxa"/>
            <w:tcBorders>
              <w:top w:val="nil"/>
              <w:left w:val="single" w:sz="8" w:space="0" w:color="auto"/>
              <w:bottom w:val="nil"/>
              <w:right w:val="nil"/>
            </w:tcBorders>
            <w:vAlign w:val="center"/>
          </w:tcPr>
          <w:p w14:paraId="344004CB" w14:textId="77777777" w:rsidR="004C6421" w:rsidRDefault="004C6421">
            <w:pPr>
              <w:rPr>
                <w:noProof/>
              </w:rPr>
            </w:pPr>
          </w:p>
        </w:tc>
      </w:tr>
      <w:tr w:rsidR="004C6421" w14:paraId="1617D49E" w14:textId="77777777">
        <w:trPr>
          <w:trHeight w:val="114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7962C1A" w14:textId="77777777" w:rsidR="004C6421" w:rsidRDefault="009D1962">
            <w:pPr>
              <w:pStyle w:val="P68B1DB1-Normal8"/>
              <w:jc w:val="center"/>
              <w:rPr>
                <w:noProof/>
              </w:rPr>
            </w:pPr>
            <w:r>
              <w:rPr>
                <w:noProof/>
              </w:rPr>
              <w:t>M4C2-3</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726ADF2" w14:textId="77777777" w:rsidR="004C6421" w:rsidRDefault="009D1962">
            <w:pPr>
              <w:pStyle w:val="P68B1DB1-Normal8"/>
              <w:rPr>
                <w:noProof/>
              </w:rPr>
            </w:pPr>
            <w:r>
              <w:rPr>
                <w:noProof/>
              </w:rPr>
              <w:t>Inwestycja 3.3: Wprowadzenie innowacyjnych doktoratów odpowiadających potrzebom przedsiębiorstw w zakresie innowacji i wspierających zatrudnianie naukowców przez przedsiębiorstwa</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1EC0836" w14:textId="77777777" w:rsidR="004C6421" w:rsidRDefault="009D1962">
            <w:pPr>
              <w:pStyle w:val="P68B1DB1-Normal8"/>
              <w:rPr>
                <w:noProof/>
              </w:rPr>
            </w:pPr>
            <w:r>
              <w:rPr>
                <w:noProof/>
              </w:rPr>
              <w:t>Cel</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703DDA7" w14:textId="77777777" w:rsidR="004C6421" w:rsidRDefault="009D1962">
            <w:pPr>
              <w:pStyle w:val="P68B1DB1-Normal8"/>
              <w:rPr>
                <w:noProof/>
              </w:rPr>
            </w:pPr>
            <w:r>
              <w:rPr>
                <w:noProof/>
              </w:rPr>
              <w:t>Liczba innowacyjnych stypendiów doktoranckich</w:t>
            </w:r>
          </w:p>
        </w:tc>
        <w:tc>
          <w:tcPr>
            <w:tcW w:w="236" w:type="dxa"/>
            <w:tcBorders>
              <w:top w:val="nil"/>
              <w:left w:val="single" w:sz="8" w:space="0" w:color="auto"/>
              <w:bottom w:val="nil"/>
              <w:right w:val="nil"/>
            </w:tcBorders>
            <w:vAlign w:val="center"/>
          </w:tcPr>
          <w:p w14:paraId="7A5B27EE" w14:textId="77777777" w:rsidR="004C6421" w:rsidRDefault="004C6421">
            <w:pPr>
              <w:rPr>
                <w:noProof/>
              </w:rPr>
            </w:pPr>
          </w:p>
        </w:tc>
      </w:tr>
      <w:tr w:rsidR="004C6421" w14:paraId="269D307C"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B446E51" w14:textId="77777777" w:rsidR="004C6421" w:rsidRDefault="009D1962">
            <w:pPr>
              <w:pStyle w:val="P68B1DB1-Normal8"/>
              <w:jc w:val="center"/>
              <w:rPr>
                <w:noProof/>
              </w:rPr>
            </w:pPr>
            <w:r>
              <w:rPr>
                <w:noProof/>
              </w:rPr>
              <w:t>M5C1-15bis</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B48E6C0" w14:textId="77777777" w:rsidR="004C6421" w:rsidRDefault="009D1962">
            <w:pPr>
              <w:pStyle w:val="P68B1DB1-Normal8"/>
              <w:rPr>
                <w:noProof/>
              </w:rPr>
            </w:pPr>
            <w:r>
              <w:rPr>
                <w:noProof/>
              </w:rPr>
              <w:t>Inwestycje 4 – Powszechna Służba Cywilna</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6C93EF9" w14:textId="288DB6A9" w:rsidR="004C6421" w:rsidRDefault="00CC179E">
            <w:pPr>
              <w:pStyle w:val="P68B1DB1-Normal8"/>
              <w:rPr>
                <w:noProof/>
              </w:rPr>
            </w:pPr>
            <w:r>
              <w:rPr>
                <w:noProof/>
              </w:rPr>
              <w:t>Milowy</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181AD99" w14:textId="77777777" w:rsidR="004C6421" w:rsidRDefault="009D1962">
            <w:pPr>
              <w:pStyle w:val="P68B1DB1-Normal8"/>
              <w:rPr>
                <w:noProof/>
              </w:rPr>
            </w:pPr>
            <w:r>
              <w:rPr>
                <w:noProof/>
              </w:rPr>
              <w:t>Rewizja normatywna obecnego „Disposizioni concernenti la disciplina dei rapporti tra enti e operatori Volontari del servizio civile Universale”, przyjęta jako dpcm (decreto del Presidente del Consiglio dei ministri)</w:t>
            </w:r>
            <w:r>
              <w:rPr>
                <w:noProof/>
                <w:vertAlign w:val="superscript"/>
              </w:rPr>
              <w:t>w</w:t>
            </w:r>
            <w:r>
              <w:rPr>
                <w:noProof/>
              </w:rPr>
              <w:t xml:space="preserve"> dniu 14 stycznia 2019 r. w celu wzmocnienia powszechnej służby cywilnej </w:t>
            </w:r>
          </w:p>
        </w:tc>
        <w:tc>
          <w:tcPr>
            <w:tcW w:w="236" w:type="dxa"/>
            <w:tcBorders>
              <w:top w:val="nil"/>
              <w:left w:val="single" w:sz="8" w:space="0" w:color="auto"/>
              <w:bottom w:val="nil"/>
              <w:right w:val="nil"/>
            </w:tcBorders>
            <w:vAlign w:val="center"/>
          </w:tcPr>
          <w:p w14:paraId="46EDA9F0" w14:textId="77777777" w:rsidR="004C6421" w:rsidRDefault="004C6421">
            <w:pPr>
              <w:rPr>
                <w:noProof/>
              </w:rPr>
            </w:pPr>
          </w:p>
        </w:tc>
      </w:tr>
      <w:tr w:rsidR="004C6421" w14:paraId="4202C3B4"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759C5C8" w14:textId="77777777" w:rsidR="004C6421" w:rsidRDefault="009D1962">
            <w:pPr>
              <w:pStyle w:val="P68B1DB1-Normal8"/>
              <w:jc w:val="center"/>
              <w:rPr>
                <w:noProof/>
              </w:rPr>
            </w:pPr>
            <w:r>
              <w:rPr>
                <w:noProof/>
              </w:rPr>
              <w:t>M7-1</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A058776" w14:textId="77777777" w:rsidR="004C6421" w:rsidRDefault="009D1962">
            <w:pPr>
              <w:pStyle w:val="P68B1DB1-Normal8"/>
              <w:rPr>
                <w:noProof/>
              </w:rPr>
            </w:pPr>
            <w:r>
              <w:rPr>
                <w:noProof/>
              </w:rPr>
              <w:t>Reforma 1: Usprawnienie procedur wydawania pozwoleń na energię ze źródeł odnawialnych</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12A92CE" w14:textId="5FA5495C" w:rsidR="004C6421" w:rsidRDefault="00CC179E">
            <w:pPr>
              <w:pStyle w:val="P68B1DB1-Normal8"/>
              <w:rPr>
                <w:noProof/>
              </w:rPr>
            </w:pPr>
            <w:r>
              <w:rPr>
                <w:noProof/>
              </w:rPr>
              <w:t>Milowy</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94ED9FA" w14:textId="77777777" w:rsidR="004C6421" w:rsidRDefault="009D1962">
            <w:pPr>
              <w:pStyle w:val="P68B1DB1-Normal8"/>
              <w:rPr>
                <w:noProof/>
              </w:rPr>
            </w:pPr>
            <w:r>
              <w:rPr>
                <w:noProof/>
              </w:rPr>
              <w:t>Określenie „obszarów przyspieszenia energii ze źródeł odnawialnych”</w:t>
            </w:r>
          </w:p>
        </w:tc>
        <w:tc>
          <w:tcPr>
            <w:tcW w:w="236" w:type="dxa"/>
            <w:tcBorders>
              <w:top w:val="nil"/>
              <w:left w:val="single" w:sz="8" w:space="0" w:color="auto"/>
              <w:bottom w:val="nil"/>
              <w:right w:val="nil"/>
            </w:tcBorders>
            <w:vAlign w:val="center"/>
          </w:tcPr>
          <w:p w14:paraId="110D304D" w14:textId="77777777" w:rsidR="004C6421" w:rsidRDefault="004C6421">
            <w:pPr>
              <w:rPr>
                <w:noProof/>
              </w:rPr>
            </w:pPr>
          </w:p>
        </w:tc>
      </w:tr>
      <w:tr w:rsidR="004C6421" w14:paraId="5D6DF6D4"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F1AA009" w14:textId="77777777" w:rsidR="004C6421" w:rsidRDefault="009D1962">
            <w:pPr>
              <w:pStyle w:val="P68B1DB1-Normal8"/>
              <w:jc w:val="center"/>
              <w:rPr>
                <w:noProof/>
              </w:rPr>
            </w:pPr>
            <w:r>
              <w:rPr>
                <w:noProof/>
              </w:rPr>
              <w:t>M7-4</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B7A7CB2" w14:textId="77777777" w:rsidR="004C6421" w:rsidRDefault="009D1962">
            <w:pPr>
              <w:pStyle w:val="P68B1DB1-Normal8"/>
              <w:rPr>
                <w:noProof/>
              </w:rPr>
            </w:pPr>
            <w:r>
              <w:rPr>
                <w:noProof/>
              </w:rPr>
              <w:t>Reforma nr 2: Zmniejszenie dotacji szkodliwych dla środowiska</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50E8337" w14:textId="62FC31B3" w:rsidR="004C6421" w:rsidRDefault="00CC179E">
            <w:pPr>
              <w:pStyle w:val="P68B1DB1-Normal8"/>
              <w:rPr>
                <w:noProof/>
              </w:rPr>
            </w:pPr>
            <w:r>
              <w:rPr>
                <w:noProof/>
              </w:rPr>
              <w:t>Milowy</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8CCCAEA" w14:textId="77777777" w:rsidR="004C6421" w:rsidRDefault="009D1962">
            <w:pPr>
              <w:pStyle w:val="P68B1DB1-Normal8"/>
              <w:rPr>
                <w:noProof/>
              </w:rPr>
            </w:pPr>
            <w:r>
              <w:rPr>
                <w:noProof/>
              </w:rPr>
              <w:t>Przyjęcie sprawozdania rządowego w oparciu o wyniki konsultacji rządowych z zainteresowanymi stronami w celu określenia planu działania na rzecz ograniczenia dotacji szkodliwych dla środowiska do 2030 r.</w:t>
            </w:r>
          </w:p>
        </w:tc>
        <w:tc>
          <w:tcPr>
            <w:tcW w:w="236" w:type="dxa"/>
            <w:tcBorders>
              <w:top w:val="nil"/>
              <w:left w:val="single" w:sz="8" w:space="0" w:color="auto"/>
              <w:bottom w:val="nil"/>
              <w:right w:val="nil"/>
            </w:tcBorders>
            <w:vAlign w:val="center"/>
          </w:tcPr>
          <w:p w14:paraId="63916F76" w14:textId="77777777" w:rsidR="004C6421" w:rsidRDefault="004C6421">
            <w:pPr>
              <w:rPr>
                <w:noProof/>
              </w:rPr>
            </w:pPr>
          </w:p>
        </w:tc>
      </w:tr>
      <w:tr w:rsidR="004C6421" w14:paraId="7A7144D5"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EA3119C" w14:textId="77777777" w:rsidR="004C6421" w:rsidRDefault="009D1962">
            <w:pPr>
              <w:pStyle w:val="P68B1DB1-Normal8"/>
              <w:jc w:val="center"/>
              <w:rPr>
                <w:noProof/>
              </w:rPr>
            </w:pPr>
            <w:r>
              <w:rPr>
                <w:noProof/>
              </w:rPr>
              <w:t>M7-8</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0E76B69" w14:textId="77777777" w:rsidR="004C6421" w:rsidRDefault="009D1962">
            <w:pPr>
              <w:pStyle w:val="P68B1DB1-Normal8"/>
              <w:rPr>
                <w:noProof/>
              </w:rPr>
            </w:pPr>
            <w:r>
              <w:rPr>
                <w:noProof/>
              </w:rPr>
              <w:t>Reforma 4: Ograniczenie ryzyka finansowego związanego z odnawialnymi umowami zakupu energii elektrycznej (umowy zakupu energii elektrycznej)</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910578A" w14:textId="000B93B9" w:rsidR="004C6421" w:rsidRDefault="00CC179E">
            <w:pPr>
              <w:pStyle w:val="P68B1DB1-Normal8"/>
              <w:rPr>
                <w:noProof/>
              </w:rPr>
            </w:pPr>
            <w:r>
              <w:rPr>
                <w:noProof/>
              </w:rPr>
              <w:t>Milowy</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2FB0C0B" w14:textId="77777777" w:rsidR="004C6421" w:rsidRDefault="009D1962">
            <w:pPr>
              <w:pStyle w:val="P68B1DB1-Normal8"/>
              <w:rPr>
                <w:noProof/>
              </w:rPr>
            </w:pPr>
            <w:r>
              <w:rPr>
                <w:noProof/>
              </w:rPr>
              <w:t>Wejście w życie prawa wtórnego</w:t>
            </w:r>
          </w:p>
        </w:tc>
        <w:tc>
          <w:tcPr>
            <w:tcW w:w="236" w:type="dxa"/>
            <w:tcBorders>
              <w:top w:val="nil"/>
              <w:left w:val="single" w:sz="8" w:space="0" w:color="auto"/>
              <w:bottom w:val="nil"/>
              <w:right w:val="nil"/>
            </w:tcBorders>
            <w:vAlign w:val="center"/>
          </w:tcPr>
          <w:p w14:paraId="3409E3B4" w14:textId="77777777" w:rsidR="004C6421" w:rsidRDefault="004C6421">
            <w:pPr>
              <w:rPr>
                <w:noProof/>
              </w:rPr>
            </w:pPr>
          </w:p>
        </w:tc>
      </w:tr>
      <w:tr w:rsidR="004C6421" w14:paraId="3145DBA0"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66A946A" w14:textId="77777777" w:rsidR="004C6421" w:rsidRDefault="009D1962">
            <w:pPr>
              <w:pStyle w:val="P68B1DB1-Normal8"/>
              <w:jc w:val="center"/>
              <w:rPr>
                <w:noProof/>
              </w:rPr>
            </w:pPr>
            <w:r>
              <w:rPr>
                <w:noProof/>
              </w:rPr>
              <w:t>M7-16</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1CC9C39" w14:textId="77777777" w:rsidR="004C6421" w:rsidRDefault="009D1962">
            <w:pPr>
              <w:pStyle w:val="P68B1DB1-Normal8"/>
              <w:rPr>
                <w:noProof/>
              </w:rPr>
            </w:pPr>
            <w:r>
              <w:rPr>
                <w:noProof/>
              </w:rPr>
              <w:t>Inwestycja 5: SA.CO.I.3</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191F7E5" w14:textId="572EBEB4" w:rsidR="004C6421" w:rsidRDefault="00CC179E">
            <w:pPr>
              <w:pStyle w:val="P68B1DB1-Normal8"/>
              <w:rPr>
                <w:noProof/>
              </w:rPr>
            </w:pPr>
            <w:r>
              <w:rPr>
                <w:noProof/>
              </w:rPr>
              <w:t>Milowy</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7DFE715" w14:textId="77777777" w:rsidR="004C6421" w:rsidRDefault="009D1962">
            <w:pPr>
              <w:pStyle w:val="P68B1DB1-Normal8"/>
              <w:rPr>
                <w:noProof/>
              </w:rPr>
            </w:pPr>
            <w:r>
              <w:rPr>
                <w:noProof/>
              </w:rPr>
              <w:t>Udzielenie zamówień</w:t>
            </w:r>
          </w:p>
        </w:tc>
        <w:tc>
          <w:tcPr>
            <w:tcW w:w="236" w:type="dxa"/>
            <w:tcBorders>
              <w:top w:val="nil"/>
              <w:left w:val="single" w:sz="8" w:space="0" w:color="auto"/>
              <w:bottom w:val="nil"/>
              <w:right w:val="nil"/>
            </w:tcBorders>
            <w:vAlign w:val="center"/>
          </w:tcPr>
          <w:p w14:paraId="03B0D0C6" w14:textId="77777777" w:rsidR="004C6421" w:rsidRDefault="004C6421">
            <w:pPr>
              <w:rPr>
                <w:noProof/>
              </w:rPr>
            </w:pPr>
          </w:p>
        </w:tc>
      </w:tr>
      <w:tr w:rsidR="004C6421" w14:paraId="21CDC0A1"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0075C98" w14:textId="77777777" w:rsidR="004C6421" w:rsidRDefault="009D1962">
            <w:pPr>
              <w:pStyle w:val="P68B1DB1-Normal8"/>
              <w:jc w:val="center"/>
              <w:rPr>
                <w:noProof/>
              </w:rPr>
            </w:pPr>
            <w:r>
              <w:rPr>
                <w:noProof/>
              </w:rPr>
              <w:t>M4C1-10 bis</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5781A66" w14:textId="77777777" w:rsidR="004C6421" w:rsidRDefault="009D1962">
            <w:pPr>
              <w:pStyle w:val="P68B1DB1-Normal8"/>
              <w:rPr>
                <w:noProof/>
              </w:rPr>
            </w:pPr>
            <w:r>
              <w:rPr>
                <w:noProof/>
              </w:rPr>
              <w:t>Reforma 1.1: Reforma instytutów technicznych i zawodowych</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B99731A" w14:textId="3756D676" w:rsidR="004C6421" w:rsidRDefault="00CC179E">
            <w:pPr>
              <w:pStyle w:val="P68B1DB1-Normal8"/>
              <w:rPr>
                <w:noProof/>
              </w:rPr>
            </w:pPr>
            <w:r>
              <w:rPr>
                <w:noProof/>
              </w:rPr>
              <w:t>Milowy</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8E18131" w14:textId="77777777" w:rsidR="004C6421" w:rsidRDefault="009D1962">
            <w:pPr>
              <w:pStyle w:val="P68B1DB1-Normal8"/>
              <w:rPr>
                <w:noProof/>
              </w:rPr>
            </w:pPr>
            <w:r>
              <w:rPr>
                <w:noProof/>
              </w:rPr>
              <w:t>Wejście w życie prawa wtórnego.</w:t>
            </w:r>
          </w:p>
        </w:tc>
        <w:tc>
          <w:tcPr>
            <w:tcW w:w="236" w:type="dxa"/>
            <w:tcBorders>
              <w:top w:val="nil"/>
              <w:left w:val="single" w:sz="8" w:space="0" w:color="auto"/>
              <w:bottom w:val="nil"/>
              <w:right w:val="nil"/>
            </w:tcBorders>
            <w:vAlign w:val="center"/>
          </w:tcPr>
          <w:p w14:paraId="4E25F8FC" w14:textId="77777777" w:rsidR="004C6421" w:rsidRDefault="004C6421">
            <w:pPr>
              <w:rPr>
                <w:noProof/>
              </w:rPr>
            </w:pPr>
          </w:p>
        </w:tc>
      </w:tr>
      <w:tr w:rsidR="004C6421" w14:paraId="5E2E1649"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6D63953C" w14:textId="77777777" w:rsidR="004C6421" w:rsidRDefault="009D1962">
            <w:pPr>
              <w:pStyle w:val="P68B1DB1-Normal8"/>
              <w:jc w:val="center"/>
              <w:rPr>
                <w:noProof/>
              </w:rPr>
            </w:pPr>
            <w:r>
              <w:rPr>
                <w:noProof/>
              </w:rPr>
              <w:t xml:space="preserve"> </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20611A35" w14:textId="77777777" w:rsidR="004C6421" w:rsidRDefault="009D1962">
            <w:pPr>
              <w:pStyle w:val="P68B1DB1-Normal8"/>
              <w:rPr>
                <w:noProof/>
              </w:rPr>
            </w:pPr>
            <w:r>
              <w:rPr>
                <w:noProof/>
              </w:rPr>
              <w:t xml:space="preserve"> </w:t>
            </w:r>
          </w:p>
        </w:tc>
        <w:tc>
          <w:tcPr>
            <w:tcW w:w="127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48371D06" w14:textId="77777777" w:rsidR="004C6421" w:rsidRDefault="009D1962">
            <w:pPr>
              <w:pStyle w:val="P68B1DB1-Normal8"/>
              <w:rPr>
                <w:noProof/>
              </w:rPr>
            </w:pPr>
            <w:r>
              <w:rPr>
                <w:noProof/>
              </w:rPr>
              <w:t>Kwota transzy</w:t>
            </w:r>
          </w:p>
        </w:tc>
        <w:tc>
          <w:tcPr>
            <w:tcW w:w="310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05614ABF" w14:textId="0DB4D68E" w:rsidR="004C6421" w:rsidRDefault="009D1962">
            <w:pPr>
              <w:rPr>
                <w:noProof/>
              </w:rPr>
            </w:pPr>
            <w:r>
              <w:rPr>
                <w:noProof/>
                <w:color w:val="006100"/>
                <w:sz w:val="20"/>
              </w:rPr>
              <w:t>5294563760 EUR</w:t>
            </w:r>
            <w:r>
              <w:rPr>
                <w:noProof/>
                <w:sz w:val="23"/>
              </w:rPr>
              <w:t xml:space="preserve">  </w:t>
            </w:r>
          </w:p>
        </w:tc>
        <w:tc>
          <w:tcPr>
            <w:tcW w:w="236" w:type="dxa"/>
            <w:tcBorders>
              <w:top w:val="nil"/>
              <w:left w:val="single" w:sz="8" w:space="0" w:color="auto"/>
              <w:bottom w:val="nil"/>
              <w:right w:val="nil"/>
            </w:tcBorders>
            <w:vAlign w:val="center"/>
          </w:tcPr>
          <w:p w14:paraId="007D3385" w14:textId="77777777" w:rsidR="004C6421" w:rsidRDefault="004C6421">
            <w:pPr>
              <w:rPr>
                <w:noProof/>
              </w:rPr>
            </w:pPr>
          </w:p>
        </w:tc>
      </w:tr>
    </w:tbl>
    <w:p w14:paraId="6E984405" w14:textId="77777777" w:rsidR="004C6421" w:rsidRDefault="004C6421">
      <w:pPr>
        <w:pStyle w:val="ListParagraph"/>
        <w:spacing w:before="0" w:after="0" w:line="279" w:lineRule="auto"/>
        <w:ind w:left="850"/>
        <w:rPr>
          <w:noProof/>
        </w:rPr>
      </w:pPr>
    </w:p>
    <w:p w14:paraId="2919C55D" w14:textId="6D97AB6C" w:rsidR="004C6421" w:rsidRDefault="009D1962">
      <w:pPr>
        <w:pStyle w:val="ListParagraph"/>
        <w:numPr>
          <w:ilvl w:val="1"/>
          <w:numId w:val="145"/>
        </w:numPr>
        <w:spacing w:before="0" w:after="0" w:line="279" w:lineRule="auto"/>
        <w:ind w:left="850" w:hanging="850"/>
        <w:rPr>
          <w:noProof/>
        </w:rPr>
      </w:pPr>
      <w:r>
        <w:rPr>
          <w:noProof/>
        </w:rPr>
        <w:t>Ósma rata (wsparcie bezzwrotne):</w:t>
      </w:r>
    </w:p>
    <w:tbl>
      <w:tblPr>
        <w:tblW w:w="9593" w:type="dxa"/>
        <w:tblInd w:w="120" w:type="dxa"/>
        <w:tblLayout w:type="fixed"/>
        <w:tblLook w:val="04A0" w:firstRow="1" w:lastRow="0" w:firstColumn="1" w:lastColumn="0" w:noHBand="0" w:noVBand="1"/>
      </w:tblPr>
      <w:tblGrid>
        <w:gridCol w:w="1435"/>
        <w:gridCol w:w="3543"/>
        <w:gridCol w:w="1277"/>
        <w:gridCol w:w="3102"/>
        <w:gridCol w:w="236"/>
      </w:tblGrid>
      <w:tr w:rsidR="004C6421" w14:paraId="13CE4FBD" w14:textId="77777777">
        <w:trPr>
          <w:trHeight w:val="900"/>
          <w:tblHeader/>
        </w:trPr>
        <w:tc>
          <w:tcPr>
            <w:tcW w:w="1435"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5CB553BB" w14:textId="77777777" w:rsidR="004C6421" w:rsidRDefault="009D1962">
            <w:pPr>
              <w:pStyle w:val="P68B1DB1-Normal36"/>
              <w:jc w:val="center"/>
              <w:rPr>
                <w:noProof/>
              </w:rPr>
            </w:pPr>
            <w:r>
              <w:rPr>
                <w:noProof/>
              </w:rPr>
              <w:t>Numer porządkowy</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335A09B2" w14:textId="77777777" w:rsidR="004C6421" w:rsidRDefault="009D1962">
            <w:pPr>
              <w:pStyle w:val="P68B1DB1-Normal36"/>
              <w:jc w:val="center"/>
              <w:rPr>
                <w:noProof/>
              </w:rPr>
            </w:pPr>
            <w:r>
              <w:rPr>
                <w:noProof/>
              </w:rPr>
              <w:t>Powiązane działanie (reforma lub inwestycja)</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2032C68F" w14:textId="77777777" w:rsidR="004C6421" w:rsidRDefault="009D1962">
            <w:pPr>
              <w:pStyle w:val="P68B1DB1-Normal36"/>
              <w:jc w:val="center"/>
              <w:rPr>
                <w:noProof/>
              </w:rPr>
            </w:pPr>
            <w:r>
              <w:rPr>
                <w:noProof/>
              </w:rPr>
              <w:t>Kamień milowy/wartość docelowa</w:t>
            </w:r>
          </w:p>
        </w:tc>
        <w:tc>
          <w:tcPr>
            <w:tcW w:w="3102"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56F82E12" w14:textId="77777777" w:rsidR="004C6421" w:rsidRDefault="009D1962">
            <w:pPr>
              <w:pStyle w:val="P68B1DB1-Normal36"/>
              <w:jc w:val="center"/>
              <w:rPr>
                <w:noProof/>
              </w:rPr>
            </w:pPr>
            <w:r>
              <w:rPr>
                <w:noProof/>
              </w:rPr>
              <w:t>Nazwa</w:t>
            </w:r>
          </w:p>
        </w:tc>
        <w:tc>
          <w:tcPr>
            <w:tcW w:w="236" w:type="dxa"/>
            <w:tcBorders>
              <w:top w:val="nil"/>
              <w:left w:val="single" w:sz="4" w:space="0" w:color="auto"/>
              <w:bottom w:val="nil"/>
              <w:right w:val="nil"/>
            </w:tcBorders>
            <w:vAlign w:val="center"/>
          </w:tcPr>
          <w:p w14:paraId="0A0C4561" w14:textId="77777777" w:rsidR="004C6421" w:rsidRDefault="004C6421">
            <w:pPr>
              <w:rPr>
                <w:noProof/>
              </w:rPr>
            </w:pPr>
          </w:p>
        </w:tc>
      </w:tr>
      <w:tr w:rsidR="004C6421" w14:paraId="69609349" w14:textId="77777777">
        <w:trPr>
          <w:trHeight w:val="510"/>
        </w:trPr>
        <w:tc>
          <w:tcPr>
            <w:tcW w:w="1435" w:type="dxa"/>
            <w:vMerge/>
            <w:tcBorders>
              <w:top w:val="single" w:sz="4" w:space="0" w:color="auto"/>
              <w:left w:val="single" w:sz="4" w:space="0" w:color="auto"/>
              <w:bottom w:val="single" w:sz="4" w:space="0" w:color="auto"/>
              <w:right w:val="single" w:sz="4" w:space="0" w:color="auto"/>
            </w:tcBorders>
            <w:vAlign w:val="center"/>
          </w:tcPr>
          <w:p w14:paraId="6CD5D3A8" w14:textId="77777777" w:rsidR="004C6421" w:rsidRDefault="004C6421">
            <w:pPr>
              <w:rPr>
                <w:noProof/>
              </w:rPr>
            </w:pPr>
          </w:p>
        </w:tc>
        <w:tc>
          <w:tcPr>
            <w:tcW w:w="3543" w:type="dxa"/>
            <w:vMerge/>
            <w:tcBorders>
              <w:top w:val="single" w:sz="4" w:space="0" w:color="auto"/>
              <w:left w:val="single" w:sz="4" w:space="0" w:color="auto"/>
              <w:bottom w:val="single" w:sz="4" w:space="0" w:color="auto"/>
              <w:right w:val="single" w:sz="4" w:space="0" w:color="auto"/>
            </w:tcBorders>
            <w:vAlign w:val="center"/>
          </w:tcPr>
          <w:p w14:paraId="6225D79B" w14:textId="77777777" w:rsidR="004C6421" w:rsidRDefault="004C6421">
            <w:pPr>
              <w:rPr>
                <w:noProof/>
              </w:rPr>
            </w:pPr>
          </w:p>
        </w:tc>
        <w:tc>
          <w:tcPr>
            <w:tcW w:w="1277" w:type="dxa"/>
            <w:vMerge/>
            <w:tcBorders>
              <w:top w:val="single" w:sz="4" w:space="0" w:color="auto"/>
              <w:left w:val="single" w:sz="4" w:space="0" w:color="auto"/>
              <w:bottom w:val="single" w:sz="4" w:space="0" w:color="auto"/>
              <w:right w:val="single" w:sz="4" w:space="0" w:color="auto"/>
            </w:tcBorders>
            <w:vAlign w:val="center"/>
          </w:tcPr>
          <w:p w14:paraId="60CD2DA6" w14:textId="77777777" w:rsidR="004C6421" w:rsidRDefault="004C6421">
            <w:pPr>
              <w:rPr>
                <w:noProof/>
              </w:rPr>
            </w:pPr>
          </w:p>
        </w:tc>
        <w:tc>
          <w:tcPr>
            <w:tcW w:w="3102" w:type="dxa"/>
            <w:vMerge/>
            <w:tcBorders>
              <w:top w:val="single" w:sz="4" w:space="0" w:color="auto"/>
              <w:left w:val="single" w:sz="4" w:space="0" w:color="auto"/>
              <w:bottom w:val="single" w:sz="4" w:space="0" w:color="auto"/>
              <w:right w:val="single" w:sz="4" w:space="0" w:color="auto"/>
            </w:tcBorders>
            <w:vAlign w:val="center"/>
          </w:tcPr>
          <w:p w14:paraId="3A5D1910" w14:textId="77777777" w:rsidR="004C6421" w:rsidRDefault="004C6421">
            <w:pPr>
              <w:rPr>
                <w:noProof/>
              </w:rPr>
            </w:pPr>
          </w:p>
        </w:tc>
        <w:tc>
          <w:tcPr>
            <w:tcW w:w="236" w:type="dxa"/>
            <w:tcBorders>
              <w:top w:val="nil"/>
              <w:left w:val="single" w:sz="4" w:space="0" w:color="auto"/>
              <w:bottom w:val="nil"/>
              <w:right w:val="nil"/>
            </w:tcBorders>
            <w:vAlign w:val="center"/>
          </w:tcPr>
          <w:p w14:paraId="209759E6" w14:textId="77777777" w:rsidR="004C6421" w:rsidRDefault="004C6421">
            <w:pPr>
              <w:rPr>
                <w:noProof/>
              </w:rPr>
            </w:pPr>
          </w:p>
        </w:tc>
      </w:tr>
      <w:tr w:rsidR="004C6421" w14:paraId="5242F0B9" w14:textId="77777777">
        <w:trPr>
          <w:trHeight w:val="300"/>
        </w:trPr>
        <w:tc>
          <w:tcPr>
            <w:tcW w:w="1435"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8FF4358" w14:textId="77777777" w:rsidR="004C6421" w:rsidRDefault="009D1962">
            <w:pPr>
              <w:pStyle w:val="P68B1DB1-Normal8"/>
              <w:jc w:val="center"/>
              <w:rPr>
                <w:noProof/>
              </w:rPr>
            </w:pPr>
            <w:r>
              <w:rPr>
                <w:noProof/>
              </w:rPr>
              <w:t>M1C1-23</w:t>
            </w:r>
          </w:p>
        </w:tc>
        <w:tc>
          <w:tcPr>
            <w:tcW w:w="3543"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3C7490E" w14:textId="77777777" w:rsidR="004C6421" w:rsidRDefault="009D1962">
            <w:pPr>
              <w:pStyle w:val="P68B1DB1-Normal8"/>
              <w:rPr>
                <w:noProof/>
              </w:rPr>
            </w:pPr>
            <w:r>
              <w:rPr>
                <w:noProof/>
              </w:rPr>
              <w:t>Inwestycje 1.4.6: Mobilność jako usługa dla Włoch</w:t>
            </w:r>
          </w:p>
        </w:tc>
        <w:tc>
          <w:tcPr>
            <w:tcW w:w="1277"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F4A7FDD" w14:textId="196E3088" w:rsidR="004C6421" w:rsidRDefault="00CC179E">
            <w:pPr>
              <w:pStyle w:val="P68B1DB1-Normal8"/>
              <w:jc w:val="center"/>
              <w:rPr>
                <w:noProof/>
              </w:rPr>
            </w:pPr>
            <w:r>
              <w:rPr>
                <w:noProof/>
              </w:rPr>
              <w:t>Milowy</w:t>
            </w:r>
          </w:p>
        </w:tc>
        <w:tc>
          <w:tcPr>
            <w:tcW w:w="3102"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818430F" w14:textId="77777777" w:rsidR="004C6421" w:rsidRDefault="009D1962">
            <w:pPr>
              <w:pStyle w:val="P68B1DB1-Normal8"/>
              <w:rPr>
                <w:noProof/>
              </w:rPr>
            </w:pPr>
            <w:r>
              <w:rPr>
                <w:noProof/>
              </w:rPr>
              <w:t>Mobilność jako rozwiązania usługowe M2</w:t>
            </w:r>
          </w:p>
        </w:tc>
        <w:tc>
          <w:tcPr>
            <w:tcW w:w="236" w:type="dxa"/>
            <w:tcBorders>
              <w:top w:val="nil"/>
              <w:left w:val="single" w:sz="8" w:space="0" w:color="auto"/>
              <w:bottom w:val="nil"/>
              <w:right w:val="nil"/>
            </w:tcBorders>
            <w:vAlign w:val="center"/>
          </w:tcPr>
          <w:p w14:paraId="05D1875F" w14:textId="77777777" w:rsidR="004C6421" w:rsidRDefault="004C6421">
            <w:pPr>
              <w:rPr>
                <w:noProof/>
              </w:rPr>
            </w:pPr>
          </w:p>
        </w:tc>
      </w:tr>
      <w:tr w:rsidR="004C6421" w14:paraId="43A145CB"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D19BF4C" w14:textId="77777777" w:rsidR="004C6421" w:rsidRDefault="009D1962">
            <w:pPr>
              <w:pStyle w:val="P68B1DB1-Normal8"/>
              <w:jc w:val="center"/>
              <w:rPr>
                <w:noProof/>
              </w:rPr>
            </w:pPr>
            <w:r>
              <w:rPr>
                <w:noProof/>
              </w:rPr>
              <w:t>M1C1-76</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FCCBB80" w14:textId="77777777" w:rsidR="004C6421" w:rsidRDefault="009D1962">
            <w:pPr>
              <w:pStyle w:val="P68B1DB1-Normal8"/>
              <w:rPr>
                <w:noProof/>
              </w:rPr>
            </w:pPr>
            <w:r>
              <w:rPr>
                <w:noProof/>
              </w:rPr>
              <w:t>Reforma 1.11: Zmniejszenie opóźnień w płatnościach dokonywanych przez organy administracji publicznej i służby zdrowia</w:t>
            </w:r>
          </w:p>
        </w:tc>
        <w:tc>
          <w:tcPr>
            <w:tcW w:w="1277"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C41DEC3" w14:textId="77777777" w:rsidR="004C6421" w:rsidRDefault="009D1962">
            <w:pPr>
              <w:pStyle w:val="P68B1DB1-Normal8"/>
              <w:jc w:val="center"/>
              <w:rPr>
                <w:noProof/>
              </w:rPr>
            </w:pPr>
            <w:r>
              <w:rPr>
                <w:noProof/>
              </w:rPr>
              <w:t>Cel</w:t>
            </w:r>
          </w:p>
        </w:tc>
        <w:tc>
          <w:tcPr>
            <w:tcW w:w="310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60BC0B2" w14:textId="77777777" w:rsidR="004C6421" w:rsidRDefault="009D1962">
            <w:pPr>
              <w:pStyle w:val="P68B1DB1-Normal8"/>
              <w:rPr>
                <w:noProof/>
              </w:rPr>
            </w:pPr>
            <w:r>
              <w:rPr>
                <w:noProof/>
              </w:rPr>
              <w:t>Średnia liczba dni, w których centralne organy administracji publicznej mogą płacić przedsiębiorstwom, została zmniejszona</w:t>
            </w:r>
          </w:p>
        </w:tc>
        <w:tc>
          <w:tcPr>
            <w:tcW w:w="236" w:type="dxa"/>
            <w:tcBorders>
              <w:top w:val="nil"/>
              <w:left w:val="single" w:sz="8" w:space="0" w:color="auto"/>
              <w:bottom w:val="nil"/>
              <w:right w:val="nil"/>
            </w:tcBorders>
            <w:vAlign w:val="center"/>
          </w:tcPr>
          <w:p w14:paraId="4BEC4F0B" w14:textId="77777777" w:rsidR="004C6421" w:rsidRDefault="004C6421">
            <w:pPr>
              <w:rPr>
                <w:noProof/>
              </w:rPr>
            </w:pPr>
          </w:p>
        </w:tc>
      </w:tr>
      <w:tr w:rsidR="004C6421" w14:paraId="548EC639"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CFF4CB2" w14:textId="77777777" w:rsidR="004C6421" w:rsidRDefault="009D1962">
            <w:pPr>
              <w:pStyle w:val="P68B1DB1-Normal8"/>
              <w:jc w:val="center"/>
              <w:rPr>
                <w:noProof/>
              </w:rPr>
            </w:pPr>
            <w:r>
              <w:rPr>
                <w:noProof/>
              </w:rPr>
              <w:t>M1C1-77</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92E1B3D" w14:textId="77777777" w:rsidR="004C6421" w:rsidRDefault="009D1962">
            <w:pPr>
              <w:pStyle w:val="P68B1DB1-Normal8"/>
              <w:rPr>
                <w:noProof/>
              </w:rPr>
            </w:pPr>
            <w:r>
              <w:rPr>
                <w:noProof/>
              </w:rPr>
              <w:t>Reforma 1.11: Zmniejszenie opóźnień w płatnościach dokonywanych przez organy administracji publicznej i służby zdrowia</w:t>
            </w:r>
          </w:p>
        </w:tc>
        <w:tc>
          <w:tcPr>
            <w:tcW w:w="1277"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8D7AD14" w14:textId="77777777" w:rsidR="004C6421" w:rsidRDefault="009D1962">
            <w:pPr>
              <w:pStyle w:val="P68B1DB1-Normal8"/>
              <w:jc w:val="center"/>
              <w:rPr>
                <w:noProof/>
              </w:rPr>
            </w:pPr>
            <w:r>
              <w:rPr>
                <w:noProof/>
              </w:rPr>
              <w:t>Cel</w:t>
            </w:r>
          </w:p>
        </w:tc>
        <w:tc>
          <w:tcPr>
            <w:tcW w:w="310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517C1C5" w14:textId="77777777" w:rsidR="004C6421" w:rsidRDefault="009D1962">
            <w:pPr>
              <w:pStyle w:val="P68B1DB1-Normal8"/>
              <w:rPr>
                <w:noProof/>
              </w:rPr>
            </w:pPr>
            <w:r>
              <w:rPr>
                <w:noProof/>
              </w:rPr>
              <w:t>Średnia liczba dni, w których regionalne organy administracji publicznej mogą płacić przedsiębiorstwom, została zmniejszona</w:t>
            </w:r>
          </w:p>
        </w:tc>
        <w:tc>
          <w:tcPr>
            <w:tcW w:w="236" w:type="dxa"/>
            <w:tcBorders>
              <w:top w:val="nil"/>
              <w:left w:val="single" w:sz="8" w:space="0" w:color="auto"/>
              <w:bottom w:val="nil"/>
              <w:right w:val="nil"/>
            </w:tcBorders>
            <w:vAlign w:val="center"/>
          </w:tcPr>
          <w:p w14:paraId="4B714C73" w14:textId="77777777" w:rsidR="004C6421" w:rsidRDefault="004C6421">
            <w:pPr>
              <w:rPr>
                <w:noProof/>
              </w:rPr>
            </w:pPr>
          </w:p>
        </w:tc>
      </w:tr>
      <w:tr w:rsidR="004C6421" w14:paraId="44732B27"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4574882" w14:textId="77777777" w:rsidR="004C6421" w:rsidRDefault="009D1962">
            <w:pPr>
              <w:pStyle w:val="P68B1DB1-Normal8"/>
              <w:jc w:val="center"/>
              <w:rPr>
                <w:noProof/>
              </w:rPr>
            </w:pPr>
            <w:r>
              <w:rPr>
                <w:noProof/>
              </w:rPr>
              <w:t>M1C1-78</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38567DD" w14:textId="77777777" w:rsidR="004C6421" w:rsidRDefault="009D1962">
            <w:pPr>
              <w:pStyle w:val="P68B1DB1-Normal8"/>
              <w:rPr>
                <w:noProof/>
              </w:rPr>
            </w:pPr>
            <w:r>
              <w:rPr>
                <w:noProof/>
              </w:rPr>
              <w:t>Reforma 1.11: Zmniejszenie opóźnień w płatnościach dokonywanych przez organy administracji publicznej i służby zdrowia</w:t>
            </w:r>
          </w:p>
        </w:tc>
        <w:tc>
          <w:tcPr>
            <w:tcW w:w="1277"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FEE4B72" w14:textId="77777777" w:rsidR="004C6421" w:rsidRDefault="009D1962">
            <w:pPr>
              <w:pStyle w:val="P68B1DB1-Normal8"/>
              <w:jc w:val="center"/>
              <w:rPr>
                <w:noProof/>
              </w:rPr>
            </w:pPr>
            <w:r>
              <w:rPr>
                <w:noProof/>
              </w:rPr>
              <w:t>Cel</w:t>
            </w:r>
          </w:p>
        </w:tc>
        <w:tc>
          <w:tcPr>
            <w:tcW w:w="310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3D13D2B" w14:textId="77777777" w:rsidR="004C6421" w:rsidRDefault="009D1962">
            <w:pPr>
              <w:pStyle w:val="P68B1DB1-Normal8"/>
              <w:rPr>
                <w:noProof/>
              </w:rPr>
            </w:pPr>
            <w:r>
              <w:rPr>
                <w:noProof/>
              </w:rPr>
              <w:t>Średnia liczba dni, w których lokalne organy administracji publicznej mogą płacić przedsiębiorstwom, została zmniejszona</w:t>
            </w:r>
          </w:p>
        </w:tc>
        <w:tc>
          <w:tcPr>
            <w:tcW w:w="236" w:type="dxa"/>
            <w:tcBorders>
              <w:top w:val="nil"/>
              <w:left w:val="single" w:sz="8" w:space="0" w:color="auto"/>
              <w:bottom w:val="nil"/>
              <w:right w:val="nil"/>
            </w:tcBorders>
            <w:vAlign w:val="center"/>
          </w:tcPr>
          <w:p w14:paraId="0D244B8D" w14:textId="77777777" w:rsidR="004C6421" w:rsidRDefault="004C6421">
            <w:pPr>
              <w:rPr>
                <w:noProof/>
              </w:rPr>
            </w:pPr>
          </w:p>
        </w:tc>
      </w:tr>
      <w:tr w:rsidR="004C6421" w14:paraId="376F5513"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14B4339" w14:textId="77777777" w:rsidR="004C6421" w:rsidRDefault="009D1962">
            <w:pPr>
              <w:pStyle w:val="P68B1DB1-Normal8"/>
              <w:jc w:val="center"/>
              <w:rPr>
                <w:noProof/>
              </w:rPr>
            </w:pPr>
            <w:r>
              <w:rPr>
                <w:noProof/>
              </w:rPr>
              <w:t>M1C1-79</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F5EA333" w14:textId="77777777" w:rsidR="004C6421" w:rsidRDefault="009D1962">
            <w:pPr>
              <w:pStyle w:val="P68B1DB1-Normal8"/>
              <w:rPr>
                <w:noProof/>
              </w:rPr>
            </w:pPr>
            <w:r>
              <w:rPr>
                <w:noProof/>
              </w:rPr>
              <w:t>Reforma 1.11: Zmniejszenie opóźnień w płatnościach dokonywanych przez organy administracji publicznej i służby zdrowia</w:t>
            </w:r>
          </w:p>
        </w:tc>
        <w:tc>
          <w:tcPr>
            <w:tcW w:w="1277"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CA78590" w14:textId="77777777" w:rsidR="004C6421" w:rsidRDefault="009D1962">
            <w:pPr>
              <w:pStyle w:val="P68B1DB1-Normal8"/>
              <w:jc w:val="center"/>
              <w:rPr>
                <w:noProof/>
              </w:rPr>
            </w:pPr>
            <w:r>
              <w:rPr>
                <w:noProof/>
              </w:rPr>
              <w:t>Cel</w:t>
            </w:r>
          </w:p>
        </w:tc>
        <w:tc>
          <w:tcPr>
            <w:tcW w:w="310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1BBBB56" w14:textId="77777777" w:rsidR="004C6421" w:rsidRDefault="009D1962">
            <w:pPr>
              <w:pStyle w:val="P68B1DB1-Normal8"/>
              <w:rPr>
                <w:noProof/>
              </w:rPr>
            </w:pPr>
            <w:r>
              <w:rPr>
                <w:noProof/>
              </w:rPr>
              <w:t>Zmniejszono średnią liczbę dni, w których administracje zdrowia publicznego mogą płacić przedsiębiorstwom</w:t>
            </w:r>
          </w:p>
        </w:tc>
        <w:tc>
          <w:tcPr>
            <w:tcW w:w="236" w:type="dxa"/>
            <w:tcBorders>
              <w:top w:val="nil"/>
              <w:left w:val="single" w:sz="8" w:space="0" w:color="auto"/>
              <w:bottom w:val="nil"/>
              <w:right w:val="nil"/>
            </w:tcBorders>
            <w:vAlign w:val="center"/>
          </w:tcPr>
          <w:p w14:paraId="1A0E7370" w14:textId="77777777" w:rsidR="004C6421" w:rsidRDefault="004C6421">
            <w:pPr>
              <w:rPr>
                <w:noProof/>
              </w:rPr>
            </w:pPr>
          </w:p>
        </w:tc>
      </w:tr>
      <w:tr w:rsidR="004C6421" w14:paraId="1419386A"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51F8C06" w14:textId="77777777" w:rsidR="004C6421" w:rsidRDefault="009D1962">
            <w:pPr>
              <w:pStyle w:val="P68B1DB1-Normal8"/>
              <w:jc w:val="center"/>
              <w:rPr>
                <w:noProof/>
              </w:rPr>
            </w:pPr>
            <w:r>
              <w:rPr>
                <w:noProof/>
              </w:rPr>
              <w:t>M1C1-80</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64B9F04" w14:textId="77777777" w:rsidR="004C6421" w:rsidRDefault="009D1962">
            <w:pPr>
              <w:pStyle w:val="P68B1DB1-Normal8"/>
              <w:rPr>
                <w:noProof/>
              </w:rPr>
            </w:pPr>
            <w:r>
              <w:rPr>
                <w:noProof/>
              </w:rPr>
              <w:t>Reforma 1.11: Zmniejszenie opóźnień w płatnościach dokonywanych przez organy administracji publicznej i służby zdrowia</w:t>
            </w:r>
          </w:p>
        </w:tc>
        <w:tc>
          <w:tcPr>
            <w:tcW w:w="1277"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E203850" w14:textId="77777777" w:rsidR="004C6421" w:rsidRDefault="009D1962">
            <w:pPr>
              <w:pStyle w:val="P68B1DB1-Normal8"/>
              <w:jc w:val="center"/>
              <w:rPr>
                <w:noProof/>
              </w:rPr>
            </w:pPr>
            <w:r>
              <w:rPr>
                <w:noProof/>
              </w:rPr>
              <w:t>Cel</w:t>
            </w:r>
          </w:p>
        </w:tc>
        <w:tc>
          <w:tcPr>
            <w:tcW w:w="310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51D496D" w14:textId="77777777" w:rsidR="004C6421" w:rsidRDefault="009D1962">
            <w:pPr>
              <w:pStyle w:val="P68B1DB1-Normal8"/>
              <w:rPr>
                <w:noProof/>
              </w:rPr>
            </w:pPr>
            <w:r>
              <w:rPr>
                <w:noProof/>
              </w:rPr>
              <w:t>Średnia liczba dni opóźnienia w płatnościach przedsiębiorstw przez centralną administrację publiczną zostaje zmniejszona</w:t>
            </w:r>
          </w:p>
        </w:tc>
        <w:tc>
          <w:tcPr>
            <w:tcW w:w="236" w:type="dxa"/>
            <w:tcBorders>
              <w:top w:val="nil"/>
              <w:left w:val="single" w:sz="8" w:space="0" w:color="auto"/>
              <w:bottom w:val="nil"/>
              <w:right w:val="nil"/>
            </w:tcBorders>
            <w:vAlign w:val="center"/>
          </w:tcPr>
          <w:p w14:paraId="3F96B7E2" w14:textId="77777777" w:rsidR="004C6421" w:rsidRDefault="004C6421">
            <w:pPr>
              <w:rPr>
                <w:noProof/>
              </w:rPr>
            </w:pPr>
          </w:p>
        </w:tc>
      </w:tr>
      <w:tr w:rsidR="004C6421" w14:paraId="37CC9D22"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695EFC9" w14:textId="77777777" w:rsidR="004C6421" w:rsidRDefault="009D1962">
            <w:pPr>
              <w:pStyle w:val="P68B1DB1-Normal8"/>
              <w:jc w:val="center"/>
              <w:rPr>
                <w:noProof/>
              </w:rPr>
            </w:pPr>
            <w:r>
              <w:rPr>
                <w:noProof/>
              </w:rPr>
              <w:t>M1C1-81</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11CAB1D" w14:textId="77777777" w:rsidR="004C6421" w:rsidRDefault="009D1962">
            <w:pPr>
              <w:pStyle w:val="P68B1DB1-Normal8"/>
              <w:rPr>
                <w:noProof/>
              </w:rPr>
            </w:pPr>
            <w:r>
              <w:rPr>
                <w:noProof/>
              </w:rPr>
              <w:t>Reforma 1.11: Zmniejszenie opóźnień w płatnościach dokonywanych przez organy administracji publicznej i służby zdrowia</w:t>
            </w:r>
          </w:p>
        </w:tc>
        <w:tc>
          <w:tcPr>
            <w:tcW w:w="1277"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3DD611C" w14:textId="77777777" w:rsidR="004C6421" w:rsidRDefault="009D1962">
            <w:pPr>
              <w:pStyle w:val="P68B1DB1-Normal8"/>
              <w:jc w:val="center"/>
              <w:rPr>
                <w:noProof/>
              </w:rPr>
            </w:pPr>
            <w:r>
              <w:rPr>
                <w:noProof/>
              </w:rPr>
              <w:t>Cel</w:t>
            </w:r>
          </w:p>
        </w:tc>
        <w:tc>
          <w:tcPr>
            <w:tcW w:w="310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EE34663" w14:textId="77777777" w:rsidR="004C6421" w:rsidRDefault="009D1962">
            <w:pPr>
              <w:pStyle w:val="P68B1DB1-Normal8"/>
              <w:rPr>
                <w:noProof/>
              </w:rPr>
            </w:pPr>
            <w:r>
              <w:rPr>
                <w:noProof/>
              </w:rPr>
              <w:t>Zmniejsza się średnią liczbę dni zwłoki regionalnych organów administracji publicznej w płaceniu przedsiębiorstwom</w:t>
            </w:r>
          </w:p>
        </w:tc>
        <w:tc>
          <w:tcPr>
            <w:tcW w:w="236" w:type="dxa"/>
            <w:tcBorders>
              <w:top w:val="nil"/>
              <w:left w:val="single" w:sz="8" w:space="0" w:color="auto"/>
              <w:bottom w:val="nil"/>
              <w:right w:val="nil"/>
            </w:tcBorders>
            <w:vAlign w:val="center"/>
          </w:tcPr>
          <w:p w14:paraId="70102E49" w14:textId="77777777" w:rsidR="004C6421" w:rsidRDefault="004C6421">
            <w:pPr>
              <w:rPr>
                <w:noProof/>
              </w:rPr>
            </w:pPr>
          </w:p>
        </w:tc>
      </w:tr>
      <w:tr w:rsidR="004C6421" w14:paraId="2E68CF73"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FB4E982" w14:textId="77777777" w:rsidR="004C6421" w:rsidRDefault="009D1962">
            <w:pPr>
              <w:pStyle w:val="P68B1DB1-Normal8"/>
              <w:jc w:val="center"/>
              <w:rPr>
                <w:noProof/>
              </w:rPr>
            </w:pPr>
            <w:r>
              <w:rPr>
                <w:noProof/>
              </w:rPr>
              <w:t>M1C1-82</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A6EF6FF" w14:textId="77777777" w:rsidR="004C6421" w:rsidRDefault="009D1962">
            <w:pPr>
              <w:pStyle w:val="P68B1DB1-Normal8"/>
              <w:rPr>
                <w:noProof/>
              </w:rPr>
            </w:pPr>
            <w:r>
              <w:rPr>
                <w:noProof/>
              </w:rPr>
              <w:t>Reforma 1.11: Zmniejszenie opóźnień w płatnościach dokonywanych przez organy administracji publicznej i służby zdrowia</w:t>
            </w:r>
          </w:p>
        </w:tc>
        <w:tc>
          <w:tcPr>
            <w:tcW w:w="1277"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E065527" w14:textId="77777777" w:rsidR="004C6421" w:rsidRDefault="009D1962">
            <w:pPr>
              <w:pStyle w:val="P68B1DB1-Normal8"/>
              <w:jc w:val="center"/>
              <w:rPr>
                <w:noProof/>
              </w:rPr>
            </w:pPr>
            <w:r>
              <w:rPr>
                <w:noProof/>
              </w:rPr>
              <w:t>Cel</w:t>
            </w:r>
          </w:p>
        </w:tc>
        <w:tc>
          <w:tcPr>
            <w:tcW w:w="310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3FD7BB4" w14:textId="77777777" w:rsidR="004C6421" w:rsidRDefault="009D1962">
            <w:pPr>
              <w:pStyle w:val="P68B1DB1-Normal8"/>
              <w:rPr>
                <w:noProof/>
              </w:rPr>
            </w:pPr>
            <w:r>
              <w:rPr>
                <w:noProof/>
              </w:rPr>
              <w:t>Zmniejszono średnią liczbę dni opóźnień w płatnościach dla lokalnych organów administracji publicznej</w:t>
            </w:r>
          </w:p>
        </w:tc>
        <w:tc>
          <w:tcPr>
            <w:tcW w:w="236" w:type="dxa"/>
            <w:tcBorders>
              <w:top w:val="nil"/>
              <w:left w:val="single" w:sz="8" w:space="0" w:color="auto"/>
              <w:bottom w:val="nil"/>
              <w:right w:val="nil"/>
            </w:tcBorders>
            <w:vAlign w:val="center"/>
          </w:tcPr>
          <w:p w14:paraId="6E7F8D9E" w14:textId="77777777" w:rsidR="004C6421" w:rsidRDefault="004C6421">
            <w:pPr>
              <w:rPr>
                <w:noProof/>
              </w:rPr>
            </w:pPr>
          </w:p>
        </w:tc>
      </w:tr>
      <w:tr w:rsidR="004C6421" w14:paraId="7631435E"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5EB3BBC" w14:textId="77777777" w:rsidR="004C6421" w:rsidRDefault="009D1962">
            <w:pPr>
              <w:pStyle w:val="P68B1DB1-Normal8"/>
              <w:jc w:val="center"/>
              <w:rPr>
                <w:noProof/>
              </w:rPr>
            </w:pPr>
            <w:r>
              <w:rPr>
                <w:noProof/>
              </w:rPr>
              <w:t>M1C1-83</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C5F3D51" w14:textId="77777777" w:rsidR="004C6421" w:rsidRDefault="009D1962">
            <w:pPr>
              <w:pStyle w:val="P68B1DB1-Normal8"/>
              <w:rPr>
                <w:noProof/>
              </w:rPr>
            </w:pPr>
            <w:r>
              <w:rPr>
                <w:noProof/>
              </w:rPr>
              <w:t>Reforma 1.11: Zmniejszenie opóźnień w płatnościach dokonywanych przez organy administracji publicznej i służby zdrowia</w:t>
            </w:r>
          </w:p>
        </w:tc>
        <w:tc>
          <w:tcPr>
            <w:tcW w:w="1277"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CC011BC" w14:textId="77777777" w:rsidR="004C6421" w:rsidRDefault="009D1962">
            <w:pPr>
              <w:pStyle w:val="P68B1DB1-Normal8"/>
              <w:jc w:val="center"/>
              <w:rPr>
                <w:noProof/>
              </w:rPr>
            </w:pPr>
            <w:r>
              <w:rPr>
                <w:noProof/>
              </w:rPr>
              <w:t>Cel</w:t>
            </w:r>
          </w:p>
        </w:tc>
        <w:tc>
          <w:tcPr>
            <w:tcW w:w="310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F7533CF" w14:textId="77777777" w:rsidR="004C6421" w:rsidRDefault="009D1962">
            <w:pPr>
              <w:pStyle w:val="P68B1DB1-Normal8"/>
              <w:rPr>
                <w:noProof/>
              </w:rPr>
            </w:pPr>
            <w:r>
              <w:rPr>
                <w:noProof/>
              </w:rPr>
              <w:t>Zmniejszono średnią liczbę dni zwłoki w płatnościach dla administracji publicznej w dziedzinie zdrowia</w:t>
            </w:r>
          </w:p>
        </w:tc>
        <w:tc>
          <w:tcPr>
            <w:tcW w:w="236" w:type="dxa"/>
            <w:tcBorders>
              <w:top w:val="nil"/>
              <w:left w:val="single" w:sz="8" w:space="0" w:color="auto"/>
              <w:bottom w:val="nil"/>
              <w:right w:val="nil"/>
            </w:tcBorders>
            <w:vAlign w:val="center"/>
          </w:tcPr>
          <w:p w14:paraId="5E517639" w14:textId="77777777" w:rsidR="004C6421" w:rsidRDefault="004C6421">
            <w:pPr>
              <w:rPr>
                <w:noProof/>
              </w:rPr>
            </w:pPr>
          </w:p>
        </w:tc>
      </w:tr>
      <w:tr w:rsidR="004C6421" w14:paraId="2FF560FD"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AF2651B" w14:textId="77777777" w:rsidR="004C6421" w:rsidRDefault="009D1962">
            <w:pPr>
              <w:pStyle w:val="P68B1DB1-Normal8"/>
              <w:jc w:val="center"/>
              <w:rPr>
                <w:noProof/>
              </w:rPr>
            </w:pPr>
            <w:r>
              <w:rPr>
                <w:noProof/>
              </w:rPr>
              <w:t>M1C1-25</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01DB5AC" w14:textId="77777777" w:rsidR="004C6421" w:rsidRDefault="009D1962">
            <w:pPr>
              <w:pStyle w:val="P68B1DB1-Normal8"/>
              <w:rPr>
                <w:noProof/>
              </w:rPr>
            </w:pPr>
            <w:r>
              <w:rPr>
                <w:noProof/>
              </w:rPr>
              <w:t>Inwestycje 1.6.6: Cyfryzacja policji finansowej</w:t>
            </w:r>
          </w:p>
        </w:tc>
        <w:tc>
          <w:tcPr>
            <w:tcW w:w="1277"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ECF3A70" w14:textId="334885B5" w:rsidR="004C6421" w:rsidRDefault="00CC179E">
            <w:pPr>
              <w:pStyle w:val="P68B1DB1-Normal8"/>
              <w:jc w:val="center"/>
              <w:rPr>
                <w:noProof/>
              </w:rPr>
            </w:pPr>
            <w:r>
              <w:rPr>
                <w:noProof/>
              </w:rPr>
              <w:t>Milowy</w:t>
            </w:r>
          </w:p>
        </w:tc>
        <w:tc>
          <w:tcPr>
            <w:tcW w:w="310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F01A1F1" w14:textId="77777777" w:rsidR="004C6421" w:rsidRDefault="009D1962">
            <w:pPr>
              <w:pStyle w:val="P68B1DB1-Normal8"/>
              <w:rPr>
                <w:noProof/>
              </w:rPr>
            </w:pPr>
            <w:r>
              <w:rPr>
                <w:noProof/>
              </w:rPr>
              <w:t>Rozwój operacyjnych systemów informacyjnych wykorzystywanych do zwalczania przestępczości gospodarczej</w:t>
            </w:r>
          </w:p>
        </w:tc>
        <w:tc>
          <w:tcPr>
            <w:tcW w:w="236" w:type="dxa"/>
            <w:tcBorders>
              <w:top w:val="nil"/>
              <w:left w:val="single" w:sz="8" w:space="0" w:color="auto"/>
              <w:bottom w:val="nil"/>
              <w:right w:val="nil"/>
            </w:tcBorders>
            <w:vAlign w:val="center"/>
          </w:tcPr>
          <w:p w14:paraId="5CAE90C9" w14:textId="77777777" w:rsidR="004C6421" w:rsidRDefault="004C6421">
            <w:pPr>
              <w:rPr>
                <w:noProof/>
              </w:rPr>
            </w:pPr>
          </w:p>
        </w:tc>
      </w:tr>
      <w:tr w:rsidR="004C6421" w14:paraId="11F251B6"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39687F3" w14:textId="77777777" w:rsidR="004C6421" w:rsidRDefault="009D1962">
            <w:pPr>
              <w:pStyle w:val="P68B1DB1-Normal8"/>
              <w:jc w:val="center"/>
              <w:rPr>
                <w:noProof/>
              </w:rPr>
            </w:pPr>
            <w:r>
              <w:rPr>
                <w:noProof/>
              </w:rPr>
              <w:t>M1C1-61</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0EA5E66" w14:textId="77777777" w:rsidR="004C6421" w:rsidRDefault="009D1962">
            <w:pPr>
              <w:pStyle w:val="P68B1DB1-Normal8"/>
              <w:rPr>
                <w:noProof/>
              </w:rPr>
            </w:pPr>
            <w:r>
              <w:rPr>
                <w:noProof/>
              </w:rPr>
              <w:t>Reforma 1.9: Reforma administracji publicznej</w:t>
            </w:r>
          </w:p>
        </w:tc>
        <w:tc>
          <w:tcPr>
            <w:tcW w:w="1277"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A346943" w14:textId="003E425B" w:rsidR="004C6421" w:rsidRDefault="00CC179E">
            <w:pPr>
              <w:pStyle w:val="P68B1DB1-Normal8"/>
              <w:jc w:val="center"/>
              <w:rPr>
                <w:noProof/>
              </w:rPr>
            </w:pPr>
            <w:r>
              <w:rPr>
                <w:noProof/>
              </w:rPr>
              <w:t>Milowy</w:t>
            </w:r>
          </w:p>
        </w:tc>
        <w:tc>
          <w:tcPr>
            <w:tcW w:w="310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7B71311" w14:textId="77777777" w:rsidR="004C6421" w:rsidRDefault="009D1962">
            <w:pPr>
              <w:pStyle w:val="P68B1DB1-Normal8"/>
              <w:rPr>
                <w:noProof/>
              </w:rPr>
            </w:pPr>
            <w:r>
              <w:rPr>
                <w:noProof/>
              </w:rPr>
              <w:t>Zakończenie wdrażania (w tym wszystkich aktów delegowanych) uproszczenia lub cyfryzacji dodatkowego zestawu 50 kluczowych procedur mających bezpośredni wpływ na obywateli</w:t>
            </w:r>
          </w:p>
        </w:tc>
        <w:tc>
          <w:tcPr>
            <w:tcW w:w="236" w:type="dxa"/>
            <w:tcBorders>
              <w:top w:val="nil"/>
              <w:left w:val="single" w:sz="8" w:space="0" w:color="auto"/>
              <w:bottom w:val="nil"/>
              <w:right w:val="nil"/>
            </w:tcBorders>
            <w:vAlign w:val="center"/>
          </w:tcPr>
          <w:p w14:paraId="45636A50" w14:textId="77777777" w:rsidR="004C6421" w:rsidRDefault="004C6421">
            <w:pPr>
              <w:rPr>
                <w:noProof/>
              </w:rPr>
            </w:pPr>
          </w:p>
        </w:tc>
      </w:tr>
      <w:tr w:rsidR="004C6421" w14:paraId="70F457F9"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8357402" w14:textId="77777777" w:rsidR="004C6421" w:rsidRDefault="009D1962">
            <w:pPr>
              <w:pStyle w:val="P68B1DB1-Normal8"/>
              <w:jc w:val="center"/>
              <w:rPr>
                <w:noProof/>
              </w:rPr>
            </w:pPr>
            <w:r>
              <w:rPr>
                <w:noProof/>
              </w:rPr>
              <w:t>M1C1-62</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5B02FBE" w14:textId="77777777" w:rsidR="004C6421" w:rsidRDefault="009D1962">
            <w:pPr>
              <w:pStyle w:val="P68B1DB1-Normal8"/>
              <w:rPr>
                <w:noProof/>
              </w:rPr>
            </w:pPr>
            <w:r>
              <w:rPr>
                <w:noProof/>
              </w:rPr>
              <w:t>Reforma 1.9: Reforma administracji publicznej</w:t>
            </w:r>
          </w:p>
        </w:tc>
        <w:tc>
          <w:tcPr>
            <w:tcW w:w="1277"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3245CA5" w14:textId="6F84491D" w:rsidR="004C6421" w:rsidRDefault="00CC179E">
            <w:pPr>
              <w:pStyle w:val="P68B1DB1-Normal8"/>
              <w:jc w:val="center"/>
              <w:rPr>
                <w:noProof/>
              </w:rPr>
            </w:pPr>
            <w:r>
              <w:rPr>
                <w:noProof/>
              </w:rPr>
              <w:t>Milowy</w:t>
            </w:r>
          </w:p>
        </w:tc>
        <w:tc>
          <w:tcPr>
            <w:tcW w:w="310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50310DE" w14:textId="77777777" w:rsidR="004C6421" w:rsidRDefault="009D1962">
            <w:pPr>
              <w:pStyle w:val="P68B1DB1-Normal8"/>
              <w:rPr>
                <w:noProof/>
              </w:rPr>
            </w:pPr>
            <w:r>
              <w:rPr>
                <w:noProof/>
              </w:rPr>
              <w:t>Zwiększenie absorpcji inwestycji</w:t>
            </w:r>
          </w:p>
        </w:tc>
        <w:tc>
          <w:tcPr>
            <w:tcW w:w="236" w:type="dxa"/>
            <w:tcBorders>
              <w:top w:val="nil"/>
              <w:left w:val="single" w:sz="8" w:space="0" w:color="auto"/>
              <w:bottom w:val="nil"/>
              <w:right w:val="nil"/>
            </w:tcBorders>
            <w:vAlign w:val="center"/>
          </w:tcPr>
          <w:p w14:paraId="61AACFD7" w14:textId="77777777" w:rsidR="004C6421" w:rsidRDefault="004C6421">
            <w:pPr>
              <w:rPr>
                <w:noProof/>
              </w:rPr>
            </w:pPr>
          </w:p>
        </w:tc>
      </w:tr>
      <w:tr w:rsidR="004C6421" w14:paraId="508FDF0A"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8DFE8BC" w14:textId="77777777" w:rsidR="004C6421" w:rsidRDefault="009D1962">
            <w:pPr>
              <w:pStyle w:val="P68B1DB1-Normal8"/>
              <w:jc w:val="center"/>
              <w:rPr>
                <w:noProof/>
              </w:rPr>
            </w:pPr>
            <w:r>
              <w:rPr>
                <w:noProof/>
              </w:rPr>
              <w:t>M1C1-97</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0F0691B" w14:textId="77777777" w:rsidR="004C6421" w:rsidRDefault="009D1962">
            <w:pPr>
              <w:pStyle w:val="P68B1DB1-Normal8"/>
              <w:rPr>
                <w:noProof/>
              </w:rPr>
            </w:pPr>
            <w:r>
              <w:rPr>
                <w:noProof/>
              </w:rPr>
              <w:t>Reforma 1.10: Reforma ram prawnych dotyczących zamówień publicznych</w:t>
            </w:r>
          </w:p>
        </w:tc>
        <w:tc>
          <w:tcPr>
            <w:tcW w:w="1277"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1FD37D4" w14:textId="77777777" w:rsidR="004C6421" w:rsidRDefault="009D1962">
            <w:pPr>
              <w:pStyle w:val="P68B1DB1-Normal8"/>
              <w:jc w:val="center"/>
              <w:rPr>
                <w:noProof/>
              </w:rPr>
            </w:pPr>
            <w:r>
              <w:rPr>
                <w:noProof/>
              </w:rPr>
              <w:t>Cel</w:t>
            </w:r>
          </w:p>
        </w:tc>
        <w:tc>
          <w:tcPr>
            <w:tcW w:w="310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A53A624" w14:textId="77777777" w:rsidR="004C6421" w:rsidRDefault="009D1962">
            <w:pPr>
              <w:pStyle w:val="P68B1DB1-Normal8"/>
              <w:rPr>
                <w:noProof/>
              </w:rPr>
            </w:pPr>
            <w:r>
              <w:rPr>
                <w:noProof/>
              </w:rPr>
              <w:t>Średni czas między udzieleniem zamówienia a realizacją infrastruktury</w:t>
            </w:r>
          </w:p>
        </w:tc>
        <w:tc>
          <w:tcPr>
            <w:tcW w:w="236" w:type="dxa"/>
            <w:tcBorders>
              <w:top w:val="nil"/>
              <w:left w:val="single" w:sz="8" w:space="0" w:color="auto"/>
              <w:bottom w:val="nil"/>
              <w:right w:val="nil"/>
            </w:tcBorders>
            <w:vAlign w:val="center"/>
          </w:tcPr>
          <w:p w14:paraId="7619A305" w14:textId="77777777" w:rsidR="004C6421" w:rsidRDefault="004C6421">
            <w:pPr>
              <w:rPr>
                <w:noProof/>
              </w:rPr>
            </w:pPr>
          </w:p>
        </w:tc>
      </w:tr>
      <w:tr w:rsidR="004C6421" w14:paraId="30EBB31B"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A6C75F3" w14:textId="77777777" w:rsidR="004C6421" w:rsidRDefault="009D1962">
            <w:pPr>
              <w:pStyle w:val="P68B1DB1-Normal8"/>
              <w:jc w:val="center"/>
              <w:rPr>
                <w:noProof/>
              </w:rPr>
            </w:pPr>
            <w:r>
              <w:rPr>
                <w:noProof/>
              </w:rPr>
              <w:t>M1C1-115</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DF5B3A8" w14:textId="77777777" w:rsidR="004C6421" w:rsidRDefault="009D1962">
            <w:pPr>
              <w:pStyle w:val="P68B1DB1-Normal8"/>
              <w:rPr>
                <w:noProof/>
              </w:rPr>
            </w:pPr>
            <w:r>
              <w:rPr>
                <w:noProof/>
              </w:rPr>
              <w:t>Reforma 1.13: Reforma ram przeglądu wydatków</w:t>
            </w:r>
          </w:p>
        </w:tc>
        <w:tc>
          <w:tcPr>
            <w:tcW w:w="1277"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5FA1FB5" w14:textId="40F5D63F" w:rsidR="004C6421" w:rsidRDefault="00CC179E">
            <w:pPr>
              <w:pStyle w:val="P68B1DB1-Normal8"/>
              <w:jc w:val="center"/>
              <w:rPr>
                <w:noProof/>
              </w:rPr>
            </w:pPr>
            <w:r>
              <w:rPr>
                <w:noProof/>
              </w:rPr>
              <w:t>Milowy</w:t>
            </w:r>
          </w:p>
        </w:tc>
        <w:tc>
          <w:tcPr>
            <w:tcW w:w="310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79F16FA" w14:textId="77777777" w:rsidR="004C6421" w:rsidRDefault="009D1962">
            <w:pPr>
              <w:pStyle w:val="P68B1DB1-Normal8"/>
              <w:rPr>
                <w:noProof/>
              </w:rPr>
            </w:pPr>
            <w:r>
              <w:rPr>
                <w:noProof/>
              </w:rPr>
              <w:t>Zakończenie rocznego przeglądu wydatków na 2024 r. w odniesieniu do celu w zakresie oszczędności ustalonego na lata 2022 i 2023 na 2024 r.</w:t>
            </w:r>
          </w:p>
        </w:tc>
        <w:tc>
          <w:tcPr>
            <w:tcW w:w="236" w:type="dxa"/>
            <w:tcBorders>
              <w:top w:val="nil"/>
              <w:left w:val="single" w:sz="8" w:space="0" w:color="auto"/>
              <w:bottom w:val="nil"/>
              <w:right w:val="nil"/>
            </w:tcBorders>
            <w:vAlign w:val="center"/>
          </w:tcPr>
          <w:p w14:paraId="5D4165D0" w14:textId="77777777" w:rsidR="004C6421" w:rsidRDefault="004C6421">
            <w:pPr>
              <w:rPr>
                <w:noProof/>
              </w:rPr>
            </w:pPr>
          </w:p>
        </w:tc>
      </w:tr>
      <w:tr w:rsidR="004C6421" w14:paraId="26FD81A9"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D42E4C7" w14:textId="77777777" w:rsidR="004C6421" w:rsidRDefault="009D1962">
            <w:pPr>
              <w:pStyle w:val="P68B1DB1-Normal8"/>
              <w:jc w:val="center"/>
              <w:rPr>
                <w:noProof/>
              </w:rPr>
            </w:pPr>
            <w:r>
              <w:rPr>
                <w:noProof/>
              </w:rPr>
              <w:t>M1C2-3</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A4F9B8E" w14:textId="77777777" w:rsidR="004C6421" w:rsidRDefault="009D1962">
            <w:pPr>
              <w:pStyle w:val="P68B1DB1-Normal8"/>
              <w:rPr>
                <w:noProof/>
              </w:rPr>
            </w:pPr>
            <w:r>
              <w:rPr>
                <w:noProof/>
              </w:rPr>
              <w:t>Inwestycja 1: Przejście 4.0</w:t>
            </w:r>
          </w:p>
        </w:tc>
        <w:tc>
          <w:tcPr>
            <w:tcW w:w="1277"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B0F7AB2" w14:textId="77777777" w:rsidR="004C6421" w:rsidRDefault="009D1962">
            <w:pPr>
              <w:pStyle w:val="P68B1DB1-Normal8"/>
              <w:jc w:val="center"/>
              <w:rPr>
                <w:noProof/>
              </w:rPr>
            </w:pPr>
            <w:r>
              <w:rPr>
                <w:noProof/>
              </w:rPr>
              <w:t>Cel</w:t>
            </w:r>
          </w:p>
        </w:tc>
        <w:tc>
          <w:tcPr>
            <w:tcW w:w="310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BE2A58D" w14:textId="77777777" w:rsidR="004C6421" w:rsidRDefault="009D1962">
            <w:pPr>
              <w:pStyle w:val="P68B1DB1-Normal8"/>
              <w:rPr>
                <w:noProof/>
              </w:rPr>
            </w:pPr>
            <w:r>
              <w:rPr>
                <w:noProof/>
              </w:rPr>
              <w:t>Przejście 4.0 ulgi podatkowe przyznane przedsiębiorstwom na podstawie deklaracji podatkowych przedstawionych w latach 2021–2023</w:t>
            </w:r>
          </w:p>
        </w:tc>
        <w:tc>
          <w:tcPr>
            <w:tcW w:w="236" w:type="dxa"/>
            <w:tcBorders>
              <w:top w:val="nil"/>
              <w:left w:val="single" w:sz="8" w:space="0" w:color="auto"/>
              <w:bottom w:val="nil"/>
              <w:right w:val="nil"/>
            </w:tcBorders>
            <w:vAlign w:val="center"/>
          </w:tcPr>
          <w:p w14:paraId="70F5F679" w14:textId="77777777" w:rsidR="004C6421" w:rsidRDefault="004C6421">
            <w:pPr>
              <w:rPr>
                <w:noProof/>
              </w:rPr>
            </w:pPr>
          </w:p>
        </w:tc>
      </w:tr>
      <w:tr w:rsidR="004C6421" w14:paraId="1A082253"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663F40E" w14:textId="77777777" w:rsidR="004C6421" w:rsidRDefault="009D1962">
            <w:pPr>
              <w:pStyle w:val="P68B1DB1-Normal8"/>
              <w:jc w:val="center"/>
              <w:rPr>
                <w:noProof/>
              </w:rPr>
            </w:pPr>
            <w:r>
              <w:rPr>
                <w:noProof/>
              </w:rPr>
              <w:t>M4C1-16</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39697C0" w14:textId="77777777" w:rsidR="004C6421" w:rsidRDefault="009D1962">
            <w:pPr>
              <w:pStyle w:val="P68B1DB1-Normal8"/>
              <w:rPr>
                <w:noProof/>
              </w:rPr>
            </w:pPr>
            <w:r>
              <w:rPr>
                <w:noProof/>
              </w:rPr>
              <w:t>Inwestycja 3.1: Nowe umiejętności i nowe języki</w:t>
            </w:r>
          </w:p>
        </w:tc>
        <w:tc>
          <w:tcPr>
            <w:tcW w:w="1277"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3487258" w14:textId="77777777" w:rsidR="004C6421" w:rsidRDefault="009D1962">
            <w:pPr>
              <w:pStyle w:val="P68B1DB1-Normal8"/>
              <w:jc w:val="center"/>
              <w:rPr>
                <w:noProof/>
              </w:rPr>
            </w:pPr>
            <w:r>
              <w:rPr>
                <w:noProof/>
              </w:rPr>
              <w:t>Cel</w:t>
            </w:r>
          </w:p>
        </w:tc>
        <w:tc>
          <w:tcPr>
            <w:tcW w:w="310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D5792C0" w14:textId="77777777" w:rsidR="004C6421" w:rsidRDefault="009D1962">
            <w:pPr>
              <w:pStyle w:val="P68B1DB1-Normal8"/>
              <w:rPr>
                <w:noProof/>
              </w:rPr>
            </w:pPr>
            <w:r>
              <w:rPr>
                <w:noProof/>
              </w:rPr>
              <w:t xml:space="preserve">Szkoły, które uruchomiły projekty poradnictwa w dziedzinie nauk ścisłych, technologii, inżynierii i matematyki w latach 2024/25  </w:t>
            </w:r>
          </w:p>
        </w:tc>
        <w:tc>
          <w:tcPr>
            <w:tcW w:w="236" w:type="dxa"/>
            <w:tcBorders>
              <w:top w:val="nil"/>
              <w:left w:val="single" w:sz="8" w:space="0" w:color="auto"/>
              <w:bottom w:val="nil"/>
              <w:right w:val="nil"/>
            </w:tcBorders>
            <w:vAlign w:val="center"/>
          </w:tcPr>
          <w:p w14:paraId="53A5C875" w14:textId="77777777" w:rsidR="004C6421" w:rsidRDefault="004C6421">
            <w:pPr>
              <w:rPr>
                <w:noProof/>
              </w:rPr>
            </w:pPr>
          </w:p>
        </w:tc>
      </w:tr>
      <w:tr w:rsidR="004C6421" w14:paraId="18ABBC45"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5197A42" w14:textId="77777777" w:rsidR="004C6421" w:rsidRDefault="009D1962">
            <w:pPr>
              <w:pStyle w:val="P68B1DB1-Normal8"/>
              <w:jc w:val="center"/>
              <w:rPr>
                <w:noProof/>
              </w:rPr>
            </w:pPr>
            <w:r>
              <w:rPr>
                <w:noProof/>
              </w:rPr>
              <w:t>M4C1-17</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D7400FA" w14:textId="77777777" w:rsidR="004C6421" w:rsidRDefault="009D1962">
            <w:pPr>
              <w:pStyle w:val="P68B1DB1-Normal8"/>
              <w:rPr>
                <w:noProof/>
              </w:rPr>
            </w:pPr>
            <w:r>
              <w:rPr>
                <w:noProof/>
              </w:rPr>
              <w:t>Inwestycja 3.1: Nowe umiejętności i nowe języki</w:t>
            </w:r>
          </w:p>
        </w:tc>
        <w:tc>
          <w:tcPr>
            <w:tcW w:w="1277"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6567034" w14:textId="77777777" w:rsidR="004C6421" w:rsidRDefault="009D1962">
            <w:pPr>
              <w:pStyle w:val="P68B1DB1-Normal8"/>
              <w:jc w:val="center"/>
              <w:rPr>
                <w:noProof/>
              </w:rPr>
            </w:pPr>
            <w:r>
              <w:rPr>
                <w:noProof/>
              </w:rPr>
              <w:t>Cel</w:t>
            </w:r>
          </w:p>
        </w:tc>
        <w:tc>
          <w:tcPr>
            <w:tcW w:w="310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D1B5E9F" w14:textId="77777777" w:rsidR="004C6421" w:rsidRDefault="009D1962">
            <w:pPr>
              <w:pStyle w:val="P68B1DB1-Normal8"/>
              <w:rPr>
                <w:noProof/>
              </w:rPr>
            </w:pPr>
            <w:r>
              <w:rPr>
                <w:noProof/>
              </w:rPr>
              <w:t xml:space="preserve">Coroczne kursy językowe i metodologiczne oferowane nauczycielom      </w:t>
            </w:r>
          </w:p>
        </w:tc>
        <w:tc>
          <w:tcPr>
            <w:tcW w:w="236" w:type="dxa"/>
            <w:tcBorders>
              <w:top w:val="nil"/>
              <w:left w:val="single" w:sz="8" w:space="0" w:color="auto"/>
              <w:bottom w:val="nil"/>
              <w:right w:val="nil"/>
            </w:tcBorders>
            <w:vAlign w:val="center"/>
          </w:tcPr>
          <w:p w14:paraId="3E09CA89" w14:textId="77777777" w:rsidR="004C6421" w:rsidRDefault="004C6421">
            <w:pPr>
              <w:rPr>
                <w:noProof/>
              </w:rPr>
            </w:pPr>
          </w:p>
        </w:tc>
      </w:tr>
      <w:tr w:rsidR="004C6421" w14:paraId="75A25357"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F625605" w14:textId="77777777" w:rsidR="004C6421" w:rsidRDefault="009D1962">
            <w:pPr>
              <w:pStyle w:val="P68B1DB1-Normal8"/>
              <w:jc w:val="center"/>
              <w:rPr>
                <w:noProof/>
              </w:rPr>
            </w:pPr>
            <w:r>
              <w:rPr>
                <w:noProof/>
              </w:rPr>
              <w:t>M4C2-1 bis</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A8AC513" w14:textId="77777777" w:rsidR="004C6421" w:rsidRDefault="009D1962">
            <w:pPr>
              <w:pStyle w:val="P68B1DB1-Normal8"/>
              <w:rPr>
                <w:noProof/>
              </w:rPr>
            </w:pPr>
            <w:r>
              <w:rPr>
                <w:noProof/>
              </w:rPr>
              <w:t xml:space="preserve">Inwestycje 1.2: Finansowanie projektów przedstawianych przez młodych naukowców </w:t>
            </w:r>
          </w:p>
        </w:tc>
        <w:tc>
          <w:tcPr>
            <w:tcW w:w="1277"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8B739C7" w14:textId="77777777" w:rsidR="004C6421" w:rsidRDefault="009D1962">
            <w:pPr>
              <w:pStyle w:val="P68B1DB1-Normal8"/>
              <w:jc w:val="center"/>
              <w:rPr>
                <w:noProof/>
              </w:rPr>
            </w:pPr>
            <w:r>
              <w:rPr>
                <w:noProof/>
              </w:rPr>
              <w:t xml:space="preserve">Cel </w:t>
            </w:r>
          </w:p>
        </w:tc>
        <w:tc>
          <w:tcPr>
            <w:tcW w:w="310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83052E5" w14:textId="77777777" w:rsidR="004C6421" w:rsidRDefault="009D1962">
            <w:pPr>
              <w:pStyle w:val="P68B1DB1-Normal8"/>
              <w:rPr>
                <w:noProof/>
              </w:rPr>
            </w:pPr>
            <w:r>
              <w:rPr>
                <w:noProof/>
              </w:rPr>
              <w:t xml:space="preserve">Liczba studentów, którym przyznano stypendium badawcze </w:t>
            </w:r>
          </w:p>
        </w:tc>
        <w:tc>
          <w:tcPr>
            <w:tcW w:w="236" w:type="dxa"/>
            <w:tcBorders>
              <w:top w:val="nil"/>
              <w:left w:val="single" w:sz="8" w:space="0" w:color="auto"/>
              <w:bottom w:val="nil"/>
              <w:right w:val="nil"/>
            </w:tcBorders>
            <w:vAlign w:val="center"/>
          </w:tcPr>
          <w:p w14:paraId="30E8FF99" w14:textId="77777777" w:rsidR="004C6421" w:rsidRDefault="004C6421">
            <w:pPr>
              <w:rPr>
                <w:noProof/>
              </w:rPr>
            </w:pPr>
          </w:p>
        </w:tc>
      </w:tr>
      <w:tr w:rsidR="004C6421" w14:paraId="6320660D"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F642ABC" w14:textId="77777777" w:rsidR="004C6421" w:rsidRDefault="009D1962">
            <w:pPr>
              <w:pStyle w:val="P68B1DB1-Normal8"/>
              <w:jc w:val="center"/>
              <w:rPr>
                <w:noProof/>
              </w:rPr>
            </w:pPr>
            <w:r>
              <w:rPr>
                <w:noProof/>
              </w:rPr>
              <w:t>M7-2</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0C8717E" w14:textId="77777777" w:rsidR="004C6421" w:rsidRDefault="009D1962">
            <w:pPr>
              <w:pStyle w:val="P68B1DB1-Normal8"/>
              <w:rPr>
                <w:noProof/>
              </w:rPr>
            </w:pPr>
            <w:r>
              <w:rPr>
                <w:noProof/>
              </w:rPr>
              <w:t>Reforma 1: Usprawnienie procedur wydawania pozwoleń na energię ze źródeł odnawialnych</w:t>
            </w:r>
          </w:p>
        </w:tc>
        <w:tc>
          <w:tcPr>
            <w:tcW w:w="1277"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4B6F113" w14:textId="322908BA" w:rsidR="004C6421" w:rsidRDefault="00CC179E">
            <w:pPr>
              <w:pStyle w:val="P68B1DB1-Normal8"/>
              <w:jc w:val="center"/>
              <w:rPr>
                <w:noProof/>
              </w:rPr>
            </w:pPr>
            <w:r>
              <w:rPr>
                <w:noProof/>
              </w:rPr>
              <w:t>Milowy</w:t>
            </w:r>
          </w:p>
        </w:tc>
        <w:tc>
          <w:tcPr>
            <w:tcW w:w="310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94B3AF3" w14:textId="77777777" w:rsidR="004C6421" w:rsidRDefault="009D1962">
            <w:pPr>
              <w:pStyle w:val="P68B1DB1-Normal8"/>
              <w:rPr>
                <w:noProof/>
              </w:rPr>
            </w:pPr>
            <w:r>
              <w:rPr>
                <w:noProof/>
              </w:rPr>
              <w:t xml:space="preserve">Wejście w życie prawa pierwotnego (Testo Unico) </w:t>
            </w:r>
          </w:p>
        </w:tc>
        <w:tc>
          <w:tcPr>
            <w:tcW w:w="236" w:type="dxa"/>
            <w:tcBorders>
              <w:top w:val="nil"/>
              <w:left w:val="single" w:sz="8" w:space="0" w:color="auto"/>
              <w:bottom w:val="nil"/>
              <w:right w:val="nil"/>
            </w:tcBorders>
            <w:vAlign w:val="center"/>
          </w:tcPr>
          <w:p w14:paraId="262135F9" w14:textId="77777777" w:rsidR="004C6421" w:rsidRDefault="004C6421">
            <w:pPr>
              <w:rPr>
                <w:noProof/>
              </w:rPr>
            </w:pPr>
          </w:p>
        </w:tc>
      </w:tr>
      <w:tr w:rsidR="004C6421" w14:paraId="498D7219"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CF7DD55" w14:textId="77777777" w:rsidR="004C6421" w:rsidRDefault="009D1962">
            <w:pPr>
              <w:pStyle w:val="P68B1DB1-Normal8"/>
              <w:jc w:val="center"/>
              <w:rPr>
                <w:noProof/>
              </w:rPr>
            </w:pPr>
            <w:r>
              <w:rPr>
                <w:noProof/>
              </w:rPr>
              <w:t>M7-20</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BF2F332" w14:textId="77777777" w:rsidR="004C6421" w:rsidRDefault="009D1962">
            <w:pPr>
              <w:pStyle w:val="P68B1DB1-Normal8"/>
              <w:rPr>
                <w:noProof/>
              </w:rPr>
            </w:pPr>
            <w:r>
              <w:rPr>
                <w:noProof/>
              </w:rPr>
              <w:t>Inwestycja 6: Projekty dotyczące transgranicznych elektroenergetycznych połączeń międzysystemowych między Włochami a krajami sąsiadującymi</w:t>
            </w:r>
          </w:p>
        </w:tc>
        <w:tc>
          <w:tcPr>
            <w:tcW w:w="1277"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268C5F8" w14:textId="6B40993D" w:rsidR="004C6421" w:rsidRDefault="00CC179E">
            <w:pPr>
              <w:pStyle w:val="P68B1DB1-Normal8"/>
              <w:jc w:val="center"/>
              <w:rPr>
                <w:noProof/>
              </w:rPr>
            </w:pPr>
            <w:r>
              <w:rPr>
                <w:noProof/>
              </w:rPr>
              <w:t>Milowy</w:t>
            </w:r>
          </w:p>
        </w:tc>
        <w:tc>
          <w:tcPr>
            <w:tcW w:w="310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87F77DC" w14:textId="77777777" w:rsidR="004C6421" w:rsidRDefault="009D1962">
            <w:pPr>
              <w:pStyle w:val="P68B1DB1-Normal8"/>
              <w:rPr>
                <w:noProof/>
              </w:rPr>
            </w:pPr>
            <w:r>
              <w:rPr>
                <w:noProof/>
              </w:rPr>
              <w:t xml:space="preserve">Udzielanie zamówień na budowę dwóch połączeń wzajemnych między Włochami a Słowenią: „Zaule – Dekani” i „Redipuglia – Vrtojba”  </w:t>
            </w:r>
          </w:p>
        </w:tc>
        <w:tc>
          <w:tcPr>
            <w:tcW w:w="236" w:type="dxa"/>
            <w:tcBorders>
              <w:top w:val="nil"/>
              <w:left w:val="single" w:sz="8" w:space="0" w:color="auto"/>
              <w:bottom w:val="nil"/>
              <w:right w:val="nil"/>
            </w:tcBorders>
            <w:vAlign w:val="center"/>
          </w:tcPr>
          <w:p w14:paraId="4D2618AD" w14:textId="77777777" w:rsidR="004C6421" w:rsidRDefault="004C6421">
            <w:pPr>
              <w:rPr>
                <w:noProof/>
              </w:rPr>
            </w:pPr>
          </w:p>
        </w:tc>
      </w:tr>
      <w:tr w:rsidR="004C6421" w14:paraId="1D654DA3"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25F0D56" w14:textId="77777777" w:rsidR="004C6421" w:rsidRDefault="009D1962">
            <w:pPr>
              <w:pStyle w:val="P68B1DB1-Normal8"/>
              <w:jc w:val="center"/>
              <w:rPr>
                <w:noProof/>
              </w:rPr>
            </w:pPr>
            <w:r>
              <w:rPr>
                <w:noProof/>
              </w:rPr>
              <w:t>M7-25</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38F776F" w14:textId="77777777" w:rsidR="004C6421" w:rsidRDefault="009D1962">
            <w:pPr>
              <w:pStyle w:val="P68B1DB1-Normal8"/>
              <w:rPr>
                <w:noProof/>
              </w:rPr>
            </w:pPr>
            <w:r>
              <w:rPr>
                <w:noProof/>
              </w:rPr>
              <w:t>Inwestycja 8: Zrównoważone, o obiegu zamkniętym i bezpieczne dostawy surowców krytycznych</w:t>
            </w:r>
          </w:p>
        </w:tc>
        <w:tc>
          <w:tcPr>
            <w:tcW w:w="1277"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1E592F9" w14:textId="2843B8EA" w:rsidR="004C6421" w:rsidRDefault="00CC179E">
            <w:pPr>
              <w:pStyle w:val="P68B1DB1-Normal8"/>
              <w:jc w:val="center"/>
              <w:rPr>
                <w:noProof/>
              </w:rPr>
            </w:pPr>
            <w:r>
              <w:rPr>
                <w:noProof/>
              </w:rPr>
              <w:t>Milowy</w:t>
            </w:r>
          </w:p>
        </w:tc>
        <w:tc>
          <w:tcPr>
            <w:tcW w:w="310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F443664" w14:textId="77777777" w:rsidR="004C6421" w:rsidRDefault="009D1962">
            <w:pPr>
              <w:pStyle w:val="P68B1DB1-Normal8"/>
              <w:rPr>
                <w:noProof/>
              </w:rPr>
            </w:pPr>
            <w:r>
              <w:rPr>
                <w:noProof/>
              </w:rPr>
              <w:t>Publikacja sprawozdania na temat przyszłych potrzeb w zakresie surowców krytycznych oraz potencjału ekoprojektu w zakresie zmniejszenia zapotrzebowania na surowce krytyczne</w:t>
            </w:r>
          </w:p>
        </w:tc>
        <w:tc>
          <w:tcPr>
            <w:tcW w:w="236" w:type="dxa"/>
            <w:tcBorders>
              <w:top w:val="nil"/>
              <w:left w:val="single" w:sz="8" w:space="0" w:color="auto"/>
              <w:bottom w:val="nil"/>
              <w:right w:val="nil"/>
            </w:tcBorders>
            <w:vAlign w:val="center"/>
          </w:tcPr>
          <w:p w14:paraId="26E795A9" w14:textId="77777777" w:rsidR="004C6421" w:rsidRDefault="004C6421">
            <w:pPr>
              <w:rPr>
                <w:noProof/>
              </w:rPr>
            </w:pPr>
          </w:p>
        </w:tc>
      </w:tr>
      <w:tr w:rsidR="004C6421" w14:paraId="76CE6ADE"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2602681" w14:textId="77777777" w:rsidR="004C6421" w:rsidRDefault="009D1962">
            <w:pPr>
              <w:pStyle w:val="P68B1DB1-Normal8"/>
              <w:jc w:val="center"/>
              <w:rPr>
                <w:noProof/>
              </w:rPr>
            </w:pPr>
            <w:r>
              <w:rPr>
                <w:noProof/>
              </w:rPr>
              <w:t>M7-30</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DB1F6DB" w14:textId="77777777" w:rsidR="004C6421" w:rsidRDefault="009D1962">
            <w:pPr>
              <w:pStyle w:val="P68B1DB1-Normal8"/>
              <w:rPr>
                <w:noProof/>
              </w:rPr>
            </w:pPr>
            <w:r>
              <w:rPr>
                <w:noProof/>
              </w:rPr>
              <w:t>Inwestycja 10: Projekt pilotażowy dotyczący umiejętności „Crescere Green”</w:t>
            </w:r>
          </w:p>
        </w:tc>
        <w:tc>
          <w:tcPr>
            <w:tcW w:w="1277"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F582126" w14:textId="77777777" w:rsidR="004C6421" w:rsidRDefault="009D1962">
            <w:pPr>
              <w:pStyle w:val="P68B1DB1-Normal8"/>
              <w:jc w:val="center"/>
              <w:rPr>
                <w:noProof/>
              </w:rPr>
            </w:pPr>
            <w:r>
              <w:rPr>
                <w:noProof/>
              </w:rPr>
              <w:t>Cel</w:t>
            </w:r>
          </w:p>
        </w:tc>
        <w:tc>
          <w:tcPr>
            <w:tcW w:w="310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2FC96BB" w14:textId="77777777" w:rsidR="004C6421" w:rsidRDefault="009D1962">
            <w:pPr>
              <w:pStyle w:val="P68B1DB1-Normal8"/>
              <w:rPr>
                <w:noProof/>
              </w:rPr>
            </w:pPr>
            <w:r>
              <w:rPr>
                <w:noProof/>
              </w:rPr>
              <w:t>Beneficjenci, którzy ukończyli moduły szkoleniowe</w:t>
            </w:r>
          </w:p>
        </w:tc>
        <w:tc>
          <w:tcPr>
            <w:tcW w:w="236" w:type="dxa"/>
            <w:tcBorders>
              <w:top w:val="nil"/>
              <w:left w:val="single" w:sz="8" w:space="0" w:color="auto"/>
              <w:bottom w:val="nil"/>
              <w:right w:val="nil"/>
            </w:tcBorders>
            <w:vAlign w:val="center"/>
          </w:tcPr>
          <w:p w14:paraId="1F2F5B4D" w14:textId="77777777" w:rsidR="004C6421" w:rsidRDefault="004C6421">
            <w:pPr>
              <w:rPr>
                <w:noProof/>
              </w:rPr>
            </w:pPr>
          </w:p>
        </w:tc>
      </w:tr>
      <w:tr w:rsidR="004C6421" w14:paraId="72C08E0E"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7E6B4F1" w14:textId="77777777" w:rsidR="004C6421" w:rsidRDefault="009D1962">
            <w:pPr>
              <w:pStyle w:val="P68B1DB1-Normal8"/>
              <w:jc w:val="center"/>
              <w:rPr>
                <w:noProof/>
              </w:rPr>
            </w:pPr>
            <w:r>
              <w:rPr>
                <w:noProof/>
              </w:rPr>
              <w:t>M7-34</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8B869C7" w14:textId="77777777" w:rsidR="004C6421" w:rsidRDefault="009D1962">
            <w:pPr>
              <w:pStyle w:val="P68B1DB1-Normal8"/>
              <w:rPr>
                <w:noProof/>
              </w:rPr>
            </w:pPr>
            <w:r>
              <w:rPr>
                <w:noProof/>
              </w:rPr>
              <w:t>Inwestycja 12 Instrument finansowy na rzecz rozwoju wiodącej pozycji międzynarodowej, przemysłowej i badawczo-rozwojowej w zakresie autobusów bezemisyjnych</w:t>
            </w:r>
          </w:p>
        </w:tc>
        <w:tc>
          <w:tcPr>
            <w:tcW w:w="1277"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5BEC42B" w14:textId="4919B74F" w:rsidR="004C6421" w:rsidRDefault="00CC179E">
            <w:pPr>
              <w:pStyle w:val="P68B1DB1-Normal8"/>
              <w:jc w:val="center"/>
              <w:rPr>
                <w:noProof/>
              </w:rPr>
            </w:pPr>
            <w:r>
              <w:rPr>
                <w:noProof/>
              </w:rPr>
              <w:t>Milowy</w:t>
            </w:r>
          </w:p>
        </w:tc>
        <w:tc>
          <w:tcPr>
            <w:tcW w:w="310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2788D66" w14:textId="77777777" w:rsidR="004C6421" w:rsidRDefault="009D1962">
            <w:pPr>
              <w:pStyle w:val="P68B1DB1-Normal8"/>
              <w:rPr>
                <w:noProof/>
              </w:rPr>
            </w:pPr>
            <w:r>
              <w:rPr>
                <w:noProof/>
              </w:rPr>
              <w:t>Ministerstwo zakończyło inwestycję</w:t>
            </w:r>
          </w:p>
        </w:tc>
        <w:tc>
          <w:tcPr>
            <w:tcW w:w="236" w:type="dxa"/>
            <w:tcBorders>
              <w:top w:val="nil"/>
              <w:left w:val="single" w:sz="8" w:space="0" w:color="auto"/>
              <w:bottom w:val="nil"/>
              <w:right w:val="nil"/>
            </w:tcBorders>
            <w:vAlign w:val="center"/>
          </w:tcPr>
          <w:p w14:paraId="55D54B8F" w14:textId="77777777" w:rsidR="004C6421" w:rsidRDefault="004C6421">
            <w:pPr>
              <w:rPr>
                <w:noProof/>
              </w:rPr>
            </w:pPr>
          </w:p>
        </w:tc>
      </w:tr>
      <w:tr w:rsidR="004C6421" w14:paraId="7693F852"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0169882" w14:textId="77777777" w:rsidR="004C6421" w:rsidRDefault="009D1962">
            <w:pPr>
              <w:pStyle w:val="P68B1DB1-Normal8"/>
              <w:jc w:val="center"/>
              <w:rPr>
                <w:noProof/>
              </w:rPr>
            </w:pPr>
            <w:r>
              <w:rPr>
                <w:noProof/>
              </w:rPr>
              <w:t>M1C2-14bis</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DE5A2F1" w14:textId="77777777" w:rsidR="004C6421" w:rsidRDefault="009D1962">
            <w:pPr>
              <w:pStyle w:val="P68B1DB1-Normal8"/>
              <w:rPr>
                <w:noProof/>
              </w:rPr>
            </w:pPr>
            <w:r>
              <w:rPr>
                <w:noProof/>
              </w:rPr>
              <w:t>Reforma 3: Racjonalizacja i uproszczenie zachęt dla przedsiębiorstw.</w:t>
            </w:r>
          </w:p>
        </w:tc>
        <w:tc>
          <w:tcPr>
            <w:tcW w:w="1277"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DA8F115" w14:textId="7A9A246B" w:rsidR="004C6421" w:rsidRDefault="00CC179E">
            <w:pPr>
              <w:pStyle w:val="P68B1DB1-Normal8"/>
              <w:jc w:val="center"/>
              <w:rPr>
                <w:noProof/>
              </w:rPr>
            </w:pPr>
            <w:r>
              <w:rPr>
                <w:noProof/>
              </w:rPr>
              <w:t xml:space="preserve">Milowy </w:t>
            </w:r>
          </w:p>
        </w:tc>
        <w:tc>
          <w:tcPr>
            <w:tcW w:w="310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535A44B" w14:textId="77777777" w:rsidR="004C6421" w:rsidRDefault="009D1962">
            <w:pPr>
              <w:pStyle w:val="P68B1DB1-Normal8"/>
              <w:rPr>
                <w:noProof/>
              </w:rPr>
            </w:pPr>
            <w:r>
              <w:rPr>
                <w:noProof/>
              </w:rPr>
              <w:t>Publikacja sprawozdania z oceny wszystkich zachęt dla przedsiębiorstw</w:t>
            </w:r>
          </w:p>
        </w:tc>
        <w:tc>
          <w:tcPr>
            <w:tcW w:w="236" w:type="dxa"/>
            <w:tcBorders>
              <w:top w:val="nil"/>
              <w:left w:val="single" w:sz="8" w:space="0" w:color="auto"/>
              <w:bottom w:val="nil"/>
              <w:right w:val="nil"/>
            </w:tcBorders>
            <w:vAlign w:val="center"/>
          </w:tcPr>
          <w:p w14:paraId="55ECC024" w14:textId="77777777" w:rsidR="004C6421" w:rsidRDefault="004C6421">
            <w:pPr>
              <w:rPr>
                <w:noProof/>
              </w:rPr>
            </w:pPr>
          </w:p>
        </w:tc>
      </w:tr>
      <w:tr w:rsidR="004C6421" w14:paraId="719C7E56"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25AA5A6D" w14:textId="77777777" w:rsidR="004C6421" w:rsidRDefault="009D1962">
            <w:pPr>
              <w:pStyle w:val="P68B1DB1-Normal8"/>
              <w:jc w:val="center"/>
              <w:rPr>
                <w:noProof/>
              </w:rPr>
            </w:pPr>
            <w:r>
              <w:rPr>
                <w:noProof/>
              </w:rPr>
              <w:t xml:space="preserve"> </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135BCC29" w14:textId="77777777" w:rsidR="004C6421" w:rsidRDefault="009D1962">
            <w:pPr>
              <w:pStyle w:val="P68B1DB1-Normal8"/>
              <w:rPr>
                <w:noProof/>
              </w:rPr>
            </w:pPr>
            <w:r>
              <w:rPr>
                <w:noProof/>
              </w:rPr>
              <w:t xml:space="preserve"> </w:t>
            </w:r>
          </w:p>
        </w:tc>
        <w:tc>
          <w:tcPr>
            <w:tcW w:w="1277"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43B3FC17" w14:textId="77777777" w:rsidR="004C6421" w:rsidRDefault="009D1962">
            <w:pPr>
              <w:pStyle w:val="P68B1DB1-Normal8"/>
              <w:rPr>
                <w:noProof/>
              </w:rPr>
            </w:pPr>
            <w:r>
              <w:rPr>
                <w:noProof/>
              </w:rPr>
              <w:t>Kwota transzy</w:t>
            </w:r>
          </w:p>
        </w:tc>
        <w:tc>
          <w:tcPr>
            <w:tcW w:w="3102"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6ADAC4DC" w14:textId="2E94D90B" w:rsidR="004C6421" w:rsidRDefault="009D1962">
            <w:pPr>
              <w:rPr>
                <w:noProof/>
              </w:rPr>
            </w:pPr>
            <w:r>
              <w:rPr>
                <w:noProof/>
                <w:color w:val="006100"/>
                <w:sz w:val="20"/>
              </w:rPr>
              <w:t>3541589877 EUR</w:t>
            </w:r>
            <w:r>
              <w:rPr>
                <w:noProof/>
                <w:sz w:val="23"/>
              </w:rPr>
              <w:t xml:space="preserve">  </w:t>
            </w:r>
          </w:p>
        </w:tc>
        <w:tc>
          <w:tcPr>
            <w:tcW w:w="236" w:type="dxa"/>
            <w:tcBorders>
              <w:top w:val="nil"/>
              <w:left w:val="single" w:sz="8" w:space="0" w:color="auto"/>
              <w:bottom w:val="nil"/>
              <w:right w:val="nil"/>
            </w:tcBorders>
            <w:vAlign w:val="center"/>
          </w:tcPr>
          <w:p w14:paraId="65BF2933" w14:textId="77777777" w:rsidR="004C6421" w:rsidRDefault="004C6421">
            <w:pPr>
              <w:rPr>
                <w:noProof/>
              </w:rPr>
            </w:pPr>
          </w:p>
        </w:tc>
      </w:tr>
    </w:tbl>
    <w:p w14:paraId="1BA7B044" w14:textId="77777777" w:rsidR="004C6421" w:rsidRDefault="004C6421">
      <w:pPr>
        <w:spacing w:line="276" w:lineRule="auto"/>
        <w:rPr>
          <w:noProof/>
        </w:rPr>
      </w:pPr>
    </w:p>
    <w:p w14:paraId="2DAD252D" w14:textId="77777777" w:rsidR="004C6421" w:rsidRDefault="009D1962">
      <w:pPr>
        <w:pStyle w:val="ListParagraph"/>
        <w:numPr>
          <w:ilvl w:val="1"/>
          <w:numId w:val="145"/>
        </w:numPr>
        <w:spacing w:before="0" w:after="0" w:line="279" w:lineRule="auto"/>
        <w:ind w:left="850" w:hanging="850"/>
        <w:rPr>
          <w:noProof/>
        </w:rPr>
      </w:pPr>
      <w:r>
        <w:rPr>
          <w:noProof/>
        </w:rPr>
        <w:t>Dziewiąta rata (wsparcie bezzwrotne):</w:t>
      </w:r>
    </w:p>
    <w:tbl>
      <w:tblPr>
        <w:tblW w:w="9359"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3543"/>
        <w:gridCol w:w="1276"/>
        <w:gridCol w:w="3105"/>
      </w:tblGrid>
      <w:tr w:rsidR="004C6421" w14:paraId="7BB73A37" w14:textId="77777777">
        <w:trPr>
          <w:trHeight w:val="1425"/>
          <w:tblHeader/>
        </w:trPr>
        <w:tc>
          <w:tcPr>
            <w:tcW w:w="1435" w:type="dxa"/>
            <w:shd w:val="clear" w:color="auto" w:fill="BDD7EE"/>
            <w:tcMar>
              <w:left w:w="108" w:type="dxa"/>
              <w:right w:w="108" w:type="dxa"/>
            </w:tcMar>
            <w:vAlign w:val="center"/>
          </w:tcPr>
          <w:p w14:paraId="6677F10F" w14:textId="77777777" w:rsidR="004C6421" w:rsidRDefault="009D1962">
            <w:pPr>
              <w:pStyle w:val="P68B1DB1-Normal36"/>
              <w:jc w:val="center"/>
              <w:rPr>
                <w:noProof/>
              </w:rPr>
            </w:pPr>
            <w:r>
              <w:rPr>
                <w:noProof/>
              </w:rPr>
              <w:t>Numer porządkowy</w:t>
            </w:r>
          </w:p>
        </w:tc>
        <w:tc>
          <w:tcPr>
            <w:tcW w:w="3543" w:type="dxa"/>
            <w:shd w:val="clear" w:color="auto" w:fill="BDD7EE"/>
            <w:tcMar>
              <w:left w:w="108" w:type="dxa"/>
              <w:right w:w="108" w:type="dxa"/>
            </w:tcMar>
            <w:vAlign w:val="center"/>
          </w:tcPr>
          <w:p w14:paraId="2267B1C1" w14:textId="77777777" w:rsidR="004C6421" w:rsidRDefault="009D1962">
            <w:pPr>
              <w:pStyle w:val="P68B1DB1-Normal36"/>
              <w:jc w:val="center"/>
              <w:rPr>
                <w:noProof/>
              </w:rPr>
            </w:pPr>
            <w:r>
              <w:rPr>
                <w:noProof/>
              </w:rPr>
              <w:t>Powiązane działanie (reforma lub inwestycja)</w:t>
            </w:r>
          </w:p>
        </w:tc>
        <w:tc>
          <w:tcPr>
            <w:tcW w:w="1276" w:type="dxa"/>
            <w:shd w:val="clear" w:color="auto" w:fill="BDD7EE"/>
            <w:tcMar>
              <w:left w:w="108" w:type="dxa"/>
              <w:right w:w="108" w:type="dxa"/>
            </w:tcMar>
            <w:vAlign w:val="center"/>
          </w:tcPr>
          <w:p w14:paraId="7F1B02C4" w14:textId="77777777" w:rsidR="004C6421" w:rsidRDefault="009D1962">
            <w:pPr>
              <w:pStyle w:val="P68B1DB1-Normal36"/>
              <w:jc w:val="center"/>
              <w:rPr>
                <w:noProof/>
              </w:rPr>
            </w:pPr>
            <w:r>
              <w:rPr>
                <w:noProof/>
              </w:rPr>
              <w:t>Kamień milowy/wartość docelowa</w:t>
            </w:r>
          </w:p>
        </w:tc>
        <w:tc>
          <w:tcPr>
            <w:tcW w:w="3105" w:type="dxa"/>
            <w:shd w:val="clear" w:color="auto" w:fill="BDD7EE"/>
            <w:tcMar>
              <w:left w:w="108" w:type="dxa"/>
              <w:right w:w="108" w:type="dxa"/>
            </w:tcMar>
            <w:vAlign w:val="center"/>
          </w:tcPr>
          <w:p w14:paraId="4A46083F" w14:textId="77777777" w:rsidR="004C6421" w:rsidRDefault="009D1962">
            <w:pPr>
              <w:pStyle w:val="P68B1DB1-Normal36"/>
              <w:jc w:val="center"/>
              <w:rPr>
                <w:noProof/>
              </w:rPr>
            </w:pPr>
            <w:r>
              <w:rPr>
                <w:noProof/>
              </w:rPr>
              <w:t>Nazwa</w:t>
            </w:r>
          </w:p>
        </w:tc>
      </w:tr>
      <w:tr w:rsidR="004C6421" w14:paraId="722D463F" w14:textId="77777777">
        <w:trPr>
          <w:trHeight w:val="300"/>
        </w:trPr>
        <w:tc>
          <w:tcPr>
            <w:tcW w:w="1435" w:type="dxa"/>
            <w:shd w:val="clear" w:color="auto" w:fill="C6EFCE"/>
            <w:tcMar>
              <w:left w:w="108" w:type="dxa"/>
              <w:right w:w="108" w:type="dxa"/>
            </w:tcMar>
            <w:vAlign w:val="center"/>
          </w:tcPr>
          <w:p w14:paraId="3F414E4F" w14:textId="77777777" w:rsidR="004C6421" w:rsidRDefault="009D1962">
            <w:pPr>
              <w:pStyle w:val="P68B1DB1-Normal8"/>
              <w:jc w:val="center"/>
              <w:rPr>
                <w:noProof/>
              </w:rPr>
            </w:pPr>
            <w:r>
              <w:rPr>
                <w:noProof/>
              </w:rPr>
              <w:t>M4C1-7</w:t>
            </w:r>
          </w:p>
        </w:tc>
        <w:tc>
          <w:tcPr>
            <w:tcW w:w="3543" w:type="dxa"/>
            <w:shd w:val="clear" w:color="auto" w:fill="C6EFCE"/>
            <w:tcMar>
              <w:left w:w="108" w:type="dxa"/>
              <w:right w:w="108" w:type="dxa"/>
            </w:tcMar>
            <w:vAlign w:val="center"/>
          </w:tcPr>
          <w:p w14:paraId="47661021" w14:textId="77777777" w:rsidR="004C6421" w:rsidRDefault="009D1962">
            <w:pPr>
              <w:pStyle w:val="P68B1DB1-Normal8"/>
              <w:rPr>
                <w:noProof/>
              </w:rPr>
            </w:pPr>
            <w:r>
              <w:rPr>
                <w:noProof/>
              </w:rPr>
              <w:t>Inwestycje 1.4: Nadzwyczajne działanie mające na celu zmniejszenie różnic terytorialnych w pierwszym i drugim cyklu szkoły średniej oraz rozwiązanie problemu przedwczesnego kończenia nauki</w:t>
            </w:r>
          </w:p>
        </w:tc>
        <w:tc>
          <w:tcPr>
            <w:tcW w:w="1276" w:type="dxa"/>
            <w:shd w:val="clear" w:color="auto" w:fill="C6EFCE"/>
            <w:tcMar>
              <w:left w:w="108" w:type="dxa"/>
              <w:right w:w="108" w:type="dxa"/>
            </w:tcMar>
            <w:vAlign w:val="center"/>
          </w:tcPr>
          <w:p w14:paraId="31859D41" w14:textId="77777777" w:rsidR="004C6421" w:rsidRDefault="009D1962">
            <w:pPr>
              <w:pStyle w:val="P68B1DB1-Normal8"/>
              <w:jc w:val="center"/>
              <w:rPr>
                <w:noProof/>
              </w:rPr>
            </w:pPr>
            <w:r>
              <w:rPr>
                <w:noProof/>
              </w:rPr>
              <w:t>Cel</w:t>
            </w:r>
          </w:p>
        </w:tc>
        <w:tc>
          <w:tcPr>
            <w:tcW w:w="3105" w:type="dxa"/>
            <w:shd w:val="clear" w:color="auto" w:fill="C6EFCE"/>
            <w:tcMar>
              <w:left w:w="108" w:type="dxa"/>
              <w:right w:w="108" w:type="dxa"/>
            </w:tcMar>
            <w:vAlign w:val="center"/>
          </w:tcPr>
          <w:p w14:paraId="6DEE833A" w14:textId="77777777" w:rsidR="004C6421" w:rsidRDefault="009D1962">
            <w:pPr>
              <w:pStyle w:val="P68B1DB1-Normal8"/>
              <w:rPr>
                <w:noProof/>
              </w:rPr>
            </w:pPr>
            <w:r>
              <w:rPr>
                <w:noProof/>
              </w:rPr>
              <w:t>Studenci lub młodzi ludzie, którzy uczestniczyli w działaniach mentorskich lub kursach szkoleniowych</w:t>
            </w:r>
          </w:p>
        </w:tc>
      </w:tr>
      <w:tr w:rsidR="004C6421" w14:paraId="1872879E" w14:textId="77777777">
        <w:trPr>
          <w:trHeight w:val="300"/>
        </w:trPr>
        <w:tc>
          <w:tcPr>
            <w:tcW w:w="1435" w:type="dxa"/>
            <w:shd w:val="clear" w:color="auto" w:fill="C6EFCE"/>
            <w:tcMar>
              <w:left w:w="108" w:type="dxa"/>
              <w:right w:w="108" w:type="dxa"/>
            </w:tcMar>
            <w:vAlign w:val="center"/>
          </w:tcPr>
          <w:p w14:paraId="4DECDA98" w14:textId="77777777" w:rsidR="004C6421" w:rsidRDefault="009D1962">
            <w:pPr>
              <w:pStyle w:val="P68B1DB1-Normal8"/>
              <w:jc w:val="center"/>
              <w:rPr>
                <w:noProof/>
              </w:rPr>
            </w:pPr>
            <w:r>
              <w:rPr>
                <w:noProof/>
              </w:rPr>
              <w:t>M4C1-14 bis</w:t>
            </w:r>
          </w:p>
        </w:tc>
        <w:tc>
          <w:tcPr>
            <w:tcW w:w="3543" w:type="dxa"/>
            <w:shd w:val="clear" w:color="auto" w:fill="C6EFCE"/>
            <w:tcMar>
              <w:left w:w="108" w:type="dxa"/>
              <w:right w:w="108" w:type="dxa"/>
            </w:tcMar>
            <w:vAlign w:val="center"/>
          </w:tcPr>
          <w:p w14:paraId="128ACEDD" w14:textId="77777777" w:rsidR="004C6421" w:rsidRDefault="009D1962">
            <w:pPr>
              <w:pStyle w:val="P68B1DB1-Normal8"/>
              <w:rPr>
                <w:noProof/>
              </w:rPr>
            </w:pPr>
            <w:r>
              <w:rPr>
                <w:noProof/>
              </w:rPr>
              <w:t xml:space="preserve">Reforma 2.1: Rekrutacja nauczycieli   </w:t>
            </w:r>
          </w:p>
        </w:tc>
        <w:tc>
          <w:tcPr>
            <w:tcW w:w="1276" w:type="dxa"/>
            <w:shd w:val="clear" w:color="auto" w:fill="C6EFCE"/>
            <w:tcMar>
              <w:left w:w="108" w:type="dxa"/>
              <w:right w:w="108" w:type="dxa"/>
            </w:tcMar>
            <w:vAlign w:val="center"/>
          </w:tcPr>
          <w:p w14:paraId="722EBF5C" w14:textId="77777777" w:rsidR="004C6421" w:rsidRDefault="009D1962">
            <w:pPr>
              <w:pStyle w:val="P68B1DB1-Normal8"/>
              <w:jc w:val="center"/>
              <w:rPr>
                <w:noProof/>
              </w:rPr>
            </w:pPr>
            <w:r>
              <w:rPr>
                <w:noProof/>
              </w:rPr>
              <w:t xml:space="preserve">Cel </w:t>
            </w:r>
          </w:p>
        </w:tc>
        <w:tc>
          <w:tcPr>
            <w:tcW w:w="3105" w:type="dxa"/>
            <w:shd w:val="clear" w:color="auto" w:fill="C6EFCE"/>
            <w:tcMar>
              <w:left w:w="108" w:type="dxa"/>
              <w:right w:w="108" w:type="dxa"/>
            </w:tcMar>
            <w:vAlign w:val="center"/>
          </w:tcPr>
          <w:p w14:paraId="06702CC7" w14:textId="77777777" w:rsidR="004C6421" w:rsidRDefault="009D1962">
            <w:pPr>
              <w:pStyle w:val="P68B1DB1-Normal8"/>
              <w:rPr>
                <w:noProof/>
              </w:rPr>
            </w:pPr>
            <w:r>
              <w:rPr>
                <w:noProof/>
              </w:rPr>
              <w:t>Nauczyciele zatrudnieni w ramach zreformowanego systemu rekrutacji</w:t>
            </w:r>
          </w:p>
        </w:tc>
      </w:tr>
      <w:tr w:rsidR="004C6421" w14:paraId="4CFF9120" w14:textId="77777777">
        <w:trPr>
          <w:trHeight w:val="300"/>
        </w:trPr>
        <w:tc>
          <w:tcPr>
            <w:tcW w:w="1435" w:type="dxa"/>
            <w:shd w:val="clear" w:color="auto" w:fill="C6EFCE"/>
            <w:tcMar>
              <w:left w:w="108" w:type="dxa"/>
              <w:right w:w="108" w:type="dxa"/>
            </w:tcMar>
            <w:vAlign w:val="center"/>
          </w:tcPr>
          <w:p w14:paraId="7CC96A26" w14:textId="77777777" w:rsidR="004C6421" w:rsidRDefault="009D1962">
            <w:pPr>
              <w:pStyle w:val="P68B1DB1-Normal8"/>
              <w:jc w:val="center"/>
              <w:rPr>
                <w:noProof/>
              </w:rPr>
            </w:pPr>
            <w:r>
              <w:rPr>
                <w:noProof/>
              </w:rPr>
              <w:t>M7-6</w:t>
            </w:r>
          </w:p>
        </w:tc>
        <w:tc>
          <w:tcPr>
            <w:tcW w:w="3543" w:type="dxa"/>
            <w:shd w:val="clear" w:color="auto" w:fill="C6EFCE"/>
            <w:tcMar>
              <w:left w:w="108" w:type="dxa"/>
              <w:right w:w="108" w:type="dxa"/>
            </w:tcMar>
            <w:vAlign w:val="center"/>
          </w:tcPr>
          <w:p w14:paraId="55FA2505" w14:textId="77777777" w:rsidR="004C6421" w:rsidRDefault="009D1962">
            <w:pPr>
              <w:pStyle w:val="P68B1DB1-Normal8"/>
              <w:rPr>
                <w:noProof/>
              </w:rPr>
            </w:pPr>
            <w:r>
              <w:rPr>
                <w:noProof/>
              </w:rPr>
              <w:t>Reforma 3: Zmniejszenie kosztów przyłączenia biometanu do sieci gazowej</w:t>
            </w:r>
          </w:p>
        </w:tc>
        <w:tc>
          <w:tcPr>
            <w:tcW w:w="1276" w:type="dxa"/>
            <w:shd w:val="clear" w:color="auto" w:fill="C6EFCE"/>
            <w:tcMar>
              <w:left w:w="108" w:type="dxa"/>
              <w:right w:w="108" w:type="dxa"/>
            </w:tcMar>
            <w:vAlign w:val="center"/>
          </w:tcPr>
          <w:p w14:paraId="786B1C56" w14:textId="06740B18" w:rsidR="004C6421" w:rsidRDefault="00CC179E">
            <w:pPr>
              <w:pStyle w:val="P68B1DB1-Normal8"/>
              <w:jc w:val="center"/>
              <w:rPr>
                <w:noProof/>
              </w:rPr>
            </w:pPr>
            <w:r>
              <w:rPr>
                <w:noProof/>
              </w:rPr>
              <w:t>Milowy</w:t>
            </w:r>
          </w:p>
        </w:tc>
        <w:tc>
          <w:tcPr>
            <w:tcW w:w="3105" w:type="dxa"/>
            <w:shd w:val="clear" w:color="auto" w:fill="C6EFCE"/>
            <w:tcMar>
              <w:left w:w="108" w:type="dxa"/>
              <w:right w:w="108" w:type="dxa"/>
            </w:tcMar>
            <w:vAlign w:val="center"/>
          </w:tcPr>
          <w:p w14:paraId="402B022F" w14:textId="77777777" w:rsidR="004C6421" w:rsidRDefault="009D1962">
            <w:pPr>
              <w:pStyle w:val="P68B1DB1-Normal8"/>
              <w:rPr>
                <w:noProof/>
              </w:rPr>
            </w:pPr>
            <w:r>
              <w:rPr>
                <w:noProof/>
              </w:rPr>
              <w:t xml:space="preserve">Wejście w życie przepisów mających na celu zmniejszenie kosztów przyłączenia zakładów produkujących biometan do sieci gazowej </w:t>
            </w:r>
          </w:p>
        </w:tc>
      </w:tr>
      <w:tr w:rsidR="004C6421" w14:paraId="4241D4DA" w14:textId="77777777">
        <w:trPr>
          <w:trHeight w:val="300"/>
        </w:trPr>
        <w:tc>
          <w:tcPr>
            <w:tcW w:w="1435" w:type="dxa"/>
            <w:shd w:val="clear" w:color="auto" w:fill="C6EFCE"/>
            <w:tcMar>
              <w:left w:w="108" w:type="dxa"/>
              <w:right w:w="108" w:type="dxa"/>
            </w:tcMar>
            <w:vAlign w:val="center"/>
          </w:tcPr>
          <w:p w14:paraId="036F607B" w14:textId="77777777" w:rsidR="004C6421" w:rsidRDefault="009D1962">
            <w:pPr>
              <w:pStyle w:val="P68B1DB1-Normal8"/>
              <w:jc w:val="center"/>
              <w:rPr>
                <w:noProof/>
              </w:rPr>
            </w:pPr>
            <w:r>
              <w:rPr>
                <w:noProof/>
              </w:rPr>
              <w:t>M7-10</w:t>
            </w:r>
          </w:p>
        </w:tc>
        <w:tc>
          <w:tcPr>
            <w:tcW w:w="3543" w:type="dxa"/>
            <w:shd w:val="clear" w:color="auto" w:fill="C6EFCE"/>
            <w:tcMar>
              <w:left w:w="108" w:type="dxa"/>
              <w:right w:w="108" w:type="dxa"/>
            </w:tcMar>
            <w:vAlign w:val="center"/>
          </w:tcPr>
          <w:p w14:paraId="62D4F8B7" w14:textId="77777777" w:rsidR="004C6421" w:rsidRDefault="009D1962">
            <w:pPr>
              <w:pStyle w:val="P68B1DB1-Normal8"/>
              <w:rPr>
                <w:noProof/>
              </w:rPr>
            </w:pPr>
            <w:r>
              <w:rPr>
                <w:noProof/>
              </w:rPr>
              <w:t>Reforma 5: Plan na rzecz nowych umiejętności – przemiany</w:t>
            </w:r>
          </w:p>
        </w:tc>
        <w:tc>
          <w:tcPr>
            <w:tcW w:w="1276" w:type="dxa"/>
            <w:shd w:val="clear" w:color="auto" w:fill="C6EFCE"/>
            <w:tcMar>
              <w:left w:w="108" w:type="dxa"/>
              <w:right w:w="108" w:type="dxa"/>
            </w:tcMar>
            <w:vAlign w:val="center"/>
          </w:tcPr>
          <w:p w14:paraId="1F5680DD" w14:textId="2CDA52B0" w:rsidR="004C6421" w:rsidRDefault="00CC179E">
            <w:pPr>
              <w:pStyle w:val="P68B1DB1-Normal8"/>
              <w:jc w:val="center"/>
              <w:rPr>
                <w:noProof/>
              </w:rPr>
            </w:pPr>
            <w:r>
              <w:rPr>
                <w:noProof/>
              </w:rPr>
              <w:t>Milowy</w:t>
            </w:r>
          </w:p>
        </w:tc>
        <w:tc>
          <w:tcPr>
            <w:tcW w:w="3105" w:type="dxa"/>
            <w:shd w:val="clear" w:color="auto" w:fill="C6EFCE"/>
            <w:tcMar>
              <w:left w:w="108" w:type="dxa"/>
              <w:right w:w="108" w:type="dxa"/>
            </w:tcMar>
            <w:vAlign w:val="center"/>
          </w:tcPr>
          <w:p w14:paraId="549A65D7" w14:textId="77777777" w:rsidR="004C6421" w:rsidRDefault="009D1962">
            <w:pPr>
              <w:pStyle w:val="P68B1DB1-Normal8"/>
              <w:rPr>
                <w:noProof/>
              </w:rPr>
            </w:pPr>
            <w:r>
              <w:rPr>
                <w:noProof/>
              </w:rPr>
              <w:t>Wejście w życie ustaw regionalnych</w:t>
            </w:r>
          </w:p>
        </w:tc>
      </w:tr>
      <w:tr w:rsidR="004C6421" w14:paraId="095B9DB0" w14:textId="77777777">
        <w:trPr>
          <w:trHeight w:val="300"/>
        </w:trPr>
        <w:tc>
          <w:tcPr>
            <w:tcW w:w="1435" w:type="dxa"/>
            <w:shd w:val="clear" w:color="auto" w:fill="C6EFCE"/>
            <w:tcMar>
              <w:left w:w="108" w:type="dxa"/>
              <w:right w:w="108" w:type="dxa"/>
            </w:tcMar>
            <w:vAlign w:val="center"/>
          </w:tcPr>
          <w:p w14:paraId="728F90AD" w14:textId="77777777" w:rsidR="004C6421" w:rsidRDefault="009D1962">
            <w:pPr>
              <w:pStyle w:val="P68B1DB1-Normal8"/>
              <w:jc w:val="center"/>
              <w:rPr>
                <w:noProof/>
              </w:rPr>
            </w:pPr>
            <w:r>
              <w:rPr>
                <w:noProof/>
              </w:rPr>
              <w:t>M7-18</w:t>
            </w:r>
          </w:p>
        </w:tc>
        <w:tc>
          <w:tcPr>
            <w:tcW w:w="3543" w:type="dxa"/>
            <w:shd w:val="clear" w:color="auto" w:fill="C6EFCE"/>
            <w:tcMar>
              <w:left w:w="108" w:type="dxa"/>
              <w:right w:w="108" w:type="dxa"/>
            </w:tcMar>
            <w:vAlign w:val="center"/>
          </w:tcPr>
          <w:p w14:paraId="08AE22C1" w14:textId="77777777" w:rsidR="004C6421" w:rsidRDefault="009D1962">
            <w:pPr>
              <w:pStyle w:val="P68B1DB1-Normal8"/>
              <w:rPr>
                <w:noProof/>
              </w:rPr>
            </w:pPr>
            <w:r>
              <w:rPr>
                <w:noProof/>
              </w:rPr>
              <w:t>Inwestycja 6: Projekty dotyczące transgranicznych elektroenergetycznych połączeń międzysystemowych między Włochami a krajami sąsiadującymi</w:t>
            </w:r>
          </w:p>
        </w:tc>
        <w:tc>
          <w:tcPr>
            <w:tcW w:w="1276" w:type="dxa"/>
            <w:shd w:val="clear" w:color="auto" w:fill="C6EFCE"/>
            <w:tcMar>
              <w:left w:w="108" w:type="dxa"/>
              <w:right w:w="108" w:type="dxa"/>
            </w:tcMar>
            <w:vAlign w:val="center"/>
          </w:tcPr>
          <w:p w14:paraId="1B77FACA" w14:textId="4EA301E7" w:rsidR="004C6421" w:rsidRDefault="00CC179E">
            <w:pPr>
              <w:pStyle w:val="P68B1DB1-Normal8"/>
              <w:jc w:val="center"/>
              <w:rPr>
                <w:noProof/>
              </w:rPr>
            </w:pPr>
            <w:r>
              <w:rPr>
                <w:noProof/>
              </w:rPr>
              <w:t>Milowy</w:t>
            </w:r>
          </w:p>
        </w:tc>
        <w:tc>
          <w:tcPr>
            <w:tcW w:w="3105" w:type="dxa"/>
            <w:shd w:val="clear" w:color="auto" w:fill="C6EFCE"/>
            <w:tcMar>
              <w:left w:w="108" w:type="dxa"/>
              <w:right w:w="108" w:type="dxa"/>
            </w:tcMar>
            <w:vAlign w:val="center"/>
          </w:tcPr>
          <w:p w14:paraId="64DCE575" w14:textId="77777777" w:rsidR="004C6421" w:rsidRDefault="009D1962">
            <w:pPr>
              <w:pStyle w:val="P68B1DB1-Normal8"/>
              <w:rPr>
                <w:noProof/>
              </w:rPr>
            </w:pPr>
            <w:r>
              <w:rPr>
                <w:noProof/>
              </w:rPr>
              <w:t>Udzielenie zamówień na budowę połączenia międzysystemowego Włochy-Austria „Somplago – Würmlach”</w:t>
            </w:r>
          </w:p>
        </w:tc>
      </w:tr>
      <w:tr w:rsidR="004C6421" w14:paraId="4C480E90" w14:textId="77777777">
        <w:trPr>
          <w:trHeight w:val="300"/>
        </w:trPr>
        <w:tc>
          <w:tcPr>
            <w:tcW w:w="1435" w:type="dxa"/>
            <w:shd w:val="clear" w:color="auto" w:fill="C6EFCE"/>
            <w:tcMar>
              <w:left w:w="108" w:type="dxa"/>
              <w:right w:w="108" w:type="dxa"/>
            </w:tcMar>
            <w:vAlign w:val="center"/>
          </w:tcPr>
          <w:p w14:paraId="1ABD16CC" w14:textId="77777777" w:rsidR="004C6421" w:rsidRDefault="009D1962">
            <w:pPr>
              <w:pStyle w:val="P68B1DB1-Normal8"/>
              <w:jc w:val="center"/>
              <w:rPr>
                <w:noProof/>
              </w:rPr>
            </w:pPr>
            <w:r>
              <w:rPr>
                <w:noProof/>
              </w:rPr>
              <w:t>M1C1-24</w:t>
            </w:r>
          </w:p>
        </w:tc>
        <w:tc>
          <w:tcPr>
            <w:tcW w:w="3543" w:type="dxa"/>
            <w:shd w:val="clear" w:color="auto" w:fill="C6EFCE"/>
            <w:tcMar>
              <w:left w:w="108" w:type="dxa"/>
              <w:right w:w="108" w:type="dxa"/>
            </w:tcMar>
            <w:vAlign w:val="center"/>
          </w:tcPr>
          <w:p w14:paraId="632049E1" w14:textId="77777777" w:rsidR="004C6421" w:rsidRDefault="009D1962">
            <w:pPr>
              <w:pStyle w:val="P68B1DB1-Normal8"/>
              <w:rPr>
                <w:noProof/>
              </w:rPr>
            </w:pPr>
            <w:r>
              <w:rPr>
                <w:noProof/>
              </w:rPr>
              <w:t>Inwestycje 1.7.1: Cyfrowa Służba Cywilna</w:t>
            </w:r>
          </w:p>
        </w:tc>
        <w:tc>
          <w:tcPr>
            <w:tcW w:w="1276" w:type="dxa"/>
            <w:shd w:val="clear" w:color="auto" w:fill="C6EFCE"/>
            <w:tcMar>
              <w:left w:w="108" w:type="dxa"/>
              <w:right w:w="108" w:type="dxa"/>
            </w:tcMar>
            <w:vAlign w:val="center"/>
          </w:tcPr>
          <w:p w14:paraId="68BF184C" w14:textId="77777777" w:rsidR="004C6421" w:rsidRDefault="009D1962">
            <w:pPr>
              <w:pStyle w:val="P68B1DB1-Normal8"/>
              <w:jc w:val="center"/>
              <w:rPr>
                <w:noProof/>
              </w:rPr>
            </w:pPr>
            <w:r>
              <w:rPr>
                <w:noProof/>
              </w:rPr>
              <w:t>Cel</w:t>
            </w:r>
          </w:p>
        </w:tc>
        <w:tc>
          <w:tcPr>
            <w:tcW w:w="3105" w:type="dxa"/>
            <w:shd w:val="clear" w:color="auto" w:fill="C6EFCE"/>
            <w:tcMar>
              <w:left w:w="108" w:type="dxa"/>
              <w:right w:w="108" w:type="dxa"/>
            </w:tcMar>
            <w:vAlign w:val="center"/>
          </w:tcPr>
          <w:p w14:paraId="06141A78" w14:textId="77777777" w:rsidR="004C6421" w:rsidRDefault="009D1962">
            <w:pPr>
              <w:pStyle w:val="P68B1DB1-Normal8"/>
              <w:rPr>
                <w:noProof/>
              </w:rPr>
            </w:pPr>
            <w:r>
              <w:rPr>
                <w:noProof/>
              </w:rPr>
              <w:t xml:space="preserve">Obywatele uczestniczący w inicjatywach w zakresie edukacji cyfrowej lub ułatwień oferowanych przez organizacje zarejestrowane w krajowym rejestrze organizacji powszechnych służby cywilnej </w:t>
            </w:r>
          </w:p>
        </w:tc>
      </w:tr>
      <w:tr w:rsidR="004C6421" w14:paraId="25FD3CC8" w14:textId="77777777">
        <w:trPr>
          <w:trHeight w:val="300"/>
        </w:trPr>
        <w:tc>
          <w:tcPr>
            <w:tcW w:w="1435" w:type="dxa"/>
            <w:shd w:val="clear" w:color="auto" w:fill="C6EFCE"/>
            <w:tcMar>
              <w:left w:w="108" w:type="dxa"/>
              <w:right w:w="108" w:type="dxa"/>
            </w:tcMar>
            <w:vAlign w:val="center"/>
          </w:tcPr>
          <w:p w14:paraId="03638129" w14:textId="77777777" w:rsidR="004C6421" w:rsidRDefault="009D1962">
            <w:pPr>
              <w:pStyle w:val="P68B1DB1-Normal8"/>
              <w:jc w:val="center"/>
              <w:rPr>
                <w:noProof/>
              </w:rPr>
            </w:pPr>
            <w:r>
              <w:rPr>
                <w:noProof/>
              </w:rPr>
              <w:t>M1C1-96</w:t>
            </w:r>
          </w:p>
        </w:tc>
        <w:tc>
          <w:tcPr>
            <w:tcW w:w="3543" w:type="dxa"/>
            <w:shd w:val="clear" w:color="auto" w:fill="C6EFCE"/>
            <w:tcMar>
              <w:left w:w="108" w:type="dxa"/>
              <w:right w:w="108" w:type="dxa"/>
            </w:tcMar>
            <w:vAlign w:val="center"/>
          </w:tcPr>
          <w:p w14:paraId="1B5EA304" w14:textId="77777777" w:rsidR="004C6421" w:rsidRDefault="009D1962">
            <w:pPr>
              <w:pStyle w:val="P68B1DB1-Normal8"/>
              <w:jc w:val="center"/>
              <w:rPr>
                <w:noProof/>
              </w:rPr>
            </w:pPr>
            <w:r>
              <w:rPr>
                <w:noProof/>
              </w:rPr>
              <w:t>Reforma 1.10: Reforma ram prawnych dotyczących zamówień publicznych</w:t>
            </w:r>
          </w:p>
        </w:tc>
        <w:tc>
          <w:tcPr>
            <w:tcW w:w="1276" w:type="dxa"/>
            <w:shd w:val="clear" w:color="auto" w:fill="C6EFCE"/>
            <w:tcMar>
              <w:left w:w="108" w:type="dxa"/>
              <w:right w:w="108" w:type="dxa"/>
            </w:tcMar>
            <w:vAlign w:val="center"/>
          </w:tcPr>
          <w:p w14:paraId="18A08EDF" w14:textId="77777777" w:rsidR="004C6421" w:rsidRDefault="009D1962">
            <w:pPr>
              <w:pStyle w:val="P68B1DB1-Normal8"/>
              <w:jc w:val="center"/>
              <w:rPr>
                <w:noProof/>
              </w:rPr>
            </w:pPr>
            <w:r>
              <w:rPr>
                <w:noProof/>
              </w:rPr>
              <w:t>Cel</w:t>
            </w:r>
          </w:p>
        </w:tc>
        <w:tc>
          <w:tcPr>
            <w:tcW w:w="3105" w:type="dxa"/>
            <w:shd w:val="clear" w:color="auto" w:fill="C6EFCE"/>
            <w:tcMar>
              <w:left w:w="108" w:type="dxa"/>
              <w:right w:w="108" w:type="dxa"/>
            </w:tcMar>
            <w:vAlign w:val="center"/>
          </w:tcPr>
          <w:p w14:paraId="6295C040" w14:textId="77777777" w:rsidR="004C6421" w:rsidRDefault="009D1962">
            <w:pPr>
              <w:pStyle w:val="P68B1DB1-Normal8"/>
              <w:rPr>
                <w:noProof/>
              </w:rPr>
            </w:pPr>
            <w:r>
              <w:rPr>
                <w:noProof/>
              </w:rPr>
              <w:t>Średni czas między publikacją a udzieleniem zamówienia</w:t>
            </w:r>
          </w:p>
        </w:tc>
      </w:tr>
      <w:tr w:rsidR="004C6421" w14:paraId="3A087A98" w14:textId="77777777">
        <w:trPr>
          <w:trHeight w:val="300"/>
        </w:trPr>
        <w:tc>
          <w:tcPr>
            <w:tcW w:w="1435" w:type="dxa"/>
            <w:shd w:val="clear" w:color="auto" w:fill="C6EFCE"/>
            <w:tcMar>
              <w:left w:w="108" w:type="dxa"/>
              <w:right w:w="108" w:type="dxa"/>
            </w:tcMar>
            <w:vAlign w:val="center"/>
          </w:tcPr>
          <w:p w14:paraId="7F117CD9" w14:textId="77777777" w:rsidR="004C6421" w:rsidRDefault="009D1962">
            <w:pPr>
              <w:pStyle w:val="P68B1DB1-Normal8"/>
              <w:jc w:val="center"/>
              <w:rPr>
                <w:noProof/>
              </w:rPr>
            </w:pPr>
            <w:r>
              <w:rPr>
                <w:noProof/>
              </w:rPr>
              <w:t>M1C1-98bis</w:t>
            </w:r>
          </w:p>
        </w:tc>
        <w:tc>
          <w:tcPr>
            <w:tcW w:w="3543" w:type="dxa"/>
            <w:shd w:val="clear" w:color="auto" w:fill="C6EFCE"/>
            <w:tcMar>
              <w:left w:w="108" w:type="dxa"/>
              <w:right w:w="108" w:type="dxa"/>
            </w:tcMar>
            <w:vAlign w:val="center"/>
          </w:tcPr>
          <w:p w14:paraId="5CEF99E0" w14:textId="77777777" w:rsidR="004C6421" w:rsidRDefault="009D1962">
            <w:pPr>
              <w:pStyle w:val="P68B1DB1-Normal8"/>
              <w:jc w:val="center"/>
              <w:rPr>
                <w:noProof/>
              </w:rPr>
            </w:pPr>
            <w:r>
              <w:rPr>
                <w:noProof/>
              </w:rPr>
              <w:t>Reforma 1.10: Reforma ram prawnych dotyczących zamówień publicznych</w:t>
            </w:r>
          </w:p>
        </w:tc>
        <w:tc>
          <w:tcPr>
            <w:tcW w:w="1276" w:type="dxa"/>
            <w:shd w:val="clear" w:color="auto" w:fill="C6EFCE"/>
            <w:tcMar>
              <w:left w:w="108" w:type="dxa"/>
              <w:right w:w="108" w:type="dxa"/>
            </w:tcMar>
            <w:vAlign w:val="center"/>
          </w:tcPr>
          <w:p w14:paraId="6EEF08C1" w14:textId="77777777" w:rsidR="004C6421" w:rsidRDefault="009D1962">
            <w:pPr>
              <w:pStyle w:val="P68B1DB1-Normal8"/>
              <w:jc w:val="center"/>
              <w:rPr>
                <w:noProof/>
              </w:rPr>
            </w:pPr>
            <w:r>
              <w:rPr>
                <w:noProof/>
              </w:rPr>
              <w:t>Cel</w:t>
            </w:r>
          </w:p>
        </w:tc>
        <w:tc>
          <w:tcPr>
            <w:tcW w:w="3105" w:type="dxa"/>
            <w:shd w:val="clear" w:color="auto" w:fill="C6EFCE"/>
            <w:tcMar>
              <w:left w:w="108" w:type="dxa"/>
              <w:right w:w="108" w:type="dxa"/>
            </w:tcMar>
            <w:vAlign w:val="center"/>
          </w:tcPr>
          <w:p w14:paraId="632FC0E8" w14:textId="77777777" w:rsidR="004C6421" w:rsidRDefault="009D1962">
            <w:pPr>
              <w:pStyle w:val="P68B1DB1-Normal8"/>
              <w:rPr>
                <w:noProof/>
              </w:rPr>
            </w:pPr>
            <w:r>
              <w:rPr>
                <w:noProof/>
              </w:rPr>
              <w:t>Urzędnicy służby cywilnej przeszkoleni w ramach strategii na rzecz profesjonalizacji nabywców publicznych</w:t>
            </w:r>
          </w:p>
        </w:tc>
      </w:tr>
      <w:tr w:rsidR="004C6421" w14:paraId="7A5D960A" w14:textId="77777777">
        <w:trPr>
          <w:trHeight w:val="300"/>
        </w:trPr>
        <w:tc>
          <w:tcPr>
            <w:tcW w:w="1435" w:type="dxa"/>
            <w:shd w:val="clear" w:color="auto" w:fill="C6EFCE"/>
            <w:tcMar>
              <w:left w:w="108" w:type="dxa"/>
              <w:right w:w="108" w:type="dxa"/>
            </w:tcMar>
            <w:vAlign w:val="center"/>
          </w:tcPr>
          <w:p w14:paraId="7253EBC9" w14:textId="77777777" w:rsidR="004C6421" w:rsidRDefault="009D1962">
            <w:pPr>
              <w:pStyle w:val="P68B1DB1-Normal8"/>
              <w:jc w:val="center"/>
              <w:rPr>
                <w:noProof/>
              </w:rPr>
            </w:pPr>
            <w:r>
              <w:rPr>
                <w:noProof/>
              </w:rPr>
              <w:t>M1C1-99bis</w:t>
            </w:r>
          </w:p>
        </w:tc>
        <w:tc>
          <w:tcPr>
            <w:tcW w:w="3543" w:type="dxa"/>
            <w:shd w:val="clear" w:color="auto" w:fill="C6EFCE"/>
            <w:tcMar>
              <w:left w:w="108" w:type="dxa"/>
              <w:right w:w="108" w:type="dxa"/>
            </w:tcMar>
            <w:vAlign w:val="center"/>
          </w:tcPr>
          <w:p w14:paraId="188984AB" w14:textId="77777777" w:rsidR="004C6421" w:rsidRDefault="009D1962">
            <w:pPr>
              <w:pStyle w:val="P68B1DB1-Normal8"/>
              <w:rPr>
                <w:noProof/>
              </w:rPr>
            </w:pPr>
            <w:r>
              <w:rPr>
                <w:noProof/>
              </w:rPr>
              <w:t>Reforma 1.10: Reforma ram prawnych dotyczących zamówień publicznych Inwestycje 1.10: Wsparcie na rzecz kwalifikacji i e-zamówień</w:t>
            </w:r>
          </w:p>
        </w:tc>
        <w:tc>
          <w:tcPr>
            <w:tcW w:w="1276" w:type="dxa"/>
            <w:shd w:val="clear" w:color="auto" w:fill="C6EFCE"/>
            <w:tcMar>
              <w:left w:w="108" w:type="dxa"/>
              <w:right w:w="108" w:type="dxa"/>
            </w:tcMar>
            <w:vAlign w:val="center"/>
          </w:tcPr>
          <w:p w14:paraId="6EB35754" w14:textId="77777777" w:rsidR="004C6421" w:rsidRDefault="009D1962">
            <w:pPr>
              <w:pStyle w:val="P68B1DB1-Normal8"/>
              <w:jc w:val="center"/>
              <w:rPr>
                <w:noProof/>
              </w:rPr>
            </w:pPr>
            <w:r>
              <w:rPr>
                <w:noProof/>
              </w:rPr>
              <w:t>Cel</w:t>
            </w:r>
          </w:p>
        </w:tc>
        <w:tc>
          <w:tcPr>
            <w:tcW w:w="3105" w:type="dxa"/>
            <w:shd w:val="clear" w:color="auto" w:fill="C6EFCE"/>
            <w:tcMar>
              <w:left w:w="108" w:type="dxa"/>
              <w:right w:w="108" w:type="dxa"/>
            </w:tcMar>
            <w:vAlign w:val="center"/>
          </w:tcPr>
          <w:p w14:paraId="712A2F18" w14:textId="77777777" w:rsidR="004C6421" w:rsidRDefault="009D1962">
            <w:pPr>
              <w:pStyle w:val="P68B1DB1-Normal8"/>
              <w:rPr>
                <w:noProof/>
              </w:rPr>
            </w:pPr>
            <w:r>
              <w:rPr>
                <w:noProof/>
              </w:rPr>
              <w:t xml:space="preserve">Kompetencje cyfrowe instytucji zamawiających </w:t>
            </w:r>
          </w:p>
        </w:tc>
      </w:tr>
      <w:tr w:rsidR="004C6421" w14:paraId="1A4CAF46" w14:textId="77777777">
        <w:trPr>
          <w:trHeight w:val="300"/>
        </w:trPr>
        <w:tc>
          <w:tcPr>
            <w:tcW w:w="1435" w:type="dxa"/>
            <w:shd w:val="clear" w:color="auto" w:fill="C6EFCE"/>
            <w:tcMar>
              <w:left w:w="108" w:type="dxa"/>
              <w:right w:w="108" w:type="dxa"/>
            </w:tcMar>
            <w:vAlign w:val="center"/>
          </w:tcPr>
          <w:p w14:paraId="7351F43E" w14:textId="77777777" w:rsidR="004C6421" w:rsidRDefault="009D1962">
            <w:pPr>
              <w:pStyle w:val="P68B1DB1-Normal8"/>
              <w:jc w:val="center"/>
              <w:rPr>
                <w:noProof/>
              </w:rPr>
            </w:pPr>
            <w:r>
              <w:rPr>
                <w:noProof/>
              </w:rPr>
              <w:t>M1C1-116</w:t>
            </w:r>
          </w:p>
        </w:tc>
        <w:tc>
          <w:tcPr>
            <w:tcW w:w="3543" w:type="dxa"/>
            <w:shd w:val="clear" w:color="auto" w:fill="C6EFCE"/>
            <w:tcMar>
              <w:left w:w="108" w:type="dxa"/>
              <w:right w:w="108" w:type="dxa"/>
            </w:tcMar>
            <w:vAlign w:val="center"/>
          </w:tcPr>
          <w:p w14:paraId="2A13DD0B" w14:textId="77777777" w:rsidR="004C6421" w:rsidRDefault="009D1962">
            <w:pPr>
              <w:pStyle w:val="P68B1DB1-Normal8"/>
              <w:rPr>
                <w:noProof/>
              </w:rPr>
            </w:pPr>
            <w:r>
              <w:rPr>
                <w:noProof/>
              </w:rPr>
              <w:t>Reforma 1.12: Reforma administracji podatkowej</w:t>
            </w:r>
          </w:p>
        </w:tc>
        <w:tc>
          <w:tcPr>
            <w:tcW w:w="1276" w:type="dxa"/>
            <w:shd w:val="clear" w:color="auto" w:fill="C6EFCE"/>
            <w:tcMar>
              <w:left w:w="108" w:type="dxa"/>
              <w:right w:w="108" w:type="dxa"/>
            </w:tcMar>
            <w:vAlign w:val="center"/>
          </w:tcPr>
          <w:p w14:paraId="5713C5D6" w14:textId="77777777" w:rsidR="004C6421" w:rsidRDefault="009D1962">
            <w:pPr>
              <w:pStyle w:val="P68B1DB1-Normal8"/>
              <w:jc w:val="center"/>
              <w:rPr>
                <w:noProof/>
              </w:rPr>
            </w:pPr>
            <w:r>
              <w:rPr>
                <w:noProof/>
              </w:rPr>
              <w:t>Cel</w:t>
            </w:r>
          </w:p>
        </w:tc>
        <w:tc>
          <w:tcPr>
            <w:tcW w:w="3105" w:type="dxa"/>
            <w:shd w:val="clear" w:color="auto" w:fill="C6EFCE"/>
            <w:tcMar>
              <w:left w:w="108" w:type="dxa"/>
              <w:right w:w="108" w:type="dxa"/>
            </w:tcMar>
            <w:vAlign w:val="center"/>
          </w:tcPr>
          <w:p w14:paraId="2C999097" w14:textId="77777777" w:rsidR="004C6421" w:rsidRDefault="009D1962">
            <w:pPr>
              <w:pStyle w:val="P68B1DB1-Normal8"/>
              <w:rPr>
                <w:noProof/>
              </w:rPr>
            </w:pPr>
            <w:r>
              <w:rPr>
                <w:noProof/>
              </w:rPr>
              <w:t>Ograniczenie uchylania się od opodatkowania zgodnie ze wskaźnikiem „możność uchylania się od opodatkowania”</w:t>
            </w:r>
          </w:p>
        </w:tc>
      </w:tr>
      <w:tr w:rsidR="004C6421" w14:paraId="1016AC0A" w14:textId="77777777">
        <w:trPr>
          <w:trHeight w:val="300"/>
        </w:trPr>
        <w:tc>
          <w:tcPr>
            <w:tcW w:w="1435" w:type="dxa"/>
            <w:shd w:val="clear" w:color="auto" w:fill="C6EFCE"/>
            <w:tcMar>
              <w:left w:w="108" w:type="dxa"/>
              <w:right w:w="108" w:type="dxa"/>
            </w:tcMar>
            <w:vAlign w:val="center"/>
          </w:tcPr>
          <w:p w14:paraId="0AECCFAC" w14:textId="77777777" w:rsidR="004C6421" w:rsidRDefault="009D1962">
            <w:pPr>
              <w:pStyle w:val="P68B1DB1-Normal8"/>
              <w:jc w:val="center"/>
              <w:rPr>
                <w:noProof/>
              </w:rPr>
            </w:pPr>
            <w:r>
              <w:rPr>
                <w:noProof/>
              </w:rPr>
              <w:t>M1C2-5</w:t>
            </w:r>
          </w:p>
        </w:tc>
        <w:tc>
          <w:tcPr>
            <w:tcW w:w="3543" w:type="dxa"/>
            <w:shd w:val="clear" w:color="auto" w:fill="C6EFCE"/>
            <w:tcMar>
              <w:left w:w="108" w:type="dxa"/>
              <w:right w:w="108" w:type="dxa"/>
            </w:tcMar>
            <w:vAlign w:val="center"/>
          </w:tcPr>
          <w:p w14:paraId="39E7B8A6" w14:textId="77777777" w:rsidR="004C6421" w:rsidRDefault="009D1962">
            <w:pPr>
              <w:pStyle w:val="P68B1DB1-Normal8"/>
              <w:rPr>
                <w:noProof/>
              </w:rPr>
            </w:pPr>
            <w:r>
              <w:rPr>
                <w:noProof/>
              </w:rPr>
              <w:t>Inwestycja 6: Inwestycje w system własności przemysłowej</w:t>
            </w:r>
          </w:p>
        </w:tc>
        <w:tc>
          <w:tcPr>
            <w:tcW w:w="1276" w:type="dxa"/>
            <w:shd w:val="clear" w:color="auto" w:fill="C6EFCE"/>
            <w:tcMar>
              <w:left w:w="108" w:type="dxa"/>
              <w:right w:w="108" w:type="dxa"/>
            </w:tcMar>
            <w:vAlign w:val="center"/>
          </w:tcPr>
          <w:p w14:paraId="09A396DE" w14:textId="77777777" w:rsidR="004C6421" w:rsidRDefault="009D1962">
            <w:pPr>
              <w:pStyle w:val="P68B1DB1-Normal8"/>
              <w:jc w:val="center"/>
              <w:rPr>
                <w:noProof/>
              </w:rPr>
            </w:pPr>
            <w:r>
              <w:rPr>
                <w:noProof/>
              </w:rPr>
              <w:t>Cel</w:t>
            </w:r>
          </w:p>
        </w:tc>
        <w:tc>
          <w:tcPr>
            <w:tcW w:w="3105" w:type="dxa"/>
            <w:shd w:val="clear" w:color="auto" w:fill="C6EFCE"/>
            <w:tcMar>
              <w:left w:w="108" w:type="dxa"/>
              <w:right w:w="108" w:type="dxa"/>
            </w:tcMar>
            <w:vAlign w:val="center"/>
          </w:tcPr>
          <w:p w14:paraId="63DF7EF7" w14:textId="77777777" w:rsidR="004C6421" w:rsidRDefault="009D1962">
            <w:pPr>
              <w:pStyle w:val="P68B1DB1-Normal8"/>
              <w:rPr>
                <w:noProof/>
              </w:rPr>
            </w:pPr>
            <w:r>
              <w:rPr>
                <w:noProof/>
              </w:rPr>
              <w:t>Projekty wspierane z możliwości finansowania związanego z własnością przemysłową</w:t>
            </w:r>
          </w:p>
        </w:tc>
      </w:tr>
      <w:tr w:rsidR="004C6421" w14:paraId="16D02399" w14:textId="77777777">
        <w:trPr>
          <w:trHeight w:val="300"/>
        </w:trPr>
        <w:tc>
          <w:tcPr>
            <w:tcW w:w="1435" w:type="dxa"/>
            <w:shd w:val="clear" w:color="auto" w:fill="C6EFCE"/>
            <w:tcMar>
              <w:left w:w="108" w:type="dxa"/>
              <w:right w:w="108" w:type="dxa"/>
            </w:tcMar>
            <w:vAlign w:val="center"/>
          </w:tcPr>
          <w:p w14:paraId="50D2BB19" w14:textId="77777777" w:rsidR="004C6421" w:rsidRDefault="009D1962">
            <w:pPr>
              <w:pStyle w:val="P68B1DB1-Normal8"/>
              <w:jc w:val="center"/>
              <w:rPr>
                <w:noProof/>
              </w:rPr>
            </w:pPr>
            <w:r>
              <w:rPr>
                <w:noProof/>
              </w:rPr>
              <w:t>M1C2-13</w:t>
            </w:r>
          </w:p>
        </w:tc>
        <w:tc>
          <w:tcPr>
            <w:tcW w:w="3543" w:type="dxa"/>
            <w:shd w:val="clear" w:color="auto" w:fill="C6EFCE"/>
            <w:tcMar>
              <w:left w:w="108" w:type="dxa"/>
              <w:right w:w="108" w:type="dxa"/>
            </w:tcMar>
            <w:vAlign w:val="center"/>
          </w:tcPr>
          <w:p w14:paraId="3F608227" w14:textId="77777777" w:rsidR="004C6421" w:rsidRDefault="009D1962">
            <w:pPr>
              <w:pStyle w:val="P68B1DB1-Normal8"/>
              <w:rPr>
                <w:noProof/>
              </w:rPr>
            </w:pPr>
            <w:r>
              <w:rPr>
                <w:noProof/>
              </w:rPr>
              <w:t>Reforma nr 2: Roczne ustawy o konkurencji</w:t>
            </w:r>
          </w:p>
        </w:tc>
        <w:tc>
          <w:tcPr>
            <w:tcW w:w="1276" w:type="dxa"/>
            <w:shd w:val="clear" w:color="auto" w:fill="C6EFCE"/>
            <w:tcMar>
              <w:left w:w="108" w:type="dxa"/>
              <w:right w:w="108" w:type="dxa"/>
            </w:tcMar>
            <w:vAlign w:val="center"/>
          </w:tcPr>
          <w:p w14:paraId="746DE45D" w14:textId="5E8CDE32" w:rsidR="004C6421" w:rsidRDefault="00CC179E">
            <w:pPr>
              <w:pStyle w:val="P68B1DB1-Normal8"/>
              <w:jc w:val="center"/>
              <w:rPr>
                <w:noProof/>
              </w:rPr>
            </w:pPr>
            <w:r>
              <w:rPr>
                <w:noProof/>
              </w:rPr>
              <w:t>Milowy</w:t>
            </w:r>
          </w:p>
        </w:tc>
        <w:tc>
          <w:tcPr>
            <w:tcW w:w="3105" w:type="dxa"/>
            <w:shd w:val="clear" w:color="auto" w:fill="C6EFCE"/>
            <w:tcMar>
              <w:left w:w="108" w:type="dxa"/>
              <w:right w:w="108" w:type="dxa"/>
            </w:tcMar>
            <w:vAlign w:val="center"/>
          </w:tcPr>
          <w:p w14:paraId="36DEA797" w14:textId="77777777" w:rsidR="004C6421" w:rsidRDefault="009D1962">
            <w:pPr>
              <w:pStyle w:val="P68B1DB1-Normal8"/>
              <w:rPr>
                <w:noProof/>
              </w:rPr>
            </w:pPr>
            <w:r>
              <w:rPr>
                <w:noProof/>
              </w:rPr>
              <w:t>Wejście w życie rocznej ustawy o konkurencji w 2024 r.</w:t>
            </w:r>
          </w:p>
        </w:tc>
      </w:tr>
      <w:tr w:rsidR="004C6421" w14:paraId="3D8A417D" w14:textId="77777777">
        <w:trPr>
          <w:trHeight w:val="300"/>
        </w:trPr>
        <w:tc>
          <w:tcPr>
            <w:tcW w:w="1435" w:type="dxa"/>
            <w:shd w:val="clear" w:color="auto" w:fill="C6EFCE"/>
            <w:tcMar>
              <w:left w:w="108" w:type="dxa"/>
              <w:right w:w="108" w:type="dxa"/>
            </w:tcMar>
            <w:vAlign w:val="center"/>
          </w:tcPr>
          <w:p w14:paraId="49F272F5" w14:textId="77777777" w:rsidR="004C6421" w:rsidRDefault="009D1962">
            <w:pPr>
              <w:pStyle w:val="P68B1DB1-Normal8"/>
              <w:jc w:val="center"/>
              <w:rPr>
                <w:noProof/>
              </w:rPr>
            </w:pPr>
            <w:r>
              <w:rPr>
                <w:noProof/>
              </w:rPr>
              <w:t>M1C2-14</w:t>
            </w:r>
          </w:p>
        </w:tc>
        <w:tc>
          <w:tcPr>
            <w:tcW w:w="3543" w:type="dxa"/>
            <w:shd w:val="clear" w:color="auto" w:fill="C6EFCE"/>
            <w:tcMar>
              <w:left w:w="108" w:type="dxa"/>
              <w:right w:w="108" w:type="dxa"/>
            </w:tcMar>
            <w:vAlign w:val="center"/>
          </w:tcPr>
          <w:p w14:paraId="7530FAB1" w14:textId="77777777" w:rsidR="004C6421" w:rsidRDefault="009D1962">
            <w:pPr>
              <w:pStyle w:val="P68B1DB1-Normal8"/>
              <w:rPr>
                <w:noProof/>
              </w:rPr>
            </w:pPr>
            <w:r>
              <w:rPr>
                <w:noProof/>
              </w:rPr>
              <w:t>Reforma nr 2: Roczne ustawy o konkurencji</w:t>
            </w:r>
          </w:p>
        </w:tc>
        <w:tc>
          <w:tcPr>
            <w:tcW w:w="1276" w:type="dxa"/>
            <w:shd w:val="clear" w:color="auto" w:fill="C6EFCE"/>
            <w:tcMar>
              <w:left w:w="108" w:type="dxa"/>
              <w:right w:w="108" w:type="dxa"/>
            </w:tcMar>
            <w:vAlign w:val="center"/>
          </w:tcPr>
          <w:p w14:paraId="730E4265" w14:textId="77777777" w:rsidR="004C6421" w:rsidRDefault="009D1962">
            <w:pPr>
              <w:pStyle w:val="P68B1DB1-Normal8"/>
              <w:jc w:val="center"/>
              <w:rPr>
                <w:noProof/>
              </w:rPr>
            </w:pPr>
            <w:r>
              <w:rPr>
                <w:noProof/>
              </w:rPr>
              <w:t>Cel</w:t>
            </w:r>
          </w:p>
        </w:tc>
        <w:tc>
          <w:tcPr>
            <w:tcW w:w="3105" w:type="dxa"/>
            <w:shd w:val="clear" w:color="auto" w:fill="C6EFCE"/>
            <w:tcMar>
              <w:left w:w="108" w:type="dxa"/>
              <w:right w:w="108" w:type="dxa"/>
            </w:tcMar>
            <w:vAlign w:val="center"/>
          </w:tcPr>
          <w:p w14:paraId="051624B1" w14:textId="77777777" w:rsidR="004C6421" w:rsidRDefault="009D1962">
            <w:pPr>
              <w:pStyle w:val="P68B1DB1-Normal8"/>
              <w:rPr>
                <w:noProof/>
              </w:rPr>
            </w:pPr>
            <w:r>
              <w:rPr>
                <w:noProof/>
              </w:rPr>
              <w:t>Wdrożono miliony inteligentnych liczników 2G.</w:t>
            </w:r>
          </w:p>
        </w:tc>
      </w:tr>
      <w:tr w:rsidR="004C6421" w14:paraId="5889A778" w14:textId="77777777">
        <w:trPr>
          <w:trHeight w:val="300"/>
        </w:trPr>
        <w:tc>
          <w:tcPr>
            <w:tcW w:w="1435" w:type="dxa"/>
            <w:shd w:val="clear" w:color="auto" w:fill="C6EFCE"/>
            <w:tcMar>
              <w:left w:w="108" w:type="dxa"/>
              <w:right w:w="108" w:type="dxa"/>
            </w:tcMar>
            <w:vAlign w:val="center"/>
          </w:tcPr>
          <w:p w14:paraId="7BFF322C" w14:textId="77777777" w:rsidR="004C6421" w:rsidRDefault="009D1962">
            <w:pPr>
              <w:pStyle w:val="P68B1DB1-Normal8"/>
              <w:jc w:val="center"/>
              <w:rPr>
                <w:noProof/>
              </w:rPr>
            </w:pPr>
            <w:r>
              <w:rPr>
                <w:noProof/>
              </w:rPr>
              <w:t>M1C3-1</w:t>
            </w:r>
          </w:p>
        </w:tc>
        <w:tc>
          <w:tcPr>
            <w:tcW w:w="3543" w:type="dxa"/>
            <w:shd w:val="clear" w:color="auto" w:fill="C6EFCE"/>
            <w:tcMar>
              <w:left w:w="108" w:type="dxa"/>
              <w:right w:w="108" w:type="dxa"/>
            </w:tcMar>
            <w:vAlign w:val="center"/>
          </w:tcPr>
          <w:p w14:paraId="0834B30E" w14:textId="77777777" w:rsidR="004C6421" w:rsidRDefault="009D1962">
            <w:pPr>
              <w:pStyle w:val="P68B1DB1-Normal8"/>
              <w:rPr>
                <w:noProof/>
              </w:rPr>
            </w:pPr>
            <w:r>
              <w:rPr>
                <w:noProof/>
              </w:rPr>
              <w:t>Inwestycje 1.1 Strategia cyfrowa i platformy na rzecz dziedzictwa kulturowego</w:t>
            </w:r>
          </w:p>
        </w:tc>
        <w:tc>
          <w:tcPr>
            <w:tcW w:w="1276" w:type="dxa"/>
            <w:shd w:val="clear" w:color="auto" w:fill="C6EFCE"/>
            <w:tcMar>
              <w:left w:w="108" w:type="dxa"/>
              <w:right w:w="108" w:type="dxa"/>
            </w:tcMar>
            <w:vAlign w:val="center"/>
          </w:tcPr>
          <w:p w14:paraId="68C5D74E" w14:textId="77777777" w:rsidR="004C6421" w:rsidRDefault="009D1962">
            <w:pPr>
              <w:pStyle w:val="P68B1DB1-Normal8"/>
              <w:jc w:val="center"/>
              <w:rPr>
                <w:noProof/>
              </w:rPr>
            </w:pPr>
            <w:r>
              <w:rPr>
                <w:noProof/>
              </w:rPr>
              <w:t>Cel</w:t>
            </w:r>
          </w:p>
        </w:tc>
        <w:tc>
          <w:tcPr>
            <w:tcW w:w="3105" w:type="dxa"/>
            <w:shd w:val="clear" w:color="auto" w:fill="C6EFCE"/>
            <w:tcMar>
              <w:left w:w="108" w:type="dxa"/>
              <w:right w:w="108" w:type="dxa"/>
            </w:tcMar>
            <w:vAlign w:val="center"/>
          </w:tcPr>
          <w:p w14:paraId="08E1C686" w14:textId="77777777" w:rsidR="004C6421" w:rsidRDefault="009D1962">
            <w:pPr>
              <w:pStyle w:val="P68B1DB1-Normal8"/>
              <w:rPr>
                <w:noProof/>
              </w:rPr>
            </w:pPr>
            <w:r>
              <w:rPr>
                <w:noProof/>
              </w:rPr>
              <w:t>Użytkownicy przeszkoleni za pośrednictwem platformy e-uczenia się dziedzictwa kulturowego</w:t>
            </w:r>
          </w:p>
        </w:tc>
      </w:tr>
      <w:tr w:rsidR="004C6421" w14:paraId="7F83BE5F" w14:textId="77777777">
        <w:trPr>
          <w:trHeight w:val="300"/>
        </w:trPr>
        <w:tc>
          <w:tcPr>
            <w:tcW w:w="1435" w:type="dxa"/>
            <w:shd w:val="clear" w:color="auto" w:fill="C6EFCE"/>
            <w:tcMar>
              <w:left w:w="108" w:type="dxa"/>
              <w:right w:w="108" w:type="dxa"/>
            </w:tcMar>
            <w:vAlign w:val="center"/>
          </w:tcPr>
          <w:p w14:paraId="33EA878D" w14:textId="77777777" w:rsidR="004C6421" w:rsidRDefault="009D1962">
            <w:pPr>
              <w:pStyle w:val="P68B1DB1-Normal8"/>
              <w:jc w:val="center"/>
              <w:rPr>
                <w:noProof/>
              </w:rPr>
            </w:pPr>
            <w:r>
              <w:rPr>
                <w:noProof/>
              </w:rPr>
              <w:t>M1C3-2</w:t>
            </w:r>
          </w:p>
        </w:tc>
        <w:tc>
          <w:tcPr>
            <w:tcW w:w="3543" w:type="dxa"/>
            <w:shd w:val="clear" w:color="auto" w:fill="C6EFCE"/>
            <w:tcMar>
              <w:left w:w="108" w:type="dxa"/>
              <w:right w:w="108" w:type="dxa"/>
            </w:tcMar>
            <w:vAlign w:val="center"/>
          </w:tcPr>
          <w:p w14:paraId="475F07B6" w14:textId="77777777" w:rsidR="004C6421" w:rsidRDefault="009D1962">
            <w:pPr>
              <w:pStyle w:val="P68B1DB1-Normal8"/>
              <w:rPr>
                <w:noProof/>
              </w:rPr>
            </w:pPr>
            <w:r>
              <w:rPr>
                <w:noProof/>
              </w:rPr>
              <w:t>Inwestycje – 1.1 Strategia cyfrowa i platformy na rzecz dziedzictwa kulturowego</w:t>
            </w:r>
          </w:p>
        </w:tc>
        <w:tc>
          <w:tcPr>
            <w:tcW w:w="1276" w:type="dxa"/>
            <w:shd w:val="clear" w:color="auto" w:fill="C6EFCE"/>
            <w:tcMar>
              <w:left w:w="108" w:type="dxa"/>
              <w:right w:w="108" w:type="dxa"/>
            </w:tcMar>
            <w:vAlign w:val="center"/>
          </w:tcPr>
          <w:p w14:paraId="23B7A2A4" w14:textId="77777777" w:rsidR="004C6421" w:rsidRDefault="009D1962">
            <w:pPr>
              <w:pStyle w:val="P68B1DB1-Normal8"/>
              <w:jc w:val="center"/>
              <w:rPr>
                <w:noProof/>
              </w:rPr>
            </w:pPr>
            <w:r>
              <w:rPr>
                <w:noProof/>
              </w:rPr>
              <w:t>Cel</w:t>
            </w:r>
          </w:p>
        </w:tc>
        <w:tc>
          <w:tcPr>
            <w:tcW w:w="3105" w:type="dxa"/>
            <w:shd w:val="clear" w:color="auto" w:fill="C6EFCE"/>
            <w:tcMar>
              <w:left w:w="108" w:type="dxa"/>
              <w:right w:w="108" w:type="dxa"/>
            </w:tcMar>
            <w:vAlign w:val="center"/>
          </w:tcPr>
          <w:p w14:paraId="56E73908" w14:textId="77777777" w:rsidR="004C6421" w:rsidRDefault="009D1962">
            <w:pPr>
              <w:pStyle w:val="P68B1DB1-Normal8"/>
              <w:rPr>
                <w:noProof/>
              </w:rPr>
            </w:pPr>
            <w:r>
              <w:rPr>
                <w:noProof/>
              </w:rPr>
              <w:t xml:space="preserve">Zasoby cyfrowe opracowane i opublikowane w Bibliotece Cyfrowej </w:t>
            </w:r>
          </w:p>
        </w:tc>
      </w:tr>
      <w:tr w:rsidR="004C6421" w14:paraId="13098E23" w14:textId="77777777">
        <w:trPr>
          <w:trHeight w:val="300"/>
        </w:trPr>
        <w:tc>
          <w:tcPr>
            <w:tcW w:w="1435" w:type="dxa"/>
            <w:shd w:val="clear" w:color="auto" w:fill="C6EFCE"/>
            <w:tcMar>
              <w:left w:w="108" w:type="dxa"/>
              <w:right w:w="108" w:type="dxa"/>
            </w:tcMar>
            <w:vAlign w:val="center"/>
          </w:tcPr>
          <w:p w14:paraId="7C2B33E0" w14:textId="77777777" w:rsidR="004C6421" w:rsidRDefault="009D1962">
            <w:pPr>
              <w:pStyle w:val="P68B1DB1-Normal8"/>
              <w:jc w:val="center"/>
              <w:rPr>
                <w:noProof/>
              </w:rPr>
            </w:pPr>
            <w:r>
              <w:rPr>
                <w:noProof/>
              </w:rPr>
              <w:t>M1C3-5</w:t>
            </w:r>
          </w:p>
        </w:tc>
        <w:tc>
          <w:tcPr>
            <w:tcW w:w="3543" w:type="dxa"/>
            <w:shd w:val="clear" w:color="auto" w:fill="C6EFCE"/>
            <w:tcMar>
              <w:left w:w="108" w:type="dxa"/>
              <w:right w:w="108" w:type="dxa"/>
            </w:tcMar>
            <w:vAlign w:val="center"/>
          </w:tcPr>
          <w:p w14:paraId="207211D6" w14:textId="77777777" w:rsidR="004C6421" w:rsidRDefault="009D1962">
            <w:pPr>
              <w:pStyle w:val="P68B1DB1-Normal8"/>
              <w:rPr>
                <w:noProof/>
              </w:rPr>
            </w:pPr>
            <w:r>
              <w:rPr>
                <w:noProof/>
              </w:rPr>
              <w:t>Inwestycje – 1.3 Poprawa efektywności energetycznej w kinach, teatrach i muzeach</w:t>
            </w:r>
          </w:p>
        </w:tc>
        <w:tc>
          <w:tcPr>
            <w:tcW w:w="1276" w:type="dxa"/>
            <w:shd w:val="clear" w:color="auto" w:fill="C6EFCE"/>
            <w:tcMar>
              <w:left w:w="108" w:type="dxa"/>
              <w:right w:w="108" w:type="dxa"/>
            </w:tcMar>
            <w:vAlign w:val="center"/>
          </w:tcPr>
          <w:p w14:paraId="53230327" w14:textId="77777777" w:rsidR="004C6421" w:rsidRDefault="009D1962">
            <w:pPr>
              <w:pStyle w:val="P68B1DB1-Normal8"/>
              <w:jc w:val="center"/>
              <w:rPr>
                <w:noProof/>
              </w:rPr>
            </w:pPr>
            <w:r>
              <w:rPr>
                <w:noProof/>
              </w:rPr>
              <w:t>Cel</w:t>
            </w:r>
          </w:p>
        </w:tc>
        <w:tc>
          <w:tcPr>
            <w:tcW w:w="3105" w:type="dxa"/>
            <w:shd w:val="clear" w:color="auto" w:fill="C6EFCE"/>
            <w:tcMar>
              <w:left w:w="108" w:type="dxa"/>
              <w:right w:w="108" w:type="dxa"/>
            </w:tcMar>
            <w:vAlign w:val="center"/>
          </w:tcPr>
          <w:p w14:paraId="013CC2CB" w14:textId="77777777" w:rsidR="004C6421" w:rsidRDefault="009D1962">
            <w:pPr>
              <w:pStyle w:val="P68B1DB1-Normal8"/>
              <w:rPr>
                <w:noProof/>
              </w:rPr>
            </w:pPr>
            <w:r>
              <w:rPr>
                <w:noProof/>
              </w:rPr>
              <w:t>Zakończono interwencje dotyczące muzeów państwowych i obiektów kultury, sal teatralnych i kin (druga partia)</w:t>
            </w:r>
          </w:p>
        </w:tc>
      </w:tr>
      <w:tr w:rsidR="004C6421" w14:paraId="2C0FB295" w14:textId="77777777">
        <w:trPr>
          <w:trHeight w:val="300"/>
        </w:trPr>
        <w:tc>
          <w:tcPr>
            <w:tcW w:w="1435" w:type="dxa"/>
            <w:shd w:val="clear" w:color="auto" w:fill="C6EFCE"/>
            <w:tcMar>
              <w:left w:w="108" w:type="dxa"/>
              <w:right w:w="108" w:type="dxa"/>
            </w:tcMar>
            <w:vAlign w:val="center"/>
          </w:tcPr>
          <w:p w14:paraId="709E8485" w14:textId="77777777" w:rsidR="004C6421" w:rsidRDefault="009D1962">
            <w:pPr>
              <w:pStyle w:val="P68B1DB1-Normal8"/>
              <w:jc w:val="center"/>
              <w:rPr>
                <w:noProof/>
              </w:rPr>
            </w:pPr>
            <w:r>
              <w:rPr>
                <w:noProof/>
              </w:rPr>
              <w:t>M2C2-29</w:t>
            </w:r>
          </w:p>
        </w:tc>
        <w:tc>
          <w:tcPr>
            <w:tcW w:w="3543" w:type="dxa"/>
            <w:shd w:val="clear" w:color="auto" w:fill="C6EFCE"/>
            <w:tcMar>
              <w:left w:w="108" w:type="dxa"/>
              <w:right w:w="108" w:type="dxa"/>
            </w:tcMar>
            <w:vAlign w:val="center"/>
          </w:tcPr>
          <w:p w14:paraId="0C4EC351" w14:textId="77777777" w:rsidR="004C6421" w:rsidRDefault="009D1962">
            <w:pPr>
              <w:pStyle w:val="P68B1DB1-Normal8"/>
              <w:rPr>
                <w:noProof/>
              </w:rPr>
            </w:pPr>
            <w:r>
              <w:rPr>
                <w:noProof/>
              </w:rPr>
              <w:t>Inwestycja 4.3 Instalacja infrastruktury ładowania</w:t>
            </w:r>
          </w:p>
        </w:tc>
        <w:tc>
          <w:tcPr>
            <w:tcW w:w="1276" w:type="dxa"/>
            <w:shd w:val="clear" w:color="auto" w:fill="C6EFCE"/>
            <w:tcMar>
              <w:left w:w="108" w:type="dxa"/>
              <w:right w:w="108" w:type="dxa"/>
            </w:tcMar>
            <w:vAlign w:val="center"/>
          </w:tcPr>
          <w:p w14:paraId="44A79FF7" w14:textId="77777777" w:rsidR="004C6421" w:rsidRDefault="009D1962">
            <w:pPr>
              <w:pStyle w:val="P68B1DB1-Normal8"/>
              <w:jc w:val="center"/>
              <w:rPr>
                <w:noProof/>
              </w:rPr>
            </w:pPr>
            <w:r>
              <w:rPr>
                <w:noProof/>
              </w:rPr>
              <w:t>Cel</w:t>
            </w:r>
          </w:p>
        </w:tc>
        <w:tc>
          <w:tcPr>
            <w:tcW w:w="3105" w:type="dxa"/>
            <w:shd w:val="clear" w:color="auto" w:fill="C6EFCE"/>
            <w:tcMar>
              <w:left w:w="108" w:type="dxa"/>
              <w:right w:w="108" w:type="dxa"/>
            </w:tcMar>
            <w:vAlign w:val="center"/>
          </w:tcPr>
          <w:p w14:paraId="6DB0A0A4" w14:textId="77777777" w:rsidR="004C6421" w:rsidRDefault="009D1962">
            <w:pPr>
              <w:pStyle w:val="P68B1DB1-Normal8"/>
              <w:rPr>
                <w:noProof/>
              </w:rPr>
            </w:pPr>
            <w:r>
              <w:rPr>
                <w:noProof/>
              </w:rPr>
              <w:t>Liczba stacji szybkiego ładowania wzdłuż dróg wolnocłowych</w:t>
            </w:r>
          </w:p>
        </w:tc>
      </w:tr>
      <w:tr w:rsidR="004C6421" w14:paraId="06A5C1D0" w14:textId="77777777">
        <w:trPr>
          <w:trHeight w:val="300"/>
        </w:trPr>
        <w:tc>
          <w:tcPr>
            <w:tcW w:w="1435" w:type="dxa"/>
            <w:shd w:val="clear" w:color="auto" w:fill="C6EFCE"/>
            <w:tcMar>
              <w:left w:w="108" w:type="dxa"/>
              <w:right w:w="108" w:type="dxa"/>
            </w:tcMar>
            <w:vAlign w:val="center"/>
          </w:tcPr>
          <w:p w14:paraId="7142D378" w14:textId="77777777" w:rsidR="004C6421" w:rsidRDefault="009D1962">
            <w:pPr>
              <w:pStyle w:val="P68B1DB1-Normal8"/>
              <w:jc w:val="center"/>
              <w:rPr>
                <w:noProof/>
              </w:rPr>
            </w:pPr>
            <w:r>
              <w:rPr>
                <w:noProof/>
              </w:rPr>
              <w:t>M2C2-29bis</w:t>
            </w:r>
          </w:p>
        </w:tc>
        <w:tc>
          <w:tcPr>
            <w:tcW w:w="3543" w:type="dxa"/>
            <w:shd w:val="clear" w:color="auto" w:fill="C6EFCE"/>
            <w:tcMar>
              <w:left w:w="108" w:type="dxa"/>
              <w:right w:w="108" w:type="dxa"/>
            </w:tcMar>
            <w:vAlign w:val="center"/>
          </w:tcPr>
          <w:p w14:paraId="2BB79E87" w14:textId="77777777" w:rsidR="004C6421" w:rsidRDefault="009D1962">
            <w:pPr>
              <w:pStyle w:val="P68B1DB1-Normal8"/>
              <w:rPr>
                <w:noProof/>
              </w:rPr>
            </w:pPr>
            <w:r>
              <w:rPr>
                <w:noProof/>
              </w:rPr>
              <w:t>Inwestycja 4.3 Instalacja infrastruktury ładowania</w:t>
            </w:r>
          </w:p>
        </w:tc>
        <w:tc>
          <w:tcPr>
            <w:tcW w:w="1276" w:type="dxa"/>
            <w:shd w:val="clear" w:color="auto" w:fill="C6EFCE"/>
            <w:tcMar>
              <w:left w:w="108" w:type="dxa"/>
              <w:right w:w="108" w:type="dxa"/>
            </w:tcMar>
            <w:vAlign w:val="center"/>
          </w:tcPr>
          <w:p w14:paraId="3E49654E" w14:textId="77777777" w:rsidR="004C6421" w:rsidRDefault="009D1962">
            <w:pPr>
              <w:pStyle w:val="P68B1DB1-Normal8"/>
              <w:jc w:val="center"/>
              <w:rPr>
                <w:noProof/>
              </w:rPr>
            </w:pPr>
            <w:r>
              <w:rPr>
                <w:noProof/>
              </w:rPr>
              <w:t>Cel</w:t>
            </w:r>
          </w:p>
        </w:tc>
        <w:tc>
          <w:tcPr>
            <w:tcW w:w="3105" w:type="dxa"/>
            <w:shd w:val="clear" w:color="auto" w:fill="C6EFCE"/>
            <w:tcMar>
              <w:left w:w="108" w:type="dxa"/>
              <w:right w:w="108" w:type="dxa"/>
            </w:tcMar>
            <w:vAlign w:val="center"/>
          </w:tcPr>
          <w:p w14:paraId="20C02705" w14:textId="77777777" w:rsidR="004C6421" w:rsidRDefault="009D1962">
            <w:pPr>
              <w:pStyle w:val="P68B1DB1-Normal8"/>
              <w:rPr>
                <w:noProof/>
              </w:rPr>
            </w:pPr>
            <w:r>
              <w:rPr>
                <w:noProof/>
              </w:rPr>
              <w:t>Liczba stacji szybkiego ładowania na obszarach miejskich</w:t>
            </w:r>
          </w:p>
        </w:tc>
      </w:tr>
      <w:tr w:rsidR="004C6421" w14:paraId="5440762A" w14:textId="77777777">
        <w:trPr>
          <w:trHeight w:val="300"/>
        </w:trPr>
        <w:tc>
          <w:tcPr>
            <w:tcW w:w="1435" w:type="dxa"/>
            <w:shd w:val="clear" w:color="auto" w:fill="C6EFCE"/>
            <w:tcMar>
              <w:left w:w="108" w:type="dxa"/>
              <w:right w:w="108" w:type="dxa"/>
            </w:tcMar>
            <w:vAlign w:val="center"/>
          </w:tcPr>
          <w:p w14:paraId="2008F79F" w14:textId="77777777" w:rsidR="004C6421" w:rsidRDefault="009D1962">
            <w:pPr>
              <w:pStyle w:val="P68B1DB1-Normal8"/>
              <w:jc w:val="center"/>
              <w:rPr>
                <w:noProof/>
              </w:rPr>
            </w:pPr>
            <w:r>
              <w:rPr>
                <w:noProof/>
              </w:rPr>
              <w:t>M2C2-30</w:t>
            </w:r>
          </w:p>
        </w:tc>
        <w:tc>
          <w:tcPr>
            <w:tcW w:w="3543" w:type="dxa"/>
            <w:shd w:val="clear" w:color="auto" w:fill="C6EFCE"/>
            <w:tcMar>
              <w:left w:w="108" w:type="dxa"/>
              <w:right w:w="108" w:type="dxa"/>
            </w:tcMar>
            <w:vAlign w:val="center"/>
          </w:tcPr>
          <w:p w14:paraId="131044F0" w14:textId="77777777" w:rsidR="004C6421" w:rsidRDefault="009D1962">
            <w:pPr>
              <w:pStyle w:val="P68B1DB1-Normal8"/>
              <w:rPr>
                <w:noProof/>
              </w:rPr>
            </w:pPr>
            <w:r>
              <w:rPr>
                <w:noProof/>
              </w:rPr>
              <w:t>Inwestycja 4.3: Instalacja infrastruktury ładowania</w:t>
            </w:r>
          </w:p>
        </w:tc>
        <w:tc>
          <w:tcPr>
            <w:tcW w:w="1276" w:type="dxa"/>
            <w:shd w:val="clear" w:color="auto" w:fill="C6EFCE"/>
            <w:tcMar>
              <w:left w:w="108" w:type="dxa"/>
              <w:right w:w="108" w:type="dxa"/>
            </w:tcMar>
            <w:vAlign w:val="center"/>
          </w:tcPr>
          <w:p w14:paraId="72316B2C" w14:textId="77777777" w:rsidR="004C6421" w:rsidRDefault="009D1962">
            <w:pPr>
              <w:pStyle w:val="P68B1DB1-Normal8"/>
              <w:jc w:val="center"/>
              <w:rPr>
                <w:noProof/>
              </w:rPr>
            </w:pPr>
            <w:r>
              <w:rPr>
                <w:noProof/>
              </w:rPr>
              <w:t>Cel</w:t>
            </w:r>
          </w:p>
        </w:tc>
        <w:tc>
          <w:tcPr>
            <w:tcW w:w="3105" w:type="dxa"/>
            <w:shd w:val="clear" w:color="auto" w:fill="C6EFCE"/>
            <w:tcMar>
              <w:left w:w="108" w:type="dxa"/>
              <w:right w:w="108" w:type="dxa"/>
            </w:tcMar>
            <w:vAlign w:val="center"/>
          </w:tcPr>
          <w:p w14:paraId="6CE97BD4" w14:textId="77777777" w:rsidR="004C6421" w:rsidRDefault="009D1962">
            <w:pPr>
              <w:pStyle w:val="P68B1DB1-Normal8"/>
              <w:rPr>
                <w:noProof/>
              </w:rPr>
            </w:pPr>
            <w:r>
              <w:rPr>
                <w:noProof/>
              </w:rPr>
              <w:t>Liczba stacji szybkiego ładowania wzdłuż dróg wolnocłowych</w:t>
            </w:r>
          </w:p>
        </w:tc>
      </w:tr>
      <w:tr w:rsidR="004C6421" w14:paraId="49744FC9" w14:textId="77777777">
        <w:trPr>
          <w:trHeight w:val="300"/>
        </w:trPr>
        <w:tc>
          <w:tcPr>
            <w:tcW w:w="1435" w:type="dxa"/>
            <w:shd w:val="clear" w:color="auto" w:fill="C6EFCE"/>
            <w:tcMar>
              <w:left w:w="108" w:type="dxa"/>
              <w:right w:w="108" w:type="dxa"/>
            </w:tcMar>
            <w:vAlign w:val="center"/>
          </w:tcPr>
          <w:p w14:paraId="480216BA" w14:textId="77777777" w:rsidR="004C6421" w:rsidRDefault="009D1962">
            <w:pPr>
              <w:pStyle w:val="P68B1DB1-Normal8"/>
              <w:jc w:val="center"/>
              <w:rPr>
                <w:noProof/>
              </w:rPr>
            </w:pPr>
            <w:r>
              <w:rPr>
                <w:noProof/>
              </w:rPr>
              <w:t>M2C2-30bis</w:t>
            </w:r>
          </w:p>
        </w:tc>
        <w:tc>
          <w:tcPr>
            <w:tcW w:w="3543" w:type="dxa"/>
            <w:shd w:val="clear" w:color="auto" w:fill="C6EFCE"/>
            <w:tcMar>
              <w:left w:w="108" w:type="dxa"/>
              <w:right w:w="108" w:type="dxa"/>
            </w:tcMar>
            <w:vAlign w:val="center"/>
          </w:tcPr>
          <w:p w14:paraId="132EC5E0" w14:textId="77777777" w:rsidR="004C6421" w:rsidRDefault="009D1962">
            <w:pPr>
              <w:pStyle w:val="P68B1DB1-Normal8"/>
              <w:rPr>
                <w:noProof/>
              </w:rPr>
            </w:pPr>
            <w:r>
              <w:rPr>
                <w:noProof/>
              </w:rPr>
              <w:t>Inwestycja 4.3: Instalacja infrastruktury ładowania</w:t>
            </w:r>
          </w:p>
        </w:tc>
        <w:tc>
          <w:tcPr>
            <w:tcW w:w="1276" w:type="dxa"/>
            <w:shd w:val="clear" w:color="auto" w:fill="C6EFCE"/>
            <w:tcMar>
              <w:left w:w="108" w:type="dxa"/>
              <w:right w:w="108" w:type="dxa"/>
            </w:tcMar>
            <w:vAlign w:val="center"/>
          </w:tcPr>
          <w:p w14:paraId="0469CFDC" w14:textId="77777777" w:rsidR="004C6421" w:rsidRDefault="009D1962">
            <w:pPr>
              <w:pStyle w:val="P68B1DB1-Normal8"/>
              <w:jc w:val="center"/>
              <w:rPr>
                <w:noProof/>
              </w:rPr>
            </w:pPr>
            <w:r>
              <w:rPr>
                <w:noProof/>
              </w:rPr>
              <w:t>Cel</w:t>
            </w:r>
          </w:p>
        </w:tc>
        <w:tc>
          <w:tcPr>
            <w:tcW w:w="3105" w:type="dxa"/>
            <w:shd w:val="clear" w:color="auto" w:fill="C6EFCE"/>
            <w:tcMar>
              <w:left w:w="108" w:type="dxa"/>
              <w:right w:w="108" w:type="dxa"/>
            </w:tcMar>
            <w:vAlign w:val="center"/>
          </w:tcPr>
          <w:p w14:paraId="6A57E836" w14:textId="77777777" w:rsidR="004C6421" w:rsidRDefault="009D1962">
            <w:pPr>
              <w:pStyle w:val="P68B1DB1-Normal8"/>
              <w:rPr>
                <w:noProof/>
              </w:rPr>
            </w:pPr>
            <w:r>
              <w:rPr>
                <w:noProof/>
              </w:rPr>
              <w:t>Liczba stacji szybkiego ładowania na obszarach miejskich</w:t>
            </w:r>
          </w:p>
        </w:tc>
      </w:tr>
      <w:tr w:rsidR="004C6421" w14:paraId="41B6F471" w14:textId="77777777">
        <w:trPr>
          <w:trHeight w:val="300"/>
        </w:trPr>
        <w:tc>
          <w:tcPr>
            <w:tcW w:w="1435" w:type="dxa"/>
            <w:shd w:val="clear" w:color="auto" w:fill="C6EFCE"/>
            <w:tcMar>
              <w:left w:w="108" w:type="dxa"/>
              <w:right w:w="108" w:type="dxa"/>
            </w:tcMar>
            <w:vAlign w:val="center"/>
          </w:tcPr>
          <w:p w14:paraId="0E25A8A4" w14:textId="77777777" w:rsidR="004C6421" w:rsidRDefault="009D1962">
            <w:pPr>
              <w:pStyle w:val="P68B1DB1-Normal8"/>
              <w:jc w:val="center"/>
              <w:rPr>
                <w:noProof/>
              </w:rPr>
            </w:pPr>
            <w:r>
              <w:rPr>
                <w:noProof/>
              </w:rPr>
              <w:t>M2C2-30ter</w:t>
            </w:r>
          </w:p>
        </w:tc>
        <w:tc>
          <w:tcPr>
            <w:tcW w:w="3543" w:type="dxa"/>
            <w:shd w:val="clear" w:color="auto" w:fill="C6EFCE"/>
            <w:tcMar>
              <w:left w:w="108" w:type="dxa"/>
              <w:right w:w="108" w:type="dxa"/>
            </w:tcMar>
            <w:vAlign w:val="center"/>
          </w:tcPr>
          <w:p w14:paraId="55C34E27" w14:textId="77777777" w:rsidR="004C6421" w:rsidRDefault="009D1962">
            <w:pPr>
              <w:pStyle w:val="P68B1DB1-Normal8"/>
              <w:rPr>
                <w:noProof/>
              </w:rPr>
            </w:pPr>
            <w:r>
              <w:rPr>
                <w:noProof/>
              </w:rPr>
              <w:t>Inwestycja 4.3: Instalacja infrastruktury ładowania</w:t>
            </w:r>
          </w:p>
        </w:tc>
        <w:tc>
          <w:tcPr>
            <w:tcW w:w="1276" w:type="dxa"/>
            <w:shd w:val="clear" w:color="auto" w:fill="C6EFCE"/>
            <w:tcMar>
              <w:left w:w="108" w:type="dxa"/>
              <w:right w:w="108" w:type="dxa"/>
            </w:tcMar>
            <w:vAlign w:val="center"/>
          </w:tcPr>
          <w:p w14:paraId="409A1F4F" w14:textId="77777777" w:rsidR="004C6421" w:rsidRDefault="009D1962">
            <w:pPr>
              <w:pStyle w:val="P68B1DB1-Normal8"/>
              <w:jc w:val="center"/>
              <w:rPr>
                <w:noProof/>
              </w:rPr>
            </w:pPr>
            <w:r>
              <w:rPr>
                <w:noProof/>
              </w:rPr>
              <w:t>Cel</w:t>
            </w:r>
          </w:p>
        </w:tc>
        <w:tc>
          <w:tcPr>
            <w:tcW w:w="3105" w:type="dxa"/>
            <w:shd w:val="clear" w:color="auto" w:fill="C6EFCE"/>
            <w:tcMar>
              <w:left w:w="108" w:type="dxa"/>
              <w:right w:w="108" w:type="dxa"/>
            </w:tcMar>
            <w:vAlign w:val="center"/>
          </w:tcPr>
          <w:p w14:paraId="73AFFE2D" w14:textId="77777777" w:rsidR="004C6421" w:rsidRDefault="009D1962">
            <w:pPr>
              <w:pStyle w:val="P68B1DB1-Normal8"/>
              <w:rPr>
                <w:noProof/>
              </w:rPr>
            </w:pPr>
            <w:r>
              <w:rPr>
                <w:noProof/>
              </w:rPr>
              <w:t>Liczba stacji szybkiego ładowania</w:t>
            </w:r>
          </w:p>
        </w:tc>
      </w:tr>
      <w:tr w:rsidR="004C6421" w14:paraId="321686A8" w14:textId="77777777">
        <w:trPr>
          <w:trHeight w:val="300"/>
        </w:trPr>
        <w:tc>
          <w:tcPr>
            <w:tcW w:w="1435" w:type="dxa"/>
            <w:shd w:val="clear" w:color="auto" w:fill="C6EFCE"/>
            <w:tcMar>
              <w:left w:w="108" w:type="dxa"/>
              <w:right w:w="108" w:type="dxa"/>
            </w:tcMar>
            <w:vAlign w:val="center"/>
          </w:tcPr>
          <w:p w14:paraId="22CC62B4" w14:textId="77777777" w:rsidR="004C6421" w:rsidRDefault="009D1962">
            <w:pPr>
              <w:pStyle w:val="P68B1DB1-Normal8"/>
              <w:jc w:val="center"/>
              <w:rPr>
                <w:noProof/>
              </w:rPr>
            </w:pPr>
            <w:r>
              <w:rPr>
                <w:noProof/>
              </w:rPr>
              <w:t>M2C3-3</w:t>
            </w:r>
          </w:p>
        </w:tc>
        <w:tc>
          <w:tcPr>
            <w:tcW w:w="3543" w:type="dxa"/>
            <w:shd w:val="clear" w:color="auto" w:fill="C6EFCE"/>
            <w:tcMar>
              <w:left w:w="108" w:type="dxa"/>
              <w:right w:w="108" w:type="dxa"/>
            </w:tcMar>
            <w:vAlign w:val="center"/>
          </w:tcPr>
          <w:p w14:paraId="15F34A17" w14:textId="77777777" w:rsidR="004C6421" w:rsidRDefault="009D1962">
            <w:pPr>
              <w:pStyle w:val="P68B1DB1-Normal8"/>
              <w:rPr>
                <w:noProof/>
              </w:rPr>
            </w:pPr>
            <w:r>
              <w:rPr>
                <w:noProof/>
              </w:rPr>
              <w:t xml:space="preserve">Inwestycje 2.1 – Wzmocnienie Ecobonus na rzecz efektywności energetycznej </w:t>
            </w:r>
          </w:p>
        </w:tc>
        <w:tc>
          <w:tcPr>
            <w:tcW w:w="1276" w:type="dxa"/>
            <w:shd w:val="clear" w:color="auto" w:fill="C6EFCE"/>
            <w:tcMar>
              <w:left w:w="108" w:type="dxa"/>
              <w:right w:w="108" w:type="dxa"/>
            </w:tcMar>
            <w:vAlign w:val="center"/>
          </w:tcPr>
          <w:p w14:paraId="316E1EC3" w14:textId="77777777" w:rsidR="004C6421" w:rsidRDefault="009D1962">
            <w:pPr>
              <w:pStyle w:val="P68B1DB1-Normal8"/>
              <w:jc w:val="center"/>
              <w:rPr>
                <w:noProof/>
              </w:rPr>
            </w:pPr>
            <w:r>
              <w:rPr>
                <w:noProof/>
              </w:rPr>
              <w:t>Cel</w:t>
            </w:r>
          </w:p>
        </w:tc>
        <w:tc>
          <w:tcPr>
            <w:tcW w:w="3105" w:type="dxa"/>
            <w:shd w:val="clear" w:color="auto" w:fill="C6EFCE"/>
            <w:tcMar>
              <w:left w:w="108" w:type="dxa"/>
              <w:right w:w="108" w:type="dxa"/>
            </w:tcMar>
            <w:vAlign w:val="center"/>
          </w:tcPr>
          <w:p w14:paraId="689EE07A" w14:textId="77777777" w:rsidR="004C6421" w:rsidRDefault="009D1962">
            <w:pPr>
              <w:pStyle w:val="P68B1DB1-Normal8"/>
              <w:rPr>
                <w:noProof/>
              </w:rPr>
            </w:pPr>
            <w:r>
              <w:rPr>
                <w:noProof/>
              </w:rPr>
              <w:t>Renowacja budynków Superbonus T2</w:t>
            </w:r>
          </w:p>
        </w:tc>
      </w:tr>
      <w:tr w:rsidR="004C6421" w14:paraId="1C9E3F5A" w14:textId="77777777">
        <w:trPr>
          <w:trHeight w:val="300"/>
        </w:trPr>
        <w:tc>
          <w:tcPr>
            <w:tcW w:w="1435" w:type="dxa"/>
            <w:shd w:val="clear" w:color="auto" w:fill="C6EFCE"/>
            <w:tcMar>
              <w:left w:w="108" w:type="dxa"/>
              <w:right w:w="108" w:type="dxa"/>
            </w:tcMar>
            <w:vAlign w:val="center"/>
          </w:tcPr>
          <w:p w14:paraId="2538A8CF" w14:textId="77777777" w:rsidR="004C6421" w:rsidRDefault="009D1962">
            <w:pPr>
              <w:pStyle w:val="P68B1DB1-Normal8"/>
              <w:jc w:val="center"/>
              <w:rPr>
                <w:noProof/>
              </w:rPr>
            </w:pPr>
            <w:r>
              <w:rPr>
                <w:noProof/>
              </w:rPr>
              <w:t>M4C1-13</w:t>
            </w:r>
          </w:p>
        </w:tc>
        <w:tc>
          <w:tcPr>
            <w:tcW w:w="3543" w:type="dxa"/>
            <w:shd w:val="clear" w:color="auto" w:fill="C6EFCE"/>
            <w:tcMar>
              <w:left w:w="108" w:type="dxa"/>
              <w:right w:w="108" w:type="dxa"/>
            </w:tcMar>
            <w:vAlign w:val="center"/>
          </w:tcPr>
          <w:p w14:paraId="09B0D582" w14:textId="77777777" w:rsidR="004C6421" w:rsidRDefault="009D1962">
            <w:pPr>
              <w:pStyle w:val="P68B1DB1-Normal8"/>
              <w:rPr>
                <w:noProof/>
              </w:rPr>
            </w:pPr>
            <w:r>
              <w:rPr>
                <w:noProof/>
              </w:rPr>
              <w:t>Inwestycja 2.1: Zintegrowane cyfrowe nauczanie i szkolenie pracowników szkół w zakresie transformacji cyfrowej;</w:t>
            </w:r>
          </w:p>
        </w:tc>
        <w:tc>
          <w:tcPr>
            <w:tcW w:w="1276" w:type="dxa"/>
            <w:shd w:val="clear" w:color="auto" w:fill="C6EFCE"/>
            <w:tcMar>
              <w:left w:w="108" w:type="dxa"/>
              <w:right w:w="108" w:type="dxa"/>
            </w:tcMar>
            <w:vAlign w:val="center"/>
          </w:tcPr>
          <w:p w14:paraId="5FFB9A91" w14:textId="77777777" w:rsidR="004C6421" w:rsidRDefault="009D1962">
            <w:pPr>
              <w:pStyle w:val="P68B1DB1-Normal8"/>
              <w:jc w:val="center"/>
              <w:rPr>
                <w:noProof/>
              </w:rPr>
            </w:pPr>
            <w:r>
              <w:rPr>
                <w:noProof/>
              </w:rPr>
              <w:t>Cel</w:t>
            </w:r>
          </w:p>
        </w:tc>
        <w:tc>
          <w:tcPr>
            <w:tcW w:w="3105" w:type="dxa"/>
            <w:shd w:val="clear" w:color="auto" w:fill="C6EFCE"/>
            <w:tcMar>
              <w:left w:w="108" w:type="dxa"/>
              <w:right w:w="108" w:type="dxa"/>
            </w:tcMar>
            <w:vAlign w:val="center"/>
          </w:tcPr>
          <w:p w14:paraId="52658B4F" w14:textId="77777777" w:rsidR="004C6421" w:rsidRDefault="009D1962">
            <w:pPr>
              <w:pStyle w:val="P68B1DB1-Normal8"/>
              <w:rPr>
                <w:noProof/>
              </w:rPr>
            </w:pPr>
            <w:r>
              <w:rPr>
                <w:noProof/>
              </w:rPr>
              <w:t xml:space="preserve">Szkolenie kadry kierowniczej szkół, nauczycieli i personelu administracyjnego    </w:t>
            </w:r>
          </w:p>
        </w:tc>
      </w:tr>
      <w:tr w:rsidR="004C6421" w14:paraId="0CCC7506" w14:textId="77777777">
        <w:trPr>
          <w:trHeight w:val="300"/>
        </w:trPr>
        <w:tc>
          <w:tcPr>
            <w:tcW w:w="1435" w:type="dxa"/>
            <w:shd w:val="clear" w:color="auto" w:fill="C6EFCE"/>
            <w:tcMar>
              <w:left w:w="108" w:type="dxa"/>
              <w:right w:w="108" w:type="dxa"/>
            </w:tcMar>
            <w:vAlign w:val="center"/>
          </w:tcPr>
          <w:p w14:paraId="7DF11783" w14:textId="77777777" w:rsidR="004C6421" w:rsidRDefault="009D1962">
            <w:pPr>
              <w:pStyle w:val="P68B1DB1-Normal8"/>
              <w:jc w:val="center"/>
              <w:rPr>
                <w:noProof/>
              </w:rPr>
            </w:pPr>
            <w:r>
              <w:rPr>
                <w:noProof/>
              </w:rPr>
              <w:t>M4C1-15 bis</w:t>
            </w:r>
          </w:p>
        </w:tc>
        <w:tc>
          <w:tcPr>
            <w:tcW w:w="3543" w:type="dxa"/>
            <w:shd w:val="clear" w:color="auto" w:fill="C6EFCE"/>
            <w:tcMar>
              <w:left w:w="108" w:type="dxa"/>
              <w:right w:w="108" w:type="dxa"/>
            </w:tcMar>
            <w:vAlign w:val="center"/>
          </w:tcPr>
          <w:p w14:paraId="25200928" w14:textId="77777777" w:rsidR="004C6421" w:rsidRDefault="009D1962">
            <w:pPr>
              <w:pStyle w:val="P68B1DB1-Normal8"/>
              <w:rPr>
                <w:noProof/>
              </w:rPr>
            </w:pPr>
            <w:r>
              <w:rPr>
                <w:noProof/>
              </w:rPr>
              <w:t>Inwestycja 1.7: Stypendia na dostęp do uczelni</w:t>
            </w:r>
          </w:p>
        </w:tc>
        <w:tc>
          <w:tcPr>
            <w:tcW w:w="1276" w:type="dxa"/>
            <w:shd w:val="clear" w:color="auto" w:fill="C6EFCE"/>
            <w:tcMar>
              <w:left w:w="108" w:type="dxa"/>
              <w:right w:w="108" w:type="dxa"/>
            </w:tcMar>
            <w:vAlign w:val="center"/>
          </w:tcPr>
          <w:p w14:paraId="590C1414" w14:textId="77777777" w:rsidR="004C6421" w:rsidRDefault="009D1962">
            <w:pPr>
              <w:pStyle w:val="P68B1DB1-Normal8"/>
              <w:jc w:val="center"/>
              <w:rPr>
                <w:noProof/>
              </w:rPr>
            </w:pPr>
            <w:r>
              <w:rPr>
                <w:noProof/>
              </w:rPr>
              <w:t>Cel</w:t>
            </w:r>
          </w:p>
        </w:tc>
        <w:tc>
          <w:tcPr>
            <w:tcW w:w="3105" w:type="dxa"/>
            <w:shd w:val="clear" w:color="auto" w:fill="C6EFCE"/>
            <w:tcMar>
              <w:left w:w="108" w:type="dxa"/>
              <w:right w:w="108" w:type="dxa"/>
            </w:tcMar>
            <w:vAlign w:val="center"/>
          </w:tcPr>
          <w:p w14:paraId="3F6B2738" w14:textId="77777777" w:rsidR="004C6421" w:rsidRDefault="009D1962">
            <w:pPr>
              <w:pStyle w:val="P68B1DB1-Normal8"/>
              <w:rPr>
                <w:noProof/>
              </w:rPr>
            </w:pPr>
            <w:r>
              <w:rPr>
                <w:noProof/>
              </w:rPr>
              <w:t>Przyznane stypendia na dostęp do uczelni</w:t>
            </w:r>
          </w:p>
        </w:tc>
      </w:tr>
      <w:tr w:rsidR="004C6421" w14:paraId="6FE724BB" w14:textId="77777777">
        <w:trPr>
          <w:trHeight w:val="300"/>
        </w:trPr>
        <w:tc>
          <w:tcPr>
            <w:tcW w:w="1435" w:type="dxa"/>
            <w:shd w:val="clear" w:color="auto" w:fill="C6EFCE"/>
            <w:tcMar>
              <w:left w:w="108" w:type="dxa"/>
              <w:right w:w="108" w:type="dxa"/>
            </w:tcMar>
            <w:vAlign w:val="center"/>
          </w:tcPr>
          <w:p w14:paraId="1AB22D51" w14:textId="77777777" w:rsidR="004C6421" w:rsidRDefault="009D1962">
            <w:pPr>
              <w:pStyle w:val="P68B1DB1-Normal8"/>
              <w:jc w:val="center"/>
              <w:rPr>
                <w:noProof/>
              </w:rPr>
            </w:pPr>
            <w:r>
              <w:rPr>
                <w:noProof/>
              </w:rPr>
              <w:t>M4C1-19</w:t>
            </w:r>
          </w:p>
        </w:tc>
        <w:tc>
          <w:tcPr>
            <w:tcW w:w="3543" w:type="dxa"/>
            <w:shd w:val="clear" w:color="auto" w:fill="C6EFCE"/>
            <w:tcMar>
              <w:left w:w="108" w:type="dxa"/>
              <w:right w:w="108" w:type="dxa"/>
            </w:tcMar>
            <w:vAlign w:val="center"/>
          </w:tcPr>
          <w:p w14:paraId="40813080" w14:textId="77777777" w:rsidR="004C6421" w:rsidRDefault="009D1962">
            <w:pPr>
              <w:pStyle w:val="P68B1DB1-Normal8"/>
              <w:rPr>
                <w:noProof/>
              </w:rPr>
            </w:pPr>
            <w:r>
              <w:rPr>
                <w:noProof/>
              </w:rPr>
              <w:t>Inwestycje 3.2: Szkoła 4.0: innowacyjne szkoły, okablowanie, nowe klasy i warsztaty</w:t>
            </w:r>
          </w:p>
        </w:tc>
        <w:tc>
          <w:tcPr>
            <w:tcW w:w="1276" w:type="dxa"/>
            <w:shd w:val="clear" w:color="auto" w:fill="C6EFCE"/>
            <w:tcMar>
              <w:left w:w="108" w:type="dxa"/>
              <w:right w:w="108" w:type="dxa"/>
            </w:tcMar>
            <w:vAlign w:val="center"/>
          </w:tcPr>
          <w:p w14:paraId="372E818E" w14:textId="77777777" w:rsidR="004C6421" w:rsidRDefault="009D1962">
            <w:pPr>
              <w:pStyle w:val="P68B1DB1-Normal8"/>
              <w:jc w:val="center"/>
              <w:rPr>
                <w:noProof/>
              </w:rPr>
            </w:pPr>
            <w:r>
              <w:rPr>
                <w:noProof/>
              </w:rPr>
              <w:t>Cel</w:t>
            </w:r>
          </w:p>
        </w:tc>
        <w:tc>
          <w:tcPr>
            <w:tcW w:w="3105" w:type="dxa"/>
            <w:shd w:val="clear" w:color="auto" w:fill="C6EFCE"/>
            <w:tcMar>
              <w:left w:w="108" w:type="dxa"/>
              <w:right w:w="108" w:type="dxa"/>
            </w:tcMar>
            <w:vAlign w:val="center"/>
          </w:tcPr>
          <w:p w14:paraId="0E2D0360" w14:textId="77777777" w:rsidR="004C6421" w:rsidRDefault="009D1962">
            <w:pPr>
              <w:pStyle w:val="P68B1DB1-Normal8"/>
              <w:rPr>
                <w:noProof/>
              </w:rPr>
            </w:pPr>
            <w:r>
              <w:rPr>
                <w:noProof/>
              </w:rPr>
              <w:t>Dzięki szkole 4.0 klasy przekształcane są w innowacyjne środowiska edukacyjne.</w:t>
            </w:r>
          </w:p>
        </w:tc>
      </w:tr>
      <w:tr w:rsidR="004C6421" w14:paraId="663D0B07" w14:textId="77777777">
        <w:trPr>
          <w:trHeight w:val="300"/>
        </w:trPr>
        <w:tc>
          <w:tcPr>
            <w:tcW w:w="1435" w:type="dxa"/>
            <w:shd w:val="clear" w:color="auto" w:fill="C6EFCE"/>
            <w:tcMar>
              <w:left w:w="108" w:type="dxa"/>
              <w:right w:w="108" w:type="dxa"/>
            </w:tcMar>
            <w:vAlign w:val="center"/>
          </w:tcPr>
          <w:p w14:paraId="1179163E" w14:textId="77777777" w:rsidR="004C6421" w:rsidRDefault="009D1962">
            <w:pPr>
              <w:pStyle w:val="P68B1DB1-Normal8"/>
              <w:jc w:val="center"/>
              <w:rPr>
                <w:noProof/>
              </w:rPr>
            </w:pPr>
            <w:r>
              <w:rPr>
                <w:noProof/>
              </w:rPr>
              <w:t>M4C1-20</w:t>
            </w:r>
          </w:p>
        </w:tc>
        <w:tc>
          <w:tcPr>
            <w:tcW w:w="3543" w:type="dxa"/>
            <w:shd w:val="clear" w:color="auto" w:fill="C6EFCE"/>
            <w:tcMar>
              <w:left w:w="108" w:type="dxa"/>
              <w:right w:w="108" w:type="dxa"/>
            </w:tcMar>
            <w:vAlign w:val="center"/>
          </w:tcPr>
          <w:p w14:paraId="6D57092F" w14:textId="77777777" w:rsidR="004C6421" w:rsidRDefault="009D1962">
            <w:pPr>
              <w:pStyle w:val="P68B1DB1-Normal8"/>
              <w:rPr>
                <w:noProof/>
              </w:rPr>
            </w:pPr>
            <w:r>
              <w:rPr>
                <w:noProof/>
              </w:rPr>
              <w:t>Inwestycja 1.5: Rozwój systemu szkolnictwa wyższego szkolenia zawodowego (ITS)</w:t>
            </w:r>
          </w:p>
        </w:tc>
        <w:tc>
          <w:tcPr>
            <w:tcW w:w="1276" w:type="dxa"/>
            <w:shd w:val="clear" w:color="auto" w:fill="C6EFCE"/>
            <w:tcMar>
              <w:left w:w="108" w:type="dxa"/>
              <w:right w:w="108" w:type="dxa"/>
            </w:tcMar>
            <w:vAlign w:val="center"/>
          </w:tcPr>
          <w:p w14:paraId="3F0846E9" w14:textId="77777777" w:rsidR="004C6421" w:rsidRDefault="009D1962">
            <w:pPr>
              <w:pStyle w:val="P68B1DB1-Normal8"/>
              <w:jc w:val="center"/>
              <w:rPr>
                <w:noProof/>
              </w:rPr>
            </w:pPr>
            <w:r>
              <w:rPr>
                <w:noProof/>
              </w:rPr>
              <w:t>Cel</w:t>
            </w:r>
          </w:p>
        </w:tc>
        <w:tc>
          <w:tcPr>
            <w:tcW w:w="3105" w:type="dxa"/>
            <w:shd w:val="clear" w:color="auto" w:fill="C6EFCE"/>
            <w:tcMar>
              <w:left w:w="108" w:type="dxa"/>
              <w:right w:w="108" w:type="dxa"/>
            </w:tcMar>
            <w:vAlign w:val="center"/>
          </w:tcPr>
          <w:p w14:paraId="3B9535C8" w14:textId="77777777" w:rsidR="004C6421" w:rsidRDefault="009D1962">
            <w:pPr>
              <w:pStyle w:val="P68B1DB1-Normal8"/>
              <w:rPr>
                <w:noProof/>
              </w:rPr>
            </w:pPr>
            <w:r>
              <w:rPr>
                <w:noProof/>
              </w:rPr>
              <w:t>Liczba studentów przyjętych do systemu szkolenia zawodowego (ITS)</w:t>
            </w:r>
          </w:p>
        </w:tc>
      </w:tr>
      <w:tr w:rsidR="004C6421" w14:paraId="6866BD26" w14:textId="77777777">
        <w:trPr>
          <w:trHeight w:val="300"/>
        </w:trPr>
        <w:tc>
          <w:tcPr>
            <w:tcW w:w="1435" w:type="dxa"/>
            <w:shd w:val="clear" w:color="auto" w:fill="C6EFCE"/>
            <w:tcMar>
              <w:left w:w="108" w:type="dxa"/>
              <w:right w:w="108" w:type="dxa"/>
            </w:tcMar>
            <w:vAlign w:val="center"/>
          </w:tcPr>
          <w:p w14:paraId="4EDCEF6C" w14:textId="77777777" w:rsidR="004C6421" w:rsidRDefault="009D1962">
            <w:pPr>
              <w:pStyle w:val="P68B1DB1-Normal8"/>
              <w:jc w:val="center"/>
              <w:rPr>
                <w:noProof/>
              </w:rPr>
            </w:pPr>
            <w:r>
              <w:rPr>
                <w:noProof/>
              </w:rPr>
              <w:t>M4C1-20 bis</w:t>
            </w:r>
          </w:p>
        </w:tc>
        <w:tc>
          <w:tcPr>
            <w:tcW w:w="3543" w:type="dxa"/>
            <w:shd w:val="clear" w:color="auto" w:fill="C6EFCE"/>
            <w:tcMar>
              <w:left w:w="108" w:type="dxa"/>
              <w:right w:w="108" w:type="dxa"/>
            </w:tcMar>
            <w:vAlign w:val="center"/>
          </w:tcPr>
          <w:p w14:paraId="0CD9E0F2" w14:textId="77777777" w:rsidR="004C6421" w:rsidRDefault="009D1962">
            <w:pPr>
              <w:pStyle w:val="P68B1DB1-Normal8"/>
              <w:rPr>
                <w:noProof/>
              </w:rPr>
            </w:pPr>
            <w:r>
              <w:rPr>
                <w:noProof/>
              </w:rPr>
              <w:t xml:space="preserve">Inwestycja 1.5: Rozwój systemu szkolnictwa wyższego szkolenia zawodowego (ITS) </w:t>
            </w:r>
          </w:p>
        </w:tc>
        <w:tc>
          <w:tcPr>
            <w:tcW w:w="1276" w:type="dxa"/>
            <w:shd w:val="clear" w:color="auto" w:fill="C6EFCE"/>
            <w:tcMar>
              <w:left w:w="108" w:type="dxa"/>
              <w:right w:w="108" w:type="dxa"/>
            </w:tcMar>
            <w:vAlign w:val="center"/>
          </w:tcPr>
          <w:p w14:paraId="1D976E2C" w14:textId="5D3517DA" w:rsidR="004C6421" w:rsidRDefault="00CC179E">
            <w:pPr>
              <w:pStyle w:val="P68B1DB1-Normal8"/>
              <w:jc w:val="center"/>
              <w:rPr>
                <w:noProof/>
              </w:rPr>
            </w:pPr>
            <w:r>
              <w:rPr>
                <w:noProof/>
              </w:rPr>
              <w:t>Milowy</w:t>
            </w:r>
          </w:p>
        </w:tc>
        <w:tc>
          <w:tcPr>
            <w:tcW w:w="3105" w:type="dxa"/>
            <w:shd w:val="clear" w:color="auto" w:fill="C6EFCE"/>
            <w:tcMar>
              <w:left w:w="108" w:type="dxa"/>
              <w:right w:w="108" w:type="dxa"/>
            </w:tcMar>
            <w:vAlign w:val="center"/>
          </w:tcPr>
          <w:p w14:paraId="556A41AF" w14:textId="77777777" w:rsidR="004C6421" w:rsidRDefault="009D1962">
            <w:pPr>
              <w:pStyle w:val="P68B1DB1-Normal8"/>
              <w:rPr>
                <w:noProof/>
              </w:rPr>
            </w:pPr>
            <w:r>
              <w:rPr>
                <w:noProof/>
              </w:rPr>
              <w:t xml:space="preserve">Wdrożenie nowego krajowego systemu monitorowania </w:t>
            </w:r>
          </w:p>
        </w:tc>
      </w:tr>
      <w:tr w:rsidR="004C6421" w14:paraId="53EF8D3B" w14:textId="77777777">
        <w:trPr>
          <w:trHeight w:val="300"/>
        </w:trPr>
        <w:tc>
          <w:tcPr>
            <w:tcW w:w="1435" w:type="dxa"/>
            <w:shd w:val="clear" w:color="auto" w:fill="C6EFCE"/>
            <w:tcMar>
              <w:left w:w="108" w:type="dxa"/>
              <w:right w:w="108" w:type="dxa"/>
            </w:tcMar>
            <w:vAlign w:val="center"/>
          </w:tcPr>
          <w:p w14:paraId="48734E32" w14:textId="77777777" w:rsidR="004C6421" w:rsidRDefault="009D1962">
            <w:pPr>
              <w:pStyle w:val="P68B1DB1-Normal8"/>
              <w:jc w:val="center"/>
              <w:rPr>
                <w:noProof/>
              </w:rPr>
            </w:pPr>
            <w:r>
              <w:rPr>
                <w:noProof/>
              </w:rPr>
              <w:t>M4C2-2bis</w:t>
            </w:r>
          </w:p>
        </w:tc>
        <w:tc>
          <w:tcPr>
            <w:tcW w:w="3543" w:type="dxa"/>
            <w:shd w:val="clear" w:color="auto" w:fill="C6EFCE"/>
            <w:tcMar>
              <w:left w:w="108" w:type="dxa"/>
              <w:right w:w="108" w:type="dxa"/>
            </w:tcMar>
            <w:vAlign w:val="center"/>
          </w:tcPr>
          <w:p w14:paraId="0A8BA384" w14:textId="77777777" w:rsidR="004C6421" w:rsidRDefault="009D1962">
            <w:pPr>
              <w:pStyle w:val="P68B1DB1-Normal8"/>
              <w:rPr>
                <w:noProof/>
              </w:rPr>
            </w:pPr>
            <w:r>
              <w:rPr>
                <w:noProof/>
              </w:rPr>
              <w:t>Inwestycja 2.2 bis: Umowy w sprawie innowacji</w:t>
            </w:r>
          </w:p>
        </w:tc>
        <w:tc>
          <w:tcPr>
            <w:tcW w:w="1276" w:type="dxa"/>
            <w:shd w:val="clear" w:color="auto" w:fill="C6EFCE"/>
            <w:tcMar>
              <w:left w:w="108" w:type="dxa"/>
              <w:right w:w="108" w:type="dxa"/>
            </w:tcMar>
            <w:vAlign w:val="center"/>
          </w:tcPr>
          <w:p w14:paraId="2A0CC024" w14:textId="77777777" w:rsidR="004C6421" w:rsidRDefault="009D1962">
            <w:pPr>
              <w:pStyle w:val="P68B1DB1-Normal8"/>
              <w:jc w:val="center"/>
              <w:rPr>
                <w:noProof/>
              </w:rPr>
            </w:pPr>
            <w:r>
              <w:rPr>
                <w:noProof/>
              </w:rPr>
              <w:t>Cel</w:t>
            </w:r>
          </w:p>
        </w:tc>
        <w:tc>
          <w:tcPr>
            <w:tcW w:w="3105" w:type="dxa"/>
            <w:shd w:val="clear" w:color="auto" w:fill="C6EFCE"/>
            <w:tcMar>
              <w:left w:w="108" w:type="dxa"/>
              <w:right w:w="108" w:type="dxa"/>
            </w:tcMar>
            <w:vAlign w:val="center"/>
          </w:tcPr>
          <w:p w14:paraId="4633FFF7" w14:textId="5E0977D8" w:rsidR="004C6421" w:rsidRDefault="009D1962">
            <w:pPr>
              <w:pStyle w:val="P68B1DB1-Normal8"/>
              <w:rPr>
                <w:noProof/>
              </w:rPr>
            </w:pPr>
            <w:r>
              <w:rPr>
                <w:noProof/>
              </w:rPr>
              <w:t xml:space="preserve">Ukończone umowy w sprawie innowacji  </w:t>
            </w:r>
          </w:p>
        </w:tc>
      </w:tr>
      <w:tr w:rsidR="004C6421" w14:paraId="353F5F5C" w14:textId="77777777">
        <w:trPr>
          <w:trHeight w:val="300"/>
        </w:trPr>
        <w:tc>
          <w:tcPr>
            <w:tcW w:w="1435" w:type="dxa"/>
            <w:shd w:val="clear" w:color="auto" w:fill="C6EFCE"/>
            <w:tcMar>
              <w:left w:w="108" w:type="dxa"/>
              <w:right w:w="108" w:type="dxa"/>
            </w:tcMar>
            <w:vAlign w:val="center"/>
          </w:tcPr>
          <w:p w14:paraId="2809FCDB" w14:textId="77777777" w:rsidR="004C6421" w:rsidRDefault="009D1962">
            <w:pPr>
              <w:pStyle w:val="P68B1DB1-Normal8"/>
              <w:jc w:val="center"/>
              <w:rPr>
                <w:noProof/>
              </w:rPr>
            </w:pPr>
            <w:r>
              <w:rPr>
                <w:noProof/>
              </w:rPr>
              <w:t xml:space="preserve">M5C1-3 </w:t>
            </w:r>
          </w:p>
        </w:tc>
        <w:tc>
          <w:tcPr>
            <w:tcW w:w="3543" w:type="dxa"/>
            <w:shd w:val="clear" w:color="auto" w:fill="C6EFCE"/>
            <w:tcMar>
              <w:left w:w="108" w:type="dxa"/>
              <w:right w:w="108" w:type="dxa"/>
            </w:tcMar>
            <w:vAlign w:val="center"/>
          </w:tcPr>
          <w:p w14:paraId="22363108" w14:textId="77777777" w:rsidR="004C6421" w:rsidRDefault="009D1962">
            <w:pPr>
              <w:pStyle w:val="P68B1DB1-Normal8"/>
              <w:rPr>
                <w:noProof/>
              </w:rPr>
            </w:pPr>
            <w:r>
              <w:rPr>
                <w:noProof/>
              </w:rPr>
              <w:t>Reforma 1 – aktywna polityka rynku pracy i szkolenie zawodowe</w:t>
            </w:r>
          </w:p>
        </w:tc>
        <w:tc>
          <w:tcPr>
            <w:tcW w:w="1276" w:type="dxa"/>
            <w:shd w:val="clear" w:color="auto" w:fill="C6EFCE"/>
            <w:tcMar>
              <w:left w:w="108" w:type="dxa"/>
              <w:right w:w="108" w:type="dxa"/>
            </w:tcMar>
            <w:vAlign w:val="center"/>
          </w:tcPr>
          <w:p w14:paraId="1403C0B9" w14:textId="77777777" w:rsidR="004C6421" w:rsidRDefault="009D1962">
            <w:pPr>
              <w:pStyle w:val="P68B1DB1-Normal8"/>
              <w:jc w:val="center"/>
              <w:rPr>
                <w:noProof/>
              </w:rPr>
            </w:pPr>
            <w:r>
              <w:rPr>
                <w:noProof/>
              </w:rPr>
              <w:t>Cel</w:t>
            </w:r>
          </w:p>
        </w:tc>
        <w:tc>
          <w:tcPr>
            <w:tcW w:w="3105" w:type="dxa"/>
            <w:shd w:val="clear" w:color="auto" w:fill="C6EFCE"/>
            <w:tcMar>
              <w:left w:w="108" w:type="dxa"/>
              <w:right w:w="108" w:type="dxa"/>
            </w:tcMar>
            <w:vAlign w:val="center"/>
          </w:tcPr>
          <w:p w14:paraId="6F053140" w14:textId="77777777" w:rsidR="004C6421" w:rsidRDefault="009D1962">
            <w:pPr>
              <w:pStyle w:val="P68B1DB1-Normal8"/>
              <w:rPr>
                <w:noProof/>
              </w:rPr>
            </w:pPr>
            <w:r>
              <w:rPr>
                <w:noProof/>
              </w:rPr>
              <w:t xml:space="preserve">Osoby objęte programem GOL (GOL) </w:t>
            </w:r>
          </w:p>
        </w:tc>
      </w:tr>
      <w:tr w:rsidR="004C6421" w14:paraId="3D203620" w14:textId="77777777">
        <w:trPr>
          <w:trHeight w:val="300"/>
        </w:trPr>
        <w:tc>
          <w:tcPr>
            <w:tcW w:w="1435" w:type="dxa"/>
            <w:shd w:val="clear" w:color="auto" w:fill="C6EFCE"/>
            <w:tcMar>
              <w:left w:w="108" w:type="dxa"/>
              <w:right w:w="108" w:type="dxa"/>
            </w:tcMar>
            <w:vAlign w:val="center"/>
          </w:tcPr>
          <w:p w14:paraId="5B3A10AE" w14:textId="77777777" w:rsidR="004C6421" w:rsidRDefault="009D1962">
            <w:pPr>
              <w:pStyle w:val="P68B1DB1-Normal8"/>
              <w:jc w:val="center"/>
              <w:rPr>
                <w:noProof/>
              </w:rPr>
            </w:pPr>
            <w:r>
              <w:rPr>
                <w:noProof/>
              </w:rPr>
              <w:t xml:space="preserve">M5C1-4 </w:t>
            </w:r>
          </w:p>
        </w:tc>
        <w:tc>
          <w:tcPr>
            <w:tcW w:w="3543" w:type="dxa"/>
            <w:shd w:val="clear" w:color="auto" w:fill="C6EFCE"/>
            <w:tcMar>
              <w:left w:w="108" w:type="dxa"/>
              <w:right w:w="108" w:type="dxa"/>
            </w:tcMar>
            <w:vAlign w:val="center"/>
          </w:tcPr>
          <w:p w14:paraId="5D9ECF42" w14:textId="77777777" w:rsidR="004C6421" w:rsidRDefault="009D1962">
            <w:pPr>
              <w:pStyle w:val="P68B1DB1-Normal8"/>
              <w:rPr>
                <w:noProof/>
              </w:rPr>
            </w:pPr>
            <w:r>
              <w:rPr>
                <w:noProof/>
              </w:rPr>
              <w:t xml:space="preserve">Reforma 1 – aktywna polityka rynku pracy i szkolenie zawodowe </w:t>
            </w:r>
          </w:p>
        </w:tc>
        <w:tc>
          <w:tcPr>
            <w:tcW w:w="1276" w:type="dxa"/>
            <w:shd w:val="clear" w:color="auto" w:fill="C6EFCE"/>
            <w:tcMar>
              <w:left w:w="108" w:type="dxa"/>
              <w:right w:w="108" w:type="dxa"/>
            </w:tcMar>
            <w:vAlign w:val="center"/>
          </w:tcPr>
          <w:p w14:paraId="3081EDF8" w14:textId="77777777" w:rsidR="004C6421" w:rsidRDefault="009D1962">
            <w:pPr>
              <w:pStyle w:val="P68B1DB1-Normal8"/>
              <w:jc w:val="center"/>
              <w:rPr>
                <w:noProof/>
              </w:rPr>
            </w:pPr>
            <w:r>
              <w:rPr>
                <w:noProof/>
              </w:rPr>
              <w:t>Cel</w:t>
            </w:r>
          </w:p>
        </w:tc>
        <w:tc>
          <w:tcPr>
            <w:tcW w:w="3105" w:type="dxa"/>
            <w:shd w:val="clear" w:color="auto" w:fill="C6EFCE"/>
            <w:tcMar>
              <w:left w:w="108" w:type="dxa"/>
              <w:right w:w="108" w:type="dxa"/>
            </w:tcMar>
            <w:vAlign w:val="center"/>
          </w:tcPr>
          <w:p w14:paraId="03931884" w14:textId="77777777" w:rsidR="004C6421" w:rsidRDefault="009D1962">
            <w:pPr>
              <w:pStyle w:val="P68B1DB1-Normal8"/>
              <w:rPr>
                <w:noProof/>
              </w:rPr>
            </w:pPr>
            <w:r>
              <w:rPr>
                <w:noProof/>
              </w:rPr>
              <w:t xml:space="preserve">Gwarantowana zdolność do zatrudnienia beneficjentów pracowników uczestniczyli w szkoleniu zawodowym </w:t>
            </w:r>
          </w:p>
        </w:tc>
      </w:tr>
      <w:tr w:rsidR="004C6421" w14:paraId="2B15C279" w14:textId="77777777">
        <w:trPr>
          <w:trHeight w:val="300"/>
        </w:trPr>
        <w:tc>
          <w:tcPr>
            <w:tcW w:w="1435" w:type="dxa"/>
            <w:shd w:val="clear" w:color="auto" w:fill="C6EFCE"/>
            <w:tcMar>
              <w:left w:w="108" w:type="dxa"/>
              <w:right w:w="108" w:type="dxa"/>
            </w:tcMar>
            <w:vAlign w:val="center"/>
          </w:tcPr>
          <w:p w14:paraId="17C94FFB" w14:textId="77777777" w:rsidR="004C6421" w:rsidRDefault="009D1962">
            <w:pPr>
              <w:pStyle w:val="P68B1DB1-Normal8"/>
              <w:jc w:val="center"/>
              <w:rPr>
                <w:noProof/>
              </w:rPr>
            </w:pPr>
            <w:r>
              <w:rPr>
                <w:noProof/>
              </w:rPr>
              <w:t xml:space="preserve">M5C1-5 </w:t>
            </w:r>
          </w:p>
        </w:tc>
        <w:tc>
          <w:tcPr>
            <w:tcW w:w="3543" w:type="dxa"/>
            <w:shd w:val="clear" w:color="auto" w:fill="C6EFCE"/>
            <w:tcMar>
              <w:left w:w="108" w:type="dxa"/>
              <w:right w:w="108" w:type="dxa"/>
            </w:tcMar>
            <w:vAlign w:val="center"/>
          </w:tcPr>
          <w:p w14:paraId="210E084F" w14:textId="77777777" w:rsidR="004C6421" w:rsidRDefault="009D1962">
            <w:pPr>
              <w:pStyle w:val="P68B1DB1-Normal8"/>
              <w:rPr>
                <w:noProof/>
              </w:rPr>
            </w:pPr>
            <w:r>
              <w:rPr>
                <w:noProof/>
              </w:rPr>
              <w:t>Reforma 1 – aktywna polityka rynku pracy i szkolenie zawodowe</w:t>
            </w:r>
          </w:p>
        </w:tc>
        <w:tc>
          <w:tcPr>
            <w:tcW w:w="1276" w:type="dxa"/>
            <w:shd w:val="clear" w:color="auto" w:fill="C6EFCE"/>
            <w:tcMar>
              <w:left w:w="108" w:type="dxa"/>
              <w:right w:w="108" w:type="dxa"/>
            </w:tcMar>
            <w:vAlign w:val="center"/>
          </w:tcPr>
          <w:p w14:paraId="3261740D" w14:textId="77777777" w:rsidR="004C6421" w:rsidRDefault="009D1962">
            <w:pPr>
              <w:pStyle w:val="P68B1DB1-Normal8"/>
              <w:jc w:val="center"/>
              <w:rPr>
                <w:noProof/>
              </w:rPr>
            </w:pPr>
            <w:r>
              <w:rPr>
                <w:noProof/>
              </w:rPr>
              <w:t>Cel</w:t>
            </w:r>
          </w:p>
        </w:tc>
        <w:tc>
          <w:tcPr>
            <w:tcW w:w="3105" w:type="dxa"/>
            <w:shd w:val="clear" w:color="auto" w:fill="C6EFCE"/>
            <w:tcMar>
              <w:left w:w="108" w:type="dxa"/>
              <w:right w:w="108" w:type="dxa"/>
            </w:tcMar>
            <w:vAlign w:val="center"/>
          </w:tcPr>
          <w:p w14:paraId="5FADD6C9" w14:textId="77777777" w:rsidR="004C6421" w:rsidRDefault="009D1962">
            <w:pPr>
              <w:pStyle w:val="P68B1DB1-Normal8"/>
              <w:rPr>
                <w:noProof/>
              </w:rPr>
            </w:pPr>
            <w:r>
              <w:rPr>
                <w:noProof/>
              </w:rPr>
              <w:t>Publiczne służby zatrudnienia w każdym regionie spełniły kryteria podstawowego poziomu usług publicznych służb zatrudnienia, jak określono w programie GOL (GOL)</w:t>
            </w:r>
          </w:p>
        </w:tc>
      </w:tr>
      <w:tr w:rsidR="004C6421" w14:paraId="2E32512D" w14:textId="77777777">
        <w:trPr>
          <w:trHeight w:val="300"/>
        </w:trPr>
        <w:tc>
          <w:tcPr>
            <w:tcW w:w="1435" w:type="dxa"/>
            <w:shd w:val="clear" w:color="auto" w:fill="C6EFCE"/>
            <w:tcMar>
              <w:left w:w="108" w:type="dxa"/>
              <w:right w:w="108" w:type="dxa"/>
            </w:tcMar>
            <w:vAlign w:val="center"/>
          </w:tcPr>
          <w:p w14:paraId="7CD2738B" w14:textId="77777777" w:rsidR="004C6421" w:rsidRDefault="009D1962">
            <w:pPr>
              <w:pStyle w:val="P68B1DB1-Normal8"/>
              <w:jc w:val="center"/>
              <w:rPr>
                <w:noProof/>
              </w:rPr>
            </w:pPr>
            <w:r>
              <w:rPr>
                <w:noProof/>
              </w:rPr>
              <w:t>M5C1-7</w:t>
            </w:r>
          </w:p>
        </w:tc>
        <w:tc>
          <w:tcPr>
            <w:tcW w:w="3543" w:type="dxa"/>
            <w:shd w:val="clear" w:color="auto" w:fill="C6EFCE"/>
            <w:tcMar>
              <w:left w:w="108" w:type="dxa"/>
              <w:right w:w="108" w:type="dxa"/>
            </w:tcMar>
            <w:vAlign w:val="center"/>
          </w:tcPr>
          <w:p w14:paraId="30A7A8AA" w14:textId="77777777" w:rsidR="004C6421" w:rsidRDefault="009D1962">
            <w:pPr>
              <w:pStyle w:val="P68B1DB1-Normal8"/>
              <w:rPr>
                <w:noProof/>
              </w:rPr>
            </w:pPr>
            <w:r>
              <w:rPr>
                <w:noProof/>
              </w:rPr>
              <w:t xml:space="preserve">Inwestycje 1 – Wzmocnienie publicznych służb zatrudnienia </w:t>
            </w:r>
          </w:p>
        </w:tc>
        <w:tc>
          <w:tcPr>
            <w:tcW w:w="1276" w:type="dxa"/>
            <w:shd w:val="clear" w:color="auto" w:fill="C6EFCE"/>
            <w:tcMar>
              <w:left w:w="108" w:type="dxa"/>
              <w:right w:w="108" w:type="dxa"/>
            </w:tcMar>
            <w:vAlign w:val="center"/>
          </w:tcPr>
          <w:p w14:paraId="2AFE3D54" w14:textId="77777777" w:rsidR="004C6421" w:rsidRDefault="009D1962">
            <w:pPr>
              <w:pStyle w:val="P68B1DB1-Normal8"/>
              <w:jc w:val="center"/>
              <w:rPr>
                <w:noProof/>
              </w:rPr>
            </w:pPr>
            <w:r>
              <w:rPr>
                <w:noProof/>
              </w:rPr>
              <w:t>Cel</w:t>
            </w:r>
          </w:p>
        </w:tc>
        <w:tc>
          <w:tcPr>
            <w:tcW w:w="3105" w:type="dxa"/>
            <w:shd w:val="clear" w:color="auto" w:fill="C6EFCE"/>
            <w:tcMar>
              <w:left w:w="108" w:type="dxa"/>
              <w:right w:w="108" w:type="dxa"/>
            </w:tcMar>
            <w:vAlign w:val="center"/>
          </w:tcPr>
          <w:p w14:paraId="76838280" w14:textId="77777777" w:rsidR="004C6421" w:rsidRDefault="009D1962">
            <w:pPr>
              <w:pStyle w:val="P68B1DB1-Normal8"/>
              <w:rPr>
                <w:noProof/>
              </w:rPr>
            </w:pPr>
            <w:r>
              <w:rPr>
                <w:noProof/>
              </w:rPr>
              <w:t>Publiczne służby zatrudnienia zakończyły działania przewidziane w planie wzmocnienia</w:t>
            </w:r>
          </w:p>
        </w:tc>
      </w:tr>
      <w:tr w:rsidR="004C6421" w14:paraId="3E75DA64" w14:textId="77777777">
        <w:trPr>
          <w:trHeight w:val="300"/>
        </w:trPr>
        <w:tc>
          <w:tcPr>
            <w:tcW w:w="1435" w:type="dxa"/>
            <w:shd w:val="clear" w:color="auto" w:fill="C6EFCE"/>
            <w:tcMar>
              <w:left w:w="108" w:type="dxa"/>
              <w:right w:w="108" w:type="dxa"/>
            </w:tcMar>
            <w:vAlign w:val="center"/>
          </w:tcPr>
          <w:p w14:paraId="5B60FBBF" w14:textId="77777777" w:rsidR="004C6421" w:rsidRDefault="009D1962">
            <w:pPr>
              <w:pStyle w:val="P68B1DB1-Normal8"/>
              <w:jc w:val="center"/>
              <w:rPr>
                <w:noProof/>
              </w:rPr>
            </w:pPr>
            <w:r>
              <w:rPr>
                <w:noProof/>
              </w:rPr>
              <w:t xml:space="preserve">M5C1-10 </w:t>
            </w:r>
          </w:p>
        </w:tc>
        <w:tc>
          <w:tcPr>
            <w:tcW w:w="3543" w:type="dxa"/>
            <w:shd w:val="clear" w:color="auto" w:fill="C6EFCE"/>
            <w:tcMar>
              <w:left w:w="108" w:type="dxa"/>
              <w:right w:w="108" w:type="dxa"/>
            </w:tcMar>
            <w:vAlign w:val="center"/>
          </w:tcPr>
          <w:p w14:paraId="32A6A468" w14:textId="77777777" w:rsidR="004C6421" w:rsidRDefault="009D1962">
            <w:pPr>
              <w:pStyle w:val="P68B1DB1-Normal8"/>
              <w:rPr>
                <w:noProof/>
              </w:rPr>
            </w:pPr>
            <w:r>
              <w:rPr>
                <w:noProof/>
              </w:rPr>
              <w:t xml:space="preserve">Reforma 2 – Praca nierejestrowana </w:t>
            </w:r>
          </w:p>
        </w:tc>
        <w:tc>
          <w:tcPr>
            <w:tcW w:w="1276" w:type="dxa"/>
            <w:shd w:val="clear" w:color="auto" w:fill="C6EFCE"/>
            <w:tcMar>
              <w:left w:w="108" w:type="dxa"/>
              <w:right w:w="108" w:type="dxa"/>
            </w:tcMar>
            <w:vAlign w:val="center"/>
          </w:tcPr>
          <w:p w14:paraId="3DFDF157" w14:textId="77777777" w:rsidR="004C6421" w:rsidRDefault="009D1962">
            <w:pPr>
              <w:pStyle w:val="P68B1DB1-Normal8"/>
              <w:jc w:val="center"/>
              <w:rPr>
                <w:noProof/>
              </w:rPr>
            </w:pPr>
            <w:r>
              <w:rPr>
                <w:noProof/>
              </w:rPr>
              <w:t>Cel</w:t>
            </w:r>
          </w:p>
        </w:tc>
        <w:tc>
          <w:tcPr>
            <w:tcW w:w="3105" w:type="dxa"/>
            <w:shd w:val="clear" w:color="auto" w:fill="C6EFCE"/>
            <w:tcMar>
              <w:left w:w="108" w:type="dxa"/>
              <w:right w:w="108" w:type="dxa"/>
            </w:tcMar>
            <w:vAlign w:val="center"/>
          </w:tcPr>
          <w:p w14:paraId="52205BFD" w14:textId="77777777" w:rsidR="004C6421" w:rsidRDefault="009D1962">
            <w:pPr>
              <w:pStyle w:val="P68B1DB1-Normal8"/>
              <w:rPr>
                <w:noProof/>
              </w:rPr>
            </w:pPr>
            <w:r>
              <w:rPr>
                <w:noProof/>
              </w:rPr>
              <w:t>Zwiększona liczba inspekcji pracy</w:t>
            </w:r>
          </w:p>
        </w:tc>
      </w:tr>
      <w:tr w:rsidR="004C6421" w14:paraId="0E73B937" w14:textId="77777777">
        <w:trPr>
          <w:trHeight w:val="300"/>
        </w:trPr>
        <w:tc>
          <w:tcPr>
            <w:tcW w:w="1435" w:type="dxa"/>
            <w:shd w:val="clear" w:color="auto" w:fill="C6EFCE"/>
            <w:tcMar>
              <w:left w:w="108" w:type="dxa"/>
              <w:right w:w="108" w:type="dxa"/>
            </w:tcMar>
            <w:vAlign w:val="center"/>
          </w:tcPr>
          <w:p w14:paraId="4A48143B" w14:textId="77777777" w:rsidR="004C6421" w:rsidRDefault="009D1962">
            <w:pPr>
              <w:pStyle w:val="P68B1DB1-Normal8"/>
              <w:jc w:val="center"/>
              <w:rPr>
                <w:noProof/>
              </w:rPr>
            </w:pPr>
            <w:r>
              <w:rPr>
                <w:noProof/>
              </w:rPr>
              <w:t>M5C1-15</w:t>
            </w:r>
          </w:p>
        </w:tc>
        <w:tc>
          <w:tcPr>
            <w:tcW w:w="3543" w:type="dxa"/>
            <w:shd w:val="clear" w:color="auto" w:fill="C6EFCE"/>
            <w:tcMar>
              <w:left w:w="108" w:type="dxa"/>
              <w:right w:w="108" w:type="dxa"/>
            </w:tcMar>
            <w:vAlign w:val="center"/>
          </w:tcPr>
          <w:p w14:paraId="4A3CF679" w14:textId="77777777" w:rsidR="004C6421" w:rsidRDefault="009D1962">
            <w:pPr>
              <w:pStyle w:val="P68B1DB1-Normal8"/>
              <w:rPr>
                <w:noProof/>
              </w:rPr>
            </w:pPr>
            <w:r>
              <w:rPr>
                <w:noProof/>
              </w:rPr>
              <w:t>Inwestycje 3 – Wzmocnienie podwójnego systemu</w:t>
            </w:r>
          </w:p>
        </w:tc>
        <w:tc>
          <w:tcPr>
            <w:tcW w:w="1276" w:type="dxa"/>
            <w:shd w:val="clear" w:color="auto" w:fill="C6EFCE"/>
            <w:tcMar>
              <w:left w:w="108" w:type="dxa"/>
              <w:right w:w="108" w:type="dxa"/>
            </w:tcMar>
            <w:vAlign w:val="center"/>
          </w:tcPr>
          <w:p w14:paraId="1FC84E09" w14:textId="77777777" w:rsidR="004C6421" w:rsidRDefault="009D1962">
            <w:pPr>
              <w:pStyle w:val="P68B1DB1-Normal8"/>
              <w:jc w:val="center"/>
              <w:rPr>
                <w:noProof/>
              </w:rPr>
            </w:pPr>
            <w:r>
              <w:rPr>
                <w:noProof/>
              </w:rPr>
              <w:t>Cel</w:t>
            </w:r>
          </w:p>
        </w:tc>
        <w:tc>
          <w:tcPr>
            <w:tcW w:w="3105" w:type="dxa"/>
            <w:shd w:val="clear" w:color="auto" w:fill="C6EFCE"/>
            <w:tcMar>
              <w:left w:w="108" w:type="dxa"/>
              <w:right w:w="108" w:type="dxa"/>
            </w:tcMar>
            <w:vAlign w:val="center"/>
          </w:tcPr>
          <w:p w14:paraId="62666D15" w14:textId="77777777" w:rsidR="004C6421" w:rsidRDefault="009D1962">
            <w:pPr>
              <w:pStyle w:val="P68B1DB1-Normal8"/>
              <w:rPr>
                <w:noProof/>
              </w:rPr>
            </w:pPr>
            <w:r>
              <w:rPr>
                <w:noProof/>
              </w:rPr>
              <w:t>Osoby, które uczestniczyły w systemie dualnym i uzyskały odpowiednią certyfikację w pięcioletnim okresie 2021–2025</w:t>
            </w:r>
          </w:p>
        </w:tc>
      </w:tr>
      <w:tr w:rsidR="004C6421" w14:paraId="52787236" w14:textId="77777777">
        <w:trPr>
          <w:trHeight w:val="300"/>
        </w:trPr>
        <w:tc>
          <w:tcPr>
            <w:tcW w:w="1435" w:type="dxa"/>
            <w:shd w:val="clear" w:color="auto" w:fill="C6EFCE"/>
            <w:tcMar>
              <w:left w:w="108" w:type="dxa"/>
              <w:right w:w="108" w:type="dxa"/>
            </w:tcMar>
            <w:vAlign w:val="center"/>
          </w:tcPr>
          <w:p w14:paraId="08952CC1" w14:textId="77777777" w:rsidR="004C6421" w:rsidRDefault="009D1962">
            <w:pPr>
              <w:pStyle w:val="P68B1DB1-Normal8"/>
              <w:jc w:val="center"/>
              <w:rPr>
                <w:noProof/>
              </w:rPr>
            </w:pPr>
            <w:r>
              <w:rPr>
                <w:noProof/>
              </w:rPr>
              <w:t>M6C2-2</w:t>
            </w:r>
          </w:p>
        </w:tc>
        <w:tc>
          <w:tcPr>
            <w:tcW w:w="3543" w:type="dxa"/>
            <w:shd w:val="clear" w:color="auto" w:fill="C6EFCE"/>
            <w:tcMar>
              <w:left w:w="108" w:type="dxa"/>
              <w:right w:w="108" w:type="dxa"/>
            </w:tcMar>
            <w:vAlign w:val="center"/>
          </w:tcPr>
          <w:p w14:paraId="5DE29D50" w14:textId="77777777" w:rsidR="004C6421" w:rsidRDefault="009D1962">
            <w:pPr>
              <w:pStyle w:val="P68B1DB1-Normal8"/>
              <w:rPr>
                <w:noProof/>
              </w:rPr>
            </w:pPr>
            <w:r>
              <w:rPr>
                <w:noProof/>
              </w:rPr>
              <w:t>Inwestycja 2.1: Wzmocnienie i udoskonalenie badań biomedycznych NHS</w:t>
            </w:r>
          </w:p>
        </w:tc>
        <w:tc>
          <w:tcPr>
            <w:tcW w:w="1276" w:type="dxa"/>
            <w:shd w:val="clear" w:color="auto" w:fill="C6EFCE"/>
            <w:tcMar>
              <w:left w:w="108" w:type="dxa"/>
              <w:right w:w="108" w:type="dxa"/>
            </w:tcMar>
            <w:vAlign w:val="center"/>
          </w:tcPr>
          <w:p w14:paraId="59B9DE8D" w14:textId="77777777" w:rsidR="004C6421" w:rsidRDefault="009D1962">
            <w:pPr>
              <w:pStyle w:val="P68B1DB1-Normal8"/>
              <w:jc w:val="center"/>
              <w:rPr>
                <w:noProof/>
              </w:rPr>
            </w:pPr>
            <w:r>
              <w:rPr>
                <w:noProof/>
              </w:rPr>
              <w:t>Cel</w:t>
            </w:r>
          </w:p>
        </w:tc>
        <w:tc>
          <w:tcPr>
            <w:tcW w:w="3105" w:type="dxa"/>
            <w:shd w:val="clear" w:color="auto" w:fill="C6EFCE"/>
            <w:tcMar>
              <w:left w:w="108" w:type="dxa"/>
              <w:right w:w="108" w:type="dxa"/>
            </w:tcMar>
            <w:vAlign w:val="center"/>
          </w:tcPr>
          <w:p w14:paraId="4A9BB4EB" w14:textId="77777777" w:rsidR="004C6421" w:rsidRDefault="009D1962">
            <w:pPr>
              <w:pStyle w:val="P68B1DB1-Normal8"/>
              <w:rPr>
                <w:noProof/>
              </w:rPr>
            </w:pPr>
            <w:r>
              <w:rPr>
                <w:noProof/>
              </w:rPr>
              <w:t>Finansowane projekty badawcze dotyczące rzadkich nowotworów i chorób</w:t>
            </w:r>
          </w:p>
        </w:tc>
      </w:tr>
      <w:tr w:rsidR="004C6421" w14:paraId="2BF415A2" w14:textId="77777777">
        <w:trPr>
          <w:trHeight w:val="300"/>
        </w:trPr>
        <w:tc>
          <w:tcPr>
            <w:tcW w:w="1435" w:type="dxa"/>
            <w:shd w:val="clear" w:color="auto" w:fill="C6EFCE"/>
            <w:tcMar>
              <w:left w:w="108" w:type="dxa"/>
              <w:right w:w="108" w:type="dxa"/>
            </w:tcMar>
            <w:vAlign w:val="center"/>
          </w:tcPr>
          <w:p w14:paraId="71C26F76" w14:textId="77777777" w:rsidR="004C6421" w:rsidRDefault="009D1962">
            <w:pPr>
              <w:pStyle w:val="P68B1DB1-Normal8"/>
              <w:jc w:val="center"/>
              <w:rPr>
                <w:noProof/>
              </w:rPr>
            </w:pPr>
            <w:r>
              <w:rPr>
                <w:noProof/>
              </w:rPr>
              <w:t>M6C2-3</w:t>
            </w:r>
          </w:p>
        </w:tc>
        <w:tc>
          <w:tcPr>
            <w:tcW w:w="3543" w:type="dxa"/>
            <w:shd w:val="clear" w:color="auto" w:fill="C6EFCE"/>
            <w:tcMar>
              <w:left w:w="108" w:type="dxa"/>
              <w:right w:w="108" w:type="dxa"/>
            </w:tcMar>
            <w:vAlign w:val="center"/>
          </w:tcPr>
          <w:p w14:paraId="4B3AE6A5" w14:textId="77777777" w:rsidR="004C6421" w:rsidRDefault="009D1962">
            <w:pPr>
              <w:pStyle w:val="P68B1DB1-Normal8"/>
              <w:rPr>
                <w:noProof/>
              </w:rPr>
            </w:pPr>
            <w:r>
              <w:rPr>
                <w:noProof/>
              </w:rPr>
              <w:t>Inwestycja 2.1: Wzmocnienie i udoskonalenie badań biomedycznych NHS</w:t>
            </w:r>
          </w:p>
        </w:tc>
        <w:tc>
          <w:tcPr>
            <w:tcW w:w="1276" w:type="dxa"/>
            <w:shd w:val="clear" w:color="auto" w:fill="C6EFCE"/>
            <w:tcMar>
              <w:left w:w="108" w:type="dxa"/>
              <w:right w:w="108" w:type="dxa"/>
            </w:tcMar>
            <w:vAlign w:val="center"/>
          </w:tcPr>
          <w:p w14:paraId="2DAF2D9F" w14:textId="77777777" w:rsidR="004C6421" w:rsidRDefault="009D1962">
            <w:pPr>
              <w:pStyle w:val="P68B1DB1-Normal8"/>
              <w:jc w:val="center"/>
              <w:rPr>
                <w:noProof/>
              </w:rPr>
            </w:pPr>
            <w:r>
              <w:rPr>
                <w:noProof/>
              </w:rPr>
              <w:t>Cel</w:t>
            </w:r>
          </w:p>
        </w:tc>
        <w:tc>
          <w:tcPr>
            <w:tcW w:w="3105" w:type="dxa"/>
            <w:shd w:val="clear" w:color="auto" w:fill="C6EFCE"/>
            <w:tcMar>
              <w:left w:w="108" w:type="dxa"/>
              <w:right w:w="108" w:type="dxa"/>
            </w:tcMar>
            <w:vAlign w:val="center"/>
          </w:tcPr>
          <w:p w14:paraId="3475F2E5" w14:textId="77777777" w:rsidR="004C6421" w:rsidRDefault="009D1962">
            <w:pPr>
              <w:pStyle w:val="P68B1DB1-Normal8"/>
              <w:rPr>
                <w:noProof/>
              </w:rPr>
            </w:pPr>
            <w:r>
              <w:rPr>
                <w:noProof/>
              </w:rPr>
              <w:t>Finansowane projekty badawcze dotyczące chorób o dużym wpływie na zdrowie</w:t>
            </w:r>
          </w:p>
        </w:tc>
      </w:tr>
      <w:tr w:rsidR="004C6421" w14:paraId="646764A9" w14:textId="77777777">
        <w:trPr>
          <w:trHeight w:val="300"/>
        </w:trPr>
        <w:tc>
          <w:tcPr>
            <w:tcW w:w="1435" w:type="dxa"/>
            <w:shd w:val="clear" w:color="auto" w:fill="C6EFCE"/>
            <w:tcMar>
              <w:left w:w="108" w:type="dxa"/>
              <w:right w:w="108" w:type="dxa"/>
            </w:tcMar>
            <w:vAlign w:val="center"/>
          </w:tcPr>
          <w:p w14:paraId="4DEEA48B" w14:textId="77777777" w:rsidR="004C6421" w:rsidRDefault="009D1962">
            <w:pPr>
              <w:pStyle w:val="P68B1DB1-Normal8"/>
              <w:jc w:val="center"/>
              <w:rPr>
                <w:noProof/>
              </w:rPr>
            </w:pPr>
            <w:r>
              <w:rPr>
                <w:noProof/>
              </w:rPr>
              <w:t>M7-3</w:t>
            </w:r>
          </w:p>
        </w:tc>
        <w:tc>
          <w:tcPr>
            <w:tcW w:w="3543" w:type="dxa"/>
            <w:shd w:val="clear" w:color="auto" w:fill="C6EFCE"/>
            <w:tcMar>
              <w:left w:w="108" w:type="dxa"/>
              <w:right w:w="108" w:type="dxa"/>
            </w:tcMar>
            <w:vAlign w:val="center"/>
          </w:tcPr>
          <w:p w14:paraId="572B4747" w14:textId="77777777" w:rsidR="004C6421" w:rsidRDefault="009D1962">
            <w:pPr>
              <w:pStyle w:val="P68B1DB1-Normal8"/>
              <w:rPr>
                <w:noProof/>
              </w:rPr>
            </w:pPr>
            <w:r>
              <w:rPr>
                <w:noProof/>
              </w:rPr>
              <w:t xml:space="preserve">Reforma 1: Usprawnienie procedur wydawania pozwoleń na energię ze źródeł odnawialnych </w:t>
            </w:r>
          </w:p>
        </w:tc>
        <w:tc>
          <w:tcPr>
            <w:tcW w:w="1276" w:type="dxa"/>
            <w:shd w:val="clear" w:color="auto" w:fill="C6EFCE"/>
            <w:tcMar>
              <w:left w:w="108" w:type="dxa"/>
              <w:right w:w="108" w:type="dxa"/>
            </w:tcMar>
            <w:vAlign w:val="center"/>
          </w:tcPr>
          <w:p w14:paraId="325A6661" w14:textId="58E0F16B" w:rsidR="004C6421" w:rsidRDefault="00CC179E">
            <w:pPr>
              <w:pStyle w:val="P68B1DB1-Normal8"/>
              <w:jc w:val="center"/>
              <w:rPr>
                <w:noProof/>
              </w:rPr>
            </w:pPr>
            <w:r>
              <w:rPr>
                <w:noProof/>
              </w:rPr>
              <w:t>Milowy</w:t>
            </w:r>
          </w:p>
        </w:tc>
        <w:tc>
          <w:tcPr>
            <w:tcW w:w="3105" w:type="dxa"/>
            <w:shd w:val="clear" w:color="auto" w:fill="C6EFCE"/>
            <w:tcMar>
              <w:left w:w="108" w:type="dxa"/>
              <w:right w:w="108" w:type="dxa"/>
            </w:tcMar>
            <w:vAlign w:val="center"/>
          </w:tcPr>
          <w:p w14:paraId="51166D2E" w14:textId="77777777" w:rsidR="004C6421" w:rsidRDefault="009D1962">
            <w:pPr>
              <w:pStyle w:val="P68B1DB1-Normal8"/>
              <w:rPr>
                <w:noProof/>
              </w:rPr>
            </w:pPr>
            <w:r>
              <w:rPr>
                <w:noProof/>
              </w:rPr>
              <w:t>Ustanowienie i uruchomienie jednolitej platformy cyfrowej do udzielania zezwoleń związanych z odnawialnymi źródłami energii</w:t>
            </w:r>
          </w:p>
        </w:tc>
      </w:tr>
      <w:tr w:rsidR="004C6421" w14:paraId="02142B0B" w14:textId="77777777">
        <w:trPr>
          <w:trHeight w:val="300"/>
        </w:trPr>
        <w:tc>
          <w:tcPr>
            <w:tcW w:w="1435" w:type="dxa"/>
            <w:shd w:val="clear" w:color="auto" w:fill="C6EFCE"/>
            <w:tcMar>
              <w:left w:w="108" w:type="dxa"/>
              <w:right w:w="108" w:type="dxa"/>
            </w:tcMar>
            <w:vAlign w:val="center"/>
          </w:tcPr>
          <w:p w14:paraId="6D8D9743" w14:textId="77777777" w:rsidR="004C6421" w:rsidRDefault="009D1962">
            <w:pPr>
              <w:pStyle w:val="P68B1DB1-Normal8"/>
              <w:jc w:val="center"/>
              <w:rPr>
                <w:noProof/>
              </w:rPr>
            </w:pPr>
            <w:r>
              <w:rPr>
                <w:noProof/>
              </w:rPr>
              <w:t>M7-5</w:t>
            </w:r>
          </w:p>
        </w:tc>
        <w:tc>
          <w:tcPr>
            <w:tcW w:w="3543" w:type="dxa"/>
            <w:shd w:val="clear" w:color="auto" w:fill="C6EFCE"/>
            <w:tcMar>
              <w:left w:w="108" w:type="dxa"/>
              <w:right w:w="108" w:type="dxa"/>
            </w:tcMar>
            <w:vAlign w:val="center"/>
          </w:tcPr>
          <w:p w14:paraId="6BF0C672" w14:textId="77777777" w:rsidR="004C6421" w:rsidRDefault="009D1962">
            <w:pPr>
              <w:pStyle w:val="P68B1DB1-Normal8"/>
              <w:rPr>
                <w:noProof/>
              </w:rPr>
            </w:pPr>
            <w:r>
              <w:rPr>
                <w:noProof/>
              </w:rPr>
              <w:t>Reforma nr 2: Zmniejszenie dotacji szkodliwych dla środowiska</w:t>
            </w:r>
          </w:p>
        </w:tc>
        <w:tc>
          <w:tcPr>
            <w:tcW w:w="1276" w:type="dxa"/>
            <w:shd w:val="clear" w:color="auto" w:fill="C6EFCE"/>
            <w:tcMar>
              <w:left w:w="108" w:type="dxa"/>
              <w:right w:w="108" w:type="dxa"/>
            </w:tcMar>
            <w:vAlign w:val="center"/>
          </w:tcPr>
          <w:p w14:paraId="0EF9ECD7" w14:textId="489A6CF0" w:rsidR="004C6421" w:rsidRDefault="00CC179E">
            <w:pPr>
              <w:pStyle w:val="P68B1DB1-Normal8"/>
              <w:jc w:val="center"/>
              <w:rPr>
                <w:noProof/>
              </w:rPr>
            </w:pPr>
            <w:r>
              <w:rPr>
                <w:noProof/>
              </w:rPr>
              <w:t>Milowy</w:t>
            </w:r>
          </w:p>
        </w:tc>
        <w:tc>
          <w:tcPr>
            <w:tcW w:w="3105" w:type="dxa"/>
            <w:shd w:val="clear" w:color="auto" w:fill="C6EFCE"/>
            <w:tcMar>
              <w:left w:w="108" w:type="dxa"/>
              <w:right w:w="108" w:type="dxa"/>
            </w:tcMar>
            <w:vAlign w:val="center"/>
          </w:tcPr>
          <w:p w14:paraId="24FFBD76" w14:textId="77777777" w:rsidR="004C6421" w:rsidRDefault="009D1962">
            <w:pPr>
              <w:pStyle w:val="P68B1DB1-Normal8"/>
              <w:rPr>
                <w:noProof/>
              </w:rPr>
            </w:pPr>
            <w:r>
              <w:rPr>
                <w:noProof/>
              </w:rPr>
              <w:t>Wejście w życie prawa pierwotnego i wtórnego.</w:t>
            </w:r>
          </w:p>
        </w:tc>
      </w:tr>
      <w:tr w:rsidR="004C6421" w14:paraId="6F789F67" w14:textId="77777777">
        <w:trPr>
          <w:trHeight w:val="300"/>
        </w:trPr>
        <w:tc>
          <w:tcPr>
            <w:tcW w:w="1435" w:type="dxa"/>
            <w:shd w:val="clear" w:color="auto" w:fill="C6EFCE"/>
            <w:tcMar>
              <w:left w:w="108" w:type="dxa"/>
              <w:right w:w="108" w:type="dxa"/>
            </w:tcMar>
            <w:vAlign w:val="center"/>
          </w:tcPr>
          <w:p w14:paraId="5AC3E9EF" w14:textId="77777777" w:rsidR="004C6421" w:rsidRDefault="009D1962">
            <w:pPr>
              <w:pStyle w:val="P68B1DB1-Normal8"/>
              <w:jc w:val="center"/>
              <w:rPr>
                <w:noProof/>
              </w:rPr>
            </w:pPr>
            <w:r>
              <w:rPr>
                <w:noProof/>
              </w:rPr>
              <w:t>M7-21</w:t>
            </w:r>
          </w:p>
        </w:tc>
        <w:tc>
          <w:tcPr>
            <w:tcW w:w="3543" w:type="dxa"/>
            <w:shd w:val="clear" w:color="auto" w:fill="C6EFCE"/>
            <w:tcMar>
              <w:left w:w="108" w:type="dxa"/>
              <w:right w:w="108" w:type="dxa"/>
            </w:tcMar>
            <w:vAlign w:val="center"/>
          </w:tcPr>
          <w:p w14:paraId="28F264B9" w14:textId="77777777" w:rsidR="004C6421" w:rsidRDefault="009D1962">
            <w:pPr>
              <w:pStyle w:val="P68B1DB1-Normal8"/>
              <w:rPr>
                <w:noProof/>
              </w:rPr>
            </w:pPr>
            <w:r>
              <w:rPr>
                <w:noProof/>
              </w:rPr>
              <w:t>Inwestycja 6: Projekty dotyczące transgranicznych elektroenergetycznych połączeń międzysystemowych między Włochami a krajami sąsiadującymi</w:t>
            </w:r>
          </w:p>
        </w:tc>
        <w:tc>
          <w:tcPr>
            <w:tcW w:w="1276" w:type="dxa"/>
            <w:shd w:val="clear" w:color="auto" w:fill="C6EFCE"/>
            <w:tcMar>
              <w:left w:w="108" w:type="dxa"/>
              <w:right w:w="108" w:type="dxa"/>
            </w:tcMar>
            <w:vAlign w:val="center"/>
          </w:tcPr>
          <w:p w14:paraId="760ED117" w14:textId="77777777" w:rsidR="004C6421" w:rsidRDefault="009D1962">
            <w:pPr>
              <w:pStyle w:val="P68B1DB1-Normal8"/>
              <w:jc w:val="center"/>
              <w:rPr>
                <w:noProof/>
              </w:rPr>
            </w:pPr>
            <w:r>
              <w:rPr>
                <w:noProof/>
              </w:rPr>
              <w:t>Cel</w:t>
            </w:r>
          </w:p>
        </w:tc>
        <w:tc>
          <w:tcPr>
            <w:tcW w:w="3105" w:type="dxa"/>
            <w:shd w:val="clear" w:color="auto" w:fill="C6EFCE"/>
            <w:tcMar>
              <w:left w:w="108" w:type="dxa"/>
              <w:right w:w="108" w:type="dxa"/>
            </w:tcMar>
            <w:vAlign w:val="center"/>
          </w:tcPr>
          <w:p w14:paraId="31784EED" w14:textId="77777777" w:rsidR="004C6421" w:rsidRDefault="009D1962">
            <w:pPr>
              <w:pStyle w:val="P68B1DB1-Normal8"/>
              <w:rPr>
                <w:noProof/>
              </w:rPr>
            </w:pPr>
            <w:r>
              <w:rPr>
                <w:noProof/>
              </w:rPr>
              <w:t>Zwiększenie nominalnej zdolności połączeń międzysystemowych między Włochami a Słowenią po zakończeniu prac</w:t>
            </w:r>
          </w:p>
        </w:tc>
      </w:tr>
      <w:tr w:rsidR="004C6421" w14:paraId="75A2FA0A" w14:textId="77777777">
        <w:trPr>
          <w:trHeight w:val="300"/>
        </w:trPr>
        <w:tc>
          <w:tcPr>
            <w:tcW w:w="1435" w:type="dxa"/>
            <w:shd w:val="clear" w:color="auto" w:fill="C6EFCE"/>
            <w:tcMar>
              <w:left w:w="108" w:type="dxa"/>
              <w:right w:w="108" w:type="dxa"/>
            </w:tcMar>
            <w:vAlign w:val="center"/>
          </w:tcPr>
          <w:p w14:paraId="0188334C" w14:textId="77777777" w:rsidR="004C6421" w:rsidRDefault="009D1962">
            <w:pPr>
              <w:pStyle w:val="P68B1DB1-Normal8"/>
              <w:jc w:val="center"/>
              <w:rPr>
                <w:noProof/>
              </w:rPr>
            </w:pPr>
            <w:r>
              <w:rPr>
                <w:noProof/>
              </w:rPr>
              <w:t>M7-26</w:t>
            </w:r>
          </w:p>
        </w:tc>
        <w:tc>
          <w:tcPr>
            <w:tcW w:w="3543" w:type="dxa"/>
            <w:shd w:val="clear" w:color="auto" w:fill="C6EFCE"/>
            <w:tcMar>
              <w:left w:w="108" w:type="dxa"/>
              <w:right w:w="108" w:type="dxa"/>
            </w:tcMar>
            <w:vAlign w:val="center"/>
          </w:tcPr>
          <w:p w14:paraId="6124AE45" w14:textId="77777777" w:rsidR="004C6421" w:rsidRDefault="009D1962">
            <w:pPr>
              <w:pStyle w:val="P68B1DB1-Normal8"/>
              <w:rPr>
                <w:noProof/>
              </w:rPr>
            </w:pPr>
            <w:r>
              <w:rPr>
                <w:noProof/>
              </w:rPr>
              <w:t>Inwestycja 8: Zrównoważone, o obiegu zamkniętym i bezpieczne dostawy surowców krytycznych</w:t>
            </w:r>
          </w:p>
        </w:tc>
        <w:tc>
          <w:tcPr>
            <w:tcW w:w="1276" w:type="dxa"/>
            <w:shd w:val="clear" w:color="auto" w:fill="C6EFCE"/>
            <w:tcMar>
              <w:left w:w="108" w:type="dxa"/>
              <w:right w:w="108" w:type="dxa"/>
            </w:tcMar>
            <w:vAlign w:val="center"/>
          </w:tcPr>
          <w:p w14:paraId="573E67BB" w14:textId="77777777" w:rsidR="004C6421" w:rsidRDefault="009D1962">
            <w:pPr>
              <w:pStyle w:val="P68B1DB1-Normal8"/>
              <w:jc w:val="center"/>
              <w:rPr>
                <w:noProof/>
              </w:rPr>
            </w:pPr>
            <w:r>
              <w:rPr>
                <w:noProof/>
              </w:rPr>
              <w:t>Cel</w:t>
            </w:r>
          </w:p>
        </w:tc>
        <w:tc>
          <w:tcPr>
            <w:tcW w:w="3105" w:type="dxa"/>
            <w:shd w:val="clear" w:color="auto" w:fill="C6EFCE"/>
            <w:tcMar>
              <w:left w:w="108" w:type="dxa"/>
              <w:right w:w="108" w:type="dxa"/>
            </w:tcMar>
            <w:vAlign w:val="center"/>
          </w:tcPr>
          <w:p w14:paraId="101E4DFF" w14:textId="77777777" w:rsidR="004C6421" w:rsidRDefault="009D1962">
            <w:pPr>
              <w:pStyle w:val="P68B1DB1-Normal8"/>
              <w:rPr>
                <w:noProof/>
              </w:rPr>
            </w:pPr>
            <w:r>
              <w:rPr>
                <w:noProof/>
              </w:rPr>
              <w:t>System informacji geograficznej (GIS) dotyczący odpadów wydobywczych na rzecz zrównoważonych, opartych na obiegu zamkniętym i bezpiecznych dostaw surowców krytycznych</w:t>
            </w:r>
          </w:p>
        </w:tc>
      </w:tr>
      <w:tr w:rsidR="004C6421" w14:paraId="28E37C3A" w14:textId="77777777">
        <w:trPr>
          <w:trHeight w:val="300"/>
        </w:trPr>
        <w:tc>
          <w:tcPr>
            <w:tcW w:w="1435" w:type="dxa"/>
            <w:shd w:val="clear" w:color="auto" w:fill="C6EFCE"/>
            <w:tcMar>
              <w:left w:w="108" w:type="dxa"/>
              <w:right w:w="108" w:type="dxa"/>
            </w:tcMar>
            <w:vAlign w:val="center"/>
          </w:tcPr>
          <w:p w14:paraId="085F39A3" w14:textId="77777777" w:rsidR="004C6421" w:rsidRDefault="009D1962">
            <w:pPr>
              <w:pStyle w:val="P68B1DB1-Normal8"/>
              <w:jc w:val="center"/>
              <w:rPr>
                <w:noProof/>
              </w:rPr>
            </w:pPr>
            <w:r>
              <w:rPr>
                <w:noProof/>
              </w:rPr>
              <w:t>M1C1-38bis</w:t>
            </w:r>
          </w:p>
        </w:tc>
        <w:tc>
          <w:tcPr>
            <w:tcW w:w="3543" w:type="dxa"/>
            <w:shd w:val="clear" w:color="auto" w:fill="C6EFCE"/>
            <w:tcMar>
              <w:left w:w="108" w:type="dxa"/>
              <w:right w:w="108" w:type="dxa"/>
            </w:tcMar>
            <w:vAlign w:val="center"/>
          </w:tcPr>
          <w:p w14:paraId="4832DA30" w14:textId="77777777" w:rsidR="004C6421" w:rsidRDefault="009D1962">
            <w:pPr>
              <w:pStyle w:val="P68B1DB1-Normal8"/>
              <w:jc w:val="center"/>
              <w:rPr>
                <w:noProof/>
              </w:rPr>
            </w:pPr>
            <w:r>
              <w:rPr>
                <w:noProof/>
              </w:rPr>
              <w:t xml:space="preserve">Reforma 1.8: Cyfryzacja wymiaru sprawiedliwości </w:t>
            </w:r>
          </w:p>
        </w:tc>
        <w:tc>
          <w:tcPr>
            <w:tcW w:w="1276" w:type="dxa"/>
            <w:shd w:val="clear" w:color="auto" w:fill="C6EFCE"/>
            <w:tcMar>
              <w:left w:w="108" w:type="dxa"/>
              <w:right w:w="108" w:type="dxa"/>
            </w:tcMar>
            <w:vAlign w:val="center"/>
          </w:tcPr>
          <w:p w14:paraId="61E93136" w14:textId="67520F92" w:rsidR="004C6421" w:rsidRDefault="00CC179E">
            <w:pPr>
              <w:pStyle w:val="P68B1DB1-Normal8"/>
              <w:jc w:val="center"/>
              <w:rPr>
                <w:noProof/>
              </w:rPr>
            </w:pPr>
            <w:r>
              <w:rPr>
                <w:noProof/>
              </w:rPr>
              <w:t>Milowy</w:t>
            </w:r>
          </w:p>
        </w:tc>
        <w:tc>
          <w:tcPr>
            <w:tcW w:w="3105" w:type="dxa"/>
            <w:shd w:val="clear" w:color="auto" w:fill="C6EFCE"/>
            <w:tcMar>
              <w:left w:w="108" w:type="dxa"/>
              <w:right w:w="108" w:type="dxa"/>
            </w:tcMar>
            <w:vAlign w:val="center"/>
          </w:tcPr>
          <w:p w14:paraId="4A11D349" w14:textId="77777777" w:rsidR="004C6421" w:rsidRDefault="009D1962">
            <w:pPr>
              <w:pStyle w:val="P68B1DB1-Normal8"/>
              <w:rPr>
                <w:noProof/>
              </w:rPr>
            </w:pPr>
            <w:r>
              <w:rPr>
                <w:noProof/>
              </w:rPr>
              <w:t>Cyfryzacja systemu wymiaru sprawiedliwości</w:t>
            </w:r>
          </w:p>
        </w:tc>
      </w:tr>
      <w:tr w:rsidR="004C6421" w14:paraId="61B0B0A0" w14:textId="77777777">
        <w:trPr>
          <w:trHeight w:val="300"/>
        </w:trPr>
        <w:tc>
          <w:tcPr>
            <w:tcW w:w="1435" w:type="dxa"/>
            <w:shd w:val="clear" w:color="auto" w:fill="C6EFCE"/>
            <w:tcMar>
              <w:left w:w="108" w:type="dxa"/>
              <w:right w:w="108" w:type="dxa"/>
            </w:tcMar>
            <w:vAlign w:val="center"/>
          </w:tcPr>
          <w:p w14:paraId="3A217558" w14:textId="77777777" w:rsidR="004C6421" w:rsidRDefault="009D1962">
            <w:pPr>
              <w:pStyle w:val="P68B1DB1-Normal8"/>
              <w:jc w:val="center"/>
              <w:rPr>
                <w:noProof/>
              </w:rPr>
            </w:pPr>
            <w:r>
              <w:rPr>
                <w:noProof/>
              </w:rPr>
              <w:t>M1C1-72quinquies</w:t>
            </w:r>
          </w:p>
        </w:tc>
        <w:tc>
          <w:tcPr>
            <w:tcW w:w="3543" w:type="dxa"/>
            <w:shd w:val="clear" w:color="auto" w:fill="C6EFCE"/>
            <w:tcMar>
              <w:left w:w="108" w:type="dxa"/>
              <w:right w:w="108" w:type="dxa"/>
            </w:tcMar>
            <w:vAlign w:val="center"/>
          </w:tcPr>
          <w:p w14:paraId="309F7441" w14:textId="77777777" w:rsidR="004C6421" w:rsidRDefault="009D1962">
            <w:pPr>
              <w:pStyle w:val="P68B1DB1-Normal8"/>
              <w:rPr>
                <w:noProof/>
              </w:rPr>
            </w:pPr>
            <w:r>
              <w:rPr>
                <w:noProof/>
              </w:rPr>
              <w:t>Reforma 1.11: Zmniejszenie opóźnień w płatnościach dokonywanych przez organy administracji publicznej i służby zdrowia</w:t>
            </w:r>
          </w:p>
        </w:tc>
        <w:tc>
          <w:tcPr>
            <w:tcW w:w="1276" w:type="dxa"/>
            <w:shd w:val="clear" w:color="auto" w:fill="C6EFCE"/>
            <w:tcMar>
              <w:left w:w="108" w:type="dxa"/>
              <w:right w:w="108" w:type="dxa"/>
            </w:tcMar>
            <w:vAlign w:val="center"/>
          </w:tcPr>
          <w:p w14:paraId="703BBFCC" w14:textId="522C52D1" w:rsidR="004C6421" w:rsidRDefault="00CC179E">
            <w:pPr>
              <w:pStyle w:val="P68B1DB1-Normal8"/>
              <w:rPr>
                <w:noProof/>
              </w:rPr>
            </w:pPr>
            <w:r>
              <w:rPr>
                <w:noProof/>
              </w:rPr>
              <w:t>Milowy</w:t>
            </w:r>
          </w:p>
        </w:tc>
        <w:tc>
          <w:tcPr>
            <w:tcW w:w="3105" w:type="dxa"/>
            <w:shd w:val="clear" w:color="auto" w:fill="C6EFCE"/>
            <w:tcMar>
              <w:left w:w="108" w:type="dxa"/>
              <w:right w:w="108" w:type="dxa"/>
            </w:tcMar>
            <w:vAlign w:val="center"/>
          </w:tcPr>
          <w:p w14:paraId="3F39DB50" w14:textId="77777777" w:rsidR="004C6421" w:rsidRDefault="009D1962">
            <w:pPr>
              <w:pStyle w:val="P68B1DB1-Normal8"/>
              <w:rPr>
                <w:noProof/>
              </w:rPr>
            </w:pPr>
            <w:r>
              <w:rPr>
                <w:noProof/>
              </w:rPr>
              <w:t>Realizacja płatności w systemie informatycznym</w:t>
            </w:r>
          </w:p>
          <w:p w14:paraId="299F5C9D" w14:textId="77777777" w:rsidR="004C6421" w:rsidRDefault="009D1962">
            <w:pPr>
              <w:pStyle w:val="P68B1DB1-Normal8"/>
              <w:rPr>
                <w:noProof/>
              </w:rPr>
            </w:pPr>
            <w:r>
              <w:rPr>
                <w:noProof/>
              </w:rPr>
              <w:t>oraz środki horyzontalne mające na celu ograniczenie opóźnień w płatnościach z AP na rzecz przedsiębiorstw</w:t>
            </w:r>
          </w:p>
        </w:tc>
      </w:tr>
      <w:tr w:rsidR="004C6421" w14:paraId="262598A7" w14:textId="77777777">
        <w:trPr>
          <w:trHeight w:val="300"/>
        </w:trPr>
        <w:tc>
          <w:tcPr>
            <w:tcW w:w="1435" w:type="dxa"/>
            <w:shd w:val="clear" w:color="auto" w:fill="C6EFCE"/>
            <w:tcMar>
              <w:left w:w="108" w:type="dxa"/>
              <w:right w:w="108" w:type="dxa"/>
            </w:tcMar>
            <w:vAlign w:val="center"/>
          </w:tcPr>
          <w:p w14:paraId="5274CFCD" w14:textId="77777777" w:rsidR="004C6421" w:rsidRDefault="009D1962">
            <w:pPr>
              <w:pStyle w:val="P68B1DB1-Normal8"/>
              <w:jc w:val="center"/>
              <w:rPr>
                <w:noProof/>
              </w:rPr>
            </w:pPr>
            <w:r>
              <w:rPr>
                <w:noProof/>
              </w:rPr>
              <w:t>M1C1-72sześci</w:t>
            </w:r>
          </w:p>
        </w:tc>
        <w:tc>
          <w:tcPr>
            <w:tcW w:w="3543" w:type="dxa"/>
            <w:shd w:val="clear" w:color="auto" w:fill="C6EFCE"/>
            <w:tcMar>
              <w:left w:w="108" w:type="dxa"/>
              <w:right w:w="108" w:type="dxa"/>
            </w:tcMar>
            <w:vAlign w:val="center"/>
          </w:tcPr>
          <w:p w14:paraId="6654D7F8" w14:textId="77777777" w:rsidR="004C6421" w:rsidRDefault="009D1962">
            <w:pPr>
              <w:pStyle w:val="P68B1DB1-Normal8"/>
              <w:rPr>
                <w:noProof/>
              </w:rPr>
            </w:pPr>
            <w:r>
              <w:rPr>
                <w:noProof/>
              </w:rPr>
              <w:t>Reforma 1.11: Zmniejszenie opóźnień w płatnościach dokonywanych przez organy administracji publicznej i służby zdrowia</w:t>
            </w:r>
          </w:p>
        </w:tc>
        <w:tc>
          <w:tcPr>
            <w:tcW w:w="1276" w:type="dxa"/>
            <w:shd w:val="clear" w:color="auto" w:fill="C6EFCE"/>
            <w:tcMar>
              <w:left w:w="108" w:type="dxa"/>
              <w:right w:w="108" w:type="dxa"/>
            </w:tcMar>
            <w:vAlign w:val="center"/>
          </w:tcPr>
          <w:p w14:paraId="5FEE1F88" w14:textId="097202A8" w:rsidR="004C6421" w:rsidRDefault="00CC179E">
            <w:pPr>
              <w:pStyle w:val="P68B1DB1-Normal8"/>
              <w:rPr>
                <w:noProof/>
              </w:rPr>
            </w:pPr>
            <w:r>
              <w:rPr>
                <w:noProof/>
              </w:rPr>
              <w:t>Milowy</w:t>
            </w:r>
          </w:p>
        </w:tc>
        <w:tc>
          <w:tcPr>
            <w:tcW w:w="3105" w:type="dxa"/>
            <w:shd w:val="clear" w:color="auto" w:fill="C6EFCE"/>
            <w:tcMar>
              <w:left w:w="108" w:type="dxa"/>
              <w:right w:w="108" w:type="dxa"/>
            </w:tcMar>
            <w:vAlign w:val="center"/>
          </w:tcPr>
          <w:p w14:paraId="4D3C8776" w14:textId="77777777" w:rsidR="004C6421" w:rsidRDefault="009D1962">
            <w:pPr>
              <w:pStyle w:val="P68B1DB1-Normal8"/>
              <w:rPr>
                <w:noProof/>
              </w:rPr>
            </w:pPr>
            <w:r>
              <w:rPr>
                <w:noProof/>
              </w:rPr>
              <w:t>Przyjęcie końcowego sprawozdania z audytu planu audytu</w:t>
            </w:r>
          </w:p>
        </w:tc>
      </w:tr>
      <w:tr w:rsidR="004C6421" w14:paraId="4B01DF65" w14:textId="77777777">
        <w:trPr>
          <w:trHeight w:val="300"/>
        </w:trPr>
        <w:tc>
          <w:tcPr>
            <w:tcW w:w="1435" w:type="dxa"/>
            <w:shd w:val="clear" w:color="auto" w:fill="C6EFCE"/>
            <w:tcMar>
              <w:left w:w="108" w:type="dxa"/>
              <w:right w:w="108" w:type="dxa"/>
            </w:tcMar>
            <w:vAlign w:val="bottom"/>
          </w:tcPr>
          <w:p w14:paraId="0B5E0FE5" w14:textId="77777777" w:rsidR="004C6421" w:rsidRDefault="009D1962">
            <w:pPr>
              <w:pStyle w:val="P68B1DB1-Normal8"/>
              <w:jc w:val="center"/>
              <w:rPr>
                <w:noProof/>
              </w:rPr>
            </w:pPr>
            <w:r>
              <w:rPr>
                <w:noProof/>
              </w:rPr>
              <w:t xml:space="preserve"> </w:t>
            </w:r>
          </w:p>
        </w:tc>
        <w:tc>
          <w:tcPr>
            <w:tcW w:w="3543" w:type="dxa"/>
            <w:shd w:val="clear" w:color="auto" w:fill="C6EFCE"/>
            <w:tcMar>
              <w:left w:w="108" w:type="dxa"/>
              <w:right w:w="108" w:type="dxa"/>
            </w:tcMar>
            <w:vAlign w:val="bottom"/>
          </w:tcPr>
          <w:p w14:paraId="329473C6" w14:textId="77777777" w:rsidR="004C6421" w:rsidRDefault="009D1962">
            <w:pPr>
              <w:pStyle w:val="P68B1DB1-Normal8"/>
              <w:rPr>
                <w:noProof/>
              </w:rPr>
            </w:pPr>
            <w:r>
              <w:rPr>
                <w:noProof/>
              </w:rPr>
              <w:t xml:space="preserve"> </w:t>
            </w:r>
          </w:p>
        </w:tc>
        <w:tc>
          <w:tcPr>
            <w:tcW w:w="1276" w:type="dxa"/>
            <w:shd w:val="clear" w:color="auto" w:fill="C6EFCE"/>
            <w:tcMar>
              <w:left w:w="108" w:type="dxa"/>
              <w:right w:w="108" w:type="dxa"/>
            </w:tcMar>
            <w:vAlign w:val="bottom"/>
          </w:tcPr>
          <w:p w14:paraId="042A3386" w14:textId="77777777" w:rsidR="004C6421" w:rsidRDefault="009D1962">
            <w:pPr>
              <w:pStyle w:val="P68B1DB1-Normal8"/>
              <w:rPr>
                <w:noProof/>
              </w:rPr>
            </w:pPr>
            <w:r>
              <w:rPr>
                <w:noProof/>
              </w:rPr>
              <w:t>Kwota transzy</w:t>
            </w:r>
          </w:p>
        </w:tc>
        <w:tc>
          <w:tcPr>
            <w:tcW w:w="3105" w:type="dxa"/>
            <w:shd w:val="clear" w:color="auto" w:fill="C6EFCE"/>
            <w:tcMar>
              <w:left w:w="108" w:type="dxa"/>
              <w:right w:w="108" w:type="dxa"/>
            </w:tcMar>
            <w:vAlign w:val="bottom"/>
          </w:tcPr>
          <w:p w14:paraId="62073ED2" w14:textId="7B7F1B24" w:rsidR="004C6421" w:rsidRDefault="009D1962">
            <w:pPr>
              <w:pStyle w:val="P68B1DB1-Normal8"/>
              <w:rPr>
                <w:noProof/>
              </w:rPr>
            </w:pPr>
            <w:r>
              <w:rPr>
                <w:noProof/>
              </w:rPr>
              <w:t>7 670 089 282 EUR</w:t>
            </w:r>
          </w:p>
        </w:tc>
      </w:tr>
    </w:tbl>
    <w:p w14:paraId="34A97C20" w14:textId="77777777" w:rsidR="004C6421" w:rsidRDefault="004C6421">
      <w:pPr>
        <w:pStyle w:val="ListParagraph"/>
        <w:spacing w:before="0" w:after="0" w:line="279" w:lineRule="auto"/>
        <w:ind w:left="850"/>
        <w:rPr>
          <w:noProof/>
        </w:rPr>
      </w:pPr>
    </w:p>
    <w:p w14:paraId="21E40F1E" w14:textId="2178DC55" w:rsidR="004C6421" w:rsidRDefault="009D1962">
      <w:pPr>
        <w:pStyle w:val="ListParagraph"/>
        <w:numPr>
          <w:ilvl w:val="1"/>
          <w:numId w:val="145"/>
        </w:numPr>
        <w:spacing w:before="0" w:after="0" w:line="279" w:lineRule="auto"/>
        <w:ind w:left="850" w:hanging="850"/>
        <w:rPr>
          <w:noProof/>
        </w:rPr>
      </w:pPr>
      <w:r>
        <w:rPr>
          <w:noProof/>
        </w:rPr>
        <w:t>Dziesiąta transza (wsparcie bezzwrotne):</w:t>
      </w:r>
    </w:p>
    <w:tbl>
      <w:tblPr>
        <w:tblW w:w="9593" w:type="dxa"/>
        <w:tblInd w:w="120" w:type="dxa"/>
        <w:tblLayout w:type="fixed"/>
        <w:tblLook w:val="04A0" w:firstRow="1" w:lastRow="0" w:firstColumn="1" w:lastColumn="0" w:noHBand="0" w:noVBand="1"/>
      </w:tblPr>
      <w:tblGrid>
        <w:gridCol w:w="1435"/>
        <w:gridCol w:w="3543"/>
        <w:gridCol w:w="1418"/>
        <w:gridCol w:w="2961"/>
        <w:gridCol w:w="236"/>
      </w:tblGrid>
      <w:tr w:rsidR="004C6421" w14:paraId="5D399CA7" w14:textId="77777777">
        <w:trPr>
          <w:trHeight w:val="900"/>
          <w:tblHeader/>
        </w:trPr>
        <w:tc>
          <w:tcPr>
            <w:tcW w:w="1435" w:type="dxa"/>
            <w:vMerge w:val="restart"/>
            <w:tcBorders>
              <w:top w:val="single" w:sz="4" w:space="0" w:color="auto"/>
              <w:left w:val="single" w:sz="4" w:space="0" w:color="auto"/>
              <w:bottom w:val="single" w:sz="4" w:space="0" w:color="auto"/>
              <w:right w:val="single" w:sz="8" w:space="0" w:color="auto"/>
            </w:tcBorders>
            <w:shd w:val="clear" w:color="auto" w:fill="BDD7EE"/>
            <w:tcMar>
              <w:left w:w="108" w:type="dxa"/>
              <w:right w:w="108" w:type="dxa"/>
            </w:tcMar>
            <w:vAlign w:val="center"/>
          </w:tcPr>
          <w:p w14:paraId="4524BB2E" w14:textId="77777777" w:rsidR="004C6421" w:rsidRDefault="009D1962">
            <w:pPr>
              <w:pStyle w:val="P68B1DB1-Normal36"/>
              <w:jc w:val="center"/>
              <w:rPr>
                <w:noProof/>
              </w:rPr>
            </w:pPr>
            <w:r>
              <w:rPr>
                <w:noProof/>
              </w:rPr>
              <w:t>Numer porządkowy</w:t>
            </w:r>
          </w:p>
        </w:tc>
        <w:tc>
          <w:tcPr>
            <w:tcW w:w="3543" w:type="dxa"/>
            <w:vMerge w:val="restart"/>
            <w:tcBorders>
              <w:top w:val="single" w:sz="4" w:space="0" w:color="auto"/>
              <w:left w:val="single" w:sz="8" w:space="0" w:color="auto"/>
              <w:bottom w:val="single" w:sz="4" w:space="0" w:color="auto"/>
              <w:right w:val="single" w:sz="8" w:space="0" w:color="auto"/>
            </w:tcBorders>
            <w:shd w:val="clear" w:color="auto" w:fill="BDD7EE"/>
            <w:tcMar>
              <w:left w:w="108" w:type="dxa"/>
              <w:right w:w="108" w:type="dxa"/>
            </w:tcMar>
            <w:vAlign w:val="center"/>
          </w:tcPr>
          <w:p w14:paraId="2D2D9FEA" w14:textId="77777777" w:rsidR="004C6421" w:rsidRDefault="009D1962">
            <w:pPr>
              <w:pStyle w:val="P68B1DB1-Normal36"/>
              <w:jc w:val="center"/>
              <w:rPr>
                <w:noProof/>
              </w:rPr>
            </w:pPr>
            <w:r>
              <w:rPr>
                <w:noProof/>
              </w:rPr>
              <w:t>Powiązane działanie (reforma lub inwestycja)</w:t>
            </w:r>
          </w:p>
        </w:tc>
        <w:tc>
          <w:tcPr>
            <w:tcW w:w="1418" w:type="dxa"/>
            <w:vMerge w:val="restart"/>
            <w:tcBorders>
              <w:top w:val="single" w:sz="4" w:space="0" w:color="auto"/>
              <w:left w:val="single" w:sz="8" w:space="0" w:color="auto"/>
              <w:bottom w:val="single" w:sz="4" w:space="0" w:color="auto"/>
              <w:right w:val="single" w:sz="8" w:space="0" w:color="auto"/>
            </w:tcBorders>
            <w:shd w:val="clear" w:color="auto" w:fill="BDD7EE"/>
            <w:tcMar>
              <w:left w:w="108" w:type="dxa"/>
              <w:right w:w="108" w:type="dxa"/>
            </w:tcMar>
            <w:vAlign w:val="center"/>
          </w:tcPr>
          <w:p w14:paraId="4A5CA36E" w14:textId="77777777" w:rsidR="004C6421" w:rsidRDefault="009D1962">
            <w:pPr>
              <w:pStyle w:val="P68B1DB1-Normal36"/>
              <w:jc w:val="center"/>
              <w:rPr>
                <w:noProof/>
              </w:rPr>
            </w:pPr>
            <w:r>
              <w:rPr>
                <w:noProof/>
              </w:rPr>
              <w:t>Kamień milowy/wartość docelowa</w:t>
            </w:r>
          </w:p>
        </w:tc>
        <w:tc>
          <w:tcPr>
            <w:tcW w:w="2961" w:type="dxa"/>
            <w:vMerge w:val="restart"/>
            <w:tcBorders>
              <w:top w:val="single" w:sz="4" w:space="0" w:color="auto"/>
              <w:left w:val="single" w:sz="8" w:space="0" w:color="auto"/>
              <w:bottom w:val="single" w:sz="4" w:space="0" w:color="auto"/>
              <w:right w:val="single" w:sz="4" w:space="0" w:color="auto"/>
            </w:tcBorders>
            <w:shd w:val="clear" w:color="auto" w:fill="BDD7EE"/>
            <w:tcMar>
              <w:left w:w="108" w:type="dxa"/>
              <w:right w:w="108" w:type="dxa"/>
            </w:tcMar>
            <w:vAlign w:val="center"/>
          </w:tcPr>
          <w:p w14:paraId="5EF6A17B" w14:textId="77777777" w:rsidR="004C6421" w:rsidRDefault="009D1962">
            <w:pPr>
              <w:pStyle w:val="P68B1DB1-Normal36"/>
              <w:jc w:val="center"/>
              <w:rPr>
                <w:noProof/>
              </w:rPr>
            </w:pPr>
            <w:r>
              <w:rPr>
                <w:noProof/>
              </w:rPr>
              <w:t>Nazwa</w:t>
            </w:r>
          </w:p>
        </w:tc>
        <w:tc>
          <w:tcPr>
            <w:tcW w:w="236" w:type="dxa"/>
            <w:tcBorders>
              <w:top w:val="nil"/>
              <w:left w:val="single" w:sz="4" w:space="0" w:color="auto"/>
              <w:bottom w:val="nil"/>
              <w:right w:val="nil"/>
            </w:tcBorders>
            <w:vAlign w:val="center"/>
          </w:tcPr>
          <w:p w14:paraId="369DC274" w14:textId="77777777" w:rsidR="004C6421" w:rsidRDefault="004C6421">
            <w:pPr>
              <w:rPr>
                <w:noProof/>
              </w:rPr>
            </w:pPr>
          </w:p>
        </w:tc>
      </w:tr>
      <w:tr w:rsidR="004C6421" w14:paraId="3853098D" w14:textId="77777777">
        <w:trPr>
          <w:trHeight w:val="510"/>
        </w:trPr>
        <w:tc>
          <w:tcPr>
            <w:tcW w:w="1435" w:type="dxa"/>
            <w:vMerge/>
            <w:tcBorders>
              <w:top w:val="single" w:sz="8" w:space="0" w:color="auto"/>
              <w:left w:val="single" w:sz="4" w:space="0" w:color="auto"/>
              <w:bottom w:val="single" w:sz="4" w:space="0" w:color="auto"/>
              <w:right w:val="single" w:sz="8" w:space="0" w:color="auto"/>
            </w:tcBorders>
            <w:vAlign w:val="center"/>
          </w:tcPr>
          <w:p w14:paraId="063B9B92" w14:textId="77777777" w:rsidR="004C6421" w:rsidRDefault="004C6421">
            <w:pPr>
              <w:rPr>
                <w:noProof/>
              </w:rPr>
            </w:pPr>
          </w:p>
        </w:tc>
        <w:tc>
          <w:tcPr>
            <w:tcW w:w="3543" w:type="dxa"/>
            <w:vMerge/>
            <w:tcBorders>
              <w:top w:val="single" w:sz="8" w:space="0" w:color="auto"/>
              <w:left w:val="single" w:sz="8" w:space="0" w:color="auto"/>
              <w:bottom w:val="single" w:sz="4" w:space="0" w:color="auto"/>
              <w:right w:val="single" w:sz="8" w:space="0" w:color="auto"/>
            </w:tcBorders>
            <w:vAlign w:val="center"/>
          </w:tcPr>
          <w:p w14:paraId="37CBEEE8" w14:textId="77777777" w:rsidR="004C6421" w:rsidRDefault="004C6421">
            <w:pPr>
              <w:rPr>
                <w:noProof/>
              </w:rPr>
            </w:pPr>
          </w:p>
        </w:tc>
        <w:tc>
          <w:tcPr>
            <w:tcW w:w="1418" w:type="dxa"/>
            <w:vMerge/>
            <w:tcBorders>
              <w:top w:val="single" w:sz="8" w:space="0" w:color="auto"/>
              <w:left w:val="single" w:sz="8" w:space="0" w:color="auto"/>
              <w:bottom w:val="single" w:sz="4" w:space="0" w:color="auto"/>
              <w:right w:val="single" w:sz="8" w:space="0" w:color="auto"/>
            </w:tcBorders>
            <w:vAlign w:val="center"/>
          </w:tcPr>
          <w:p w14:paraId="2598FCF8" w14:textId="77777777" w:rsidR="004C6421" w:rsidRDefault="004C6421">
            <w:pPr>
              <w:rPr>
                <w:noProof/>
              </w:rPr>
            </w:pPr>
          </w:p>
        </w:tc>
        <w:tc>
          <w:tcPr>
            <w:tcW w:w="2961" w:type="dxa"/>
            <w:vMerge/>
            <w:tcBorders>
              <w:top w:val="single" w:sz="8" w:space="0" w:color="auto"/>
              <w:left w:val="single" w:sz="8" w:space="0" w:color="auto"/>
              <w:bottom w:val="single" w:sz="4" w:space="0" w:color="auto"/>
              <w:right w:val="single" w:sz="4" w:space="0" w:color="auto"/>
            </w:tcBorders>
            <w:vAlign w:val="center"/>
          </w:tcPr>
          <w:p w14:paraId="792D82E4" w14:textId="77777777" w:rsidR="004C6421" w:rsidRDefault="004C6421">
            <w:pPr>
              <w:rPr>
                <w:noProof/>
              </w:rPr>
            </w:pPr>
          </w:p>
        </w:tc>
        <w:tc>
          <w:tcPr>
            <w:tcW w:w="236" w:type="dxa"/>
            <w:tcBorders>
              <w:top w:val="nil"/>
              <w:left w:val="single" w:sz="4" w:space="0" w:color="auto"/>
              <w:bottom w:val="nil"/>
              <w:right w:val="nil"/>
            </w:tcBorders>
            <w:vAlign w:val="center"/>
          </w:tcPr>
          <w:p w14:paraId="62036BFF" w14:textId="77777777" w:rsidR="004C6421" w:rsidRDefault="004C6421">
            <w:pPr>
              <w:rPr>
                <w:noProof/>
              </w:rPr>
            </w:pPr>
          </w:p>
        </w:tc>
      </w:tr>
      <w:tr w:rsidR="004C6421" w14:paraId="0116C0EA" w14:textId="77777777">
        <w:trPr>
          <w:trHeight w:val="300"/>
        </w:trPr>
        <w:tc>
          <w:tcPr>
            <w:tcW w:w="1435"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4A23FFC" w14:textId="77777777" w:rsidR="004C6421" w:rsidRDefault="009D1962">
            <w:pPr>
              <w:pStyle w:val="P68B1DB1-Normal8"/>
              <w:jc w:val="center"/>
              <w:rPr>
                <w:noProof/>
              </w:rPr>
            </w:pPr>
            <w:r>
              <w:rPr>
                <w:noProof/>
              </w:rPr>
              <w:t>M1C1-88</w:t>
            </w:r>
          </w:p>
        </w:tc>
        <w:tc>
          <w:tcPr>
            <w:tcW w:w="3543"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F7D979D" w14:textId="77777777" w:rsidR="004C6421" w:rsidRDefault="009D1962">
            <w:pPr>
              <w:pStyle w:val="P68B1DB1-Normal8"/>
              <w:rPr>
                <w:noProof/>
              </w:rPr>
            </w:pPr>
            <w:r>
              <w:rPr>
                <w:noProof/>
              </w:rPr>
              <w:t>Reforma 1.11: Zmniejszenie opóźnień w płatnościach dokonywanych przez organy administracji publicznej i służby zdrowia</w:t>
            </w:r>
          </w:p>
        </w:tc>
        <w:tc>
          <w:tcPr>
            <w:tcW w:w="1418"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02E3F8C" w14:textId="77777777" w:rsidR="004C6421" w:rsidRDefault="009D1962">
            <w:pPr>
              <w:pStyle w:val="P68B1DB1-Normal8"/>
              <w:jc w:val="center"/>
              <w:rPr>
                <w:noProof/>
              </w:rPr>
            </w:pPr>
            <w:r>
              <w:rPr>
                <w:noProof/>
              </w:rPr>
              <w:t>Cel</w:t>
            </w:r>
          </w:p>
        </w:tc>
        <w:tc>
          <w:tcPr>
            <w:tcW w:w="2961"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948ABB6" w14:textId="77777777" w:rsidR="004C6421" w:rsidRDefault="009D1962">
            <w:pPr>
              <w:pStyle w:val="P68B1DB1-Normal8"/>
              <w:rPr>
                <w:noProof/>
              </w:rPr>
            </w:pPr>
            <w:r>
              <w:rPr>
                <w:noProof/>
              </w:rPr>
              <w:t>Średnia liczba dni, w których centralne organy administracji publicznej mogą płacić przedsiębiorstwom, została zmniejszona</w:t>
            </w:r>
          </w:p>
        </w:tc>
        <w:tc>
          <w:tcPr>
            <w:tcW w:w="236" w:type="dxa"/>
            <w:tcBorders>
              <w:top w:val="nil"/>
              <w:left w:val="single" w:sz="8" w:space="0" w:color="auto"/>
              <w:bottom w:val="nil"/>
              <w:right w:val="nil"/>
            </w:tcBorders>
            <w:vAlign w:val="center"/>
          </w:tcPr>
          <w:p w14:paraId="13F03465" w14:textId="77777777" w:rsidR="004C6421" w:rsidRDefault="004C6421">
            <w:pPr>
              <w:rPr>
                <w:noProof/>
              </w:rPr>
            </w:pPr>
          </w:p>
        </w:tc>
      </w:tr>
      <w:tr w:rsidR="004C6421" w14:paraId="66D30D42"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0F389A7" w14:textId="77777777" w:rsidR="004C6421" w:rsidRDefault="009D1962">
            <w:pPr>
              <w:pStyle w:val="P68B1DB1-Normal8"/>
              <w:jc w:val="center"/>
              <w:rPr>
                <w:noProof/>
              </w:rPr>
            </w:pPr>
            <w:r>
              <w:rPr>
                <w:noProof/>
              </w:rPr>
              <w:t>M1C1-89</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9F4B1CB" w14:textId="77777777" w:rsidR="004C6421" w:rsidRDefault="009D1962">
            <w:pPr>
              <w:pStyle w:val="P68B1DB1-Normal8"/>
              <w:rPr>
                <w:noProof/>
              </w:rPr>
            </w:pPr>
            <w:r>
              <w:rPr>
                <w:noProof/>
              </w:rPr>
              <w:t>Reforma 1.11: Zmniejszenie opóźnień w płatnościach dokonywanych przez organy administracji publicznej i służby zdrowia</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B55B427"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1ED1C4D" w14:textId="77777777" w:rsidR="004C6421" w:rsidRDefault="009D1962">
            <w:pPr>
              <w:pStyle w:val="P68B1DB1-Normal8"/>
              <w:rPr>
                <w:noProof/>
              </w:rPr>
            </w:pPr>
            <w:r>
              <w:rPr>
                <w:noProof/>
              </w:rPr>
              <w:t>Średnia liczba dni, w których regionalne organy administracji publicznej mogą płacić przedsiębiorstwom, została zmniejszona</w:t>
            </w:r>
          </w:p>
        </w:tc>
        <w:tc>
          <w:tcPr>
            <w:tcW w:w="236" w:type="dxa"/>
            <w:tcBorders>
              <w:top w:val="nil"/>
              <w:left w:val="single" w:sz="8" w:space="0" w:color="auto"/>
              <w:bottom w:val="nil"/>
              <w:right w:val="nil"/>
            </w:tcBorders>
            <w:vAlign w:val="center"/>
          </w:tcPr>
          <w:p w14:paraId="60639189" w14:textId="77777777" w:rsidR="004C6421" w:rsidRDefault="004C6421">
            <w:pPr>
              <w:rPr>
                <w:noProof/>
              </w:rPr>
            </w:pPr>
          </w:p>
        </w:tc>
      </w:tr>
      <w:tr w:rsidR="004C6421" w14:paraId="71E4B2B2"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9B08AAC" w14:textId="77777777" w:rsidR="004C6421" w:rsidRDefault="009D1962">
            <w:pPr>
              <w:pStyle w:val="P68B1DB1-Normal8"/>
              <w:jc w:val="center"/>
              <w:rPr>
                <w:noProof/>
              </w:rPr>
            </w:pPr>
            <w:r>
              <w:rPr>
                <w:noProof/>
              </w:rPr>
              <w:t>M1C1-90</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4C4BF54" w14:textId="77777777" w:rsidR="004C6421" w:rsidRDefault="009D1962">
            <w:pPr>
              <w:pStyle w:val="P68B1DB1-Normal8"/>
              <w:rPr>
                <w:noProof/>
              </w:rPr>
            </w:pPr>
            <w:r>
              <w:rPr>
                <w:noProof/>
              </w:rPr>
              <w:t>Reforma 1.11: Zmniejszenie opóźnień w płatnościach dokonywanych przez organy administracji publicznej i służby zdrowia</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AECC0FF"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7B4DB6A" w14:textId="77777777" w:rsidR="004C6421" w:rsidRDefault="009D1962">
            <w:pPr>
              <w:pStyle w:val="P68B1DB1-Normal8"/>
              <w:rPr>
                <w:noProof/>
              </w:rPr>
            </w:pPr>
            <w:r>
              <w:rPr>
                <w:noProof/>
              </w:rPr>
              <w:t>Średnia liczba dni, w których lokalne organy administracji publicznej mogą płacić przedsiębiorstwom, została zmniejszona</w:t>
            </w:r>
          </w:p>
        </w:tc>
        <w:tc>
          <w:tcPr>
            <w:tcW w:w="236" w:type="dxa"/>
            <w:tcBorders>
              <w:top w:val="nil"/>
              <w:left w:val="single" w:sz="8" w:space="0" w:color="auto"/>
              <w:bottom w:val="nil"/>
              <w:right w:val="nil"/>
            </w:tcBorders>
            <w:vAlign w:val="center"/>
          </w:tcPr>
          <w:p w14:paraId="0052571D" w14:textId="77777777" w:rsidR="004C6421" w:rsidRDefault="004C6421">
            <w:pPr>
              <w:rPr>
                <w:noProof/>
              </w:rPr>
            </w:pPr>
          </w:p>
        </w:tc>
      </w:tr>
      <w:tr w:rsidR="004C6421" w14:paraId="26423792"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DA85B96" w14:textId="77777777" w:rsidR="004C6421" w:rsidRDefault="009D1962">
            <w:pPr>
              <w:pStyle w:val="P68B1DB1-Normal8"/>
              <w:jc w:val="center"/>
              <w:rPr>
                <w:noProof/>
              </w:rPr>
            </w:pPr>
            <w:r>
              <w:rPr>
                <w:noProof/>
              </w:rPr>
              <w:t>M1C1-91</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ECE7A8E" w14:textId="77777777" w:rsidR="004C6421" w:rsidRDefault="009D1962">
            <w:pPr>
              <w:pStyle w:val="P68B1DB1-Normal8"/>
              <w:rPr>
                <w:noProof/>
              </w:rPr>
            </w:pPr>
            <w:r>
              <w:rPr>
                <w:noProof/>
              </w:rPr>
              <w:t>Reforma 1.11: Zmniejszenie opóźnień w płatnościach dokonywanych przez organy administracji publicznej i służby zdrowia</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2409D8A"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3E865AB" w14:textId="77777777" w:rsidR="004C6421" w:rsidRDefault="009D1962">
            <w:pPr>
              <w:pStyle w:val="P68B1DB1-Normal8"/>
              <w:rPr>
                <w:noProof/>
              </w:rPr>
            </w:pPr>
            <w:r>
              <w:rPr>
                <w:noProof/>
              </w:rPr>
              <w:t>Zmniejszono średnią liczbę dni, w których administracje zdrowia publicznego mogą płacić przedsiębiorstwom</w:t>
            </w:r>
          </w:p>
        </w:tc>
        <w:tc>
          <w:tcPr>
            <w:tcW w:w="236" w:type="dxa"/>
            <w:tcBorders>
              <w:top w:val="nil"/>
              <w:left w:val="single" w:sz="8" w:space="0" w:color="auto"/>
              <w:bottom w:val="nil"/>
              <w:right w:val="nil"/>
            </w:tcBorders>
            <w:vAlign w:val="center"/>
          </w:tcPr>
          <w:p w14:paraId="0590FCE3" w14:textId="77777777" w:rsidR="004C6421" w:rsidRDefault="004C6421">
            <w:pPr>
              <w:rPr>
                <w:noProof/>
              </w:rPr>
            </w:pPr>
          </w:p>
        </w:tc>
      </w:tr>
      <w:tr w:rsidR="004C6421" w14:paraId="54C62432"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55A9F94" w14:textId="77777777" w:rsidR="004C6421" w:rsidRDefault="009D1962">
            <w:pPr>
              <w:pStyle w:val="P68B1DB1-Normal8"/>
              <w:jc w:val="center"/>
              <w:rPr>
                <w:noProof/>
              </w:rPr>
            </w:pPr>
            <w:r>
              <w:rPr>
                <w:noProof/>
              </w:rPr>
              <w:t>M1C1-92</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0A8C4EA" w14:textId="77777777" w:rsidR="004C6421" w:rsidRDefault="009D1962">
            <w:pPr>
              <w:pStyle w:val="P68B1DB1-Normal8"/>
              <w:rPr>
                <w:noProof/>
              </w:rPr>
            </w:pPr>
            <w:r>
              <w:rPr>
                <w:noProof/>
              </w:rPr>
              <w:t>Reforma 1.11: Zmniejszenie opóźnień w płatnościach dokonywanych przez organy administracji publicznej i służby zdrowia</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596F7CF"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BAD9FE1" w14:textId="77777777" w:rsidR="004C6421" w:rsidRDefault="009D1962">
            <w:pPr>
              <w:pStyle w:val="P68B1DB1-Normal8"/>
              <w:rPr>
                <w:noProof/>
              </w:rPr>
            </w:pPr>
            <w:r>
              <w:rPr>
                <w:noProof/>
              </w:rPr>
              <w:t>Średnia liczba dni opóźnienia w płatnościach przedsiębiorstw przez centralną administrację publiczną zostaje zmniejszona</w:t>
            </w:r>
          </w:p>
        </w:tc>
        <w:tc>
          <w:tcPr>
            <w:tcW w:w="236" w:type="dxa"/>
            <w:tcBorders>
              <w:top w:val="nil"/>
              <w:left w:val="single" w:sz="8" w:space="0" w:color="auto"/>
              <w:bottom w:val="nil"/>
              <w:right w:val="nil"/>
            </w:tcBorders>
            <w:vAlign w:val="center"/>
          </w:tcPr>
          <w:p w14:paraId="4EDB7937" w14:textId="77777777" w:rsidR="004C6421" w:rsidRDefault="004C6421">
            <w:pPr>
              <w:rPr>
                <w:noProof/>
              </w:rPr>
            </w:pPr>
          </w:p>
        </w:tc>
      </w:tr>
      <w:tr w:rsidR="004C6421" w14:paraId="5FF918F1"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0677D9C" w14:textId="77777777" w:rsidR="004C6421" w:rsidRDefault="009D1962">
            <w:pPr>
              <w:pStyle w:val="P68B1DB1-Normal8"/>
              <w:jc w:val="center"/>
              <w:rPr>
                <w:noProof/>
              </w:rPr>
            </w:pPr>
            <w:r>
              <w:rPr>
                <w:noProof/>
              </w:rPr>
              <w:t>M1C1-93</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D4AB5A5" w14:textId="77777777" w:rsidR="004C6421" w:rsidRDefault="009D1962">
            <w:pPr>
              <w:pStyle w:val="P68B1DB1-Normal8"/>
              <w:rPr>
                <w:noProof/>
              </w:rPr>
            </w:pPr>
            <w:r>
              <w:rPr>
                <w:noProof/>
              </w:rPr>
              <w:t>Reforma 1.11: Zmniejszenie opóźnień w płatnościach dokonywanych przez organy administracji publicznej i służby zdrowia</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6274AF7"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C73BF45" w14:textId="77777777" w:rsidR="004C6421" w:rsidRDefault="009D1962">
            <w:pPr>
              <w:pStyle w:val="P68B1DB1-Normal8"/>
              <w:rPr>
                <w:noProof/>
              </w:rPr>
            </w:pPr>
            <w:r>
              <w:rPr>
                <w:noProof/>
              </w:rPr>
              <w:t>Zmniejsza się średnią liczbę dni zwłoki regionalnych organów administracji publicznej w płaceniu przedsiębiorstwom</w:t>
            </w:r>
          </w:p>
        </w:tc>
        <w:tc>
          <w:tcPr>
            <w:tcW w:w="236" w:type="dxa"/>
            <w:tcBorders>
              <w:top w:val="nil"/>
              <w:left w:val="single" w:sz="8" w:space="0" w:color="auto"/>
              <w:bottom w:val="nil"/>
              <w:right w:val="nil"/>
            </w:tcBorders>
            <w:vAlign w:val="center"/>
          </w:tcPr>
          <w:p w14:paraId="0F7D963B" w14:textId="77777777" w:rsidR="004C6421" w:rsidRDefault="004C6421">
            <w:pPr>
              <w:rPr>
                <w:noProof/>
              </w:rPr>
            </w:pPr>
          </w:p>
        </w:tc>
      </w:tr>
      <w:tr w:rsidR="004C6421" w14:paraId="045A9227"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23EC8A3" w14:textId="77777777" w:rsidR="004C6421" w:rsidRDefault="009D1962">
            <w:pPr>
              <w:pStyle w:val="P68B1DB1-Normal8"/>
              <w:jc w:val="center"/>
              <w:rPr>
                <w:noProof/>
              </w:rPr>
            </w:pPr>
            <w:r>
              <w:rPr>
                <w:noProof/>
              </w:rPr>
              <w:t>M1C1-94</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DA4156A" w14:textId="77777777" w:rsidR="004C6421" w:rsidRDefault="009D1962">
            <w:pPr>
              <w:pStyle w:val="P68B1DB1-Normal8"/>
              <w:rPr>
                <w:noProof/>
              </w:rPr>
            </w:pPr>
            <w:r>
              <w:rPr>
                <w:noProof/>
              </w:rPr>
              <w:t>Reforma 1.11: Zmniejszenie opóźnień w płatnościach dokonywanych przez organy administracji publicznej i służby zdrowia</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AD67B9E"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1513CD5" w14:textId="77777777" w:rsidR="004C6421" w:rsidRDefault="009D1962">
            <w:pPr>
              <w:pStyle w:val="P68B1DB1-Normal8"/>
              <w:rPr>
                <w:noProof/>
              </w:rPr>
            </w:pPr>
            <w:r>
              <w:rPr>
                <w:noProof/>
              </w:rPr>
              <w:t>Zmniejszono średnią liczbę dni opóźnień w płatnościach dla lokalnych organów administracji publicznej</w:t>
            </w:r>
          </w:p>
        </w:tc>
        <w:tc>
          <w:tcPr>
            <w:tcW w:w="236" w:type="dxa"/>
            <w:tcBorders>
              <w:top w:val="nil"/>
              <w:left w:val="single" w:sz="8" w:space="0" w:color="auto"/>
              <w:bottom w:val="nil"/>
              <w:right w:val="nil"/>
            </w:tcBorders>
            <w:vAlign w:val="center"/>
          </w:tcPr>
          <w:p w14:paraId="44978874" w14:textId="77777777" w:rsidR="004C6421" w:rsidRDefault="004C6421">
            <w:pPr>
              <w:rPr>
                <w:noProof/>
              </w:rPr>
            </w:pPr>
          </w:p>
        </w:tc>
      </w:tr>
      <w:tr w:rsidR="004C6421" w14:paraId="06055700"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1A584A3" w14:textId="77777777" w:rsidR="004C6421" w:rsidRDefault="009D1962">
            <w:pPr>
              <w:pStyle w:val="P68B1DB1-Normal8"/>
              <w:jc w:val="center"/>
              <w:rPr>
                <w:noProof/>
              </w:rPr>
            </w:pPr>
            <w:r>
              <w:rPr>
                <w:noProof/>
              </w:rPr>
              <w:t>M1C1-95</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5DE29F8" w14:textId="77777777" w:rsidR="004C6421" w:rsidRDefault="009D1962">
            <w:pPr>
              <w:pStyle w:val="P68B1DB1-Normal8"/>
              <w:rPr>
                <w:noProof/>
              </w:rPr>
            </w:pPr>
            <w:r>
              <w:rPr>
                <w:noProof/>
              </w:rPr>
              <w:t>Reforma 1.11: Zmniejszenie opóźnień w płatnościach dokonywanych przez organy administracji publicznej i służby zdrowia</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6FCF73F"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1A5F1CD" w14:textId="77777777" w:rsidR="004C6421" w:rsidRDefault="009D1962">
            <w:pPr>
              <w:pStyle w:val="P68B1DB1-Normal8"/>
              <w:rPr>
                <w:noProof/>
              </w:rPr>
            </w:pPr>
            <w:r>
              <w:rPr>
                <w:noProof/>
              </w:rPr>
              <w:t>Zmniejszono średnią liczbę dni zwłoki w płatnościach dla administracji publicznej w dziedzinie zdrowia</w:t>
            </w:r>
          </w:p>
        </w:tc>
        <w:tc>
          <w:tcPr>
            <w:tcW w:w="236" w:type="dxa"/>
            <w:tcBorders>
              <w:top w:val="nil"/>
              <w:left w:val="single" w:sz="8" w:space="0" w:color="auto"/>
              <w:bottom w:val="nil"/>
              <w:right w:val="nil"/>
            </w:tcBorders>
            <w:vAlign w:val="center"/>
          </w:tcPr>
          <w:p w14:paraId="5639E4A4" w14:textId="77777777" w:rsidR="004C6421" w:rsidRDefault="004C6421">
            <w:pPr>
              <w:rPr>
                <w:noProof/>
              </w:rPr>
            </w:pPr>
          </w:p>
        </w:tc>
      </w:tr>
      <w:tr w:rsidR="004C6421" w14:paraId="048A84DF"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5E75DC4" w14:textId="77777777" w:rsidR="004C6421" w:rsidRDefault="009D1962">
            <w:pPr>
              <w:pStyle w:val="P68B1DB1-Normal8"/>
              <w:jc w:val="center"/>
              <w:rPr>
                <w:noProof/>
              </w:rPr>
            </w:pPr>
            <w:r>
              <w:rPr>
                <w:noProof/>
              </w:rPr>
              <w:t>M1C1-97bis</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804D59C" w14:textId="77777777" w:rsidR="004C6421" w:rsidRDefault="009D1962">
            <w:pPr>
              <w:pStyle w:val="P68B1DB1-Normal8"/>
              <w:rPr>
                <w:noProof/>
              </w:rPr>
            </w:pPr>
            <w:r>
              <w:rPr>
                <w:noProof/>
              </w:rPr>
              <w:t>Reforma 1.10: Reforma ram prawnych dotyczących zamówień publicznych</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C839E5C"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05EFD5A" w14:textId="77777777" w:rsidR="004C6421" w:rsidRDefault="009D1962">
            <w:pPr>
              <w:pStyle w:val="P68B1DB1-Normal8"/>
              <w:rPr>
                <w:noProof/>
              </w:rPr>
            </w:pPr>
            <w:r>
              <w:rPr>
                <w:noProof/>
              </w:rPr>
              <w:t>Średni czas między udzieleniem zamówienia a realizacją infrastruktury</w:t>
            </w:r>
          </w:p>
        </w:tc>
        <w:tc>
          <w:tcPr>
            <w:tcW w:w="236" w:type="dxa"/>
            <w:tcBorders>
              <w:top w:val="nil"/>
              <w:left w:val="single" w:sz="8" w:space="0" w:color="auto"/>
              <w:bottom w:val="nil"/>
              <w:right w:val="nil"/>
            </w:tcBorders>
            <w:vAlign w:val="center"/>
          </w:tcPr>
          <w:p w14:paraId="572A1593" w14:textId="77777777" w:rsidR="004C6421" w:rsidRDefault="004C6421">
            <w:pPr>
              <w:rPr>
                <w:noProof/>
              </w:rPr>
            </w:pPr>
          </w:p>
        </w:tc>
      </w:tr>
      <w:tr w:rsidR="004C6421" w14:paraId="59EA93BE"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118000E" w14:textId="77777777" w:rsidR="004C6421" w:rsidRDefault="009D1962">
            <w:pPr>
              <w:pStyle w:val="P68B1DB1-Normal8"/>
              <w:jc w:val="center"/>
              <w:rPr>
                <w:noProof/>
              </w:rPr>
            </w:pPr>
            <w:r>
              <w:rPr>
                <w:noProof/>
              </w:rPr>
              <w:t>M1C1-117</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0C6F6E6" w14:textId="77777777" w:rsidR="004C6421" w:rsidRDefault="009D1962">
            <w:pPr>
              <w:pStyle w:val="P68B1DB1-Normal8"/>
              <w:rPr>
                <w:noProof/>
              </w:rPr>
            </w:pPr>
            <w:r>
              <w:rPr>
                <w:noProof/>
              </w:rPr>
              <w:t>Reforma 1.15: Reforma zasad rachunkowości publicznej</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BFA98EB"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7C92E2A" w14:textId="77777777" w:rsidR="004C6421" w:rsidRDefault="009D1962">
            <w:pPr>
              <w:pStyle w:val="P68B1DB1-Normal8"/>
              <w:rPr>
                <w:noProof/>
              </w:rPr>
            </w:pPr>
            <w:r>
              <w:rPr>
                <w:noProof/>
              </w:rPr>
              <w:t>Podmioty publiczne przeszkolone w zakresie przejścia na nowy system rachunkowości memoriałowej</w:t>
            </w:r>
          </w:p>
        </w:tc>
        <w:tc>
          <w:tcPr>
            <w:tcW w:w="236" w:type="dxa"/>
            <w:tcBorders>
              <w:top w:val="nil"/>
              <w:left w:val="single" w:sz="8" w:space="0" w:color="auto"/>
              <w:bottom w:val="nil"/>
              <w:right w:val="nil"/>
            </w:tcBorders>
            <w:vAlign w:val="center"/>
          </w:tcPr>
          <w:p w14:paraId="6BFCBCF9" w14:textId="77777777" w:rsidR="004C6421" w:rsidRDefault="004C6421">
            <w:pPr>
              <w:rPr>
                <w:noProof/>
              </w:rPr>
            </w:pPr>
          </w:p>
        </w:tc>
      </w:tr>
      <w:tr w:rsidR="004C6421" w14:paraId="6C2D525E"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732C075" w14:textId="77777777" w:rsidR="004C6421" w:rsidRDefault="009D1962">
            <w:pPr>
              <w:pStyle w:val="P68B1DB1-Normal8"/>
              <w:jc w:val="center"/>
              <w:rPr>
                <w:noProof/>
              </w:rPr>
            </w:pPr>
            <w:r>
              <w:rPr>
                <w:noProof/>
              </w:rPr>
              <w:t>M1C1-119</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10E1994" w14:textId="77777777" w:rsidR="004C6421" w:rsidRDefault="009D1962">
            <w:pPr>
              <w:pStyle w:val="P68B1DB1-Normal8"/>
              <w:rPr>
                <w:noProof/>
              </w:rPr>
            </w:pPr>
            <w:r>
              <w:rPr>
                <w:noProof/>
              </w:rPr>
              <w:t>Reforma 1.14: Reforma ram budżetowych na szczeblu niższym niż krajowy</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4F80AC5" w14:textId="75DC9BA1" w:rsidR="004C6421" w:rsidRDefault="00CC179E">
            <w:pPr>
              <w:pStyle w:val="P68B1DB1-Normal8"/>
              <w:jc w:val="center"/>
              <w:rPr>
                <w:noProof/>
              </w:rPr>
            </w:pPr>
            <w:r>
              <w:rPr>
                <w:noProof/>
              </w:rPr>
              <w:t>Milowy</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AC216C3" w14:textId="77777777" w:rsidR="004C6421" w:rsidRDefault="009D1962">
            <w:pPr>
              <w:pStyle w:val="P68B1DB1-Normal8"/>
              <w:rPr>
                <w:noProof/>
              </w:rPr>
            </w:pPr>
            <w:r>
              <w:rPr>
                <w:noProof/>
              </w:rPr>
              <w:t>Wejście w życie prawa pierwotnego i wtórnego w celu wdrożenia regionalnego federalizmu podatkowego</w:t>
            </w:r>
          </w:p>
        </w:tc>
        <w:tc>
          <w:tcPr>
            <w:tcW w:w="236" w:type="dxa"/>
            <w:tcBorders>
              <w:top w:val="nil"/>
              <w:left w:val="single" w:sz="8" w:space="0" w:color="auto"/>
              <w:bottom w:val="nil"/>
              <w:right w:val="nil"/>
            </w:tcBorders>
            <w:vAlign w:val="center"/>
          </w:tcPr>
          <w:p w14:paraId="22EFFF99" w14:textId="77777777" w:rsidR="004C6421" w:rsidRDefault="004C6421">
            <w:pPr>
              <w:rPr>
                <w:noProof/>
              </w:rPr>
            </w:pPr>
          </w:p>
        </w:tc>
      </w:tr>
      <w:tr w:rsidR="004C6421" w14:paraId="2E7212BB"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1BDCC6C" w14:textId="77777777" w:rsidR="004C6421" w:rsidRDefault="009D1962">
            <w:pPr>
              <w:pStyle w:val="P68B1DB1-Normal8"/>
              <w:jc w:val="center"/>
              <w:rPr>
                <w:noProof/>
              </w:rPr>
            </w:pPr>
            <w:r>
              <w:rPr>
                <w:noProof/>
              </w:rPr>
              <w:t>M1C1-120</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95810D9" w14:textId="77777777" w:rsidR="004C6421" w:rsidRDefault="009D1962">
            <w:pPr>
              <w:pStyle w:val="P68B1DB1-Normal8"/>
              <w:rPr>
                <w:noProof/>
              </w:rPr>
            </w:pPr>
            <w:r>
              <w:rPr>
                <w:noProof/>
              </w:rPr>
              <w:t>Reforma 1.14: Reforma ram budżetowych na szczeblu niższym niż krajowy</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28AFE7F" w14:textId="2B4B5CF6" w:rsidR="004C6421" w:rsidRDefault="00CC179E">
            <w:pPr>
              <w:pStyle w:val="P68B1DB1-Normal8"/>
              <w:jc w:val="center"/>
              <w:rPr>
                <w:noProof/>
              </w:rPr>
            </w:pPr>
            <w:r>
              <w:rPr>
                <w:noProof/>
              </w:rPr>
              <w:t>Milowy</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952014F" w14:textId="77777777" w:rsidR="004C6421" w:rsidRDefault="009D1962">
            <w:pPr>
              <w:pStyle w:val="P68B1DB1-Normal8"/>
              <w:rPr>
                <w:noProof/>
              </w:rPr>
            </w:pPr>
            <w:r>
              <w:rPr>
                <w:noProof/>
              </w:rPr>
              <w:t>Wejście w życie prawa pierwotnego i wtórnego w celu wdrożenia regionalnego federalizmu podatkowego</w:t>
            </w:r>
          </w:p>
        </w:tc>
        <w:tc>
          <w:tcPr>
            <w:tcW w:w="236" w:type="dxa"/>
            <w:tcBorders>
              <w:top w:val="nil"/>
              <w:left w:val="single" w:sz="8" w:space="0" w:color="auto"/>
              <w:bottom w:val="nil"/>
              <w:right w:val="nil"/>
            </w:tcBorders>
            <w:vAlign w:val="center"/>
          </w:tcPr>
          <w:p w14:paraId="5A093639" w14:textId="77777777" w:rsidR="004C6421" w:rsidRDefault="004C6421">
            <w:pPr>
              <w:rPr>
                <w:noProof/>
              </w:rPr>
            </w:pPr>
          </w:p>
        </w:tc>
      </w:tr>
      <w:tr w:rsidR="004C6421" w14:paraId="13452949"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9456A98" w14:textId="77777777" w:rsidR="004C6421" w:rsidRDefault="009D1962">
            <w:pPr>
              <w:pStyle w:val="P68B1DB1-Normal8"/>
              <w:jc w:val="center"/>
              <w:rPr>
                <w:noProof/>
              </w:rPr>
            </w:pPr>
            <w:r>
              <w:rPr>
                <w:noProof/>
              </w:rPr>
              <w:t>M3C2-6</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717412E" w14:textId="77777777" w:rsidR="004C6421" w:rsidRDefault="009D1962">
            <w:pPr>
              <w:pStyle w:val="P68B1DB1-Normal8"/>
              <w:rPr>
                <w:noProof/>
              </w:rPr>
            </w:pPr>
            <w:r>
              <w:rPr>
                <w:noProof/>
              </w:rPr>
              <w:t>Inwestycje 2.2: Cyfryzacja zarządzania ruchem lotniczym</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22C5422" w14:textId="053A0B62" w:rsidR="004C6421" w:rsidRDefault="00CC179E">
            <w:pPr>
              <w:pStyle w:val="P68B1DB1-Normal8"/>
              <w:jc w:val="center"/>
              <w:rPr>
                <w:noProof/>
              </w:rPr>
            </w:pPr>
            <w:r>
              <w:rPr>
                <w:noProof/>
              </w:rPr>
              <w:t>Milowy</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9A46EB3" w14:textId="77777777" w:rsidR="004C6421" w:rsidRDefault="009D1962">
            <w:pPr>
              <w:pStyle w:val="P68B1DB1-Normal8"/>
              <w:rPr>
                <w:noProof/>
              </w:rPr>
            </w:pPr>
            <w:r>
              <w:rPr>
                <w:noProof/>
              </w:rPr>
              <w:t>Cyfryzacja zarządzania ruchem lotniczym: uruchomienie nowych narzędzi</w:t>
            </w:r>
          </w:p>
        </w:tc>
        <w:tc>
          <w:tcPr>
            <w:tcW w:w="236" w:type="dxa"/>
            <w:tcBorders>
              <w:top w:val="nil"/>
              <w:left w:val="single" w:sz="8" w:space="0" w:color="auto"/>
              <w:bottom w:val="nil"/>
              <w:right w:val="nil"/>
            </w:tcBorders>
            <w:vAlign w:val="center"/>
          </w:tcPr>
          <w:p w14:paraId="74379467" w14:textId="77777777" w:rsidR="004C6421" w:rsidRDefault="004C6421">
            <w:pPr>
              <w:rPr>
                <w:noProof/>
              </w:rPr>
            </w:pPr>
          </w:p>
        </w:tc>
      </w:tr>
      <w:tr w:rsidR="004C6421" w14:paraId="3C5DB01B"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F4D7E5B" w14:textId="77777777" w:rsidR="004C6421" w:rsidRDefault="009D1962">
            <w:pPr>
              <w:pStyle w:val="P68B1DB1-Normal8"/>
              <w:jc w:val="center"/>
              <w:rPr>
                <w:noProof/>
              </w:rPr>
            </w:pPr>
            <w:r>
              <w:rPr>
                <w:noProof/>
              </w:rPr>
              <w:t xml:space="preserve">M5C1-11 </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AF542AC" w14:textId="77777777" w:rsidR="004C6421" w:rsidRDefault="009D1962">
            <w:pPr>
              <w:pStyle w:val="P68B1DB1-Normal8"/>
              <w:rPr>
                <w:noProof/>
              </w:rPr>
            </w:pPr>
            <w:r>
              <w:rPr>
                <w:noProof/>
              </w:rPr>
              <w:t xml:space="preserve">Reforma 2 – Praca nierejestrowana </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E0BA39D"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F90A3CA" w14:textId="77777777" w:rsidR="004C6421" w:rsidRDefault="009D1962">
            <w:pPr>
              <w:pStyle w:val="P68B1DB1-Normal8"/>
              <w:rPr>
                <w:noProof/>
              </w:rPr>
            </w:pPr>
            <w:r>
              <w:rPr>
                <w:noProof/>
              </w:rPr>
              <w:t>Podejmowanie dalszych działań w celu zwalczania pracy nierejestrowanej</w:t>
            </w:r>
          </w:p>
        </w:tc>
        <w:tc>
          <w:tcPr>
            <w:tcW w:w="236" w:type="dxa"/>
            <w:tcBorders>
              <w:top w:val="nil"/>
              <w:left w:val="single" w:sz="8" w:space="0" w:color="auto"/>
              <w:bottom w:val="nil"/>
              <w:right w:val="nil"/>
            </w:tcBorders>
            <w:vAlign w:val="center"/>
          </w:tcPr>
          <w:p w14:paraId="7AE849A1" w14:textId="77777777" w:rsidR="004C6421" w:rsidRDefault="004C6421">
            <w:pPr>
              <w:rPr>
                <w:noProof/>
              </w:rPr>
            </w:pPr>
          </w:p>
        </w:tc>
      </w:tr>
      <w:tr w:rsidR="004C6421" w14:paraId="34368238"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139D725" w14:textId="77777777" w:rsidR="004C6421" w:rsidRDefault="009D1962">
            <w:pPr>
              <w:pStyle w:val="P68B1DB1-Normal8"/>
              <w:jc w:val="center"/>
              <w:rPr>
                <w:noProof/>
              </w:rPr>
            </w:pPr>
            <w:r>
              <w:rPr>
                <w:noProof/>
              </w:rPr>
              <w:t>M5C2-6</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2FF9064" w14:textId="77777777" w:rsidR="004C6421" w:rsidRDefault="009D1962">
            <w:pPr>
              <w:pStyle w:val="P68B1DB1-Normal8"/>
              <w:rPr>
                <w:noProof/>
              </w:rPr>
            </w:pPr>
            <w:r>
              <w:rPr>
                <w:noProof/>
              </w:rPr>
              <w:t>Inwestycje 1 – Wspieranie osób znajdujących się w trudnej sytuacji i zapobieganie instytucjonalizacji</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153202D"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D061BA3" w14:textId="77777777" w:rsidR="004C6421" w:rsidRDefault="009D1962">
            <w:pPr>
              <w:pStyle w:val="P68B1DB1-Normal8"/>
              <w:rPr>
                <w:noProof/>
              </w:rPr>
            </w:pPr>
            <w:r>
              <w:rPr>
                <w:noProof/>
              </w:rPr>
              <w:t>Okręgi społeczne osiągają co najmniej jeden z następujących wyników: (i) wsparcie dla rodziców, (ii) niezależność osób starszych, (iii) usługi domowe dla osób starszych lub (iv) faworyzowanie pracowników socjalnych w celu zapobiegania wypaleniu zawodowemu</w:t>
            </w:r>
          </w:p>
        </w:tc>
        <w:tc>
          <w:tcPr>
            <w:tcW w:w="236" w:type="dxa"/>
            <w:tcBorders>
              <w:top w:val="nil"/>
              <w:left w:val="single" w:sz="8" w:space="0" w:color="auto"/>
              <w:bottom w:val="nil"/>
              <w:right w:val="nil"/>
            </w:tcBorders>
            <w:vAlign w:val="center"/>
          </w:tcPr>
          <w:p w14:paraId="4E5F2C62" w14:textId="77777777" w:rsidR="004C6421" w:rsidRDefault="004C6421">
            <w:pPr>
              <w:rPr>
                <w:noProof/>
              </w:rPr>
            </w:pPr>
          </w:p>
        </w:tc>
      </w:tr>
      <w:tr w:rsidR="004C6421" w14:paraId="44CA99A4"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A2E7749" w14:textId="77777777" w:rsidR="004C6421" w:rsidRDefault="009D1962">
            <w:pPr>
              <w:pStyle w:val="P68B1DB1-Normal8"/>
              <w:jc w:val="center"/>
              <w:rPr>
                <w:noProof/>
              </w:rPr>
            </w:pPr>
            <w:r>
              <w:rPr>
                <w:noProof/>
              </w:rPr>
              <w:t>M5C2-8</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3A2F64C" w14:textId="77777777" w:rsidR="004C6421" w:rsidRDefault="009D1962">
            <w:pPr>
              <w:pStyle w:val="P68B1DB1-Normal8"/>
              <w:rPr>
                <w:noProof/>
              </w:rPr>
            </w:pPr>
            <w:r>
              <w:rPr>
                <w:noProof/>
              </w:rPr>
              <w:t>Inwestycje 2 – Wzory autonomii dla osób niepełnosprawnych</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DCFA617"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2238A17" w14:textId="77777777" w:rsidR="004C6421" w:rsidRDefault="009D1962">
            <w:pPr>
              <w:pStyle w:val="P68B1DB1-Normal8"/>
              <w:rPr>
                <w:noProof/>
              </w:rPr>
            </w:pPr>
            <w:r>
              <w:rPr>
                <w:noProof/>
              </w:rPr>
              <w:t>Osoby niepełnosprawne otrzymały renowację pomieszczeń mieszkalnych i/lub wyposażenie w urządzenia ICT. Usługom towarzyszy szkolenie w zakresie umiejętności cyfrowych.</w:t>
            </w:r>
          </w:p>
        </w:tc>
        <w:tc>
          <w:tcPr>
            <w:tcW w:w="236" w:type="dxa"/>
            <w:tcBorders>
              <w:top w:val="nil"/>
              <w:left w:val="single" w:sz="8" w:space="0" w:color="auto"/>
              <w:bottom w:val="nil"/>
              <w:right w:val="nil"/>
            </w:tcBorders>
            <w:vAlign w:val="center"/>
          </w:tcPr>
          <w:p w14:paraId="78753DA3" w14:textId="77777777" w:rsidR="004C6421" w:rsidRDefault="004C6421">
            <w:pPr>
              <w:rPr>
                <w:noProof/>
              </w:rPr>
            </w:pPr>
          </w:p>
        </w:tc>
      </w:tr>
      <w:tr w:rsidR="004C6421" w14:paraId="24B2753A"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B74F322" w14:textId="77777777" w:rsidR="004C6421" w:rsidRDefault="009D1962">
            <w:pPr>
              <w:pStyle w:val="P68B1DB1-Normal8"/>
              <w:jc w:val="center"/>
              <w:rPr>
                <w:noProof/>
              </w:rPr>
            </w:pPr>
            <w:r>
              <w:rPr>
                <w:noProof/>
              </w:rPr>
              <w:t>M5C2-10</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0A02EED" w14:textId="77777777" w:rsidR="004C6421" w:rsidRDefault="009D1962">
            <w:pPr>
              <w:pStyle w:val="P68B1DB1-Normal8"/>
              <w:rPr>
                <w:noProof/>
              </w:rPr>
            </w:pPr>
            <w:r>
              <w:rPr>
                <w:noProof/>
              </w:rPr>
              <w:t>Inwestycje 3 – Pierwsze i postoje mieszkaniowe</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C351030"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ABAF653" w14:textId="77777777" w:rsidR="004C6421" w:rsidRDefault="009D1962">
            <w:pPr>
              <w:pStyle w:val="P68B1DB1-Normal8"/>
              <w:rPr>
                <w:noProof/>
              </w:rPr>
            </w:pPr>
            <w:r>
              <w:rPr>
                <w:noProof/>
              </w:rPr>
              <w:t>Osoby dotknięte poważną deprywacją materialną przejęte w ramach projektów „Najpierw mieszkanie” przez co najmniej sześć miesięcy i stacje pocztowe</w:t>
            </w:r>
          </w:p>
        </w:tc>
        <w:tc>
          <w:tcPr>
            <w:tcW w:w="236" w:type="dxa"/>
            <w:tcBorders>
              <w:top w:val="nil"/>
              <w:left w:val="single" w:sz="8" w:space="0" w:color="auto"/>
              <w:bottom w:val="nil"/>
              <w:right w:val="nil"/>
            </w:tcBorders>
            <w:vAlign w:val="center"/>
          </w:tcPr>
          <w:p w14:paraId="7188B5C7" w14:textId="77777777" w:rsidR="004C6421" w:rsidRDefault="004C6421">
            <w:pPr>
              <w:rPr>
                <w:noProof/>
              </w:rPr>
            </w:pPr>
          </w:p>
        </w:tc>
      </w:tr>
      <w:tr w:rsidR="004C6421" w14:paraId="2E9BAE74"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D47F521" w14:textId="77777777" w:rsidR="004C6421" w:rsidRDefault="009D1962">
            <w:pPr>
              <w:pStyle w:val="P68B1DB1-Normal8"/>
              <w:jc w:val="center"/>
              <w:rPr>
                <w:noProof/>
              </w:rPr>
            </w:pPr>
            <w:r>
              <w:rPr>
                <w:noProof/>
              </w:rPr>
              <w:t>M7-33</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C93E2A1" w14:textId="77777777" w:rsidR="004C6421" w:rsidRDefault="009D1962">
            <w:pPr>
              <w:pStyle w:val="P68B1DB1-Normal8"/>
              <w:rPr>
                <w:noProof/>
              </w:rPr>
            </w:pPr>
            <w:r>
              <w:rPr>
                <w:noProof/>
              </w:rPr>
              <w:t>Inwestycja 12 Instrument finansowy na rzecz rozwoju wiodącej pozycji międzynarodowej, przemysłowej i badawczo-rozwojowej w zakresie autobusów bezemisyjnych</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06A2D34"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4550154" w14:textId="77777777" w:rsidR="004C6421" w:rsidRDefault="009D1962">
            <w:pPr>
              <w:pStyle w:val="P68B1DB1-Normal8"/>
              <w:rPr>
                <w:noProof/>
              </w:rPr>
            </w:pPr>
            <w:r>
              <w:rPr>
                <w:noProof/>
              </w:rPr>
              <w:t>Umowy prawne podpisane z beneficjentami końcowymi</w:t>
            </w:r>
          </w:p>
        </w:tc>
        <w:tc>
          <w:tcPr>
            <w:tcW w:w="236" w:type="dxa"/>
            <w:tcBorders>
              <w:top w:val="nil"/>
              <w:left w:val="single" w:sz="8" w:space="0" w:color="auto"/>
              <w:bottom w:val="nil"/>
              <w:right w:val="nil"/>
            </w:tcBorders>
            <w:vAlign w:val="center"/>
          </w:tcPr>
          <w:p w14:paraId="1C20BA66" w14:textId="77777777" w:rsidR="004C6421" w:rsidRDefault="004C6421">
            <w:pPr>
              <w:rPr>
                <w:noProof/>
              </w:rPr>
            </w:pPr>
          </w:p>
        </w:tc>
      </w:tr>
      <w:tr w:rsidR="004C6421" w14:paraId="5A023553"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58051FD" w14:textId="77777777" w:rsidR="004C6421" w:rsidRDefault="009D1962">
            <w:pPr>
              <w:pStyle w:val="P68B1DB1-Normal8"/>
              <w:jc w:val="center"/>
              <w:rPr>
                <w:noProof/>
              </w:rPr>
            </w:pPr>
            <w:r>
              <w:rPr>
                <w:noProof/>
              </w:rPr>
              <w:t>M3C2-12</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6D61314" w14:textId="77777777" w:rsidR="004C6421" w:rsidRDefault="009D1962">
            <w:pPr>
              <w:pStyle w:val="P68B1DB1-Normal8"/>
              <w:rPr>
                <w:noProof/>
              </w:rPr>
            </w:pPr>
            <w:r>
              <w:rPr>
                <w:noProof/>
              </w:rPr>
              <w:t xml:space="preserve">Inwestycja 2.3: Prasowanie na zimno </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DA6BAA3" w14:textId="77777777" w:rsidR="004C6421" w:rsidRDefault="009D1962">
            <w:pPr>
              <w:pStyle w:val="P68B1DB1-Normal8"/>
              <w:jc w:val="center"/>
              <w:rPr>
                <w:noProof/>
              </w:rPr>
            </w:pPr>
            <w:r>
              <w:rPr>
                <w:noProof/>
              </w:rPr>
              <w:t xml:space="preserve">Cel </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052C6EC" w14:textId="77777777" w:rsidR="004C6421" w:rsidRDefault="009D1962">
            <w:pPr>
              <w:pStyle w:val="P68B1DB1-Normal8"/>
              <w:rPr>
                <w:noProof/>
              </w:rPr>
            </w:pPr>
            <w:r>
              <w:rPr>
                <w:noProof/>
              </w:rPr>
              <w:t xml:space="preserve">Uruchomienie infrastruktury do prasowania na zimno. </w:t>
            </w:r>
          </w:p>
        </w:tc>
        <w:tc>
          <w:tcPr>
            <w:tcW w:w="236" w:type="dxa"/>
            <w:tcBorders>
              <w:top w:val="nil"/>
              <w:left w:val="single" w:sz="8" w:space="0" w:color="auto"/>
              <w:bottom w:val="nil"/>
              <w:right w:val="nil"/>
            </w:tcBorders>
            <w:vAlign w:val="center"/>
          </w:tcPr>
          <w:p w14:paraId="22A61F0F" w14:textId="77777777" w:rsidR="004C6421" w:rsidRDefault="004C6421">
            <w:pPr>
              <w:rPr>
                <w:noProof/>
              </w:rPr>
            </w:pPr>
          </w:p>
        </w:tc>
      </w:tr>
      <w:tr w:rsidR="004C6421" w14:paraId="4955DB27"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1C497CE" w14:textId="77777777" w:rsidR="004C6421" w:rsidRDefault="009D1962">
            <w:pPr>
              <w:pStyle w:val="P68B1DB1-Normal8"/>
              <w:jc w:val="center"/>
              <w:rPr>
                <w:noProof/>
              </w:rPr>
            </w:pPr>
            <w:r>
              <w:rPr>
                <w:noProof/>
              </w:rPr>
              <w:t>M1C1-26</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E008DD5" w14:textId="77777777" w:rsidR="004C6421" w:rsidRDefault="009D1962">
            <w:pPr>
              <w:pStyle w:val="P68B1DB1-Normal8"/>
              <w:rPr>
                <w:noProof/>
              </w:rPr>
            </w:pPr>
            <w:r>
              <w:rPr>
                <w:noProof/>
              </w:rPr>
              <w:t>Inwestycje 1.1: Infrastruktura cyfrowa</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64DEF9B"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6EDF53C" w14:textId="77777777" w:rsidR="004C6421" w:rsidRDefault="009D1962">
            <w:pPr>
              <w:pStyle w:val="P68B1DB1-Normal8"/>
              <w:rPr>
                <w:noProof/>
              </w:rPr>
            </w:pPr>
            <w:r>
              <w:rPr>
                <w:noProof/>
              </w:rPr>
              <w:t>Migracja do Polo Strategico Nazionale T2</w:t>
            </w:r>
          </w:p>
        </w:tc>
        <w:tc>
          <w:tcPr>
            <w:tcW w:w="236" w:type="dxa"/>
            <w:tcBorders>
              <w:top w:val="nil"/>
              <w:left w:val="single" w:sz="8" w:space="0" w:color="auto"/>
              <w:bottom w:val="nil"/>
              <w:right w:val="nil"/>
            </w:tcBorders>
            <w:vAlign w:val="center"/>
          </w:tcPr>
          <w:p w14:paraId="61E5D629" w14:textId="77777777" w:rsidR="004C6421" w:rsidRDefault="004C6421">
            <w:pPr>
              <w:rPr>
                <w:noProof/>
              </w:rPr>
            </w:pPr>
          </w:p>
        </w:tc>
      </w:tr>
      <w:tr w:rsidR="004C6421" w14:paraId="126C4585"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DC55575" w14:textId="77777777" w:rsidR="004C6421" w:rsidRDefault="009D1962">
            <w:pPr>
              <w:pStyle w:val="P68B1DB1-Normal8"/>
              <w:jc w:val="center"/>
              <w:rPr>
                <w:noProof/>
              </w:rPr>
            </w:pPr>
            <w:r>
              <w:rPr>
                <w:noProof/>
              </w:rPr>
              <w:t>M1C1-27</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66C7818" w14:textId="77777777" w:rsidR="004C6421" w:rsidRDefault="009D1962">
            <w:pPr>
              <w:pStyle w:val="P68B1DB1-Normal8"/>
              <w:rPr>
                <w:noProof/>
              </w:rPr>
            </w:pPr>
            <w:r>
              <w:rPr>
                <w:noProof/>
              </w:rPr>
              <w:t>Inwestycja 1.3.1: Krajowa platforma danych cyfrowych</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A47FDAB"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6DB77DE" w14:textId="77777777" w:rsidR="004C6421" w:rsidRDefault="009D1962">
            <w:pPr>
              <w:pStyle w:val="P68B1DB1-Normal8"/>
              <w:rPr>
                <w:noProof/>
              </w:rPr>
            </w:pPr>
            <w:r>
              <w:rPr>
                <w:noProof/>
              </w:rPr>
              <w:t>API w krajowej platformie danych cyfrowych T2</w:t>
            </w:r>
          </w:p>
        </w:tc>
        <w:tc>
          <w:tcPr>
            <w:tcW w:w="236" w:type="dxa"/>
            <w:tcBorders>
              <w:top w:val="nil"/>
              <w:left w:val="single" w:sz="8" w:space="0" w:color="auto"/>
              <w:bottom w:val="nil"/>
              <w:right w:val="nil"/>
            </w:tcBorders>
            <w:vAlign w:val="center"/>
          </w:tcPr>
          <w:p w14:paraId="7C9244F4" w14:textId="77777777" w:rsidR="004C6421" w:rsidRDefault="004C6421">
            <w:pPr>
              <w:rPr>
                <w:noProof/>
              </w:rPr>
            </w:pPr>
          </w:p>
        </w:tc>
      </w:tr>
      <w:tr w:rsidR="004C6421" w14:paraId="284802BB"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EB3C2FA" w14:textId="77777777" w:rsidR="004C6421" w:rsidRDefault="009D1962">
            <w:pPr>
              <w:pStyle w:val="P68B1DB1-Normal8"/>
              <w:jc w:val="center"/>
              <w:rPr>
                <w:noProof/>
              </w:rPr>
            </w:pPr>
            <w:r>
              <w:rPr>
                <w:noProof/>
              </w:rPr>
              <w:t>M1C1-28</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14BCB7C" w14:textId="77777777" w:rsidR="004C6421" w:rsidRDefault="009D1962">
            <w:pPr>
              <w:pStyle w:val="P68B1DB1-Normal8"/>
              <w:rPr>
                <w:noProof/>
              </w:rPr>
            </w:pPr>
            <w:r>
              <w:rPr>
                <w:noProof/>
              </w:rPr>
              <w:t>Inwestycje 1.7.2: Sieć usług ułatwień cyfrowych</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3CA25A5"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D12FD5D" w14:textId="77777777" w:rsidR="004C6421" w:rsidRDefault="009D1962">
            <w:pPr>
              <w:pStyle w:val="P68B1DB1-Normal8"/>
              <w:rPr>
                <w:noProof/>
              </w:rPr>
            </w:pPr>
            <w:r>
              <w:rPr>
                <w:noProof/>
              </w:rPr>
              <w:t>Liczba obywateli uczestniczących w nowych inicjatywach w zakresie edukacji cyfrowej lub ułatwień oferowanych przez ośrodki ułatwień cyfrowych</w:t>
            </w:r>
          </w:p>
        </w:tc>
        <w:tc>
          <w:tcPr>
            <w:tcW w:w="236" w:type="dxa"/>
            <w:tcBorders>
              <w:top w:val="nil"/>
              <w:left w:val="single" w:sz="8" w:space="0" w:color="auto"/>
              <w:bottom w:val="nil"/>
              <w:right w:val="nil"/>
            </w:tcBorders>
            <w:vAlign w:val="center"/>
          </w:tcPr>
          <w:p w14:paraId="1C8EAB22" w14:textId="77777777" w:rsidR="004C6421" w:rsidRDefault="004C6421">
            <w:pPr>
              <w:rPr>
                <w:noProof/>
              </w:rPr>
            </w:pPr>
          </w:p>
        </w:tc>
      </w:tr>
      <w:tr w:rsidR="004C6421" w14:paraId="58A4A838"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D9D8F6E" w14:textId="77777777" w:rsidR="004C6421" w:rsidRDefault="009D1962">
            <w:pPr>
              <w:pStyle w:val="P68B1DB1-Normal8"/>
              <w:jc w:val="center"/>
              <w:rPr>
                <w:noProof/>
              </w:rPr>
            </w:pPr>
            <w:r>
              <w:rPr>
                <w:noProof/>
              </w:rPr>
              <w:t>M1C1-45</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0946473" w14:textId="77777777" w:rsidR="004C6421" w:rsidRDefault="009D1962">
            <w:pPr>
              <w:pStyle w:val="P68B1DB1-Normal8"/>
              <w:rPr>
                <w:noProof/>
              </w:rPr>
            </w:pPr>
            <w:r>
              <w:rPr>
                <w:noProof/>
              </w:rPr>
              <w:t>Reforma 1.4: Reforma wymiaru sprawiedliwości w sprawach cywilnych</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7DE626C"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972B07C" w14:textId="77777777" w:rsidR="004C6421" w:rsidRDefault="009D1962">
            <w:pPr>
              <w:pStyle w:val="P68B1DB1-Normal8"/>
              <w:rPr>
                <w:noProof/>
              </w:rPr>
            </w:pPr>
            <w:r>
              <w:rPr>
                <w:noProof/>
              </w:rPr>
              <w:t>Skrócenie czasu trwania postępowania cywilnego</w:t>
            </w:r>
          </w:p>
        </w:tc>
        <w:tc>
          <w:tcPr>
            <w:tcW w:w="236" w:type="dxa"/>
            <w:tcBorders>
              <w:top w:val="nil"/>
              <w:left w:val="single" w:sz="8" w:space="0" w:color="auto"/>
              <w:bottom w:val="nil"/>
              <w:right w:val="nil"/>
            </w:tcBorders>
            <w:vAlign w:val="center"/>
          </w:tcPr>
          <w:p w14:paraId="1FE96A6D" w14:textId="77777777" w:rsidR="004C6421" w:rsidRDefault="004C6421">
            <w:pPr>
              <w:rPr>
                <w:noProof/>
              </w:rPr>
            </w:pPr>
          </w:p>
        </w:tc>
      </w:tr>
      <w:tr w:rsidR="004C6421" w14:paraId="704B0942"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FD65744" w14:textId="77777777" w:rsidR="004C6421" w:rsidRDefault="009D1962">
            <w:pPr>
              <w:pStyle w:val="P68B1DB1-Normal8"/>
              <w:jc w:val="center"/>
              <w:rPr>
                <w:noProof/>
              </w:rPr>
            </w:pPr>
            <w:r>
              <w:rPr>
                <w:noProof/>
              </w:rPr>
              <w:t>M1C1-46</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CDEAD43" w14:textId="77777777" w:rsidR="004C6421" w:rsidRDefault="009D1962">
            <w:pPr>
              <w:pStyle w:val="P68B1DB1-Normal8"/>
              <w:rPr>
                <w:noProof/>
              </w:rPr>
            </w:pPr>
            <w:r>
              <w:rPr>
                <w:noProof/>
              </w:rPr>
              <w:t>Reforma1.5: Reforma wymiaru sprawiedliwości w sprawach karnych</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5A9A9D9"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8E5C0BF" w14:textId="77777777" w:rsidR="004C6421" w:rsidRDefault="009D1962">
            <w:pPr>
              <w:pStyle w:val="P68B1DB1-Normal8"/>
              <w:rPr>
                <w:noProof/>
              </w:rPr>
            </w:pPr>
            <w:r>
              <w:rPr>
                <w:noProof/>
              </w:rPr>
              <w:t>Skrócenie czasu trwania postępowania karnego</w:t>
            </w:r>
          </w:p>
        </w:tc>
        <w:tc>
          <w:tcPr>
            <w:tcW w:w="236" w:type="dxa"/>
            <w:tcBorders>
              <w:top w:val="nil"/>
              <w:left w:val="single" w:sz="8" w:space="0" w:color="auto"/>
              <w:bottom w:val="nil"/>
              <w:right w:val="nil"/>
            </w:tcBorders>
            <w:vAlign w:val="center"/>
          </w:tcPr>
          <w:p w14:paraId="21205434" w14:textId="77777777" w:rsidR="004C6421" w:rsidRDefault="004C6421">
            <w:pPr>
              <w:rPr>
                <w:noProof/>
              </w:rPr>
            </w:pPr>
          </w:p>
        </w:tc>
      </w:tr>
      <w:tr w:rsidR="004C6421" w14:paraId="009F6061"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9AF15ED" w14:textId="77777777" w:rsidR="004C6421" w:rsidRDefault="009D1962">
            <w:pPr>
              <w:pStyle w:val="P68B1DB1-Normal8"/>
              <w:jc w:val="center"/>
              <w:rPr>
                <w:noProof/>
              </w:rPr>
            </w:pPr>
            <w:r>
              <w:rPr>
                <w:noProof/>
              </w:rPr>
              <w:t>M1C1-47</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CE8DCC6" w14:textId="77777777" w:rsidR="004C6421" w:rsidRDefault="009D1962">
            <w:pPr>
              <w:pStyle w:val="P68B1DB1-Normal8"/>
              <w:rPr>
                <w:noProof/>
              </w:rPr>
            </w:pPr>
            <w:r>
              <w:rPr>
                <w:noProof/>
              </w:rPr>
              <w:t>Reforma 1.4: Reforma wymiaru sprawiedliwości w sprawach cywilnych</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C6A49D5"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49F492C" w14:textId="77777777" w:rsidR="004C6421" w:rsidRDefault="009D1962">
            <w:pPr>
              <w:pStyle w:val="P68B1DB1-Normal8"/>
              <w:rPr>
                <w:noProof/>
              </w:rPr>
            </w:pPr>
            <w:r>
              <w:rPr>
                <w:noProof/>
              </w:rPr>
              <w:t>Zmniejszenie liczby zaległych spraw w sądach powszechnych w sprawach cywilnych (pierwsza instancja)</w:t>
            </w:r>
          </w:p>
        </w:tc>
        <w:tc>
          <w:tcPr>
            <w:tcW w:w="236" w:type="dxa"/>
            <w:tcBorders>
              <w:top w:val="nil"/>
              <w:left w:val="single" w:sz="8" w:space="0" w:color="auto"/>
              <w:bottom w:val="nil"/>
              <w:right w:val="nil"/>
            </w:tcBorders>
            <w:vAlign w:val="center"/>
          </w:tcPr>
          <w:p w14:paraId="6DC6D9D3" w14:textId="77777777" w:rsidR="004C6421" w:rsidRDefault="004C6421">
            <w:pPr>
              <w:rPr>
                <w:noProof/>
              </w:rPr>
            </w:pPr>
          </w:p>
        </w:tc>
      </w:tr>
      <w:tr w:rsidR="004C6421" w14:paraId="4189A29B"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D410BED" w14:textId="77777777" w:rsidR="004C6421" w:rsidRDefault="009D1962">
            <w:pPr>
              <w:pStyle w:val="P68B1DB1-Normal8"/>
              <w:jc w:val="center"/>
              <w:rPr>
                <w:noProof/>
              </w:rPr>
            </w:pPr>
            <w:r>
              <w:rPr>
                <w:noProof/>
              </w:rPr>
              <w:t>M1C1-48</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373871F" w14:textId="77777777" w:rsidR="004C6421" w:rsidRDefault="009D1962">
            <w:pPr>
              <w:pStyle w:val="P68B1DB1-Normal8"/>
              <w:rPr>
                <w:noProof/>
              </w:rPr>
            </w:pPr>
            <w:r>
              <w:rPr>
                <w:noProof/>
              </w:rPr>
              <w:t>Reforma 1.4: Reforma wymiaru sprawiedliwości w sprawach cywilnych</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2139797"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4AB41D8" w14:textId="77777777" w:rsidR="004C6421" w:rsidRDefault="009D1962">
            <w:pPr>
              <w:pStyle w:val="P68B1DB1-Normal8"/>
              <w:rPr>
                <w:noProof/>
              </w:rPr>
            </w:pPr>
            <w:r>
              <w:rPr>
                <w:noProof/>
              </w:rPr>
              <w:t>Zmniejszenie liczby zaległych spraw w Sądzie Apelacyjnym w sprawach cywilnych (druga instancja)</w:t>
            </w:r>
          </w:p>
        </w:tc>
        <w:tc>
          <w:tcPr>
            <w:tcW w:w="236" w:type="dxa"/>
            <w:tcBorders>
              <w:top w:val="nil"/>
              <w:left w:val="single" w:sz="8" w:space="0" w:color="auto"/>
              <w:bottom w:val="nil"/>
              <w:right w:val="nil"/>
            </w:tcBorders>
            <w:vAlign w:val="center"/>
          </w:tcPr>
          <w:p w14:paraId="3909A19C" w14:textId="77777777" w:rsidR="004C6421" w:rsidRDefault="004C6421">
            <w:pPr>
              <w:rPr>
                <w:noProof/>
              </w:rPr>
            </w:pPr>
          </w:p>
        </w:tc>
      </w:tr>
      <w:tr w:rsidR="004C6421" w14:paraId="0ED20FF4"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82FF258" w14:textId="77777777" w:rsidR="004C6421" w:rsidRDefault="009D1962">
            <w:pPr>
              <w:pStyle w:val="P68B1DB1-Normal8"/>
              <w:jc w:val="center"/>
              <w:rPr>
                <w:noProof/>
              </w:rPr>
            </w:pPr>
            <w:r>
              <w:rPr>
                <w:noProof/>
              </w:rPr>
              <w:t>M1C1-49</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270F23C" w14:textId="77777777" w:rsidR="004C6421" w:rsidRDefault="009D1962">
            <w:pPr>
              <w:pStyle w:val="P68B1DB1-Normal8"/>
              <w:rPr>
                <w:noProof/>
              </w:rPr>
            </w:pPr>
            <w:r>
              <w:rPr>
                <w:noProof/>
              </w:rPr>
              <w:t>Inwestycje 1.8: Procedury rekrutacyjne w sądach administracyjnych</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209C097"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B2E1DB2" w14:textId="77777777" w:rsidR="004C6421" w:rsidRDefault="009D1962">
            <w:pPr>
              <w:pStyle w:val="P68B1DB1-Normal8"/>
              <w:rPr>
                <w:noProof/>
              </w:rPr>
            </w:pPr>
            <w:r>
              <w:rPr>
                <w:noProof/>
              </w:rPr>
              <w:t>Zmniejszenie liczby zaległych spraw dotyczących regionalnych sądów administracyjnych (pierwsza instancja)</w:t>
            </w:r>
          </w:p>
        </w:tc>
        <w:tc>
          <w:tcPr>
            <w:tcW w:w="236" w:type="dxa"/>
            <w:tcBorders>
              <w:top w:val="nil"/>
              <w:left w:val="single" w:sz="8" w:space="0" w:color="auto"/>
              <w:bottom w:val="nil"/>
              <w:right w:val="nil"/>
            </w:tcBorders>
            <w:vAlign w:val="center"/>
          </w:tcPr>
          <w:p w14:paraId="43362263" w14:textId="77777777" w:rsidR="004C6421" w:rsidRDefault="004C6421">
            <w:pPr>
              <w:rPr>
                <w:noProof/>
              </w:rPr>
            </w:pPr>
          </w:p>
        </w:tc>
      </w:tr>
      <w:tr w:rsidR="004C6421" w14:paraId="72F90107"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BBAAAE8" w14:textId="77777777" w:rsidR="004C6421" w:rsidRDefault="009D1962">
            <w:pPr>
              <w:pStyle w:val="P68B1DB1-Normal8"/>
              <w:jc w:val="center"/>
              <w:rPr>
                <w:noProof/>
              </w:rPr>
            </w:pPr>
            <w:r>
              <w:rPr>
                <w:noProof/>
              </w:rPr>
              <w:t>M1C1-50</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33B40A7" w14:textId="77777777" w:rsidR="004C6421" w:rsidRDefault="009D1962">
            <w:pPr>
              <w:pStyle w:val="P68B1DB1-Normal8"/>
              <w:rPr>
                <w:noProof/>
              </w:rPr>
            </w:pPr>
            <w:r>
              <w:rPr>
                <w:noProof/>
              </w:rPr>
              <w:t>Inwestycje 1.8: Procedury rekrutacyjne w sądach administracyjnych</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32C0D41"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C052E22" w14:textId="77777777" w:rsidR="004C6421" w:rsidRDefault="009D1962">
            <w:pPr>
              <w:pStyle w:val="P68B1DB1-Normal8"/>
              <w:rPr>
                <w:noProof/>
              </w:rPr>
            </w:pPr>
            <w:r>
              <w:rPr>
                <w:noProof/>
              </w:rPr>
              <w:t>Zmniejszenie liczby zaległych spraw w Radzie Stanu</w:t>
            </w:r>
          </w:p>
        </w:tc>
        <w:tc>
          <w:tcPr>
            <w:tcW w:w="236" w:type="dxa"/>
            <w:tcBorders>
              <w:top w:val="nil"/>
              <w:left w:val="single" w:sz="8" w:space="0" w:color="auto"/>
              <w:bottom w:val="nil"/>
              <w:right w:val="nil"/>
            </w:tcBorders>
            <w:vAlign w:val="center"/>
          </w:tcPr>
          <w:p w14:paraId="7DC7BF0B" w14:textId="77777777" w:rsidR="004C6421" w:rsidRDefault="004C6421">
            <w:pPr>
              <w:rPr>
                <w:noProof/>
              </w:rPr>
            </w:pPr>
          </w:p>
        </w:tc>
      </w:tr>
      <w:tr w:rsidR="004C6421" w14:paraId="58B4EA92"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5A96972" w14:textId="77777777" w:rsidR="004C6421" w:rsidRDefault="009D1962">
            <w:pPr>
              <w:pStyle w:val="P68B1DB1-Normal8"/>
              <w:jc w:val="center"/>
              <w:rPr>
                <w:noProof/>
              </w:rPr>
            </w:pPr>
            <w:r>
              <w:rPr>
                <w:noProof/>
              </w:rPr>
              <w:t>M1C1-59ter</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F3F16A6" w14:textId="77777777" w:rsidR="004C6421" w:rsidRDefault="009D1962">
            <w:pPr>
              <w:pStyle w:val="P68B1DB1-Normal8"/>
              <w:rPr>
                <w:noProof/>
              </w:rPr>
            </w:pPr>
            <w:r>
              <w:rPr>
                <w:noProof/>
              </w:rPr>
              <w:t>Reforma 1.9: Reforma administracji publicznej</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254CF26" w14:textId="1ED3630E" w:rsidR="004C6421" w:rsidRDefault="00CC179E">
            <w:pPr>
              <w:pStyle w:val="P68B1DB1-Normal8"/>
              <w:jc w:val="center"/>
              <w:rPr>
                <w:noProof/>
              </w:rPr>
            </w:pPr>
            <w:r>
              <w:rPr>
                <w:noProof/>
              </w:rPr>
              <w:t>Milowy</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A9BAD69" w14:textId="77777777" w:rsidR="004C6421" w:rsidRDefault="009D1962">
            <w:pPr>
              <w:pStyle w:val="P68B1DB1-Normal8"/>
              <w:rPr>
                <w:noProof/>
              </w:rPr>
            </w:pPr>
            <w:r>
              <w:rPr>
                <w:noProof/>
              </w:rPr>
              <w:t xml:space="preserve"> Wdrożenie strategicznego zarządzania zasobami ludzkimi w administracji publicznej  </w:t>
            </w:r>
          </w:p>
        </w:tc>
        <w:tc>
          <w:tcPr>
            <w:tcW w:w="236" w:type="dxa"/>
            <w:tcBorders>
              <w:top w:val="nil"/>
              <w:left w:val="single" w:sz="8" w:space="0" w:color="auto"/>
              <w:bottom w:val="nil"/>
              <w:right w:val="nil"/>
            </w:tcBorders>
            <w:vAlign w:val="center"/>
          </w:tcPr>
          <w:p w14:paraId="21586F5C" w14:textId="77777777" w:rsidR="004C6421" w:rsidRDefault="004C6421">
            <w:pPr>
              <w:rPr>
                <w:noProof/>
              </w:rPr>
            </w:pPr>
          </w:p>
        </w:tc>
      </w:tr>
      <w:tr w:rsidR="004C6421" w14:paraId="31BF6CB2"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F97CE30" w14:textId="77777777" w:rsidR="004C6421" w:rsidRDefault="009D1962">
            <w:pPr>
              <w:pStyle w:val="P68B1DB1-Normal8"/>
              <w:jc w:val="center"/>
              <w:rPr>
                <w:noProof/>
              </w:rPr>
            </w:pPr>
            <w:r>
              <w:rPr>
                <w:noProof/>
              </w:rPr>
              <w:t>M1C1-63</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DCDD789" w14:textId="77777777" w:rsidR="004C6421" w:rsidRDefault="009D1962">
            <w:pPr>
              <w:pStyle w:val="P68B1DB1-Normal8"/>
              <w:rPr>
                <w:noProof/>
              </w:rPr>
            </w:pPr>
            <w:r>
              <w:rPr>
                <w:noProof/>
              </w:rPr>
              <w:t>Reforma 1.9: Reforma administracji publicznej</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CD28348" w14:textId="2E8BC942" w:rsidR="004C6421" w:rsidRDefault="00CC179E">
            <w:pPr>
              <w:pStyle w:val="P68B1DB1-Normal8"/>
              <w:jc w:val="center"/>
              <w:rPr>
                <w:noProof/>
              </w:rPr>
            </w:pPr>
            <w:r>
              <w:rPr>
                <w:noProof/>
              </w:rPr>
              <w:t>Milowy</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30312D6" w14:textId="77777777" w:rsidR="004C6421" w:rsidRDefault="009D1962">
            <w:pPr>
              <w:pStyle w:val="P68B1DB1-Normal8"/>
              <w:rPr>
                <w:noProof/>
              </w:rPr>
            </w:pPr>
            <w:r>
              <w:rPr>
                <w:noProof/>
              </w:rPr>
              <w:t>Zakończenie procesu upraszczania i stworzenie repozytorium wszystkich procedur uproszczonych i odpowiednich systemów administracyjnych o pełnej mocy prawnej na całym terytorium kraju</w:t>
            </w:r>
          </w:p>
        </w:tc>
        <w:tc>
          <w:tcPr>
            <w:tcW w:w="236" w:type="dxa"/>
            <w:tcBorders>
              <w:top w:val="nil"/>
              <w:left w:val="single" w:sz="8" w:space="0" w:color="auto"/>
              <w:bottom w:val="nil"/>
              <w:right w:val="nil"/>
            </w:tcBorders>
            <w:vAlign w:val="center"/>
          </w:tcPr>
          <w:p w14:paraId="27F65FA1" w14:textId="77777777" w:rsidR="004C6421" w:rsidRDefault="004C6421">
            <w:pPr>
              <w:rPr>
                <w:noProof/>
              </w:rPr>
            </w:pPr>
          </w:p>
        </w:tc>
      </w:tr>
      <w:tr w:rsidR="004C6421" w14:paraId="40A21F70"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7B9C4E7" w14:textId="77777777" w:rsidR="004C6421" w:rsidRDefault="009D1962">
            <w:pPr>
              <w:pStyle w:val="P68B1DB1-Normal8"/>
              <w:jc w:val="center"/>
              <w:rPr>
                <w:noProof/>
              </w:rPr>
            </w:pPr>
            <w:r>
              <w:rPr>
                <w:noProof/>
              </w:rPr>
              <w:t>M1C1-64</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CC39C65" w14:textId="77777777" w:rsidR="004C6421" w:rsidRDefault="009D1962">
            <w:pPr>
              <w:pStyle w:val="P68B1DB1-Normal8"/>
              <w:rPr>
                <w:noProof/>
              </w:rPr>
            </w:pPr>
            <w:r>
              <w:rPr>
                <w:noProof/>
              </w:rPr>
              <w:t>Inwestycja 1.9: Zapewnienie pomocy technicznej i wzmocnienie budowania zdolności na potrzeby realizacji włoskiego planu odbudowy i zwiększania odporności</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753BDAA"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29FD69C" w14:textId="77777777" w:rsidR="004C6421" w:rsidRDefault="009D1962">
            <w:pPr>
              <w:pStyle w:val="P68B1DB1-Normal8"/>
              <w:rPr>
                <w:noProof/>
              </w:rPr>
            </w:pPr>
            <w:r>
              <w:rPr>
                <w:noProof/>
              </w:rPr>
              <w:t>Kształcenie i szkolenie</w:t>
            </w:r>
          </w:p>
        </w:tc>
        <w:tc>
          <w:tcPr>
            <w:tcW w:w="236" w:type="dxa"/>
            <w:tcBorders>
              <w:top w:val="nil"/>
              <w:left w:val="single" w:sz="8" w:space="0" w:color="auto"/>
              <w:bottom w:val="nil"/>
              <w:right w:val="nil"/>
            </w:tcBorders>
            <w:vAlign w:val="center"/>
          </w:tcPr>
          <w:p w14:paraId="38F8ECD3" w14:textId="77777777" w:rsidR="004C6421" w:rsidRDefault="004C6421">
            <w:pPr>
              <w:rPr>
                <w:noProof/>
              </w:rPr>
            </w:pPr>
          </w:p>
        </w:tc>
      </w:tr>
      <w:tr w:rsidR="004C6421" w14:paraId="59FF9D26"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69CDBCA" w14:textId="77777777" w:rsidR="004C6421" w:rsidRDefault="009D1962">
            <w:pPr>
              <w:pStyle w:val="P68B1DB1-Normal8"/>
              <w:jc w:val="center"/>
              <w:rPr>
                <w:noProof/>
              </w:rPr>
            </w:pPr>
            <w:r>
              <w:rPr>
                <w:noProof/>
              </w:rPr>
              <w:t>M1C1-65</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AA88E86" w14:textId="77777777" w:rsidR="004C6421" w:rsidRDefault="009D1962">
            <w:pPr>
              <w:pStyle w:val="P68B1DB1-Normal8"/>
              <w:rPr>
                <w:noProof/>
              </w:rPr>
            </w:pPr>
            <w:r>
              <w:rPr>
                <w:noProof/>
              </w:rPr>
              <w:t>Inwestycja 1.9: Zapewnienie pomocy technicznej i wzmocnienie budowania zdolności na potrzeby realizacji włoskiego planu odbudowy i zwiększania odporności</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F70A915"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01374E2" w14:textId="77777777" w:rsidR="004C6421" w:rsidRDefault="009D1962">
            <w:pPr>
              <w:pStyle w:val="P68B1DB1-Normal8"/>
              <w:rPr>
                <w:noProof/>
              </w:rPr>
            </w:pPr>
            <w:r>
              <w:rPr>
                <w:noProof/>
              </w:rPr>
              <w:t>Kształcenie i szkolenie</w:t>
            </w:r>
          </w:p>
        </w:tc>
        <w:tc>
          <w:tcPr>
            <w:tcW w:w="236" w:type="dxa"/>
            <w:tcBorders>
              <w:top w:val="nil"/>
              <w:left w:val="single" w:sz="8" w:space="0" w:color="auto"/>
              <w:bottom w:val="nil"/>
              <w:right w:val="nil"/>
            </w:tcBorders>
            <w:vAlign w:val="center"/>
          </w:tcPr>
          <w:p w14:paraId="0577A4F2" w14:textId="77777777" w:rsidR="004C6421" w:rsidRDefault="004C6421">
            <w:pPr>
              <w:rPr>
                <w:noProof/>
              </w:rPr>
            </w:pPr>
          </w:p>
        </w:tc>
      </w:tr>
      <w:tr w:rsidR="004C6421" w14:paraId="2D57B57A"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E3C9C01" w14:textId="77777777" w:rsidR="004C6421" w:rsidRDefault="009D1962">
            <w:pPr>
              <w:pStyle w:val="P68B1DB1-Normal8"/>
              <w:jc w:val="center"/>
              <w:rPr>
                <w:noProof/>
              </w:rPr>
            </w:pPr>
            <w:r>
              <w:rPr>
                <w:noProof/>
              </w:rPr>
              <w:t>M1C1-66</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639BAE4" w14:textId="77777777" w:rsidR="004C6421" w:rsidRDefault="009D1962">
            <w:pPr>
              <w:pStyle w:val="P68B1DB1-Normal8"/>
              <w:rPr>
                <w:noProof/>
              </w:rPr>
            </w:pPr>
            <w:r>
              <w:rPr>
                <w:noProof/>
              </w:rPr>
              <w:t>Inwestycja 1.9: Zapewnienie pomocy technicznej i wzmocnienie budowania zdolności na potrzeby realizacji włoskiego planu odbudowy i zwiększania odporności</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FC37F37"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9F43845" w14:textId="77777777" w:rsidR="004C6421" w:rsidRDefault="009D1962">
            <w:pPr>
              <w:pStyle w:val="P68B1DB1-Normal8"/>
              <w:rPr>
                <w:noProof/>
              </w:rPr>
            </w:pPr>
            <w:r>
              <w:rPr>
                <w:noProof/>
              </w:rPr>
              <w:t>Kształcenie i szkolenie</w:t>
            </w:r>
          </w:p>
        </w:tc>
        <w:tc>
          <w:tcPr>
            <w:tcW w:w="236" w:type="dxa"/>
            <w:tcBorders>
              <w:top w:val="nil"/>
              <w:left w:val="single" w:sz="8" w:space="0" w:color="auto"/>
              <w:bottom w:val="nil"/>
              <w:right w:val="nil"/>
            </w:tcBorders>
            <w:vAlign w:val="center"/>
          </w:tcPr>
          <w:p w14:paraId="591FA05B" w14:textId="77777777" w:rsidR="004C6421" w:rsidRDefault="004C6421">
            <w:pPr>
              <w:rPr>
                <w:noProof/>
              </w:rPr>
            </w:pPr>
          </w:p>
        </w:tc>
      </w:tr>
      <w:tr w:rsidR="004C6421" w14:paraId="46F34D3E"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8D9CACF" w14:textId="77777777" w:rsidR="004C6421" w:rsidRDefault="009D1962">
            <w:pPr>
              <w:pStyle w:val="P68B1DB1-Normal8"/>
              <w:jc w:val="center"/>
              <w:rPr>
                <w:noProof/>
              </w:rPr>
            </w:pPr>
            <w:r>
              <w:rPr>
                <w:noProof/>
              </w:rPr>
              <w:t>M1C1-67</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6463798" w14:textId="77777777" w:rsidR="004C6421" w:rsidRDefault="009D1962">
            <w:pPr>
              <w:pStyle w:val="P68B1DB1-Normal8"/>
              <w:rPr>
                <w:noProof/>
              </w:rPr>
            </w:pPr>
            <w:r>
              <w:rPr>
                <w:noProof/>
              </w:rPr>
              <w:t>Inwestycja 1.9: Zapewnienie pomocy technicznej i wzmocnienie budowania zdolności na potrzeby realizacji włoskiego planu odbudowy i zwiększania odporności</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ECFBE99"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2CFE182" w14:textId="77777777" w:rsidR="004C6421" w:rsidRDefault="009D1962">
            <w:pPr>
              <w:pStyle w:val="P68B1DB1-Normal8"/>
              <w:rPr>
                <w:noProof/>
              </w:rPr>
            </w:pPr>
            <w:r>
              <w:rPr>
                <w:noProof/>
              </w:rPr>
              <w:t>Kształcenie i szkolenie</w:t>
            </w:r>
          </w:p>
        </w:tc>
        <w:tc>
          <w:tcPr>
            <w:tcW w:w="236" w:type="dxa"/>
            <w:tcBorders>
              <w:top w:val="nil"/>
              <w:left w:val="single" w:sz="8" w:space="0" w:color="auto"/>
              <w:bottom w:val="nil"/>
              <w:right w:val="nil"/>
            </w:tcBorders>
            <w:vAlign w:val="center"/>
          </w:tcPr>
          <w:p w14:paraId="7C0AD752" w14:textId="77777777" w:rsidR="004C6421" w:rsidRDefault="004C6421">
            <w:pPr>
              <w:rPr>
                <w:noProof/>
              </w:rPr>
            </w:pPr>
          </w:p>
        </w:tc>
      </w:tr>
      <w:tr w:rsidR="004C6421" w14:paraId="71654B91"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EE71604" w14:textId="77777777" w:rsidR="004C6421" w:rsidRDefault="009D1962">
            <w:pPr>
              <w:pStyle w:val="P68B1DB1-Normal8"/>
              <w:jc w:val="center"/>
              <w:rPr>
                <w:noProof/>
              </w:rPr>
            </w:pPr>
            <w:r>
              <w:rPr>
                <w:noProof/>
              </w:rPr>
              <w:t>M1C1-118</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2449723" w14:textId="77777777" w:rsidR="004C6421" w:rsidRDefault="009D1962">
            <w:pPr>
              <w:pStyle w:val="P68B1DB1-Normal8"/>
              <w:rPr>
                <w:noProof/>
              </w:rPr>
            </w:pPr>
            <w:r>
              <w:rPr>
                <w:noProof/>
              </w:rPr>
              <w:t>Reforma 1.15: Reforma zasad rachunkowości publicznej</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C66BA9C" w14:textId="43B4B328" w:rsidR="004C6421" w:rsidRDefault="00CC179E">
            <w:pPr>
              <w:pStyle w:val="P68B1DB1-Normal8"/>
              <w:jc w:val="center"/>
              <w:rPr>
                <w:noProof/>
              </w:rPr>
            </w:pPr>
            <w:r>
              <w:rPr>
                <w:noProof/>
              </w:rPr>
              <w:t>Milowy</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C11C28D" w14:textId="77777777" w:rsidR="004C6421" w:rsidRDefault="009D1962">
            <w:pPr>
              <w:pStyle w:val="P68B1DB1-Normal8"/>
              <w:rPr>
                <w:noProof/>
              </w:rPr>
            </w:pPr>
            <w:r>
              <w:rPr>
                <w:noProof/>
              </w:rPr>
              <w:t>Wejście w życie reformy zasady memoriałowej stanowi co najmniej 90 % całego sektora publicznego.</w:t>
            </w:r>
          </w:p>
        </w:tc>
        <w:tc>
          <w:tcPr>
            <w:tcW w:w="236" w:type="dxa"/>
            <w:tcBorders>
              <w:top w:val="nil"/>
              <w:left w:val="single" w:sz="8" w:space="0" w:color="auto"/>
              <w:bottom w:val="nil"/>
              <w:right w:val="nil"/>
            </w:tcBorders>
            <w:vAlign w:val="center"/>
          </w:tcPr>
          <w:p w14:paraId="40615777" w14:textId="77777777" w:rsidR="004C6421" w:rsidRDefault="004C6421">
            <w:pPr>
              <w:rPr>
                <w:noProof/>
              </w:rPr>
            </w:pPr>
          </w:p>
        </w:tc>
      </w:tr>
      <w:tr w:rsidR="004C6421" w14:paraId="092095D6"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610E3A0" w14:textId="77777777" w:rsidR="004C6421" w:rsidRDefault="009D1962">
            <w:pPr>
              <w:pStyle w:val="P68B1DB1-Normal8"/>
              <w:jc w:val="center"/>
              <w:rPr>
                <w:noProof/>
              </w:rPr>
            </w:pPr>
            <w:r>
              <w:rPr>
                <w:noProof/>
              </w:rPr>
              <w:t>M1C1-121</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0F944F8" w14:textId="77777777" w:rsidR="004C6421" w:rsidRDefault="009D1962">
            <w:pPr>
              <w:pStyle w:val="P68B1DB1-Normal8"/>
              <w:rPr>
                <w:noProof/>
              </w:rPr>
            </w:pPr>
            <w:r>
              <w:rPr>
                <w:noProof/>
              </w:rPr>
              <w:t>Reforma 1.12: Reforma administracji podatkowej</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5D7C1BF"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130AC8E" w14:textId="77777777" w:rsidR="004C6421" w:rsidRDefault="009D1962">
            <w:pPr>
              <w:pStyle w:val="P68B1DB1-Normal8"/>
              <w:rPr>
                <w:noProof/>
              </w:rPr>
            </w:pPr>
            <w:r>
              <w:rPr>
                <w:noProof/>
              </w:rPr>
              <w:t>Ograniczenie uchylania się od opodatkowania zgodnie ze wskaźnikiem „możność uchylania się od opodatkowania”</w:t>
            </w:r>
          </w:p>
        </w:tc>
        <w:tc>
          <w:tcPr>
            <w:tcW w:w="236" w:type="dxa"/>
            <w:tcBorders>
              <w:top w:val="nil"/>
              <w:left w:val="single" w:sz="8" w:space="0" w:color="auto"/>
              <w:bottom w:val="nil"/>
              <w:right w:val="nil"/>
            </w:tcBorders>
            <w:vAlign w:val="center"/>
          </w:tcPr>
          <w:p w14:paraId="53589A34" w14:textId="77777777" w:rsidR="004C6421" w:rsidRDefault="004C6421">
            <w:pPr>
              <w:rPr>
                <w:noProof/>
              </w:rPr>
            </w:pPr>
          </w:p>
        </w:tc>
      </w:tr>
      <w:tr w:rsidR="004C6421" w14:paraId="1A5F7ADF"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220D728" w14:textId="77777777" w:rsidR="004C6421" w:rsidRDefault="009D1962">
            <w:pPr>
              <w:pStyle w:val="P68B1DB1-Normal8"/>
              <w:jc w:val="center"/>
              <w:rPr>
                <w:noProof/>
              </w:rPr>
            </w:pPr>
            <w:r>
              <w:rPr>
                <w:noProof/>
              </w:rPr>
              <w:t>M1C1-122</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0EAFE04" w14:textId="77777777" w:rsidR="004C6421" w:rsidRDefault="009D1962">
            <w:pPr>
              <w:pStyle w:val="P68B1DB1-Normal8"/>
              <w:rPr>
                <w:noProof/>
              </w:rPr>
            </w:pPr>
            <w:r>
              <w:rPr>
                <w:noProof/>
              </w:rPr>
              <w:t>Reforma 1.13: Reforma ram przeglądu wydatków</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21F82D2" w14:textId="0649D8A1" w:rsidR="004C6421" w:rsidRDefault="00CC179E">
            <w:pPr>
              <w:pStyle w:val="P68B1DB1-Normal8"/>
              <w:jc w:val="center"/>
              <w:rPr>
                <w:noProof/>
              </w:rPr>
            </w:pPr>
            <w:r>
              <w:rPr>
                <w:noProof/>
              </w:rPr>
              <w:t>Milowy</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DEA81F1" w14:textId="77777777" w:rsidR="004C6421" w:rsidRDefault="009D1962">
            <w:pPr>
              <w:pStyle w:val="P68B1DB1-Normal8"/>
              <w:rPr>
                <w:noProof/>
              </w:rPr>
            </w:pPr>
            <w:r>
              <w:rPr>
                <w:noProof/>
              </w:rPr>
              <w:t>Zakończenie rocznego przeglądu wydatków na 2025 r. w odniesieniu do celu w zakresie oszczędności ustalonego na lata 2022, 2023 i 2024 na 2025 r.</w:t>
            </w:r>
          </w:p>
        </w:tc>
        <w:tc>
          <w:tcPr>
            <w:tcW w:w="236" w:type="dxa"/>
            <w:tcBorders>
              <w:top w:val="nil"/>
              <w:left w:val="single" w:sz="8" w:space="0" w:color="auto"/>
              <w:bottom w:val="nil"/>
              <w:right w:val="nil"/>
            </w:tcBorders>
            <w:vAlign w:val="center"/>
          </w:tcPr>
          <w:p w14:paraId="4887BCB6" w14:textId="77777777" w:rsidR="004C6421" w:rsidRDefault="004C6421">
            <w:pPr>
              <w:rPr>
                <w:noProof/>
              </w:rPr>
            </w:pPr>
          </w:p>
        </w:tc>
      </w:tr>
      <w:tr w:rsidR="004C6421" w14:paraId="464BC1A6"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BF96DF0" w14:textId="77777777" w:rsidR="004C6421" w:rsidRDefault="009D1962">
            <w:pPr>
              <w:pStyle w:val="P68B1DB1-Normal8"/>
              <w:jc w:val="center"/>
              <w:rPr>
                <w:noProof/>
              </w:rPr>
            </w:pPr>
            <w:r>
              <w:rPr>
                <w:noProof/>
              </w:rPr>
              <w:t>M1C3-3</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AFB817C" w14:textId="77777777" w:rsidR="004C6421" w:rsidRDefault="009D1962">
            <w:pPr>
              <w:pStyle w:val="P68B1DB1-Normal8"/>
              <w:rPr>
                <w:noProof/>
              </w:rPr>
            </w:pPr>
            <w:r>
              <w:rPr>
                <w:noProof/>
              </w:rPr>
              <w:t>Inwestycje – 1.2 Usunięcie barier fizycznych i poznawczych w muzeach, bibliotekach i archiwach w celu umożliwienia szerszego dostępu do kultury i uczestnictwa w niej</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DA317BC"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4D26F26" w14:textId="77777777" w:rsidR="004C6421" w:rsidRDefault="009D1962">
            <w:pPr>
              <w:pStyle w:val="P68B1DB1-Normal8"/>
              <w:rPr>
                <w:noProof/>
              </w:rPr>
            </w:pPr>
            <w:r>
              <w:rPr>
                <w:noProof/>
              </w:rPr>
              <w:t>Interwencje na rzecz poprawy dostępności fizycznej i poznawczej w miejscach kultury</w:t>
            </w:r>
          </w:p>
        </w:tc>
        <w:tc>
          <w:tcPr>
            <w:tcW w:w="236" w:type="dxa"/>
            <w:tcBorders>
              <w:top w:val="nil"/>
              <w:left w:val="single" w:sz="8" w:space="0" w:color="auto"/>
              <w:bottom w:val="nil"/>
              <w:right w:val="nil"/>
            </w:tcBorders>
            <w:vAlign w:val="center"/>
          </w:tcPr>
          <w:p w14:paraId="37FED55A" w14:textId="77777777" w:rsidR="004C6421" w:rsidRDefault="004C6421">
            <w:pPr>
              <w:rPr>
                <w:noProof/>
              </w:rPr>
            </w:pPr>
          </w:p>
        </w:tc>
      </w:tr>
      <w:tr w:rsidR="004C6421" w14:paraId="7C759979"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350E2FB" w14:textId="77777777" w:rsidR="004C6421" w:rsidRDefault="009D1962">
            <w:pPr>
              <w:pStyle w:val="P68B1DB1-Normal8"/>
              <w:jc w:val="center"/>
              <w:rPr>
                <w:noProof/>
              </w:rPr>
            </w:pPr>
            <w:r>
              <w:rPr>
                <w:noProof/>
              </w:rPr>
              <w:t>M1C3-9bis</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120A3AE" w14:textId="77777777" w:rsidR="004C6421" w:rsidRDefault="009D1962">
            <w:pPr>
              <w:pStyle w:val="P68B1DB1-Normal8"/>
              <w:rPr>
                <w:noProof/>
              </w:rPr>
            </w:pPr>
            <w:r>
              <w:rPr>
                <w:noProof/>
              </w:rPr>
              <w:t>Inwestycje 4.1 Centrum turystyki cyfrowej</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C3424A6"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76ED75D" w14:textId="77777777" w:rsidR="004C6421" w:rsidRDefault="009D1962">
            <w:pPr>
              <w:pStyle w:val="P68B1DB1-Normal8"/>
              <w:rPr>
                <w:noProof/>
              </w:rPr>
            </w:pPr>
            <w:r>
              <w:rPr>
                <w:noProof/>
              </w:rPr>
              <w:t xml:space="preserve">Rejestracja operatorów turystycznych w centrum turystyki cyfrowej i dostęp do usług świadczonych przez centrum  </w:t>
            </w:r>
          </w:p>
        </w:tc>
        <w:tc>
          <w:tcPr>
            <w:tcW w:w="236" w:type="dxa"/>
            <w:tcBorders>
              <w:top w:val="nil"/>
              <w:left w:val="single" w:sz="8" w:space="0" w:color="auto"/>
              <w:bottom w:val="nil"/>
              <w:right w:val="nil"/>
            </w:tcBorders>
            <w:vAlign w:val="center"/>
          </w:tcPr>
          <w:p w14:paraId="4248C335" w14:textId="77777777" w:rsidR="004C6421" w:rsidRDefault="004C6421">
            <w:pPr>
              <w:rPr>
                <w:noProof/>
              </w:rPr>
            </w:pPr>
          </w:p>
        </w:tc>
      </w:tr>
      <w:tr w:rsidR="004C6421" w14:paraId="79C9E231"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68DB343" w14:textId="77777777" w:rsidR="004C6421" w:rsidRDefault="009D1962">
            <w:pPr>
              <w:pStyle w:val="P68B1DB1-Normal8"/>
              <w:jc w:val="center"/>
              <w:rPr>
                <w:noProof/>
              </w:rPr>
            </w:pPr>
            <w:r>
              <w:rPr>
                <w:noProof/>
              </w:rPr>
              <w:t>M2C1-8</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522F85E" w14:textId="77777777" w:rsidR="004C6421" w:rsidRDefault="009D1962">
            <w:pPr>
              <w:pStyle w:val="P68B1DB1-Normal8"/>
              <w:rPr>
                <w:noProof/>
              </w:rPr>
            </w:pPr>
            <w:r>
              <w:rPr>
                <w:noProof/>
              </w:rPr>
              <w:t>Inwestycja 2.3: Innowacje i mechanizacja w sektorze rolnym i spożywczym</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99EFE9F"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39AF6C0" w14:textId="77777777" w:rsidR="004C6421" w:rsidRDefault="009D1962">
            <w:pPr>
              <w:pStyle w:val="P68B1DB1-Normal8"/>
              <w:rPr>
                <w:noProof/>
              </w:rPr>
            </w:pPr>
            <w:r>
              <w:rPr>
                <w:noProof/>
              </w:rPr>
              <w:t>Wsparcie inwestycji w innowacje w gospodarce o obiegu zamkniętym i biogospodarce</w:t>
            </w:r>
          </w:p>
        </w:tc>
        <w:tc>
          <w:tcPr>
            <w:tcW w:w="236" w:type="dxa"/>
            <w:tcBorders>
              <w:top w:val="nil"/>
              <w:left w:val="single" w:sz="8" w:space="0" w:color="auto"/>
              <w:bottom w:val="nil"/>
              <w:right w:val="nil"/>
            </w:tcBorders>
            <w:vAlign w:val="center"/>
          </w:tcPr>
          <w:p w14:paraId="3AF8E730" w14:textId="77777777" w:rsidR="004C6421" w:rsidRDefault="004C6421">
            <w:pPr>
              <w:rPr>
                <w:noProof/>
              </w:rPr>
            </w:pPr>
          </w:p>
        </w:tc>
      </w:tr>
      <w:tr w:rsidR="004C6421" w14:paraId="63114A85"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0F77620" w14:textId="77777777" w:rsidR="004C6421" w:rsidRDefault="009D1962">
            <w:pPr>
              <w:pStyle w:val="P68B1DB1-Normal8"/>
              <w:jc w:val="center"/>
              <w:rPr>
                <w:noProof/>
              </w:rPr>
            </w:pPr>
            <w:r>
              <w:rPr>
                <w:noProof/>
              </w:rPr>
              <w:t>M2C1-9</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07B7B13" w14:textId="77777777" w:rsidR="004C6421" w:rsidRDefault="009D1962">
            <w:pPr>
              <w:pStyle w:val="P68B1DB1-Normal8"/>
              <w:rPr>
                <w:noProof/>
              </w:rPr>
            </w:pPr>
            <w:r>
              <w:rPr>
                <w:noProof/>
              </w:rPr>
              <w:t>Inwestycje 2.2: Park rolno-słoneczny</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C2D4C63"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0D84C8D" w14:textId="77777777" w:rsidR="004C6421" w:rsidRDefault="009D1962">
            <w:pPr>
              <w:pStyle w:val="P68B1DB1-Normal8"/>
              <w:rPr>
                <w:noProof/>
              </w:rPr>
            </w:pPr>
            <w:r>
              <w:rPr>
                <w:noProof/>
              </w:rPr>
              <w:t>Wytwarzanie energii elektrycznej w elektrowniach ropopochodnych</w:t>
            </w:r>
          </w:p>
        </w:tc>
        <w:tc>
          <w:tcPr>
            <w:tcW w:w="236" w:type="dxa"/>
            <w:tcBorders>
              <w:top w:val="nil"/>
              <w:left w:val="single" w:sz="8" w:space="0" w:color="auto"/>
              <w:bottom w:val="nil"/>
              <w:right w:val="nil"/>
            </w:tcBorders>
            <w:vAlign w:val="center"/>
          </w:tcPr>
          <w:p w14:paraId="14FDAE38" w14:textId="77777777" w:rsidR="004C6421" w:rsidRDefault="004C6421">
            <w:pPr>
              <w:rPr>
                <w:noProof/>
              </w:rPr>
            </w:pPr>
          </w:p>
        </w:tc>
      </w:tr>
      <w:tr w:rsidR="004C6421" w14:paraId="06473AF6"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964C8A7" w14:textId="77777777" w:rsidR="004C6421" w:rsidRDefault="009D1962">
            <w:pPr>
              <w:pStyle w:val="P68B1DB1-Normal8"/>
              <w:jc w:val="center"/>
              <w:rPr>
                <w:noProof/>
              </w:rPr>
            </w:pPr>
            <w:r>
              <w:rPr>
                <w:noProof/>
              </w:rPr>
              <w:t>M2C1-10</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A727D92" w14:textId="77777777" w:rsidR="004C6421" w:rsidRDefault="009D1962">
            <w:pPr>
              <w:pStyle w:val="P68B1DB1-Normal8"/>
              <w:rPr>
                <w:noProof/>
              </w:rPr>
            </w:pPr>
            <w:r>
              <w:rPr>
                <w:noProof/>
              </w:rPr>
              <w:t>Inwestycja 2.1: Plan logistyczny dla sektorów rolno-spożywczego, rybołówstwa i akwakultury, leśnictwa, kwiaciarstwa i szkółek roślin</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54807C8"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75F50E9" w14:textId="77777777" w:rsidR="004C6421" w:rsidRDefault="009D1962">
            <w:pPr>
              <w:pStyle w:val="P68B1DB1-Normal8"/>
              <w:rPr>
                <w:noProof/>
              </w:rPr>
            </w:pPr>
            <w:r>
              <w:rPr>
                <w:noProof/>
              </w:rPr>
              <w:t>Interwencje mające na celu poprawę logistyki w sektorach rolno-spożywczym, rybołówstwa i akwakultury, leśnictwa, kwiaciarstwa i szkółek roślin</w:t>
            </w:r>
          </w:p>
        </w:tc>
        <w:tc>
          <w:tcPr>
            <w:tcW w:w="236" w:type="dxa"/>
            <w:tcBorders>
              <w:top w:val="nil"/>
              <w:left w:val="single" w:sz="8" w:space="0" w:color="auto"/>
              <w:bottom w:val="nil"/>
              <w:right w:val="nil"/>
            </w:tcBorders>
            <w:vAlign w:val="center"/>
          </w:tcPr>
          <w:p w14:paraId="0EAFB88A" w14:textId="77777777" w:rsidR="004C6421" w:rsidRDefault="004C6421">
            <w:pPr>
              <w:rPr>
                <w:noProof/>
              </w:rPr>
            </w:pPr>
          </w:p>
        </w:tc>
      </w:tr>
      <w:tr w:rsidR="004C6421" w14:paraId="10643B78"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5ADA503" w14:textId="77777777" w:rsidR="004C6421" w:rsidRDefault="009D1962">
            <w:pPr>
              <w:pStyle w:val="P68B1DB1-Normal8"/>
              <w:jc w:val="center"/>
              <w:rPr>
                <w:noProof/>
              </w:rPr>
            </w:pPr>
            <w:r>
              <w:rPr>
                <w:noProof/>
              </w:rPr>
              <w:t>M2C1-12</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1A06664" w14:textId="77777777" w:rsidR="004C6421" w:rsidRDefault="009D1962">
            <w:pPr>
              <w:pStyle w:val="P68B1DB1-Normal8"/>
              <w:rPr>
                <w:noProof/>
              </w:rPr>
            </w:pPr>
            <w:r>
              <w:rPr>
                <w:noProof/>
              </w:rPr>
              <w:t>Inwestycja 3.3: Kultura i świadomość w zakresie zagadnień i wyzwań środowiskowych</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184DF60"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17A1F93" w14:textId="77777777" w:rsidR="004C6421" w:rsidRDefault="009D1962">
            <w:pPr>
              <w:pStyle w:val="P68B1DB1-Normal8"/>
              <w:rPr>
                <w:noProof/>
              </w:rPr>
            </w:pPr>
            <w:r>
              <w:rPr>
                <w:noProof/>
              </w:rPr>
              <w:t>Materiały audiowizualne na temat transformacji ekologicznej</w:t>
            </w:r>
          </w:p>
        </w:tc>
        <w:tc>
          <w:tcPr>
            <w:tcW w:w="236" w:type="dxa"/>
            <w:tcBorders>
              <w:top w:val="nil"/>
              <w:left w:val="single" w:sz="8" w:space="0" w:color="auto"/>
              <w:bottom w:val="nil"/>
              <w:right w:val="nil"/>
            </w:tcBorders>
            <w:vAlign w:val="center"/>
          </w:tcPr>
          <w:p w14:paraId="4519F8A2" w14:textId="77777777" w:rsidR="004C6421" w:rsidRDefault="004C6421">
            <w:pPr>
              <w:rPr>
                <w:noProof/>
              </w:rPr>
            </w:pPr>
          </w:p>
        </w:tc>
      </w:tr>
      <w:tr w:rsidR="004C6421" w14:paraId="460B7422"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04A16A6" w14:textId="77777777" w:rsidR="004C6421" w:rsidRDefault="009D1962">
            <w:pPr>
              <w:pStyle w:val="P68B1DB1-Normal8"/>
              <w:jc w:val="center"/>
              <w:rPr>
                <w:noProof/>
              </w:rPr>
            </w:pPr>
            <w:r>
              <w:rPr>
                <w:noProof/>
              </w:rPr>
              <w:t>M2C2-23</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553D703" w14:textId="77777777" w:rsidR="004C6421" w:rsidRDefault="009D1962">
            <w:pPr>
              <w:pStyle w:val="P68B1DB1-Normal8"/>
              <w:rPr>
                <w:noProof/>
              </w:rPr>
            </w:pPr>
            <w:r>
              <w:rPr>
                <w:noProof/>
              </w:rPr>
              <w:t>Inwestycje 4.1 Inwestycje w mobilność miękką (krajowy plan ścieżki cyklu)</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C6C7FE8"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973BDC0" w14:textId="77777777" w:rsidR="004C6421" w:rsidRDefault="009D1962">
            <w:pPr>
              <w:pStyle w:val="P68B1DB1-Normal8"/>
              <w:rPr>
                <w:noProof/>
              </w:rPr>
            </w:pPr>
            <w:r>
              <w:rPr>
                <w:noProof/>
              </w:rPr>
              <w:t>Pasy ruchu rowerowego T2</w:t>
            </w:r>
          </w:p>
        </w:tc>
        <w:tc>
          <w:tcPr>
            <w:tcW w:w="236" w:type="dxa"/>
            <w:tcBorders>
              <w:top w:val="nil"/>
              <w:left w:val="single" w:sz="8" w:space="0" w:color="auto"/>
              <w:bottom w:val="nil"/>
              <w:right w:val="nil"/>
            </w:tcBorders>
            <w:vAlign w:val="center"/>
          </w:tcPr>
          <w:p w14:paraId="784339C0" w14:textId="77777777" w:rsidR="004C6421" w:rsidRDefault="004C6421">
            <w:pPr>
              <w:rPr>
                <w:noProof/>
              </w:rPr>
            </w:pPr>
          </w:p>
        </w:tc>
      </w:tr>
      <w:tr w:rsidR="004C6421" w14:paraId="673BFC04"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0732015" w14:textId="77777777" w:rsidR="004C6421" w:rsidRDefault="009D1962">
            <w:pPr>
              <w:pStyle w:val="P68B1DB1-Normal8"/>
              <w:jc w:val="center"/>
              <w:rPr>
                <w:noProof/>
              </w:rPr>
            </w:pPr>
            <w:r>
              <w:rPr>
                <w:noProof/>
              </w:rPr>
              <w:t>M3C2-5bis</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BA29667" w14:textId="77777777" w:rsidR="004C6421" w:rsidRDefault="009D1962">
            <w:pPr>
              <w:pStyle w:val="P68B1DB1-Normal8"/>
              <w:rPr>
                <w:noProof/>
              </w:rPr>
            </w:pPr>
            <w:r>
              <w:rPr>
                <w:noProof/>
              </w:rPr>
              <w:t>Inwestycje 2.1 – Cyfryzacja łańcucha logistycznego</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770BFEA"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B7F4D52" w14:textId="77777777" w:rsidR="004C6421" w:rsidRDefault="009D1962">
            <w:pPr>
              <w:pStyle w:val="P68B1DB1-Normal8"/>
              <w:rPr>
                <w:noProof/>
              </w:rPr>
            </w:pPr>
            <w:r>
              <w:rPr>
                <w:noProof/>
              </w:rPr>
              <w:t>Cyfryzacja łańcucha logistycznego</w:t>
            </w:r>
          </w:p>
        </w:tc>
        <w:tc>
          <w:tcPr>
            <w:tcW w:w="236" w:type="dxa"/>
            <w:tcBorders>
              <w:top w:val="nil"/>
              <w:left w:val="single" w:sz="8" w:space="0" w:color="auto"/>
              <w:bottom w:val="nil"/>
              <w:right w:val="nil"/>
            </w:tcBorders>
            <w:vAlign w:val="center"/>
          </w:tcPr>
          <w:p w14:paraId="6DC63068" w14:textId="77777777" w:rsidR="004C6421" w:rsidRDefault="004C6421">
            <w:pPr>
              <w:rPr>
                <w:noProof/>
              </w:rPr>
            </w:pPr>
          </w:p>
        </w:tc>
      </w:tr>
      <w:tr w:rsidR="004C6421" w14:paraId="4EEE0B8F"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3401793" w14:textId="77777777" w:rsidR="004C6421" w:rsidRDefault="009D1962">
            <w:pPr>
              <w:pStyle w:val="P68B1DB1-Normal8"/>
              <w:jc w:val="center"/>
              <w:rPr>
                <w:noProof/>
              </w:rPr>
            </w:pPr>
            <w:r>
              <w:rPr>
                <w:noProof/>
              </w:rPr>
              <w:t>M4C1-18</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CD50804" w14:textId="77777777" w:rsidR="004C6421" w:rsidRDefault="009D1962">
            <w:pPr>
              <w:pStyle w:val="P68B1DB1-Normal8"/>
              <w:rPr>
                <w:noProof/>
              </w:rPr>
            </w:pPr>
            <w:r>
              <w:rPr>
                <w:noProof/>
              </w:rPr>
              <w:t>Inwestycje 1.1: Plan dotyczący żłobków i przedszkoli oraz usług wczesnej edukacji i opieki nad dzieckiem</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3A16257"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14668C5" w14:textId="77777777" w:rsidR="004C6421" w:rsidRDefault="009D1962">
            <w:pPr>
              <w:pStyle w:val="P68B1DB1-Normal8"/>
              <w:rPr>
                <w:noProof/>
              </w:rPr>
            </w:pPr>
            <w:r>
              <w:rPr>
                <w:noProof/>
              </w:rPr>
              <w:t>Nowe miejsca dla usług edukacyjnych i usług wczesnej opieki nad dzieckiem (od zera do 6 lat)</w:t>
            </w:r>
          </w:p>
        </w:tc>
        <w:tc>
          <w:tcPr>
            <w:tcW w:w="236" w:type="dxa"/>
            <w:tcBorders>
              <w:top w:val="nil"/>
              <w:left w:val="single" w:sz="8" w:space="0" w:color="auto"/>
              <w:bottom w:val="nil"/>
              <w:right w:val="nil"/>
            </w:tcBorders>
            <w:vAlign w:val="center"/>
          </w:tcPr>
          <w:p w14:paraId="052DF3C9" w14:textId="77777777" w:rsidR="004C6421" w:rsidRDefault="004C6421">
            <w:pPr>
              <w:rPr>
                <w:noProof/>
              </w:rPr>
            </w:pPr>
          </w:p>
        </w:tc>
      </w:tr>
      <w:tr w:rsidR="004C6421" w14:paraId="628F162D"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D3E525D" w14:textId="77777777" w:rsidR="004C6421" w:rsidRDefault="009D1962">
            <w:pPr>
              <w:pStyle w:val="P68B1DB1-Normal8"/>
              <w:jc w:val="center"/>
              <w:rPr>
                <w:noProof/>
              </w:rPr>
            </w:pPr>
            <w:r>
              <w:rPr>
                <w:noProof/>
              </w:rPr>
              <w:t>M4C1-21</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AEA731A" w14:textId="77777777" w:rsidR="004C6421" w:rsidRDefault="009D1962">
            <w:pPr>
              <w:pStyle w:val="P68B1DB1-Normal8"/>
              <w:rPr>
                <w:noProof/>
              </w:rPr>
            </w:pPr>
            <w:r>
              <w:rPr>
                <w:noProof/>
              </w:rPr>
              <w:t>Inwestycje 1.2: Plan przedłużenia pełnego wymiaru czasu pracy</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F4EAAED"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80010F3" w14:textId="77777777" w:rsidR="004C6421" w:rsidRDefault="009D1962">
            <w:pPr>
              <w:pStyle w:val="P68B1DB1-Normal8"/>
              <w:rPr>
                <w:noProof/>
              </w:rPr>
            </w:pPr>
            <w:r>
              <w:rPr>
                <w:noProof/>
              </w:rPr>
              <w:t>Struktury przyjmujące uczniów po zakończeniu nauki szkolnej</w:t>
            </w:r>
          </w:p>
        </w:tc>
        <w:tc>
          <w:tcPr>
            <w:tcW w:w="236" w:type="dxa"/>
            <w:tcBorders>
              <w:top w:val="nil"/>
              <w:left w:val="single" w:sz="8" w:space="0" w:color="auto"/>
              <w:bottom w:val="nil"/>
              <w:right w:val="nil"/>
            </w:tcBorders>
            <w:vAlign w:val="center"/>
          </w:tcPr>
          <w:p w14:paraId="159725BA" w14:textId="77777777" w:rsidR="004C6421" w:rsidRDefault="004C6421">
            <w:pPr>
              <w:rPr>
                <w:noProof/>
              </w:rPr>
            </w:pPr>
          </w:p>
        </w:tc>
      </w:tr>
      <w:tr w:rsidR="004C6421" w14:paraId="02EDE9CB"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652B2BC" w14:textId="77777777" w:rsidR="004C6421" w:rsidRDefault="009D1962">
            <w:pPr>
              <w:pStyle w:val="P68B1DB1-Normal8"/>
              <w:jc w:val="center"/>
              <w:rPr>
                <w:noProof/>
              </w:rPr>
            </w:pPr>
            <w:r>
              <w:rPr>
                <w:noProof/>
              </w:rPr>
              <w:t>M4C1-22</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D9FAFD6" w14:textId="77777777" w:rsidR="004C6421" w:rsidRDefault="009D1962">
            <w:pPr>
              <w:pStyle w:val="P68B1DB1-Normal8"/>
              <w:rPr>
                <w:noProof/>
              </w:rPr>
            </w:pPr>
            <w:r>
              <w:rPr>
                <w:noProof/>
              </w:rPr>
              <w:t>Inwestycja 1.3: Plan poprawy infrastruktury sportowej w szkołach</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22980E8"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D4307CC" w14:textId="77777777" w:rsidR="004C6421" w:rsidRDefault="009D1962">
            <w:pPr>
              <w:pStyle w:val="P68B1DB1-Normal8"/>
              <w:rPr>
                <w:noProof/>
              </w:rPr>
            </w:pPr>
            <w:r>
              <w:rPr>
                <w:noProof/>
              </w:rPr>
              <w:t>SQM wybudowana lub odnowiona jako siłownia lub obiekty sportowe</w:t>
            </w:r>
          </w:p>
        </w:tc>
        <w:tc>
          <w:tcPr>
            <w:tcW w:w="236" w:type="dxa"/>
            <w:tcBorders>
              <w:top w:val="nil"/>
              <w:left w:val="single" w:sz="8" w:space="0" w:color="auto"/>
              <w:bottom w:val="nil"/>
              <w:right w:val="nil"/>
            </w:tcBorders>
            <w:vAlign w:val="center"/>
          </w:tcPr>
          <w:p w14:paraId="5F8EC379" w14:textId="77777777" w:rsidR="004C6421" w:rsidRDefault="004C6421">
            <w:pPr>
              <w:rPr>
                <w:noProof/>
              </w:rPr>
            </w:pPr>
          </w:p>
        </w:tc>
      </w:tr>
      <w:tr w:rsidR="004C6421" w14:paraId="0B7E1AAC"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C2ECA10" w14:textId="77777777" w:rsidR="004C6421" w:rsidRDefault="009D1962">
            <w:pPr>
              <w:pStyle w:val="P68B1DB1-Normal8"/>
              <w:jc w:val="center"/>
              <w:rPr>
                <w:noProof/>
              </w:rPr>
            </w:pPr>
            <w:r>
              <w:rPr>
                <w:noProof/>
              </w:rPr>
              <w:t>M4C1-23</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A0AC64C" w14:textId="77777777" w:rsidR="004C6421" w:rsidRDefault="009D1962">
            <w:pPr>
              <w:pStyle w:val="P68B1DB1-Normal8"/>
              <w:rPr>
                <w:noProof/>
              </w:rPr>
            </w:pPr>
            <w:r>
              <w:rPr>
                <w:noProof/>
              </w:rPr>
              <w:t xml:space="preserve">Inwestycja 3.4: Nauczanie i zaawansowane umiejętności uniwersyteckie </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A660D2D"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81460B3" w14:textId="77777777" w:rsidR="004C6421" w:rsidRDefault="009D1962">
            <w:pPr>
              <w:pStyle w:val="P68B1DB1-Normal8"/>
              <w:rPr>
                <w:noProof/>
              </w:rPr>
            </w:pPr>
            <w:r>
              <w:rPr>
                <w:noProof/>
              </w:rPr>
              <w:t xml:space="preserve">Nowe doktoraty przyznawane na trzy lata w ramach programów poświęconych transformacji cyfrowej i ekologicznej  </w:t>
            </w:r>
          </w:p>
        </w:tc>
        <w:tc>
          <w:tcPr>
            <w:tcW w:w="236" w:type="dxa"/>
            <w:tcBorders>
              <w:top w:val="nil"/>
              <w:left w:val="single" w:sz="8" w:space="0" w:color="auto"/>
              <w:bottom w:val="nil"/>
              <w:right w:val="nil"/>
            </w:tcBorders>
            <w:vAlign w:val="center"/>
          </w:tcPr>
          <w:p w14:paraId="00CE757E" w14:textId="77777777" w:rsidR="004C6421" w:rsidRDefault="004C6421">
            <w:pPr>
              <w:rPr>
                <w:noProof/>
              </w:rPr>
            </w:pPr>
          </w:p>
        </w:tc>
      </w:tr>
      <w:tr w:rsidR="004C6421" w14:paraId="6556C8D9"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FD1FF4A" w14:textId="77777777" w:rsidR="004C6421" w:rsidRDefault="009D1962">
            <w:pPr>
              <w:pStyle w:val="P68B1DB1-Normal8"/>
              <w:jc w:val="center"/>
              <w:rPr>
                <w:noProof/>
              </w:rPr>
            </w:pPr>
            <w:r>
              <w:rPr>
                <w:noProof/>
              </w:rPr>
              <w:t>M4C1-23 bis</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63BB82D" w14:textId="77777777" w:rsidR="004C6421" w:rsidRDefault="009D1962">
            <w:pPr>
              <w:pStyle w:val="P68B1DB1-Normal8"/>
              <w:rPr>
                <w:noProof/>
              </w:rPr>
            </w:pPr>
            <w:r>
              <w:rPr>
                <w:noProof/>
              </w:rPr>
              <w:t xml:space="preserve">Inwestycja 3.4: Nauczanie i zaawansowane umiejętności uniwersyteckie </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C156300" w14:textId="5A085CD2" w:rsidR="004C6421" w:rsidRDefault="00CC179E">
            <w:pPr>
              <w:pStyle w:val="P68B1DB1-Normal8"/>
              <w:jc w:val="center"/>
              <w:rPr>
                <w:noProof/>
              </w:rPr>
            </w:pPr>
            <w:r>
              <w:rPr>
                <w:noProof/>
              </w:rPr>
              <w:t>Milowy</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B83C9DF" w14:textId="77777777" w:rsidR="004C6421" w:rsidRDefault="009D1962">
            <w:pPr>
              <w:pStyle w:val="P68B1DB1-Normal8"/>
              <w:rPr>
                <w:noProof/>
              </w:rPr>
            </w:pPr>
            <w:r>
              <w:rPr>
                <w:noProof/>
              </w:rPr>
              <w:t>Zakończenie realizacji poddziałań „Nauczanie i zaawansowane umiejętności uniwersyteckie”</w:t>
            </w:r>
          </w:p>
        </w:tc>
        <w:tc>
          <w:tcPr>
            <w:tcW w:w="236" w:type="dxa"/>
            <w:tcBorders>
              <w:top w:val="nil"/>
              <w:left w:val="single" w:sz="8" w:space="0" w:color="auto"/>
              <w:bottom w:val="nil"/>
              <w:right w:val="nil"/>
            </w:tcBorders>
            <w:vAlign w:val="center"/>
          </w:tcPr>
          <w:p w14:paraId="19E445CF" w14:textId="77777777" w:rsidR="004C6421" w:rsidRDefault="004C6421">
            <w:pPr>
              <w:rPr>
                <w:noProof/>
              </w:rPr>
            </w:pPr>
          </w:p>
        </w:tc>
      </w:tr>
      <w:tr w:rsidR="004C6421" w14:paraId="6E260870"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D6424F1" w14:textId="77777777" w:rsidR="004C6421" w:rsidRDefault="009D1962">
            <w:pPr>
              <w:pStyle w:val="P68B1DB1-Normal8"/>
              <w:jc w:val="center"/>
              <w:rPr>
                <w:noProof/>
              </w:rPr>
            </w:pPr>
            <w:r>
              <w:rPr>
                <w:noProof/>
              </w:rPr>
              <w:t>M4C1-24</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5EA11E9" w14:textId="77777777" w:rsidR="004C6421" w:rsidRDefault="009D1962">
            <w:pPr>
              <w:pStyle w:val="P68B1DB1-Normal8"/>
              <w:rPr>
                <w:noProof/>
              </w:rPr>
            </w:pPr>
            <w:r>
              <w:rPr>
                <w:noProof/>
              </w:rPr>
              <w:t>Inwestycja 1.6: Aktywna orientacja w przechodzeniu ze szkoły do szkół wyższych.</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FBDE1BF"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28A4EE1" w14:textId="77777777" w:rsidR="004C6421" w:rsidRDefault="009D1962">
            <w:pPr>
              <w:pStyle w:val="P68B1DB1-Normal8"/>
              <w:rPr>
                <w:noProof/>
              </w:rPr>
            </w:pPr>
            <w:r>
              <w:rPr>
                <w:noProof/>
              </w:rPr>
              <w:t>Uczniowie, którzy wzięli udział w kursach przejściowych</w:t>
            </w:r>
          </w:p>
        </w:tc>
        <w:tc>
          <w:tcPr>
            <w:tcW w:w="236" w:type="dxa"/>
            <w:tcBorders>
              <w:top w:val="nil"/>
              <w:left w:val="single" w:sz="8" w:space="0" w:color="auto"/>
              <w:bottom w:val="nil"/>
              <w:right w:val="nil"/>
            </w:tcBorders>
            <w:vAlign w:val="center"/>
          </w:tcPr>
          <w:p w14:paraId="4F00D631" w14:textId="77777777" w:rsidR="004C6421" w:rsidRDefault="004C6421">
            <w:pPr>
              <w:rPr>
                <w:noProof/>
              </w:rPr>
            </w:pPr>
          </w:p>
        </w:tc>
      </w:tr>
      <w:tr w:rsidR="004C6421" w14:paraId="1AE5F9E8"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41EAD71" w14:textId="77777777" w:rsidR="004C6421" w:rsidRDefault="009D1962">
            <w:pPr>
              <w:pStyle w:val="P68B1DB1-Normal8"/>
              <w:jc w:val="center"/>
              <w:rPr>
                <w:noProof/>
              </w:rPr>
            </w:pPr>
            <w:r>
              <w:rPr>
                <w:noProof/>
              </w:rPr>
              <w:t>M4C1-25</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7F0B286" w14:textId="77777777" w:rsidR="004C6421" w:rsidRDefault="009D1962">
            <w:pPr>
              <w:pStyle w:val="P68B1DB1-Normal8"/>
              <w:rPr>
                <w:noProof/>
              </w:rPr>
            </w:pPr>
            <w:r>
              <w:rPr>
                <w:noProof/>
              </w:rPr>
              <w:t>Inwestycje 1.4: Nadzwyczajne działanie mające na celu zmniejszenie różnic terytorialnych w pierwszym i drugim cyklu szkoły średniej oraz rozwiązanie problemu przedwczesnego kończenia nauki</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7FD9CCB"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774D09D" w14:textId="77777777" w:rsidR="004C6421" w:rsidRDefault="009D1962">
            <w:pPr>
              <w:pStyle w:val="P68B1DB1-Normal8"/>
              <w:rPr>
                <w:noProof/>
              </w:rPr>
            </w:pPr>
            <w:r>
              <w:rPr>
                <w:noProof/>
              </w:rPr>
              <w:t>Różnica pod względem odsetka osób przedwcześnie kończących naukę w szkolnictwie średnim</w:t>
            </w:r>
          </w:p>
        </w:tc>
        <w:tc>
          <w:tcPr>
            <w:tcW w:w="236" w:type="dxa"/>
            <w:tcBorders>
              <w:top w:val="nil"/>
              <w:left w:val="single" w:sz="8" w:space="0" w:color="auto"/>
              <w:bottom w:val="nil"/>
              <w:right w:val="nil"/>
            </w:tcBorders>
            <w:vAlign w:val="center"/>
          </w:tcPr>
          <w:p w14:paraId="57741211" w14:textId="77777777" w:rsidR="004C6421" w:rsidRDefault="004C6421">
            <w:pPr>
              <w:rPr>
                <w:noProof/>
              </w:rPr>
            </w:pPr>
          </w:p>
        </w:tc>
      </w:tr>
      <w:tr w:rsidR="004C6421" w14:paraId="7811CD05"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3B10A0F" w14:textId="77777777" w:rsidR="004C6421" w:rsidRDefault="009D1962">
            <w:pPr>
              <w:pStyle w:val="P68B1DB1-Normal8"/>
              <w:jc w:val="center"/>
              <w:rPr>
                <w:noProof/>
              </w:rPr>
            </w:pPr>
            <w:r>
              <w:rPr>
                <w:noProof/>
              </w:rPr>
              <w:t>M4C1-26</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9DB8D95" w14:textId="77777777" w:rsidR="004C6421" w:rsidRDefault="009D1962">
            <w:pPr>
              <w:pStyle w:val="P68B1DB1-Normal8"/>
              <w:rPr>
                <w:noProof/>
              </w:rPr>
            </w:pPr>
            <w:r>
              <w:rPr>
                <w:noProof/>
              </w:rPr>
              <w:t>Inwestycja 3.3: Bezpieczeństwo budynków szkolnych i plan rehabilitacji strukturalnej</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6D36672"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70DEAAB" w14:textId="77777777" w:rsidR="004C6421" w:rsidRDefault="009D1962">
            <w:pPr>
              <w:pStyle w:val="P68B1DB1-Normal8"/>
              <w:rPr>
                <w:noProof/>
              </w:rPr>
            </w:pPr>
            <w:r>
              <w:rPr>
                <w:noProof/>
              </w:rPr>
              <w:t>M2 budynków szkolnych poddanych renowacji</w:t>
            </w:r>
          </w:p>
        </w:tc>
        <w:tc>
          <w:tcPr>
            <w:tcW w:w="236" w:type="dxa"/>
            <w:tcBorders>
              <w:top w:val="nil"/>
              <w:left w:val="single" w:sz="8" w:space="0" w:color="auto"/>
              <w:bottom w:val="nil"/>
              <w:right w:val="nil"/>
            </w:tcBorders>
            <w:vAlign w:val="center"/>
          </w:tcPr>
          <w:p w14:paraId="1BF0985C" w14:textId="77777777" w:rsidR="004C6421" w:rsidRDefault="004C6421">
            <w:pPr>
              <w:rPr>
                <w:noProof/>
              </w:rPr>
            </w:pPr>
          </w:p>
        </w:tc>
      </w:tr>
      <w:tr w:rsidR="004C6421" w14:paraId="5C204471"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DF34395" w14:textId="77777777" w:rsidR="004C6421" w:rsidRDefault="009D1962">
            <w:pPr>
              <w:pStyle w:val="P68B1DB1-Normal8"/>
              <w:jc w:val="center"/>
              <w:rPr>
                <w:noProof/>
              </w:rPr>
            </w:pPr>
            <w:r>
              <w:rPr>
                <w:noProof/>
              </w:rPr>
              <w:t>M5C1-7bis</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8749441" w14:textId="77777777" w:rsidR="004C6421" w:rsidRDefault="009D1962">
            <w:pPr>
              <w:pStyle w:val="P68B1DB1-Normal8"/>
              <w:rPr>
                <w:noProof/>
              </w:rPr>
            </w:pPr>
            <w:r>
              <w:rPr>
                <w:noProof/>
              </w:rPr>
              <w:t xml:space="preserve">Inwestycje 1 – Wzmocnienie publicznych służb zatrudnienia </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B685563"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CA06D4A" w14:textId="77777777" w:rsidR="004C6421" w:rsidRDefault="009D1962">
            <w:pPr>
              <w:pStyle w:val="P68B1DB1-Normal8"/>
              <w:rPr>
                <w:noProof/>
              </w:rPr>
            </w:pPr>
            <w:r>
              <w:rPr>
                <w:noProof/>
              </w:rPr>
              <w:t>Publiczne służby zatrudnienia zakończyły działania przewidziane w planie wzmocnienia</w:t>
            </w:r>
          </w:p>
        </w:tc>
        <w:tc>
          <w:tcPr>
            <w:tcW w:w="236" w:type="dxa"/>
            <w:tcBorders>
              <w:top w:val="nil"/>
              <w:left w:val="single" w:sz="8" w:space="0" w:color="auto"/>
              <w:bottom w:val="nil"/>
              <w:right w:val="nil"/>
            </w:tcBorders>
            <w:vAlign w:val="center"/>
          </w:tcPr>
          <w:p w14:paraId="718D7DCE" w14:textId="77777777" w:rsidR="004C6421" w:rsidRDefault="004C6421">
            <w:pPr>
              <w:rPr>
                <w:noProof/>
              </w:rPr>
            </w:pPr>
          </w:p>
        </w:tc>
      </w:tr>
      <w:tr w:rsidR="004C6421" w14:paraId="7F3683B7"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CEE7F96" w14:textId="77777777" w:rsidR="004C6421" w:rsidRDefault="009D1962">
            <w:pPr>
              <w:pStyle w:val="P68B1DB1-Normal8"/>
              <w:jc w:val="center"/>
              <w:rPr>
                <w:noProof/>
              </w:rPr>
            </w:pPr>
            <w:r>
              <w:rPr>
                <w:noProof/>
              </w:rPr>
              <w:t xml:space="preserve">M5C1-13 </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4A183D8" w14:textId="77777777" w:rsidR="004C6421" w:rsidRDefault="009D1962">
            <w:pPr>
              <w:pStyle w:val="P68B1DB1-Normal8"/>
              <w:rPr>
                <w:noProof/>
              </w:rPr>
            </w:pPr>
            <w:r>
              <w:rPr>
                <w:noProof/>
              </w:rPr>
              <w:t>Inwestycje 2 – System certyfikacji równouprawnienia płci</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34BD3F5"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F0F135B" w14:textId="77777777" w:rsidR="004C6421" w:rsidRDefault="009D1962">
            <w:pPr>
              <w:pStyle w:val="P68B1DB1-Normal8"/>
              <w:rPr>
                <w:noProof/>
              </w:rPr>
            </w:pPr>
            <w:r>
              <w:rPr>
                <w:noProof/>
              </w:rPr>
              <w:t>Przedsiębiorstwa uzyskały certyfikat równości płci</w:t>
            </w:r>
          </w:p>
        </w:tc>
        <w:tc>
          <w:tcPr>
            <w:tcW w:w="236" w:type="dxa"/>
            <w:tcBorders>
              <w:top w:val="nil"/>
              <w:left w:val="single" w:sz="8" w:space="0" w:color="auto"/>
              <w:bottom w:val="nil"/>
              <w:right w:val="nil"/>
            </w:tcBorders>
            <w:vAlign w:val="center"/>
          </w:tcPr>
          <w:p w14:paraId="50664A20" w14:textId="77777777" w:rsidR="004C6421" w:rsidRDefault="004C6421">
            <w:pPr>
              <w:rPr>
                <w:noProof/>
              </w:rPr>
            </w:pPr>
          </w:p>
        </w:tc>
      </w:tr>
      <w:tr w:rsidR="004C6421" w14:paraId="10FC823A"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967F85E" w14:textId="77777777" w:rsidR="004C6421" w:rsidRDefault="009D1962">
            <w:pPr>
              <w:pStyle w:val="P68B1DB1-Normal8"/>
              <w:jc w:val="center"/>
              <w:rPr>
                <w:noProof/>
              </w:rPr>
            </w:pPr>
            <w:r>
              <w:rPr>
                <w:noProof/>
              </w:rPr>
              <w:t>M5C1-14</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4B015C6" w14:textId="77777777" w:rsidR="004C6421" w:rsidRDefault="009D1962">
            <w:pPr>
              <w:pStyle w:val="P68B1DB1-Normal8"/>
              <w:rPr>
                <w:noProof/>
              </w:rPr>
            </w:pPr>
            <w:r>
              <w:rPr>
                <w:noProof/>
              </w:rPr>
              <w:t>Inwestycje 2 – System certyfikacji równouprawnienia płci</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2402ECA"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34FB766" w14:textId="77777777" w:rsidR="004C6421" w:rsidRDefault="009D1962">
            <w:pPr>
              <w:pStyle w:val="P68B1DB1-Normal8"/>
              <w:rPr>
                <w:noProof/>
              </w:rPr>
            </w:pPr>
            <w:r>
              <w:rPr>
                <w:noProof/>
              </w:rPr>
              <w:t>Przedsiębiorstwa wspierane w ramach pomocy technicznej uzyskały certyfikat równości płci</w:t>
            </w:r>
          </w:p>
        </w:tc>
        <w:tc>
          <w:tcPr>
            <w:tcW w:w="236" w:type="dxa"/>
            <w:tcBorders>
              <w:top w:val="nil"/>
              <w:left w:val="single" w:sz="8" w:space="0" w:color="auto"/>
              <w:bottom w:val="nil"/>
              <w:right w:val="nil"/>
            </w:tcBorders>
            <w:vAlign w:val="center"/>
          </w:tcPr>
          <w:p w14:paraId="543BB0DA" w14:textId="77777777" w:rsidR="004C6421" w:rsidRDefault="004C6421">
            <w:pPr>
              <w:rPr>
                <w:noProof/>
              </w:rPr>
            </w:pPr>
          </w:p>
        </w:tc>
      </w:tr>
      <w:tr w:rsidR="004C6421" w14:paraId="0B82E150"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21C952E" w14:textId="77777777" w:rsidR="004C6421" w:rsidRDefault="009D1962">
            <w:pPr>
              <w:pStyle w:val="P68B1DB1-Normal8"/>
              <w:jc w:val="center"/>
              <w:rPr>
                <w:noProof/>
              </w:rPr>
            </w:pPr>
            <w:r>
              <w:rPr>
                <w:noProof/>
              </w:rPr>
              <w:t>M5C1-16</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D93E2B2" w14:textId="77777777" w:rsidR="004C6421" w:rsidRDefault="009D1962">
            <w:pPr>
              <w:pStyle w:val="P68B1DB1-Normal8"/>
              <w:rPr>
                <w:noProof/>
              </w:rPr>
            </w:pPr>
            <w:r>
              <w:rPr>
                <w:noProof/>
              </w:rPr>
              <w:t>Inwestycje 4 – Powszechna Służba Cywilna</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D6CB077"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DBA8AFE" w14:textId="77777777" w:rsidR="004C6421" w:rsidRDefault="009D1962">
            <w:pPr>
              <w:pStyle w:val="P68B1DB1-Normal8"/>
              <w:rPr>
                <w:noProof/>
              </w:rPr>
            </w:pPr>
            <w:r>
              <w:rPr>
                <w:noProof/>
              </w:rPr>
              <w:t>Ludzie uczestniczyli w programie powszechnej służby cywilnej i uzyskali odpowiednią certyfikację w czteroletnim okresie 2021–2024</w:t>
            </w:r>
          </w:p>
        </w:tc>
        <w:tc>
          <w:tcPr>
            <w:tcW w:w="236" w:type="dxa"/>
            <w:tcBorders>
              <w:top w:val="nil"/>
              <w:left w:val="single" w:sz="8" w:space="0" w:color="auto"/>
              <w:bottom w:val="nil"/>
              <w:right w:val="nil"/>
            </w:tcBorders>
            <w:vAlign w:val="center"/>
          </w:tcPr>
          <w:p w14:paraId="1872E9DF" w14:textId="77777777" w:rsidR="004C6421" w:rsidRDefault="004C6421">
            <w:pPr>
              <w:rPr>
                <w:noProof/>
              </w:rPr>
            </w:pPr>
          </w:p>
        </w:tc>
      </w:tr>
      <w:tr w:rsidR="004C6421" w14:paraId="10A16CEE"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70A709C" w14:textId="77777777" w:rsidR="004C6421" w:rsidRDefault="009D1962">
            <w:pPr>
              <w:pStyle w:val="P68B1DB1-Normal8"/>
              <w:jc w:val="center"/>
              <w:rPr>
                <w:noProof/>
              </w:rPr>
            </w:pPr>
            <w:r>
              <w:rPr>
                <w:noProof/>
              </w:rPr>
              <w:t>M5C3-4</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68EF381" w14:textId="77777777" w:rsidR="004C6421" w:rsidRDefault="009D1962">
            <w:pPr>
              <w:pStyle w:val="P68B1DB1-Normal8"/>
              <w:rPr>
                <w:noProof/>
              </w:rPr>
            </w:pPr>
            <w:r>
              <w:rPr>
                <w:noProof/>
              </w:rPr>
              <w:t>Inwestycja 2: Lokalna bliskość placówek opieki zdrowotnej</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52065BE"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6EC079C" w14:textId="77777777" w:rsidR="004C6421" w:rsidRDefault="009D1962">
            <w:pPr>
              <w:pStyle w:val="P68B1DB1-Normal8"/>
              <w:rPr>
                <w:noProof/>
              </w:rPr>
            </w:pPr>
            <w:r>
              <w:rPr>
                <w:noProof/>
              </w:rPr>
              <w:t>Wsparcie dla aptek wiejskich w gminach, osadach lub osiedlach liczących mniej niż 5000 mieszkańców (druga partia)</w:t>
            </w:r>
          </w:p>
        </w:tc>
        <w:tc>
          <w:tcPr>
            <w:tcW w:w="236" w:type="dxa"/>
            <w:tcBorders>
              <w:top w:val="nil"/>
              <w:left w:val="single" w:sz="8" w:space="0" w:color="auto"/>
              <w:bottom w:val="nil"/>
              <w:right w:val="nil"/>
            </w:tcBorders>
            <w:vAlign w:val="center"/>
          </w:tcPr>
          <w:p w14:paraId="37ECC07E" w14:textId="77777777" w:rsidR="004C6421" w:rsidRDefault="004C6421">
            <w:pPr>
              <w:rPr>
                <w:noProof/>
              </w:rPr>
            </w:pPr>
          </w:p>
        </w:tc>
      </w:tr>
      <w:tr w:rsidR="004C6421" w14:paraId="18B58C4F"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BDCA10F" w14:textId="77777777" w:rsidR="004C6421" w:rsidRDefault="009D1962">
            <w:pPr>
              <w:pStyle w:val="P68B1DB1-Normal8"/>
              <w:jc w:val="center"/>
              <w:rPr>
                <w:noProof/>
              </w:rPr>
            </w:pPr>
            <w:r>
              <w:rPr>
                <w:noProof/>
              </w:rPr>
              <w:t>M5C3-9</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A1B7192" w14:textId="77777777" w:rsidR="004C6421" w:rsidRDefault="009D1962">
            <w:pPr>
              <w:pStyle w:val="P68B1DB1-Normal8"/>
              <w:rPr>
                <w:noProof/>
              </w:rPr>
            </w:pPr>
            <w:r>
              <w:rPr>
                <w:noProof/>
              </w:rPr>
              <w:t>Inwestycje1.3: Zorganizowane interwencje społeczno-edukacyjne mające na celu zwalczanie ubóstwa edukacyjnego na południu, wspierające trzeci sektor</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9E0E5EE"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3E1808E" w14:textId="77777777" w:rsidR="004C6421" w:rsidRDefault="009D1962">
            <w:pPr>
              <w:pStyle w:val="P68B1DB1-Normal8"/>
              <w:rPr>
                <w:noProof/>
              </w:rPr>
            </w:pPr>
            <w:r>
              <w:rPr>
                <w:noProof/>
              </w:rPr>
              <w:t>Wsparcie edukacyjne dla małoletnich (druga partia)</w:t>
            </w:r>
          </w:p>
        </w:tc>
        <w:tc>
          <w:tcPr>
            <w:tcW w:w="236" w:type="dxa"/>
            <w:tcBorders>
              <w:top w:val="nil"/>
              <w:left w:val="single" w:sz="8" w:space="0" w:color="auto"/>
              <w:bottom w:val="nil"/>
              <w:right w:val="nil"/>
            </w:tcBorders>
            <w:vAlign w:val="center"/>
          </w:tcPr>
          <w:p w14:paraId="4D0D77B0" w14:textId="77777777" w:rsidR="004C6421" w:rsidRDefault="004C6421">
            <w:pPr>
              <w:rPr>
                <w:noProof/>
              </w:rPr>
            </w:pPr>
          </w:p>
        </w:tc>
      </w:tr>
      <w:tr w:rsidR="004C6421" w14:paraId="17D0A3F6"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7D45F5C" w14:textId="77777777" w:rsidR="004C6421" w:rsidRDefault="009D1962">
            <w:pPr>
              <w:pStyle w:val="P68B1DB1-Normal8"/>
              <w:jc w:val="center"/>
              <w:rPr>
                <w:noProof/>
              </w:rPr>
            </w:pPr>
            <w:r>
              <w:rPr>
                <w:noProof/>
              </w:rPr>
              <w:t>M7-11</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95B09C9" w14:textId="77777777" w:rsidR="004C6421" w:rsidRDefault="009D1962">
            <w:pPr>
              <w:pStyle w:val="P68B1DB1-Normal8"/>
              <w:rPr>
                <w:noProof/>
              </w:rPr>
            </w:pPr>
            <w:r>
              <w:rPr>
                <w:noProof/>
              </w:rPr>
              <w:t>Inwestycja 1: Działanie na rzecz zwiększenia skali: Wzmocnienie inteligentnych sieci</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4935B28"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41CE02E" w14:textId="77777777" w:rsidR="004C6421" w:rsidRDefault="009D1962">
            <w:pPr>
              <w:pStyle w:val="P68B1DB1-Normal8"/>
              <w:rPr>
                <w:noProof/>
              </w:rPr>
            </w:pPr>
            <w:r>
              <w:rPr>
                <w:noProof/>
              </w:rPr>
              <w:t>Inteligentne sieci – elektryfikacja zużycia energii</w:t>
            </w:r>
          </w:p>
        </w:tc>
        <w:tc>
          <w:tcPr>
            <w:tcW w:w="236" w:type="dxa"/>
            <w:tcBorders>
              <w:top w:val="nil"/>
              <w:left w:val="single" w:sz="8" w:space="0" w:color="auto"/>
              <w:bottom w:val="nil"/>
              <w:right w:val="nil"/>
            </w:tcBorders>
            <w:vAlign w:val="center"/>
          </w:tcPr>
          <w:p w14:paraId="32D1059A" w14:textId="77777777" w:rsidR="004C6421" w:rsidRDefault="004C6421">
            <w:pPr>
              <w:rPr>
                <w:noProof/>
              </w:rPr>
            </w:pPr>
          </w:p>
        </w:tc>
      </w:tr>
      <w:tr w:rsidR="004C6421" w14:paraId="45A42273"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A2EE4FE" w14:textId="77777777" w:rsidR="004C6421" w:rsidRDefault="009D1962">
            <w:pPr>
              <w:pStyle w:val="P68B1DB1-Normal8"/>
              <w:jc w:val="center"/>
              <w:rPr>
                <w:noProof/>
              </w:rPr>
            </w:pPr>
            <w:r>
              <w:rPr>
                <w:noProof/>
              </w:rPr>
              <w:t>M7-12</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413A8D5" w14:textId="77777777" w:rsidR="004C6421" w:rsidRDefault="009D1962">
            <w:pPr>
              <w:pStyle w:val="P68B1DB1-Normal8"/>
              <w:rPr>
                <w:noProof/>
              </w:rPr>
            </w:pPr>
            <w:r>
              <w:rPr>
                <w:noProof/>
              </w:rPr>
              <w:t>Inwestycja 2: Działanie na rzecz zwiększenia skali: Interwencje mające na celu zwiększenie odporności sieci elektroenergetycznej</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140D4EF"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F35C1B2" w14:textId="77777777" w:rsidR="004C6421" w:rsidRDefault="009D1962">
            <w:pPr>
              <w:pStyle w:val="P68B1DB1-Normal8"/>
              <w:rPr>
                <w:noProof/>
              </w:rPr>
            </w:pPr>
            <w:r>
              <w:rPr>
                <w:noProof/>
              </w:rPr>
              <w:t>Zwiększenie odporności sieci elektroenergetycznej</w:t>
            </w:r>
          </w:p>
        </w:tc>
        <w:tc>
          <w:tcPr>
            <w:tcW w:w="236" w:type="dxa"/>
            <w:tcBorders>
              <w:top w:val="nil"/>
              <w:left w:val="single" w:sz="8" w:space="0" w:color="auto"/>
              <w:bottom w:val="nil"/>
              <w:right w:val="nil"/>
            </w:tcBorders>
            <w:vAlign w:val="center"/>
          </w:tcPr>
          <w:p w14:paraId="2C54A0A8" w14:textId="77777777" w:rsidR="004C6421" w:rsidRDefault="004C6421">
            <w:pPr>
              <w:rPr>
                <w:noProof/>
              </w:rPr>
            </w:pPr>
          </w:p>
        </w:tc>
      </w:tr>
      <w:tr w:rsidR="004C6421" w14:paraId="6082BAE9"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4CA7250" w14:textId="77777777" w:rsidR="004C6421" w:rsidRDefault="009D1962">
            <w:pPr>
              <w:pStyle w:val="P68B1DB1-Normal8"/>
              <w:jc w:val="center"/>
              <w:rPr>
                <w:noProof/>
              </w:rPr>
            </w:pPr>
            <w:r>
              <w:rPr>
                <w:noProof/>
              </w:rPr>
              <w:t>M7-13</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5904D6B" w14:textId="77777777" w:rsidR="004C6421" w:rsidRDefault="009D1962">
            <w:pPr>
              <w:pStyle w:val="P68B1DB1-Normal8"/>
              <w:rPr>
                <w:noProof/>
              </w:rPr>
            </w:pPr>
            <w:r>
              <w:rPr>
                <w:noProof/>
              </w:rPr>
              <w:t>Inwestycja 3: Działanie na rzecz zwiększenia skali: Produkcja wodoru na terenach zdegradowanych (Hydrogen Valleys)</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BF6B9FE"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34A20FD" w14:textId="77777777" w:rsidR="004C6421" w:rsidRDefault="009D1962">
            <w:pPr>
              <w:pStyle w:val="P68B1DB1-Normal8"/>
              <w:rPr>
                <w:noProof/>
              </w:rPr>
            </w:pPr>
            <w:r>
              <w:rPr>
                <w:noProof/>
              </w:rPr>
              <w:t>Zakończenie projektu dotyczącego produkcji wodoru na obszarach przemysłowych</w:t>
            </w:r>
          </w:p>
        </w:tc>
        <w:tc>
          <w:tcPr>
            <w:tcW w:w="236" w:type="dxa"/>
            <w:tcBorders>
              <w:top w:val="nil"/>
              <w:left w:val="single" w:sz="8" w:space="0" w:color="auto"/>
              <w:bottom w:val="nil"/>
              <w:right w:val="nil"/>
            </w:tcBorders>
            <w:vAlign w:val="center"/>
          </w:tcPr>
          <w:p w14:paraId="3DE049F9" w14:textId="77777777" w:rsidR="004C6421" w:rsidRDefault="004C6421">
            <w:pPr>
              <w:rPr>
                <w:noProof/>
              </w:rPr>
            </w:pPr>
          </w:p>
        </w:tc>
      </w:tr>
      <w:tr w:rsidR="004C6421" w14:paraId="6F103E9B"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249543D" w14:textId="77777777" w:rsidR="004C6421" w:rsidRDefault="009D1962">
            <w:pPr>
              <w:pStyle w:val="P68B1DB1-Normal8"/>
              <w:jc w:val="center"/>
              <w:rPr>
                <w:noProof/>
              </w:rPr>
            </w:pPr>
            <w:r>
              <w:rPr>
                <w:noProof/>
              </w:rPr>
              <w:t>M7-15</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231689A" w14:textId="77777777" w:rsidR="004C6421" w:rsidRDefault="009D1962">
            <w:pPr>
              <w:pStyle w:val="P68B1DB1-Normal8"/>
              <w:rPr>
                <w:noProof/>
              </w:rPr>
            </w:pPr>
            <w:r>
              <w:rPr>
                <w:noProof/>
              </w:rPr>
              <w:t>Inwestycja 4: Link Tyrreński</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C869783"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26F65F1" w14:textId="77777777" w:rsidR="004C6421" w:rsidRDefault="009D1962">
            <w:pPr>
              <w:pStyle w:val="P68B1DB1-Normal8"/>
              <w:rPr>
                <w:noProof/>
              </w:rPr>
            </w:pPr>
            <w:r>
              <w:rPr>
                <w:noProof/>
              </w:rPr>
              <w:t>514 km umieszczonego kabla</w:t>
            </w:r>
          </w:p>
        </w:tc>
        <w:tc>
          <w:tcPr>
            <w:tcW w:w="236" w:type="dxa"/>
            <w:tcBorders>
              <w:top w:val="nil"/>
              <w:left w:val="single" w:sz="8" w:space="0" w:color="auto"/>
              <w:bottom w:val="nil"/>
              <w:right w:val="nil"/>
            </w:tcBorders>
            <w:vAlign w:val="center"/>
          </w:tcPr>
          <w:p w14:paraId="76A690DC" w14:textId="77777777" w:rsidR="004C6421" w:rsidRDefault="004C6421">
            <w:pPr>
              <w:rPr>
                <w:noProof/>
              </w:rPr>
            </w:pPr>
          </w:p>
        </w:tc>
      </w:tr>
      <w:tr w:rsidR="004C6421" w14:paraId="2EF99720"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D3EB5B8" w14:textId="77777777" w:rsidR="004C6421" w:rsidRDefault="009D1962">
            <w:pPr>
              <w:pStyle w:val="P68B1DB1-Normal8"/>
              <w:jc w:val="center"/>
              <w:rPr>
                <w:noProof/>
              </w:rPr>
            </w:pPr>
            <w:r>
              <w:rPr>
                <w:noProof/>
              </w:rPr>
              <w:t>M7-17</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9CE45F6" w14:textId="77777777" w:rsidR="004C6421" w:rsidRDefault="009D1962">
            <w:pPr>
              <w:pStyle w:val="P68B1DB1-Normal8"/>
              <w:rPr>
                <w:noProof/>
              </w:rPr>
            </w:pPr>
            <w:r>
              <w:rPr>
                <w:noProof/>
              </w:rPr>
              <w:t>Inwestycja 5: SA.CO.I.3</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95EBA59" w14:textId="0DDDD74F" w:rsidR="004C6421" w:rsidRDefault="00CC179E">
            <w:pPr>
              <w:pStyle w:val="P68B1DB1-Normal8"/>
              <w:jc w:val="center"/>
              <w:rPr>
                <w:noProof/>
              </w:rPr>
            </w:pPr>
            <w:r>
              <w:rPr>
                <w:noProof/>
              </w:rPr>
              <w:t>Milowy</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21FA2DB" w14:textId="77777777" w:rsidR="004C6421" w:rsidRDefault="009D1962">
            <w:pPr>
              <w:pStyle w:val="P68B1DB1-Normal8"/>
              <w:rPr>
                <w:noProof/>
              </w:rPr>
            </w:pPr>
            <w:r>
              <w:rPr>
                <w:noProof/>
              </w:rPr>
              <w:t>Zakończenie budowy muszli stacji konwersji na Sardynii (Codrongianos) i Toskanii (Suvereto)</w:t>
            </w:r>
          </w:p>
        </w:tc>
        <w:tc>
          <w:tcPr>
            <w:tcW w:w="236" w:type="dxa"/>
            <w:tcBorders>
              <w:top w:val="nil"/>
              <w:left w:val="single" w:sz="8" w:space="0" w:color="auto"/>
              <w:bottom w:val="nil"/>
              <w:right w:val="nil"/>
            </w:tcBorders>
            <w:vAlign w:val="center"/>
          </w:tcPr>
          <w:p w14:paraId="62B759B6" w14:textId="77777777" w:rsidR="004C6421" w:rsidRDefault="004C6421">
            <w:pPr>
              <w:rPr>
                <w:noProof/>
              </w:rPr>
            </w:pPr>
          </w:p>
        </w:tc>
      </w:tr>
      <w:tr w:rsidR="004C6421" w14:paraId="2D75CA9B"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82771B4" w14:textId="77777777" w:rsidR="004C6421" w:rsidRDefault="009D1962">
            <w:pPr>
              <w:pStyle w:val="P68B1DB1-Normal8"/>
              <w:jc w:val="center"/>
              <w:rPr>
                <w:noProof/>
              </w:rPr>
            </w:pPr>
            <w:r>
              <w:rPr>
                <w:noProof/>
              </w:rPr>
              <w:t>M7-19</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C41E061" w14:textId="77777777" w:rsidR="004C6421" w:rsidRDefault="009D1962">
            <w:pPr>
              <w:pStyle w:val="P68B1DB1-Normal8"/>
              <w:rPr>
                <w:noProof/>
              </w:rPr>
            </w:pPr>
            <w:r>
              <w:rPr>
                <w:noProof/>
              </w:rPr>
              <w:t>Inwestycja 6: Projekty dotyczące transgranicznych elektroenergetycznych połączeń międzysystemowych między Włochami a krajami sąsiadującymi</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649C8D8"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7AAFDFB" w14:textId="77777777" w:rsidR="004C6421" w:rsidRDefault="009D1962">
            <w:pPr>
              <w:pStyle w:val="P68B1DB1-Normal8"/>
              <w:rPr>
                <w:noProof/>
              </w:rPr>
            </w:pPr>
            <w:r>
              <w:rPr>
                <w:noProof/>
              </w:rPr>
              <w:t>Zwiększenie nominalnej zdolności połączeń międzysystemowych między Włochami a Austrią w wyniku ukończenia połączenia wzajemnego</w:t>
            </w:r>
          </w:p>
        </w:tc>
        <w:tc>
          <w:tcPr>
            <w:tcW w:w="236" w:type="dxa"/>
            <w:tcBorders>
              <w:top w:val="nil"/>
              <w:left w:val="single" w:sz="8" w:space="0" w:color="auto"/>
              <w:bottom w:val="nil"/>
              <w:right w:val="nil"/>
            </w:tcBorders>
            <w:vAlign w:val="center"/>
          </w:tcPr>
          <w:p w14:paraId="35DE5529" w14:textId="77777777" w:rsidR="004C6421" w:rsidRDefault="004C6421">
            <w:pPr>
              <w:rPr>
                <w:noProof/>
              </w:rPr>
            </w:pPr>
          </w:p>
        </w:tc>
      </w:tr>
      <w:tr w:rsidR="004C6421" w14:paraId="59EEF60C"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AEA6571" w14:textId="77777777" w:rsidR="004C6421" w:rsidRDefault="009D1962">
            <w:pPr>
              <w:pStyle w:val="P68B1DB1-Normal8"/>
              <w:jc w:val="center"/>
              <w:rPr>
                <w:noProof/>
              </w:rPr>
            </w:pPr>
            <w:r>
              <w:rPr>
                <w:noProof/>
              </w:rPr>
              <w:t>M7-22</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D425E51" w14:textId="77777777" w:rsidR="004C6421" w:rsidRDefault="009D1962">
            <w:pPr>
              <w:pStyle w:val="P68B1DB1-Normal8"/>
              <w:rPr>
                <w:noProof/>
              </w:rPr>
            </w:pPr>
            <w:r>
              <w:rPr>
                <w:noProof/>
              </w:rPr>
              <w:t>Inwestycja 7: Inteligentna krajowa sieć przesyłowa</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6292117"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2E75D20" w14:textId="77777777" w:rsidR="004C6421" w:rsidRDefault="009D1962">
            <w:pPr>
              <w:pStyle w:val="P68B1DB1-Normal8"/>
              <w:rPr>
                <w:noProof/>
              </w:rPr>
            </w:pPr>
            <w:r>
              <w:rPr>
                <w:noProof/>
              </w:rPr>
              <w:t>Instalacja sprzętu 5G lub architektury ICT na stacjach</w:t>
            </w:r>
          </w:p>
        </w:tc>
        <w:tc>
          <w:tcPr>
            <w:tcW w:w="236" w:type="dxa"/>
            <w:tcBorders>
              <w:top w:val="nil"/>
              <w:left w:val="single" w:sz="8" w:space="0" w:color="auto"/>
              <w:bottom w:val="nil"/>
              <w:right w:val="nil"/>
            </w:tcBorders>
            <w:vAlign w:val="center"/>
          </w:tcPr>
          <w:p w14:paraId="10EC7270" w14:textId="77777777" w:rsidR="004C6421" w:rsidRDefault="004C6421">
            <w:pPr>
              <w:rPr>
                <w:noProof/>
              </w:rPr>
            </w:pPr>
          </w:p>
        </w:tc>
      </w:tr>
      <w:tr w:rsidR="004C6421" w14:paraId="082AC33F"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F620F83" w14:textId="77777777" w:rsidR="004C6421" w:rsidRDefault="009D1962">
            <w:pPr>
              <w:pStyle w:val="P68B1DB1-Normal8"/>
              <w:jc w:val="center"/>
              <w:rPr>
                <w:noProof/>
              </w:rPr>
            </w:pPr>
            <w:r>
              <w:rPr>
                <w:noProof/>
              </w:rPr>
              <w:t>M7-23</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FF9F6AC" w14:textId="77777777" w:rsidR="004C6421" w:rsidRDefault="009D1962">
            <w:pPr>
              <w:pStyle w:val="P68B1DB1-Normal8"/>
              <w:rPr>
                <w:noProof/>
              </w:rPr>
            </w:pPr>
            <w:r>
              <w:rPr>
                <w:noProof/>
              </w:rPr>
              <w:t>Inwestycja 7: Inteligentna krajowa sieć przesyłowa</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378F569"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26B7736" w14:textId="77777777" w:rsidR="004C6421" w:rsidRDefault="009D1962">
            <w:pPr>
              <w:pStyle w:val="P68B1DB1-Normal8"/>
              <w:rPr>
                <w:noProof/>
              </w:rPr>
            </w:pPr>
            <w:r>
              <w:rPr>
                <w:noProof/>
              </w:rPr>
              <w:t>Nowy system zarządzania i kontroli sieci</w:t>
            </w:r>
          </w:p>
        </w:tc>
        <w:tc>
          <w:tcPr>
            <w:tcW w:w="236" w:type="dxa"/>
            <w:tcBorders>
              <w:top w:val="nil"/>
              <w:left w:val="single" w:sz="8" w:space="0" w:color="auto"/>
              <w:bottom w:val="nil"/>
              <w:right w:val="nil"/>
            </w:tcBorders>
            <w:vAlign w:val="center"/>
          </w:tcPr>
          <w:p w14:paraId="1FC94A0E" w14:textId="77777777" w:rsidR="004C6421" w:rsidRDefault="004C6421">
            <w:pPr>
              <w:rPr>
                <w:noProof/>
              </w:rPr>
            </w:pPr>
          </w:p>
        </w:tc>
      </w:tr>
      <w:tr w:rsidR="004C6421" w14:paraId="4C4E8F24"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B90F84A" w14:textId="77777777" w:rsidR="004C6421" w:rsidRDefault="009D1962">
            <w:pPr>
              <w:pStyle w:val="P68B1DB1-Normal8"/>
              <w:jc w:val="center"/>
              <w:rPr>
                <w:noProof/>
              </w:rPr>
            </w:pPr>
            <w:r>
              <w:rPr>
                <w:noProof/>
              </w:rPr>
              <w:t>M7-24</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39215C3" w14:textId="77777777" w:rsidR="004C6421" w:rsidRDefault="009D1962">
            <w:pPr>
              <w:pStyle w:val="P68B1DB1-Normal8"/>
              <w:rPr>
                <w:noProof/>
              </w:rPr>
            </w:pPr>
            <w:r>
              <w:rPr>
                <w:noProof/>
              </w:rPr>
              <w:t>Inwestycja 7: Inteligentna krajowa sieć przesyłowa</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6599C74" w14:textId="77777777" w:rsidR="004C6421" w:rsidRDefault="009D1962">
            <w:pPr>
              <w:pStyle w:val="P68B1DB1-Normal8"/>
              <w:jc w:val="center"/>
              <w:rPr>
                <w:noProof/>
              </w:rPr>
            </w:pPr>
            <w:r>
              <w:rPr>
                <w:noProof/>
              </w:rPr>
              <w:t xml:space="preserve">Cel </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6D3D3FA" w14:textId="77777777" w:rsidR="004C6421" w:rsidRDefault="009D1962">
            <w:pPr>
              <w:pStyle w:val="P68B1DB1-Normal8"/>
              <w:rPr>
                <w:noProof/>
              </w:rPr>
            </w:pPr>
            <w:r>
              <w:rPr>
                <w:noProof/>
              </w:rPr>
              <w:t>Przemysłowy internet rzeczy</w:t>
            </w:r>
          </w:p>
        </w:tc>
        <w:tc>
          <w:tcPr>
            <w:tcW w:w="236" w:type="dxa"/>
            <w:tcBorders>
              <w:top w:val="nil"/>
              <w:left w:val="single" w:sz="8" w:space="0" w:color="auto"/>
              <w:bottom w:val="nil"/>
              <w:right w:val="nil"/>
            </w:tcBorders>
            <w:vAlign w:val="center"/>
          </w:tcPr>
          <w:p w14:paraId="7777DC62" w14:textId="77777777" w:rsidR="004C6421" w:rsidRDefault="004C6421">
            <w:pPr>
              <w:rPr>
                <w:noProof/>
              </w:rPr>
            </w:pPr>
          </w:p>
        </w:tc>
      </w:tr>
      <w:tr w:rsidR="004C6421" w14:paraId="6ED5AB37"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CD63583" w14:textId="77777777" w:rsidR="004C6421" w:rsidRDefault="009D1962">
            <w:pPr>
              <w:pStyle w:val="P68B1DB1-Normal8"/>
              <w:jc w:val="center"/>
              <w:rPr>
                <w:noProof/>
              </w:rPr>
            </w:pPr>
            <w:r>
              <w:rPr>
                <w:noProof/>
              </w:rPr>
              <w:t>M7-27</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0CFCFD6" w14:textId="77777777" w:rsidR="004C6421" w:rsidRDefault="009D1962">
            <w:pPr>
              <w:pStyle w:val="P68B1DB1-Normal8"/>
              <w:rPr>
                <w:noProof/>
              </w:rPr>
            </w:pPr>
            <w:r>
              <w:rPr>
                <w:noProof/>
              </w:rPr>
              <w:t>Inwestycja 8: Zrównoważone, o obiegu zamkniętym i bezpieczne dostawy surowców krytycznych</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F651849" w14:textId="77777777" w:rsidR="004C6421" w:rsidRDefault="009D1962">
            <w:pPr>
              <w:pStyle w:val="P68B1DB1-Normal8"/>
              <w:jc w:val="center"/>
              <w:rPr>
                <w:noProof/>
              </w:rPr>
            </w:pPr>
            <w:r>
              <w:rPr>
                <w:noProof/>
              </w:rPr>
              <w:t xml:space="preserve">Cel </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46196AA" w14:textId="77777777" w:rsidR="004C6421" w:rsidRDefault="009D1962">
            <w:pPr>
              <w:pStyle w:val="P68B1DB1-Normal8"/>
              <w:rPr>
                <w:noProof/>
              </w:rPr>
            </w:pPr>
            <w:r>
              <w:rPr>
                <w:noProof/>
              </w:rPr>
              <w:t>Zakończenie projektów badawczo-rozwojowych dotyczących ekoprojektu i górnictwa miejskiego na rzecz zrównoważonych, opartych na obiegu zamkniętym i bezpiecznych dostaw surowców krytycznych</w:t>
            </w:r>
          </w:p>
        </w:tc>
        <w:tc>
          <w:tcPr>
            <w:tcW w:w="236" w:type="dxa"/>
            <w:tcBorders>
              <w:top w:val="nil"/>
              <w:left w:val="single" w:sz="8" w:space="0" w:color="auto"/>
              <w:bottom w:val="nil"/>
              <w:right w:val="nil"/>
            </w:tcBorders>
            <w:vAlign w:val="center"/>
          </w:tcPr>
          <w:p w14:paraId="0EDDD233" w14:textId="77777777" w:rsidR="004C6421" w:rsidRDefault="004C6421">
            <w:pPr>
              <w:rPr>
                <w:noProof/>
              </w:rPr>
            </w:pPr>
          </w:p>
        </w:tc>
      </w:tr>
      <w:tr w:rsidR="004C6421" w14:paraId="326ED4B6"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6166222" w14:textId="77777777" w:rsidR="004C6421" w:rsidRDefault="009D1962">
            <w:pPr>
              <w:pStyle w:val="P68B1DB1-Normal8"/>
              <w:jc w:val="center"/>
              <w:rPr>
                <w:noProof/>
              </w:rPr>
            </w:pPr>
            <w:r>
              <w:rPr>
                <w:noProof/>
              </w:rPr>
              <w:t>M7-28</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3BF5D48" w14:textId="77777777" w:rsidR="004C6421" w:rsidRDefault="009D1962">
            <w:pPr>
              <w:pStyle w:val="P68B1DB1-Normal8"/>
              <w:rPr>
                <w:noProof/>
              </w:rPr>
            </w:pPr>
            <w:r>
              <w:rPr>
                <w:noProof/>
              </w:rPr>
              <w:t>Inwestycja 8: Zrównoważone, o obiegu zamkniętym i bezpieczne dostawy surowców krytycznych</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F6A966F"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719DCCC" w14:textId="77777777" w:rsidR="004C6421" w:rsidRDefault="009D1962">
            <w:pPr>
              <w:pStyle w:val="P68B1DB1-Normal8"/>
              <w:rPr>
                <w:noProof/>
              </w:rPr>
            </w:pPr>
            <w:r>
              <w:rPr>
                <w:noProof/>
              </w:rPr>
              <w:t>Wyposażenie laboratoriów należących do centrum technologicznego górnictwa miejskiego i ekoprojektu</w:t>
            </w:r>
          </w:p>
        </w:tc>
        <w:tc>
          <w:tcPr>
            <w:tcW w:w="236" w:type="dxa"/>
            <w:tcBorders>
              <w:top w:val="nil"/>
              <w:left w:val="single" w:sz="8" w:space="0" w:color="auto"/>
              <w:bottom w:val="nil"/>
              <w:right w:val="nil"/>
            </w:tcBorders>
            <w:vAlign w:val="center"/>
          </w:tcPr>
          <w:p w14:paraId="063821A1" w14:textId="77777777" w:rsidR="004C6421" w:rsidRDefault="004C6421">
            <w:pPr>
              <w:rPr>
                <w:noProof/>
              </w:rPr>
            </w:pPr>
          </w:p>
        </w:tc>
      </w:tr>
      <w:tr w:rsidR="004C6421" w14:paraId="10CEA818"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0E31EEF" w14:textId="77777777" w:rsidR="004C6421" w:rsidRDefault="009D1962">
            <w:pPr>
              <w:pStyle w:val="P68B1DB1-Normal8"/>
              <w:jc w:val="center"/>
              <w:rPr>
                <w:noProof/>
              </w:rPr>
            </w:pPr>
            <w:r>
              <w:rPr>
                <w:noProof/>
              </w:rPr>
              <w:t>M7-29</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426A858" w14:textId="77777777" w:rsidR="004C6421" w:rsidRDefault="009D1962">
            <w:pPr>
              <w:pStyle w:val="P68B1DB1-Normal8"/>
              <w:rPr>
                <w:noProof/>
              </w:rPr>
            </w:pPr>
            <w:r>
              <w:rPr>
                <w:noProof/>
              </w:rPr>
              <w:t>Inwestycja 9: Działanie na rzecz zwiększenia skali: Zapewnienie pomocy technicznej i wzmocnienie budowania zdolności na potrzeby realizacji włoskiego planu odbudowy i zwiększania odporności</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A14F290"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0AA59CC" w14:textId="77777777" w:rsidR="004C6421" w:rsidRDefault="009D1962">
            <w:pPr>
              <w:pStyle w:val="P68B1DB1-Normal8"/>
              <w:rPr>
                <w:noProof/>
              </w:rPr>
            </w:pPr>
            <w:r>
              <w:rPr>
                <w:noProof/>
              </w:rPr>
              <w:t>Kształcenie i szkolenie</w:t>
            </w:r>
          </w:p>
        </w:tc>
        <w:tc>
          <w:tcPr>
            <w:tcW w:w="236" w:type="dxa"/>
            <w:tcBorders>
              <w:top w:val="nil"/>
              <w:left w:val="single" w:sz="8" w:space="0" w:color="auto"/>
              <w:bottom w:val="nil"/>
              <w:right w:val="nil"/>
            </w:tcBorders>
            <w:vAlign w:val="center"/>
          </w:tcPr>
          <w:p w14:paraId="5243DEFE" w14:textId="77777777" w:rsidR="004C6421" w:rsidRDefault="004C6421">
            <w:pPr>
              <w:rPr>
                <w:noProof/>
              </w:rPr>
            </w:pPr>
          </w:p>
        </w:tc>
      </w:tr>
      <w:tr w:rsidR="004C6421" w14:paraId="7A17DC80"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31350D2" w14:textId="77777777" w:rsidR="004C6421" w:rsidRDefault="009D1962">
            <w:pPr>
              <w:pStyle w:val="P68B1DB1-Normal8"/>
              <w:jc w:val="center"/>
              <w:rPr>
                <w:noProof/>
              </w:rPr>
            </w:pPr>
            <w:r>
              <w:rPr>
                <w:noProof/>
              </w:rPr>
              <w:t>M7-31</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71079A7" w14:textId="77777777" w:rsidR="004C6421" w:rsidRDefault="009D1962">
            <w:pPr>
              <w:pStyle w:val="P68B1DB1-Normal8"/>
              <w:rPr>
                <w:noProof/>
              </w:rPr>
            </w:pPr>
            <w:r>
              <w:rPr>
                <w:noProof/>
              </w:rPr>
              <w:t>Inwestycja 11:  Wzmocnienie regionalnego taboru kolejowego transportu publicznego z pociągami bezemisyjnymi i usługą powszechną</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E17F50D"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820D775" w14:textId="77777777" w:rsidR="004C6421" w:rsidRDefault="009D1962">
            <w:pPr>
              <w:pStyle w:val="P68B1DB1-Normal8"/>
              <w:rPr>
                <w:noProof/>
              </w:rPr>
            </w:pPr>
            <w:r>
              <w:rPr>
                <w:noProof/>
              </w:rPr>
              <w:t xml:space="preserve">Liczba pociągów zeroemisyjnych i liczba przewozów w ramach usługi powszechnej </w:t>
            </w:r>
          </w:p>
        </w:tc>
        <w:tc>
          <w:tcPr>
            <w:tcW w:w="236" w:type="dxa"/>
            <w:tcBorders>
              <w:top w:val="nil"/>
              <w:left w:val="single" w:sz="8" w:space="0" w:color="auto"/>
              <w:bottom w:val="nil"/>
              <w:right w:val="nil"/>
            </w:tcBorders>
            <w:vAlign w:val="center"/>
          </w:tcPr>
          <w:p w14:paraId="6EF64DE9" w14:textId="77777777" w:rsidR="004C6421" w:rsidRDefault="004C6421">
            <w:pPr>
              <w:rPr>
                <w:noProof/>
              </w:rPr>
            </w:pPr>
          </w:p>
        </w:tc>
      </w:tr>
      <w:tr w:rsidR="004C6421" w14:paraId="66306CD8"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0731A42" w14:textId="77777777" w:rsidR="004C6421" w:rsidRDefault="009D1962">
            <w:pPr>
              <w:pStyle w:val="P68B1DB1-Normal8"/>
              <w:jc w:val="center"/>
              <w:rPr>
                <w:noProof/>
              </w:rPr>
            </w:pPr>
            <w:r>
              <w:rPr>
                <w:noProof/>
              </w:rPr>
              <w:t>M1C2-14ter</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AC2FDE9" w14:textId="77777777" w:rsidR="004C6421" w:rsidRDefault="009D1962">
            <w:pPr>
              <w:pStyle w:val="P68B1DB1-Normal8"/>
              <w:rPr>
                <w:noProof/>
              </w:rPr>
            </w:pPr>
            <w:r>
              <w:rPr>
                <w:noProof/>
              </w:rPr>
              <w:t>Reforma 3: racjonalizacja i uproszczenie zachęt dla przedsiębiorstw.</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593CCBC" w14:textId="12999E36" w:rsidR="004C6421" w:rsidRDefault="00CC179E">
            <w:pPr>
              <w:pStyle w:val="P68B1DB1-Normal8"/>
              <w:jc w:val="center"/>
              <w:rPr>
                <w:noProof/>
              </w:rPr>
            </w:pPr>
            <w:r>
              <w:rPr>
                <w:noProof/>
              </w:rPr>
              <w:t xml:space="preserve">Milowy </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221F542" w14:textId="77777777" w:rsidR="004C6421" w:rsidRDefault="009D1962">
            <w:pPr>
              <w:pStyle w:val="P68B1DB1-Normal8"/>
              <w:rPr>
                <w:noProof/>
              </w:rPr>
            </w:pPr>
            <w:r>
              <w:rPr>
                <w:noProof/>
              </w:rPr>
              <w:t>Wejście w życie prawodawstwa pierwotnego w celu racjonalizacji zachęt dla przedsiębiorstw</w:t>
            </w:r>
          </w:p>
        </w:tc>
        <w:tc>
          <w:tcPr>
            <w:tcW w:w="236" w:type="dxa"/>
            <w:tcBorders>
              <w:top w:val="nil"/>
              <w:left w:val="single" w:sz="8" w:space="0" w:color="auto"/>
              <w:bottom w:val="nil"/>
              <w:right w:val="nil"/>
            </w:tcBorders>
            <w:vAlign w:val="center"/>
          </w:tcPr>
          <w:p w14:paraId="3BCA97DA" w14:textId="77777777" w:rsidR="004C6421" w:rsidRDefault="004C6421">
            <w:pPr>
              <w:rPr>
                <w:noProof/>
              </w:rPr>
            </w:pPr>
          </w:p>
        </w:tc>
      </w:tr>
      <w:tr w:rsidR="004C6421" w14:paraId="3C1D138A"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ACC94D3" w14:textId="77777777" w:rsidR="004C6421" w:rsidRDefault="009D1962">
            <w:pPr>
              <w:pStyle w:val="P68B1DB1-Normal8"/>
              <w:jc w:val="center"/>
              <w:rPr>
                <w:noProof/>
              </w:rPr>
            </w:pPr>
            <w:r>
              <w:rPr>
                <w:noProof/>
              </w:rPr>
              <w:t>M4C1-14ter</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576543E" w14:textId="77777777" w:rsidR="004C6421" w:rsidRDefault="009D1962">
            <w:pPr>
              <w:pStyle w:val="P68B1DB1-Normal8"/>
              <w:rPr>
                <w:noProof/>
              </w:rPr>
            </w:pPr>
            <w:r>
              <w:rPr>
                <w:noProof/>
              </w:rPr>
              <w:t>Reforma 2.1: Rekrutacja nauczycieli</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78AB672" w14:textId="77777777" w:rsidR="004C6421" w:rsidRDefault="009D1962">
            <w:pPr>
              <w:pStyle w:val="P68B1DB1-Normal8"/>
              <w:jc w:val="center"/>
              <w:rPr>
                <w:noProof/>
              </w:rPr>
            </w:pPr>
            <w:r>
              <w:rPr>
                <w:noProof/>
              </w:rPr>
              <w:t>Cel</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F863125" w14:textId="77777777" w:rsidR="004C6421" w:rsidRDefault="009D1962">
            <w:pPr>
              <w:pStyle w:val="P68B1DB1-Normal8"/>
              <w:rPr>
                <w:noProof/>
              </w:rPr>
            </w:pPr>
            <w:r>
              <w:rPr>
                <w:noProof/>
              </w:rPr>
              <w:t>Kandydaci, którzy pomyślnie przeszli konkurs publiczny na nauczyciele po zreformowanym systemie rekrutacji.</w:t>
            </w:r>
          </w:p>
        </w:tc>
        <w:tc>
          <w:tcPr>
            <w:tcW w:w="236" w:type="dxa"/>
            <w:tcBorders>
              <w:top w:val="nil"/>
              <w:left w:val="single" w:sz="8" w:space="0" w:color="auto"/>
              <w:bottom w:val="nil"/>
              <w:right w:val="nil"/>
            </w:tcBorders>
            <w:vAlign w:val="center"/>
          </w:tcPr>
          <w:p w14:paraId="6A182A56" w14:textId="77777777" w:rsidR="004C6421" w:rsidRDefault="004C6421">
            <w:pPr>
              <w:rPr>
                <w:noProof/>
              </w:rPr>
            </w:pPr>
          </w:p>
        </w:tc>
      </w:tr>
      <w:tr w:rsidR="004C6421" w14:paraId="1CF2EB77"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428356FF" w14:textId="77777777" w:rsidR="004C6421" w:rsidRDefault="009D1962">
            <w:pPr>
              <w:pStyle w:val="P68B1DB1-Normal8"/>
              <w:jc w:val="center"/>
              <w:rPr>
                <w:noProof/>
              </w:rPr>
            </w:pPr>
            <w:r>
              <w:rPr>
                <w:noProof/>
              </w:rPr>
              <w:t xml:space="preserve"> </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43AD4183" w14:textId="77777777" w:rsidR="004C6421" w:rsidRDefault="009D1962">
            <w:pPr>
              <w:pStyle w:val="P68B1DB1-Normal8"/>
              <w:rPr>
                <w:noProof/>
              </w:rPr>
            </w:pPr>
            <w:r>
              <w:rPr>
                <w:noProof/>
              </w:rPr>
              <w:t xml:space="preserve"> </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68B7265D" w14:textId="77777777" w:rsidR="004C6421" w:rsidRDefault="009D1962">
            <w:pPr>
              <w:pStyle w:val="P68B1DB1-Normal8"/>
              <w:rPr>
                <w:noProof/>
              </w:rPr>
            </w:pPr>
            <w:r>
              <w:rPr>
                <w:noProof/>
              </w:rPr>
              <w:t>Kwota transzy</w:t>
            </w:r>
          </w:p>
        </w:tc>
        <w:tc>
          <w:tcPr>
            <w:tcW w:w="296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5547AD94" w14:textId="399F4A09" w:rsidR="004C6421" w:rsidRDefault="009D1962">
            <w:pPr>
              <w:rPr>
                <w:noProof/>
              </w:rPr>
            </w:pPr>
            <w:r>
              <w:rPr>
                <w:noProof/>
                <w:color w:val="006100"/>
                <w:sz w:val="20"/>
              </w:rPr>
              <w:t>12799902997 EUR</w:t>
            </w:r>
            <w:r>
              <w:rPr>
                <w:noProof/>
                <w:sz w:val="23"/>
              </w:rPr>
              <w:t xml:space="preserve">  </w:t>
            </w:r>
          </w:p>
        </w:tc>
        <w:tc>
          <w:tcPr>
            <w:tcW w:w="236" w:type="dxa"/>
            <w:tcBorders>
              <w:top w:val="nil"/>
              <w:left w:val="single" w:sz="8" w:space="0" w:color="auto"/>
              <w:bottom w:val="nil"/>
              <w:right w:val="nil"/>
            </w:tcBorders>
            <w:vAlign w:val="center"/>
          </w:tcPr>
          <w:p w14:paraId="39DAE0E8" w14:textId="77777777" w:rsidR="004C6421" w:rsidRDefault="004C6421">
            <w:pPr>
              <w:rPr>
                <w:noProof/>
              </w:rPr>
            </w:pPr>
          </w:p>
        </w:tc>
      </w:tr>
    </w:tbl>
    <w:p w14:paraId="2E3FFD23" w14:textId="3A248BE6" w:rsidR="004C6421" w:rsidRDefault="009D1962">
      <w:pPr>
        <w:spacing w:before="120" w:after="120"/>
        <w:jc w:val="both"/>
        <w:rPr>
          <w:noProof/>
        </w:rPr>
      </w:pPr>
      <w:r>
        <w:rPr>
          <w:noProof/>
        </w:rPr>
        <w:t xml:space="preserve"> </w:t>
      </w:r>
    </w:p>
    <w:p w14:paraId="2717D3B1" w14:textId="77777777" w:rsidR="004C6421" w:rsidRDefault="009D1962">
      <w:pPr>
        <w:spacing w:after="160" w:line="259" w:lineRule="auto"/>
        <w:rPr>
          <w:noProof/>
        </w:rPr>
      </w:pPr>
      <w:r>
        <w:rPr>
          <w:noProof/>
        </w:rPr>
        <w:br w:type="page"/>
      </w:r>
    </w:p>
    <w:p w14:paraId="67DEF770" w14:textId="77777777" w:rsidR="004C6421" w:rsidRDefault="009D1962">
      <w:pPr>
        <w:pStyle w:val="P68B1DB1-ListParagraph35"/>
        <w:numPr>
          <w:ilvl w:val="0"/>
          <w:numId w:val="146"/>
        </w:numPr>
        <w:spacing w:before="0" w:after="0" w:line="279" w:lineRule="auto"/>
        <w:ind w:left="850" w:hanging="850"/>
        <w:rPr>
          <w:noProof/>
        </w:rPr>
      </w:pPr>
      <w:r>
        <w:rPr>
          <w:noProof/>
        </w:rPr>
        <w:t>Wsparcie w formie pożyczki</w:t>
      </w:r>
    </w:p>
    <w:p w14:paraId="6FC767B7" w14:textId="77777777" w:rsidR="004C6421" w:rsidRDefault="009D1962">
      <w:pPr>
        <w:spacing w:before="120" w:after="120"/>
        <w:ind w:left="850"/>
        <w:jc w:val="both"/>
        <w:rPr>
          <w:noProof/>
        </w:rPr>
      </w:pPr>
      <w:r>
        <w:rPr>
          <w:noProof/>
        </w:rPr>
        <w:t>Raty, o których mowa w art. 3 ust. 2, są organizowane w następujący sposób:</w:t>
      </w:r>
    </w:p>
    <w:p w14:paraId="4FE2C420" w14:textId="77777777" w:rsidR="004C6421" w:rsidRDefault="009D1962">
      <w:pPr>
        <w:pStyle w:val="ListParagraph"/>
        <w:numPr>
          <w:ilvl w:val="1"/>
          <w:numId w:val="145"/>
        </w:numPr>
        <w:spacing w:before="0" w:after="0" w:line="279" w:lineRule="auto"/>
        <w:ind w:left="850" w:hanging="850"/>
        <w:rPr>
          <w:noProof/>
        </w:rPr>
      </w:pPr>
      <w:r>
        <w:rPr>
          <w:noProof/>
        </w:rPr>
        <w:t>Pierwsza transza (wsparcie pożyczkowe):</w:t>
      </w:r>
    </w:p>
    <w:tbl>
      <w:tblPr>
        <w:tblW w:w="9595" w:type="dxa"/>
        <w:tblInd w:w="120" w:type="dxa"/>
        <w:tblLayout w:type="fixed"/>
        <w:tblLook w:val="04A0" w:firstRow="1" w:lastRow="0" w:firstColumn="1" w:lastColumn="0" w:noHBand="0" w:noVBand="1"/>
      </w:tblPr>
      <w:tblGrid>
        <w:gridCol w:w="1435"/>
        <w:gridCol w:w="3543"/>
        <w:gridCol w:w="1418"/>
        <w:gridCol w:w="2963"/>
        <w:gridCol w:w="236"/>
      </w:tblGrid>
      <w:tr w:rsidR="004C6421" w14:paraId="4D0E4FBA" w14:textId="77777777">
        <w:trPr>
          <w:trHeight w:val="900"/>
          <w:tblHeader/>
        </w:trPr>
        <w:tc>
          <w:tcPr>
            <w:tcW w:w="1435"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498AE826" w14:textId="77777777" w:rsidR="004C6421" w:rsidRDefault="009D1962">
            <w:pPr>
              <w:pStyle w:val="P68B1DB1-Normal36"/>
              <w:jc w:val="center"/>
              <w:rPr>
                <w:noProof/>
              </w:rPr>
            </w:pPr>
            <w:r>
              <w:rPr>
                <w:noProof/>
              </w:rPr>
              <w:t>Numer porządkowy</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70F8E28D" w14:textId="77777777" w:rsidR="004C6421" w:rsidRDefault="009D1962">
            <w:pPr>
              <w:pStyle w:val="P68B1DB1-Normal36"/>
              <w:jc w:val="center"/>
              <w:rPr>
                <w:noProof/>
              </w:rPr>
            </w:pPr>
            <w:r>
              <w:rPr>
                <w:noProof/>
              </w:rPr>
              <w:t>Powiązane działanie (reforma lub inwestycja)</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171838E1" w14:textId="77777777" w:rsidR="004C6421" w:rsidRDefault="009D1962">
            <w:pPr>
              <w:pStyle w:val="P68B1DB1-Normal36"/>
              <w:jc w:val="center"/>
              <w:rPr>
                <w:noProof/>
              </w:rPr>
            </w:pPr>
            <w:r>
              <w:rPr>
                <w:noProof/>
              </w:rPr>
              <w:t>Kamień milowy/wartość docelowa</w:t>
            </w:r>
          </w:p>
        </w:tc>
        <w:tc>
          <w:tcPr>
            <w:tcW w:w="2963"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174ADABF" w14:textId="77777777" w:rsidR="004C6421" w:rsidRDefault="009D1962">
            <w:pPr>
              <w:pStyle w:val="P68B1DB1-Normal36"/>
              <w:jc w:val="center"/>
              <w:rPr>
                <w:noProof/>
              </w:rPr>
            </w:pPr>
            <w:r>
              <w:rPr>
                <w:noProof/>
              </w:rPr>
              <w:t>Nazwa</w:t>
            </w:r>
          </w:p>
        </w:tc>
        <w:tc>
          <w:tcPr>
            <w:tcW w:w="236" w:type="dxa"/>
            <w:tcBorders>
              <w:top w:val="nil"/>
              <w:left w:val="single" w:sz="4" w:space="0" w:color="auto"/>
              <w:bottom w:val="nil"/>
              <w:right w:val="nil"/>
            </w:tcBorders>
            <w:vAlign w:val="center"/>
          </w:tcPr>
          <w:p w14:paraId="2DB67E0C" w14:textId="77777777" w:rsidR="004C6421" w:rsidRDefault="004C6421">
            <w:pPr>
              <w:rPr>
                <w:noProof/>
              </w:rPr>
            </w:pPr>
          </w:p>
        </w:tc>
      </w:tr>
      <w:tr w:rsidR="004C6421" w14:paraId="11D6CE89" w14:textId="77777777">
        <w:trPr>
          <w:trHeight w:val="510"/>
        </w:trPr>
        <w:tc>
          <w:tcPr>
            <w:tcW w:w="1435" w:type="dxa"/>
            <w:vMerge/>
            <w:tcBorders>
              <w:top w:val="single" w:sz="4" w:space="0" w:color="auto"/>
              <w:left w:val="single" w:sz="4" w:space="0" w:color="auto"/>
              <w:bottom w:val="single" w:sz="4" w:space="0" w:color="auto"/>
              <w:right w:val="single" w:sz="4" w:space="0" w:color="auto"/>
            </w:tcBorders>
            <w:vAlign w:val="center"/>
          </w:tcPr>
          <w:p w14:paraId="39156358" w14:textId="77777777" w:rsidR="004C6421" w:rsidRDefault="004C6421">
            <w:pPr>
              <w:rPr>
                <w:noProof/>
              </w:rPr>
            </w:pPr>
          </w:p>
        </w:tc>
        <w:tc>
          <w:tcPr>
            <w:tcW w:w="3543" w:type="dxa"/>
            <w:vMerge/>
            <w:tcBorders>
              <w:top w:val="single" w:sz="4" w:space="0" w:color="auto"/>
              <w:left w:val="single" w:sz="4" w:space="0" w:color="auto"/>
              <w:bottom w:val="single" w:sz="4" w:space="0" w:color="auto"/>
              <w:right w:val="single" w:sz="4" w:space="0" w:color="auto"/>
            </w:tcBorders>
            <w:vAlign w:val="center"/>
          </w:tcPr>
          <w:p w14:paraId="0490F978" w14:textId="77777777" w:rsidR="004C6421" w:rsidRDefault="004C6421">
            <w:pPr>
              <w:rPr>
                <w:noProof/>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48BF238B" w14:textId="77777777" w:rsidR="004C6421" w:rsidRDefault="004C6421">
            <w:pPr>
              <w:rPr>
                <w:noProof/>
              </w:rPr>
            </w:pPr>
          </w:p>
        </w:tc>
        <w:tc>
          <w:tcPr>
            <w:tcW w:w="2963" w:type="dxa"/>
            <w:vMerge/>
            <w:tcBorders>
              <w:top w:val="single" w:sz="4" w:space="0" w:color="auto"/>
              <w:left w:val="single" w:sz="4" w:space="0" w:color="auto"/>
              <w:bottom w:val="single" w:sz="4" w:space="0" w:color="auto"/>
              <w:right w:val="single" w:sz="4" w:space="0" w:color="auto"/>
            </w:tcBorders>
            <w:vAlign w:val="center"/>
          </w:tcPr>
          <w:p w14:paraId="67C3791D" w14:textId="77777777" w:rsidR="004C6421" w:rsidRDefault="004C6421">
            <w:pPr>
              <w:rPr>
                <w:noProof/>
              </w:rPr>
            </w:pPr>
          </w:p>
        </w:tc>
        <w:tc>
          <w:tcPr>
            <w:tcW w:w="236" w:type="dxa"/>
            <w:tcBorders>
              <w:top w:val="nil"/>
              <w:left w:val="single" w:sz="4" w:space="0" w:color="auto"/>
              <w:bottom w:val="nil"/>
              <w:right w:val="nil"/>
            </w:tcBorders>
            <w:vAlign w:val="center"/>
          </w:tcPr>
          <w:p w14:paraId="510A43C5" w14:textId="77777777" w:rsidR="004C6421" w:rsidRDefault="004C6421">
            <w:pPr>
              <w:rPr>
                <w:noProof/>
              </w:rPr>
            </w:pPr>
          </w:p>
        </w:tc>
      </w:tr>
      <w:tr w:rsidR="004C6421" w14:paraId="556D5A57" w14:textId="77777777">
        <w:trPr>
          <w:trHeight w:val="300"/>
        </w:trPr>
        <w:tc>
          <w:tcPr>
            <w:tcW w:w="1435"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8BE1BCF" w14:textId="77777777" w:rsidR="004C6421" w:rsidRDefault="009D1962">
            <w:pPr>
              <w:pStyle w:val="P68B1DB1-Normal8"/>
              <w:rPr>
                <w:noProof/>
              </w:rPr>
            </w:pPr>
            <w:r>
              <w:rPr>
                <w:noProof/>
              </w:rPr>
              <w:t>M4C2-10</w:t>
            </w:r>
          </w:p>
        </w:tc>
        <w:tc>
          <w:tcPr>
            <w:tcW w:w="3543"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03DBD53" w14:textId="77777777" w:rsidR="004C6421" w:rsidRDefault="009D1962">
            <w:pPr>
              <w:pStyle w:val="P68B1DB1-Normal8"/>
              <w:rPr>
                <w:noProof/>
              </w:rPr>
            </w:pPr>
            <w:r>
              <w:rPr>
                <w:noProof/>
              </w:rPr>
              <w:t>Inwestycja 2.1: PROJEKT IPCEI</w:t>
            </w:r>
          </w:p>
        </w:tc>
        <w:tc>
          <w:tcPr>
            <w:tcW w:w="1418"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B94ECFF" w14:textId="2A572D0C" w:rsidR="004C6421" w:rsidRDefault="00CC179E">
            <w:pPr>
              <w:pStyle w:val="P68B1DB1-Normal8"/>
              <w:rPr>
                <w:noProof/>
              </w:rPr>
            </w:pPr>
            <w:r>
              <w:rPr>
                <w:noProof/>
              </w:rPr>
              <w:t>Milowy</w:t>
            </w:r>
          </w:p>
        </w:tc>
        <w:tc>
          <w:tcPr>
            <w:tcW w:w="2963"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B54D64B" w14:textId="77777777" w:rsidR="004C6421" w:rsidRDefault="009D1962">
            <w:pPr>
              <w:pStyle w:val="P68B1DB1-Normal8"/>
              <w:rPr>
                <w:noProof/>
              </w:rPr>
            </w:pPr>
            <w:r>
              <w:rPr>
                <w:noProof/>
              </w:rPr>
              <w:t>Ogłoszenie zaproszenia do wyrażenia zainteresowania w celu identyfikacji projektów krajowych, w tym projektów dotyczących mikroelektroniki IPCEI</w:t>
            </w:r>
          </w:p>
        </w:tc>
        <w:tc>
          <w:tcPr>
            <w:tcW w:w="236" w:type="dxa"/>
            <w:tcBorders>
              <w:top w:val="nil"/>
              <w:left w:val="single" w:sz="8" w:space="0" w:color="auto"/>
              <w:bottom w:val="nil"/>
              <w:right w:val="nil"/>
            </w:tcBorders>
            <w:vAlign w:val="center"/>
          </w:tcPr>
          <w:p w14:paraId="70ADC50C" w14:textId="77777777" w:rsidR="004C6421" w:rsidRDefault="004C6421">
            <w:pPr>
              <w:rPr>
                <w:noProof/>
              </w:rPr>
            </w:pPr>
          </w:p>
        </w:tc>
      </w:tr>
      <w:tr w:rsidR="004C6421" w14:paraId="0ED9E4AB"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F2F948B" w14:textId="77777777" w:rsidR="004C6421" w:rsidRDefault="009D1962">
            <w:pPr>
              <w:pStyle w:val="P68B1DB1-Normal8"/>
              <w:rPr>
                <w:noProof/>
              </w:rPr>
            </w:pPr>
            <w:r>
              <w:rPr>
                <w:noProof/>
              </w:rPr>
              <w:t>M1C2-26</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F6289A3" w14:textId="77777777" w:rsidR="004C6421" w:rsidRDefault="009D1962">
            <w:pPr>
              <w:pStyle w:val="P68B1DB1-Normal8"/>
              <w:rPr>
                <w:noProof/>
              </w:rPr>
            </w:pPr>
            <w:r>
              <w:rPr>
                <w:noProof/>
              </w:rPr>
              <w:t>Inwestycja 5.1: Refinansowanie i przekształcenie funduszu 394/81 zarządzanego przez SIMEST</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24716B2" w14:textId="6D67FE5F" w:rsidR="004C6421" w:rsidRDefault="00CC179E">
            <w:pPr>
              <w:pStyle w:val="P68B1DB1-Normal8"/>
              <w:rPr>
                <w:noProof/>
              </w:rPr>
            </w:pPr>
            <w:r>
              <w:rPr>
                <w:noProof/>
              </w:rPr>
              <w:t>Milowy</w:t>
            </w:r>
          </w:p>
        </w:tc>
        <w:tc>
          <w:tcPr>
            <w:tcW w:w="296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C3E7465" w14:textId="77777777" w:rsidR="004C6421" w:rsidRDefault="009D1962">
            <w:pPr>
              <w:pStyle w:val="P68B1DB1-Normal8"/>
              <w:rPr>
                <w:noProof/>
              </w:rPr>
            </w:pPr>
            <w:r>
              <w:rPr>
                <w:noProof/>
              </w:rPr>
              <w:t>Wejście w życie refinansowania Funduszu 394/81 i przyjęcie polityki inwestycyjnej</w:t>
            </w:r>
          </w:p>
        </w:tc>
        <w:tc>
          <w:tcPr>
            <w:tcW w:w="236" w:type="dxa"/>
            <w:tcBorders>
              <w:top w:val="nil"/>
              <w:left w:val="single" w:sz="8" w:space="0" w:color="auto"/>
              <w:bottom w:val="nil"/>
              <w:right w:val="nil"/>
            </w:tcBorders>
            <w:vAlign w:val="center"/>
          </w:tcPr>
          <w:p w14:paraId="43041657" w14:textId="77777777" w:rsidR="004C6421" w:rsidRDefault="004C6421">
            <w:pPr>
              <w:rPr>
                <w:noProof/>
              </w:rPr>
            </w:pPr>
          </w:p>
        </w:tc>
      </w:tr>
      <w:tr w:rsidR="004C6421" w14:paraId="4AFCF305"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8263E86" w14:textId="77777777" w:rsidR="004C6421" w:rsidRDefault="009D1962">
            <w:pPr>
              <w:pStyle w:val="P68B1DB1-Normal8"/>
              <w:rPr>
                <w:noProof/>
              </w:rPr>
            </w:pPr>
            <w:r>
              <w:rPr>
                <w:noProof/>
              </w:rPr>
              <w:t>M2C1-14</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E3982AE" w14:textId="77777777" w:rsidR="004C6421" w:rsidRDefault="009D1962">
            <w:pPr>
              <w:pStyle w:val="P68B1DB1-Normal8"/>
              <w:rPr>
                <w:noProof/>
              </w:rPr>
            </w:pPr>
            <w:r>
              <w:rPr>
                <w:noProof/>
              </w:rPr>
              <w:t>Inwestycja 1.1 – Wdrażanie nowych zakładów gospodarki odpadami i modernizacja istniejących obiektów; Inwestycje 1.2 – Projekty przewodnie gospodarki o obiegu zamkniętym</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F572B8D" w14:textId="49967A9F" w:rsidR="004C6421" w:rsidRDefault="00CC179E">
            <w:pPr>
              <w:pStyle w:val="P68B1DB1-Normal8"/>
              <w:rPr>
                <w:noProof/>
              </w:rPr>
            </w:pPr>
            <w:r>
              <w:rPr>
                <w:noProof/>
              </w:rPr>
              <w:t>Milowy</w:t>
            </w:r>
          </w:p>
        </w:tc>
        <w:tc>
          <w:tcPr>
            <w:tcW w:w="296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E2E67A3" w14:textId="77777777" w:rsidR="004C6421" w:rsidRDefault="009D1962">
            <w:pPr>
              <w:pStyle w:val="P68B1DB1-Normal8"/>
              <w:rPr>
                <w:noProof/>
              </w:rPr>
            </w:pPr>
            <w:r>
              <w:rPr>
                <w:noProof/>
              </w:rPr>
              <w:t>Wejście w życie dekretu ministerialnego.</w:t>
            </w:r>
          </w:p>
        </w:tc>
        <w:tc>
          <w:tcPr>
            <w:tcW w:w="236" w:type="dxa"/>
            <w:tcBorders>
              <w:top w:val="nil"/>
              <w:left w:val="single" w:sz="8" w:space="0" w:color="auto"/>
              <w:bottom w:val="nil"/>
              <w:right w:val="nil"/>
            </w:tcBorders>
            <w:vAlign w:val="center"/>
          </w:tcPr>
          <w:p w14:paraId="754AA085" w14:textId="77777777" w:rsidR="004C6421" w:rsidRDefault="004C6421">
            <w:pPr>
              <w:rPr>
                <w:noProof/>
              </w:rPr>
            </w:pPr>
          </w:p>
        </w:tc>
      </w:tr>
      <w:tr w:rsidR="004C6421" w14:paraId="2EAF0A8D"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503E573" w14:textId="77777777" w:rsidR="004C6421" w:rsidRDefault="009D1962">
            <w:pPr>
              <w:pStyle w:val="P68B1DB1-Normal8"/>
              <w:rPr>
                <w:noProof/>
              </w:rPr>
            </w:pPr>
            <w:r>
              <w:rPr>
                <w:noProof/>
              </w:rPr>
              <w:t>M2C4-8</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186566D" w14:textId="77777777" w:rsidR="004C6421" w:rsidRDefault="009D1962">
            <w:pPr>
              <w:pStyle w:val="P68B1DB1-Normal8"/>
              <w:rPr>
                <w:noProof/>
              </w:rPr>
            </w:pPr>
            <w:r>
              <w:rPr>
                <w:noProof/>
              </w:rPr>
              <w:t>Inwestycje 1.1. Wdrożenie zaawansowanego i zintegrowanego systemu monitorowania i prognozowania</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9AE71C8" w14:textId="2CEB0632" w:rsidR="004C6421" w:rsidRDefault="00CC179E">
            <w:pPr>
              <w:pStyle w:val="P68B1DB1-Normal8"/>
              <w:rPr>
                <w:noProof/>
              </w:rPr>
            </w:pPr>
            <w:r>
              <w:rPr>
                <w:noProof/>
              </w:rPr>
              <w:t>Milowy</w:t>
            </w:r>
          </w:p>
        </w:tc>
        <w:tc>
          <w:tcPr>
            <w:tcW w:w="296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44FEBDC" w14:textId="77777777" w:rsidR="004C6421" w:rsidRDefault="009D1962">
            <w:pPr>
              <w:pStyle w:val="P68B1DB1-Normal8"/>
              <w:rPr>
                <w:noProof/>
              </w:rPr>
            </w:pPr>
            <w:r>
              <w:rPr>
                <w:noProof/>
              </w:rPr>
              <w:t xml:space="preserve">Plan operacyjny dotyczący zaawansowanego i zintegrowanego systemu monitorowania i prognozowania w celu identyfikacji zagrożeń hydrologicznych </w:t>
            </w:r>
          </w:p>
        </w:tc>
        <w:tc>
          <w:tcPr>
            <w:tcW w:w="236" w:type="dxa"/>
            <w:tcBorders>
              <w:top w:val="nil"/>
              <w:left w:val="single" w:sz="8" w:space="0" w:color="auto"/>
              <w:bottom w:val="nil"/>
              <w:right w:val="nil"/>
            </w:tcBorders>
            <w:vAlign w:val="center"/>
          </w:tcPr>
          <w:p w14:paraId="79182777" w14:textId="77777777" w:rsidR="004C6421" w:rsidRDefault="004C6421">
            <w:pPr>
              <w:rPr>
                <w:noProof/>
              </w:rPr>
            </w:pPr>
          </w:p>
        </w:tc>
      </w:tr>
      <w:tr w:rsidR="004C6421" w14:paraId="11AD1DC1"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C3482B1" w14:textId="77777777" w:rsidR="004C6421" w:rsidRDefault="009D1962">
            <w:pPr>
              <w:pStyle w:val="P68B1DB1-Normal8"/>
              <w:rPr>
                <w:noProof/>
              </w:rPr>
            </w:pPr>
            <w:r>
              <w:rPr>
                <w:noProof/>
              </w:rPr>
              <w:t>M5C1-17</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5866E02" w14:textId="77777777" w:rsidR="004C6421" w:rsidRDefault="009D1962">
            <w:pPr>
              <w:pStyle w:val="P68B1DB1-Normal8"/>
              <w:rPr>
                <w:noProof/>
              </w:rPr>
            </w:pPr>
            <w:r>
              <w:rPr>
                <w:noProof/>
              </w:rPr>
              <w:t>Inwestycje 5 – Tworzenie przedsiębiorstw kobiecych</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13714ED" w14:textId="4F597D3C" w:rsidR="004C6421" w:rsidRDefault="00CC179E">
            <w:pPr>
              <w:pStyle w:val="P68B1DB1-Normal8"/>
              <w:rPr>
                <w:noProof/>
              </w:rPr>
            </w:pPr>
            <w:r>
              <w:rPr>
                <w:noProof/>
              </w:rPr>
              <w:t>Milowy</w:t>
            </w:r>
          </w:p>
        </w:tc>
        <w:tc>
          <w:tcPr>
            <w:tcW w:w="296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92A858A" w14:textId="77777777" w:rsidR="004C6421" w:rsidRDefault="009D1962">
            <w:pPr>
              <w:pStyle w:val="P68B1DB1-Normal8"/>
              <w:rPr>
                <w:noProof/>
              </w:rPr>
            </w:pPr>
            <w:r>
              <w:rPr>
                <w:noProof/>
              </w:rPr>
              <w:t>Przyjęcie funduszu wspierającego przedsiębiorczość kobiet</w:t>
            </w:r>
          </w:p>
        </w:tc>
        <w:tc>
          <w:tcPr>
            <w:tcW w:w="236" w:type="dxa"/>
            <w:tcBorders>
              <w:top w:val="nil"/>
              <w:left w:val="single" w:sz="8" w:space="0" w:color="auto"/>
              <w:bottom w:val="nil"/>
              <w:right w:val="nil"/>
            </w:tcBorders>
            <w:vAlign w:val="center"/>
          </w:tcPr>
          <w:p w14:paraId="4F51D6E0" w14:textId="77777777" w:rsidR="004C6421" w:rsidRDefault="004C6421">
            <w:pPr>
              <w:rPr>
                <w:noProof/>
              </w:rPr>
            </w:pPr>
          </w:p>
        </w:tc>
      </w:tr>
      <w:tr w:rsidR="004C6421" w14:paraId="33AB50E0"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95B2871" w14:textId="77777777" w:rsidR="004C6421" w:rsidRDefault="009D1962">
            <w:pPr>
              <w:pStyle w:val="P68B1DB1-Normal8"/>
              <w:rPr>
                <w:noProof/>
              </w:rPr>
            </w:pPr>
            <w:r>
              <w:rPr>
                <w:noProof/>
              </w:rPr>
              <w:t>M1C2-27</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92B3AC8" w14:textId="77777777" w:rsidR="004C6421" w:rsidRDefault="009D1962">
            <w:pPr>
              <w:pStyle w:val="P68B1DB1-Normal8"/>
              <w:rPr>
                <w:noProof/>
              </w:rPr>
            </w:pPr>
            <w:r>
              <w:rPr>
                <w:noProof/>
              </w:rPr>
              <w:t>Inwestycja 5.1: Refinansowanie i przekształcenie funduszu 394/81 zarządzanego przez SIMEST</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A7B12A8" w14:textId="77777777" w:rsidR="004C6421" w:rsidRDefault="009D1962">
            <w:pPr>
              <w:pStyle w:val="P68B1DB1-Normal8"/>
              <w:rPr>
                <w:noProof/>
              </w:rPr>
            </w:pPr>
            <w:r>
              <w:rPr>
                <w:noProof/>
              </w:rPr>
              <w:t>Cel</w:t>
            </w:r>
          </w:p>
        </w:tc>
        <w:tc>
          <w:tcPr>
            <w:tcW w:w="296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E875E38" w14:textId="77777777" w:rsidR="004C6421" w:rsidRDefault="009D1962">
            <w:pPr>
              <w:pStyle w:val="P68B1DB1-Normal8"/>
              <w:rPr>
                <w:noProof/>
              </w:rPr>
            </w:pPr>
            <w:r>
              <w:rPr>
                <w:noProof/>
              </w:rPr>
              <w:t>MŚP, które otrzymały wsparcie z Funduszu 394/81</w:t>
            </w:r>
          </w:p>
        </w:tc>
        <w:tc>
          <w:tcPr>
            <w:tcW w:w="236" w:type="dxa"/>
            <w:tcBorders>
              <w:top w:val="nil"/>
              <w:left w:val="single" w:sz="8" w:space="0" w:color="auto"/>
              <w:bottom w:val="nil"/>
              <w:right w:val="nil"/>
            </w:tcBorders>
            <w:vAlign w:val="center"/>
          </w:tcPr>
          <w:p w14:paraId="1A36641C" w14:textId="77777777" w:rsidR="004C6421" w:rsidRDefault="004C6421">
            <w:pPr>
              <w:rPr>
                <w:noProof/>
              </w:rPr>
            </w:pPr>
          </w:p>
        </w:tc>
      </w:tr>
      <w:tr w:rsidR="004C6421" w14:paraId="1CC13957"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E4A7EE3" w14:textId="77777777" w:rsidR="004C6421" w:rsidRDefault="009D1962">
            <w:pPr>
              <w:pStyle w:val="P68B1DB1-Normal8"/>
              <w:rPr>
                <w:noProof/>
              </w:rPr>
            </w:pPr>
            <w:r>
              <w:rPr>
                <w:noProof/>
              </w:rPr>
              <w:t>M1C3-22</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AF29851" w14:textId="77777777" w:rsidR="004C6421" w:rsidRDefault="009D1962">
            <w:pPr>
              <w:pStyle w:val="P68B1DB1-Normal8"/>
              <w:rPr>
                <w:noProof/>
              </w:rPr>
            </w:pPr>
            <w:r>
              <w:rPr>
                <w:noProof/>
              </w:rPr>
              <w:t xml:space="preserve">Inwestycje 4.2 Fundusze na rzecz konkurencyjności przedsiębiorstw turystycznych </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7CA2AB3" w14:textId="3726552B" w:rsidR="004C6421" w:rsidRDefault="00CC179E">
            <w:pPr>
              <w:pStyle w:val="P68B1DB1-Normal8"/>
              <w:rPr>
                <w:noProof/>
              </w:rPr>
            </w:pPr>
            <w:r>
              <w:rPr>
                <w:noProof/>
              </w:rPr>
              <w:t>Milowy</w:t>
            </w:r>
          </w:p>
        </w:tc>
        <w:tc>
          <w:tcPr>
            <w:tcW w:w="296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1D4F59C" w14:textId="77777777" w:rsidR="004C6421" w:rsidRDefault="009D1962">
            <w:pPr>
              <w:pStyle w:val="P68B1DB1-Normal8"/>
              <w:rPr>
                <w:noProof/>
              </w:rPr>
            </w:pPr>
            <w:r>
              <w:rPr>
                <w:noProof/>
              </w:rPr>
              <w:t xml:space="preserve">Polityka inwestycyjna na rzecz: Fundusz tematyczny Europejskiego Banku Inwestycyjnego;  </w:t>
            </w:r>
          </w:p>
        </w:tc>
        <w:tc>
          <w:tcPr>
            <w:tcW w:w="236" w:type="dxa"/>
            <w:tcBorders>
              <w:top w:val="nil"/>
              <w:left w:val="single" w:sz="8" w:space="0" w:color="auto"/>
              <w:bottom w:val="nil"/>
              <w:right w:val="nil"/>
            </w:tcBorders>
            <w:vAlign w:val="center"/>
          </w:tcPr>
          <w:p w14:paraId="71DF40AE" w14:textId="77777777" w:rsidR="004C6421" w:rsidRDefault="004C6421">
            <w:pPr>
              <w:rPr>
                <w:noProof/>
              </w:rPr>
            </w:pPr>
          </w:p>
        </w:tc>
      </w:tr>
      <w:tr w:rsidR="004C6421" w14:paraId="54BD5AD4"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BC18843" w14:textId="77777777" w:rsidR="004C6421" w:rsidRDefault="009D1962">
            <w:pPr>
              <w:pStyle w:val="P68B1DB1-Normal8"/>
              <w:rPr>
                <w:noProof/>
              </w:rPr>
            </w:pPr>
            <w:r>
              <w:rPr>
                <w:noProof/>
              </w:rPr>
              <w:t>M1C3-23</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A953B06" w14:textId="77777777" w:rsidR="004C6421" w:rsidRDefault="009D1962">
            <w:pPr>
              <w:pStyle w:val="P68B1DB1-Normal8"/>
              <w:rPr>
                <w:noProof/>
              </w:rPr>
            </w:pPr>
            <w:r>
              <w:rPr>
                <w:noProof/>
              </w:rPr>
              <w:t xml:space="preserve">Inwestycje 4.2:  Fundusze na konkurencyjność przedsiębiorstw turystycznych </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A061000" w14:textId="549E1B73" w:rsidR="004C6421" w:rsidRDefault="00CC179E">
            <w:pPr>
              <w:pStyle w:val="P68B1DB1-Normal8"/>
              <w:rPr>
                <w:noProof/>
              </w:rPr>
            </w:pPr>
            <w:r>
              <w:rPr>
                <w:noProof/>
              </w:rPr>
              <w:t>Milowy</w:t>
            </w:r>
          </w:p>
        </w:tc>
        <w:tc>
          <w:tcPr>
            <w:tcW w:w="296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5A09A07" w14:textId="77777777" w:rsidR="004C6421" w:rsidRDefault="009D1962">
            <w:pPr>
              <w:pStyle w:val="P68B1DB1-Normal8"/>
              <w:rPr>
                <w:noProof/>
              </w:rPr>
            </w:pPr>
            <w:r>
              <w:rPr>
                <w:noProof/>
              </w:rPr>
              <w:t xml:space="preserve">Polityka inwestycyjna dla Narodowego Funduszu Turystyki, </w:t>
            </w:r>
          </w:p>
        </w:tc>
        <w:tc>
          <w:tcPr>
            <w:tcW w:w="236" w:type="dxa"/>
            <w:tcBorders>
              <w:top w:val="nil"/>
              <w:left w:val="single" w:sz="8" w:space="0" w:color="auto"/>
              <w:bottom w:val="nil"/>
              <w:right w:val="nil"/>
            </w:tcBorders>
            <w:vAlign w:val="center"/>
          </w:tcPr>
          <w:p w14:paraId="2D41EA11" w14:textId="77777777" w:rsidR="004C6421" w:rsidRDefault="004C6421">
            <w:pPr>
              <w:rPr>
                <w:noProof/>
              </w:rPr>
            </w:pPr>
          </w:p>
        </w:tc>
      </w:tr>
      <w:tr w:rsidR="004C6421" w14:paraId="75F1A5A7"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F5249E2" w14:textId="77777777" w:rsidR="004C6421" w:rsidRDefault="009D1962">
            <w:pPr>
              <w:pStyle w:val="P68B1DB1-Normal8"/>
              <w:rPr>
                <w:noProof/>
              </w:rPr>
            </w:pPr>
            <w:r>
              <w:rPr>
                <w:noProof/>
              </w:rPr>
              <w:t>M1C3-24</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2E95F43" w14:textId="77777777" w:rsidR="004C6421" w:rsidRDefault="009D1962">
            <w:pPr>
              <w:pStyle w:val="P68B1DB1-Normal8"/>
              <w:rPr>
                <w:noProof/>
              </w:rPr>
            </w:pPr>
            <w:r>
              <w:rPr>
                <w:noProof/>
              </w:rPr>
              <w:t xml:space="preserve">Inwestycje 4.2 Fundusze na rzecz konkurencyjności przedsiębiorstw turystycznych </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DF84012" w14:textId="508FF9E5" w:rsidR="004C6421" w:rsidRDefault="00CC179E">
            <w:pPr>
              <w:pStyle w:val="P68B1DB1-Normal8"/>
              <w:rPr>
                <w:noProof/>
              </w:rPr>
            </w:pPr>
            <w:r>
              <w:rPr>
                <w:noProof/>
              </w:rPr>
              <w:t>Milowy</w:t>
            </w:r>
          </w:p>
        </w:tc>
        <w:tc>
          <w:tcPr>
            <w:tcW w:w="296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7BEA4E4" w14:textId="77777777" w:rsidR="004C6421" w:rsidRDefault="009D1962">
            <w:pPr>
              <w:pStyle w:val="P68B1DB1-Normal8"/>
              <w:rPr>
                <w:noProof/>
              </w:rPr>
            </w:pPr>
            <w:r>
              <w:rPr>
                <w:noProof/>
              </w:rPr>
              <w:t>Polityka inwestycyjna na rzecz: Fundusz Gwarancyjny dla MŚP,</w:t>
            </w:r>
          </w:p>
        </w:tc>
        <w:tc>
          <w:tcPr>
            <w:tcW w:w="236" w:type="dxa"/>
            <w:tcBorders>
              <w:top w:val="nil"/>
              <w:left w:val="single" w:sz="8" w:space="0" w:color="auto"/>
              <w:bottom w:val="nil"/>
              <w:right w:val="nil"/>
            </w:tcBorders>
            <w:vAlign w:val="center"/>
          </w:tcPr>
          <w:p w14:paraId="47C89B11" w14:textId="77777777" w:rsidR="004C6421" w:rsidRDefault="004C6421">
            <w:pPr>
              <w:rPr>
                <w:noProof/>
              </w:rPr>
            </w:pPr>
          </w:p>
        </w:tc>
      </w:tr>
      <w:tr w:rsidR="004C6421" w14:paraId="4597ED57"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26CE6A3" w14:textId="77777777" w:rsidR="004C6421" w:rsidRDefault="009D1962">
            <w:pPr>
              <w:pStyle w:val="P68B1DB1-Normal8"/>
              <w:rPr>
                <w:noProof/>
              </w:rPr>
            </w:pPr>
            <w:r>
              <w:rPr>
                <w:noProof/>
              </w:rPr>
              <w:t>M1C3-25</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6D8D581" w14:textId="77777777" w:rsidR="004C6421" w:rsidRDefault="009D1962">
            <w:pPr>
              <w:pStyle w:val="P68B1DB1-Normal8"/>
              <w:rPr>
                <w:noProof/>
              </w:rPr>
            </w:pPr>
            <w:r>
              <w:rPr>
                <w:noProof/>
              </w:rPr>
              <w:t xml:space="preserve">Inwestycje 4.2:  Fundusze na konkurencyjność przedsiębiorstw turystycznych </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7838AFC" w14:textId="3E72AE58" w:rsidR="004C6421" w:rsidRDefault="00CC179E">
            <w:pPr>
              <w:pStyle w:val="P68B1DB1-Normal8"/>
              <w:rPr>
                <w:noProof/>
              </w:rPr>
            </w:pPr>
            <w:r>
              <w:rPr>
                <w:noProof/>
              </w:rPr>
              <w:t>Milowy</w:t>
            </w:r>
          </w:p>
        </w:tc>
        <w:tc>
          <w:tcPr>
            <w:tcW w:w="296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C77A636" w14:textId="77777777" w:rsidR="004C6421" w:rsidRDefault="009D1962">
            <w:pPr>
              <w:pStyle w:val="P68B1DB1-Normal8"/>
              <w:rPr>
                <w:noProof/>
              </w:rPr>
            </w:pPr>
            <w:r>
              <w:rPr>
                <w:noProof/>
              </w:rPr>
              <w:t xml:space="preserve">Polityka inwestycyjna dla Fondo Rotativo </w:t>
            </w:r>
          </w:p>
        </w:tc>
        <w:tc>
          <w:tcPr>
            <w:tcW w:w="236" w:type="dxa"/>
            <w:tcBorders>
              <w:top w:val="nil"/>
              <w:left w:val="single" w:sz="8" w:space="0" w:color="auto"/>
              <w:bottom w:val="nil"/>
              <w:right w:val="nil"/>
            </w:tcBorders>
            <w:vAlign w:val="center"/>
          </w:tcPr>
          <w:p w14:paraId="25303618" w14:textId="77777777" w:rsidR="004C6421" w:rsidRDefault="004C6421">
            <w:pPr>
              <w:rPr>
                <w:noProof/>
              </w:rPr>
            </w:pPr>
          </w:p>
        </w:tc>
      </w:tr>
      <w:tr w:rsidR="004C6421" w14:paraId="0CE5C7B6"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0790C67" w14:textId="77777777" w:rsidR="004C6421" w:rsidRDefault="009D1962">
            <w:pPr>
              <w:pStyle w:val="P68B1DB1-Normal8"/>
              <w:rPr>
                <w:noProof/>
              </w:rPr>
            </w:pPr>
            <w:r>
              <w:rPr>
                <w:noProof/>
              </w:rPr>
              <w:t>M1C3-26</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EDDB789" w14:textId="77777777" w:rsidR="004C6421" w:rsidRDefault="009D1962">
            <w:pPr>
              <w:pStyle w:val="P68B1DB1-Normal8"/>
              <w:rPr>
                <w:noProof/>
              </w:rPr>
            </w:pPr>
            <w:r>
              <w:rPr>
                <w:noProof/>
              </w:rPr>
              <w:t xml:space="preserve">Inwestycje 4.2:  Fundusze na konkurencyjność przedsiębiorstw turystycznych </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AD7072B" w14:textId="50972BE0" w:rsidR="004C6421" w:rsidRDefault="00CC179E">
            <w:pPr>
              <w:pStyle w:val="P68B1DB1-Normal8"/>
              <w:rPr>
                <w:noProof/>
              </w:rPr>
            </w:pPr>
            <w:r>
              <w:rPr>
                <w:noProof/>
              </w:rPr>
              <w:t>Milowy</w:t>
            </w:r>
          </w:p>
        </w:tc>
        <w:tc>
          <w:tcPr>
            <w:tcW w:w="296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63AD4F6" w14:textId="77777777" w:rsidR="004C6421" w:rsidRDefault="009D1962">
            <w:pPr>
              <w:pStyle w:val="P68B1DB1-Normal8"/>
              <w:rPr>
                <w:noProof/>
              </w:rPr>
            </w:pPr>
            <w:r>
              <w:rPr>
                <w:noProof/>
              </w:rPr>
              <w:t>Wejście w życie dekretu wykonawczego w sprawie ulgi podatkowej na przebudowę obiektów zakwaterowania.</w:t>
            </w:r>
          </w:p>
        </w:tc>
        <w:tc>
          <w:tcPr>
            <w:tcW w:w="236" w:type="dxa"/>
            <w:tcBorders>
              <w:top w:val="nil"/>
              <w:left w:val="single" w:sz="8" w:space="0" w:color="auto"/>
              <w:bottom w:val="nil"/>
              <w:right w:val="nil"/>
            </w:tcBorders>
            <w:vAlign w:val="center"/>
          </w:tcPr>
          <w:p w14:paraId="0A08C121" w14:textId="77777777" w:rsidR="004C6421" w:rsidRDefault="004C6421">
            <w:pPr>
              <w:rPr>
                <w:noProof/>
              </w:rPr>
            </w:pPr>
          </w:p>
        </w:tc>
      </w:tr>
      <w:tr w:rsidR="004C6421" w14:paraId="1FC340AE"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62B57D9" w14:textId="77777777" w:rsidR="004C6421" w:rsidRDefault="009D1962">
            <w:pPr>
              <w:pStyle w:val="P68B1DB1-Normal8"/>
              <w:rPr>
                <w:noProof/>
              </w:rPr>
            </w:pPr>
            <w:r>
              <w:rPr>
                <w:noProof/>
              </w:rPr>
              <w:t>M2C4-7</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7D60BA8" w14:textId="77777777" w:rsidR="004C6421" w:rsidRDefault="009D1962">
            <w:pPr>
              <w:pStyle w:val="P68B1DB1-Normal8"/>
              <w:rPr>
                <w:noProof/>
              </w:rPr>
            </w:pPr>
            <w:r>
              <w:rPr>
                <w:noProof/>
              </w:rPr>
              <w:t>Reforma 3.1: Przyjęcie krajowych programów kontroli zanieczyszczenia powietrza</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989EE1E" w14:textId="527B1C45" w:rsidR="004C6421" w:rsidRDefault="00CC179E">
            <w:pPr>
              <w:pStyle w:val="P68B1DB1-Normal8"/>
              <w:rPr>
                <w:noProof/>
              </w:rPr>
            </w:pPr>
            <w:r>
              <w:rPr>
                <w:noProof/>
              </w:rPr>
              <w:t>Milowy</w:t>
            </w:r>
          </w:p>
        </w:tc>
        <w:tc>
          <w:tcPr>
            <w:tcW w:w="296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B80D6AF" w14:textId="77777777" w:rsidR="004C6421" w:rsidRDefault="009D1962">
            <w:pPr>
              <w:pStyle w:val="P68B1DB1-Normal8"/>
              <w:rPr>
                <w:noProof/>
              </w:rPr>
            </w:pPr>
            <w:r>
              <w:rPr>
                <w:noProof/>
              </w:rPr>
              <w:t>Wejście w życie krajowego programu ograniczania zanieczyszczenia powietrza</w:t>
            </w:r>
          </w:p>
        </w:tc>
        <w:tc>
          <w:tcPr>
            <w:tcW w:w="236" w:type="dxa"/>
            <w:tcBorders>
              <w:top w:val="nil"/>
              <w:left w:val="single" w:sz="8" w:space="0" w:color="auto"/>
              <w:bottom w:val="nil"/>
              <w:right w:val="nil"/>
            </w:tcBorders>
            <w:vAlign w:val="center"/>
          </w:tcPr>
          <w:p w14:paraId="38B8ACA0" w14:textId="77777777" w:rsidR="004C6421" w:rsidRDefault="004C6421">
            <w:pPr>
              <w:rPr>
                <w:noProof/>
              </w:rPr>
            </w:pPr>
          </w:p>
        </w:tc>
      </w:tr>
      <w:tr w:rsidR="004C6421" w14:paraId="41A86802"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09522C9" w14:textId="77777777" w:rsidR="004C6421" w:rsidRDefault="009D1962">
            <w:pPr>
              <w:pStyle w:val="P68B1DB1-Normal8"/>
              <w:rPr>
                <w:noProof/>
              </w:rPr>
            </w:pPr>
            <w:r>
              <w:rPr>
                <w:noProof/>
              </w:rPr>
              <w:t>M2C4-12</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4644F1D" w14:textId="77777777" w:rsidR="004C6421" w:rsidRDefault="009D1962">
            <w:pPr>
              <w:pStyle w:val="P68B1DB1-Normal8"/>
              <w:rPr>
                <w:noProof/>
              </w:rPr>
            </w:pPr>
            <w:r>
              <w:rPr>
                <w:noProof/>
              </w:rPr>
              <w:t>Inwestycja 2.1.b. Środki na rzecz ograniczenia ryzyka powodziowego i hydrogeologicznego</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73BDA0F" w14:textId="57F8727C" w:rsidR="004C6421" w:rsidRDefault="00CC179E">
            <w:pPr>
              <w:pStyle w:val="P68B1DB1-Normal8"/>
              <w:rPr>
                <w:noProof/>
              </w:rPr>
            </w:pPr>
            <w:r>
              <w:rPr>
                <w:noProof/>
              </w:rPr>
              <w:t>Milowy</w:t>
            </w:r>
          </w:p>
        </w:tc>
        <w:tc>
          <w:tcPr>
            <w:tcW w:w="296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E295912" w14:textId="77777777" w:rsidR="004C6421" w:rsidRDefault="009D1962">
            <w:pPr>
              <w:pStyle w:val="P68B1DB1-Normal8"/>
              <w:rPr>
                <w:noProof/>
              </w:rPr>
            </w:pPr>
            <w:r>
              <w:rPr>
                <w:noProof/>
              </w:rPr>
              <w:t>Wejście w życie zmienionych ram prawnych dotyczących interwencji przeciwko zagrożeniom powodziowym i hydrogeologicznym</w:t>
            </w:r>
          </w:p>
        </w:tc>
        <w:tc>
          <w:tcPr>
            <w:tcW w:w="236" w:type="dxa"/>
            <w:tcBorders>
              <w:top w:val="nil"/>
              <w:left w:val="single" w:sz="8" w:space="0" w:color="auto"/>
              <w:bottom w:val="nil"/>
              <w:right w:val="nil"/>
            </w:tcBorders>
            <w:vAlign w:val="center"/>
          </w:tcPr>
          <w:p w14:paraId="134B0FC3" w14:textId="77777777" w:rsidR="004C6421" w:rsidRDefault="004C6421">
            <w:pPr>
              <w:rPr>
                <w:noProof/>
              </w:rPr>
            </w:pPr>
          </w:p>
        </w:tc>
      </w:tr>
      <w:tr w:rsidR="004C6421" w14:paraId="3C7EA047"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4AAE918" w14:textId="77777777" w:rsidR="004C6421" w:rsidRDefault="009D1962">
            <w:pPr>
              <w:pStyle w:val="P68B1DB1-Normal8"/>
              <w:rPr>
                <w:noProof/>
              </w:rPr>
            </w:pPr>
            <w:r>
              <w:rPr>
                <w:noProof/>
              </w:rPr>
              <w:t>M2C4-18</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BBD2BC9" w14:textId="77777777" w:rsidR="004C6421" w:rsidRDefault="009D1962">
            <w:pPr>
              <w:pStyle w:val="P68B1DB1-Normal8"/>
              <w:rPr>
                <w:noProof/>
              </w:rPr>
            </w:pPr>
            <w:r>
              <w:rPr>
                <w:noProof/>
              </w:rPr>
              <w:t>Inwestycje. 3.1: Ochrona i poprawa stanu lasów miejskich i podmiejskich</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345B7C8" w14:textId="714CDCB4" w:rsidR="004C6421" w:rsidRDefault="00CC179E">
            <w:pPr>
              <w:pStyle w:val="P68B1DB1-Normal8"/>
              <w:rPr>
                <w:noProof/>
              </w:rPr>
            </w:pPr>
            <w:r>
              <w:rPr>
                <w:noProof/>
              </w:rPr>
              <w:t>Milowy</w:t>
            </w:r>
          </w:p>
        </w:tc>
        <w:tc>
          <w:tcPr>
            <w:tcW w:w="296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4A82D81" w14:textId="77777777" w:rsidR="004C6421" w:rsidRDefault="009D1962">
            <w:pPr>
              <w:pStyle w:val="P68B1DB1-Normal8"/>
              <w:rPr>
                <w:noProof/>
              </w:rPr>
            </w:pPr>
            <w:r>
              <w:rPr>
                <w:noProof/>
              </w:rPr>
              <w:t xml:space="preserve">Wejście w życie zmienionych zmian prawnych dotyczących ochrony i waloryzacji zielonych obszarów miejskich i podmiejskich </w:t>
            </w:r>
          </w:p>
        </w:tc>
        <w:tc>
          <w:tcPr>
            <w:tcW w:w="236" w:type="dxa"/>
            <w:tcBorders>
              <w:top w:val="nil"/>
              <w:left w:val="single" w:sz="8" w:space="0" w:color="auto"/>
              <w:bottom w:val="nil"/>
              <w:right w:val="nil"/>
            </w:tcBorders>
            <w:vAlign w:val="center"/>
          </w:tcPr>
          <w:p w14:paraId="62E66A08" w14:textId="77777777" w:rsidR="004C6421" w:rsidRDefault="004C6421">
            <w:pPr>
              <w:rPr>
                <w:noProof/>
              </w:rPr>
            </w:pPr>
          </w:p>
        </w:tc>
      </w:tr>
      <w:tr w:rsidR="004C6421" w14:paraId="465CCD0A"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0D7A8CB" w14:textId="77777777" w:rsidR="004C6421" w:rsidRDefault="009D1962">
            <w:pPr>
              <w:pStyle w:val="P68B1DB1-Normal8"/>
              <w:rPr>
                <w:noProof/>
              </w:rPr>
            </w:pPr>
            <w:r>
              <w:rPr>
                <w:noProof/>
              </w:rPr>
              <w:t>M3C1-1</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C736E41" w14:textId="77777777" w:rsidR="004C6421" w:rsidRDefault="009D1962">
            <w:pPr>
              <w:pStyle w:val="P68B1DB1-Normal8"/>
              <w:rPr>
                <w:noProof/>
              </w:rPr>
            </w:pPr>
            <w:r>
              <w:rPr>
                <w:noProof/>
              </w:rPr>
              <w:t>Reforma 1.1 – Przyspieszenie procesu zatwierdzania umowy między MIT a RFI</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3598CC8" w14:textId="2CBBE78B" w:rsidR="004C6421" w:rsidRDefault="00CC179E">
            <w:pPr>
              <w:pStyle w:val="P68B1DB1-Normal8"/>
              <w:rPr>
                <w:noProof/>
              </w:rPr>
            </w:pPr>
            <w:r>
              <w:rPr>
                <w:noProof/>
              </w:rPr>
              <w:t>Milowy</w:t>
            </w:r>
          </w:p>
        </w:tc>
        <w:tc>
          <w:tcPr>
            <w:tcW w:w="296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D7A8DFB" w14:textId="77777777" w:rsidR="004C6421" w:rsidRDefault="009D1962">
            <w:pPr>
              <w:pStyle w:val="P68B1DB1-Normal8"/>
              <w:rPr>
                <w:noProof/>
              </w:rPr>
            </w:pPr>
            <w:r>
              <w:rPr>
                <w:noProof/>
              </w:rPr>
              <w:t>Wejście w życie zmiany legislacyjnej dotyczącej procesu zatwierdzania Contratti di Programma (CdP)</w:t>
            </w:r>
          </w:p>
        </w:tc>
        <w:tc>
          <w:tcPr>
            <w:tcW w:w="236" w:type="dxa"/>
            <w:tcBorders>
              <w:top w:val="nil"/>
              <w:left w:val="single" w:sz="8" w:space="0" w:color="auto"/>
              <w:bottom w:val="nil"/>
              <w:right w:val="nil"/>
            </w:tcBorders>
            <w:vAlign w:val="center"/>
          </w:tcPr>
          <w:p w14:paraId="01A587F1" w14:textId="77777777" w:rsidR="004C6421" w:rsidRDefault="004C6421">
            <w:pPr>
              <w:rPr>
                <w:noProof/>
              </w:rPr>
            </w:pPr>
          </w:p>
        </w:tc>
      </w:tr>
      <w:tr w:rsidR="004C6421" w14:paraId="35D06DE7"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132E414" w14:textId="77777777" w:rsidR="004C6421" w:rsidRDefault="009D1962">
            <w:pPr>
              <w:pStyle w:val="P68B1DB1-Normal8"/>
              <w:rPr>
                <w:noProof/>
              </w:rPr>
            </w:pPr>
            <w:r>
              <w:rPr>
                <w:noProof/>
              </w:rPr>
              <w:t>M3C1-2</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864CAB3" w14:textId="77777777" w:rsidR="004C6421" w:rsidRDefault="009D1962">
            <w:pPr>
              <w:pStyle w:val="P68B1DB1-Normal8"/>
              <w:rPr>
                <w:noProof/>
              </w:rPr>
            </w:pPr>
            <w:r>
              <w:rPr>
                <w:noProof/>
              </w:rPr>
              <w:t>Reforma 1.2 – Przyspieszenie procesu zatwierdzania projektów</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DC1238C" w14:textId="3FAE869A" w:rsidR="004C6421" w:rsidRDefault="00CC179E">
            <w:pPr>
              <w:pStyle w:val="P68B1DB1-Normal8"/>
              <w:rPr>
                <w:noProof/>
              </w:rPr>
            </w:pPr>
            <w:r>
              <w:rPr>
                <w:noProof/>
              </w:rPr>
              <w:t>Milowy</w:t>
            </w:r>
          </w:p>
        </w:tc>
        <w:tc>
          <w:tcPr>
            <w:tcW w:w="296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57D88A0" w14:textId="77777777" w:rsidR="004C6421" w:rsidRDefault="009D1962">
            <w:pPr>
              <w:pStyle w:val="P68B1DB1-Normal8"/>
              <w:rPr>
                <w:noProof/>
              </w:rPr>
            </w:pPr>
            <w:r>
              <w:rPr>
                <w:noProof/>
              </w:rPr>
              <w:t>Wejście w życie zmiany regulacyjnej, która skraca czas zatwierdzania projektów z 11 do sześciu miesięcy</w:t>
            </w:r>
          </w:p>
        </w:tc>
        <w:tc>
          <w:tcPr>
            <w:tcW w:w="236" w:type="dxa"/>
            <w:tcBorders>
              <w:top w:val="nil"/>
              <w:left w:val="single" w:sz="8" w:space="0" w:color="auto"/>
              <w:bottom w:val="nil"/>
              <w:right w:val="nil"/>
            </w:tcBorders>
            <w:vAlign w:val="center"/>
          </w:tcPr>
          <w:p w14:paraId="4BEF4900" w14:textId="77777777" w:rsidR="004C6421" w:rsidRDefault="004C6421">
            <w:pPr>
              <w:rPr>
                <w:noProof/>
              </w:rPr>
            </w:pPr>
          </w:p>
        </w:tc>
      </w:tr>
      <w:tr w:rsidR="004C6421" w14:paraId="657F442D"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814F5C9" w14:textId="77777777" w:rsidR="004C6421" w:rsidRDefault="009D1962">
            <w:pPr>
              <w:pStyle w:val="P68B1DB1-Normal8"/>
              <w:rPr>
                <w:noProof/>
              </w:rPr>
            </w:pPr>
            <w:r>
              <w:rPr>
                <w:noProof/>
              </w:rPr>
              <w:t>M3C1-21</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725E2B4" w14:textId="77777777" w:rsidR="004C6421" w:rsidRDefault="009D1962">
            <w:pPr>
              <w:pStyle w:val="P68B1DB1-Normal8"/>
              <w:rPr>
                <w:noProof/>
              </w:rPr>
            </w:pPr>
            <w:r>
              <w:rPr>
                <w:noProof/>
              </w:rPr>
              <w:t>Reforma 2.1 – Wdrożenie niedawnego „dekretu upraszczającego” (przekształconego w ustawę nr 120 z dnia 11 września 2020 r.) poprzez wydanie dekretu dotyczącego przyjęcia „Wytycznych dotyczących klasyfikacji ryzyka i zarządzania nim, oceny bezpieczeństwa i monitorowania istniejących mostów”</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377068F" w14:textId="256EAA3F" w:rsidR="004C6421" w:rsidRDefault="00CC179E">
            <w:pPr>
              <w:pStyle w:val="P68B1DB1-Normal8"/>
              <w:rPr>
                <w:noProof/>
              </w:rPr>
            </w:pPr>
            <w:r>
              <w:rPr>
                <w:noProof/>
              </w:rPr>
              <w:t>Milowy</w:t>
            </w:r>
          </w:p>
        </w:tc>
        <w:tc>
          <w:tcPr>
            <w:tcW w:w="296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8435679" w14:textId="77777777" w:rsidR="004C6421" w:rsidRDefault="009D1962">
            <w:pPr>
              <w:pStyle w:val="P68B1DB1-Normal8"/>
              <w:rPr>
                <w:noProof/>
              </w:rPr>
            </w:pPr>
            <w:r>
              <w:rPr>
                <w:noProof/>
              </w:rPr>
              <w:t>Wejście w życie „Wytycznych dotyczących klasyfikacji ryzyka i zarządzania nim, oceny bezpieczeństwa i monitorowania istniejących mostów”</w:t>
            </w:r>
          </w:p>
        </w:tc>
        <w:tc>
          <w:tcPr>
            <w:tcW w:w="236" w:type="dxa"/>
            <w:tcBorders>
              <w:top w:val="nil"/>
              <w:left w:val="single" w:sz="8" w:space="0" w:color="auto"/>
              <w:bottom w:val="nil"/>
              <w:right w:val="nil"/>
            </w:tcBorders>
            <w:vAlign w:val="center"/>
          </w:tcPr>
          <w:p w14:paraId="1A590E1E" w14:textId="77777777" w:rsidR="004C6421" w:rsidRDefault="004C6421">
            <w:pPr>
              <w:rPr>
                <w:noProof/>
              </w:rPr>
            </w:pPr>
          </w:p>
        </w:tc>
      </w:tr>
      <w:tr w:rsidR="004C6421" w14:paraId="2D65111F"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E6763CA" w14:textId="77777777" w:rsidR="004C6421" w:rsidRDefault="009D1962">
            <w:pPr>
              <w:pStyle w:val="P68B1DB1-Normal8"/>
              <w:rPr>
                <w:noProof/>
              </w:rPr>
            </w:pPr>
            <w:r>
              <w:rPr>
                <w:noProof/>
              </w:rPr>
              <w:t>M3C1-22</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F6C165F" w14:textId="77777777" w:rsidR="004C6421" w:rsidRDefault="009D1962">
            <w:pPr>
              <w:pStyle w:val="P68B1DB1-Normal8"/>
              <w:rPr>
                <w:noProof/>
              </w:rPr>
            </w:pPr>
            <w:r>
              <w:rPr>
                <w:noProof/>
              </w:rPr>
              <w:t>Reforma 2.2 – Przeniesienie własności mostów i wiaduktów z dróg niższego rzędu na drogi wyższego rzędu</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0A31A1F" w14:textId="218606BC" w:rsidR="004C6421" w:rsidRDefault="00CC179E">
            <w:pPr>
              <w:pStyle w:val="P68B1DB1-Normal8"/>
              <w:rPr>
                <w:noProof/>
              </w:rPr>
            </w:pPr>
            <w:r>
              <w:rPr>
                <w:noProof/>
              </w:rPr>
              <w:t>Milowy</w:t>
            </w:r>
          </w:p>
        </w:tc>
        <w:tc>
          <w:tcPr>
            <w:tcW w:w="296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C2DE868" w14:textId="77777777" w:rsidR="004C6421" w:rsidRDefault="009D1962">
            <w:pPr>
              <w:pStyle w:val="P68B1DB1-Normal8"/>
              <w:rPr>
                <w:noProof/>
              </w:rPr>
            </w:pPr>
            <w:r>
              <w:rPr>
                <w:noProof/>
              </w:rPr>
              <w:t>Przeniesienie własności mostów, wiaduktów i przejść z dróg niższego rzędu na drogi wyższego rzędu (drogi drogowe i główne drogi krajowe)</w:t>
            </w:r>
          </w:p>
        </w:tc>
        <w:tc>
          <w:tcPr>
            <w:tcW w:w="236" w:type="dxa"/>
            <w:tcBorders>
              <w:top w:val="nil"/>
              <w:left w:val="single" w:sz="8" w:space="0" w:color="auto"/>
              <w:bottom w:val="nil"/>
              <w:right w:val="nil"/>
            </w:tcBorders>
            <w:vAlign w:val="center"/>
          </w:tcPr>
          <w:p w14:paraId="0839D31F" w14:textId="77777777" w:rsidR="004C6421" w:rsidRDefault="004C6421">
            <w:pPr>
              <w:rPr>
                <w:noProof/>
              </w:rPr>
            </w:pPr>
          </w:p>
        </w:tc>
      </w:tr>
      <w:tr w:rsidR="004C6421" w14:paraId="2E78B58A"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94EA955" w14:textId="77777777" w:rsidR="004C6421" w:rsidRDefault="009D1962">
            <w:pPr>
              <w:pStyle w:val="P68B1DB1-Normal8"/>
              <w:rPr>
                <w:noProof/>
              </w:rPr>
            </w:pPr>
            <w:r>
              <w:rPr>
                <w:noProof/>
              </w:rPr>
              <w:t>M4C1-27</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9C2D7E6" w14:textId="77777777" w:rsidR="004C6421" w:rsidRDefault="009D1962">
            <w:pPr>
              <w:pStyle w:val="P68B1DB1-Normal8"/>
              <w:rPr>
                <w:noProof/>
              </w:rPr>
            </w:pPr>
            <w:r>
              <w:rPr>
                <w:noProof/>
              </w:rPr>
              <w:t>Reforma 1.7: Reforma przepisów dotyczących mieszkalnictwa dla studentów i inwestycje w mieszkalnictwo studenckie</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2E19155" w14:textId="2DBD1797" w:rsidR="004C6421" w:rsidRDefault="00CC179E">
            <w:pPr>
              <w:pStyle w:val="P68B1DB1-Normal8"/>
              <w:rPr>
                <w:noProof/>
              </w:rPr>
            </w:pPr>
            <w:r>
              <w:rPr>
                <w:noProof/>
              </w:rPr>
              <w:t>Milowy</w:t>
            </w:r>
          </w:p>
        </w:tc>
        <w:tc>
          <w:tcPr>
            <w:tcW w:w="296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291509B" w14:textId="77777777" w:rsidR="004C6421" w:rsidRDefault="009D1962">
            <w:pPr>
              <w:pStyle w:val="P68B1DB1-Normal8"/>
              <w:rPr>
                <w:noProof/>
              </w:rPr>
            </w:pPr>
            <w:r>
              <w:rPr>
                <w:noProof/>
              </w:rPr>
              <w:t>Wejście w życie przepisów zmieniających obecne przepisy dotyczące mieszkań studenckich.</w:t>
            </w:r>
          </w:p>
        </w:tc>
        <w:tc>
          <w:tcPr>
            <w:tcW w:w="236" w:type="dxa"/>
            <w:tcBorders>
              <w:top w:val="nil"/>
              <w:left w:val="single" w:sz="8" w:space="0" w:color="auto"/>
              <w:bottom w:val="nil"/>
              <w:right w:val="nil"/>
            </w:tcBorders>
            <w:vAlign w:val="center"/>
          </w:tcPr>
          <w:p w14:paraId="7BCE2545" w14:textId="77777777" w:rsidR="004C6421" w:rsidRDefault="004C6421">
            <w:pPr>
              <w:rPr>
                <w:noProof/>
              </w:rPr>
            </w:pPr>
          </w:p>
        </w:tc>
      </w:tr>
      <w:tr w:rsidR="004C6421" w14:paraId="76524346"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7D93124" w14:textId="77777777" w:rsidR="004C6421" w:rsidRDefault="009D1962">
            <w:pPr>
              <w:pStyle w:val="P68B1DB1-Normal8"/>
              <w:rPr>
                <w:noProof/>
              </w:rPr>
            </w:pPr>
            <w:r>
              <w:rPr>
                <w:noProof/>
              </w:rPr>
              <w:t>M5C3-10</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23F3342" w14:textId="77777777" w:rsidR="004C6421" w:rsidRDefault="009D1962">
            <w:pPr>
              <w:pStyle w:val="P68B1DB1-Normal8"/>
              <w:rPr>
                <w:noProof/>
              </w:rPr>
            </w:pPr>
            <w:r>
              <w:rPr>
                <w:noProof/>
              </w:rPr>
              <w:t>Reforma1: Uproszczenie procedur i wzmocnienie stanowiska komisarza w specjalnych strefach ekonomicznych</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D9E2426" w14:textId="4A3EC5A9" w:rsidR="004C6421" w:rsidRDefault="00CC179E">
            <w:pPr>
              <w:pStyle w:val="P68B1DB1-Normal8"/>
              <w:rPr>
                <w:noProof/>
              </w:rPr>
            </w:pPr>
            <w:r>
              <w:rPr>
                <w:noProof/>
              </w:rPr>
              <w:t>Milowy</w:t>
            </w:r>
          </w:p>
        </w:tc>
        <w:tc>
          <w:tcPr>
            <w:tcW w:w="296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6DD8FFC" w14:textId="77777777" w:rsidR="004C6421" w:rsidRDefault="009D1962">
            <w:pPr>
              <w:pStyle w:val="P68B1DB1-Normal8"/>
              <w:rPr>
                <w:noProof/>
              </w:rPr>
            </w:pPr>
            <w:r>
              <w:rPr>
                <w:noProof/>
              </w:rPr>
              <w:t>Wejście w życie rozporządzenia w celu uproszczenia procedur i wzmocnienia roli komisarza w specjalnych strefach ekonomicznych</w:t>
            </w:r>
          </w:p>
        </w:tc>
        <w:tc>
          <w:tcPr>
            <w:tcW w:w="236" w:type="dxa"/>
            <w:tcBorders>
              <w:top w:val="nil"/>
              <w:left w:val="single" w:sz="8" w:space="0" w:color="auto"/>
              <w:bottom w:val="nil"/>
              <w:right w:val="nil"/>
            </w:tcBorders>
            <w:vAlign w:val="center"/>
          </w:tcPr>
          <w:p w14:paraId="0CE989A5" w14:textId="77777777" w:rsidR="004C6421" w:rsidRDefault="004C6421">
            <w:pPr>
              <w:rPr>
                <w:noProof/>
              </w:rPr>
            </w:pPr>
          </w:p>
        </w:tc>
      </w:tr>
      <w:tr w:rsidR="004C6421" w14:paraId="2C459ED1"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CEBC772" w14:textId="77777777" w:rsidR="004C6421" w:rsidRDefault="009D1962">
            <w:pPr>
              <w:pStyle w:val="P68B1DB1-Normal8"/>
              <w:rPr>
                <w:noProof/>
              </w:rPr>
            </w:pPr>
            <w:r>
              <w:rPr>
                <w:noProof/>
              </w:rPr>
              <w:t>M5C3-11</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C4F335D" w14:textId="77777777" w:rsidR="004C6421" w:rsidRDefault="009D1962">
            <w:pPr>
              <w:pStyle w:val="P68B1DB1-Normal8"/>
              <w:rPr>
                <w:noProof/>
              </w:rPr>
            </w:pPr>
            <w:r>
              <w:rPr>
                <w:noProof/>
              </w:rPr>
              <w:t xml:space="preserve">Inwestycje 1.4: Inwestycje infrastrukturalne dla specjalnej strefy ekonomicznej </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5722D2F" w14:textId="6531BB02" w:rsidR="004C6421" w:rsidRDefault="00CC179E">
            <w:pPr>
              <w:pStyle w:val="P68B1DB1-Normal8"/>
              <w:rPr>
                <w:noProof/>
              </w:rPr>
            </w:pPr>
            <w:r>
              <w:rPr>
                <w:noProof/>
              </w:rPr>
              <w:t>Milowy</w:t>
            </w:r>
          </w:p>
        </w:tc>
        <w:tc>
          <w:tcPr>
            <w:tcW w:w="296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83C38F9" w14:textId="77777777" w:rsidR="004C6421" w:rsidRDefault="009D1962">
            <w:pPr>
              <w:pStyle w:val="P68B1DB1-Normal8"/>
              <w:rPr>
                <w:noProof/>
              </w:rPr>
            </w:pPr>
            <w:r>
              <w:rPr>
                <w:noProof/>
              </w:rPr>
              <w:t>Wejście w życie dekretów ministerstwa zatwierdzających plany operacyjne dla wszystkich ośmiu specjalnych stref ekonomicznych</w:t>
            </w:r>
          </w:p>
        </w:tc>
        <w:tc>
          <w:tcPr>
            <w:tcW w:w="236" w:type="dxa"/>
            <w:tcBorders>
              <w:top w:val="nil"/>
              <w:left w:val="single" w:sz="8" w:space="0" w:color="auto"/>
              <w:bottom w:val="nil"/>
              <w:right w:val="nil"/>
            </w:tcBorders>
            <w:vAlign w:val="center"/>
          </w:tcPr>
          <w:p w14:paraId="59625437" w14:textId="77777777" w:rsidR="004C6421" w:rsidRDefault="004C6421">
            <w:pPr>
              <w:rPr>
                <w:noProof/>
              </w:rPr>
            </w:pPr>
          </w:p>
        </w:tc>
      </w:tr>
      <w:tr w:rsidR="004C6421" w14:paraId="1491E5EF"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5EA93CB" w14:textId="77777777" w:rsidR="004C6421" w:rsidRDefault="009D1962">
            <w:pPr>
              <w:pStyle w:val="P68B1DB1-Normal8"/>
              <w:rPr>
                <w:noProof/>
              </w:rPr>
            </w:pPr>
            <w:r>
              <w:rPr>
                <w:noProof/>
              </w:rPr>
              <w:t>M6C2-4</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3347A63" w14:textId="77777777" w:rsidR="004C6421" w:rsidRDefault="009D1962">
            <w:pPr>
              <w:pStyle w:val="P68B1DB1-Normal38"/>
              <w:rPr>
                <w:noProof/>
              </w:rPr>
            </w:pPr>
            <w:r>
              <w:rPr>
                <w:noProof/>
              </w:rPr>
              <w:t>Inwestycje 1.1: Cyfrowa aktualizacja sprzętu technologicznego szpitali</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F47DED0" w14:textId="3FE03B08" w:rsidR="004C6421" w:rsidRDefault="00CC179E">
            <w:pPr>
              <w:pStyle w:val="P68B1DB1-Normal38"/>
              <w:rPr>
                <w:noProof/>
              </w:rPr>
            </w:pPr>
            <w:r>
              <w:rPr>
                <w:noProof/>
              </w:rPr>
              <w:t>Milowy</w:t>
            </w:r>
          </w:p>
        </w:tc>
        <w:tc>
          <w:tcPr>
            <w:tcW w:w="296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33BA9E7" w14:textId="77777777" w:rsidR="004C6421" w:rsidRDefault="009D1962">
            <w:pPr>
              <w:pStyle w:val="P68B1DB1-Normal38"/>
              <w:rPr>
                <w:noProof/>
              </w:rPr>
            </w:pPr>
            <w:r>
              <w:rPr>
                <w:noProof/>
              </w:rPr>
              <w:t>Plan reorganizacji zatwierdzony przez Ministerstwo Zdrowia/regiony Włoch</w:t>
            </w:r>
          </w:p>
        </w:tc>
        <w:tc>
          <w:tcPr>
            <w:tcW w:w="236" w:type="dxa"/>
            <w:tcBorders>
              <w:top w:val="nil"/>
              <w:left w:val="single" w:sz="8" w:space="0" w:color="auto"/>
              <w:bottom w:val="nil"/>
              <w:right w:val="nil"/>
            </w:tcBorders>
            <w:vAlign w:val="center"/>
          </w:tcPr>
          <w:p w14:paraId="02F1E2AE" w14:textId="77777777" w:rsidR="004C6421" w:rsidRDefault="004C6421">
            <w:pPr>
              <w:rPr>
                <w:noProof/>
              </w:rPr>
            </w:pPr>
          </w:p>
        </w:tc>
      </w:tr>
      <w:tr w:rsidR="004C6421" w14:paraId="4A9FCA87" w14:textId="77777777">
        <w:trPr>
          <w:trHeight w:val="300"/>
        </w:trPr>
        <w:tc>
          <w:tcPr>
            <w:tcW w:w="1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3C2EC88F" w14:textId="77777777" w:rsidR="004C6421" w:rsidRDefault="009D1962">
            <w:pPr>
              <w:pStyle w:val="P68B1DB1-Normal8"/>
              <w:jc w:val="center"/>
              <w:rPr>
                <w:noProof/>
              </w:rPr>
            </w:pPr>
            <w:r>
              <w:rPr>
                <w:noProof/>
              </w:rPr>
              <w:t xml:space="preserve"> </w:t>
            </w:r>
          </w:p>
        </w:tc>
        <w:tc>
          <w:tcPr>
            <w:tcW w:w="354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69D0F269" w14:textId="77777777" w:rsidR="004C6421" w:rsidRDefault="009D1962">
            <w:pPr>
              <w:pStyle w:val="P68B1DB1-Normal8"/>
              <w:rPr>
                <w:noProof/>
              </w:rPr>
            </w:pPr>
            <w:r>
              <w:rPr>
                <w:noProof/>
              </w:rPr>
              <w:t xml:space="preserve"> </w:t>
            </w:r>
          </w:p>
        </w:tc>
        <w:tc>
          <w:tcPr>
            <w:tcW w:w="141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0FF08588" w14:textId="77777777" w:rsidR="004C6421" w:rsidRDefault="009D1962">
            <w:pPr>
              <w:pStyle w:val="P68B1DB1-Normal8"/>
              <w:rPr>
                <w:noProof/>
              </w:rPr>
            </w:pPr>
            <w:r>
              <w:rPr>
                <w:noProof/>
              </w:rPr>
              <w:t>Kwota transzy</w:t>
            </w:r>
          </w:p>
        </w:tc>
        <w:tc>
          <w:tcPr>
            <w:tcW w:w="296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193F6EA7" w14:textId="49769EB9" w:rsidR="004C6421" w:rsidRDefault="009D1962">
            <w:pPr>
              <w:rPr>
                <w:noProof/>
              </w:rPr>
            </w:pPr>
            <w:r>
              <w:rPr>
                <w:noProof/>
                <w:color w:val="006100"/>
                <w:sz w:val="20"/>
              </w:rPr>
              <w:t>12643678161 EUR</w:t>
            </w:r>
            <w:r>
              <w:rPr>
                <w:noProof/>
                <w:sz w:val="23"/>
              </w:rPr>
              <w:t xml:space="preserve">  </w:t>
            </w:r>
          </w:p>
        </w:tc>
        <w:tc>
          <w:tcPr>
            <w:tcW w:w="236" w:type="dxa"/>
            <w:tcBorders>
              <w:top w:val="nil"/>
              <w:left w:val="single" w:sz="8" w:space="0" w:color="auto"/>
              <w:bottom w:val="nil"/>
              <w:right w:val="nil"/>
            </w:tcBorders>
            <w:vAlign w:val="center"/>
          </w:tcPr>
          <w:p w14:paraId="3184B1A5" w14:textId="77777777" w:rsidR="004C6421" w:rsidRDefault="004C6421">
            <w:pPr>
              <w:rPr>
                <w:noProof/>
              </w:rPr>
            </w:pPr>
          </w:p>
        </w:tc>
      </w:tr>
    </w:tbl>
    <w:p w14:paraId="1EE23001" w14:textId="5D3A02D7" w:rsidR="004C6421" w:rsidRDefault="004C6421">
      <w:pPr>
        <w:pStyle w:val="ListParagraph"/>
        <w:spacing w:before="0" w:after="0" w:line="279" w:lineRule="auto"/>
        <w:ind w:left="850"/>
        <w:rPr>
          <w:noProof/>
        </w:rPr>
      </w:pPr>
    </w:p>
    <w:p w14:paraId="158BCA13" w14:textId="77777777" w:rsidR="004C6421" w:rsidRDefault="009D1962">
      <w:pPr>
        <w:spacing w:after="160" w:line="259" w:lineRule="auto"/>
        <w:rPr>
          <w:noProof/>
        </w:rPr>
      </w:pPr>
      <w:r>
        <w:rPr>
          <w:noProof/>
        </w:rPr>
        <w:br w:type="page"/>
      </w:r>
    </w:p>
    <w:p w14:paraId="64604B6A" w14:textId="77777777" w:rsidR="004C6421" w:rsidRDefault="004C6421">
      <w:pPr>
        <w:pStyle w:val="ListParagraph"/>
        <w:spacing w:before="0" w:after="0" w:line="279" w:lineRule="auto"/>
        <w:ind w:left="850"/>
        <w:rPr>
          <w:noProof/>
        </w:rPr>
      </w:pPr>
    </w:p>
    <w:p w14:paraId="6F2970BC" w14:textId="66B3E843" w:rsidR="004C6421" w:rsidRDefault="009D1962">
      <w:pPr>
        <w:pStyle w:val="ListParagraph"/>
        <w:numPr>
          <w:ilvl w:val="1"/>
          <w:numId w:val="145"/>
        </w:numPr>
        <w:spacing w:before="0" w:after="0" w:line="279" w:lineRule="auto"/>
        <w:ind w:left="850" w:hanging="850"/>
        <w:rPr>
          <w:noProof/>
        </w:rPr>
      </w:pPr>
      <w:r>
        <w:rPr>
          <w:noProof/>
        </w:rPr>
        <w:t>Druga transza (wsparcie pożyczkowe):</w:t>
      </w:r>
    </w:p>
    <w:tbl>
      <w:tblPr>
        <w:tblW w:w="9594" w:type="dxa"/>
        <w:tblInd w:w="120" w:type="dxa"/>
        <w:tblLayout w:type="fixed"/>
        <w:tblLook w:val="04A0" w:firstRow="1" w:lastRow="0" w:firstColumn="1" w:lastColumn="0" w:noHBand="0" w:noVBand="1"/>
      </w:tblPr>
      <w:tblGrid>
        <w:gridCol w:w="1200"/>
        <w:gridCol w:w="2553"/>
        <w:gridCol w:w="1170"/>
        <w:gridCol w:w="4435"/>
        <w:gridCol w:w="236"/>
      </w:tblGrid>
      <w:tr w:rsidR="004C6421" w14:paraId="263E9799" w14:textId="77777777">
        <w:trPr>
          <w:trHeight w:val="900"/>
          <w:tblHeader/>
        </w:trPr>
        <w:tc>
          <w:tcPr>
            <w:tcW w:w="1200"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23D6D861" w14:textId="77777777" w:rsidR="004C6421" w:rsidRDefault="009D1962">
            <w:pPr>
              <w:pStyle w:val="P68B1DB1-Normal36"/>
              <w:jc w:val="center"/>
              <w:rPr>
                <w:noProof/>
              </w:rPr>
            </w:pPr>
            <w:r>
              <w:rPr>
                <w:noProof/>
              </w:rPr>
              <w:t>Numer porządkowy</w:t>
            </w:r>
          </w:p>
        </w:tc>
        <w:tc>
          <w:tcPr>
            <w:tcW w:w="2553"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0437D34A" w14:textId="77777777" w:rsidR="004C6421" w:rsidRDefault="009D1962">
            <w:pPr>
              <w:pStyle w:val="P68B1DB1-Normal36"/>
              <w:jc w:val="center"/>
              <w:rPr>
                <w:noProof/>
              </w:rPr>
            </w:pPr>
            <w:r>
              <w:rPr>
                <w:noProof/>
              </w:rPr>
              <w:t>Powiązane działanie (reforma lub inwestycja)</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6CB16D63" w14:textId="77777777" w:rsidR="004C6421" w:rsidRDefault="009D1962">
            <w:pPr>
              <w:pStyle w:val="P68B1DB1-Normal36"/>
              <w:jc w:val="center"/>
              <w:rPr>
                <w:noProof/>
              </w:rPr>
            </w:pPr>
            <w:r>
              <w:rPr>
                <w:noProof/>
              </w:rPr>
              <w:t>Kamień milowy/wartość docelowa</w:t>
            </w:r>
          </w:p>
        </w:tc>
        <w:tc>
          <w:tcPr>
            <w:tcW w:w="4435"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6DBE4EF2" w14:textId="77777777" w:rsidR="004C6421" w:rsidRDefault="009D1962">
            <w:pPr>
              <w:pStyle w:val="P68B1DB1-Normal36"/>
              <w:jc w:val="center"/>
              <w:rPr>
                <w:noProof/>
              </w:rPr>
            </w:pPr>
            <w:r>
              <w:rPr>
                <w:noProof/>
              </w:rPr>
              <w:t>Nazwa</w:t>
            </w:r>
          </w:p>
        </w:tc>
        <w:tc>
          <w:tcPr>
            <w:tcW w:w="236" w:type="dxa"/>
            <w:tcBorders>
              <w:top w:val="nil"/>
              <w:left w:val="single" w:sz="4" w:space="0" w:color="auto"/>
              <w:bottom w:val="nil"/>
              <w:right w:val="nil"/>
            </w:tcBorders>
            <w:vAlign w:val="center"/>
          </w:tcPr>
          <w:p w14:paraId="38E78DFB" w14:textId="77777777" w:rsidR="004C6421" w:rsidRDefault="004C6421">
            <w:pPr>
              <w:rPr>
                <w:noProof/>
              </w:rPr>
            </w:pPr>
          </w:p>
        </w:tc>
      </w:tr>
      <w:tr w:rsidR="004C6421" w14:paraId="55A8667A" w14:textId="77777777">
        <w:trPr>
          <w:trHeight w:val="510"/>
        </w:trPr>
        <w:tc>
          <w:tcPr>
            <w:tcW w:w="1200" w:type="dxa"/>
            <w:vMerge/>
            <w:tcBorders>
              <w:top w:val="single" w:sz="4" w:space="0" w:color="auto"/>
              <w:left w:val="single" w:sz="4" w:space="0" w:color="auto"/>
              <w:bottom w:val="single" w:sz="4" w:space="0" w:color="auto"/>
              <w:right w:val="single" w:sz="4" w:space="0" w:color="auto"/>
            </w:tcBorders>
            <w:vAlign w:val="center"/>
          </w:tcPr>
          <w:p w14:paraId="4A4A9203" w14:textId="77777777" w:rsidR="004C6421" w:rsidRDefault="004C6421">
            <w:pPr>
              <w:rPr>
                <w:noProof/>
              </w:rPr>
            </w:pPr>
          </w:p>
        </w:tc>
        <w:tc>
          <w:tcPr>
            <w:tcW w:w="2553" w:type="dxa"/>
            <w:vMerge/>
            <w:tcBorders>
              <w:top w:val="single" w:sz="4" w:space="0" w:color="auto"/>
              <w:left w:val="single" w:sz="4" w:space="0" w:color="auto"/>
              <w:bottom w:val="single" w:sz="4" w:space="0" w:color="auto"/>
              <w:right w:val="single" w:sz="4" w:space="0" w:color="auto"/>
            </w:tcBorders>
            <w:vAlign w:val="center"/>
          </w:tcPr>
          <w:p w14:paraId="29D0573B" w14:textId="77777777" w:rsidR="004C6421" w:rsidRDefault="004C6421">
            <w:pPr>
              <w:rPr>
                <w:noProof/>
              </w:rPr>
            </w:pPr>
          </w:p>
        </w:tc>
        <w:tc>
          <w:tcPr>
            <w:tcW w:w="1170" w:type="dxa"/>
            <w:vMerge/>
            <w:tcBorders>
              <w:top w:val="single" w:sz="4" w:space="0" w:color="auto"/>
              <w:left w:val="single" w:sz="4" w:space="0" w:color="auto"/>
              <w:bottom w:val="single" w:sz="4" w:space="0" w:color="auto"/>
              <w:right w:val="single" w:sz="4" w:space="0" w:color="auto"/>
            </w:tcBorders>
            <w:vAlign w:val="center"/>
          </w:tcPr>
          <w:p w14:paraId="38AF399E" w14:textId="77777777" w:rsidR="004C6421" w:rsidRDefault="004C6421">
            <w:pPr>
              <w:rPr>
                <w:noProof/>
              </w:rPr>
            </w:pPr>
          </w:p>
        </w:tc>
        <w:tc>
          <w:tcPr>
            <w:tcW w:w="4435" w:type="dxa"/>
            <w:vMerge/>
            <w:tcBorders>
              <w:top w:val="single" w:sz="4" w:space="0" w:color="auto"/>
              <w:left w:val="single" w:sz="4" w:space="0" w:color="auto"/>
              <w:bottom w:val="single" w:sz="4" w:space="0" w:color="auto"/>
              <w:right w:val="single" w:sz="4" w:space="0" w:color="auto"/>
            </w:tcBorders>
            <w:vAlign w:val="center"/>
          </w:tcPr>
          <w:p w14:paraId="35422B4E" w14:textId="77777777" w:rsidR="004C6421" w:rsidRDefault="004C6421">
            <w:pPr>
              <w:rPr>
                <w:noProof/>
              </w:rPr>
            </w:pPr>
          </w:p>
        </w:tc>
        <w:tc>
          <w:tcPr>
            <w:tcW w:w="236" w:type="dxa"/>
            <w:tcBorders>
              <w:top w:val="nil"/>
              <w:left w:val="single" w:sz="4" w:space="0" w:color="auto"/>
              <w:bottom w:val="nil"/>
              <w:right w:val="nil"/>
            </w:tcBorders>
            <w:vAlign w:val="center"/>
          </w:tcPr>
          <w:p w14:paraId="46841F0F" w14:textId="77777777" w:rsidR="004C6421" w:rsidRDefault="004C6421">
            <w:pPr>
              <w:rPr>
                <w:noProof/>
              </w:rPr>
            </w:pPr>
          </w:p>
        </w:tc>
      </w:tr>
      <w:tr w:rsidR="004C6421" w14:paraId="21B840A1" w14:textId="77777777">
        <w:trPr>
          <w:trHeight w:val="300"/>
        </w:trPr>
        <w:tc>
          <w:tcPr>
            <w:tcW w:w="1200"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87042F8" w14:textId="77777777" w:rsidR="004C6421" w:rsidRDefault="009D1962">
            <w:pPr>
              <w:pStyle w:val="P68B1DB1-Normal8"/>
              <w:rPr>
                <w:noProof/>
              </w:rPr>
            </w:pPr>
            <w:r>
              <w:rPr>
                <w:noProof/>
              </w:rPr>
              <w:t>M1C2-28</w:t>
            </w:r>
          </w:p>
        </w:tc>
        <w:tc>
          <w:tcPr>
            <w:tcW w:w="2553"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5C5E61B" w14:textId="77777777" w:rsidR="004C6421" w:rsidRDefault="009D1962">
            <w:pPr>
              <w:pStyle w:val="P68B1DB1-Normal8"/>
              <w:rPr>
                <w:noProof/>
              </w:rPr>
            </w:pPr>
            <w:r>
              <w:rPr>
                <w:noProof/>
              </w:rPr>
              <w:t>Inwestycje 5.2: Konkurencyjność i odporność łańcuchów dostaw</w:t>
            </w:r>
          </w:p>
        </w:tc>
        <w:tc>
          <w:tcPr>
            <w:tcW w:w="1170"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419749F" w14:textId="18456CB0" w:rsidR="004C6421" w:rsidRDefault="00CC179E">
            <w:pPr>
              <w:pStyle w:val="P68B1DB1-Normal8"/>
              <w:rPr>
                <w:noProof/>
              </w:rPr>
            </w:pPr>
            <w:r>
              <w:rPr>
                <w:noProof/>
              </w:rPr>
              <w:t>Milowy</w:t>
            </w:r>
          </w:p>
        </w:tc>
        <w:tc>
          <w:tcPr>
            <w:tcW w:w="4435"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F9BD74B" w14:textId="77777777" w:rsidR="004C6421" w:rsidRDefault="009D1962">
            <w:pPr>
              <w:pStyle w:val="P68B1DB1-Normal8"/>
              <w:rPr>
                <w:noProof/>
              </w:rPr>
            </w:pPr>
            <w:r>
              <w:rPr>
                <w:noProof/>
              </w:rPr>
              <w:t>Wejście w życie dekretu obejmującego politykę inwestycyjną w ramach umów na rozwój</w:t>
            </w:r>
          </w:p>
        </w:tc>
        <w:tc>
          <w:tcPr>
            <w:tcW w:w="236" w:type="dxa"/>
            <w:tcBorders>
              <w:top w:val="nil"/>
              <w:left w:val="single" w:sz="8" w:space="0" w:color="auto"/>
              <w:bottom w:val="nil"/>
              <w:right w:val="nil"/>
            </w:tcBorders>
            <w:vAlign w:val="center"/>
          </w:tcPr>
          <w:p w14:paraId="489F48CA" w14:textId="77777777" w:rsidR="004C6421" w:rsidRDefault="004C6421">
            <w:pPr>
              <w:rPr>
                <w:noProof/>
              </w:rPr>
            </w:pPr>
          </w:p>
        </w:tc>
      </w:tr>
      <w:tr w:rsidR="004C6421" w14:paraId="4E2B3F38" w14:textId="77777777">
        <w:trPr>
          <w:trHeight w:val="300"/>
        </w:trPr>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49432C3" w14:textId="77777777" w:rsidR="004C6421" w:rsidRDefault="009D1962">
            <w:pPr>
              <w:pStyle w:val="P68B1DB1-Normal8"/>
              <w:rPr>
                <w:noProof/>
              </w:rPr>
            </w:pPr>
            <w:r>
              <w:rPr>
                <w:noProof/>
              </w:rPr>
              <w:t>M2C4-27</w:t>
            </w:r>
          </w:p>
        </w:tc>
        <w:tc>
          <w:tcPr>
            <w:tcW w:w="255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46C2740" w14:textId="77777777" w:rsidR="004C6421" w:rsidRDefault="009D1962">
            <w:pPr>
              <w:pStyle w:val="P68B1DB1-Normal8"/>
              <w:rPr>
                <w:noProof/>
              </w:rPr>
            </w:pPr>
            <w:r>
              <w:rPr>
                <w:noProof/>
              </w:rPr>
              <w:t>Reforma 4.1. Uproszczenie prawodawstwa i wzmocnienie zarządzania w celu realizacji inwestycji w infrastrukturę wodociągową</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42A95DF" w14:textId="3A675A0E" w:rsidR="004C6421" w:rsidRDefault="00CC179E">
            <w:pPr>
              <w:pStyle w:val="P68B1DB1-Normal8"/>
              <w:rPr>
                <w:noProof/>
              </w:rPr>
            </w:pPr>
            <w:r>
              <w:rPr>
                <w:noProof/>
              </w:rPr>
              <w:t>Milowy</w:t>
            </w:r>
          </w:p>
        </w:tc>
        <w:tc>
          <w:tcPr>
            <w:tcW w:w="4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0C45AC2" w14:textId="77777777" w:rsidR="004C6421" w:rsidRDefault="009D1962">
            <w:pPr>
              <w:pStyle w:val="P68B1DB1-Normal8"/>
              <w:rPr>
                <w:noProof/>
              </w:rPr>
            </w:pPr>
            <w:r>
              <w:rPr>
                <w:noProof/>
              </w:rPr>
              <w:t xml:space="preserve">Wejście w życie uproszczenia prawodawstwa dotyczącego interwencji w zakresie infrastruktury wody pierwotnej w celu zapewnienia bezpieczeństwa dostaw wody </w:t>
            </w:r>
          </w:p>
        </w:tc>
        <w:tc>
          <w:tcPr>
            <w:tcW w:w="236" w:type="dxa"/>
            <w:tcBorders>
              <w:top w:val="nil"/>
              <w:left w:val="single" w:sz="8" w:space="0" w:color="auto"/>
              <w:bottom w:val="nil"/>
              <w:right w:val="nil"/>
            </w:tcBorders>
            <w:vAlign w:val="center"/>
          </w:tcPr>
          <w:p w14:paraId="67DAC101" w14:textId="77777777" w:rsidR="004C6421" w:rsidRDefault="004C6421">
            <w:pPr>
              <w:rPr>
                <w:noProof/>
              </w:rPr>
            </w:pPr>
          </w:p>
        </w:tc>
      </w:tr>
      <w:tr w:rsidR="004C6421" w14:paraId="3BE038A7" w14:textId="77777777">
        <w:trPr>
          <w:trHeight w:val="300"/>
        </w:trPr>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C252AD9" w14:textId="77777777" w:rsidR="004C6421" w:rsidRDefault="009D1962">
            <w:pPr>
              <w:pStyle w:val="P68B1DB1-Normal8"/>
              <w:rPr>
                <w:noProof/>
              </w:rPr>
            </w:pPr>
            <w:r>
              <w:rPr>
                <w:noProof/>
              </w:rPr>
              <w:t>M5C2-11</w:t>
            </w:r>
          </w:p>
        </w:tc>
        <w:tc>
          <w:tcPr>
            <w:tcW w:w="255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8E9A910" w14:textId="77777777" w:rsidR="004C6421" w:rsidRDefault="009D1962">
            <w:pPr>
              <w:pStyle w:val="P68B1DB1-Normal8"/>
              <w:rPr>
                <w:noProof/>
              </w:rPr>
            </w:pPr>
            <w:r>
              <w:rPr>
                <w:noProof/>
              </w:rPr>
              <w:t>Inwestycje 4 – Inwestycje w projekty rewitalizacji obszarów miejskich mające na celu ograniczenie sytuacji marginalizacji i degradacji społecznej</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707A9BF" w14:textId="29F694D1" w:rsidR="004C6421" w:rsidRDefault="00CC179E">
            <w:pPr>
              <w:pStyle w:val="P68B1DB1-Normal8"/>
              <w:rPr>
                <w:noProof/>
              </w:rPr>
            </w:pPr>
            <w:r>
              <w:rPr>
                <w:noProof/>
              </w:rPr>
              <w:t>Milowy</w:t>
            </w:r>
          </w:p>
        </w:tc>
        <w:tc>
          <w:tcPr>
            <w:tcW w:w="4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C07E38C" w14:textId="77777777" w:rsidR="004C6421" w:rsidRDefault="009D1962">
            <w:pPr>
              <w:pStyle w:val="P68B1DB1-Normal8"/>
              <w:rPr>
                <w:noProof/>
              </w:rPr>
            </w:pPr>
            <w:r>
              <w:rPr>
                <w:noProof/>
              </w:rPr>
              <w:t>Udzielanie wszystkich zamówień publicznych na inwestycje w rewitalizację obszarów miejskich w celu ograniczenia sytuacji marginalizacji i degradacji społecznej, przy czym projekty są zgodne z celami RRF, w tym z zasadą „nie czyń poważnych szkód”</w:t>
            </w:r>
          </w:p>
        </w:tc>
        <w:tc>
          <w:tcPr>
            <w:tcW w:w="236" w:type="dxa"/>
            <w:tcBorders>
              <w:top w:val="nil"/>
              <w:left w:val="single" w:sz="8" w:space="0" w:color="auto"/>
              <w:bottom w:val="nil"/>
              <w:right w:val="nil"/>
            </w:tcBorders>
            <w:vAlign w:val="center"/>
          </w:tcPr>
          <w:p w14:paraId="45B13F8F" w14:textId="77777777" w:rsidR="004C6421" w:rsidRDefault="004C6421">
            <w:pPr>
              <w:rPr>
                <w:noProof/>
              </w:rPr>
            </w:pPr>
          </w:p>
        </w:tc>
      </w:tr>
      <w:tr w:rsidR="004C6421" w14:paraId="4C6C328C" w14:textId="77777777">
        <w:trPr>
          <w:trHeight w:val="300"/>
        </w:trPr>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3EA2122" w14:textId="77777777" w:rsidR="004C6421" w:rsidRDefault="009D1962">
            <w:pPr>
              <w:pStyle w:val="P68B1DB1-Normal8"/>
              <w:rPr>
                <w:noProof/>
              </w:rPr>
            </w:pPr>
            <w:r>
              <w:rPr>
                <w:noProof/>
              </w:rPr>
              <w:t>M5C2-15</w:t>
            </w:r>
          </w:p>
        </w:tc>
        <w:tc>
          <w:tcPr>
            <w:tcW w:w="255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805CD3F" w14:textId="77777777" w:rsidR="004C6421" w:rsidRDefault="009D1962">
            <w:pPr>
              <w:pStyle w:val="P68B1DB1-Normal8"/>
              <w:rPr>
                <w:noProof/>
              </w:rPr>
            </w:pPr>
            <w:r>
              <w:rPr>
                <w:noProof/>
              </w:rPr>
              <w:t>Inwestycje 5 – Zintegrowane plany miejskie – Przeciwdziałanie nielegalnym osiedlom w celu zwalczania wyzysku pracowników w rolnictwie</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19FD70F" w14:textId="73B7E592" w:rsidR="004C6421" w:rsidRDefault="00CC179E">
            <w:pPr>
              <w:pStyle w:val="P68B1DB1-Normal8"/>
              <w:rPr>
                <w:noProof/>
              </w:rPr>
            </w:pPr>
            <w:r>
              <w:rPr>
                <w:noProof/>
              </w:rPr>
              <w:t>Milowy</w:t>
            </w:r>
          </w:p>
        </w:tc>
        <w:tc>
          <w:tcPr>
            <w:tcW w:w="4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C0A26E1" w14:textId="77777777" w:rsidR="004C6421" w:rsidRDefault="009D1962">
            <w:pPr>
              <w:pStyle w:val="P68B1DB1-Normal8"/>
              <w:rPr>
                <w:noProof/>
              </w:rPr>
            </w:pPr>
            <w:r>
              <w:rPr>
                <w:noProof/>
              </w:rPr>
              <w:t>„Tavolo di contrasto allo sfruttamento lavorativo in agricoltura” (dekret ministerialny określający mapowanie nielegalnych osiedli) został przyjęty przez „Tavolo di contrasto allo sfruttamento lavorativo in agricoltura” oraz przyjęto dekret ministerialny w sprawie przydziału zasobów.</w:t>
            </w:r>
          </w:p>
        </w:tc>
        <w:tc>
          <w:tcPr>
            <w:tcW w:w="236" w:type="dxa"/>
            <w:tcBorders>
              <w:top w:val="nil"/>
              <w:left w:val="single" w:sz="8" w:space="0" w:color="auto"/>
              <w:bottom w:val="nil"/>
              <w:right w:val="nil"/>
            </w:tcBorders>
            <w:vAlign w:val="center"/>
          </w:tcPr>
          <w:p w14:paraId="1C8243B5" w14:textId="77777777" w:rsidR="004C6421" w:rsidRDefault="004C6421">
            <w:pPr>
              <w:rPr>
                <w:noProof/>
              </w:rPr>
            </w:pPr>
          </w:p>
        </w:tc>
      </w:tr>
      <w:tr w:rsidR="004C6421" w14:paraId="57596927" w14:textId="77777777">
        <w:trPr>
          <w:trHeight w:val="300"/>
        </w:trPr>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DDBFCBF" w14:textId="77777777" w:rsidR="004C6421" w:rsidRDefault="009D1962">
            <w:pPr>
              <w:pStyle w:val="P68B1DB1-Normal8"/>
              <w:rPr>
                <w:noProof/>
              </w:rPr>
            </w:pPr>
            <w:r>
              <w:rPr>
                <w:noProof/>
              </w:rPr>
              <w:t>M5C2-19</w:t>
            </w:r>
          </w:p>
        </w:tc>
        <w:tc>
          <w:tcPr>
            <w:tcW w:w="255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B7C2E10" w14:textId="77777777" w:rsidR="004C6421" w:rsidRDefault="009D1962">
            <w:pPr>
              <w:pStyle w:val="P68B1DB1-Normal8"/>
              <w:rPr>
                <w:noProof/>
              </w:rPr>
            </w:pPr>
            <w:r>
              <w:rPr>
                <w:noProof/>
              </w:rPr>
              <w:t>Inwestycje 6 – Program innowacji na rzecz jakości mieszkalnictwa</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5FFED42" w14:textId="70EF1576" w:rsidR="004C6421" w:rsidRDefault="00CC179E">
            <w:pPr>
              <w:pStyle w:val="P68B1DB1-Normal8"/>
              <w:rPr>
                <w:noProof/>
              </w:rPr>
            </w:pPr>
            <w:r>
              <w:rPr>
                <w:noProof/>
              </w:rPr>
              <w:t>Milowy</w:t>
            </w:r>
          </w:p>
        </w:tc>
        <w:tc>
          <w:tcPr>
            <w:tcW w:w="4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63DE7D3" w14:textId="77777777" w:rsidR="004C6421" w:rsidRDefault="009D1962">
            <w:pPr>
              <w:pStyle w:val="P68B1DB1-Normal8"/>
              <w:rPr>
                <w:noProof/>
              </w:rPr>
            </w:pPr>
            <w:r>
              <w:rPr>
                <w:noProof/>
              </w:rPr>
              <w:t>Regiony i prowincje autonomiczne (w tym gminy lub miasta metropolitalne położone na tych terytoriach) podpisały umowy o przebudowie i zwiększeniu liczby mieszkań socjalnych</w:t>
            </w:r>
          </w:p>
        </w:tc>
        <w:tc>
          <w:tcPr>
            <w:tcW w:w="236" w:type="dxa"/>
            <w:tcBorders>
              <w:top w:val="nil"/>
              <w:left w:val="single" w:sz="8" w:space="0" w:color="auto"/>
              <w:bottom w:val="nil"/>
              <w:right w:val="nil"/>
            </w:tcBorders>
            <w:vAlign w:val="center"/>
          </w:tcPr>
          <w:p w14:paraId="1FF3643E" w14:textId="77777777" w:rsidR="004C6421" w:rsidRDefault="004C6421">
            <w:pPr>
              <w:rPr>
                <w:noProof/>
              </w:rPr>
            </w:pPr>
          </w:p>
        </w:tc>
      </w:tr>
      <w:tr w:rsidR="004C6421" w14:paraId="7037F9F8" w14:textId="77777777">
        <w:trPr>
          <w:trHeight w:val="300"/>
        </w:trPr>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C23D3B6" w14:textId="77777777" w:rsidR="004C6421" w:rsidRDefault="009D1962">
            <w:pPr>
              <w:pStyle w:val="P68B1DB1-Normal8"/>
              <w:rPr>
                <w:noProof/>
              </w:rPr>
            </w:pPr>
            <w:r>
              <w:rPr>
                <w:noProof/>
              </w:rPr>
              <w:t>M1C2-16</w:t>
            </w:r>
          </w:p>
        </w:tc>
        <w:tc>
          <w:tcPr>
            <w:tcW w:w="255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57DBF17" w14:textId="77777777" w:rsidR="004C6421" w:rsidRDefault="009D1962">
            <w:pPr>
              <w:pStyle w:val="P68B1DB1-Normal8"/>
              <w:rPr>
                <w:noProof/>
              </w:rPr>
            </w:pPr>
            <w:r>
              <w:rPr>
                <w:noProof/>
              </w:rPr>
              <w:t>Inwestycja 3: Szybkie połączenia internetowe (sieci szerokopasmowe i 5G)</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418A441" w14:textId="1F1740C9" w:rsidR="004C6421" w:rsidRDefault="00CC179E">
            <w:pPr>
              <w:pStyle w:val="P68B1DB1-Normal8"/>
              <w:rPr>
                <w:noProof/>
              </w:rPr>
            </w:pPr>
            <w:r>
              <w:rPr>
                <w:noProof/>
              </w:rPr>
              <w:t>Milowy</w:t>
            </w:r>
          </w:p>
        </w:tc>
        <w:tc>
          <w:tcPr>
            <w:tcW w:w="4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06235B8" w14:textId="77777777" w:rsidR="004C6421" w:rsidRDefault="009D1962">
            <w:pPr>
              <w:pStyle w:val="P68B1DB1-Normal8"/>
              <w:rPr>
                <w:noProof/>
              </w:rPr>
            </w:pPr>
            <w:r>
              <w:rPr>
                <w:noProof/>
              </w:rPr>
              <w:t>Udzielanie wszystkich zamówień publicznych na projekty dotyczące szybszego połączenia</w:t>
            </w:r>
          </w:p>
        </w:tc>
        <w:tc>
          <w:tcPr>
            <w:tcW w:w="236" w:type="dxa"/>
            <w:tcBorders>
              <w:top w:val="nil"/>
              <w:left w:val="single" w:sz="8" w:space="0" w:color="auto"/>
              <w:bottom w:val="nil"/>
              <w:right w:val="nil"/>
            </w:tcBorders>
            <w:vAlign w:val="center"/>
          </w:tcPr>
          <w:p w14:paraId="72B3A118" w14:textId="77777777" w:rsidR="004C6421" w:rsidRDefault="004C6421">
            <w:pPr>
              <w:rPr>
                <w:noProof/>
              </w:rPr>
            </w:pPr>
          </w:p>
        </w:tc>
      </w:tr>
      <w:tr w:rsidR="004C6421" w14:paraId="68EA4FDC" w14:textId="77777777">
        <w:trPr>
          <w:trHeight w:val="300"/>
        </w:trPr>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E7DA0CC" w14:textId="77777777" w:rsidR="004C6421" w:rsidRDefault="009D1962">
            <w:pPr>
              <w:pStyle w:val="P68B1DB1-Normal8"/>
              <w:rPr>
                <w:noProof/>
              </w:rPr>
            </w:pPr>
            <w:r>
              <w:rPr>
                <w:noProof/>
              </w:rPr>
              <w:t>M1C3-12</w:t>
            </w:r>
          </w:p>
        </w:tc>
        <w:tc>
          <w:tcPr>
            <w:tcW w:w="255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48E75C6" w14:textId="77777777" w:rsidR="004C6421" w:rsidRDefault="009D1962">
            <w:pPr>
              <w:pStyle w:val="P68B1DB1-Normal8"/>
              <w:rPr>
                <w:noProof/>
              </w:rPr>
            </w:pPr>
            <w:r>
              <w:rPr>
                <w:noProof/>
              </w:rPr>
              <w:t>Inwestycje 2.1 – Czynność małego miasta historycznego</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848E13C" w14:textId="5A1D2EAB" w:rsidR="004C6421" w:rsidRDefault="00CC179E">
            <w:pPr>
              <w:pStyle w:val="P68B1DB1-Normal8"/>
              <w:rPr>
                <w:noProof/>
              </w:rPr>
            </w:pPr>
            <w:r>
              <w:rPr>
                <w:noProof/>
              </w:rPr>
              <w:t>Milowy</w:t>
            </w:r>
          </w:p>
        </w:tc>
        <w:tc>
          <w:tcPr>
            <w:tcW w:w="4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EF56607" w14:textId="77777777" w:rsidR="004C6421" w:rsidRDefault="009D1962">
            <w:pPr>
              <w:pStyle w:val="P68B1DB1-Normal8"/>
              <w:rPr>
                <w:noProof/>
              </w:rPr>
            </w:pPr>
            <w:r>
              <w:rPr>
                <w:noProof/>
              </w:rPr>
              <w:t xml:space="preserve">Wejście w życie dekretu Ministerstwa Kultury w sprawie przydziału środków gminom w celu zwiększenia atrakcyjności małych miast historycznych  </w:t>
            </w:r>
          </w:p>
        </w:tc>
        <w:tc>
          <w:tcPr>
            <w:tcW w:w="236" w:type="dxa"/>
            <w:tcBorders>
              <w:top w:val="nil"/>
              <w:left w:val="single" w:sz="8" w:space="0" w:color="auto"/>
              <w:bottom w:val="nil"/>
              <w:right w:val="nil"/>
            </w:tcBorders>
            <w:vAlign w:val="center"/>
          </w:tcPr>
          <w:p w14:paraId="57581354" w14:textId="77777777" w:rsidR="004C6421" w:rsidRDefault="004C6421">
            <w:pPr>
              <w:rPr>
                <w:noProof/>
              </w:rPr>
            </w:pPr>
          </w:p>
        </w:tc>
      </w:tr>
      <w:tr w:rsidR="004C6421" w14:paraId="25815B09" w14:textId="77777777">
        <w:trPr>
          <w:trHeight w:val="300"/>
        </w:trPr>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0069CAB" w14:textId="77777777" w:rsidR="004C6421" w:rsidRDefault="009D1962">
            <w:pPr>
              <w:pStyle w:val="P68B1DB1-Normal8"/>
              <w:rPr>
                <w:noProof/>
              </w:rPr>
            </w:pPr>
            <w:r>
              <w:rPr>
                <w:noProof/>
              </w:rPr>
              <w:t>M1C3-13</w:t>
            </w:r>
          </w:p>
        </w:tc>
        <w:tc>
          <w:tcPr>
            <w:tcW w:w="255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8B4F542" w14:textId="77777777" w:rsidR="004C6421" w:rsidRDefault="009D1962">
            <w:pPr>
              <w:pStyle w:val="P68B1DB1-Normal8"/>
              <w:rPr>
                <w:noProof/>
              </w:rPr>
            </w:pPr>
            <w:r>
              <w:rPr>
                <w:noProof/>
              </w:rPr>
              <w:t>Inwestycje 2.2 – Ochrona i poprawa architektury i krajobrazu obszarów wiejskich</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131B419" w14:textId="2C94332F" w:rsidR="004C6421" w:rsidRDefault="00CC179E">
            <w:pPr>
              <w:pStyle w:val="P68B1DB1-Normal8"/>
              <w:rPr>
                <w:noProof/>
              </w:rPr>
            </w:pPr>
            <w:r>
              <w:rPr>
                <w:noProof/>
              </w:rPr>
              <w:t>Milowy</w:t>
            </w:r>
          </w:p>
        </w:tc>
        <w:tc>
          <w:tcPr>
            <w:tcW w:w="4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AD729C0" w14:textId="77777777" w:rsidR="004C6421" w:rsidRDefault="009D1962">
            <w:pPr>
              <w:pStyle w:val="P68B1DB1-Normal8"/>
              <w:rPr>
                <w:noProof/>
              </w:rPr>
            </w:pPr>
            <w:r>
              <w:rPr>
                <w:noProof/>
              </w:rPr>
              <w:t xml:space="preserve">Wejście w życie dekretu Ministerstwa Kultury w sprawie przydziału zasobów: na rzecz ochrony i poprawy architektury i krajobrazu obszarów wiejskich </w:t>
            </w:r>
          </w:p>
        </w:tc>
        <w:tc>
          <w:tcPr>
            <w:tcW w:w="236" w:type="dxa"/>
            <w:tcBorders>
              <w:top w:val="nil"/>
              <w:left w:val="single" w:sz="8" w:space="0" w:color="auto"/>
              <w:bottom w:val="nil"/>
              <w:right w:val="nil"/>
            </w:tcBorders>
            <w:vAlign w:val="center"/>
          </w:tcPr>
          <w:p w14:paraId="4B69662B" w14:textId="77777777" w:rsidR="004C6421" w:rsidRDefault="004C6421">
            <w:pPr>
              <w:rPr>
                <w:noProof/>
              </w:rPr>
            </w:pPr>
          </w:p>
        </w:tc>
      </w:tr>
      <w:tr w:rsidR="004C6421" w14:paraId="0FBF086C" w14:textId="77777777">
        <w:trPr>
          <w:trHeight w:val="300"/>
        </w:trPr>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E8E32D2" w14:textId="77777777" w:rsidR="004C6421" w:rsidRDefault="009D1962">
            <w:pPr>
              <w:pStyle w:val="P68B1DB1-Normal8"/>
              <w:rPr>
                <w:noProof/>
              </w:rPr>
            </w:pPr>
            <w:r>
              <w:rPr>
                <w:noProof/>
              </w:rPr>
              <w:t>M1C3-14</w:t>
            </w:r>
          </w:p>
        </w:tc>
        <w:tc>
          <w:tcPr>
            <w:tcW w:w="255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0409839" w14:textId="77777777" w:rsidR="004C6421" w:rsidRDefault="009D1962">
            <w:pPr>
              <w:pStyle w:val="P68B1DB1-Normal8"/>
              <w:rPr>
                <w:noProof/>
              </w:rPr>
            </w:pPr>
            <w:r>
              <w:rPr>
                <w:noProof/>
              </w:rPr>
              <w:t>Inwestycje 2.3 – Programy mające na celu wzmocnienie tożsamości miejsc, parków i ogrodów historycznych</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91CBF51" w14:textId="4C7C5C7A" w:rsidR="004C6421" w:rsidRDefault="00CC179E">
            <w:pPr>
              <w:pStyle w:val="P68B1DB1-Normal8"/>
              <w:rPr>
                <w:noProof/>
              </w:rPr>
            </w:pPr>
            <w:r>
              <w:rPr>
                <w:noProof/>
              </w:rPr>
              <w:t>Milowy</w:t>
            </w:r>
          </w:p>
        </w:tc>
        <w:tc>
          <w:tcPr>
            <w:tcW w:w="4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EE43C86" w14:textId="77777777" w:rsidR="004C6421" w:rsidRDefault="009D1962">
            <w:pPr>
              <w:pStyle w:val="P68B1DB1-Normal8"/>
              <w:rPr>
                <w:noProof/>
              </w:rPr>
            </w:pPr>
            <w:r>
              <w:rPr>
                <w:noProof/>
              </w:rPr>
              <w:t xml:space="preserve">Wejście w życie dekretu Ministerstwa Kultury w sprawie przydziału zasobów: projekty mające na celu poprawę tożsamości miejsc, parków i ogrodów historycznych </w:t>
            </w:r>
          </w:p>
        </w:tc>
        <w:tc>
          <w:tcPr>
            <w:tcW w:w="236" w:type="dxa"/>
            <w:tcBorders>
              <w:top w:val="nil"/>
              <w:left w:val="single" w:sz="8" w:space="0" w:color="auto"/>
              <w:bottom w:val="nil"/>
              <w:right w:val="nil"/>
            </w:tcBorders>
            <w:vAlign w:val="center"/>
          </w:tcPr>
          <w:p w14:paraId="24F2C011" w14:textId="77777777" w:rsidR="004C6421" w:rsidRDefault="004C6421">
            <w:pPr>
              <w:rPr>
                <w:noProof/>
              </w:rPr>
            </w:pPr>
          </w:p>
        </w:tc>
      </w:tr>
      <w:tr w:rsidR="004C6421" w14:paraId="0B7081A1" w14:textId="77777777">
        <w:trPr>
          <w:trHeight w:val="300"/>
        </w:trPr>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EB2CC36" w14:textId="77777777" w:rsidR="004C6421" w:rsidRDefault="009D1962">
            <w:pPr>
              <w:pStyle w:val="P68B1DB1-Normal8"/>
              <w:rPr>
                <w:noProof/>
              </w:rPr>
            </w:pPr>
            <w:r>
              <w:rPr>
                <w:noProof/>
              </w:rPr>
              <w:t>M1C3-15</w:t>
            </w:r>
          </w:p>
        </w:tc>
        <w:tc>
          <w:tcPr>
            <w:tcW w:w="255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C50F734" w14:textId="77777777" w:rsidR="004C6421" w:rsidRDefault="009D1962">
            <w:pPr>
              <w:pStyle w:val="P68B1DB1-Normal8"/>
              <w:rPr>
                <w:noProof/>
              </w:rPr>
            </w:pPr>
            <w:r>
              <w:rPr>
                <w:noProof/>
              </w:rPr>
              <w:t>Inwestycja 2.4 – Bezpieczeństwo sejsmiczne miejsc kultu, renowacja dziedzictwa FEC i schronisk dla dzieł sztuki</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9285995" w14:textId="59F49C52" w:rsidR="004C6421" w:rsidRDefault="00CC179E">
            <w:pPr>
              <w:pStyle w:val="P68B1DB1-Normal8"/>
              <w:rPr>
                <w:noProof/>
              </w:rPr>
            </w:pPr>
            <w:r>
              <w:rPr>
                <w:noProof/>
              </w:rPr>
              <w:t>Milowy</w:t>
            </w:r>
          </w:p>
        </w:tc>
        <w:tc>
          <w:tcPr>
            <w:tcW w:w="4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C01A536" w14:textId="77777777" w:rsidR="004C6421" w:rsidRDefault="009D1962">
            <w:pPr>
              <w:pStyle w:val="P68B1DB1-Normal8"/>
              <w:rPr>
                <w:noProof/>
              </w:rPr>
            </w:pPr>
            <w:r>
              <w:rPr>
                <w:noProof/>
              </w:rPr>
              <w:t xml:space="preserve">Wejście w życie dekretu Ministerstwa Kultury w sprawie przydziału zasobów: na potrzeby bezpieczeństwa sejsmicznego zamiast kultu i odbudowy dziedzictwa FEC (Fondo Edifici di Culto) </w:t>
            </w:r>
          </w:p>
        </w:tc>
        <w:tc>
          <w:tcPr>
            <w:tcW w:w="236" w:type="dxa"/>
            <w:tcBorders>
              <w:top w:val="nil"/>
              <w:left w:val="single" w:sz="8" w:space="0" w:color="auto"/>
              <w:bottom w:val="nil"/>
              <w:right w:val="nil"/>
            </w:tcBorders>
            <w:vAlign w:val="center"/>
          </w:tcPr>
          <w:p w14:paraId="762BDAA9" w14:textId="77777777" w:rsidR="004C6421" w:rsidRDefault="004C6421">
            <w:pPr>
              <w:rPr>
                <w:noProof/>
              </w:rPr>
            </w:pPr>
          </w:p>
        </w:tc>
      </w:tr>
      <w:tr w:rsidR="004C6421" w14:paraId="26F881F6" w14:textId="77777777">
        <w:trPr>
          <w:trHeight w:val="300"/>
        </w:trPr>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629B741" w14:textId="77777777" w:rsidR="004C6421" w:rsidRDefault="009D1962">
            <w:pPr>
              <w:pStyle w:val="P68B1DB1-Normal8"/>
              <w:rPr>
                <w:noProof/>
              </w:rPr>
            </w:pPr>
            <w:r>
              <w:rPr>
                <w:noProof/>
              </w:rPr>
              <w:t>M1C3-35</w:t>
            </w:r>
          </w:p>
        </w:tc>
        <w:tc>
          <w:tcPr>
            <w:tcW w:w="255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9683A8A" w14:textId="77777777" w:rsidR="004C6421" w:rsidRDefault="009D1962">
            <w:pPr>
              <w:pStyle w:val="P68B1DB1-Normal8"/>
              <w:rPr>
                <w:noProof/>
              </w:rPr>
            </w:pPr>
            <w:r>
              <w:rPr>
                <w:noProof/>
              </w:rPr>
              <w:t>Inwestycje – 4.3 Caput Mundi-Next Generation EU na rzecz wielkich imprez turystycznych</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E9A98C5" w14:textId="181DD420" w:rsidR="004C6421" w:rsidRDefault="00CC179E">
            <w:pPr>
              <w:pStyle w:val="P68B1DB1-Normal8"/>
              <w:rPr>
                <w:noProof/>
              </w:rPr>
            </w:pPr>
            <w:r>
              <w:rPr>
                <w:noProof/>
              </w:rPr>
              <w:t>Milowy</w:t>
            </w:r>
          </w:p>
        </w:tc>
        <w:tc>
          <w:tcPr>
            <w:tcW w:w="4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BE3B933" w14:textId="77777777" w:rsidR="004C6421" w:rsidRDefault="009D1962">
            <w:pPr>
              <w:pStyle w:val="P68B1DB1-Normal8"/>
              <w:rPr>
                <w:noProof/>
              </w:rPr>
            </w:pPr>
            <w:r>
              <w:rPr>
                <w:noProof/>
              </w:rPr>
              <w:t>Podpisanie każdej umowy dotyczącej sześciu projektów między Ministerstwem Turystyki a beneficjentami/organami wdrażającymi</w:t>
            </w:r>
          </w:p>
        </w:tc>
        <w:tc>
          <w:tcPr>
            <w:tcW w:w="236" w:type="dxa"/>
            <w:tcBorders>
              <w:top w:val="nil"/>
              <w:left w:val="single" w:sz="8" w:space="0" w:color="auto"/>
              <w:bottom w:val="nil"/>
              <w:right w:val="nil"/>
            </w:tcBorders>
            <w:vAlign w:val="center"/>
          </w:tcPr>
          <w:p w14:paraId="2A44A847" w14:textId="77777777" w:rsidR="004C6421" w:rsidRDefault="004C6421">
            <w:pPr>
              <w:rPr>
                <w:noProof/>
              </w:rPr>
            </w:pPr>
          </w:p>
        </w:tc>
      </w:tr>
      <w:tr w:rsidR="004C6421" w14:paraId="5CDCED7F" w14:textId="77777777">
        <w:trPr>
          <w:trHeight w:val="300"/>
        </w:trPr>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69E8FDD" w14:textId="77777777" w:rsidR="004C6421" w:rsidRDefault="009D1962">
            <w:pPr>
              <w:pStyle w:val="P68B1DB1-Normal8"/>
              <w:rPr>
                <w:noProof/>
              </w:rPr>
            </w:pPr>
            <w:r>
              <w:rPr>
                <w:noProof/>
              </w:rPr>
              <w:t>M2C1-13</w:t>
            </w:r>
          </w:p>
        </w:tc>
        <w:tc>
          <w:tcPr>
            <w:tcW w:w="255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C01CE6E" w14:textId="77777777" w:rsidR="004C6421" w:rsidRDefault="009D1962">
            <w:pPr>
              <w:pStyle w:val="P68B1DB1-Normal8"/>
              <w:rPr>
                <w:noProof/>
              </w:rPr>
            </w:pPr>
            <w:r>
              <w:rPr>
                <w:noProof/>
              </w:rPr>
              <w:t>Reforma 1.2 – Krajowy program gospodarowania odpadami</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C590DD4" w14:textId="4B5F9D66" w:rsidR="004C6421" w:rsidRDefault="00CC179E">
            <w:pPr>
              <w:pStyle w:val="P68B1DB1-Normal8"/>
              <w:rPr>
                <w:noProof/>
              </w:rPr>
            </w:pPr>
            <w:r>
              <w:rPr>
                <w:noProof/>
              </w:rPr>
              <w:t>Milowy</w:t>
            </w:r>
          </w:p>
        </w:tc>
        <w:tc>
          <w:tcPr>
            <w:tcW w:w="4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F745CE0" w14:textId="77777777" w:rsidR="004C6421" w:rsidRDefault="009D1962">
            <w:pPr>
              <w:pStyle w:val="P68B1DB1-Normal8"/>
              <w:rPr>
                <w:noProof/>
              </w:rPr>
            </w:pPr>
            <w:r>
              <w:rPr>
                <w:noProof/>
              </w:rPr>
              <w:t>Wejście w życie dekretu ministerialnego w sprawie krajowego programu gospodarowania odpadami</w:t>
            </w:r>
          </w:p>
        </w:tc>
        <w:tc>
          <w:tcPr>
            <w:tcW w:w="236" w:type="dxa"/>
            <w:tcBorders>
              <w:top w:val="nil"/>
              <w:left w:val="single" w:sz="8" w:space="0" w:color="auto"/>
              <w:bottom w:val="nil"/>
              <w:right w:val="nil"/>
            </w:tcBorders>
            <w:vAlign w:val="center"/>
          </w:tcPr>
          <w:p w14:paraId="0E1BD592" w14:textId="77777777" w:rsidR="004C6421" w:rsidRDefault="004C6421">
            <w:pPr>
              <w:rPr>
                <w:noProof/>
              </w:rPr>
            </w:pPr>
          </w:p>
        </w:tc>
      </w:tr>
      <w:tr w:rsidR="004C6421" w14:paraId="10C9F19D" w14:textId="77777777">
        <w:trPr>
          <w:trHeight w:val="300"/>
        </w:trPr>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2900877" w14:textId="77777777" w:rsidR="004C6421" w:rsidRDefault="009D1962">
            <w:pPr>
              <w:pStyle w:val="P68B1DB1-Normal8"/>
              <w:rPr>
                <w:noProof/>
              </w:rPr>
            </w:pPr>
            <w:r>
              <w:rPr>
                <w:noProof/>
              </w:rPr>
              <w:t>M2C2-52</w:t>
            </w:r>
          </w:p>
        </w:tc>
        <w:tc>
          <w:tcPr>
            <w:tcW w:w="255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AA18338" w14:textId="77777777" w:rsidR="004C6421" w:rsidRDefault="009D1962">
            <w:pPr>
              <w:pStyle w:val="P68B1DB1-Normal8"/>
              <w:rPr>
                <w:noProof/>
              </w:rPr>
            </w:pPr>
            <w:r>
              <w:rPr>
                <w:noProof/>
              </w:rPr>
              <w:t>Inwestycje 5.2 Wodor</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133A17B" w14:textId="2E2640BA" w:rsidR="004C6421" w:rsidRDefault="00CC179E">
            <w:pPr>
              <w:pStyle w:val="P68B1DB1-Normal8"/>
              <w:rPr>
                <w:noProof/>
              </w:rPr>
            </w:pPr>
            <w:r>
              <w:rPr>
                <w:noProof/>
              </w:rPr>
              <w:t>Milowy</w:t>
            </w:r>
          </w:p>
        </w:tc>
        <w:tc>
          <w:tcPr>
            <w:tcW w:w="4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4C6D6FB" w14:textId="77777777" w:rsidR="004C6421" w:rsidRDefault="009D1962">
            <w:pPr>
              <w:pStyle w:val="P68B1DB1-Normal8"/>
              <w:rPr>
                <w:noProof/>
              </w:rPr>
            </w:pPr>
            <w:r>
              <w:rPr>
                <w:noProof/>
              </w:rPr>
              <w:t>Produkcja elektrolizerów</w:t>
            </w:r>
          </w:p>
        </w:tc>
        <w:tc>
          <w:tcPr>
            <w:tcW w:w="236" w:type="dxa"/>
            <w:tcBorders>
              <w:top w:val="nil"/>
              <w:left w:val="single" w:sz="8" w:space="0" w:color="auto"/>
              <w:bottom w:val="nil"/>
              <w:right w:val="nil"/>
            </w:tcBorders>
            <w:vAlign w:val="center"/>
          </w:tcPr>
          <w:p w14:paraId="3B323938" w14:textId="77777777" w:rsidR="004C6421" w:rsidRDefault="004C6421">
            <w:pPr>
              <w:rPr>
                <w:noProof/>
              </w:rPr>
            </w:pPr>
          </w:p>
        </w:tc>
      </w:tr>
      <w:tr w:rsidR="004C6421" w14:paraId="061F9EA3" w14:textId="77777777">
        <w:trPr>
          <w:trHeight w:val="300"/>
        </w:trPr>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E46C677" w14:textId="77777777" w:rsidR="004C6421" w:rsidRDefault="009D1962">
            <w:pPr>
              <w:pStyle w:val="P68B1DB1-Normal8"/>
              <w:rPr>
                <w:noProof/>
              </w:rPr>
            </w:pPr>
            <w:r>
              <w:rPr>
                <w:noProof/>
              </w:rPr>
              <w:t>M4C2-11</w:t>
            </w:r>
          </w:p>
        </w:tc>
        <w:tc>
          <w:tcPr>
            <w:tcW w:w="255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C388012" w14:textId="77777777" w:rsidR="004C6421" w:rsidRDefault="009D1962">
            <w:pPr>
              <w:pStyle w:val="P68B1DB1-Normal8"/>
              <w:rPr>
                <w:noProof/>
              </w:rPr>
            </w:pPr>
            <w:r>
              <w:rPr>
                <w:noProof/>
              </w:rPr>
              <w:t xml:space="preserve">Inwestycja 2.1: PROJEKT IPCEI </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E961F42" w14:textId="0C8DDDEA" w:rsidR="004C6421" w:rsidRDefault="00CC179E">
            <w:pPr>
              <w:pStyle w:val="P68B1DB1-Normal8"/>
              <w:rPr>
                <w:noProof/>
              </w:rPr>
            </w:pPr>
            <w:r>
              <w:rPr>
                <w:noProof/>
              </w:rPr>
              <w:t xml:space="preserve">Milowy </w:t>
            </w:r>
          </w:p>
        </w:tc>
        <w:tc>
          <w:tcPr>
            <w:tcW w:w="4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03A1664" w14:textId="77777777" w:rsidR="004C6421" w:rsidRDefault="009D1962">
            <w:pPr>
              <w:pStyle w:val="P68B1DB1-Normal8"/>
              <w:rPr>
                <w:noProof/>
              </w:rPr>
            </w:pPr>
            <w:r>
              <w:rPr>
                <w:noProof/>
              </w:rPr>
              <w:t>Wejście w życie krajowego aktu prawnego przyznającego środki finansowe niezbędne do zapewnienia wsparcia uczestnikom projektu.</w:t>
            </w:r>
          </w:p>
        </w:tc>
        <w:tc>
          <w:tcPr>
            <w:tcW w:w="236" w:type="dxa"/>
            <w:tcBorders>
              <w:top w:val="nil"/>
              <w:left w:val="single" w:sz="8" w:space="0" w:color="auto"/>
              <w:bottom w:val="nil"/>
              <w:right w:val="nil"/>
            </w:tcBorders>
            <w:vAlign w:val="center"/>
          </w:tcPr>
          <w:p w14:paraId="7F79FE59" w14:textId="77777777" w:rsidR="004C6421" w:rsidRDefault="004C6421">
            <w:pPr>
              <w:rPr>
                <w:noProof/>
              </w:rPr>
            </w:pPr>
          </w:p>
        </w:tc>
      </w:tr>
      <w:tr w:rsidR="004C6421" w14:paraId="35636127" w14:textId="77777777">
        <w:trPr>
          <w:trHeight w:val="300"/>
        </w:trPr>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61581E6" w14:textId="77777777" w:rsidR="004C6421" w:rsidRDefault="009D1962">
            <w:pPr>
              <w:pStyle w:val="P68B1DB1-Normal8"/>
              <w:rPr>
                <w:noProof/>
              </w:rPr>
            </w:pPr>
            <w:r>
              <w:rPr>
                <w:noProof/>
              </w:rPr>
              <w:t>M4C2-17</w:t>
            </w:r>
          </w:p>
        </w:tc>
        <w:tc>
          <w:tcPr>
            <w:tcW w:w="255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2250E41" w14:textId="77777777" w:rsidR="004C6421" w:rsidRDefault="009D1962">
            <w:pPr>
              <w:pStyle w:val="P68B1DB1-Normal8"/>
              <w:rPr>
                <w:noProof/>
              </w:rPr>
            </w:pPr>
            <w:r>
              <w:rPr>
                <w:noProof/>
              </w:rPr>
              <w:t>Inwestycja 3.1: Fundusz na rzecz budowy zintegrowanego systemu infrastruktury badawczej i innowacyjnej; Inwestycje</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2A081D8" w14:textId="39871248" w:rsidR="004C6421" w:rsidRDefault="00CC179E">
            <w:pPr>
              <w:pStyle w:val="P68B1DB1-Normal8"/>
              <w:rPr>
                <w:noProof/>
              </w:rPr>
            </w:pPr>
            <w:r>
              <w:rPr>
                <w:noProof/>
              </w:rPr>
              <w:t>Milowy</w:t>
            </w:r>
          </w:p>
        </w:tc>
        <w:tc>
          <w:tcPr>
            <w:tcW w:w="4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2A21815" w14:textId="77777777" w:rsidR="004C6421" w:rsidRDefault="009D1962">
            <w:pPr>
              <w:pStyle w:val="P68B1DB1-Normal8"/>
              <w:rPr>
                <w:noProof/>
              </w:rPr>
            </w:pPr>
            <w:r>
              <w:rPr>
                <w:noProof/>
              </w:rPr>
              <w:t>Udzielanie zamówień na projekty dotyczące: zintegrowany system infrastruktur badawczych i innowacyjnych</w:t>
            </w:r>
          </w:p>
        </w:tc>
        <w:tc>
          <w:tcPr>
            <w:tcW w:w="236" w:type="dxa"/>
            <w:tcBorders>
              <w:top w:val="nil"/>
              <w:left w:val="single" w:sz="8" w:space="0" w:color="auto"/>
              <w:bottom w:val="nil"/>
              <w:right w:val="nil"/>
            </w:tcBorders>
            <w:vAlign w:val="center"/>
          </w:tcPr>
          <w:p w14:paraId="5F82BB96" w14:textId="77777777" w:rsidR="004C6421" w:rsidRDefault="004C6421">
            <w:pPr>
              <w:rPr>
                <w:noProof/>
              </w:rPr>
            </w:pPr>
          </w:p>
        </w:tc>
      </w:tr>
      <w:tr w:rsidR="004C6421" w14:paraId="1AA56906" w14:textId="77777777">
        <w:trPr>
          <w:trHeight w:val="300"/>
        </w:trPr>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092F214" w14:textId="77777777" w:rsidR="004C6421" w:rsidRDefault="009D1962">
            <w:pPr>
              <w:pStyle w:val="P68B1DB1-Normal8"/>
              <w:rPr>
                <w:noProof/>
              </w:rPr>
            </w:pPr>
            <w:r>
              <w:rPr>
                <w:noProof/>
              </w:rPr>
              <w:t>M4C2-18</w:t>
            </w:r>
          </w:p>
        </w:tc>
        <w:tc>
          <w:tcPr>
            <w:tcW w:w="255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05DCC18" w14:textId="77777777" w:rsidR="004C6421" w:rsidRDefault="009D1962">
            <w:pPr>
              <w:pStyle w:val="P68B1DB1-Normal8"/>
              <w:rPr>
                <w:noProof/>
              </w:rPr>
            </w:pPr>
            <w:r>
              <w:rPr>
                <w:noProof/>
              </w:rPr>
              <w:t>Invesment1.5: Ustanowienie i wzmocnienie „ekosystemów innowacji na rzecz zrównoważonego rozwoju”, budowanie „terytorialnych liderów badań i rozwoju”</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96BA4F7" w14:textId="0DD51772" w:rsidR="004C6421" w:rsidRDefault="00CC179E">
            <w:pPr>
              <w:pStyle w:val="P68B1DB1-Normal8"/>
              <w:rPr>
                <w:noProof/>
              </w:rPr>
            </w:pPr>
            <w:r>
              <w:rPr>
                <w:noProof/>
              </w:rPr>
              <w:t>Milowy</w:t>
            </w:r>
          </w:p>
        </w:tc>
        <w:tc>
          <w:tcPr>
            <w:tcW w:w="4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1A44EF5" w14:textId="77777777" w:rsidR="004C6421" w:rsidRDefault="009D1962">
            <w:pPr>
              <w:pStyle w:val="P68B1DB1-Normal8"/>
              <w:rPr>
                <w:noProof/>
              </w:rPr>
            </w:pPr>
            <w:r>
              <w:rPr>
                <w:noProof/>
              </w:rPr>
              <w:t>Udzielanie zamówień na projekty dotyczące ekosystemów innowacji;</w:t>
            </w:r>
          </w:p>
        </w:tc>
        <w:tc>
          <w:tcPr>
            <w:tcW w:w="236" w:type="dxa"/>
            <w:tcBorders>
              <w:top w:val="nil"/>
              <w:left w:val="single" w:sz="8" w:space="0" w:color="auto"/>
              <w:bottom w:val="nil"/>
              <w:right w:val="nil"/>
            </w:tcBorders>
            <w:vAlign w:val="center"/>
          </w:tcPr>
          <w:p w14:paraId="1775BB76" w14:textId="77777777" w:rsidR="004C6421" w:rsidRDefault="004C6421">
            <w:pPr>
              <w:rPr>
                <w:noProof/>
              </w:rPr>
            </w:pPr>
          </w:p>
        </w:tc>
      </w:tr>
      <w:tr w:rsidR="004C6421" w14:paraId="135BF0E4" w14:textId="77777777">
        <w:trPr>
          <w:trHeight w:val="300"/>
        </w:trPr>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6BAD146" w14:textId="77777777" w:rsidR="004C6421" w:rsidRDefault="009D1962">
            <w:pPr>
              <w:pStyle w:val="P68B1DB1-Normal8"/>
              <w:rPr>
                <w:noProof/>
              </w:rPr>
            </w:pPr>
            <w:r>
              <w:rPr>
                <w:noProof/>
              </w:rPr>
              <w:t>M4C2-19</w:t>
            </w:r>
          </w:p>
        </w:tc>
        <w:tc>
          <w:tcPr>
            <w:tcW w:w="255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7FB5491" w14:textId="77777777" w:rsidR="004C6421" w:rsidRDefault="009D1962">
            <w:pPr>
              <w:pStyle w:val="P68B1DB1-Normal8"/>
              <w:rPr>
                <w:noProof/>
              </w:rPr>
            </w:pPr>
            <w:r>
              <w:rPr>
                <w:noProof/>
              </w:rPr>
              <w:t>Inwestycje 1.4: Wzmocnienie struktur badawczych i wspieranie tworzenia „krajowych liderów badań i rozwoju” w zakresie niektórych kluczowych technologii prorozwojowych</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FE810A5" w14:textId="42F1283C" w:rsidR="004C6421" w:rsidRDefault="00CC179E">
            <w:pPr>
              <w:pStyle w:val="P68B1DB1-Normal8"/>
              <w:rPr>
                <w:noProof/>
              </w:rPr>
            </w:pPr>
            <w:r>
              <w:rPr>
                <w:noProof/>
              </w:rPr>
              <w:t>Milowy</w:t>
            </w:r>
          </w:p>
        </w:tc>
        <w:tc>
          <w:tcPr>
            <w:tcW w:w="4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4D37F34" w14:textId="77777777" w:rsidR="004C6421" w:rsidRDefault="009D1962">
            <w:pPr>
              <w:pStyle w:val="P68B1DB1-Normal8"/>
              <w:rPr>
                <w:noProof/>
              </w:rPr>
            </w:pPr>
            <w:r>
              <w:rPr>
                <w:noProof/>
              </w:rPr>
              <w:t>Udzielanie zamówień na projekty dotyczące krajowych liderów badań i rozwoju w zakresie kluczowych technologii prorozwojowych</w:t>
            </w:r>
          </w:p>
        </w:tc>
        <w:tc>
          <w:tcPr>
            <w:tcW w:w="236" w:type="dxa"/>
            <w:tcBorders>
              <w:top w:val="nil"/>
              <w:left w:val="single" w:sz="8" w:space="0" w:color="auto"/>
              <w:bottom w:val="nil"/>
              <w:right w:val="nil"/>
            </w:tcBorders>
            <w:vAlign w:val="center"/>
          </w:tcPr>
          <w:p w14:paraId="20C3D1FF" w14:textId="77777777" w:rsidR="004C6421" w:rsidRDefault="004C6421">
            <w:pPr>
              <w:rPr>
                <w:noProof/>
              </w:rPr>
            </w:pPr>
          </w:p>
        </w:tc>
      </w:tr>
      <w:tr w:rsidR="004C6421" w14:paraId="7085CF5C" w14:textId="77777777">
        <w:trPr>
          <w:trHeight w:val="300"/>
        </w:trPr>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93518B8" w14:textId="77777777" w:rsidR="004C6421" w:rsidRDefault="009D1962">
            <w:pPr>
              <w:pStyle w:val="P68B1DB1-Normal8"/>
              <w:rPr>
                <w:noProof/>
              </w:rPr>
            </w:pPr>
            <w:r>
              <w:rPr>
                <w:noProof/>
              </w:rPr>
              <w:t>M4C2-20</w:t>
            </w:r>
          </w:p>
        </w:tc>
        <w:tc>
          <w:tcPr>
            <w:tcW w:w="255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5022609" w14:textId="77777777" w:rsidR="004C6421" w:rsidRDefault="009D1962">
            <w:pPr>
              <w:pStyle w:val="P68B1DB1-Normal8"/>
              <w:rPr>
                <w:noProof/>
              </w:rPr>
            </w:pPr>
            <w:r>
              <w:rPr>
                <w:noProof/>
              </w:rPr>
              <w:t>Inwestycje 3.2: Finansowanie przedsiębiorstw typu start-up</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E79DCEC" w14:textId="38A16C00" w:rsidR="004C6421" w:rsidRDefault="00CC179E">
            <w:pPr>
              <w:pStyle w:val="P68B1DB1-Normal8"/>
              <w:rPr>
                <w:noProof/>
              </w:rPr>
            </w:pPr>
            <w:r>
              <w:rPr>
                <w:noProof/>
              </w:rPr>
              <w:t>Milowy</w:t>
            </w:r>
          </w:p>
        </w:tc>
        <w:tc>
          <w:tcPr>
            <w:tcW w:w="4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41CFF4E" w14:textId="77777777" w:rsidR="004C6421" w:rsidRDefault="009D1962">
            <w:pPr>
              <w:pStyle w:val="P68B1DB1-Normal8"/>
              <w:rPr>
                <w:noProof/>
              </w:rPr>
            </w:pPr>
            <w:r>
              <w:rPr>
                <w:noProof/>
              </w:rPr>
              <w:t>Umowa między rządem IT a partnerem wykonawczym Cassa Depositi e Prestiti (CDP) ustanawiająca instrument finansowy</w:t>
            </w:r>
          </w:p>
        </w:tc>
        <w:tc>
          <w:tcPr>
            <w:tcW w:w="236" w:type="dxa"/>
            <w:tcBorders>
              <w:top w:val="nil"/>
              <w:left w:val="single" w:sz="8" w:space="0" w:color="auto"/>
              <w:bottom w:val="nil"/>
              <w:right w:val="nil"/>
            </w:tcBorders>
            <w:vAlign w:val="center"/>
          </w:tcPr>
          <w:p w14:paraId="177B4EAC" w14:textId="77777777" w:rsidR="004C6421" w:rsidRDefault="004C6421">
            <w:pPr>
              <w:rPr>
                <w:noProof/>
              </w:rPr>
            </w:pPr>
          </w:p>
        </w:tc>
      </w:tr>
      <w:tr w:rsidR="004C6421" w14:paraId="05D2B88E" w14:textId="77777777">
        <w:trPr>
          <w:trHeight w:val="300"/>
        </w:trPr>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870E313" w14:textId="77777777" w:rsidR="004C6421" w:rsidRDefault="009D1962">
            <w:pPr>
              <w:pStyle w:val="P68B1DB1-Normal8"/>
              <w:rPr>
                <w:noProof/>
              </w:rPr>
            </w:pPr>
            <w:r>
              <w:rPr>
                <w:noProof/>
              </w:rPr>
              <w:t>M6C1-1</w:t>
            </w:r>
          </w:p>
        </w:tc>
        <w:tc>
          <w:tcPr>
            <w:tcW w:w="255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DC4240B" w14:textId="77777777" w:rsidR="004C6421" w:rsidRDefault="009D1962">
            <w:pPr>
              <w:pStyle w:val="P68B1DB1-Normal8"/>
              <w:rPr>
                <w:noProof/>
              </w:rPr>
            </w:pPr>
            <w:r>
              <w:rPr>
                <w:noProof/>
              </w:rPr>
              <w:t>Reforma 1:  Definicja nowego modelu organizacyjnego dla terytorialnej sieci pomocy zdrowotnej</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8A7B986" w14:textId="23B90C8D" w:rsidR="004C6421" w:rsidRDefault="00CC179E">
            <w:pPr>
              <w:pStyle w:val="P68B1DB1-Normal8"/>
              <w:rPr>
                <w:noProof/>
              </w:rPr>
            </w:pPr>
            <w:r>
              <w:rPr>
                <w:noProof/>
              </w:rPr>
              <w:t>Milowy</w:t>
            </w:r>
          </w:p>
        </w:tc>
        <w:tc>
          <w:tcPr>
            <w:tcW w:w="4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5852984" w14:textId="77777777" w:rsidR="004C6421" w:rsidRDefault="009D1962">
            <w:pPr>
              <w:pStyle w:val="P68B1DB1-Normal8"/>
              <w:rPr>
                <w:noProof/>
              </w:rPr>
            </w:pPr>
            <w:r>
              <w:rPr>
                <w:noProof/>
              </w:rPr>
              <w:t>Wejście w życie prawa wtórnego (dekret ministerialny) przewidującego reformę organizacji opieki zdrowotnej.</w:t>
            </w:r>
          </w:p>
        </w:tc>
        <w:tc>
          <w:tcPr>
            <w:tcW w:w="236" w:type="dxa"/>
            <w:tcBorders>
              <w:top w:val="nil"/>
              <w:left w:val="single" w:sz="8" w:space="0" w:color="auto"/>
              <w:bottom w:val="nil"/>
              <w:right w:val="nil"/>
            </w:tcBorders>
            <w:vAlign w:val="center"/>
          </w:tcPr>
          <w:p w14:paraId="60966CA4" w14:textId="77777777" w:rsidR="004C6421" w:rsidRDefault="004C6421">
            <w:pPr>
              <w:rPr>
                <w:noProof/>
              </w:rPr>
            </w:pPr>
          </w:p>
        </w:tc>
      </w:tr>
      <w:tr w:rsidR="004C6421" w14:paraId="3F95DCFD" w14:textId="77777777">
        <w:trPr>
          <w:trHeight w:val="300"/>
        </w:trPr>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FFEE56A" w14:textId="77777777" w:rsidR="004C6421" w:rsidRDefault="009D1962">
            <w:pPr>
              <w:pStyle w:val="P68B1DB1-Normal8"/>
              <w:rPr>
                <w:noProof/>
              </w:rPr>
            </w:pPr>
            <w:r>
              <w:rPr>
                <w:noProof/>
              </w:rPr>
              <w:t>M6C1-2</w:t>
            </w:r>
          </w:p>
        </w:tc>
        <w:tc>
          <w:tcPr>
            <w:tcW w:w="255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0B41ECC" w14:textId="77777777" w:rsidR="004C6421" w:rsidRDefault="009D1962">
            <w:pPr>
              <w:pStyle w:val="P68B1DB1-Normal8"/>
              <w:rPr>
                <w:noProof/>
              </w:rPr>
            </w:pPr>
            <w:r>
              <w:rPr>
                <w:noProof/>
              </w:rPr>
              <w:t>Inwestycje 1.1: Wspólnotowe Domy Zdrowia w celu poprawy terytorialnej pomocy zdrowotnej</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90E6BB9" w14:textId="0D233AD1" w:rsidR="004C6421" w:rsidRDefault="00CC179E">
            <w:pPr>
              <w:pStyle w:val="P68B1DB1-Normal8"/>
              <w:rPr>
                <w:noProof/>
              </w:rPr>
            </w:pPr>
            <w:r>
              <w:rPr>
                <w:noProof/>
              </w:rPr>
              <w:t>Milowy</w:t>
            </w:r>
          </w:p>
        </w:tc>
        <w:tc>
          <w:tcPr>
            <w:tcW w:w="4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9477C89" w14:textId="77777777" w:rsidR="004C6421" w:rsidRDefault="009D1962">
            <w:pPr>
              <w:pStyle w:val="P68B1DB1-Normal8"/>
              <w:rPr>
                <w:noProof/>
              </w:rPr>
            </w:pPr>
            <w:r>
              <w:rPr>
                <w:noProof/>
              </w:rPr>
              <w:t xml:space="preserve">Zatwierdzenie umowy o rozwój instytucjonalny </w:t>
            </w:r>
          </w:p>
        </w:tc>
        <w:tc>
          <w:tcPr>
            <w:tcW w:w="236" w:type="dxa"/>
            <w:tcBorders>
              <w:top w:val="nil"/>
              <w:left w:val="single" w:sz="8" w:space="0" w:color="auto"/>
              <w:bottom w:val="nil"/>
              <w:right w:val="nil"/>
            </w:tcBorders>
            <w:vAlign w:val="center"/>
          </w:tcPr>
          <w:p w14:paraId="568175ED" w14:textId="77777777" w:rsidR="004C6421" w:rsidRDefault="004C6421">
            <w:pPr>
              <w:rPr>
                <w:noProof/>
              </w:rPr>
            </w:pPr>
          </w:p>
        </w:tc>
      </w:tr>
      <w:tr w:rsidR="004C6421" w14:paraId="3C7999DF" w14:textId="77777777">
        <w:trPr>
          <w:trHeight w:val="300"/>
        </w:trPr>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34BB238" w14:textId="77777777" w:rsidR="004C6421" w:rsidRDefault="009D1962">
            <w:pPr>
              <w:pStyle w:val="P68B1DB1-Normal8"/>
              <w:rPr>
                <w:noProof/>
              </w:rPr>
            </w:pPr>
            <w:r>
              <w:rPr>
                <w:noProof/>
              </w:rPr>
              <w:t>M6C1-4</w:t>
            </w:r>
          </w:p>
        </w:tc>
        <w:tc>
          <w:tcPr>
            <w:tcW w:w="255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A010628" w14:textId="77777777" w:rsidR="004C6421" w:rsidRDefault="009D1962">
            <w:pPr>
              <w:pStyle w:val="P68B1DB1-Normal8"/>
              <w:rPr>
                <w:noProof/>
              </w:rPr>
            </w:pPr>
            <w:r>
              <w:rPr>
                <w:noProof/>
              </w:rPr>
              <w:t>Inwestycje 1.2: Dom jako pierwsze miejsce opieki i telemedycyny</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455F117" w14:textId="1B94233E" w:rsidR="004C6421" w:rsidRDefault="00CC179E">
            <w:pPr>
              <w:pStyle w:val="P68B1DB1-Normal8"/>
              <w:rPr>
                <w:noProof/>
              </w:rPr>
            </w:pPr>
            <w:r>
              <w:rPr>
                <w:noProof/>
              </w:rPr>
              <w:t>Milowy</w:t>
            </w:r>
          </w:p>
        </w:tc>
        <w:tc>
          <w:tcPr>
            <w:tcW w:w="4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00EE0EB" w14:textId="77777777" w:rsidR="004C6421" w:rsidRDefault="009D1962">
            <w:pPr>
              <w:pStyle w:val="P68B1DB1-Normal8"/>
              <w:rPr>
                <w:noProof/>
              </w:rPr>
            </w:pPr>
            <w:r>
              <w:rPr>
                <w:noProof/>
              </w:rPr>
              <w:t>Zatwierdzenie wytycznych zawierających cyfrowy model wdrażania opieki domowej</w:t>
            </w:r>
          </w:p>
        </w:tc>
        <w:tc>
          <w:tcPr>
            <w:tcW w:w="236" w:type="dxa"/>
            <w:tcBorders>
              <w:top w:val="nil"/>
              <w:left w:val="single" w:sz="8" w:space="0" w:color="auto"/>
              <w:bottom w:val="nil"/>
              <w:right w:val="nil"/>
            </w:tcBorders>
            <w:vAlign w:val="center"/>
          </w:tcPr>
          <w:p w14:paraId="55D73784" w14:textId="77777777" w:rsidR="004C6421" w:rsidRDefault="004C6421">
            <w:pPr>
              <w:rPr>
                <w:noProof/>
              </w:rPr>
            </w:pPr>
          </w:p>
        </w:tc>
      </w:tr>
      <w:tr w:rsidR="004C6421" w14:paraId="55199304" w14:textId="77777777">
        <w:trPr>
          <w:trHeight w:val="300"/>
        </w:trPr>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010DC1A" w14:textId="77777777" w:rsidR="004C6421" w:rsidRDefault="009D1962">
            <w:pPr>
              <w:pStyle w:val="P68B1DB1-Normal8"/>
              <w:rPr>
                <w:noProof/>
              </w:rPr>
            </w:pPr>
            <w:r>
              <w:rPr>
                <w:noProof/>
              </w:rPr>
              <w:t>M6C1-5</w:t>
            </w:r>
          </w:p>
        </w:tc>
        <w:tc>
          <w:tcPr>
            <w:tcW w:w="255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1D88DFD" w14:textId="77777777" w:rsidR="004C6421" w:rsidRDefault="009D1962">
            <w:pPr>
              <w:pStyle w:val="P68B1DB1-Normal8"/>
              <w:rPr>
                <w:noProof/>
              </w:rPr>
            </w:pPr>
            <w:r>
              <w:rPr>
                <w:noProof/>
              </w:rPr>
              <w:t>Inwestycje 1.2: Dom jako pierwsze miejsce opieki i telemedycyny</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BCBF3C2" w14:textId="1D18C7A9" w:rsidR="004C6421" w:rsidRDefault="00CC179E">
            <w:pPr>
              <w:pStyle w:val="P68B1DB1-Normal8"/>
              <w:rPr>
                <w:noProof/>
              </w:rPr>
            </w:pPr>
            <w:r>
              <w:rPr>
                <w:noProof/>
              </w:rPr>
              <w:t>Milowy</w:t>
            </w:r>
          </w:p>
        </w:tc>
        <w:tc>
          <w:tcPr>
            <w:tcW w:w="4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A5332F1" w14:textId="77777777" w:rsidR="004C6421" w:rsidRDefault="009D1962">
            <w:pPr>
              <w:pStyle w:val="P68B1DB1-Normal8"/>
              <w:rPr>
                <w:noProof/>
              </w:rPr>
            </w:pPr>
            <w:r>
              <w:rPr>
                <w:noProof/>
              </w:rPr>
              <w:t xml:space="preserve">Umowa na rzecz rozwoju instytucjonalnego zatwierdzona przez Ministerstwo Zdrowia i regionów </w:t>
            </w:r>
          </w:p>
        </w:tc>
        <w:tc>
          <w:tcPr>
            <w:tcW w:w="236" w:type="dxa"/>
            <w:tcBorders>
              <w:top w:val="nil"/>
              <w:left w:val="single" w:sz="8" w:space="0" w:color="auto"/>
              <w:bottom w:val="nil"/>
              <w:right w:val="nil"/>
            </w:tcBorders>
            <w:vAlign w:val="center"/>
          </w:tcPr>
          <w:p w14:paraId="74D61CBE" w14:textId="77777777" w:rsidR="004C6421" w:rsidRDefault="004C6421">
            <w:pPr>
              <w:rPr>
                <w:noProof/>
              </w:rPr>
            </w:pPr>
          </w:p>
        </w:tc>
      </w:tr>
      <w:tr w:rsidR="004C6421" w14:paraId="0C02E561" w14:textId="77777777">
        <w:trPr>
          <w:trHeight w:val="300"/>
        </w:trPr>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129F32B" w14:textId="77777777" w:rsidR="004C6421" w:rsidRDefault="009D1962">
            <w:pPr>
              <w:pStyle w:val="P68B1DB1-Normal8"/>
              <w:rPr>
                <w:noProof/>
              </w:rPr>
            </w:pPr>
            <w:r>
              <w:rPr>
                <w:noProof/>
              </w:rPr>
              <w:t>M6C1-10</w:t>
            </w:r>
          </w:p>
        </w:tc>
        <w:tc>
          <w:tcPr>
            <w:tcW w:w="255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16295FB" w14:textId="77777777" w:rsidR="004C6421" w:rsidRDefault="009D1962">
            <w:pPr>
              <w:pStyle w:val="P68B1DB1-Normal8"/>
              <w:rPr>
                <w:noProof/>
              </w:rPr>
            </w:pPr>
            <w:r>
              <w:rPr>
                <w:noProof/>
              </w:rPr>
              <w:t>Inwestycja 1.3: Wzmocnienie pośredniej opieki zdrowotnej i jej placówek (szpitale społecznościowe)</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E20A476" w14:textId="5AB05278" w:rsidR="004C6421" w:rsidRDefault="00CC179E">
            <w:pPr>
              <w:pStyle w:val="P68B1DB1-Normal8"/>
              <w:rPr>
                <w:noProof/>
              </w:rPr>
            </w:pPr>
            <w:r>
              <w:rPr>
                <w:noProof/>
              </w:rPr>
              <w:t>Milowy</w:t>
            </w:r>
          </w:p>
        </w:tc>
        <w:tc>
          <w:tcPr>
            <w:tcW w:w="4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5521A62" w14:textId="77777777" w:rsidR="004C6421" w:rsidRDefault="009D1962">
            <w:pPr>
              <w:pStyle w:val="P68B1DB1-Normal8"/>
              <w:rPr>
                <w:noProof/>
              </w:rPr>
            </w:pPr>
            <w:r>
              <w:rPr>
                <w:noProof/>
              </w:rPr>
              <w:t>Zatwierdzenie umowy o rozwój instytucjonalny (Contratto Istituzionale di Sviluppo)</w:t>
            </w:r>
          </w:p>
        </w:tc>
        <w:tc>
          <w:tcPr>
            <w:tcW w:w="236" w:type="dxa"/>
            <w:tcBorders>
              <w:top w:val="nil"/>
              <w:left w:val="single" w:sz="8" w:space="0" w:color="auto"/>
              <w:bottom w:val="nil"/>
              <w:right w:val="nil"/>
            </w:tcBorders>
            <w:vAlign w:val="center"/>
          </w:tcPr>
          <w:p w14:paraId="49CB016F" w14:textId="77777777" w:rsidR="004C6421" w:rsidRDefault="004C6421">
            <w:pPr>
              <w:rPr>
                <w:noProof/>
              </w:rPr>
            </w:pPr>
          </w:p>
        </w:tc>
      </w:tr>
      <w:tr w:rsidR="004C6421" w14:paraId="3FDB2091" w14:textId="77777777">
        <w:trPr>
          <w:trHeight w:val="300"/>
        </w:trPr>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6267CD9" w14:textId="77777777" w:rsidR="004C6421" w:rsidRDefault="009D1962">
            <w:pPr>
              <w:pStyle w:val="P68B1DB1-Normal8"/>
              <w:rPr>
                <w:noProof/>
              </w:rPr>
            </w:pPr>
            <w:r>
              <w:rPr>
                <w:noProof/>
              </w:rPr>
              <w:t>M6C2-5</w:t>
            </w:r>
          </w:p>
        </w:tc>
        <w:tc>
          <w:tcPr>
            <w:tcW w:w="255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D907D07" w14:textId="77777777" w:rsidR="004C6421" w:rsidRDefault="009D1962">
            <w:pPr>
              <w:pStyle w:val="P68B1DB1-Normal38"/>
              <w:rPr>
                <w:noProof/>
              </w:rPr>
            </w:pPr>
            <w:r>
              <w:rPr>
                <w:noProof/>
              </w:rPr>
              <w:t>Inwestycje 1.1: Cyfrowa aktualizacja sprzętu technologicznego szpitali</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B195A78" w14:textId="3958A8A6" w:rsidR="004C6421" w:rsidRDefault="00CC179E">
            <w:pPr>
              <w:pStyle w:val="P68B1DB1-Normal38"/>
              <w:rPr>
                <w:noProof/>
              </w:rPr>
            </w:pPr>
            <w:r>
              <w:rPr>
                <w:noProof/>
              </w:rPr>
              <w:t>Milowy</w:t>
            </w:r>
          </w:p>
        </w:tc>
        <w:tc>
          <w:tcPr>
            <w:tcW w:w="4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6B0A135" w14:textId="77777777" w:rsidR="004C6421" w:rsidRDefault="009D1962">
            <w:pPr>
              <w:pStyle w:val="P68B1DB1-Normal38"/>
              <w:rPr>
                <w:noProof/>
              </w:rPr>
            </w:pPr>
            <w:r>
              <w:rPr>
                <w:noProof/>
              </w:rPr>
              <w:t>Zatwierdzenie umowy o rozwój instytucjonalny</w:t>
            </w:r>
          </w:p>
        </w:tc>
        <w:tc>
          <w:tcPr>
            <w:tcW w:w="236" w:type="dxa"/>
            <w:tcBorders>
              <w:top w:val="nil"/>
              <w:left w:val="single" w:sz="8" w:space="0" w:color="auto"/>
              <w:bottom w:val="nil"/>
              <w:right w:val="nil"/>
            </w:tcBorders>
            <w:vAlign w:val="center"/>
          </w:tcPr>
          <w:p w14:paraId="71255281" w14:textId="77777777" w:rsidR="004C6421" w:rsidRDefault="004C6421">
            <w:pPr>
              <w:rPr>
                <w:noProof/>
              </w:rPr>
            </w:pPr>
          </w:p>
        </w:tc>
      </w:tr>
      <w:tr w:rsidR="004C6421" w14:paraId="075126FB" w14:textId="77777777">
        <w:trPr>
          <w:trHeight w:val="300"/>
        </w:trPr>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547D1E56" w14:textId="77777777" w:rsidR="004C6421" w:rsidRDefault="009D1962">
            <w:pPr>
              <w:pStyle w:val="P68B1DB1-Normal8"/>
              <w:jc w:val="center"/>
              <w:rPr>
                <w:noProof/>
              </w:rPr>
            </w:pPr>
            <w:r>
              <w:rPr>
                <w:noProof/>
              </w:rPr>
              <w:t xml:space="preserve"> </w:t>
            </w:r>
          </w:p>
        </w:tc>
        <w:tc>
          <w:tcPr>
            <w:tcW w:w="2553"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5F01A3E7" w14:textId="77777777" w:rsidR="004C6421" w:rsidRDefault="009D1962">
            <w:pPr>
              <w:pStyle w:val="P68B1DB1-Normal8"/>
              <w:rPr>
                <w:noProof/>
              </w:rPr>
            </w:pPr>
            <w:r>
              <w:rPr>
                <w:noProof/>
              </w:rPr>
              <w:t xml:space="preserve"> </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5CF9CCE0" w14:textId="77777777" w:rsidR="004C6421" w:rsidRDefault="009D1962">
            <w:pPr>
              <w:pStyle w:val="P68B1DB1-Normal8"/>
              <w:rPr>
                <w:noProof/>
              </w:rPr>
            </w:pPr>
            <w:r>
              <w:rPr>
                <w:noProof/>
              </w:rPr>
              <w:t>Kwota transzy</w:t>
            </w:r>
          </w:p>
        </w:tc>
        <w:tc>
          <w:tcPr>
            <w:tcW w:w="44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7635A628" w14:textId="23E1CF18" w:rsidR="004C6421" w:rsidRDefault="009D1962">
            <w:pPr>
              <w:rPr>
                <w:noProof/>
              </w:rPr>
            </w:pPr>
            <w:r>
              <w:rPr>
                <w:noProof/>
                <w:color w:val="006100"/>
                <w:sz w:val="20"/>
              </w:rPr>
              <w:t>12643678161 EUR</w:t>
            </w:r>
            <w:r>
              <w:rPr>
                <w:noProof/>
                <w:sz w:val="23"/>
              </w:rPr>
              <w:t xml:space="preserve">  </w:t>
            </w:r>
          </w:p>
        </w:tc>
        <w:tc>
          <w:tcPr>
            <w:tcW w:w="236" w:type="dxa"/>
            <w:tcBorders>
              <w:top w:val="nil"/>
              <w:left w:val="single" w:sz="8" w:space="0" w:color="auto"/>
              <w:bottom w:val="nil"/>
              <w:right w:val="nil"/>
            </w:tcBorders>
            <w:vAlign w:val="center"/>
          </w:tcPr>
          <w:p w14:paraId="0334453F" w14:textId="77777777" w:rsidR="004C6421" w:rsidRDefault="004C6421">
            <w:pPr>
              <w:rPr>
                <w:noProof/>
              </w:rPr>
            </w:pPr>
          </w:p>
        </w:tc>
      </w:tr>
    </w:tbl>
    <w:p w14:paraId="4F511B4A" w14:textId="77777777" w:rsidR="004C6421" w:rsidRDefault="009D1962">
      <w:pPr>
        <w:spacing w:before="120" w:after="120"/>
        <w:jc w:val="both"/>
        <w:rPr>
          <w:noProof/>
        </w:rPr>
      </w:pPr>
      <w:r>
        <w:rPr>
          <w:noProof/>
        </w:rPr>
        <w:t xml:space="preserve"> </w:t>
      </w:r>
    </w:p>
    <w:p w14:paraId="7590C7E0" w14:textId="77777777" w:rsidR="004C6421" w:rsidRDefault="009D1962">
      <w:pPr>
        <w:pStyle w:val="ListParagraph"/>
        <w:numPr>
          <w:ilvl w:val="1"/>
          <w:numId w:val="145"/>
        </w:numPr>
        <w:spacing w:before="0" w:after="0" w:line="279" w:lineRule="auto"/>
        <w:ind w:left="850" w:hanging="850"/>
        <w:rPr>
          <w:noProof/>
        </w:rPr>
      </w:pPr>
      <w:r>
        <w:rPr>
          <w:noProof/>
        </w:rPr>
        <w:t>Trzecia transza (wsparcie pożyczkowe):</w:t>
      </w:r>
    </w:p>
    <w:tbl>
      <w:tblPr>
        <w:tblW w:w="9592" w:type="dxa"/>
        <w:tblInd w:w="120" w:type="dxa"/>
        <w:tblLayout w:type="fixed"/>
        <w:tblLook w:val="04A0" w:firstRow="1" w:lastRow="0" w:firstColumn="1" w:lastColumn="0" w:noHBand="0" w:noVBand="1"/>
      </w:tblPr>
      <w:tblGrid>
        <w:gridCol w:w="1140"/>
        <w:gridCol w:w="3665"/>
        <w:gridCol w:w="1125"/>
        <w:gridCol w:w="3426"/>
        <w:gridCol w:w="236"/>
      </w:tblGrid>
      <w:tr w:rsidR="004C6421" w14:paraId="6DC6C868" w14:textId="77777777">
        <w:trPr>
          <w:trHeight w:val="900"/>
          <w:tblHeader/>
        </w:trPr>
        <w:tc>
          <w:tcPr>
            <w:tcW w:w="1140"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4E50E3C5" w14:textId="77777777" w:rsidR="004C6421" w:rsidRDefault="009D1962">
            <w:pPr>
              <w:pStyle w:val="P68B1DB1-Normal36"/>
              <w:jc w:val="center"/>
              <w:rPr>
                <w:noProof/>
              </w:rPr>
            </w:pPr>
            <w:r>
              <w:rPr>
                <w:noProof/>
              </w:rPr>
              <w:t>Numer porządkowy</w:t>
            </w:r>
          </w:p>
        </w:tc>
        <w:tc>
          <w:tcPr>
            <w:tcW w:w="3665"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103EDF1A" w14:textId="77777777" w:rsidR="004C6421" w:rsidRDefault="009D1962">
            <w:pPr>
              <w:pStyle w:val="P68B1DB1-Normal36"/>
              <w:jc w:val="center"/>
              <w:rPr>
                <w:noProof/>
              </w:rPr>
            </w:pPr>
            <w:r>
              <w:rPr>
                <w:noProof/>
              </w:rPr>
              <w:t>Powiązane działanie (reforma lub inwestycja)</w:t>
            </w:r>
          </w:p>
        </w:tc>
        <w:tc>
          <w:tcPr>
            <w:tcW w:w="1125"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57019673" w14:textId="77777777" w:rsidR="004C6421" w:rsidRDefault="009D1962">
            <w:pPr>
              <w:pStyle w:val="P68B1DB1-Normal36"/>
              <w:jc w:val="center"/>
              <w:rPr>
                <w:noProof/>
              </w:rPr>
            </w:pPr>
            <w:r>
              <w:rPr>
                <w:noProof/>
              </w:rPr>
              <w:t>Kamień milowy/wartość docelowa</w:t>
            </w:r>
          </w:p>
        </w:tc>
        <w:tc>
          <w:tcPr>
            <w:tcW w:w="3426"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72F5A7D8" w14:textId="77777777" w:rsidR="004C6421" w:rsidRDefault="009D1962">
            <w:pPr>
              <w:pStyle w:val="P68B1DB1-Normal36"/>
              <w:jc w:val="center"/>
              <w:rPr>
                <w:noProof/>
              </w:rPr>
            </w:pPr>
            <w:r>
              <w:rPr>
                <w:noProof/>
              </w:rPr>
              <w:t>Nazwa</w:t>
            </w:r>
          </w:p>
        </w:tc>
        <w:tc>
          <w:tcPr>
            <w:tcW w:w="236" w:type="dxa"/>
            <w:tcBorders>
              <w:top w:val="nil"/>
              <w:left w:val="single" w:sz="4" w:space="0" w:color="auto"/>
              <w:bottom w:val="nil"/>
              <w:right w:val="nil"/>
            </w:tcBorders>
            <w:vAlign w:val="center"/>
          </w:tcPr>
          <w:p w14:paraId="55350327" w14:textId="77777777" w:rsidR="004C6421" w:rsidRDefault="004C6421">
            <w:pPr>
              <w:rPr>
                <w:noProof/>
              </w:rPr>
            </w:pPr>
          </w:p>
        </w:tc>
      </w:tr>
      <w:tr w:rsidR="004C6421" w14:paraId="258606E4" w14:textId="77777777">
        <w:trPr>
          <w:trHeight w:val="465"/>
        </w:trPr>
        <w:tc>
          <w:tcPr>
            <w:tcW w:w="1140" w:type="dxa"/>
            <w:vMerge/>
            <w:tcBorders>
              <w:top w:val="single" w:sz="4" w:space="0" w:color="auto"/>
              <w:left w:val="single" w:sz="4" w:space="0" w:color="auto"/>
              <w:bottom w:val="single" w:sz="4" w:space="0" w:color="auto"/>
              <w:right w:val="single" w:sz="4" w:space="0" w:color="auto"/>
            </w:tcBorders>
            <w:vAlign w:val="center"/>
          </w:tcPr>
          <w:p w14:paraId="7E03246E" w14:textId="77777777" w:rsidR="004C6421" w:rsidRDefault="004C6421">
            <w:pPr>
              <w:rPr>
                <w:noProof/>
              </w:rPr>
            </w:pPr>
          </w:p>
        </w:tc>
        <w:tc>
          <w:tcPr>
            <w:tcW w:w="3665" w:type="dxa"/>
            <w:vMerge/>
            <w:tcBorders>
              <w:top w:val="single" w:sz="4" w:space="0" w:color="auto"/>
              <w:left w:val="single" w:sz="4" w:space="0" w:color="auto"/>
              <w:bottom w:val="single" w:sz="4" w:space="0" w:color="auto"/>
              <w:right w:val="single" w:sz="4" w:space="0" w:color="auto"/>
            </w:tcBorders>
            <w:vAlign w:val="center"/>
          </w:tcPr>
          <w:p w14:paraId="59998A78" w14:textId="77777777" w:rsidR="004C6421" w:rsidRDefault="004C6421">
            <w:pPr>
              <w:rPr>
                <w:noProof/>
              </w:rPr>
            </w:pPr>
          </w:p>
        </w:tc>
        <w:tc>
          <w:tcPr>
            <w:tcW w:w="1125" w:type="dxa"/>
            <w:vMerge/>
            <w:tcBorders>
              <w:top w:val="single" w:sz="4" w:space="0" w:color="auto"/>
              <w:left w:val="single" w:sz="4" w:space="0" w:color="auto"/>
              <w:bottom w:val="single" w:sz="4" w:space="0" w:color="auto"/>
              <w:right w:val="single" w:sz="4" w:space="0" w:color="auto"/>
            </w:tcBorders>
            <w:vAlign w:val="center"/>
          </w:tcPr>
          <w:p w14:paraId="7261F6D5" w14:textId="77777777" w:rsidR="004C6421" w:rsidRDefault="004C6421">
            <w:pPr>
              <w:rPr>
                <w:noProof/>
              </w:rPr>
            </w:pPr>
          </w:p>
        </w:tc>
        <w:tc>
          <w:tcPr>
            <w:tcW w:w="3426" w:type="dxa"/>
            <w:vMerge/>
            <w:tcBorders>
              <w:top w:val="single" w:sz="4" w:space="0" w:color="auto"/>
              <w:left w:val="single" w:sz="4" w:space="0" w:color="auto"/>
              <w:bottom w:val="single" w:sz="4" w:space="0" w:color="auto"/>
              <w:right w:val="single" w:sz="4" w:space="0" w:color="auto"/>
            </w:tcBorders>
            <w:vAlign w:val="center"/>
          </w:tcPr>
          <w:p w14:paraId="33473008" w14:textId="77777777" w:rsidR="004C6421" w:rsidRDefault="004C6421">
            <w:pPr>
              <w:rPr>
                <w:noProof/>
              </w:rPr>
            </w:pPr>
          </w:p>
        </w:tc>
        <w:tc>
          <w:tcPr>
            <w:tcW w:w="236" w:type="dxa"/>
            <w:tcBorders>
              <w:top w:val="nil"/>
              <w:left w:val="single" w:sz="4" w:space="0" w:color="auto"/>
              <w:bottom w:val="nil"/>
              <w:right w:val="nil"/>
            </w:tcBorders>
            <w:vAlign w:val="center"/>
          </w:tcPr>
          <w:p w14:paraId="4D0A770D" w14:textId="77777777" w:rsidR="004C6421" w:rsidRDefault="004C6421">
            <w:pPr>
              <w:rPr>
                <w:noProof/>
              </w:rPr>
            </w:pPr>
          </w:p>
        </w:tc>
      </w:tr>
      <w:tr w:rsidR="004C6421" w14:paraId="162403EC" w14:textId="77777777">
        <w:trPr>
          <w:trHeight w:val="300"/>
        </w:trPr>
        <w:tc>
          <w:tcPr>
            <w:tcW w:w="1140"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1C31227" w14:textId="77777777" w:rsidR="004C6421" w:rsidRDefault="009D1962">
            <w:pPr>
              <w:pStyle w:val="P68B1DB1-Normal8"/>
              <w:rPr>
                <w:noProof/>
              </w:rPr>
            </w:pPr>
            <w:r>
              <w:rPr>
                <w:noProof/>
              </w:rPr>
              <w:t>M2C1-18</w:t>
            </w:r>
          </w:p>
        </w:tc>
        <w:tc>
          <w:tcPr>
            <w:tcW w:w="3665"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39C13EB" w14:textId="77777777" w:rsidR="004C6421" w:rsidRDefault="009D1962">
            <w:pPr>
              <w:pStyle w:val="P68B1DB1-Normal8"/>
              <w:rPr>
                <w:noProof/>
              </w:rPr>
            </w:pPr>
            <w:r>
              <w:rPr>
                <w:noProof/>
              </w:rPr>
              <w:t>Inwestycja 3.1: Zielone wyspy</w:t>
            </w:r>
          </w:p>
        </w:tc>
        <w:tc>
          <w:tcPr>
            <w:tcW w:w="1125"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5B50F97" w14:textId="194AC717" w:rsidR="004C6421" w:rsidRDefault="00CC179E">
            <w:pPr>
              <w:pStyle w:val="P68B1DB1-Normal8"/>
              <w:rPr>
                <w:noProof/>
              </w:rPr>
            </w:pPr>
            <w:r>
              <w:rPr>
                <w:noProof/>
              </w:rPr>
              <w:t>Milowy</w:t>
            </w:r>
          </w:p>
        </w:tc>
        <w:tc>
          <w:tcPr>
            <w:tcW w:w="3426"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E23D8F1" w14:textId="77777777" w:rsidR="004C6421" w:rsidRDefault="009D1962">
            <w:pPr>
              <w:pStyle w:val="P68B1DB1-Normal8"/>
              <w:rPr>
                <w:noProof/>
              </w:rPr>
            </w:pPr>
            <w:r>
              <w:rPr>
                <w:noProof/>
              </w:rPr>
              <w:t>Wejście w życie dekretu dyrektora</w:t>
            </w:r>
          </w:p>
        </w:tc>
        <w:tc>
          <w:tcPr>
            <w:tcW w:w="236" w:type="dxa"/>
            <w:tcBorders>
              <w:top w:val="nil"/>
              <w:left w:val="single" w:sz="8" w:space="0" w:color="auto"/>
              <w:bottom w:val="nil"/>
              <w:right w:val="nil"/>
            </w:tcBorders>
            <w:vAlign w:val="center"/>
          </w:tcPr>
          <w:p w14:paraId="30465B29" w14:textId="77777777" w:rsidR="004C6421" w:rsidRDefault="004C6421">
            <w:pPr>
              <w:rPr>
                <w:noProof/>
              </w:rPr>
            </w:pPr>
          </w:p>
        </w:tc>
      </w:tr>
      <w:tr w:rsidR="004C6421" w14:paraId="1E276BC7"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EB727E8" w14:textId="77777777" w:rsidR="004C6421" w:rsidRDefault="009D1962">
            <w:pPr>
              <w:pStyle w:val="P68B1DB1-Normal8"/>
              <w:rPr>
                <w:noProof/>
              </w:rPr>
            </w:pPr>
            <w:r>
              <w:rPr>
                <w:noProof/>
              </w:rPr>
              <w:t>M2C1-20</w:t>
            </w:r>
          </w:p>
        </w:tc>
        <w:tc>
          <w:tcPr>
            <w:tcW w:w="366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382F1CE" w14:textId="77777777" w:rsidR="004C6421" w:rsidRDefault="009D1962">
            <w:pPr>
              <w:pStyle w:val="P68B1DB1-Normal8"/>
              <w:rPr>
                <w:noProof/>
              </w:rPr>
            </w:pPr>
            <w:r>
              <w:rPr>
                <w:noProof/>
              </w:rPr>
              <w:t>Inwestycje 3.2: Społeczności ekologiczne</w:t>
            </w:r>
          </w:p>
        </w:tc>
        <w:tc>
          <w:tcPr>
            <w:tcW w:w="11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18355DC" w14:textId="64C48E93" w:rsidR="004C6421" w:rsidRDefault="00CC179E">
            <w:pPr>
              <w:pStyle w:val="P68B1DB1-Normal8"/>
              <w:rPr>
                <w:noProof/>
              </w:rPr>
            </w:pPr>
            <w:r>
              <w:rPr>
                <w:noProof/>
              </w:rPr>
              <w:t>Milowy</w:t>
            </w:r>
          </w:p>
        </w:tc>
        <w:tc>
          <w:tcPr>
            <w:tcW w:w="342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681B397" w14:textId="77777777" w:rsidR="004C6421" w:rsidRDefault="009D1962">
            <w:pPr>
              <w:pStyle w:val="P68B1DB1-Normal8"/>
              <w:rPr>
                <w:noProof/>
              </w:rPr>
            </w:pPr>
            <w:r>
              <w:rPr>
                <w:noProof/>
              </w:rPr>
              <w:t>Udzielanie (wszystkich) zamówień publicznych na wybór społeczności ekologicznych</w:t>
            </w:r>
          </w:p>
        </w:tc>
        <w:tc>
          <w:tcPr>
            <w:tcW w:w="236" w:type="dxa"/>
            <w:tcBorders>
              <w:top w:val="nil"/>
              <w:left w:val="single" w:sz="8" w:space="0" w:color="auto"/>
              <w:bottom w:val="nil"/>
              <w:right w:val="nil"/>
            </w:tcBorders>
            <w:vAlign w:val="center"/>
          </w:tcPr>
          <w:p w14:paraId="38D35317" w14:textId="77777777" w:rsidR="004C6421" w:rsidRDefault="004C6421">
            <w:pPr>
              <w:rPr>
                <w:noProof/>
              </w:rPr>
            </w:pPr>
          </w:p>
        </w:tc>
      </w:tr>
      <w:tr w:rsidR="004C6421" w14:paraId="433998D6"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95E83A3" w14:textId="77777777" w:rsidR="004C6421" w:rsidRDefault="009D1962">
            <w:pPr>
              <w:pStyle w:val="P68B1DB1-Normal8"/>
              <w:rPr>
                <w:noProof/>
              </w:rPr>
            </w:pPr>
            <w:r>
              <w:rPr>
                <w:noProof/>
              </w:rPr>
              <w:t>M5C2-17</w:t>
            </w:r>
          </w:p>
        </w:tc>
        <w:tc>
          <w:tcPr>
            <w:tcW w:w="366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9ECF5F4" w14:textId="77777777" w:rsidR="004C6421" w:rsidRDefault="009D1962">
            <w:pPr>
              <w:pStyle w:val="P68B1DB1-Normal8"/>
              <w:rPr>
                <w:noProof/>
              </w:rPr>
            </w:pPr>
            <w:r>
              <w:rPr>
                <w:noProof/>
              </w:rPr>
              <w:t>Inwestycje 5 – Zintegrowane plany miejskie – Fundusz EBI</w:t>
            </w:r>
          </w:p>
        </w:tc>
        <w:tc>
          <w:tcPr>
            <w:tcW w:w="11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2A48781" w14:textId="639E99B5" w:rsidR="004C6421" w:rsidRDefault="00CC179E">
            <w:pPr>
              <w:pStyle w:val="P68B1DB1-Normal8"/>
              <w:rPr>
                <w:noProof/>
              </w:rPr>
            </w:pPr>
            <w:r>
              <w:rPr>
                <w:noProof/>
              </w:rPr>
              <w:t>Milowy</w:t>
            </w:r>
          </w:p>
        </w:tc>
        <w:tc>
          <w:tcPr>
            <w:tcW w:w="342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CEF2EFD" w14:textId="77777777" w:rsidR="004C6421" w:rsidRDefault="009D1962">
            <w:pPr>
              <w:pStyle w:val="P68B1DB1-Normal8"/>
              <w:rPr>
                <w:noProof/>
              </w:rPr>
            </w:pPr>
            <w:r>
              <w:rPr>
                <w:noProof/>
              </w:rPr>
              <w:t>Strategię inwestycyjną funduszu zatwierdza Ministerstwo Finansów (MEF).</w:t>
            </w:r>
          </w:p>
        </w:tc>
        <w:tc>
          <w:tcPr>
            <w:tcW w:w="236" w:type="dxa"/>
            <w:tcBorders>
              <w:top w:val="nil"/>
              <w:left w:val="single" w:sz="8" w:space="0" w:color="auto"/>
              <w:bottom w:val="nil"/>
              <w:right w:val="nil"/>
            </w:tcBorders>
            <w:vAlign w:val="center"/>
          </w:tcPr>
          <w:p w14:paraId="3EEA728E" w14:textId="77777777" w:rsidR="004C6421" w:rsidRDefault="004C6421">
            <w:pPr>
              <w:rPr>
                <w:noProof/>
              </w:rPr>
            </w:pPr>
          </w:p>
        </w:tc>
      </w:tr>
      <w:tr w:rsidR="004C6421" w14:paraId="58E35147"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3A92F20" w14:textId="77777777" w:rsidR="004C6421" w:rsidRDefault="009D1962">
            <w:pPr>
              <w:pStyle w:val="P68B1DB1-Normal8"/>
              <w:rPr>
                <w:noProof/>
              </w:rPr>
            </w:pPr>
            <w:r>
              <w:rPr>
                <w:noProof/>
              </w:rPr>
              <w:t>M1C1-123</w:t>
            </w:r>
          </w:p>
        </w:tc>
        <w:tc>
          <w:tcPr>
            <w:tcW w:w="366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C8188E2" w14:textId="77777777" w:rsidR="004C6421" w:rsidRDefault="009D1962">
            <w:pPr>
              <w:pStyle w:val="P68B1DB1-Normal8"/>
              <w:rPr>
                <w:noProof/>
              </w:rPr>
            </w:pPr>
            <w:r>
              <w:rPr>
                <w:noProof/>
              </w:rPr>
              <w:t>Inwestycje 1.6.3 – Cyfryzacja Krajowego Instytutu Zabezpieczenia Społecznego (INPS) i Krajowego Instytutu Ubezpieczeń od Wypadków przy Pracy (INAIL)</w:t>
            </w:r>
          </w:p>
        </w:tc>
        <w:tc>
          <w:tcPr>
            <w:tcW w:w="11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06D3106" w14:textId="77777777" w:rsidR="004C6421" w:rsidRDefault="009D1962">
            <w:pPr>
              <w:pStyle w:val="P68B1DB1-Normal8"/>
              <w:rPr>
                <w:noProof/>
              </w:rPr>
            </w:pPr>
            <w:r>
              <w:rPr>
                <w:noProof/>
              </w:rPr>
              <w:t>Cel</w:t>
            </w:r>
          </w:p>
        </w:tc>
        <w:tc>
          <w:tcPr>
            <w:tcW w:w="342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7FE94BD" w14:textId="77777777" w:rsidR="004C6421" w:rsidRDefault="009D1962">
            <w:pPr>
              <w:pStyle w:val="P68B1DB1-Normal8"/>
              <w:rPr>
                <w:noProof/>
              </w:rPr>
            </w:pPr>
            <w:r>
              <w:rPr>
                <w:noProof/>
              </w:rPr>
              <w:t>INPS – usługi/treść T1 „Jedne kliknięcie na etapie projektowania”</w:t>
            </w:r>
          </w:p>
        </w:tc>
        <w:tc>
          <w:tcPr>
            <w:tcW w:w="236" w:type="dxa"/>
            <w:tcBorders>
              <w:top w:val="nil"/>
              <w:left w:val="single" w:sz="8" w:space="0" w:color="auto"/>
              <w:bottom w:val="nil"/>
              <w:right w:val="nil"/>
            </w:tcBorders>
            <w:vAlign w:val="center"/>
          </w:tcPr>
          <w:p w14:paraId="6C9CDD51" w14:textId="77777777" w:rsidR="004C6421" w:rsidRDefault="004C6421">
            <w:pPr>
              <w:rPr>
                <w:noProof/>
              </w:rPr>
            </w:pPr>
          </w:p>
        </w:tc>
      </w:tr>
      <w:tr w:rsidR="004C6421" w14:paraId="60704B2A"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3B1FD84" w14:textId="77777777" w:rsidR="004C6421" w:rsidRDefault="009D1962">
            <w:pPr>
              <w:pStyle w:val="P68B1DB1-Normal8"/>
              <w:rPr>
                <w:noProof/>
              </w:rPr>
            </w:pPr>
            <w:r>
              <w:rPr>
                <w:noProof/>
              </w:rPr>
              <w:t>M1C1-124</w:t>
            </w:r>
          </w:p>
        </w:tc>
        <w:tc>
          <w:tcPr>
            <w:tcW w:w="366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E5779EE" w14:textId="77777777" w:rsidR="004C6421" w:rsidRDefault="009D1962">
            <w:pPr>
              <w:pStyle w:val="P68B1DB1-Normal8"/>
              <w:rPr>
                <w:noProof/>
              </w:rPr>
            </w:pPr>
            <w:r>
              <w:rPr>
                <w:noProof/>
              </w:rPr>
              <w:t>Inwestycje 1.6.3 – Cyfryzacja Krajowego Instytutu Zabezpieczenia Społecznego (INPS) i Krajowego Instytutu Ubezpieczeń od Wypadków przy Pracy (INAIL)</w:t>
            </w:r>
          </w:p>
        </w:tc>
        <w:tc>
          <w:tcPr>
            <w:tcW w:w="11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CED9C83" w14:textId="77777777" w:rsidR="004C6421" w:rsidRDefault="009D1962">
            <w:pPr>
              <w:pStyle w:val="P68B1DB1-Normal8"/>
              <w:rPr>
                <w:noProof/>
              </w:rPr>
            </w:pPr>
            <w:r>
              <w:rPr>
                <w:noProof/>
              </w:rPr>
              <w:t>Cel</w:t>
            </w:r>
          </w:p>
        </w:tc>
        <w:tc>
          <w:tcPr>
            <w:tcW w:w="342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29A53F0" w14:textId="77777777" w:rsidR="004C6421" w:rsidRDefault="009D1962">
            <w:pPr>
              <w:pStyle w:val="P68B1DB1-Normal8"/>
              <w:rPr>
                <w:noProof/>
              </w:rPr>
            </w:pPr>
            <w:r>
              <w:rPr>
                <w:noProof/>
              </w:rPr>
              <w:t>INPS – Pracownicy posiadający lepsze umiejętności w zakresie technologii informacyjno-komunikacyjnych (ICT) T1</w:t>
            </w:r>
          </w:p>
        </w:tc>
        <w:tc>
          <w:tcPr>
            <w:tcW w:w="236" w:type="dxa"/>
            <w:tcBorders>
              <w:top w:val="nil"/>
              <w:left w:val="single" w:sz="8" w:space="0" w:color="auto"/>
              <w:bottom w:val="nil"/>
              <w:right w:val="nil"/>
            </w:tcBorders>
            <w:vAlign w:val="center"/>
          </w:tcPr>
          <w:p w14:paraId="3592EBE4" w14:textId="77777777" w:rsidR="004C6421" w:rsidRDefault="004C6421">
            <w:pPr>
              <w:rPr>
                <w:noProof/>
              </w:rPr>
            </w:pPr>
          </w:p>
        </w:tc>
      </w:tr>
      <w:tr w:rsidR="004C6421" w14:paraId="3C1D4183"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F007315" w14:textId="77777777" w:rsidR="004C6421" w:rsidRDefault="009D1962">
            <w:pPr>
              <w:pStyle w:val="P68B1DB1-Normal8"/>
              <w:rPr>
                <w:noProof/>
              </w:rPr>
            </w:pPr>
            <w:r>
              <w:rPr>
                <w:noProof/>
              </w:rPr>
              <w:t>M1C3-30</w:t>
            </w:r>
          </w:p>
        </w:tc>
        <w:tc>
          <w:tcPr>
            <w:tcW w:w="366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F4BCAE3" w14:textId="77777777" w:rsidR="004C6421" w:rsidRDefault="009D1962">
            <w:pPr>
              <w:pStyle w:val="P68B1DB1-Normal8"/>
              <w:rPr>
                <w:noProof/>
              </w:rPr>
            </w:pPr>
            <w:r>
              <w:rPr>
                <w:noProof/>
              </w:rPr>
              <w:t>Inwestycje 4.2:  Fundusze na konkurencyjność przedsiębiorstw turystycznych</w:t>
            </w:r>
          </w:p>
        </w:tc>
        <w:tc>
          <w:tcPr>
            <w:tcW w:w="11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9B353A2" w14:textId="77777777" w:rsidR="004C6421" w:rsidRDefault="009D1962">
            <w:pPr>
              <w:pStyle w:val="P68B1DB1-Normal8"/>
              <w:rPr>
                <w:noProof/>
              </w:rPr>
            </w:pPr>
            <w:r>
              <w:rPr>
                <w:noProof/>
              </w:rPr>
              <w:t>Cel</w:t>
            </w:r>
          </w:p>
        </w:tc>
        <w:tc>
          <w:tcPr>
            <w:tcW w:w="342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F9C60A4" w14:textId="312A1D84" w:rsidR="004C6421" w:rsidRDefault="009D1962">
            <w:pPr>
              <w:rPr>
                <w:noProof/>
              </w:rPr>
            </w:pPr>
            <w:r>
              <w:rPr>
                <w:noProof/>
                <w:sz w:val="23"/>
              </w:rPr>
              <w:t>Fundusze tematyczne Europejskiego Banku</w:t>
            </w:r>
            <w:r>
              <w:rPr>
                <w:noProof/>
                <w:color w:val="006100"/>
                <w:sz w:val="20"/>
              </w:rPr>
              <w:t>Inwestycyjnego: Wypłata na rzecz funduszu łącznej kwoty 350000000</w:t>
            </w:r>
            <w:r>
              <w:rPr>
                <w:noProof/>
                <w:sz w:val="23"/>
              </w:rPr>
              <w:t xml:space="preserve"> </w:t>
            </w:r>
            <w:r>
              <w:rPr>
                <w:noProof/>
                <w:color w:val="006100"/>
                <w:sz w:val="20"/>
              </w:rPr>
              <w:t>EUR.</w:t>
            </w:r>
          </w:p>
        </w:tc>
        <w:tc>
          <w:tcPr>
            <w:tcW w:w="236" w:type="dxa"/>
            <w:tcBorders>
              <w:top w:val="nil"/>
              <w:left w:val="single" w:sz="8" w:space="0" w:color="auto"/>
              <w:bottom w:val="nil"/>
              <w:right w:val="nil"/>
            </w:tcBorders>
            <w:vAlign w:val="center"/>
          </w:tcPr>
          <w:p w14:paraId="5D3457E8" w14:textId="77777777" w:rsidR="004C6421" w:rsidRDefault="004C6421">
            <w:pPr>
              <w:rPr>
                <w:noProof/>
              </w:rPr>
            </w:pPr>
          </w:p>
        </w:tc>
      </w:tr>
      <w:tr w:rsidR="004C6421" w14:paraId="0345DDBA"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9671D73" w14:textId="77777777" w:rsidR="004C6421" w:rsidRDefault="009D1962">
            <w:pPr>
              <w:pStyle w:val="P68B1DB1-Normal8"/>
              <w:rPr>
                <w:noProof/>
              </w:rPr>
            </w:pPr>
            <w:r>
              <w:rPr>
                <w:noProof/>
              </w:rPr>
              <w:t>M1C3-31</w:t>
            </w:r>
          </w:p>
        </w:tc>
        <w:tc>
          <w:tcPr>
            <w:tcW w:w="366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3E19CF9" w14:textId="77777777" w:rsidR="004C6421" w:rsidRDefault="009D1962">
            <w:pPr>
              <w:pStyle w:val="P68B1DB1-Normal8"/>
              <w:rPr>
                <w:noProof/>
              </w:rPr>
            </w:pPr>
            <w:r>
              <w:rPr>
                <w:noProof/>
              </w:rPr>
              <w:t>Inwestycje 4.2:  Fundusze na konkurencyjność przedsiębiorstw turystycznych</w:t>
            </w:r>
          </w:p>
        </w:tc>
        <w:tc>
          <w:tcPr>
            <w:tcW w:w="11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14FA7EA" w14:textId="77777777" w:rsidR="004C6421" w:rsidRDefault="009D1962">
            <w:pPr>
              <w:pStyle w:val="P68B1DB1-Normal8"/>
              <w:rPr>
                <w:noProof/>
              </w:rPr>
            </w:pPr>
            <w:r>
              <w:rPr>
                <w:noProof/>
              </w:rPr>
              <w:t>Cel</w:t>
            </w:r>
          </w:p>
        </w:tc>
        <w:tc>
          <w:tcPr>
            <w:tcW w:w="342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7E9A355" w14:textId="4CA7B918" w:rsidR="004C6421" w:rsidRDefault="009D1962">
            <w:pPr>
              <w:rPr>
                <w:noProof/>
              </w:rPr>
            </w:pPr>
            <w:r>
              <w:rPr>
                <w:noProof/>
                <w:color w:val="006100"/>
                <w:sz w:val="20"/>
              </w:rPr>
              <w:t>Narodowy Fundusz Turystyki: Wypłata na rzecz funduszu łącznej kwoty 150000000</w:t>
            </w:r>
            <w:r>
              <w:rPr>
                <w:noProof/>
                <w:sz w:val="23"/>
              </w:rPr>
              <w:t xml:space="preserve"> </w:t>
            </w:r>
            <w:r>
              <w:rPr>
                <w:noProof/>
                <w:color w:val="006100"/>
                <w:sz w:val="20"/>
              </w:rPr>
              <w:t>EUR</w:t>
            </w:r>
            <w:r>
              <w:rPr>
                <w:noProof/>
                <w:sz w:val="23"/>
              </w:rPr>
              <w:t xml:space="preserve"> </w:t>
            </w:r>
            <w:r>
              <w:rPr>
                <w:noProof/>
                <w:color w:val="006100"/>
                <w:sz w:val="20"/>
              </w:rPr>
              <w:t>na wsparcie kapitałowe.</w:t>
            </w:r>
          </w:p>
        </w:tc>
        <w:tc>
          <w:tcPr>
            <w:tcW w:w="236" w:type="dxa"/>
            <w:tcBorders>
              <w:top w:val="nil"/>
              <w:left w:val="single" w:sz="8" w:space="0" w:color="auto"/>
              <w:bottom w:val="nil"/>
              <w:right w:val="nil"/>
            </w:tcBorders>
            <w:vAlign w:val="center"/>
          </w:tcPr>
          <w:p w14:paraId="592BE039" w14:textId="77777777" w:rsidR="004C6421" w:rsidRDefault="004C6421">
            <w:pPr>
              <w:rPr>
                <w:noProof/>
              </w:rPr>
            </w:pPr>
          </w:p>
        </w:tc>
      </w:tr>
      <w:tr w:rsidR="004C6421" w14:paraId="59D15C10"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A57D514" w14:textId="77777777" w:rsidR="004C6421" w:rsidRDefault="009D1962">
            <w:pPr>
              <w:pStyle w:val="P68B1DB1-Normal8"/>
              <w:rPr>
                <w:noProof/>
              </w:rPr>
            </w:pPr>
            <w:r>
              <w:rPr>
                <w:noProof/>
              </w:rPr>
              <w:t>M2C3-9</w:t>
            </w:r>
          </w:p>
        </w:tc>
        <w:tc>
          <w:tcPr>
            <w:tcW w:w="366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6963611" w14:textId="77777777" w:rsidR="004C6421" w:rsidRDefault="009D1962">
            <w:pPr>
              <w:pStyle w:val="P68B1DB1-Normal8"/>
              <w:rPr>
                <w:noProof/>
              </w:rPr>
            </w:pPr>
            <w:r>
              <w:rPr>
                <w:noProof/>
              </w:rPr>
              <w:t>Inwestycja 3.1: Promowanie efektywnego systemu ciepłowniczego</w:t>
            </w:r>
          </w:p>
        </w:tc>
        <w:tc>
          <w:tcPr>
            <w:tcW w:w="11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BA4CD77" w14:textId="567B9BB4" w:rsidR="004C6421" w:rsidRDefault="00CC179E">
            <w:pPr>
              <w:pStyle w:val="P68B1DB1-Normal8"/>
              <w:rPr>
                <w:noProof/>
              </w:rPr>
            </w:pPr>
            <w:r>
              <w:rPr>
                <w:noProof/>
              </w:rPr>
              <w:t>Milowy</w:t>
            </w:r>
          </w:p>
        </w:tc>
        <w:tc>
          <w:tcPr>
            <w:tcW w:w="342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C6B3D47" w14:textId="77777777" w:rsidR="004C6421" w:rsidRDefault="009D1962">
            <w:pPr>
              <w:pStyle w:val="P68B1DB1-Normal8"/>
              <w:rPr>
                <w:noProof/>
              </w:rPr>
            </w:pPr>
            <w:r>
              <w:rPr>
                <w:noProof/>
              </w:rPr>
              <w:t xml:space="preserve">Zamówienia na poprawę sieci ciepłowniczych udzielane są przez Ministerstwo Transformacji Ekologicznej w drodze procedury przetargowej. </w:t>
            </w:r>
          </w:p>
        </w:tc>
        <w:tc>
          <w:tcPr>
            <w:tcW w:w="236" w:type="dxa"/>
            <w:tcBorders>
              <w:top w:val="nil"/>
              <w:left w:val="single" w:sz="8" w:space="0" w:color="auto"/>
              <w:bottom w:val="nil"/>
              <w:right w:val="nil"/>
            </w:tcBorders>
            <w:vAlign w:val="center"/>
          </w:tcPr>
          <w:p w14:paraId="091A879E" w14:textId="77777777" w:rsidR="004C6421" w:rsidRDefault="004C6421">
            <w:pPr>
              <w:rPr>
                <w:noProof/>
              </w:rPr>
            </w:pPr>
          </w:p>
        </w:tc>
      </w:tr>
      <w:tr w:rsidR="004C6421" w14:paraId="20789A6C"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FC5BD55" w14:textId="77777777" w:rsidR="004C6421" w:rsidRDefault="009D1962">
            <w:pPr>
              <w:pStyle w:val="P68B1DB1-Normal8"/>
              <w:rPr>
                <w:noProof/>
              </w:rPr>
            </w:pPr>
            <w:r>
              <w:rPr>
                <w:noProof/>
              </w:rPr>
              <w:t>M2C4-19</w:t>
            </w:r>
          </w:p>
        </w:tc>
        <w:tc>
          <w:tcPr>
            <w:tcW w:w="366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FFD58D1" w14:textId="77777777" w:rsidR="004C6421" w:rsidRDefault="009D1962">
            <w:pPr>
              <w:pStyle w:val="P68B1DB1-Normal8"/>
              <w:rPr>
                <w:noProof/>
              </w:rPr>
            </w:pPr>
            <w:r>
              <w:rPr>
                <w:noProof/>
              </w:rPr>
              <w:t>Inwestycje. 3.1: Ochrona i poprawa stanu lasów miejskich i podmiejskich</w:t>
            </w:r>
          </w:p>
        </w:tc>
        <w:tc>
          <w:tcPr>
            <w:tcW w:w="11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5453C31" w14:textId="77777777" w:rsidR="004C6421" w:rsidRDefault="009D1962">
            <w:pPr>
              <w:pStyle w:val="P68B1DB1-Normal8"/>
              <w:rPr>
                <w:noProof/>
              </w:rPr>
            </w:pPr>
            <w:r>
              <w:rPr>
                <w:noProof/>
              </w:rPr>
              <w:t>Cel</w:t>
            </w:r>
          </w:p>
        </w:tc>
        <w:tc>
          <w:tcPr>
            <w:tcW w:w="342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C22FDCB" w14:textId="77777777" w:rsidR="004C6421" w:rsidRDefault="009D1962">
            <w:pPr>
              <w:pStyle w:val="P68B1DB1-Normal8"/>
              <w:rPr>
                <w:noProof/>
              </w:rPr>
            </w:pPr>
            <w:r>
              <w:rPr>
                <w:noProof/>
              </w:rPr>
              <w:t>Drzewa roślinne w celu ochrony i waloryzacji zielonych obszarów miejskich i podmiejskich T1</w:t>
            </w:r>
          </w:p>
        </w:tc>
        <w:tc>
          <w:tcPr>
            <w:tcW w:w="236" w:type="dxa"/>
            <w:tcBorders>
              <w:top w:val="nil"/>
              <w:left w:val="single" w:sz="8" w:space="0" w:color="auto"/>
              <w:bottom w:val="nil"/>
              <w:right w:val="nil"/>
            </w:tcBorders>
            <w:vAlign w:val="center"/>
          </w:tcPr>
          <w:p w14:paraId="556F0DFE" w14:textId="77777777" w:rsidR="004C6421" w:rsidRDefault="004C6421">
            <w:pPr>
              <w:rPr>
                <w:noProof/>
              </w:rPr>
            </w:pPr>
          </w:p>
        </w:tc>
      </w:tr>
      <w:tr w:rsidR="004C6421" w14:paraId="70CC7428"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DC8F035" w14:textId="77777777" w:rsidR="004C6421" w:rsidRDefault="009D1962">
            <w:pPr>
              <w:pStyle w:val="P68B1DB1-Normal8"/>
              <w:rPr>
                <w:noProof/>
              </w:rPr>
            </w:pPr>
            <w:r>
              <w:rPr>
                <w:noProof/>
              </w:rPr>
              <w:t>M2C4-24</w:t>
            </w:r>
          </w:p>
        </w:tc>
        <w:tc>
          <w:tcPr>
            <w:tcW w:w="366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0B40C54" w14:textId="77777777" w:rsidR="004C6421" w:rsidRDefault="009D1962">
            <w:pPr>
              <w:pStyle w:val="P68B1DB1-Normal8"/>
              <w:rPr>
                <w:noProof/>
              </w:rPr>
            </w:pPr>
            <w:r>
              <w:rPr>
                <w:noProof/>
              </w:rPr>
              <w:t>Inwestycja 3.4. Rekultywacja „gruntów osieroconych”</w:t>
            </w:r>
          </w:p>
        </w:tc>
        <w:tc>
          <w:tcPr>
            <w:tcW w:w="11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649BBA6" w14:textId="5F113842" w:rsidR="004C6421" w:rsidRDefault="00CC179E">
            <w:pPr>
              <w:pStyle w:val="P68B1DB1-Normal8"/>
              <w:rPr>
                <w:noProof/>
              </w:rPr>
            </w:pPr>
            <w:r>
              <w:rPr>
                <w:noProof/>
              </w:rPr>
              <w:t>Milowy</w:t>
            </w:r>
          </w:p>
        </w:tc>
        <w:tc>
          <w:tcPr>
            <w:tcW w:w="342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5B08D92" w14:textId="77777777" w:rsidR="004C6421" w:rsidRDefault="009D1962">
            <w:pPr>
              <w:pStyle w:val="P68B1DB1-Normal8"/>
              <w:rPr>
                <w:noProof/>
              </w:rPr>
            </w:pPr>
            <w:r>
              <w:rPr>
                <w:noProof/>
              </w:rPr>
              <w:t>Ramy prawne dotyczące rekultywacji terenów sierocych</w:t>
            </w:r>
          </w:p>
        </w:tc>
        <w:tc>
          <w:tcPr>
            <w:tcW w:w="236" w:type="dxa"/>
            <w:tcBorders>
              <w:top w:val="nil"/>
              <w:left w:val="single" w:sz="8" w:space="0" w:color="auto"/>
              <w:bottom w:val="nil"/>
              <w:right w:val="nil"/>
            </w:tcBorders>
            <w:vAlign w:val="center"/>
          </w:tcPr>
          <w:p w14:paraId="7133F1B4" w14:textId="77777777" w:rsidR="004C6421" w:rsidRDefault="004C6421">
            <w:pPr>
              <w:rPr>
                <w:noProof/>
              </w:rPr>
            </w:pPr>
          </w:p>
        </w:tc>
      </w:tr>
      <w:tr w:rsidR="004C6421" w14:paraId="768271A5"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E9126C7" w14:textId="77777777" w:rsidR="004C6421" w:rsidRDefault="009D1962">
            <w:pPr>
              <w:pStyle w:val="P68B1DB1-Normal8"/>
              <w:rPr>
                <w:noProof/>
              </w:rPr>
            </w:pPr>
            <w:r>
              <w:rPr>
                <w:noProof/>
              </w:rPr>
              <w:t>M3C1-3</w:t>
            </w:r>
          </w:p>
        </w:tc>
        <w:tc>
          <w:tcPr>
            <w:tcW w:w="366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189910F" w14:textId="77777777" w:rsidR="004C6421" w:rsidRDefault="009D1962">
            <w:pPr>
              <w:pStyle w:val="P68B1DB1-Normal8"/>
              <w:rPr>
                <w:noProof/>
              </w:rPr>
            </w:pPr>
            <w:r>
              <w:rPr>
                <w:noProof/>
              </w:rPr>
              <w:t>Inwestycje 1.1 – Połączenia kolejowe dużych prędkości z Południem dla pasażerów i towarów</w:t>
            </w:r>
          </w:p>
        </w:tc>
        <w:tc>
          <w:tcPr>
            <w:tcW w:w="11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58ED487" w14:textId="32A81D16" w:rsidR="004C6421" w:rsidRDefault="00CC179E">
            <w:pPr>
              <w:pStyle w:val="P68B1DB1-Normal8"/>
              <w:rPr>
                <w:noProof/>
              </w:rPr>
            </w:pPr>
            <w:r>
              <w:rPr>
                <w:noProof/>
              </w:rPr>
              <w:t>Milowy</w:t>
            </w:r>
          </w:p>
        </w:tc>
        <w:tc>
          <w:tcPr>
            <w:tcW w:w="342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37BFDFB" w14:textId="77777777" w:rsidR="004C6421" w:rsidRDefault="009D1962">
            <w:pPr>
              <w:pStyle w:val="P68B1DB1-Normal8"/>
              <w:rPr>
                <w:noProof/>
              </w:rPr>
            </w:pPr>
            <w:r>
              <w:rPr>
                <w:noProof/>
              </w:rPr>
              <w:t>Udzielenie zamówienia na budowę kolei dużych prędkości na liniach Napoli-Bari i Palermo-Katania</w:t>
            </w:r>
          </w:p>
        </w:tc>
        <w:tc>
          <w:tcPr>
            <w:tcW w:w="236" w:type="dxa"/>
            <w:tcBorders>
              <w:top w:val="nil"/>
              <w:left w:val="single" w:sz="8" w:space="0" w:color="auto"/>
              <w:bottom w:val="nil"/>
              <w:right w:val="nil"/>
            </w:tcBorders>
            <w:vAlign w:val="center"/>
          </w:tcPr>
          <w:p w14:paraId="76CB7633" w14:textId="77777777" w:rsidR="004C6421" w:rsidRDefault="004C6421">
            <w:pPr>
              <w:rPr>
                <w:noProof/>
              </w:rPr>
            </w:pPr>
          </w:p>
        </w:tc>
      </w:tr>
      <w:tr w:rsidR="004C6421" w14:paraId="687CB390"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54EAF2C" w14:textId="77777777" w:rsidR="004C6421" w:rsidRDefault="009D1962">
            <w:pPr>
              <w:pStyle w:val="P68B1DB1-Normal8"/>
              <w:rPr>
                <w:noProof/>
              </w:rPr>
            </w:pPr>
            <w:r>
              <w:rPr>
                <w:noProof/>
              </w:rPr>
              <w:t>M3C1-12</w:t>
            </w:r>
          </w:p>
        </w:tc>
        <w:tc>
          <w:tcPr>
            <w:tcW w:w="366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6A2D193" w14:textId="77777777" w:rsidR="004C6421" w:rsidRDefault="009D1962">
            <w:pPr>
              <w:pStyle w:val="P68B1DB1-Normal8"/>
              <w:rPr>
                <w:noProof/>
              </w:rPr>
            </w:pPr>
            <w:r>
              <w:rPr>
                <w:noProof/>
              </w:rPr>
              <w:t>Inwestycje 1.4 – Wprowadzenie europejskiego systemu zarządzania transportem kolejowym (ERTMS)</w:t>
            </w:r>
          </w:p>
        </w:tc>
        <w:tc>
          <w:tcPr>
            <w:tcW w:w="11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F4EBCC9" w14:textId="7670980D" w:rsidR="004C6421" w:rsidRDefault="00CC179E">
            <w:pPr>
              <w:pStyle w:val="P68B1DB1-Normal8"/>
              <w:rPr>
                <w:noProof/>
              </w:rPr>
            </w:pPr>
            <w:r>
              <w:rPr>
                <w:noProof/>
              </w:rPr>
              <w:t>Milowy</w:t>
            </w:r>
          </w:p>
        </w:tc>
        <w:tc>
          <w:tcPr>
            <w:tcW w:w="342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AAD3054" w14:textId="77777777" w:rsidR="004C6421" w:rsidRDefault="009D1962">
            <w:pPr>
              <w:pStyle w:val="P68B1DB1-Normal8"/>
              <w:rPr>
                <w:noProof/>
              </w:rPr>
            </w:pPr>
            <w:r>
              <w:rPr>
                <w:noProof/>
              </w:rPr>
              <w:t>Udzielanie zamówień na europejski system zarządzania transportem kolejowym</w:t>
            </w:r>
          </w:p>
        </w:tc>
        <w:tc>
          <w:tcPr>
            <w:tcW w:w="236" w:type="dxa"/>
            <w:tcBorders>
              <w:top w:val="nil"/>
              <w:left w:val="single" w:sz="8" w:space="0" w:color="auto"/>
              <w:bottom w:val="nil"/>
              <w:right w:val="nil"/>
            </w:tcBorders>
            <w:vAlign w:val="center"/>
          </w:tcPr>
          <w:p w14:paraId="5123E107" w14:textId="77777777" w:rsidR="004C6421" w:rsidRDefault="004C6421">
            <w:pPr>
              <w:rPr>
                <w:noProof/>
              </w:rPr>
            </w:pPr>
          </w:p>
        </w:tc>
      </w:tr>
      <w:tr w:rsidR="004C6421" w14:paraId="782ABE53"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3019C58" w14:textId="77777777" w:rsidR="004C6421" w:rsidRDefault="009D1962">
            <w:pPr>
              <w:pStyle w:val="P68B1DB1-Normal8"/>
              <w:rPr>
                <w:noProof/>
              </w:rPr>
            </w:pPr>
            <w:r>
              <w:rPr>
                <w:noProof/>
              </w:rPr>
              <w:t>M3C2-8</w:t>
            </w:r>
          </w:p>
        </w:tc>
        <w:tc>
          <w:tcPr>
            <w:tcW w:w="366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FD78734" w14:textId="77777777" w:rsidR="004C6421" w:rsidRDefault="009D1962">
            <w:pPr>
              <w:pStyle w:val="P68B1DB1-Normal8"/>
              <w:rPr>
                <w:noProof/>
              </w:rPr>
            </w:pPr>
            <w:r>
              <w:rPr>
                <w:noProof/>
              </w:rPr>
              <w:t>Inwestycje 1.1: „Zielone porty: interwencje w zakresie energii odnawialnej i efektywności energetycznej w portach</w:t>
            </w:r>
          </w:p>
        </w:tc>
        <w:tc>
          <w:tcPr>
            <w:tcW w:w="11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A6AA850" w14:textId="77777777" w:rsidR="004C6421" w:rsidRDefault="009D1962">
            <w:pPr>
              <w:pStyle w:val="P68B1DB1-Normal8"/>
              <w:rPr>
                <w:noProof/>
              </w:rPr>
            </w:pPr>
            <w:r>
              <w:rPr>
                <w:noProof/>
              </w:rPr>
              <w:t>Cel</w:t>
            </w:r>
          </w:p>
        </w:tc>
        <w:tc>
          <w:tcPr>
            <w:tcW w:w="342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8C7D768" w14:textId="77777777" w:rsidR="004C6421" w:rsidRDefault="009D1962">
            <w:pPr>
              <w:pStyle w:val="P68B1DB1-Normal8"/>
              <w:rPr>
                <w:noProof/>
              </w:rPr>
            </w:pPr>
            <w:r>
              <w:rPr>
                <w:noProof/>
              </w:rPr>
              <w:t>„Zielone porty: przydzielanie robót</w:t>
            </w:r>
          </w:p>
        </w:tc>
        <w:tc>
          <w:tcPr>
            <w:tcW w:w="236" w:type="dxa"/>
            <w:tcBorders>
              <w:top w:val="nil"/>
              <w:left w:val="single" w:sz="8" w:space="0" w:color="auto"/>
              <w:bottom w:val="nil"/>
              <w:right w:val="nil"/>
            </w:tcBorders>
            <w:vAlign w:val="center"/>
          </w:tcPr>
          <w:p w14:paraId="259FA286" w14:textId="77777777" w:rsidR="004C6421" w:rsidRDefault="004C6421">
            <w:pPr>
              <w:rPr>
                <w:noProof/>
              </w:rPr>
            </w:pPr>
          </w:p>
        </w:tc>
      </w:tr>
      <w:tr w:rsidR="004C6421" w14:paraId="7E4146F6"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AD47994" w14:textId="77777777" w:rsidR="004C6421" w:rsidRDefault="009D1962">
            <w:pPr>
              <w:pStyle w:val="P68B1DB1-Normal8"/>
              <w:rPr>
                <w:noProof/>
              </w:rPr>
            </w:pPr>
            <w:r>
              <w:rPr>
                <w:noProof/>
              </w:rPr>
              <w:t>M4C1-29</w:t>
            </w:r>
          </w:p>
        </w:tc>
        <w:tc>
          <w:tcPr>
            <w:tcW w:w="366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448ED51" w14:textId="77777777" w:rsidR="004C6421" w:rsidRDefault="009D1962">
            <w:pPr>
              <w:pStyle w:val="P68B1DB1-Normal8"/>
              <w:rPr>
                <w:noProof/>
              </w:rPr>
            </w:pPr>
            <w:r>
              <w:rPr>
                <w:noProof/>
              </w:rPr>
              <w:t xml:space="preserve">Reforma 1.7: Reforma przepisów dotyczących mieszkalnictwa dla studentów i inwestycje w mieszkalnictwo studenckie </w:t>
            </w:r>
          </w:p>
        </w:tc>
        <w:tc>
          <w:tcPr>
            <w:tcW w:w="11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CC5325D" w14:textId="58861A5D" w:rsidR="004C6421" w:rsidRDefault="00CC179E">
            <w:pPr>
              <w:pStyle w:val="P68B1DB1-Normal8"/>
              <w:rPr>
                <w:noProof/>
              </w:rPr>
            </w:pPr>
            <w:r>
              <w:rPr>
                <w:noProof/>
              </w:rPr>
              <w:t>Milowy</w:t>
            </w:r>
          </w:p>
        </w:tc>
        <w:tc>
          <w:tcPr>
            <w:tcW w:w="342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429EFE1" w14:textId="77777777" w:rsidR="004C6421" w:rsidRDefault="009D1962">
            <w:pPr>
              <w:pStyle w:val="P68B1DB1-Normal8"/>
              <w:rPr>
                <w:noProof/>
              </w:rPr>
            </w:pPr>
            <w:r>
              <w:rPr>
                <w:noProof/>
              </w:rPr>
              <w:t xml:space="preserve">Wejście w życie reformy przepisów dotyczących mieszkalnictwa studenckiego.    </w:t>
            </w:r>
          </w:p>
        </w:tc>
        <w:tc>
          <w:tcPr>
            <w:tcW w:w="236" w:type="dxa"/>
            <w:tcBorders>
              <w:top w:val="nil"/>
              <w:left w:val="single" w:sz="8" w:space="0" w:color="auto"/>
              <w:bottom w:val="nil"/>
              <w:right w:val="nil"/>
            </w:tcBorders>
            <w:vAlign w:val="center"/>
          </w:tcPr>
          <w:p w14:paraId="27E45944" w14:textId="77777777" w:rsidR="004C6421" w:rsidRDefault="004C6421">
            <w:pPr>
              <w:rPr>
                <w:noProof/>
              </w:rPr>
            </w:pPr>
          </w:p>
        </w:tc>
      </w:tr>
      <w:tr w:rsidR="004C6421" w14:paraId="3C459CAD"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94C5397" w14:textId="77777777" w:rsidR="004C6421" w:rsidRDefault="009D1962">
            <w:pPr>
              <w:pStyle w:val="P68B1DB1-Normal8"/>
              <w:rPr>
                <w:noProof/>
              </w:rPr>
            </w:pPr>
            <w:r>
              <w:rPr>
                <w:noProof/>
              </w:rPr>
              <w:t>M5C2-13</w:t>
            </w:r>
          </w:p>
        </w:tc>
        <w:tc>
          <w:tcPr>
            <w:tcW w:w="366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02F8405" w14:textId="77777777" w:rsidR="004C6421" w:rsidRDefault="009D1962">
            <w:pPr>
              <w:pStyle w:val="P68B1DB1-Normal8"/>
              <w:rPr>
                <w:noProof/>
              </w:rPr>
            </w:pPr>
            <w:r>
              <w:rPr>
                <w:noProof/>
              </w:rPr>
              <w:t>Inwestycje 5 – Zintegrowane plany miejskie – projekty ogólne</w:t>
            </w:r>
          </w:p>
        </w:tc>
        <w:tc>
          <w:tcPr>
            <w:tcW w:w="11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9E8AE8C" w14:textId="2BAE5480" w:rsidR="004C6421" w:rsidRDefault="00CC179E">
            <w:pPr>
              <w:pStyle w:val="P68B1DB1-Normal8"/>
              <w:rPr>
                <w:noProof/>
              </w:rPr>
            </w:pPr>
            <w:r>
              <w:rPr>
                <w:noProof/>
              </w:rPr>
              <w:t>Milowy</w:t>
            </w:r>
          </w:p>
        </w:tc>
        <w:tc>
          <w:tcPr>
            <w:tcW w:w="342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E7D1F15" w14:textId="77777777" w:rsidR="004C6421" w:rsidRDefault="009D1962">
            <w:pPr>
              <w:pStyle w:val="P68B1DB1-Normal8"/>
              <w:rPr>
                <w:noProof/>
              </w:rPr>
            </w:pPr>
            <w:r>
              <w:rPr>
                <w:noProof/>
              </w:rPr>
              <w:t>Wejście w życie planu inwestycyjnego dla projektów rewitalizacji obszarów miejskich na obszarach metropolitalnych</w:t>
            </w:r>
          </w:p>
        </w:tc>
        <w:tc>
          <w:tcPr>
            <w:tcW w:w="236" w:type="dxa"/>
            <w:tcBorders>
              <w:top w:val="nil"/>
              <w:left w:val="single" w:sz="8" w:space="0" w:color="auto"/>
              <w:bottom w:val="nil"/>
              <w:right w:val="nil"/>
            </w:tcBorders>
            <w:vAlign w:val="center"/>
          </w:tcPr>
          <w:p w14:paraId="411E2386" w14:textId="77777777" w:rsidR="004C6421" w:rsidRDefault="004C6421">
            <w:pPr>
              <w:rPr>
                <w:noProof/>
              </w:rPr>
            </w:pPr>
          </w:p>
        </w:tc>
      </w:tr>
      <w:tr w:rsidR="004C6421" w14:paraId="63A4B002"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598803F" w14:textId="77777777" w:rsidR="004C6421" w:rsidRDefault="009D1962">
            <w:pPr>
              <w:pStyle w:val="P68B1DB1-Normal8"/>
              <w:rPr>
                <w:noProof/>
              </w:rPr>
            </w:pPr>
            <w:r>
              <w:rPr>
                <w:noProof/>
              </w:rPr>
              <w:t>M6C2-7</w:t>
            </w:r>
          </w:p>
        </w:tc>
        <w:tc>
          <w:tcPr>
            <w:tcW w:w="366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67CE433" w14:textId="77777777" w:rsidR="004C6421" w:rsidRDefault="009D1962">
            <w:pPr>
              <w:pStyle w:val="P68B1DB1-Normal38"/>
              <w:rPr>
                <w:noProof/>
              </w:rPr>
            </w:pPr>
            <w:r>
              <w:rPr>
                <w:noProof/>
              </w:rPr>
              <w:t>Inwestycje 1.1: Cyfrowa aktualizacja sprzętu technologicznego szpitali</w:t>
            </w:r>
          </w:p>
        </w:tc>
        <w:tc>
          <w:tcPr>
            <w:tcW w:w="11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04B6746" w14:textId="59EC8FDC" w:rsidR="004C6421" w:rsidRDefault="00CC179E">
            <w:pPr>
              <w:pStyle w:val="P68B1DB1-Normal38"/>
              <w:rPr>
                <w:noProof/>
              </w:rPr>
            </w:pPr>
            <w:r>
              <w:rPr>
                <w:noProof/>
              </w:rPr>
              <w:t>Milowy</w:t>
            </w:r>
          </w:p>
        </w:tc>
        <w:tc>
          <w:tcPr>
            <w:tcW w:w="342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7C5ADBD" w14:textId="77777777" w:rsidR="004C6421" w:rsidRDefault="009D1962">
            <w:pPr>
              <w:pStyle w:val="P68B1DB1-Normal38"/>
              <w:rPr>
                <w:noProof/>
              </w:rPr>
            </w:pPr>
            <w:r>
              <w:rPr>
                <w:noProof/>
              </w:rPr>
              <w:t>Udzielanie wszystkich zamówień publicznych</w:t>
            </w:r>
          </w:p>
        </w:tc>
        <w:tc>
          <w:tcPr>
            <w:tcW w:w="236" w:type="dxa"/>
            <w:tcBorders>
              <w:top w:val="nil"/>
              <w:left w:val="single" w:sz="8" w:space="0" w:color="auto"/>
              <w:bottom w:val="nil"/>
              <w:right w:val="nil"/>
            </w:tcBorders>
            <w:vAlign w:val="center"/>
          </w:tcPr>
          <w:p w14:paraId="35A7062D" w14:textId="77777777" w:rsidR="004C6421" w:rsidRDefault="004C6421">
            <w:pPr>
              <w:rPr>
                <w:noProof/>
              </w:rPr>
            </w:pPr>
          </w:p>
        </w:tc>
      </w:tr>
      <w:tr w:rsidR="004C6421" w14:paraId="2EE3355D"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40011764" w14:textId="77777777" w:rsidR="004C6421" w:rsidRDefault="009D1962">
            <w:pPr>
              <w:pStyle w:val="P68B1DB1-Normal8"/>
              <w:jc w:val="center"/>
              <w:rPr>
                <w:noProof/>
              </w:rPr>
            </w:pPr>
            <w:r>
              <w:rPr>
                <w:noProof/>
              </w:rPr>
              <w:t xml:space="preserve"> </w:t>
            </w:r>
          </w:p>
        </w:tc>
        <w:tc>
          <w:tcPr>
            <w:tcW w:w="366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04EB28EE" w14:textId="77777777" w:rsidR="004C6421" w:rsidRDefault="009D1962">
            <w:pPr>
              <w:pStyle w:val="P68B1DB1-Normal8"/>
              <w:rPr>
                <w:noProof/>
              </w:rPr>
            </w:pPr>
            <w:r>
              <w:rPr>
                <w:noProof/>
              </w:rPr>
              <w:t xml:space="preserve"> </w:t>
            </w:r>
          </w:p>
        </w:tc>
        <w:tc>
          <w:tcPr>
            <w:tcW w:w="112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4C8DDE85" w14:textId="77777777" w:rsidR="004C6421" w:rsidRDefault="009D1962">
            <w:pPr>
              <w:pStyle w:val="P68B1DB1-Normal8"/>
              <w:rPr>
                <w:noProof/>
              </w:rPr>
            </w:pPr>
            <w:r>
              <w:rPr>
                <w:noProof/>
              </w:rPr>
              <w:t>Kwota transzy</w:t>
            </w:r>
          </w:p>
        </w:tc>
        <w:tc>
          <w:tcPr>
            <w:tcW w:w="342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799E66A9" w14:textId="022EA652" w:rsidR="004C6421" w:rsidRDefault="009D1962">
            <w:pPr>
              <w:rPr>
                <w:noProof/>
              </w:rPr>
            </w:pPr>
            <w:r>
              <w:rPr>
                <w:noProof/>
                <w:color w:val="006100"/>
                <w:sz w:val="20"/>
              </w:rPr>
              <w:t>9825328389 EUR</w:t>
            </w:r>
            <w:r>
              <w:rPr>
                <w:noProof/>
                <w:sz w:val="23"/>
              </w:rPr>
              <w:t xml:space="preserve">  </w:t>
            </w:r>
          </w:p>
        </w:tc>
        <w:tc>
          <w:tcPr>
            <w:tcW w:w="236" w:type="dxa"/>
            <w:tcBorders>
              <w:top w:val="nil"/>
              <w:left w:val="single" w:sz="8" w:space="0" w:color="auto"/>
              <w:bottom w:val="nil"/>
              <w:right w:val="nil"/>
            </w:tcBorders>
            <w:vAlign w:val="center"/>
          </w:tcPr>
          <w:p w14:paraId="4CD55323" w14:textId="77777777" w:rsidR="004C6421" w:rsidRDefault="004C6421">
            <w:pPr>
              <w:rPr>
                <w:noProof/>
              </w:rPr>
            </w:pPr>
          </w:p>
        </w:tc>
      </w:tr>
    </w:tbl>
    <w:p w14:paraId="5D830DD8" w14:textId="77777777" w:rsidR="004C6421" w:rsidRDefault="009D1962">
      <w:pPr>
        <w:spacing w:after="200" w:line="276" w:lineRule="auto"/>
        <w:rPr>
          <w:noProof/>
        </w:rPr>
      </w:pPr>
      <w:r>
        <w:rPr>
          <w:noProof/>
        </w:rPr>
        <w:t xml:space="preserve"> </w:t>
      </w:r>
    </w:p>
    <w:p w14:paraId="59BAE971" w14:textId="77777777" w:rsidR="004C6421" w:rsidRDefault="009D1962">
      <w:pPr>
        <w:pStyle w:val="ListParagraph"/>
        <w:numPr>
          <w:ilvl w:val="1"/>
          <w:numId w:val="145"/>
        </w:numPr>
        <w:spacing w:before="0" w:after="0" w:line="279" w:lineRule="auto"/>
        <w:ind w:left="850" w:hanging="850"/>
        <w:rPr>
          <w:noProof/>
        </w:rPr>
      </w:pPr>
      <w:r>
        <w:rPr>
          <w:noProof/>
        </w:rPr>
        <w:t>Czwarta transza (wsparcie pożyczkowe):</w:t>
      </w:r>
    </w:p>
    <w:tbl>
      <w:tblPr>
        <w:tblW w:w="9593" w:type="dxa"/>
        <w:tblInd w:w="120" w:type="dxa"/>
        <w:tblLayout w:type="fixed"/>
        <w:tblLook w:val="04A0" w:firstRow="1" w:lastRow="0" w:firstColumn="1" w:lastColumn="0" w:noHBand="0" w:noVBand="1"/>
      </w:tblPr>
      <w:tblGrid>
        <w:gridCol w:w="1290"/>
        <w:gridCol w:w="3171"/>
        <w:gridCol w:w="1230"/>
        <w:gridCol w:w="3666"/>
        <w:gridCol w:w="236"/>
      </w:tblGrid>
      <w:tr w:rsidR="004C6421" w14:paraId="3B812D73" w14:textId="77777777">
        <w:trPr>
          <w:trHeight w:val="900"/>
          <w:tblHeader/>
        </w:trPr>
        <w:tc>
          <w:tcPr>
            <w:tcW w:w="1290"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729A8830" w14:textId="77777777" w:rsidR="004C6421" w:rsidRDefault="009D1962">
            <w:pPr>
              <w:pStyle w:val="P68B1DB1-Normal36"/>
              <w:jc w:val="center"/>
              <w:rPr>
                <w:noProof/>
              </w:rPr>
            </w:pPr>
            <w:r>
              <w:rPr>
                <w:noProof/>
              </w:rPr>
              <w:t>Numer porządkowy</w:t>
            </w:r>
          </w:p>
        </w:tc>
        <w:tc>
          <w:tcPr>
            <w:tcW w:w="3171"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2D67881C" w14:textId="77777777" w:rsidR="004C6421" w:rsidRDefault="009D1962">
            <w:pPr>
              <w:pStyle w:val="P68B1DB1-Normal36"/>
              <w:jc w:val="center"/>
              <w:rPr>
                <w:noProof/>
              </w:rPr>
            </w:pPr>
            <w:r>
              <w:rPr>
                <w:noProof/>
              </w:rPr>
              <w:t>Powiązane działanie (reforma lub inwestycja)</w:t>
            </w:r>
          </w:p>
        </w:tc>
        <w:tc>
          <w:tcPr>
            <w:tcW w:w="1230"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77DD5896" w14:textId="77777777" w:rsidR="004C6421" w:rsidRDefault="009D1962">
            <w:pPr>
              <w:pStyle w:val="P68B1DB1-Normal36"/>
              <w:jc w:val="center"/>
              <w:rPr>
                <w:noProof/>
              </w:rPr>
            </w:pPr>
            <w:r>
              <w:rPr>
                <w:noProof/>
              </w:rPr>
              <w:t>Kamień milowy/wartość docelowa</w:t>
            </w:r>
          </w:p>
        </w:tc>
        <w:tc>
          <w:tcPr>
            <w:tcW w:w="3666"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019C5819" w14:textId="77777777" w:rsidR="004C6421" w:rsidRDefault="009D1962">
            <w:pPr>
              <w:pStyle w:val="P68B1DB1-Normal36"/>
              <w:jc w:val="center"/>
              <w:rPr>
                <w:noProof/>
              </w:rPr>
            </w:pPr>
            <w:r>
              <w:rPr>
                <w:noProof/>
              </w:rPr>
              <w:t>Nazwa</w:t>
            </w:r>
          </w:p>
        </w:tc>
        <w:tc>
          <w:tcPr>
            <w:tcW w:w="236" w:type="dxa"/>
            <w:tcBorders>
              <w:top w:val="nil"/>
              <w:left w:val="single" w:sz="4" w:space="0" w:color="auto"/>
              <w:bottom w:val="nil"/>
              <w:right w:val="nil"/>
            </w:tcBorders>
            <w:vAlign w:val="center"/>
          </w:tcPr>
          <w:p w14:paraId="65EC763F" w14:textId="77777777" w:rsidR="004C6421" w:rsidRDefault="004C6421">
            <w:pPr>
              <w:rPr>
                <w:noProof/>
              </w:rPr>
            </w:pPr>
          </w:p>
        </w:tc>
      </w:tr>
      <w:tr w:rsidR="004C6421" w14:paraId="5C6268D3" w14:textId="77777777">
        <w:trPr>
          <w:trHeight w:val="510"/>
        </w:trPr>
        <w:tc>
          <w:tcPr>
            <w:tcW w:w="1290" w:type="dxa"/>
            <w:vMerge/>
            <w:tcBorders>
              <w:top w:val="single" w:sz="4" w:space="0" w:color="auto"/>
              <w:left w:val="single" w:sz="4" w:space="0" w:color="auto"/>
              <w:bottom w:val="single" w:sz="4" w:space="0" w:color="auto"/>
              <w:right w:val="single" w:sz="4" w:space="0" w:color="auto"/>
            </w:tcBorders>
            <w:vAlign w:val="center"/>
          </w:tcPr>
          <w:p w14:paraId="65B95C8F" w14:textId="77777777" w:rsidR="004C6421" w:rsidRDefault="004C6421">
            <w:pPr>
              <w:rPr>
                <w:noProof/>
              </w:rPr>
            </w:pPr>
          </w:p>
        </w:tc>
        <w:tc>
          <w:tcPr>
            <w:tcW w:w="3171" w:type="dxa"/>
            <w:vMerge/>
            <w:tcBorders>
              <w:top w:val="single" w:sz="4" w:space="0" w:color="auto"/>
              <w:left w:val="single" w:sz="4" w:space="0" w:color="auto"/>
              <w:bottom w:val="single" w:sz="4" w:space="0" w:color="auto"/>
              <w:right w:val="single" w:sz="4" w:space="0" w:color="auto"/>
            </w:tcBorders>
            <w:vAlign w:val="center"/>
          </w:tcPr>
          <w:p w14:paraId="1320B43E" w14:textId="77777777" w:rsidR="004C6421" w:rsidRDefault="004C6421">
            <w:pPr>
              <w:rPr>
                <w:noProof/>
              </w:rPr>
            </w:pPr>
          </w:p>
        </w:tc>
        <w:tc>
          <w:tcPr>
            <w:tcW w:w="1230" w:type="dxa"/>
            <w:vMerge/>
            <w:tcBorders>
              <w:top w:val="single" w:sz="4" w:space="0" w:color="auto"/>
              <w:left w:val="single" w:sz="4" w:space="0" w:color="auto"/>
              <w:bottom w:val="single" w:sz="4" w:space="0" w:color="auto"/>
              <w:right w:val="single" w:sz="4" w:space="0" w:color="auto"/>
            </w:tcBorders>
            <w:vAlign w:val="center"/>
          </w:tcPr>
          <w:p w14:paraId="68AF5D47" w14:textId="77777777" w:rsidR="004C6421" w:rsidRDefault="004C6421">
            <w:pPr>
              <w:rPr>
                <w:noProof/>
              </w:rPr>
            </w:pPr>
          </w:p>
        </w:tc>
        <w:tc>
          <w:tcPr>
            <w:tcW w:w="3666" w:type="dxa"/>
            <w:vMerge/>
            <w:tcBorders>
              <w:top w:val="single" w:sz="4" w:space="0" w:color="auto"/>
              <w:left w:val="single" w:sz="4" w:space="0" w:color="auto"/>
              <w:bottom w:val="single" w:sz="4" w:space="0" w:color="auto"/>
              <w:right w:val="single" w:sz="4" w:space="0" w:color="auto"/>
            </w:tcBorders>
            <w:vAlign w:val="center"/>
          </w:tcPr>
          <w:p w14:paraId="2A9A53D2" w14:textId="77777777" w:rsidR="004C6421" w:rsidRDefault="004C6421">
            <w:pPr>
              <w:rPr>
                <w:noProof/>
              </w:rPr>
            </w:pPr>
          </w:p>
        </w:tc>
        <w:tc>
          <w:tcPr>
            <w:tcW w:w="236" w:type="dxa"/>
            <w:tcBorders>
              <w:top w:val="nil"/>
              <w:left w:val="single" w:sz="4" w:space="0" w:color="auto"/>
              <w:bottom w:val="nil"/>
              <w:right w:val="nil"/>
            </w:tcBorders>
            <w:vAlign w:val="center"/>
          </w:tcPr>
          <w:p w14:paraId="7D8E6FC2" w14:textId="77777777" w:rsidR="004C6421" w:rsidRDefault="004C6421">
            <w:pPr>
              <w:rPr>
                <w:noProof/>
              </w:rPr>
            </w:pPr>
          </w:p>
        </w:tc>
      </w:tr>
      <w:tr w:rsidR="004C6421" w14:paraId="1945DF60" w14:textId="77777777">
        <w:trPr>
          <w:trHeight w:val="300"/>
        </w:trPr>
        <w:tc>
          <w:tcPr>
            <w:tcW w:w="1290"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65C5087" w14:textId="77777777" w:rsidR="004C6421" w:rsidRDefault="009D1962">
            <w:pPr>
              <w:pStyle w:val="P68B1DB1-Normal8"/>
              <w:rPr>
                <w:noProof/>
              </w:rPr>
            </w:pPr>
            <w:r>
              <w:rPr>
                <w:noProof/>
              </w:rPr>
              <w:t>M1C1-125</w:t>
            </w:r>
          </w:p>
        </w:tc>
        <w:tc>
          <w:tcPr>
            <w:tcW w:w="3171"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E8A17C5" w14:textId="77777777" w:rsidR="004C6421" w:rsidRDefault="009D1962">
            <w:pPr>
              <w:pStyle w:val="P68B1DB1-Normal8"/>
              <w:rPr>
                <w:noProof/>
              </w:rPr>
            </w:pPr>
            <w:r>
              <w:rPr>
                <w:noProof/>
              </w:rPr>
              <w:t>Inwestycje 1.2 – Umożliwienie chmury dla lokalnych AP</w:t>
            </w:r>
          </w:p>
        </w:tc>
        <w:tc>
          <w:tcPr>
            <w:tcW w:w="1230"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2BEBA67" w14:textId="6357D132" w:rsidR="004C6421" w:rsidRDefault="00CC179E">
            <w:pPr>
              <w:pStyle w:val="P68B1DB1-Normal8"/>
              <w:rPr>
                <w:noProof/>
              </w:rPr>
            </w:pPr>
            <w:r>
              <w:rPr>
                <w:noProof/>
              </w:rPr>
              <w:t>Milowy</w:t>
            </w:r>
          </w:p>
        </w:tc>
        <w:tc>
          <w:tcPr>
            <w:tcW w:w="3666"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A01F975" w14:textId="77777777" w:rsidR="004C6421" w:rsidRDefault="009D1962">
            <w:pPr>
              <w:pStyle w:val="P68B1DB1-Normal8"/>
              <w:rPr>
                <w:noProof/>
              </w:rPr>
            </w:pPr>
            <w:r>
              <w:rPr>
                <w:noProof/>
              </w:rPr>
              <w:t>Udzielanie zamówień publicznych (wszystkich) zaproszeń do składania ofert przez lokalną administrację publiczną</w:t>
            </w:r>
          </w:p>
        </w:tc>
        <w:tc>
          <w:tcPr>
            <w:tcW w:w="236" w:type="dxa"/>
            <w:tcBorders>
              <w:top w:val="nil"/>
              <w:left w:val="single" w:sz="8" w:space="0" w:color="auto"/>
              <w:bottom w:val="nil"/>
              <w:right w:val="nil"/>
            </w:tcBorders>
            <w:vAlign w:val="center"/>
          </w:tcPr>
          <w:p w14:paraId="58CBB0AE" w14:textId="77777777" w:rsidR="004C6421" w:rsidRDefault="004C6421">
            <w:pPr>
              <w:rPr>
                <w:noProof/>
              </w:rPr>
            </w:pPr>
          </w:p>
        </w:tc>
      </w:tr>
      <w:tr w:rsidR="004C6421" w14:paraId="0284734F" w14:textId="77777777">
        <w:trPr>
          <w:trHeight w:val="300"/>
        </w:trPr>
        <w:tc>
          <w:tcPr>
            <w:tcW w:w="129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8972963" w14:textId="77777777" w:rsidR="004C6421" w:rsidRDefault="009D1962">
            <w:pPr>
              <w:pStyle w:val="P68B1DB1-Normal8"/>
              <w:rPr>
                <w:noProof/>
              </w:rPr>
            </w:pPr>
            <w:r>
              <w:rPr>
                <w:noProof/>
              </w:rPr>
              <w:t>M1C2-22</w:t>
            </w:r>
          </w:p>
        </w:tc>
        <w:tc>
          <w:tcPr>
            <w:tcW w:w="317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A1B87B1" w14:textId="77777777" w:rsidR="004C6421" w:rsidRDefault="009D1962">
            <w:pPr>
              <w:pStyle w:val="P68B1DB1-Normal8"/>
              <w:rPr>
                <w:noProof/>
              </w:rPr>
            </w:pPr>
            <w:r>
              <w:rPr>
                <w:noProof/>
              </w:rPr>
              <w:t>Inwestycja 4: Technologia satelitarna i gospodarka kosmiczna</w:t>
            </w:r>
          </w:p>
        </w:tc>
        <w:tc>
          <w:tcPr>
            <w:tcW w:w="123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D316B24" w14:textId="3B01690B" w:rsidR="004C6421" w:rsidRDefault="00CC179E">
            <w:pPr>
              <w:pStyle w:val="P68B1DB1-Normal8"/>
              <w:rPr>
                <w:noProof/>
              </w:rPr>
            </w:pPr>
            <w:r>
              <w:rPr>
                <w:noProof/>
              </w:rPr>
              <w:t>Milowy</w:t>
            </w:r>
          </w:p>
        </w:tc>
        <w:tc>
          <w:tcPr>
            <w:tcW w:w="366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BE815C1" w14:textId="77777777" w:rsidR="004C6421" w:rsidRDefault="009D1962">
            <w:pPr>
              <w:pStyle w:val="P68B1DB1-Normal8"/>
              <w:rPr>
                <w:noProof/>
              </w:rPr>
            </w:pPr>
            <w:r>
              <w:rPr>
                <w:noProof/>
              </w:rPr>
              <w:t>Udzielanie wszystkich zamówień publicznych na projekty związane z technologią satelitarną i przestrzenią kosmiczną</w:t>
            </w:r>
          </w:p>
        </w:tc>
        <w:tc>
          <w:tcPr>
            <w:tcW w:w="236" w:type="dxa"/>
            <w:tcBorders>
              <w:top w:val="nil"/>
              <w:left w:val="single" w:sz="8" w:space="0" w:color="auto"/>
              <w:bottom w:val="nil"/>
              <w:right w:val="nil"/>
            </w:tcBorders>
            <w:vAlign w:val="center"/>
          </w:tcPr>
          <w:p w14:paraId="61974023" w14:textId="77777777" w:rsidR="004C6421" w:rsidRDefault="004C6421">
            <w:pPr>
              <w:rPr>
                <w:noProof/>
              </w:rPr>
            </w:pPr>
          </w:p>
        </w:tc>
      </w:tr>
      <w:tr w:rsidR="004C6421" w14:paraId="34ED3381" w14:textId="77777777">
        <w:trPr>
          <w:trHeight w:val="300"/>
        </w:trPr>
        <w:tc>
          <w:tcPr>
            <w:tcW w:w="129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E484317" w14:textId="77777777" w:rsidR="004C6421" w:rsidRDefault="009D1962">
            <w:pPr>
              <w:pStyle w:val="P68B1DB1-Normal8"/>
              <w:rPr>
                <w:noProof/>
              </w:rPr>
            </w:pPr>
            <w:r>
              <w:rPr>
                <w:noProof/>
              </w:rPr>
              <w:t>M2C2-48</w:t>
            </w:r>
          </w:p>
        </w:tc>
        <w:tc>
          <w:tcPr>
            <w:tcW w:w="317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5429556" w14:textId="77777777" w:rsidR="004C6421" w:rsidRDefault="009D1962">
            <w:pPr>
              <w:pStyle w:val="P68B1DB1-Normal8"/>
              <w:rPr>
                <w:noProof/>
              </w:rPr>
            </w:pPr>
            <w:r>
              <w:rPr>
                <w:noProof/>
              </w:rPr>
              <w:t>Inwestycja 3.1 Produkcja wodoru na terenach zdegradowanych (Hydrogen Valleys)</w:t>
            </w:r>
          </w:p>
        </w:tc>
        <w:tc>
          <w:tcPr>
            <w:tcW w:w="123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667D5C5" w14:textId="4027AAD4" w:rsidR="004C6421" w:rsidRDefault="00CC179E">
            <w:pPr>
              <w:pStyle w:val="P68B1DB1-Normal8"/>
              <w:rPr>
                <w:noProof/>
              </w:rPr>
            </w:pPr>
            <w:r>
              <w:rPr>
                <w:noProof/>
              </w:rPr>
              <w:t>Milowy</w:t>
            </w:r>
          </w:p>
        </w:tc>
        <w:tc>
          <w:tcPr>
            <w:tcW w:w="366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8808BA8" w14:textId="77777777" w:rsidR="004C6421" w:rsidRDefault="009D1962">
            <w:pPr>
              <w:pStyle w:val="P68B1DB1-Normal8"/>
              <w:rPr>
                <w:noProof/>
              </w:rPr>
            </w:pPr>
            <w:r>
              <w:rPr>
                <w:noProof/>
              </w:rPr>
              <w:t>Udzielanie wszystkich zamówień publicznych na projekty produkcji wodoru w opuszczonych ośrodkach przemysłowych</w:t>
            </w:r>
          </w:p>
        </w:tc>
        <w:tc>
          <w:tcPr>
            <w:tcW w:w="236" w:type="dxa"/>
            <w:tcBorders>
              <w:top w:val="nil"/>
              <w:left w:val="single" w:sz="8" w:space="0" w:color="auto"/>
              <w:bottom w:val="nil"/>
              <w:right w:val="nil"/>
            </w:tcBorders>
            <w:vAlign w:val="center"/>
          </w:tcPr>
          <w:p w14:paraId="567A827F" w14:textId="77777777" w:rsidR="004C6421" w:rsidRDefault="004C6421">
            <w:pPr>
              <w:rPr>
                <w:noProof/>
              </w:rPr>
            </w:pPr>
          </w:p>
        </w:tc>
      </w:tr>
      <w:tr w:rsidR="004C6421" w14:paraId="129B47D0" w14:textId="77777777">
        <w:trPr>
          <w:trHeight w:val="300"/>
        </w:trPr>
        <w:tc>
          <w:tcPr>
            <w:tcW w:w="129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ADDAEE3" w14:textId="77777777" w:rsidR="004C6421" w:rsidRDefault="009D1962">
            <w:pPr>
              <w:pStyle w:val="P68B1DB1-Normal8"/>
              <w:rPr>
                <w:noProof/>
              </w:rPr>
            </w:pPr>
            <w:r>
              <w:rPr>
                <w:noProof/>
              </w:rPr>
              <w:t>M2C2-50</w:t>
            </w:r>
          </w:p>
        </w:tc>
        <w:tc>
          <w:tcPr>
            <w:tcW w:w="317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58AF7D4" w14:textId="77777777" w:rsidR="004C6421" w:rsidRDefault="009D1962">
            <w:pPr>
              <w:pStyle w:val="P68B1DB1-Normal8"/>
              <w:rPr>
                <w:noProof/>
              </w:rPr>
            </w:pPr>
            <w:r>
              <w:rPr>
                <w:noProof/>
              </w:rPr>
              <w:t>Inwestycje 3.2 Wykorzystanie wodoru w przemyśle, w którym trudno zredukować emisje</w:t>
            </w:r>
          </w:p>
        </w:tc>
        <w:tc>
          <w:tcPr>
            <w:tcW w:w="123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F527726" w14:textId="4CD16D11" w:rsidR="004C6421" w:rsidRDefault="00CC179E">
            <w:pPr>
              <w:pStyle w:val="P68B1DB1-Normal8"/>
              <w:rPr>
                <w:noProof/>
              </w:rPr>
            </w:pPr>
            <w:r>
              <w:rPr>
                <w:noProof/>
              </w:rPr>
              <w:t>Milowy</w:t>
            </w:r>
          </w:p>
        </w:tc>
        <w:tc>
          <w:tcPr>
            <w:tcW w:w="366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9B1E5D0" w14:textId="77777777" w:rsidR="004C6421" w:rsidRDefault="009D1962">
            <w:pPr>
              <w:pStyle w:val="P68B1DB1-Normal8"/>
              <w:rPr>
                <w:noProof/>
              </w:rPr>
            </w:pPr>
            <w:r>
              <w:rPr>
                <w:noProof/>
              </w:rPr>
              <w:t>Porozumienie w sprawie promowania przejścia z metanu na zielony wodór</w:t>
            </w:r>
          </w:p>
        </w:tc>
        <w:tc>
          <w:tcPr>
            <w:tcW w:w="236" w:type="dxa"/>
            <w:tcBorders>
              <w:top w:val="nil"/>
              <w:left w:val="single" w:sz="8" w:space="0" w:color="auto"/>
              <w:bottom w:val="nil"/>
              <w:right w:val="nil"/>
            </w:tcBorders>
            <w:vAlign w:val="center"/>
          </w:tcPr>
          <w:p w14:paraId="48CA43E3" w14:textId="77777777" w:rsidR="004C6421" w:rsidRDefault="004C6421">
            <w:pPr>
              <w:rPr>
                <w:noProof/>
              </w:rPr>
            </w:pPr>
          </w:p>
        </w:tc>
      </w:tr>
      <w:tr w:rsidR="004C6421" w14:paraId="32D60304" w14:textId="77777777">
        <w:trPr>
          <w:trHeight w:val="300"/>
        </w:trPr>
        <w:tc>
          <w:tcPr>
            <w:tcW w:w="129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A1EC310" w14:textId="77777777" w:rsidR="004C6421" w:rsidRDefault="009D1962">
            <w:pPr>
              <w:pStyle w:val="P68B1DB1-Normal8"/>
              <w:rPr>
                <w:noProof/>
              </w:rPr>
            </w:pPr>
            <w:r>
              <w:rPr>
                <w:noProof/>
              </w:rPr>
              <w:t>M5C2-21</w:t>
            </w:r>
          </w:p>
        </w:tc>
        <w:tc>
          <w:tcPr>
            <w:tcW w:w="317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92E281C" w14:textId="77777777" w:rsidR="004C6421" w:rsidRDefault="009D1962">
            <w:pPr>
              <w:pStyle w:val="P68B1DB1-Normal8"/>
              <w:rPr>
                <w:noProof/>
              </w:rPr>
            </w:pPr>
            <w:r>
              <w:rPr>
                <w:noProof/>
              </w:rPr>
              <w:t>Inwestycje 7 – Projekt „Sport i włączenie społeczne”</w:t>
            </w:r>
          </w:p>
        </w:tc>
        <w:tc>
          <w:tcPr>
            <w:tcW w:w="123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AC59835" w14:textId="19520E27" w:rsidR="004C6421" w:rsidRDefault="00CC179E">
            <w:pPr>
              <w:pStyle w:val="P68B1DB1-Normal8"/>
              <w:rPr>
                <w:noProof/>
              </w:rPr>
            </w:pPr>
            <w:r>
              <w:rPr>
                <w:noProof/>
              </w:rPr>
              <w:t>Milowy</w:t>
            </w:r>
          </w:p>
        </w:tc>
        <w:tc>
          <w:tcPr>
            <w:tcW w:w="366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96D0185" w14:textId="77777777" w:rsidR="004C6421" w:rsidRDefault="009D1962">
            <w:pPr>
              <w:pStyle w:val="P68B1DB1-Normal8"/>
              <w:rPr>
                <w:noProof/>
              </w:rPr>
            </w:pPr>
            <w:r>
              <w:rPr>
                <w:noProof/>
              </w:rPr>
              <w:t>Udzielanie wszystkich zamówień publicznych na projekty dotyczące sportu i włączenia społecznego w następstwie publicznego zaproszenia do składania wniosków</w:t>
            </w:r>
          </w:p>
        </w:tc>
        <w:tc>
          <w:tcPr>
            <w:tcW w:w="236" w:type="dxa"/>
            <w:tcBorders>
              <w:top w:val="nil"/>
              <w:left w:val="single" w:sz="8" w:space="0" w:color="auto"/>
              <w:bottom w:val="nil"/>
              <w:right w:val="nil"/>
            </w:tcBorders>
            <w:vAlign w:val="center"/>
          </w:tcPr>
          <w:p w14:paraId="75E0241A" w14:textId="77777777" w:rsidR="004C6421" w:rsidRDefault="004C6421">
            <w:pPr>
              <w:rPr>
                <w:noProof/>
              </w:rPr>
            </w:pPr>
          </w:p>
        </w:tc>
      </w:tr>
      <w:tr w:rsidR="004C6421" w14:paraId="11EF1CC4" w14:textId="77777777">
        <w:trPr>
          <w:trHeight w:val="300"/>
        </w:trPr>
        <w:tc>
          <w:tcPr>
            <w:tcW w:w="129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73E76CF" w14:textId="77777777" w:rsidR="004C6421" w:rsidRDefault="009D1962">
            <w:pPr>
              <w:pStyle w:val="P68B1DB1-Normal8"/>
              <w:rPr>
                <w:noProof/>
              </w:rPr>
            </w:pPr>
            <w:r>
              <w:rPr>
                <w:noProof/>
              </w:rPr>
              <w:t>„M1C3-20</w:t>
            </w:r>
          </w:p>
        </w:tc>
        <w:tc>
          <w:tcPr>
            <w:tcW w:w="317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260D28C" w14:textId="77777777" w:rsidR="004C6421" w:rsidRDefault="009D1962">
            <w:pPr>
              <w:pStyle w:val="P68B1DB1-Normal8"/>
              <w:rPr>
                <w:noProof/>
              </w:rPr>
            </w:pPr>
            <w:r>
              <w:rPr>
                <w:noProof/>
              </w:rPr>
              <w:t>Inwestycje – 3.2 Rozwój przemysłu filmowego (projekt Cinecittà)</w:t>
            </w:r>
          </w:p>
        </w:tc>
        <w:tc>
          <w:tcPr>
            <w:tcW w:w="123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779F531" w14:textId="7BF5B3FF" w:rsidR="004C6421" w:rsidRDefault="00CC179E">
            <w:pPr>
              <w:pStyle w:val="P68B1DB1-Normal8"/>
              <w:rPr>
                <w:noProof/>
              </w:rPr>
            </w:pPr>
            <w:r>
              <w:rPr>
                <w:noProof/>
              </w:rPr>
              <w:t>Milowy</w:t>
            </w:r>
          </w:p>
        </w:tc>
        <w:tc>
          <w:tcPr>
            <w:tcW w:w="366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CC01259" w14:textId="77777777" w:rsidR="004C6421" w:rsidRDefault="009D1962">
            <w:pPr>
              <w:pStyle w:val="P68B1DB1-Normal8"/>
              <w:rPr>
                <w:noProof/>
              </w:rPr>
            </w:pPr>
            <w:r>
              <w:rPr>
                <w:noProof/>
              </w:rPr>
              <w:t>Podpisanie umów między podmiotem wdrażającym Cinecittà SPA a spółkami dotyczącymi budowy dziewięciu studiów</w:t>
            </w:r>
          </w:p>
        </w:tc>
        <w:tc>
          <w:tcPr>
            <w:tcW w:w="236" w:type="dxa"/>
            <w:tcBorders>
              <w:top w:val="nil"/>
              <w:left w:val="single" w:sz="8" w:space="0" w:color="auto"/>
              <w:bottom w:val="nil"/>
              <w:right w:val="nil"/>
            </w:tcBorders>
            <w:vAlign w:val="center"/>
          </w:tcPr>
          <w:p w14:paraId="3F8CA6FD" w14:textId="77777777" w:rsidR="004C6421" w:rsidRDefault="004C6421">
            <w:pPr>
              <w:rPr>
                <w:noProof/>
              </w:rPr>
            </w:pPr>
          </w:p>
        </w:tc>
      </w:tr>
      <w:tr w:rsidR="004C6421" w14:paraId="1047DA72" w14:textId="77777777">
        <w:trPr>
          <w:trHeight w:val="300"/>
        </w:trPr>
        <w:tc>
          <w:tcPr>
            <w:tcW w:w="129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D2F516A" w14:textId="77777777" w:rsidR="004C6421" w:rsidRDefault="009D1962">
            <w:pPr>
              <w:pStyle w:val="P68B1DB1-Normal8"/>
              <w:rPr>
                <w:noProof/>
              </w:rPr>
            </w:pPr>
            <w:r>
              <w:rPr>
                <w:noProof/>
              </w:rPr>
              <w:t>M2C4-21</w:t>
            </w:r>
          </w:p>
        </w:tc>
        <w:tc>
          <w:tcPr>
            <w:tcW w:w="317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B530A8D" w14:textId="77777777" w:rsidR="004C6421" w:rsidRDefault="009D1962">
            <w:pPr>
              <w:pStyle w:val="P68B1DB1-Normal8"/>
              <w:rPr>
                <w:noProof/>
              </w:rPr>
            </w:pPr>
            <w:r>
              <w:rPr>
                <w:noProof/>
              </w:rPr>
              <w:t>Inwestycja 3.3 Renaturyzacja obszaru Po</w:t>
            </w:r>
          </w:p>
        </w:tc>
        <w:tc>
          <w:tcPr>
            <w:tcW w:w="123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BC8A227" w14:textId="1C0748EE" w:rsidR="004C6421" w:rsidRDefault="00CC179E">
            <w:pPr>
              <w:pStyle w:val="P68B1DB1-Normal8"/>
              <w:rPr>
                <w:noProof/>
              </w:rPr>
            </w:pPr>
            <w:r>
              <w:rPr>
                <w:noProof/>
              </w:rPr>
              <w:t>Milowy</w:t>
            </w:r>
          </w:p>
        </w:tc>
        <w:tc>
          <w:tcPr>
            <w:tcW w:w="366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B01B7B0" w14:textId="77777777" w:rsidR="004C6421" w:rsidRDefault="009D1962">
            <w:pPr>
              <w:pStyle w:val="P68B1DB1-Normal8"/>
              <w:rPr>
                <w:noProof/>
              </w:rPr>
            </w:pPr>
            <w:r>
              <w:rPr>
                <w:noProof/>
              </w:rPr>
              <w:t xml:space="preserve">Przegląd ram prawnych interwencji na rzecz renaturyfikacji obszaru Po </w:t>
            </w:r>
          </w:p>
        </w:tc>
        <w:tc>
          <w:tcPr>
            <w:tcW w:w="236" w:type="dxa"/>
            <w:tcBorders>
              <w:top w:val="nil"/>
              <w:left w:val="single" w:sz="8" w:space="0" w:color="auto"/>
              <w:bottom w:val="nil"/>
              <w:right w:val="nil"/>
            </w:tcBorders>
            <w:vAlign w:val="center"/>
          </w:tcPr>
          <w:p w14:paraId="6BF0CF26" w14:textId="77777777" w:rsidR="004C6421" w:rsidRDefault="004C6421">
            <w:pPr>
              <w:rPr>
                <w:noProof/>
              </w:rPr>
            </w:pPr>
          </w:p>
        </w:tc>
      </w:tr>
      <w:tr w:rsidR="004C6421" w14:paraId="0552B57B" w14:textId="77777777">
        <w:trPr>
          <w:trHeight w:val="300"/>
        </w:trPr>
        <w:tc>
          <w:tcPr>
            <w:tcW w:w="129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F9401C9" w14:textId="77777777" w:rsidR="004C6421" w:rsidRDefault="009D1962">
            <w:pPr>
              <w:pStyle w:val="P68B1DB1-Normal8"/>
              <w:rPr>
                <w:noProof/>
              </w:rPr>
            </w:pPr>
            <w:r>
              <w:rPr>
                <w:noProof/>
              </w:rPr>
              <w:t>M4C1-28</w:t>
            </w:r>
          </w:p>
        </w:tc>
        <w:tc>
          <w:tcPr>
            <w:tcW w:w="317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C15429A" w14:textId="77777777" w:rsidR="004C6421" w:rsidRDefault="009D1962">
            <w:pPr>
              <w:pStyle w:val="P68B1DB1-Normal8"/>
              <w:rPr>
                <w:noProof/>
              </w:rPr>
            </w:pPr>
            <w:r>
              <w:rPr>
                <w:noProof/>
              </w:rPr>
              <w:t>Reforma 1.7: Reforma przepisów dotyczących mieszkalnictwa dla studentów i inwestycje w mieszkalnictwo studenckie</w:t>
            </w:r>
          </w:p>
        </w:tc>
        <w:tc>
          <w:tcPr>
            <w:tcW w:w="123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6A8EBD5" w14:textId="5E859FB6" w:rsidR="004C6421" w:rsidRDefault="00CC179E">
            <w:pPr>
              <w:pStyle w:val="P68B1DB1-Normal8"/>
              <w:rPr>
                <w:noProof/>
              </w:rPr>
            </w:pPr>
            <w:r>
              <w:rPr>
                <w:noProof/>
              </w:rPr>
              <w:t>Milowy</w:t>
            </w:r>
          </w:p>
        </w:tc>
        <w:tc>
          <w:tcPr>
            <w:tcW w:w="366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96C14B6" w14:textId="77777777" w:rsidR="004C6421" w:rsidRDefault="009D1962">
            <w:pPr>
              <w:pStyle w:val="P68B1DB1-Normal8"/>
              <w:rPr>
                <w:noProof/>
              </w:rPr>
            </w:pPr>
            <w:r>
              <w:rPr>
                <w:noProof/>
              </w:rPr>
              <w:t xml:space="preserve"> Udzielenie wstępnych zamówień publicznych na stworzenie dodatkowych miejsc noclegowych (łóżek)”;</w:t>
            </w:r>
          </w:p>
        </w:tc>
        <w:tc>
          <w:tcPr>
            <w:tcW w:w="236" w:type="dxa"/>
            <w:tcBorders>
              <w:top w:val="nil"/>
              <w:left w:val="single" w:sz="8" w:space="0" w:color="auto"/>
              <w:bottom w:val="nil"/>
              <w:right w:val="nil"/>
            </w:tcBorders>
            <w:vAlign w:val="center"/>
          </w:tcPr>
          <w:p w14:paraId="126344CA" w14:textId="77777777" w:rsidR="004C6421" w:rsidRDefault="004C6421">
            <w:pPr>
              <w:rPr>
                <w:noProof/>
              </w:rPr>
            </w:pPr>
          </w:p>
        </w:tc>
      </w:tr>
      <w:tr w:rsidR="004C6421" w14:paraId="45F6FB7E" w14:textId="77777777">
        <w:trPr>
          <w:trHeight w:val="300"/>
        </w:trPr>
        <w:tc>
          <w:tcPr>
            <w:tcW w:w="129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108D6B8" w14:textId="77777777" w:rsidR="004C6421" w:rsidRDefault="009D1962">
            <w:pPr>
              <w:pStyle w:val="P68B1DB1-Normal8"/>
              <w:rPr>
                <w:noProof/>
              </w:rPr>
            </w:pPr>
            <w:r>
              <w:rPr>
                <w:noProof/>
              </w:rPr>
              <w:t>M4C2-12</w:t>
            </w:r>
          </w:p>
        </w:tc>
        <w:tc>
          <w:tcPr>
            <w:tcW w:w="317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B224308" w14:textId="77777777" w:rsidR="004C6421" w:rsidRDefault="009D1962">
            <w:pPr>
              <w:pStyle w:val="P68B1DB1-Normal8"/>
              <w:rPr>
                <w:noProof/>
              </w:rPr>
            </w:pPr>
            <w:r>
              <w:rPr>
                <w:noProof/>
              </w:rPr>
              <w:t>Inwestycja 2.1: PROJEKT IPCEI</w:t>
            </w:r>
          </w:p>
        </w:tc>
        <w:tc>
          <w:tcPr>
            <w:tcW w:w="123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C728337" w14:textId="474CED5F" w:rsidR="004C6421" w:rsidRDefault="00CC179E">
            <w:pPr>
              <w:pStyle w:val="P68B1DB1-Normal8"/>
              <w:rPr>
                <w:noProof/>
              </w:rPr>
            </w:pPr>
            <w:r>
              <w:rPr>
                <w:noProof/>
              </w:rPr>
              <w:t>Milowy</w:t>
            </w:r>
          </w:p>
        </w:tc>
        <w:tc>
          <w:tcPr>
            <w:tcW w:w="366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020B1BD" w14:textId="77777777" w:rsidR="004C6421" w:rsidRDefault="009D1962">
            <w:pPr>
              <w:pStyle w:val="P68B1DB1-Normal8"/>
              <w:rPr>
                <w:noProof/>
              </w:rPr>
            </w:pPr>
            <w:r>
              <w:rPr>
                <w:noProof/>
              </w:rPr>
              <w:t>Lista uczestników projektów IPCEI została sfinalizowana do 30 czerwca 2023 r.</w:t>
            </w:r>
          </w:p>
        </w:tc>
        <w:tc>
          <w:tcPr>
            <w:tcW w:w="236" w:type="dxa"/>
            <w:tcBorders>
              <w:top w:val="nil"/>
              <w:left w:val="single" w:sz="8" w:space="0" w:color="auto"/>
              <w:bottom w:val="nil"/>
              <w:right w:val="nil"/>
            </w:tcBorders>
            <w:vAlign w:val="center"/>
          </w:tcPr>
          <w:p w14:paraId="614F9AEA" w14:textId="77777777" w:rsidR="004C6421" w:rsidRDefault="004C6421">
            <w:pPr>
              <w:rPr>
                <w:noProof/>
              </w:rPr>
            </w:pPr>
          </w:p>
        </w:tc>
      </w:tr>
      <w:tr w:rsidR="004C6421" w14:paraId="6142E89C" w14:textId="77777777">
        <w:trPr>
          <w:trHeight w:val="300"/>
        </w:trPr>
        <w:tc>
          <w:tcPr>
            <w:tcW w:w="129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F1AED9C" w14:textId="77777777" w:rsidR="004C6421" w:rsidRDefault="009D1962">
            <w:pPr>
              <w:pStyle w:val="P68B1DB1-Normal8"/>
              <w:rPr>
                <w:noProof/>
              </w:rPr>
            </w:pPr>
            <w:r>
              <w:rPr>
                <w:noProof/>
              </w:rPr>
              <w:t>M4C2-16</w:t>
            </w:r>
          </w:p>
        </w:tc>
        <w:tc>
          <w:tcPr>
            <w:tcW w:w="317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71A5589" w14:textId="77777777" w:rsidR="004C6421" w:rsidRDefault="009D1962">
            <w:pPr>
              <w:pStyle w:val="P68B1DB1-Normal8"/>
              <w:rPr>
                <w:noProof/>
              </w:rPr>
            </w:pPr>
            <w:r>
              <w:rPr>
                <w:noProof/>
              </w:rPr>
              <w:t>Inwestycja 3.1: Fundusz na rzecz budowy zintegrowanego systemu infrastruktury badawczej i innowacyjnej</w:t>
            </w:r>
          </w:p>
        </w:tc>
        <w:tc>
          <w:tcPr>
            <w:tcW w:w="123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85036C6" w14:textId="77777777" w:rsidR="004C6421" w:rsidRDefault="009D1962">
            <w:pPr>
              <w:pStyle w:val="P68B1DB1-Normal8"/>
              <w:rPr>
                <w:noProof/>
              </w:rPr>
            </w:pPr>
            <w:r>
              <w:rPr>
                <w:noProof/>
              </w:rPr>
              <w:t>Cel</w:t>
            </w:r>
          </w:p>
        </w:tc>
        <w:tc>
          <w:tcPr>
            <w:tcW w:w="366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85200C8" w14:textId="77777777" w:rsidR="004C6421" w:rsidRDefault="009D1962">
            <w:pPr>
              <w:pStyle w:val="P68B1DB1-Normal8"/>
              <w:rPr>
                <w:noProof/>
              </w:rPr>
            </w:pPr>
            <w:r>
              <w:rPr>
                <w:noProof/>
              </w:rPr>
              <w:t>Liczba finansowanych infrastruktur</w:t>
            </w:r>
          </w:p>
        </w:tc>
        <w:tc>
          <w:tcPr>
            <w:tcW w:w="236" w:type="dxa"/>
            <w:tcBorders>
              <w:top w:val="nil"/>
              <w:left w:val="single" w:sz="8" w:space="0" w:color="auto"/>
              <w:bottom w:val="nil"/>
              <w:right w:val="nil"/>
            </w:tcBorders>
            <w:vAlign w:val="center"/>
          </w:tcPr>
          <w:p w14:paraId="4CF4AAA2" w14:textId="77777777" w:rsidR="004C6421" w:rsidRDefault="004C6421">
            <w:pPr>
              <w:rPr>
                <w:noProof/>
              </w:rPr>
            </w:pPr>
          </w:p>
        </w:tc>
      </w:tr>
      <w:tr w:rsidR="004C6421" w14:paraId="50E747BB" w14:textId="77777777">
        <w:trPr>
          <w:trHeight w:val="300"/>
        </w:trPr>
        <w:tc>
          <w:tcPr>
            <w:tcW w:w="129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EE287C1" w14:textId="77777777" w:rsidR="004C6421" w:rsidRDefault="009D1962">
            <w:pPr>
              <w:pStyle w:val="P68B1DB1-Normal8"/>
              <w:rPr>
                <w:noProof/>
              </w:rPr>
            </w:pPr>
            <w:r>
              <w:rPr>
                <w:noProof/>
              </w:rPr>
              <w:t>„M5C1-18</w:t>
            </w:r>
          </w:p>
        </w:tc>
        <w:tc>
          <w:tcPr>
            <w:tcW w:w="317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37EE436" w14:textId="77777777" w:rsidR="004C6421" w:rsidRDefault="009D1962">
            <w:pPr>
              <w:pStyle w:val="P68B1DB1-Normal8"/>
              <w:rPr>
                <w:noProof/>
              </w:rPr>
            </w:pPr>
            <w:r>
              <w:rPr>
                <w:noProof/>
              </w:rPr>
              <w:t>Inwestycje 5 – Tworzenie przedsiębiorstw kobiecych</w:t>
            </w:r>
          </w:p>
        </w:tc>
        <w:tc>
          <w:tcPr>
            <w:tcW w:w="123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605B114" w14:textId="77777777" w:rsidR="004C6421" w:rsidRDefault="009D1962">
            <w:pPr>
              <w:pStyle w:val="P68B1DB1-Normal8"/>
              <w:rPr>
                <w:noProof/>
              </w:rPr>
            </w:pPr>
            <w:r>
              <w:rPr>
                <w:noProof/>
              </w:rPr>
              <w:t>Cel</w:t>
            </w:r>
          </w:p>
        </w:tc>
        <w:tc>
          <w:tcPr>
            <w:tcW w:w="366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3670E5A" w14:textId="77777777" w:rsidR="004C6421" w:rsidRDefault="009D1962">
            <w:pPr>
              <w:pStyle w:val="P68B1DB1-Normal8"/>
              <w:rPr>
                <w:noProof/>
              </w:rPr>
            </w:pPr>
            <w:r>
              <w:rPr>
                <w:noProof/>
              </w:rPr>
              <w:t xml:space="preserve">Przedsiębiorstwom przyznano wsparcie finansowe </w:t>
            </w:r>
          </w:p>
        </w:tc>
        <w:tc>
          <w:tcPr>
            <w:tcW w:w="236" w:type="dxa"/>
            <w:tcBorders>
              <w:top w:val="nil"/>
              <w:left w:val="single" w:sz="8" w:space="0" w:color="auto"/>
              <w:bottom w:val="nil"/>
              <w:right w:val="nil"/>
            </w:tcBorders>
            <w:vAlign w:val="center"/>
          </w:tcPr>
          <w:p w14:paraId="639E747A" w14:textId="77777777" w:rsidR="004C6421" w:rsidRDefault="004C6421">
            <w:pPr>
              <w:rPr>
                <w:noProof/>
              </w:rPr>
            </w:pPr>
          </w:p>
        </w:tc>
      </w:tr>
      <w:tr w:rsidR="004C6421" w14:paraId="336AF592" w14:textId="77777777">
        <w:trPr>
          <w:trHeight w:val="300"/>
        </w:trPr>
        <w:tc>
          <w:tcPr>
            <w:tcW w:w="129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3B7C1DA" w14:textId="77777777" w:rsidR="004C6421" w:rsidRDefault="009D1962">
            <w:pPr>
              <w:pStyle w:val="P68B1DB1-Normal8"/>
              <w:rPr>
                <w:noProof/>
              </w:rPr>
            </w:pPr>
            <w:r>
              <w:rPr>
                <w:noProof/>
              </w:rPr>
              <w:t>M6C2-14</w:t>
            </w:r>
          </w:p>
        </w:tc>
        <w:tc>
          <w:tcPr>
            <w:tcW w:w="317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B9497C5" w14:textId="77777777" w:rsidR="004C6421" w:rsidRDefault="009D1962">
            <w:pPr>
              <w:pStyle w:val="P68B1DB1-Normal38"/>
              <w:rPr>
                <w:noProof/>
              </w:rPr>
            </w:pPr>
            <w:r>
              <w:rPr>
                <w:noProof/>
              </w:rPr>
              <w:t>Inwestycje 2.2: Rozwój umiejętności technicznych i zawodowych, cyfrowych i kierowniczych specjalistów w systemie opieki zdrowotnej</w:t>
            </w:r>
          </w:p>
        </w:tc>
        <w:tc>
          <w:tcPr>
            <w:tcW w:w="123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E8F36A9" w14:textId="77777777" w:rsidR="004C6421" w:rsidRDefault="009D1962">
            <w:pPr>
              <w:pStyle w:val="P68B1DB1-Normal38"/>
              <w:rPr>
                <w:noProof/>
              </w:rPr>
            </w:pPr>
            <w:r>
              <w:rPr>
                <w:noProof/>
              </w:rPr>
              <w:t>Cel</w:t>
            </w:r>
          </w:p>
        </w:tc>
        <w:tc>
          <w:tcPr>
            <w:tcW w:w="366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730BFEB" w14:textId="77777777" w:rsidR="004C6421" w:rsidRDefault="009D1962">
            <w:pPr>
              <w:pStyle w:val="P68B1DB1-Normal38"/>
              <w:rPr>
                <w:noProof/>
              </w:rPr>
            </w:pPr>
            <w:r>
              <w:rPr>
                <w:noProof/>
              </w:rPr>
              <w:t>Przyznawane są stypendia na specjalistyczne szkolenia w zakresie ogólnej praktyki medycznej.</w:t>
            </w:r>
          </w:p>
        </w:tc>
        <w:tc>
          <w:tcPr>
            <w:tcW w:w="236" w:type="dxa"/>
            <w:tcBorders>
              <w:top w:val="nil"/>
              <w:left w:val="single" w:sz="8" w:space="0" w:color="auto"/>
              <w:bottom w:val="nil"/>
              <w:right w:val="nil"/>
            </w:tcBorders>
            <w:vAlign w:val="center"/>
          </w:tcPr>
          <w:p w14:paraId="243F8200" w14:textId="77777777" w:rsidR="004C6421" w:rsidRDefault="004C6421">
            <w:pPr>
              <w:rPr>
                <w:noProof/>
              </w:rPr>
            </w:pPr>
          </w:p>
        </w:tc>
      </w:tr>
      <w:tr w:rsidR="004C6421" w14:paraId="175A69D8" w14:textId="77777777">
        <w:trPr>
          <w:trHeight w:val="300"/>
        </w:trPr>
        <w:tc>
          <w:tcPr>
            <w:tcW w:w="129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295BA507" w14:textId="77777777" w:rsidR="004C6421" w:rsidRDefault="009D1962">
            <w:pPr>
              <w:pStyle w:val="P68B1DB1-Normal8"/>
              <w:jc w:val="center"/>
              <w:rPr>
                <w:noProof/>
              </w:rPr>
            </w:pPr>
            <w:r>
              <w:rPr>
                <w:noProof/>
              </w:rPr>
              <w:t xml:space="preserve"> </w:t>
            </w:r>
          </w:p>
        </w:tc>
        <w:tc>
          <w:tcPr>
            <w:tcW w:w="3171"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3BD6BFDB" w14:textId="77777777" w:rsidR="004C6421" w:rsidRDefault="009D1962">
            <w:pPr>
              <w:pStyle w:val="P68B1DB1-Normal8"/>
              <w:rPr>
                <w:noProof/>
              </w:rPr>
            </w:pPr>
            <w:r>
              <w:rPr>
                <w:noProof/>
              </w:rPr>
              <w:t xml:space="preserve"> </w:t>
            </w:r>
          </w:p>
        </w:tc>
        <w:tc>
          <w:tcPr>
            <w:tcW w:w="123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388B04E2" w14:textId="77777777" w:rsidR="004C6421" w:rsidRDefault="009D1962">
            <w:pPr>
              <w:pStyle w:val="P68B1DB1-Normal8"/>
              <w:rPr>
                <w:noProof/>
              </w:rPr>
            </w:pPr>
            <w:r>
              <w:rPr>
                <w:noProof/>
              </w:rPr>
              <w:t>Kwota transzy</w:t>
            </w:r>
          </w:p>
        </w:tc>
        <w:tc>
          <w:tcPr>
            <w:tcW w:w="3666"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48472127" w14:textId="09A1F0A5" w:rsidR="004C6421" w:rsidRDefault="009D1962">
            <w:pPr>
              <w:rPr>
                <w:noProof/>
              </w:rPr>
            </w:pPr>
            <w:r>
              <w:rPr>
                <w:noProof/>
                <w:color w:val="006100"/>
                <w:sz w:val="20"/>
              </w:rPr>
              <w:t>16611453220 EUR</w:t>
            </w:r>
            <w:r>
              <w:rPr>
                <w:noProof/>
                <w:sz w:val="23"/>
              </w:rPr>
              <w:t xml:space="preserve">  </w:t>
            </w:r>
          </w:p>
        </w:tc>
        <w:tc>
          <w:tcPr>
            <w:tcW w:w="236" w:type="dxa"/>
            <w:tcBorders>
              <w:top w:val="nil"/>
              <w:left w:val="single" w:sz="8" w:space="0" w:color="auto"/>
              <w:bottom w:val="nil"/>
              <w:right w:val="nil"/>
            </w:tcBorders>
            <w:vAlign w:val="center"/>
          </w:tcPr>
          <w:p w14:paraId="6BCFA0D8" w14:textId="77777777" w:rsidR="004C6421" w:rsidRDefault="004C6421">
            <w:pPr>
              <w:rPr>
                <w:noProof/>
              </w:rPr>
            </w:pPr>
          </w:p>
        </w:tc>
      </w:tr>
    </w:tbl>
    <w:p w14:paraId="029B4230" w14:textId="77777777" w:rsidR="004C6421" w:rsidRDefault="009D1962">
      <w:pPr>
        <w:spacing w:before="120" w:after="120"/>
        <w:jc w:val="both"/>
        <w:rPr>
          <w:noProof/>
        </w:rPr>
      </w:pPr>
      <w:r>
        <w:rPr>
          <w:noProof/>
        </w:rPr>
        <w:t xml:space="preserve"> </w:t>
      </w:r>
    </w:p>
    <w:p w14:paraId="364F73BF" w14:textId="77777777" w:rsidR="004C6421" w:rsidRDefault="009D1962">
      <w:pPr>
        <w:pStyle w:val="ListParagraph"/>
        <w:numPr>
          <w:ilvl w:val="1"/>
          <w:numId w:val="145"/>
        </w:numPr>
        <w:spacing w:before="0" w:after="0" w:line="279" w:lineRule="auto"/>
        <w:ind w:left="850" w:hanging="850"/>
        <w:rPr>
          <w:noProof/>
        </w:rPr>
      </w:pPr>
      <w:r>
        <w:rPr>
          <w:noProof/>
        </w:rPr>
        <w:t>Piąta transza (wsparcie pożyczkowe):</w:t>
      </w:r>
    </w:p>
    <w:tbl>
      <w:tblPr>
        <w:tblW w:w="9594" w:type="dxa"/>
        <w:tblInd w:w="120" w:type="dxa"/>
        <w:tblLayout w:type="fixed"/>
        <w:tblLook w:val="04A0" w:firstRow="1" w:lastRow="0" w:firstColumn="1" w:lastColumn="0" w:noHBand="0" w:noVBand="1"/>
      </w:tblPr>
      <w:tblGrid>
        <w:gridCol w:w="1320"/>
        <w:gridCol w:w="2770"/>
        <w:gridCol w:w="1200"/>
        <w:gridCol w:w="4068"/>
        <w:gridCol w:w="236"/>
      </w:tblGrid>
      <w:tr w:rsidR="004C6421" w14:paraId="2D1A2535" w14:textId="77777777">
        <w:trPr>
          <w:trHeight w:val="900"/>
          <w:tblHeader/>
        </w:trPr>
        <w:tc>
          <w:tcPr>
            <w:tcW w:w="1320"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211831EB" w14:textId="77777777" w:rsidR="004C6421" w:rsidRDefault="009D1962">
            <w:pPr>
              <w:pStyle w:val="P68B1DB1-Normal36"/>
              <w:jc w:val="center"/>
              <w:rPr>
                <w:noProof/>
              </w:rPr>
            </w:pPr>
            <w:r>
              <w:rPr>
                <w:noProof/>
              </w:rPr>
              <w:t>Numer porządkowy</w:t>
            </w:r>
          </w:p>
        </w:tc>
        <w:tc>
          <w:tcPr>
            <w:tcW w:w="2770"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383FBB72" w14:textId="77777777" w:rsidR="004C6421" w:rsidRDefault="009D1962">
            <w:pPr>
              <w:pStyle w:val="P68B1DB1-Normal36"/>
              <w:jc w:val="center"/>
              <w:rPr>
                <w:noProof/>
              </w:rPr>
            </w:pPr>
            <w:r>
              <w:rPr>
                <w:noProof/>
              </w:rPr>
              <w:t>Powiązane działanie (reforma lub inwestycja)</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0006CB4D" w14:textId="77777777" w:rsidR="004C6421" w:rsidRDefault="009D1962">
            <w:pPr>
              <w:pStyle w:val="P68B1DB1-Normal36"/>
              <w:jc w:val="center"/>
              <w:rPr>
                <w:noProof/>
              </w:rPr>
            </w:pPr>
            <w:r>
              <w:rPr>
                <w:noProof/>
              </w:rPr>
              <w:t>Kamień milowy/wartość docelowa</w:t>
            </w:r>
          </w:p>
        </w:tc>
        <w:tc>
          <w:tcPr>
            <w:tcW w:w="4068"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1FB1F602" w14:textId="77777777" w:rsidR="004C6421" w:rsidRDefault="009D1962">
            <w:pPr>
              <w:pStyle w:val="P68B1DB1-Normal36"/>
              <w:jc w:val="center"/>
              <w:rPr>
                <w:noProof/>
              </w:rPr>
            </w:pPr>
            <w:r>
              <w:rPr>
                <w:noProof/>
              </w:rPr>
              <w:t>Nazwa</w:t>
            </w:r>
          </w:p>
        </w:tc>
        <w:tc>
          <w:tcPr>
            <w:tcW w:w="236" w:type="dxa"/>
            <w:tcBorders>
              <w:top w:val="nil"/>
              <w:left w:val="single" w:sz="4" w:space="0" w:color="auto"/>
              <w:bottom w:val="nil"/>
              <w:right w:val="nil"/>
            </w:tcBorders>
            <w:vAlign w:val="center"/>
          </w:tcPr>
          <w:p w14:paraId="09376494" w14:textId="77777777" w:rsidR="004C6421" w:rsidRDefault="004C6421">
            <w:pPr>
              <w:rPr>
                <w:noProof/>
              </w:rPr>
            </w:pPr>
          </w:p>
        </w:tc>
      </w:tr>
      <w:tr w:rsidR="004C6421" w14:paraId="0C81FA40" w14:textId="77777777">
        <w:trPr>
          <w:trHeight w:val="510"/>
        </w:trPr>
        <w:tc>
          <w:tcPr>
            <w:tcW w:w="1320" w:type="dxa"/>
            <w:vMerge/>
            <w:tcBorders>
              <w:top w:val="single" w:sz="4" w:space="0" w:color="auto"/>
              <w:left w:val="single" w:sz="4" w:space="0" w:color="auto"/>
              <w:bottom w:val="single" w:sz="4" w:space="0" w:color="auto"/>
              <w:right w:val="single" w:sz="4" w:space="0" w:color="auto"/>
            </w:tcBorders>
            <w:vAlign w:val="center"/>
          </w:tcPr>
          <w:p w14:paraId="5F1238DF" w14:textId="77777777" w:rsidR="004C6421" w:rsidRDefault="004C6421">
            <w:pPr>
              <w:rPr>
                <w:noProof/>
              </w:rPr>
            </w:pPr>
          </w:p>
        </w:tc>
        <w:tc>
          <w:tcPr>
            <w:tcW w:w="2770" w:type="dxa"/>
            <w:vMerge/>
            <w:tcBorders>
              <w:top w:val="single" w:sz="4" w:space="0" w:color="auto"/>
              <w:left w:val="single" w:sz="4" w:space="0" w:color="auto"/>
              <w:bottom w:val="single" w:sz="4" w:space="0" w:color="auto"/>
              <w:right w:val="single" w:sz="4" w:space="0" w:color="auto"/>
            </w:tcBorders>
            <w:vAlign w:val="center"/>
          </w:tcPr>
          <w:p w14:paraId="591C9BF3" w14:textId="77777777" w:rsidR="004C6421" w:rsidRDefault="004C6421">
            <w:pPr>
              <w:rPr>
                <w:noProof/>
              </w:rPr>
            </w:pPr>
          </w:p>
        </w:tc>
        <w:tc>
          <w:tcPr>
            <w:tcW w:w="1200" w:type="dxa"/>
            <w:vMerge/>
            <w:tcBorders>
              <w:top w:val="single" w:sz="4" w:space="0" w:color="auto"/>
              <w:left w:val="single" w:sz="4" w:space="0" w:color="auto"/>
              <w:bottom w:val="single" w:sz="4" w:space="0" w:color="auto"/>
              <w:right w:val="single" w:sz="4" w:space="0" w:color="auto"/>
            </w:tcBorders>
            <w:vAlign w:val="center"/>
          </w:tcPr>
          <w:p w14:paraId="3997AA6B" w14:textId="77777777" w:rsidR="004C6421" w:rsidRDefault="004C6421">
            <w:pPr>
              <w:rPr>
                <w:noProof/>
              </w:rPr>
            </w:pPr>
          </w:p>
        </w:tc>
        <w:tc>
          <w:tcPr>
            <w:tcW w:w="4068" w:type="dxa"/>
            <w:vMerge/>
            <w:tcBorders>
              <w:top w:val="single" w:sz="4" w:space="0" w:color="auto"/>
              <w:left w:val="single" w:sz="4" w:space="0" w:color="auto"/>
              <w:bottom w:val="single" w:sz="4" w:space="0" w:color="auto"/>
              <w:right w:val="single" w:sz="4" w:space="0" w:color="auto"/>
            </w:tcBorders>
            <w:vAlign w:val="center"/>
          </w:tcPr>
          <w:p w14:paraId="0A71AF5B" w14:textId="77777777" w:rsidR="004C6421" w:rsidRDefault="004C6421">
            <w:pPr>
              <w:rPr>
                <w:noProof/>
              </w:rPr>
            </w:pPr>
          </w:p>
        </w:tc>
        <w:tc>
          <w:tcPr>
            <w:tcW w:w="236" w:type="dxa"/>
            <w:tcBorders>
              <w:top w:val="nil"/>
              <w:left w:val="single" w:sz="4" w:space="0" w:color="auto"/>
              <w:bottom w:val="nil"/>
              <w:right w:val="nil"/>
            </w:tcBorders>
            <w:vAlign w:val="center"/>
          </w:tcPr>
          <w:p w14:paraId="4660D96D" w14:textId="77777777" w:rsidR="004C6421" w:rsidRDefault="004C6421">
            <w:pPr>
              <w:rPr>
                <w:noProof/>
              </w:rPr>
            </w:pPr>
          </w:p>
        </w:tc>
      </w:tr>
      <w:tr w:rsidR="004C6421" w14:paraId="3696B261" w14:textId="77777777">
        <w:trPr>
          <w:trHeight w:val="300"/>
        </w:trPr>
        <w:tc>
          <w:tcPr>
            <w:tcW w:w="1320"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16A1FF2" w14:textId="77777777" w:rsidR="004C6421" w:rsidRDefault="009D1962">
            <w:pPr>
              <w:pStyle w:val="P68B1DB1-Normal8"/>
              <w:jc w:val="center"/>
              <w:rPr>
                <w:noProof/>
              </w:rPr>
            </w:pPr>
            <w:r>
              <w:rPr>
                <w:noProof/>
              </w:rPr>
              <w:t>M2C3-5</w:t>
            </w:r>
          </w:p>
        </w:tc>
        <w:tc>
          <w:tcPr>
            <w:tcW w:w="2770"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F5877AF" w14:textId="77777777" w:rsidR="004C6421" w:rsidRDefault="009D1962">
            <w:pPr>
              <w:pStyle w:val="P68B1DB1-Normal8"/>
              <w:rPr>
                <w:noProof/>
              </w:rPr>
            </w:pPr>
            <w:r>
              <w:rPr>
                <w:noProof/>
              </w:rPr>
              <w:t xml:space="preserve">Inwestycje 1.1: Budowa nowych szkół poprzez wymianę budynków </w:t>
            </w:r>
          </w:p>
        </w:tc>
        <w:tc>
          <w:tcPr>
            <w:tcW w:w="1200"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FF43649" w14:textId="6D3B30B2" w:rsidR="004C6421" w:rsidRDefault="00CC179E">
            <w:pPr>
              <w:pStyle w:val="P68B1DB1-Normal8"/>
              <w:jc w:val="center"/>
              <w:rPr>
                <w:noProof/>
              </w:rPr>
            </w:pPr>
            <w:r>
              <w:rPr>
                <w:noProof/>
              </w:rPr>
              <w:t>Milowy</w:t>
            </w:r>
          </w:p>
        </w:tc>
        <w:tc>
          <w:tcPr>
            <w:tcW w:w="4068"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6D373D2" w14:textId="77777777" w:rsidR="004C6421" w:rsidRDefault="009D1962">
            <w:pPr>
              <w:pStyle w:val="P68B1DB1-Normal8"/>
              <w:rPr>
                <w:noProof/>
              </w:rPr>
            </w:pPr>
            <w:r>
              <w:rPr>
                <w:noProof/>
              </w:rPr>
              <w:t xml:space="preserve">Udzielanie wszystkich zamówień publicznych na budowę nowych szkół w drodze wymiany budynków na modernizację energii w budynkach szkolnych w następstwie procedury przetargowej </w:t>
            </w:r>
          </w:p>
        </w:tc>
        <w:tc>
          <w:tcPr>
            <w:tcW w:w="236" w:type="dxa"/>
            <w:tcBorders>
              <w:top w:val="nil"/>
              <w:left w:val="single" w:sz="8" w:space="0" w:color="auto"/>
              <w:bottom w:val="nil"/>
              <w:right w:val="nil"/>
            </w:tcBorders>
            <w:vAlign w:val="center"/>
          </w:tcPr>
          <w:p w14:paraId="590F2F4E" w14:textId="77777777" w:rsidR="004C6421" w:rsidRDefault="004C6421">
            <w:pPr>
              <w:rPr>
                <w:noProof/>
              </w:rPr>
            </w:pPr>
          </w:p>
        </w:tc>
      </w:tr>
      <w:tr w:rsidR="004C6421" w14:paraId="62D4C73E" w14:textId="77777777">
        <w:trPr>
          <w:trHeight w:val="300"/>
        </w:trPr>
        <w:tc>
          <w:tcPr>
            <w:tcW w:w="132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E46146B" w14:textId="77777777" w:rsidR="004C6421" w:rsidRDefault="009D1962">
            <w:pPr>
              <w:pStyle w:val="P68B1DB1-Normal8"/>
              <w:jc w:val="center"/>
              <w:rPr>
                <w:noProof/>
              </w:rPr>
            </w:pPr>
            <w:r>
              <w:rPr>
                <w:noProof/>
              </w:rPr>
              <w:t>M2C4-28</w:t>
            </w:r>
          </w:p>
        </w:tc>
        <w:tc>
          <w:tcPr>
            <w:tcW w:w="27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18A3D43" w14:textId="77777777" w:rsidR="004C6421" w:rsidRDefault="009D1962">
            <w:pPr>
              <w:pStyle w:val="P68B1DB1-Normal8"/>
              <w:rPr>
                <w:noProof/>
              </w:rPr>
            </w:pPr>
            <w:r>
              <w:rPr>
                <w:noProof/>
              </w:rPr>
              <w:t>Inwestycja 4.1. Inwestycje w infrastrukturę wodociągową podstawową w celu zapewnienia bezpieczeństwa dostaw wody</w:t>
            </w:r>
          </w:p>
        </w:tc>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F5D1EDC" w14:textId="12C81F0B" w:rsidR="004C6421" w:rsidRDefault="00CC179E">
            <w:pPr>
              <w:pStyle w:val="P68B1DB1-Normal8"/>
              <w:jc w:val="center"/>
              <w:rPr>
                <w:noProof/>
              </w:rPr>
            </w:pPr>
            <w:r>
              <w:rPr>
                <w:noProof/>
              </w:rPr>
              <w:t>Milowy</w:t>
            </w:r>
          </w:p>
        </w:tc>
        <w:tc>
          <w:tcPr>
            <w:tcW w:w="40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275D0F1" w14:textId="77777777" w:rsidR="004C6421" w:rsidRDefault="009D1962">
            <w:pPr>
              <w:pStyle w:val="P68B1DB1-Normal8"/>
              <w:rPr>
                <w:noProof/>
              </w:rPr>
            </w:pPr>
            <w:r>
              <w:rPr>
                <w:noProof/>
              </w:rPr>
              <w:t xml:space="preserve">Przyznanie środków finansowych na wszystkie projekty (na inwestycje w infrastrukturę wodociągową podstawową i bezpieczeństwo dostaw wody) </w:t>
            </w:r>
          </w:p>
        </w:tc>
        <w:tc>
          <w:tcPr>
            <w:tcW w:w="236" w:type="dxa"/>
            <w:tcBorders>
              <w:top w:val="nil"/>
              <w:left w:val="single" w:sz="8" w:space="0" w:color="auto"/>
              <w:bottom w:val="nil"/>
              <w:right w:val="nil"/>
            </w:tcBorders>
            <w:vAlign w:val="center"/>
          </w:tcPr>
          <w:p w14:paraId="4CDD5A0F" w14:textId="77777777" w:rsidR="004C6421" w:rsidRDefault="004C6421">
            <w:pPr>
              <w:rPr>
                <w:noProof/>
              </w:rPr>
            </w:pPr>
          </w:p>
        </w:tc>
      </w:tr>
      <w:tr w:rsidR="004C6421" w14:paraId="56D87A21" w14:textId="77777777">
        <w:trPr>
          <w:trHeight w:val="300"/>
        </w:trPr>
        <w:tc>
          <w:tcPr>
            <w:tcW w:w="132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7EC6E8B" w14:textId="77777777" w:rsidR="004C6421" w:rsidRDefault="009D1962">
            <w:pPr>
              <w:pStyle w:val="P68B1DB1-Normal8"/>
              <w:jc w:val="center"/>
              <w:rPr>
                <w:noProof/>
              </w:rPr>
            </w:pPr>
            <w:r>
              <w:rPr>
                <w:noProof/>
              </w:rPr>
              <w:t>M2C4-30</w:t>
            </w:r>
          </w:p>
        </w:tc>
        <w:tc>
          <w:tcPr>
            <w:tcW w:w="27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45975E1" w14:textId="77777777" w:rsidR="004C6421" w:rsidRDefault="009D1962">
            <w:pPr>
              <w:pStyle w:val="P68B1DB1-Normal8"/>
              <w:rPr>
                <w:noProof/>
              </w:rPr>
            </w:pPr>
            <w:r>
              <w:rPr>
                <w:noProof/>
              </w:rPr>
              <w:t>Inwestycje 4.2. Ograniczenie strat w sieciach wodociągowych, w tym cyfryzacja i monitorowanie sieci</w:t>
            </w:r>
          </w:p>
        </w:tc>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70C1918" w14:textId="225B9E92" w:rsidR="004C6421" w:rsidRDefault="00CC179E">
            <w:pPr>
              <w:pStyle w:val="P68B1DB1-Normal8"/>
              <w:jc w:val="center"/>
              <w:rPr>
                <w:noProof/>
              </w:rPr>
            </w:pPr>
            <w:r>
              <w:rPr>
                <w:noProof/>
              </w:rPr>
              <w:t>Milowy</w:t>
            </w:r>
          </w:p>
        </w:tc>
        <w:tc>
          <w:tcPr>
            <w:tcW w:w="40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62B9E31" w14:textId="77777777" w:rsidR="004C6421" w:rsidRDefault="009D1962">
            <w:pPr>
              <w:pStyle w:val="P68B1DB1-Normal8"/>
              <w:rPr>
                <w:noProof/>
              </w:rPr>
            </w:pPr>
            <w:r>
              <w:rPr>
                <w:noProof/>
              </w:rPr>
              <w:t>Przyznawanie środków finansowych na wszystkie projekty dotyczące interwencji w sieci dystrybucji wody, w tym cyfryzacji i monitorowania sieci</w:t>
            </w:r>
          </w:p>
        </w:tc>
        <w:tc>
          <w:tcPr>
            <w:tcW w:w="236" w:type="dxa"/>
            <w:tcBorders>
              <w:top w:val="nil"/>
              <w:left w:val="single" w:sz="8" w:space="0" w:color="auto"/>
              <w:bottom w:val="nil"/>
              <w:right w:val="nil"/>
            </w:tcBorders>
            <w:vAlign w:val="center"/>
          </w:tcPr>
          <w:p w14:paraId="52606390" w14:textId="77777777" w:rsidR="004C6421" w:rsidRDefault="004C6421">
            <w:pPr>
              <w:rPr>
                <w:noProof/>
              </w:rPr>
            </w:pPr>
          </w:p>
        </w:tc>
      </w:tr>
      <w:tr w:rsidR="004C6421" w14:paraId="3919C44E" w14:textId="77777777">
        <w:trPr>
          <w:trHeight w:val="300"/>
        </w:trPr>
        <w:tc>
          <w:tcPr>
            <w:tcW w:w="132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9D236A1" w14:textId="77777777" w:rsidR="004C6421" w:rsidRDefault="009D1962">
            <w:pPr>
              <w:pStyle w:val="P68B1DB1-Normal8"/>
              <w:jc w:val="center"/>
              <w:rPr>
                <w:noProof/>
              </w:rPr>
            </w:pPr>
            <w:r>
              <w:rPr>
                <w:noProof/>
              </w:rPr>
              <w:t>M1C1-14</w:t>
            </w:r>
          </w:p>
        </w:tc>
        <w:tc>
          <w:tcPr>
            <w:tcW w:w="27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08694E2" w14:textId="77777777" w:rsidR="004C6421" w:rsidRDefault="009D1962">
            <w:pPr>
              <w:pStyle w:val="P68B1DB1-Normal8"/>
              <w:rPr>
                <w:noProof/>
              </w:rPr>
            </w:pPr>
            <w:r>
              <w:rPr>
                <w:noProof/>
              </w:rPr>
              <w:t>Inwestycje 1.6.5: Cyfryzacja Rady Stanu</w:t>
            </w:r>
          </w:p>
        </w:tc>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60A6622" w14:textId="77777777" w:rsidR="004C6421" w:rsidRDefault="009D1962">
            <w:pPr>
              <w:pStyle w:val="P68B1DB1-Normal8"/>
              <w:jc w:val="center"/>
              <w:rPr>
                <w:noProof/>
              </w:rPr>
            </w:pPr>
            <w:r>
              <w:rPr>
                <w:noProof/>
              </w:rPr>
              <w:t>Cel</w:t>
            </w:r>
          </w:p>
        </w:tc>
        <w:tc>
          <w:tcPr>
            <w:tcW w:w="40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7FD23DB" w14:textId="77777777" w:rsidR="004C6421" w:rsidRDefault="009D1962">
            <w:pPr>
              <w:pStyle w:val="P68B1DB1-Normal8"/>
              <w:rPr>
                <w:noProof/>
              </w:rPr>
            </w:pPr>
            <w:r>
              <w:rPr>
                <w:noProof/>
              </w:rPr>
              <w:t>Rada Stanu – dokumenty sądowe dostępne do analizy w hurtowni danych T1</w:t>
            </w:r>
          </w:p>
        </w:tc>
        <w:tc>
          <w:tcPr>
            <w:tcW w:w="236" w:type="dxa"/>
            <w:tcBorders>
              <w:top w:val="nil"/>
              <w:left w:val="single" w:sz="8" w:space="0" w:color="auto"/>
              <w:bottom w:val="nil"/>
              <w:right w:val="nil"/>
            </w:tcBorders>
            <w:vAlign w:val="center"/>
          </w:tcPr>
          <w:p w14:paraId="05556BEB" w14:textId="77777777" w:rsidR="004C6421" w:rsidRDefault="004C6421">
            <w:pPr>
              <w:rPr>
                <w:noProof/>
              </w:rPr>
            </w:pPr>
          </w:p>
        </w:tc>
      </w:tr>
      <w:tr w:rsidR="004C6421" w14:paraId="69158301" w14:textId="77777777">
        <w:trPr>
          <w:trHeight w:val="300"/>
        </w:trPr>
        <w:tc>
          <w:tcPr>
            <w:tcW w:w="132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C8CA513" w14:textId="77777777" w:rsidR="004C6421" w:rsidRDefault="009D1962">
            <w:pPr>
              <w:pStyle w:val="P68B1DB1-Normal8"/>
              <w:jc w:val="center"/>
              <w:rPr>
                <w:noProof/>
              </w:rPr>
            </w:pPr>
            <w:r>
              <w:rPr>
                <w:noProof/>
              </w:rPr>
              <w:t>M1C1-16</w:t>
            </w:r>
          </w:p>
        </w:tc>
        <w:tc>
          <w:tcPr>
            <w:tcW w:w="27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AA5A158" w14:textId="77777777" w:rsidR="004C6421" w:rsidRDefault="009D1962">
            <w:pPr>
              <w:pStyle w:val="P68B1DB1-Normal8"/>
              <w:rPr>
                <w:noProof/>
              </w:rPr>
            </w:pPr>
            <w:r>
              <w:rPr>
                <w:noProof/>
              </w:rPr>
              <w:t>Inwestycje 1.6.5: Cyfryzacja Rady Stanu</w:t>
            </w:r>
          </w:p>
        </w:tc>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F2B85D6" w14:textId="77777777" w:rsidR="004C6421" w:rsidRDefault="009D1962">
            <w:pPr>
              <w:pStyle w:val="P68B1DB1-Normal8"/>
              <w:jc w:val="center"/>
              <w:rPr>
                <w:noProof/>
              </w:rPr>
            </w:pPr>
            <w:r>
              <w:rPr>
                <w:noProof/>
              </w:rPr>
              <w:t>Cel</w:t>
            </w:r>
          </w:p>
        </w:tc>
        <w:tc>
          <w:tcPr>
            <w:tcW w:w="40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3BA268E" w14:textId="77777777" w:rsidR="004C6421" w:rsidRDefault="009D1962">
            <w:pPr>
              <w:pStyle w:val="P68B1DB1-Normal8"/>
              <w:rPr>
                <w:noProof/>
              </w:rPr>
            </w:pPr>
            <w:r>
              <w:rPr>
                <w:noProof/>
              </w:rPr>
              <w:t>Rada Stanu – dokumenty sądowe dostępne do analizy w hurtowni danych T2</w:t>
            </w:r>
          </w:p>
        </w:tc>
        <w:tc>
          <w:tcPr>
            <w:tcW w:w="236" w:type="dxa"/>
            <w:tcBorders>
              <w:top w:val="nil"/>
              <w:left w:val="single" w:sz="8" w:space="0" w:color="auto"/>
              <w:bottom w:val="nil"/>
              <w:right w:val="nil"/>
            </w:tcBorders>
            <w:vAlign w:val="center"/>
          </w:tcPr>
          <w:p w14:paraId="0765D7D4" w14:textId="77777777" w:rsidR="004C6421" w:rsidRDefault="004C6421">
            <w:pPr>
              <w:rPr>
                <w:noProof/>
              </w:rPr>
            </w:pPr>
          </w:p>
        </w:tc>
      </w:tr>
      <w:tr w:rsidR="004C6421" w14:paraId="40247612" w14:textId="77777777">
        <w:trPr>
          <w:trHeight w:val="300"/>
        </w:trPr>
        <w:tc>
          <w:tcPr>
            <w:tcW w:w="132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94FB6E5" w14:textId="77777777" w:rsidR="004C6421" w:rsidRDefault="009D1962">
            <w:pPr>
              <w:pStyle w:val="P68B1DB1-Normal8"/>
              <w:jc w:val="center"/>
              <w:rPr>
                <w:noProof/>
              </w:rPr>
            </w:pPr>
            <w:r>
              <w:rPr>
                <w:noProof/>
              </w:rPr>
              <w:t>M1C1-126</w:t>
            </w:r>
          </w:p>
        </w:tc>
        <w:tc>
          <w:tcPr>
            <w:tcW w:w="27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22860DD" w14:textId="77777777" w:rsidR="004C6421" w:rsidRDefault="009D1962">
            <w:pPr>
              <w:pStyle w:val="P68B1DB1-Normal8"/>
              <w:rPr>
                <w:noProof/>
              </w:rPr>
            </w:pPr>
            <w:r>
              <w:rPr>
                <w:noProof/>
              </w:rPr>
              <w:t>Inwestycja 1.4.3 – Wzmocnienie usług platformy PagoPA i aplikacji „IO”</w:t>
            </w:r>
          </w:p>
        </w:tc>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218A087" w14:textId="77777777" w:rsidR="004C6421" w:rsidRDefault="009D1962">
            <w:pPr>
              <w:pStyle w:val="P68B1DB1-Normal8"/>
              <w:jc w:val="center"/>
              <w:rPr>
                <w:noProof/>
              </w:rPr>
            </w:pPr>
            <w:r>
              <w:rPr>
                <w:noProof/>
              </w:rPr>
              <w:t>Cel</w:t>
            </w:r>
          </w:p>
        </w:tc>
        <w:tc>
          <w:tcPr>
            <w:tcW w:w="40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5D33542" w14:textId="77777777" w:rsidR="004C6421" w:rsidRDefault="009D1962">
            <w:pPr>
              <w:pStyle w:val="P68B1DB1-Normal8"/>
              <w:rPr>
                <w:noProof/>
              </w:rPr>
            </w:pPr>
            <w:r>
              <w:rPr>
                <w:noProof/>
              </w:rPr>
              <w:t>Zwiększenie skali przyjęcia usług platformowych PagoPA T1</w:t>
            </w:r>
          </w:p>
        </w:tc>
        <w:tc>
          <w:tcPr>
            <w:tcW w:w="236" w:type="dxa"/>
            <w:tcBorders>
              <w:top w:val="nil"/>
              <w:left w:val="single" w:sz="8" w:space="0" w:color="auto"/>
              <w:bottom w:val="nil"/>
              <w:right w:val="nil"/>
            </w:tcBorders>
            <w:vAlign w:val="center"/>
          </w:tcPr>
          <w:p w14:paraId="72AF0A21" w14:textId="77777777" w:rsidR="004C6421" w:rsidRDefault="004C6421">
            <w:pPr>
              <w:rPr>
                <w:noProof/>
              </w:rPr>
            </w:pPr>
          </w:p>
        </w:tc>
      </w:tr>
      <w:tr w:rsidR="004C6421" w14:paraId="3312D5D9" w14:textId="77777777">
        <w:trPr>
          <w:trHeight w:val="300"/>
        </w:trPr>
        <w:tc>
          <w:tcPr>
            <w:tcW w:w="132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1D26189" w14:textId="77777777" w:rsidR="004C6421" w:rsidRDefault="009D1962">
            <w:pPr>
              <w:pStyle w:val="P68B1DB1-Normal8"/>
              <w:jc w:val="center"/>
              <w:rPr>
                <w:noProof/>
              </w:rPr>
            </w:pPr>
            <w:r>
              <w:rPr>
                <w:noProof/>
              </w:rPr>
              <w:t>M1C1-127</w:t>
            </w:r>
          </w:p>
        </w:tc>
        <w:tc>
          <w:tcPr>
            <w:tcW w:w="27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EF4AC2D" w14:textId="77777777" w:rsidR="004C6421" w:rsidRDefault="009D1962">
            <w:pPr>
              <w:pStyle w:val="P68B1DB1-Normal8"/>
              <w:rPr>
                <w:noProof/>
              </w:rPr>
            </w:pPr>
            <w:r>
              <w:rPr>
                <w:noProof/>
              </w:rPr>
              <w:t>Inwestycja 1.4.3 – Wzmocnienie usług platformy PagoPA i aplikacji „IO”</w:t>
            </w:r>
          </w:p>
        </w:tc>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B7DE0EF" w14:textId="77777777" w:rsidR="004C6421" w:rsidRDefault="009D1962">
            <w:pPr>
              <w:pStyle w:val="P68B1DB1-Normal8"/>
              <w:jc w:val="center"/>
              <w:rPr>
                <w:noProof/>
              </w:rPr>
            </w:pPr>
            <w:r>
              <w:rPr>
                <w:noProof/>
              </w:rPr>
              <w:t>Cel</w:t>
            </w:r>
          </w:p>
        </w:tc>
        <w:tc>
          <w:tcPr>
            <w:tcW w:w="40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72B1F92" w14:textId="77777777" w:rsidR="004C6421" w:rsidRDefault="009D1962">
            <w:pPr>
              <w:pStyle w:val="P68B1DB1-Normal8"/>
              <w:rPr>
                <w:noProof/>
              </w:rPr>
            </w:pPr>
            <w:r>
              <w:rPr>
                <w:noProof/>
              </w:rPr>
              <w:t>Zwiększenie skali przyjęcia aplikacji T1 „IO”</w:t>
            </w:r>
          </w:p>
        </w:tc>
        <w:tc>
          <w:tcPr>
            <w:tcW w:w="236" w:type="dxa"/>
            <w:tcBorders>
              <w:top w:val="nil"/>
              <w:left w:val="single" w:sz="8" w:space="0" w:color="auto"/>
              <w:bottom w:val="nil"/>
              <w:right w:val="nil"/>
            </w:tcBorders>
            <w:vAlign w:val="center"/>
          </w:tcPr>
          <w:p w14:paraId="1C66E95A" w14:textId="77777777" w:rsidR="004C6421" w:rsidRDefault="004C6421">
            <w:pPr>
              <w:rPr>
                <w:noProof/>
              </w:rPr>
            </w:pPr>
          </w:p>
        </w:tc>
      </w:tr>
      <w:tr w:rsidR="004C6421" w14:paraId="2012BB28" w14:textId="77777777">
        <w:trPr>
          <w:trHeight w:val="300"/>
        </w:trPr>
        <w:tc>
          <w:tcPr>
            <w:tcW w:w="132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4A2A97D" w14:textId="77777777" w:rsidR="004C6421" w:rsidRDefault="009D1962">
            <w:pPr>
              <w:pStyle w:val="P68B1DB1-Normal8"/>
              <w:jc w:val="center"/>
              <w:rPr>
                <w:noProof/>
              </w:rPr>
            </w:pPr>
            <w:r>
              <w:rPr>
                <w:noProof/>
              </w:rPr>
              <w:t>M1C1-128</w:t>
            </w:r>
          </w:p>
        </w:tc>
        <w:tc>
          <w:tcPr>
            <w:tcW w:w="27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F4D2170" w14:textId="77777777" w:rsidR="004C6421" w:rsidRDefault="009D1962">
            <w:pPr>
              <w:pStyle w:val="P68B1DB1-Normal8"/>
              <w:rPr>
                <w:noProof/>
              </w:rPr>
            </w:pPr>
            <w:r>
              <w:rPr>
                <w:noProof/>
              </w:rPr>
              <w:t>Inwestycje 1.4.5 – Cyfryzacja ogłoszeń publicznych</w:t>
            </w:r>
          </w:p>
        </w:tc>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D08976F" w14:textId="77777777" w:rsidR="004C6421" w:rsidRDefault="009D1962">
            <w:pPr>
              <w:pStyle w:val="P68B1DB1-Normal8"/>
              <w:jc w:val="center"/>
              <w:rPr>
                <w:noProof/>
              </w:rPr>
            </w:pPr>
            <w:r>
              <w:rPr>
                <w:noProof/>
              </w:rPr>
              <w:t>Cel</w:t>
            </w:r>
          </w:p>
        </w:tc>
        <w:tc>
          <w:tcPr>
            <w:tcW w:w="40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DA65DAE" w14:textId="77777777" w:rsidR="004C6421" w:rsidRDefault="009D1962">
            <w:pPr>
              <w:pStyle w:val="P68B1DB1-Normal8"/>
              <w:rPr>
                <w:noProof/>
              </w:rPr>
            </w:pPr>
            <w:r>
              <w:rPr>
                <w:noProof/>
              </w:rPr>
              <w:t>Zwiększenie skali przyjmowania cyfrowych ogłoszeń publicznych T1</w:t>
            </w:r>
          </w:p>
        </w:tc>
        <w:tc>
          <w:tcPr>
            <w:tcW w:w="236" w:type="dxa"/>
            <w:tcBorders>
              <w:top w:val="nil"/>
              <w:left w:val="single" w:sz="8" w:space="0" w:color="auto"/>
              <w:bottom w:val="nil"/>
              <w:right w:val="nil"/>
            </w:tcBorders>
            <w:vAlign w:val="center"/>
          </w:tcPr>
          <w:p w14:paraId="7264CCD3" w14:textId="77777777" w:rsidR="004C6421" w:rsidRDefault="004C6421">
            <w:pPr>
              <w:rPr>
                <w:noProof/>
              </w:rPr>
            </w:pPr>
          </w:p>
        </w:tc>
      </w:tr>
      <w:tr w:rsidR="004C6421" w14:paraId="51F97B28" w14:textId="77777777">
        <w:trPr>
          <w:trHeight w:val="300"/>
        </w:trPr>
        <w:tc>
          <w:tcPr>
            <w:tcW w:w="132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9A2B4CB" w14:textId="77777777" w:rsidR="004C6421" w:rsidRDefault="009D1962">
            <w:pPr>
              <w:pStyle w:val="P68B1DB1-Normal8"/>
              <w:jc w:val="center"/>
              <w:rPr>
                <w:noProof/>
              </w:rPr>
            </w:pPr>
            <w:r>
              <w:rPr>
                <w:noProof/>
              </w:rPr>
              <w:t>M1C1-129</w:t>
            </w:r>
          </w:p>
        </w:tc>
        <w:tc>
          <w:tcPr>
            <w:tcW w:w="27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1FE7942" w14:textId="77777777" w:rsidR="004C6421" w:rsidRDefault="009D1962">
            <w:pPr>
              <w:pStyle w:val="P68B1DB1-Normal8"/>
              <w:rPr>
                <w:noProof/>
              </w:rPr>
            </w:pPr>
            <w:r>
              <w:rPr>
                <w:noProof/>
              </w:rPr>
              <w:t>Inwestycja 1.6.1 – Cyfryzacja Ministerstwa Spraw Wewnętrznych</w:t>
            </w:r>
          </w:p>
        </w:tc>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A7EA494" w14:textId="77777777" w:rsidR="004C6421" w:rsidRDefault="009D1962">
            <w:pPr>
              <w:pStyle w:val="P68B1DB1-Normal8"/>
              <w:jc w:val="center"/>
              <w:rPr>
                <w:noProof/>
              </w:rPr>
            </w:pPr>
            <w:r>
              <w:rPr>
                <w:noProof/>
              </w:rPr>
              <w:t>Cel</w:t>
            </w:r>
          </w:p>
        </w:tc>
        <w:tc>
          <w:tcPr>
            <w:tcW w:w="40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77CA62B" w14:textId="77777777" w:rsidR="004C6421" w:rsidRDefault="009D1962">
            <w:pPr>
              <w:pStyle w:val="P68B1DB1-Normal8"/>
              <w:rPr>
                <w:noProof/>
              </w:rPr>
            </w:pPr>
            <w:r>
              <w:rPr>
                <w:noProof/>
              </w:rPr>
              <w:t>Ministerstwo Spraw Wewnętrznych – w pełni przeprojektowane i zdigitalizowane procesy T1</w:t>
            </w:r>
          </w:p>
        </w:tc>
        <w:tc>
          <w:tcPr>
            <w:tcW w:w="236" w:type="dxa"/>
            <w:tcBorders>
              <w:top w:val="nil"/>
              <w:left w:val="single" w:sz="8" w:space="0" w:color="auto"/>
              <w:bottom w:val="nil"/>
              <w:right w:val="nil"/>
            </w:tcBorders>
            <w:vAlign w:val="center"/>
          </w:tcPr>
          <w:p w14:paraId="13FFA8C0" w14:textId="77777777" w:rsidR="004C6421" w:rsidRDefault="004C6421">
            <w:pPr>
              <w:rPr>
                <w:noProof/>
              </w:rPr>
            </w:pPr>
          </w:p>
        </w:tc>
      </w:tr>
      <w:tr w:rsidR="004C6421" w14:paraId="4FC0FA66" w14:textId="77777777">
        <w:trPr>
          <w:trHeight w:val="300"/>
        </w:trPr>
        <w:tc>
          <w:tcPr>
            <w:tcW w:w="132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AF68A37" w14:textId="77777777" w:rsidR="004C6421" w:rsidRDefault="009D1962">
            <w:pPr>
              <w:pStyle w:val="P68B1DB1-Normal8"/>
              <w:jc w:val="center"/>
              <w:rPr>
                <w:noProof/>
              </w:rPr>
            </w:pPr>
            <w:r>
              <w:rPr>
                <w:noProof/>
              </w:rPr>
              <w:t>M1C1-130</w:t>
            </w:r>
          </w:p>
        </w:tc>
        <w:tc>
          <w:tcPr>
            <w:tcW w:w="27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F215446" w14:textId="77777777" w:rsidR="004C6421" w:rsidRDefault="009D1962">
            <w:pPr>
              <w:pStyle w:val="P68B1DB1-Normal8"/>
              <w:rPr>
                <w:noProof/>
              </w:rPr>
            </w:pPr>
            <w:r>
              <w:rPr>
                <w:noProof/>
              </w:rPr>
              <w:t>Inwestycje 1.6.2 – Cyfryzacja Ministerstwa Sprawiedliwości</w:t>
            </w:r>
          </w:p>
        </w:tc>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CAAB150" w14:textId="77777777" w:rsidR="004C6421" w:rsidRDefault="009D1962">
            <w:pPr>
              <w:pStyle w:val="P68B1DB1-Normal8"/>
              <w:jc w:val="center"/>
              <w:rPr>
                <w:noProof/>
              </w:rPr>
            </w:pPr>
            <w:r>
              <w:rPr>
                <w:noProof/>
              </w:rPr>
              <w:t>Cel</w:t>
            </w:r>
          </w:p>
        </w:tc>
        <w:tc>
          <w:tcPr>
            <w:tcW w:w="40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B61002A" w14:textId="77777777" w:rsidR="004C6421" w:rsidRDefault="009D1962">
            <w:pPr>
              <w:pStyle w:val="P68B1DB1-Normal8"/>
              <w:rPr>
                <w:noProof/>
              </w:rPr>
            </w:pPr>
            <w:r>
              <w:rPr>
                <w:noProof/>
              </w:rPr>
              <w:t>Cyfrowe akta sądowe T1</w:t>
            </w:r>
          </w:p>
        </w:tc>
        <w:tc>
          <w:tcPr>
            <w:tcW w:w="236" w:type="dxa"/>
            <w:tcBorders>
              <w:top w:val="nil"/>
              <w:left w:val="single" w:sz="8" w:space="0" w:color="auto"/>
              <w:bottom w:val="nil"/>
              <w:right w:val="nil"/>
            </w:tcBorders>
            <w:vAlign w:val="center"/>
          </w:tcPr>
          <w:p w14:paraId="23500448" w14:textId="77777777" w:rsidR="004C6421" w:rsidRDefault="004C6421">
            <w:pPr>
              <w:rPr>
                <w:noProof/>
              </w:rPr>
            </w:pPr>
          </w:p>
        </w:tc>
      </w:tr>
      <w:tr w:rsidR="004C6421" w14:paraId="1BA41324" w14:textId="77777777">
        <w:trPr>
          <w:trHeight w:val="300"/>
        </w:trPr>
        <w:tc>
          <w:tcPr>
            <w:tcW w:w="132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952F665" w14:textId="77777777" w:rsidR="004C6421" w:rsidRDefault="009D1962">
            <w:pPr>
              <w:pStyle w:val="P68B1DB1-Normal8"/>
              <w:jc w:val="center"/>
              <w:rPr>
                <w:noProof/>
              </w:rPr>
            </w:pPr>
            <w:r>
              <w:rPr>
                <w:noProof/>
              </w:rPr>
              <w:t>M1C1-131</w:t>
            </w:r>
          </w:p>
        </w:tc>
        <w:tc>
          <w:tcPr>
            <w:tcW w:w="27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EC34447" w14:textId="77777777" w:rsidR="004C6421" w:rsidRDefault="009D1962">
            <w:pPr>
              <w:pStyle w:val="P68B1DB1-Normal8"/>
              <w:rPr>
                <w:noProof/>
              </w:rPr>
            </w:pPr>
            <w:r>
              <w:rPr>
                <w:noProof/>
              </w:rPr>
              <w:t>Inwestycje 1.6.2 – Cyfryzacja Ministerstwa Sprawiedliwości</w:t>
            </w:r>
          </w:p>
        </w:tc>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41F2B7C" w14:textId="2FDF1C02" w:rsidR="004C6421" w:rsidRDefault="00CC179E">
            <w:pPr>
              <w:pStyle w:val="P68B1DB1-Normal8"/>
              <w:jc w:val="center"/>
              <w:rPr>
                <w:noProof/>
              </w:rPr>
            </w:pPr>
            <w:r>
              <w:rPr>
                <w:noProof/>
              </w:rPr>
              <w:t>Milowy</w:t>
            </w:r>
          </w:p>
        </w:tc>
        <w:tc>
          <w:tcPr>
            <w:tcW w:w="40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AD43021" w14:textId="77777777" w:rsidR="004C6421" w:rsidRDefault="009D1962">
            <w:pPr>
              <w:pStyle w:val="P68B1DB1-Normal8"/>
              <w:rPr>
                <w:noProof/>
              </w:rPr>
            </w:pPr>
            <w:r>
              <w:rPr>
                <w:noProof/>
              </w:rPr>
              <w:t>Systemy wiedzy o jeziorach danych dotyczących wymiaru sprawiedliwości T1</w:t>
            </w:r>
          </w:p>
        </w:tc>
        <w:tc>
          <w:tcPr>
            <w:tcW w:w="236" w:type="dxa"/>
            <w:tcBorders>
              <w:top w:val="nil"/>
              <w:left w:val="single" w:sz="8" w:space="0" w:color="auto"/>
              <w:bottom w:val="nil"/>
              <w:right w:val="nil"/>
            </w:tcBorders>
            <w:vAlign w:val="center"/>
          </w:tcPr>
          <w:p w14:paraId="59473409" w14:textId="77777777" w:rsidR="004C6421" w:rsidRDefault="004C6421">
            <w:pPr>
              <w:rPr>
                <w:noProof/>
              </w:rPr>
            </w:pPr>
          </w:p>
        </w:tc>
      </w:tr>
      <w:tr w:rsidR="004C6421" w14:paraId="27175014" w14:textId="77777777">
        <w:trPr>
          <w:trHeight w:val="300"/>
        </w:trPr>
        <w:tc>
          <w:tcPr>
            <w:tcW w:w="132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07F05B4" w14:textId="77777777" w:rsidR="004C6421" w:rsidRDefault="009D1962">
            <w:pPr>
              <w:pStyle w:val="P68B1DB1-Normal8"/>
              <w:jc w:val="center"/>
              <w:rPr>
                <w:noProof/>
              </w:rPr>
            </w:pPr>
            <w:r>
              <w:rPr>
                <w:noProof/>
              </w:rPr>
              <w:t>M1C1-132</w:t>
            </w:r>
          </w:p>
        </w:tc>
        <w:tc>
          <w:tcPr>
            <w:tcW w:w="27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40A71A8" w14:textId="77777777" w:rsidR="004C6421" w:rsidRDefault="009D1962">
            <w:pPr>
              <w:pStyle w:val="P68B1DB1-Normal8"/>
              <w:rPr>
                <w:noProof/>
              </w:rPr>
            </w:pPr>
            <w:r>
              <w:rPr>
                <w:noProof/>
              </w:rPr>
              <w:t>Inwestycje 1.6.3 – Cyfryzacja Krajowego Instytutu Zabezpieczenia Społecznego (INPS) i Krajowego Instytutu Ubezpieczeń od Wypadków przy Pracy (INAIL)</w:t>
            </w:r>
          </w:p>
        </w:tc>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FB6F467" w14:textId="77777777" w:rsidR="004C6421" w:rsidRDefault="009D1962">
            <w:pPr>
              <w:pStyle w:val="P68B1DB1-Normal8"/>
              <w:jc w:val="center"/>
              <w:rPr>
                <w:noProof/>
              </w:rPr>
            </w:pPr>
            <w:r>
              <w:rPr>
                <w:noProof/>
              </w:rPr>
              <w:t>Cel</w:t>
            </w:r>
          </w:p>
        </w:tc>
        <w:tc>
          <w:tcPr>
            <w:tcW w:w="40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8CAE580" w14:textId="77777777" w:rsidR="004C6421" w:rsidRDefault="009D1962">
            <w:pPr>
              <w:pStyle w:val="P68B1DB1-Normal8"/>
              <w:rPr>
                <w:noProof/>
              </w:rPr>
            </w:pPr>
            <w:r>
              <w:rPr>
                <w:noProof/>
              </w:rPr>
              <w:t>INPS – usługi/treść T2 „Jedne kliknięcie na etapie projektowania”</w:t>
            </w:r>
          </w:p>
        </w:tc>
        <w:tc>
          <w:tcPr>
            <w:tcW w:w="236" w:type="dxa"/>
            <w:tcBorders>
              <w:top w:val="nil"/>
              <w:left w:val="single" w:sz="8" w:space="0" w:color="auto"/>
              <w:bottom w:val="nil"/>
              <w:right w:val="nil"/>
            </w:tcBorders>
            <w:vAlign w:val="center"/>
          </w:tcPr>
          <w:p w14:paraId="4AD34BFF" w14:textId="77777777" w:rsidR="004C6421" w:rsidRDefault="004C6421">
            <w:pPr>
              <w:rPr>
                <w:noProof/>
              </w:rPr>
            </w:pPr>
          </w:p>
        </w:tc>
      </w:tr>
      <w:tr w:rsidR="004C6421" w14:paraId="48B4EC65" w14:textId="77777777">
        <w:trPr>
          <w:trHeight w:val="300"/>
        </w:trPr>
        <w:tc>
          <w:tcPr>
            <w:tcW w:w="132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467CBF5" w14:textId="77777777" w:rsidR="004C6421" w:rsidRDefault="009D1962">
            <w:pPr>
              <w:pStyle w:val="P68B1DB1-Normal8"/>
              <w:jc w:val="center"/>
              <w:rPr>
                <w:noProof/>
              </w:rPr>
            </w:pPr>
            <w:r>
              <w:rPr>
                <w:noProof/>
              </w:rPr>
              <w:t>M1C1-133</w:t>
            </w:r>
          </w:p>
        </w:tc>
        <w:tc>
          <w:tcPr>
            <w:tcW w:w="27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D0854C9" w14:textId="77777777" w:rsidR="004C6421" w:rsidRDefault="009D1962">
            <w:pPr>
              <w:pStyle w:val="P68B1DB1-Normal8"/>
              <w:rPr>
                <w:noProof/>
              </w:rPr>
            </w:pPr>
            <w:r>
              <w:rPr>
                <w:noProof/>
              </w:rPr>
              <w:t>Inwestycje 1.6.3 – Cyfryzacja Krajowego Instytutu Zabezpieczenia Społecznego (INPS) i Krajowego Instytutu Ubezpieczeń od Wypadków przy Pracy (INAIL)</w:t>
            </w:r>
          </w:p>
        </w:tc>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3A99A9B" w14:textId="77777777" w:rsidR="004C6421" w:rsidRDefault="009D1962">
            <w:pPr>
              <w:pStyle w:val="P68B1DB1-Normal8"/>
              <w:jc w:val="center"/>
              <w:rPr>
                <w:noProof/>
              </w:rPr>
            </w:pPr>
            <w:r>
              <w:rPr>
                <w:noProof/>
              </w:rPr>
              <w:t>Cel</w:t>
            </w:r>
          </w:p>
        </w:tc>
        <w:tc>
          <w:tcPr>
            <w:tcW w:w="40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C9D0240" w14:textId="77777777" w:rsidR="004C6421" w:rsidRDefault="009D1962">
            <w:pPr>
              <w:pStyle w:val="P68B1DB1-Normal8"/>
              <w:rPr>
                <w:noProof/>
              </w:rPr>
            </w:pPr>
            <w:r>
              <w:rPr>
                <w:noProof/>
              </w:rPr>
              <w:t>INPS – Pracownicy posiadający lepsze umiejętności w zakresie technologii informacyjno-komunikacyjnych (ICT) T2</w:t>
            </w:r>
          </w:p>
        </w:tc>
        <w:tc>
          <w:tcPr>
            <w:tcW w:w="236" w:type="dxa"/>
            <w:tcBorders>
              <w:top w:val="nil"/>
              <w:left w:val="single" w:sz="8" w:space="0" w:color="auto"/>
              <w:bottom w:val="nil"/>
              <w:right w:val="nil"/>
            </w:tcBorders>
            <w:vAlign w:val="center"/>
          </w:tcPr>
          <w:p w14:paraId="6E6C3833" w14:textId="77777777" w:rsidR="004C6421" w:rsidRDefault="004C6421">
            <w:pPr>
              <w:rPr>
                <w:noProof/>
              </w:rPr>
            </w:pPr>
          </w:p>
        </w:tc>
      </w:tr>
      <w:tr w:rsidR="004C6421" w14:paraId="1CB947BF" w14:textId="77777777">
        <w:trPr>
          <w:trHeight w:val="300"/>
        </w:trPr>
        <w:tc>
          <w:tcPr>
            <w:tcW w:w="132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FDDBFDF" w14:textId="77777777" w:rsidR="004C6421" w:rsidRDefault="009D1962">
            <w:pPr>
              <w:pStyle w:val="P68B1DB1-Normal8"/>
              <w:jc w:val="center"/>
              <w:rPr>
                <w:noProof/>
              </w:rPr>
            </w:pPr>
            <w:r>
              <w:rPr>
                <w:noProof/>
              </w:rPr>
              <w:t>M1C1-134</w:t>
            </w:r>
          </w:p>
        </w:tc>
        <w:tc>
          <w:tcPr>
            <w:tcW w:w="27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916BE67" w14:textId="77777777" w:rsidR="004C6421" w:rsidRDefault="009D1962">
            <w:pPr>
              <w:pStyle w:val="P68B1DB1-Normal8"/>
              <w:rPr>
                <w:noProof/>
              </w:rPr>
            </w:pPr>
            <w:r>
              <w:rPr>
                <w:noProof/>
              </w:rPr>
              <w:t>Inwestycje 1.6.3 – Cyfryzacja Krajowego Instytutu Zabezpieczenia Społecznego (INPS) i Krajowego Instytutu Ubezpieczeń od Wypadków przy Pracy (INAIL)</w:t>
            </w:r>
          </w:p>
        </w:tc>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89360F0" w14:textId="77777777" w:rsidR="004C6421" w:rsidRDefault="009D1962">
            <w:pPr>
              <w:pStyle w:val="P68B1DB1-Normal8"/>
              <w:jc w:val="center"/>
              <w:rPr>
                <w:noProof/>
              </w:rPr>
            </w:pPr>
            <w:r>
              <w:rPr>
                <w:noProof/>
              </w:rPr>
              <w:t>Cel</w:t>
            </w:r>
          </w:p>
        </w:tc>
        <w:tc>
          <w:tcPr>
            <w:tcW w:w="40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8FACA21" w14:textId="77777777" w:rsidR="004C6421" w:rsidRDefault="009D1962">
            <w:pPr>
              <w:pStyle w:val="P68B1DB1-Normal8"/>
              <w:rPr>
                <w:noProof/>
              </w:rPr>
            </w:pPr>
            <w:r>
              <w:rPr>
                <w:noProof/>
              </w:rPr>
              <w:t>INAIL – w pełni przeprojektowane i zdigitalizowane procesy/usługi T1</w:t>
            </w:r>
          </w:p>
        </w:tc>
        <w:tc>
          <w:tcPr>
            <w:tcW w:w="236" w:type="dxa"/>
            <w:tcBorders>
              <w:top w:val="nil"/>
              <w:left w:val="single" w:sz="8" w:space="0" w:color="auto"/>
              <w:bottom w:val="nil"/>
              <w:right w:val="nil"/>
            </w:tcBorders>
            <w:vAlign w:val="center"/>
          </w:tcPr>
          <w:p w14:paraId="38291FE4" w14:textId="77777777" w:rsidR="004C6421" w:rsidRDefault="004C6421">
            <w:pPr>
              <w:rPr>
                <w:noProof/>
              </w:rPr>
            </w:pPr>
          </w:p>
        </w:tc>
      </w:tr>
      <w:tr w:rsidR="004C6421" w14:paraId="6D5821FD" w14:textId="77777777">
        <w:trPr>
          <w:trHeight w:val="300"/>
        </w:trPr>
        <w:tc>
          <w:tcPr>
            <w:tcW w:w="132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B021CAB" w14:textId="77777777" w:rsidR="004C6421" w:rsidRDefault="009D1962">
            <w:pPr>
              <w:pStyle w:val="P68B1DB1-Normal8"/>
              <w:jc w:val="center"/>
              <w:rPr>
                <w:noProof/>
              </w:rPr>
            </w:pPr>
            <w:r>
              <w:rPr>
                <w:noProof/>
              </w:rPr>
              <w:t>M1C1-135</w:t>
            </w:r>
          </w:p>
        </w:tc>
        <w:tc>
          <w:tcPr>
            <w:tcW w:w="27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B127B06" w14:textId="77777777" w:rsidR="004C6421" w:rsidRDefault="009D1962">
            <w:pPr>
              <w:pStyle w:val="P68B1DB1-Normal8"/>
              <w:rPr>
                <w:noProof/>
              </w:rPr>
            </w:pPr>
            <w:r>
              <w:rPr>
                <w:noProof/>
              </w:rPr>
              <w:t>Inwestycje 1.6.4 – Cyfryzacja Ministerstwa Obrony</w:t>
            </w:r>
          </w:p>
        </w:tc>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F068A25" w14:textId="77777777" w:rsidR="004C6421" w:rsidRDefault="009D1962">
            <w:pPr>
              <w:pStyle w:val="P68B1DB1-Normal8"/>
              <w:jc w:val="center"/>
              <w:rPr>
                <w:noProof/>
              </w:rPr>
            </w:pPr>
            <w:r>
              <w:rPr>
                <w:noProof/>
              </w:rPr>
              <w:t>Cel</w:t>
            </w:r>
          </w:p>
        </w:tc>
        <w:tc>
          <w:tcPr>
            <w:tcW w:w="40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8EE75BE" w14:textId="77777777" w:rsidR="004C6421" w:rsidRDefault="009D1962">
            <w:pPr>
              <w:pStyle w:val="P68B1DB1-Normal8"/>
              <w:rPr>
                <w:noProof/>
              </w:rPr>
            </w:pPr>
            <w:r>
              <w:rPr>
                <w:noProof/>
              </w:rPr>
              <w:t>Ministerstwo Obrony – Cyfryzacja procedur T1</w:t>
            </w:r>
          </w:p>
        </w:tc>
        <w:tc>
          <w:tcPr>
            <w:tcW w:w="236" w:type="dxa"/>
            <w:tcBorders>
              <w:top w:val="nil"/>
              <w:left w:val="single" w:sz="8" w:space="0" w:color="auto"/>
              <w:bottom w:val="nil"/>
              <w:right w:val="nil"/>
            </w:tcBorders>
            <w:vAlign w:val="center"/>
          </w:tcPr>
          <w:p w14:paraId="6F280516" w14:textId="77777777" w:rsidR="004C6421" w:rsidRDefault="004C6421">
            <w:pPr>
              <w:rPr>
                <w:noProof/>
              </w:rPr>
            </w:pPr>
          </w:p>
        </w:tc>
      </w:tr>
      <w:tr w:rsidR="004C6421" w14:paraId="085A862A" w14:textId="77777777">
        <w:trPr>
          <w:trHeight w:val="300"/>
        </w:trPr>
        <w:tc>
          <w:tcPr>
            <w:tcW w:w="132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91CD0A2" w14:textId="77777777" w:rsidR="004C6421" w:rsidRDefault="009D1962">
            <w:pPr>
              <w:pStyle w:val="P68B1DB1-Normal8"/>
              <w:jc w:val="center"/>
              <w:rPr>
                <w:noProof/>
              </w:rPr>
            </w:pPr>
            <w:r>
              <w:rPr>
                <w:noProof/>
              </w:rPr>
              <w:t>M1C1-136</w:t>
            </w:r>
          </w:p>
        </w:tc>
        <w:tc>
          <w:tcPr>
            <w:tcW w:w="27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17CBC15" w14:textId="77777777" w:rsidR="004C6421" w:rsidRDefault="009D1962">
            <w:pPr>
              <w:pStyle w:val="P68B1DB1-Normal8"/>
              <w:rPr>
                <w:noProof/>
              </w:rPr>
            </w:pPr>
            <w:r>
              <w:rPr>
                <w:noProof/>
              </w:rPr>
              <w:t>Inwestycje 1.6.4 – Cyfryzacja Ministerstwa Obrony</w:t>
            </w:r>
          </w:p>
        </w:tc>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9483450" w14:textId="77777777" w:rsidR="004C6421" w:rsidRDefault="009D1962">
            <w:pPr>
              <w:pStyle w:val="P68B1DB1-Normal8"/>
              <w:jc w:val="center"/>
              <w:rPr>
                <w:noProof/>
              </w:rPr>
            </w:pPr>
            <w:r>
              <w:rPr>
                <w:noProof/>
              </w:rPr>
              <w:t>Cel</w:t>
            </w:r>
          </w:p>
        </w:tc>
        <w:tc>
          <w:tcPr>
            <w:tcW w:w="40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20BD43A" w14:textId="77777777" w:rsidR="004C6421" w:rsidRDefault="009D1962">
            <w:pPr>
              <w:pStyle w:val="P68B1DB1-Normal8"/>
              <w:rPr>
                <w:noProof/>
              </w:rPr>
            </w:pPr>
            <w:r>
              <w:rPr>
                <w:noProof/>
              </w:rPr>
              <w:t>Ministerstwo Obrony – Cyfryzacja certyfikatów T1</w:t>
            </w:r>
          </w:p>
        </w:tc>
        <w:tc>
          <w:tcPr>
            <w:tcW w:w="236" w:type="dxa"/>
            <w:tcBorders>
              <w:top w:val="nil"/>
              <w:left w:val="single" w:sz="8" w:space="0" w:color="auto"/>
              <w:bottom w:val="nil"/>
              <w:right w:val="nil"/>
            </w:tcBorders>
            <w:vAlign w:val="center"/>
          </w:tcPr>
          <w:p w14:paraId="7AD995F3" w14:textId="77777777" w:rsidR="004C6421" w:rsidRDefault="004C6421">
            <w:pPr>
              <w:rPr>
                <w:noProof/>
              </w:rPr>
            </w:pPr>
          </w:p>
        </w:tc>
      </w:tr>
      <w:tr w:rsidR="004C6421" w14:paraId="66244C4A" w14:textId="77777777">
        <w:trPr>
          <w:trHeight w:val="300"/>
        </w:trPr>
        <w:tc>
          <w:tcPr>
            <w:tcW w:w="132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3D9A88A" w14:textId="77777777" w:rsidR="004C6421" w:rsidRDefault="009D1962">
            <w:pPr>
              <w:pStyle w:val="P68B1DB1-Normal8"/>
              <w:jc w:val="center"/>
              <w:rPr>
                <w:noProof/>
              </w:rPr>
            </w:pPr>
            <w:r>
              <w:rPr>
                <w:noProof/>
              </w:rPr>
              <w:t>M1C1-137</w:t>
            </w:r>
          </w:p>
        </w:tc>
        <w:tc>
          <w:tcPr>
            <w:tcW w:w="27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0238137" w14:textId="77777777" w:rsidR="004C6421" w:rsidRDefault="009D1962">
            <w:pPr>
              <w:pStyle w:val="P68B1DB1-Normal8"/>
              <w:rPr>
                <w:noProof/>
              </w:rPr>
            </w:pPr>
            <w:r>
              <w:rPr>
                <w:noProof/>
              </w:rPr>
              <w:t>Inwestycje 1.6.4 – Cyfryzacja Ministerstwa Obrony</w:t>
            </w:r>
          </w:p>
        </w:tc>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D20CE9C" w14:textId="1D4251D2" w:rsidR="004C6421" w:rsidRDefault="00CC179E">
            <w:pPr>
              <w:pStyle w:val="P68B1DB1-Normal8"/>
              <w:jc w:val="center"/>
              <w:rPr>
                <w:noProof/>
              </w:rPr>
            </w:pPr>
            <w:r>
              <w:rPr>
                <w:noProof/>
              </w:rPr>
              <w:t>Milowy</w:t>
            </w:r>
          </w:p>
        </w:tc>
        <w:tc>
          <w:tcPr>
            <w:tcW w:w="40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EA2EFEB" w14:textId="77777777" w:rsidR="004C6421" w:rsidRDefault="009D1962">
            <w:pPr>
              <w:pStyle w:val="P68B1DB1-Normal8"/>
              <w:rPr>
                <w:noProof/>
              </w:rPr>
            </w:pPr>
            <w:r>
              <w:rPr>
                <w:noProof/>
              </w:rPr>
              <w:t>Ministerstwo Obrony – Komisowanie instytucjonalnych portali internetowych i intranetowych</w:t>
            </w:r>
          </w:p>
        </w:tc>
        <w:tc>
          <w:tcPr>
            <w:tcW w:w="236" w:type="dxa"/>
            <w:tcBorders>
              <w:top w:val="nil"/>
              <w:left w:val="single" w:sz="8" w:space="0" w:color="auto"/>
              <w:bottom w:val="nil"/>
              <w:right w:val="nil"/>
            </w:tcBorders>
            <w:vAlign w:val="center"/>
          </w:tcPr>
          <w:p w14:paraId="0BDADB86" w14:textId="77777777" w:rsidR="004C6421" w:rsidRDefault="004C6421">
            <w:pPr>
              <w:rPr>
                <w:noProof/>
              </w:rPr>
            </w:pPr>
          </w:p>
        </w:tc>
      </w:tr>
      <w:tr w:rsidR="004C6421" w14:paraId="1D3734C2" w14:textId="77777777">
        <w:trPr>
          <w:trHeight w:val="300"/>
        </w:trPr>
        <w:tc>
          <w:tcPr>
            <w:tcW w:w="132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98F9DF5" w14:textId="77777777" w:rsidR="004C6421" w:rsidRDefault="009D1962">
            <w:pPr>
              <w:pStyle w:val="P68B1DB1-Normal8"/>
              <w:jc w:val="center"/>
              <w:rPr>
                <w:noProof/>
              </w:rPr>
            </w:pPr>
            <w:r>
              <w:rPr>
                <w:noProof/>
              </w:rPr>
              <w:t>M1C1-138</w:t>
            </w:r>
          </w:p>
        </w:tc>
        <w:tc>
          <w:tcPr>
            <w:tcW w:w="27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5AB8923" w14:textId="77777777" w:rsidR="004C6421" w:rsidRDefault="009D1962">
            <w:pPr>
              <w:pStyle w:val="P68B1DB1-Normal8"/>
              <w:rPr>
                <w:noProof/>
              </w:rPr>
            </w:pPr>
            <w:r>
              <w:rPr>
                <w:noProof/>
              </w:rPr>
              <w:t>Inwestycje 1.6.4 – Cyfryzacja Ministerstwa Obrony</w:t>
            </w:r>
          </w:p>
        </w:tc>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0B8C1FC" w14:textId="77777777" w:rsidR="004C6421" w:rsidRDefault="009D1962">
            <w:pPr>
              <w:pStyle w:val="P68B1DB1-Normal8"/>
              <w:jc w:val="center"/>
              <w:rPr>
                <w:noProof/>
              </w:rPr>
            </w:pPr>
            <w:r>
              <w:rPr>
                <w:noProof/>
              </w:rPr>
              <w:t>Cel</w:t>
            </w:r>
          </w:p>
        </w:tc>
        <w:tc>
          <w:tcPr>
            <w:tcW w:w="40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AF691DA" w14:textId="77777777" w:rsidR="004C6421" w:rsidRDefault="009D1962">
            <w:pPr>
              <w:pStyle w:val="P68B1DB1-Normal8"/>
              <w:rPr>
                <w:noProof/>
              </w:rPr>
            </w:pPr>
            <w:r>
              <w:rPr>
                <w:noProof/>
              </w:rPr>
              <w:t>Ministerstwo Obrony – Migracja aplikacji o krytycznym znaczeniu niezwiązanych z misją do rozwiązania w zakresie pełnej ochrony informacji przez otwarcie infrastruktury (S.C.I.P.I.O.) T1</w:t>
            </w:r>
          </w:p>
        </w:tc>
        <w:tc>
          <w:tcPr>
            <w:tcW w:w="236" w:type="dxa"/>
            <w:tcBorders>
              <w:top w:val="nil"/>
              <w:left w:val="single" w:sz="8" w:space="0" w:color="auto"/>
              <w:bottom w:val="nil"/>
              <w:right w:val="nil"/>
            </w:tcBorders>
            <w:vAlign w:val="center"/>
          </w:tcPr>
          <w:p w14:paraId="00461F9B" w14:textId="77777777" w:rsidR="004C6421" w:rsidRDefault="004C6421">
            <w:pPr>
              <w:rPr>
                <w:noProof/>
              </w:rPr>
            </w:pPr>
          </w:p>
        </w:tc>
      </w:tr>
      <w:tr w:rsidR="004C6421" w14:paraId="56346AE8" w14:textId="77777777">
        <w:trPr>
          <w:trHeight w:val="300"/>
        </w:trPr>
        <w:tc>
          <w:tcPr>
            <w:tcW w:w="132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9EFB9D6" w14:textId="77777777" w:rsidR="004C6421" w:rsidRDefault="009D1962">
            <w:pPr>
              <w:pStyle w:val="P68B1DB1-Normal8"/>
              <w:jc w:val="center"/>
              <w:rPr>
                <w:noProof/>
              </w:rPr>
            </w:pPr>
            <w:r>
              <w:rPr>
                <w:noProof/>
              </w:rPr>
              <w:t>M1C2-29</w:t>
            </w:r>
          </w:p>
        </w:tc>
        <w:tc>
          <w:tcPr>
            <w:tcW w:w="27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CB93A48" w14:textId="77777777" w:rsidR="004C6421" w:rsidRDefault="009D1962">
            <w:pPr>
              <w:pStyle w:val="P68B1DB1-Normal8"/>
              <w:rPr>
                <w:noProof/>
              </w:rPr>
            </w:pPr>
            <w:r>
              <w:rPr>
                <w:noProof/>
              </w:rPr>
              <w:t>Inwestycje 5.2: Konkurencyjność i odporność łańcuchów dostaw</w:t>
            </w:r>
          </w:p>
        </w:tc>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8FDB971" w14:textId="77777777" w:rsidR="004C6421" w:rsidRDefault="009D1962">
            <w:pPr>
              <w:pStyle w:val="P68B1DB1-Normal8"/>
              <w:jc w:val="center"/>
              <w:rPr>
                <w:noProof/>
              </w:rPr>
            </w:pPr>
            <w:r>
              <w:rPr>
                <w:noProof/>
              </w:rPr>
              <w:t>Cel</w:t>
            </w:r>
          </w:p>
        </w:tc>
        <w:tc>
          <w:tcPr>
            <w:tcW w:w="40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8C0035D" w14:textId="77777777" w:rsidR="004C6421" w:rsidRDefault="009D1962">
            <w:pPr>
              <w:pStyle w:val="P68B1DB1-Normal8"/>
              <w:rPr>
                <w:noProof/>
              </w:rPr>
            </w:pPr>
            <w:r>
              <w:rPr>
                <w:noProof/>
              </w:rPr>
              <w:t>Zatwierdzone umowy rozwojowe</w:t>
            </w:r>
          </w:p>
        </w:tc>
        <w:tc>
          <w:tcPr>
            <w:tcW w:w="236" w:type="dxa"/>
            <w:tcBorders>
              <w:top w:val="nil"/>
              <w:left w:val="single" w:sz="8" w:space="0" w:color="auto"/>
              <w:bottom w:val="nil"/>
              <w:right w:val="nil"/>
            </w:tcBorders>
            <w:vAlign w:val="center"/>
          </w:tcPr>
          <w:p w14:paraId="194DBC10" w14:textId="77777777" w:rsidR="004C6421" w:rsidRDefault="004C6421">
            <w:pPr>
              <w:rPr>
                <w:noProof/>
              </w:rPr>
            </w:pPr>
          </w:p>
        </w:tc>
      </w:tr>
      <w:tr w:rsidR="004C6421" w14:paraId="4FC3580E" w14:textId="77777777">
        <w:trPr>
          <w:trHeight w:val="300"/>
        </w:trPr>
        <w:tc>
          <w:tcPr>
            <w:tcW w:w="132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3F62FDB" w14:textId="77777777" w:rsidR="004C6421" w:rsidRDefault="009D1962">
            <w:pPr>
              <w:pStyle w:val="P68B1DB1-Normal8"/>
              <w:jc w:val="center"/>
              <w:rPr>
                <w:noProof/>
              </w:rPr>
            </w:pPr>
            <w:r>
              <w:rPr>
                <w:noProof/>
              </w:rPr>
              <w:t>M2C1-15bis</w:t>
            </w:r>
          </w:p>
        </w:tc>
        <w:tc>
          <w:tcPr>
            <w:tcW w:w="27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696BBC7" w14:textId="77777777" w:rsidR="004C6421" w:rsidRDefault="009D1962">
            <w:pPr>
              <w:pStyle w:val="P68B1DB1-Normal8"/>
              <w:rPr>
                <w:noProof/>
              </w:rPr>
            </w:pPr>
            <w:r>
              <w:rPr>
                <w:noProof/>
              </w:rPr>
              <w:t>Reforma 1.2 Krajowy program gospodarowania odpadami:  Inwestycje 1.1 – Wdrażanie nowych zakładów gospodarki odpadami i modernizacja istniejących obiektów</w:t>
            </w:r>
          </w:p>
        </w:tc>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FAE8540" w14:textId="77777777" w:rsidR="004C6421" w:rsidRDefault="009D1962">
            <w:pPr>
              <w:pStyle w:val="P68B1DB1-Normal8"/>
              <w:jc w:val="center"/>
              <w:rPr>
                <w:noProof/>
              </w:rPr>
            </w:pPr>
            <w:r>
              <w:rPr>
                <w:noProof/>
              </w:rPr>
              <w:t>Cel</w:t>
            </w:r>
          </w:p>
        </w:tc>
        <w:tc>
          <w:tcPr>
            <w:tcW w:w="40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53ADEC9" w14:textId="77777777" w:rsidR="004C6421" w:rsidRDefault="009D1962">
            <w:pPr>
              <w:pStyle w:val="P68B1DB1-Normal8"/>
              <w:rPr>
                <w:noProof/>
              </w:rPr>
            </w:pPr>
            <w:r>
              <w:rPr>
                <w:noProof/>
              </w:rPr>
              <w:t>Zmniejszenie liczby nielegalnych składowisk (T2)</w:t>
            </w:r>
          </w:p>
        </w:tc>
        <w:tc>
          <w:tcPr>
            <w:tcW w:w="236" w:type="dxa"/>
            <w:tcBorders>
              <w:top w:val="nil"/>
              <w:left w:val="single" w:sz="8" w:space="0" w:color="auto"/>
              <w:bottom w:val="nil"/>
              <w:right w:val="nil"/>
            </w:tcBorders>
            <w:vAlign w:val="center"/>
          </w:tcPr>
          <w:p w14:paraId="7E81AC7E" w14:textId="77777777" w:rsidR="004C6421" w:rsidRDefault="004C6421">
            <w:pPr>
              <w:rPr>
                <w:noProof/>
              </w:rPr>
            </w:pPr>
          </w:p>
        </w:tc>
      </w:tr>
      <w:tr w:rsidR="004C6421" w14:paraId="41BD0988" w14:textId="77777777">
        <w:trPr>
          <w:trHeight w:val="300"/>
        </w:trPr>
        <w:tc>
          <w:tcPr>
            <w:tcW w:w="132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415FBB6" w14:textId="77777777" w:rsidR="004C6421" w:rsidRDefault="009D1962">
            <w:pPr>
              <w:pStyle w:val="P68B1DB1-Normal8"/>
              <w:jc w:val="center"/>
              <w:rPr>
                <w:noProof/>
              </w:rPr>
            </w:pPr>
            <w:r>
              <w:rPr>
                <w:noProof/>
              </w:rPr>
              <w:t>M2C1-15ter</w:t>
            </w:r>
          </w:p>
        </w:tc>
        <w:tc>
          <w:tcPr>
            <w:tcW w:w="27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A663ACD" w14:textId="77777777" w:rsidR="004C6421" w:rsidRDefault="009D1962">
            <w:pPr>
              <w:pStyle w:val="P68B1DB1-Normal8"/>
              <w:rPr>
                <w:noProof/>
              </w:rPr>
            </w:pPr>
            <w:r>
              <w:rPr>
                <w:noProof/>
              </w:rPr>
              <w:t>Reforma 1.2 Krajowy program gospodarowania odpadami:  Inwestycje 1.1 – Wdrażanie nowych zakładów gospodarki odpadami i modernizacja istniejących obiektów</w:t>
            </w:r>
          </w:p>
        </w:tc>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EEAA177" w14:textId="77777777" w:rsidR="004C6421" w:rsidRDefault="009D1962">
            <w:pPr>
              <w:pStyle w:val="P68B1DB1-Normal8"/>
              <w:jc w:val="center"/>
              <w:rPr>
                <w:noProof/>
              </w:rPr>
            </w:pPr>
            <w:r>
              <w:rPr>
                <w:noProof/>
              </w:rPr>
              <w:t>Cel</w:t>
            </w:r>
          </w:p>
        </w:tc>
        <w:tc>
          <w:tcPr>
            <w:tcW w:w="40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A4127A5" w14:textId="77777777" w:rsidR="004C6421" w:rsidRDefault="009D1962">
            <w:pPr>
              <w:pStyle w:val="P68B1DB1-Normal8"/>
              <w:rPr>
                <w:noProof/>
              </w:rPr>
            </w:pPr>
            <w:r>
              <w:rPr>
                <w:noProof/>
              </w:rPr>
              <w:t>Regionalne różnice w selektywnej zbiórce</w:t>
            </w:r>
          </w:p>
        </w:tc>
        <w:tc>
          <w:tcPr>
            <w:tcW w:w="236" w:type="dxa"/>
            <w:tcBorders>
              <w:top w:val="nil"/>
              <w:left w:val="single" w:sz="8" w:space="0" w:color="auto"/>
              <w:bottom w:val="nil"/>
              <w:right w:val="nil"/>
            </w:tcBorders>
            <w:vAlign w:val="center"/>
          </w:tcPr>
          <w:p w14:paraId="309AE7D8" w14:textId="77777777" w:rsidR="004C6421" w:rsidRDefault="004C6421">
            <w:pPr>
              <w:rPr>
                <w:noProof/>
              </w:rPr>
            </w:pPr>
          </w:p>
        </w:tc>
      </w:tr>
      <w:tr w:rsidR="004C6421" w14:paraId="2C2475FB" w14:textId="77777777">
        <w:trPr>
          <w:trHeight w:val="300"/>
        </w:trPr>
        <w:tc>
          <w:tcPr>
            <w:tcW w:w="132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C238BDD" w14:textId="77777777" w:rsidR="004C6421" w:rsidRDefault="009D1962">
            <w:pPr>
              <w:pStyle w:val="P68B1DB1-Normal8"/>
              <w:jc w:val="center"/>
              <w:rPr>
                <w:noProof/>
              </w:rPr>
            </w:pPr>
            <w:r>
              <w:rPr>
                <w:noProof/>
              </w:rPr>
              <w:t>M2C1-15 quater</w:t>
            </w:r>
          </w:p>
        </w:tc>
        <w:tc>
          <w:tcPr>
            <w:tcW w:w="27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AB94E83" w14:textId="77777777" w:rsidR="004C6421" w:rsidRDefault="009D1962">
            <w:pPr>
              <w:pStyle w:val="P68B1DB1-Normal8"/>
              <w:rPr>
                <w:noProof/>
              </w:rPr>
            </w:pPr>
            <w:r>
              <w:rPr>
                <w:noProof/>
              </w:rPr>
              <w:t>Inwestycje 1.1 – Wdrażanie nowych zakładów gospodarki odpadami i modernizacja istniejących obiektów</w:t>
            </w:r>
          </w:p>
        </w:tc>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205DE64" w14:textId="144997A5" w:rsidR="004C6421" w:rsidRDefault="00CC179E">
            <w:pPr>
              <w:pStyle w:val="P68B1DB1-Normal8"/>
              <w:jc w:val="center"/>
              <w:rPr>
                <w:noProof/>
              </w:rPr>
            </w:pPr>
            <w:r>
              <w:rPr>
                <w:noProof/>
              </w:rPr>
              <w:t>Milowy</w:t>
            </w:r>
          </w:p>
        </w:tc>
        <w:tc>
          <w:tcPr>
            <w:tcW w:w="40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6318442" w14:textId="77777777" w:rsidR="004C6421" w:rsidRDefault="009D1962">
            <w:pPr>
              <w:pStyle w:val="P68B1DB1-Normal8"/>
              <w:rPr>
                <w:noProof/>
              </w:rPr>
            </w:pPr>
            <w:r>
              <w:rPr>
                <w:noProof/>
              </w:rPr>
              <w:t>Wejście w życie obowiązku selektywnej zbiórki bioodpadów</w:t>
            </w:r>
          </w:p>
        </w:tc>
        <w:tc>
          <w:tcPr>
            <w:tcW w:w="236" w:type="dxa"/>
            <w:tcBorders>
              <w:top w:val="nil"/>
              <w:left w:val="single" w:sz="8" w:space="0" w:color="auto"/>
              <w:bottom w:val="nil"/>
              <w:right w:val="nil"/>
            </w:tcBorders>
            <w:vAlign w:val="center"/>
          </w:tcPr>
          <w:p w14:paraId="64ABC153" w14:textId="77777777" w:rsidR="004C6421" w:rsidRDefault="004C6421">
            <w:pPr>
              <w:rPr>
                <w:noProof/>
              </w:rPr>
            </w:pPr>
          </w:p>
        </w:tc>
      </w:tr>
      <w:tr w:rsidR="004C6421" w14:paraId="213BACF2" w14:textId="77777777">
        <w:trPr>
          <w:trHeight w:val="300"/>
        </w:trPr>
        <w:tc>
          <w:tcPr>
            <w:tcW w:w="132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DCED615" w14:textId="77777777" w:rsidR="004C6421" w:rsidRDefault="009D1962">
            <w:pPr>
              <w:pStyle w:val="P68B1DB1-Normal8"/>
              <w:jc w:val="center"/>
              <w:rPr>
                <w:noProof/>
              </w:rPr>
            </w:pPr>
            <w:r>
              <w:rPr>
                <w:noProof/>
              </w:rPr>
              <w:t>M2C2-24</w:t>
            </w:r>
          </w:p>
        </w:tc>
        <w:tc>
          <w:tcPr>
            <w:tcW w:w="27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2F7AA6F" w14:textId="77777777" w:rsidR="004C6421" w:rsidRDefault="009D1962">
            <w:pPr>
              <w:pStyle w:val="P68B1DB1-Normal8"/>
              <w:rPr>
                <w:noProof/>
              </w:rPr>
            </w:pPr>
            <w:r>
              <w:rPr>
                <w:noProof/>
              </w:rPr>
              <w:t xml:space="preserve">Inwestycja 4.2 Rozwój systemów szybkiego transportu masowego </w:t>
            </w:r>
          </w:p>
        </w:tc>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252571E" w14:textId="664B4AD0" w:rsidR="004C6421" w:rsidRDefault="00CC179E">
            <w:pPr>
              <w:pStyle w:val="P68B1DB1-Normal8"/>
              <w:rPr>
                <w:noProof/>
              </w:rPr>
            </w:pPr>
            <w:r>
              <w:rPr>
                <w:noProof/>
              </w:rPr>
              <w:t>Milowy</w:t>
            </w:r>
          </w:p>
        </w:tc>
        <w:tc>
          <w:tcPr>
            <w:tcW w:w="40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BE4D7DE" w14:textId="77777777" w:rsidR="004C6421" w:rsidRDefault="009D1962">
            <w:pPr>
              <w:pStyle w:val="P68B1DB1-Normal37"/>
              <w:rPr>
                <w:noProof/>
              </w:rPr>
            </w:pPr>
            <w:r>
              <w:rPr>
                <w:noProof/>
                <w:color w:val="006100"/>
              </w:rPr>
              <w:t>Udzielanie</w:t>
            </w:r>
            <w:r>
              <w:rPr>
                <w:noProof/>
                <w:color w:val="000000" w:themeColor="text1"/>
              </w:rPr>
              <w:t xml:space="preserve"> </w:t>
            </w:r>
            <w:r>
              <w:rPr>
                <w:noProof/>
                <w:color w:val="006100"/>
              </w:rPr>
              <w:t>wszystkich zamówień publicznych na rozbudowę metra, tramwajów, trolejbusów i obszarów metropolitalnych kolei linowych</w:t>
            </w:r>
          </w:p>
        </w:tc>
        <w:tc>
          <w:tcPr>
            <w:tcW w:w="236" w:type="dxa"/>
            <w:tcBorders>
              <w:top w:val="nil"/>
              <w:left w:val="single" w:sz="8" w:space="0" w:color="auto"/>
              <w:bottom w:val="nil"/>
              <w:right w:val="nil"/>
            </w:tcBorders>
            <w:vAlign w:val="center"/>
          </w:tcPr>
          <w:p w14:paraId="053A1B73" w14:textId="77777777" w:rsidR="004C6421" w:rsidRDefault="004C6421">
            <w:pPr>
              <w:rPr>
                <w:noProof/>
              </w:rPr>
            </w:pPr>
          </w:p>
        </w:tc>
      </w:tr>
      <w:tr w:rsidR="004C6421" w14:paraId="094908EB" w14:textId="77777777">
        <w:trPr>
          <w:trHeight w:val="300"/>
        </w:trPr>
        <w:tc>
          <w:tcPr>
            <w:tcW w:w="132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966932A" w14:textId="77777777" w:rsidR="004C6421" w:rsidRDefault="009D1962">
            <w:pPr>
              <w:pStyle w:val="P68B1DB1-Normal8"/>
              <w:jc w:val="center"/>
              <w:rPr>
                <w:noProof/>
              </w:rPr>
            </w:pPr>
            <w:r>
              <w:rPr>
                <w:noProof/>
              </w:rPr>
              <w:t>M2C2-32</w:t>
            </w:r>
          </w:p>
        </w:tc>
        <w:tc>
          <w:tcPr>
            <w:tcW w:w="27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F285E2B" w14:textId="77777777" w:rsidR="004C6421" w:rsidRDefault="009D1962">
            <w:pPr>
              <w:pStyle w:val="P68B1DB1-Normal8"/>
              <w:rPr>
                <w:noProof/>
              </w:rPr>
            </w:pPr>
            <w:r>
              <w:rPr>
                <w:noProof/>
              </w:rPr>
              <w:t>Inwestycja 4.4.1: Wzmocnienie floty autobusów transportu publicznego bezemisyjnymi niskopodłogowymi autobusami</w:t>
            </w:r>
          </w:p>
        </w:tc>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AB15C09" w14:textId="7181FE67" w:rsidR="004C6421" w:rsidRDefault="00CC179E">
            <w:pPr>
              <w:pStyle w:val="P68B1DB1-Normal8"/>
              <w:jc w:val="center"/>
              <w:rPr>
                <w:noProof/>
              </w:rPr>
            </w:pPr>
            <w:r>
              <w:rPr>
                <w:noProof/>
              </w:rPr>
              <w:t>Milowy</w:t>
            </w:r>
          </w:p>
        </w:tc>
        <w:tc>
          <w:tcPr>
            <w:tcW w:w="40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1247287" w14:textId="77777777" w:rsidR="004C6421" w:rsidRDefault="009D1962">
            <w:pPr>
              <w:pStyle w:val="P68B1DB1-Normal8"/>
              <w:rPr>
                <w:noProof/>
              </w:rPr>
            </w:pPr>
            <w:r>
              <w:rPr>
                <w:noProof/>
              </w:rPr>
              <w:t>Udzielanie wszystkich zamówień publicznych na wzmocnienie floty autobusów transportu publicznego bezemisyjnego niskopodłogowymi autobusami</w:t>
            </w:r>
          </w:p>
        </w:tc>
        <w:tc>
          <w:tcPr>
            <w:tcW w:w="236" w:type="dxa"/>
            <w:tcBorders>
              <w:top w:val="nil"/>
              <w:left w:val="single" w:sz="8" w:space="0" w:color="auto"/>
              <w:bottom w:val="nil"/>
              <w:right w:val="nil"/>
            </w:tcBorders>
            <w:vAlign w:val="center"/>
          </w:tcPr>
          <w:p w14:paraId="7E4A73CA" w14:textId="77777777" w:rsidR="004C6421" w:rsidRDefault="004C6421">
            <w:pPr>
              <w:rPr>
                <w:noProof/>
              </w:rPr>
            </w:pPr>
          </w:p>
        </w:tc>
      </w:tr>
      <w:tr w:rsidR="004C6421" w14:paraId="01F0E125" w14:textId="77777777">
        <w:trPr>
          <w:trHeight w:val="300"/>
        </w:trPr>
        <w:tc>
          <w:tcPr>
            <w:tcW w:w="132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1E7CEA6" w14:textId="77777777" w:rsidR="004C6421" w:rsidRDefault="009D1962">
            <w:pPr>
              <w:pStyle w:val="P68B1DB1-Normal8"/>
              <w:jc w:val="center"/>
              <w:rPr>
                <w:noProof/>
              </w:rPr>
            </w:pPr>
            <w:r>
              <w:rPr>
                <w:noProof/>
              </w:rPr>
              <w:t>M2C3-7</w:t>
            </w:r>
          </w:p>
        </w:tc>
        <w:tc>
          <w:tcPr>
            <w:tcW w:w="27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4EFA7BF" w14:textId="77777777" w:rsidR="004C6421" w:rsidRDefault="009D1962">
            <w:pPr>
              <w:pStyle w:val="P68B1DB1-Normal8"/>
              <w:rPr>
                <w:noProof/>
              </w:rPr>
            </w:pPr>
            <w:r>
              <w:rPr>
                <w:noProof/>
              </w:rPr>
              <w:t>Inwestycje 1.2 – Budowa budynków, przekwalifikowanie i wzmocnienie nieruchomości administracji wymiaru sprawiedliwości</w:t>
            </w:r>
          </w:p>
        </w:tc>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9032460" w14:textId="2309A464" w:rsidR="004C6421" w:rsidRDefault="00CC179E">
            <w:pPr>
              <w:pStyle w:val="P68B1DB1-Normal8"/>
              <w:jc w:val="center"/>
              <w:rPr>
                <w:noProof/>
              </w:rPr>
            </w:pPr>
            <w:r>
              <w:rPr>
                <w:noProof/>
              </w:rPr>
              <w:t>Milowy</w:t>
            </w:r>
          </w:p>
        </w:tc>
        <w:tc>
          <w:tcPr>
            <w:tcW w:w="40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897567C" w14:textId="77777777" w:rsidR="004C6421" w:rsidRDefault="009D1962">
            <w:pPr>
              <w:pStyle w:val="P68B1DB1-Normal8"/>
              <w:rPr>
                <w:noProof/>
              </w:rPr>
            </w:pPr>
            <w:r>
              <w:rPr>
                <w:noProof/>
              </w:rPr>
              <w:t>Udzielenie wszystkich zamówień publicznych na budowę nowych budynków, rekwalifikację i wzmocnienie nieruchomości organów wymiaru sprawiedliwości jest podpisywane przez instytucję zamawiającą po przeprowadzeniu postępowania o udzielenie zamówienia publicznego.</w:t>
            </w:r>
          </w:p>
        </w:tc>
        <w:tc>
          <w:tcPr>
            <w:tcW w:w="236" w:type="dxa"/>
            <w:tcBorders>
              <w:top w:val="nil"/>
              <w:left w:val="single" w:sz="8" w:space="0" w:color="auto"/>
              <w:bottom w:val="nil"/>
              <w:right w:val="nil"/>
            </w:tcBorders>
            <w:vAlign w:val="center"/>
          </w:tcPr>
          <w:p w14:paraId="70DDA431" w14:textId="77777777" w:rsidR="004C6421" w:rsidRDefault="004C6421">
            <w:pPr>
              <w:rPr>
                <w:noProof/>
              </w:rPr>
            </w:pPr>
          </w:p>
        </w:tc>
      </w:tr>
      <w:tr w:rsidR="004C6421" w14:paraId="532FC202" w14:textId="77777777">
        <w:trPr>
          <w:trHeight w:val="300"/>
        </w:trPr>
        <w:tc>
          <w:tcPr>
            <w:tcW w:w="132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0F9E6F1" w14:textId="77777777" w:rsidR="004C6421" w:rsidRDefault="009D1962">
            <w:pPr>
              <w:pStyle w:val="P68B1DB1-Normal8"/>
              <w:jc w:val="center"/>
              <w:rPr>
                <w:noProof/>
              </w:rPr>
            </w:pPr>
            <w:r>
              <w:rPr>
                <w:noProof/>
              </w:rPr>
              <w:t>M2C4-33</w:t>
            </w:r>
          </w:p>
        </w:tc>
        <w:tc>
          <w:tcPr>
            <w:tcW w:w="27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E1D5C41" w14:textId="77777777" w:rsidR="004C6421" w:rsidRDefault="009D1962">
            <w:pPr>
              <w:pStyle w:val="P68B1DB1-Normal8"/>
              <w:rPr>
                <w:noProof/>
              </w:rPr>
            </w:pPr>
            <w:r>
              <w:rPr>
                <w:noProof/>
              </w:rPr>
              <w:t>Inwestycje 4.3 Inwestycje w odporność agrosystemu nawadniania w celu lepszego gospodarowania zasobami wodnymi</w:t>
            </w:r>
          </w:p>
        </w:tc>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7691D01" w14:textId="43F44441" w:rsidR="004C6421" w:rsidRDefault="00CC179E">
            <w:pPr>
              <w:pStyle w:val="P68B1DB1-Normal8"/>
              <w:jc w:val="center"/>
              <w:rPr>
                <w:noProof/>
              </w:rPr>
            </w:pPr>
            <w:r>
              <w:rPr>
                <w:noProof/>
              </w:rPr>
              <w:t>Milowy</w:t>
            </w:r>
          </w:p>
        </w:tc>
        <w:tc>
          <w:tcPr>
            <w:tcW w:w="40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68A7EB7" w14:textId="77777777" w:rsidR="004C6421" w:rsidRDefault="009D1962">
            <w:pPr>
              <w:pStyle w:val="P68B1DB1-Normal8"/>
              <w:rPr>
                <w:noProof/>
              </w:rPr>
            </w:pPr>
            <w:r>
              <w:rPr>
                <w:noProof/>
              </w:rPr>
              <w:t>Przyznanie finansowania wszystkim projektom na rzecz odporności agrosystemu nawadniania na rzecz lepszego zarządzania zasobami wodnymi</w:t>
            </w:r>
          </w:p>
        </w:tc>
        <w:tc>
          <w:tcPr>
            <w:tcW w:w="236" w:type="dxa"/>
            <w:tcBorders>
              <w:top w:val="nil"/>
              <w:left w:val="single" w:sz="8" w:space="0" w:color="auto"/>
              <w:bottom w:val="nil"/>
              <w:right w:val="nil"/>
            </w:tcBorders>
            <w:vAlign w:val="center"/>
          </w:tcPr>
          <w:p w14:paraId="0A2BF3AC" w14:textId="77777777" w:rsidR="004C6421" w:rsidRDefault="004C6421">
            <w:pPr>
              <w:rPr>
                <w:noProof/>
              </w:rPr>
            </w:pPr>
          </w:p>
        </w:tc>
      </w:tr>
      <w:tr w:rsidR="004C6421" w14:paraId="1B35426F" w14:textId="77777777">
        <w:trPr>
          <w:trHeight w:val="300"/>
        </w:trPr>
        <w:tc>
          <w:tcPr>
            <w:tcW w:w="132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A32AD3A" w14:textId="77777777" w:rsidR="004C6421" w:rsidRDefault="009D1962">
            <w:pPr>
              <w:pStyle w:val="P68B1DB1-Normal8"/>
              <w:jc w:val="center"/>
              <w:rPr>
                <w:noProof/>
              </w:rPr>
            </w:pPr>
            <w:r>
              <w:rPr>
                <w:noProof/>
              </w:rPr>
              <w:t>M2C4-36</w:t>
            </w:r>
          </w:p>
        </w:tc>
        <w:tc>
          <w:tcPr>
            <w:tcW w:w="27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52C767E" w14:textId="77777777" w:rsidR="004C6421" w:rsidRDefault="009D1962">
            <w:pPr>
              <w:pStyle w:val="P68B1DB1-Normal8"/>
              <w:rPr>
                <w:noProof/>
              </w:rPr>
            </w:pPr>
            <w:r>
              <w:rPr>
                <w:noProof/>
              </w:rPr>
              <w:t>Inwestycja 4.4 Inwestycje w kanalizację i oczyszczanie</w:t>
            </w:r>
          </w:p>
        </w:tc>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5CA933F" w14:textId="0CEB46BC" w:rsidR="004C6421" w:rsidRDefault="00CC179E">
            <w:pPr>
              <w:pStyle w:val="P68B1DB1-Normal8"/>
              <w:jc w:val="center"/>
              <w:rPr>
                <w:noProof/>
              </w:rPr>
            </w:pPr>
            <w:r>
              <w:rPr>
                <w:noProof/>
              </w:rPr>
              <w:t>Milowy</w:t>
            </w:r>
          </w:p>
        </w:tc>
        <w:tc>
          <w:tcPr>
            <w:tcW w:w="40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77F98B3" w14:textId="77777777" w:rsidR="004C6421" w:rsidRDefault="009D1962">
            <w:pPr>
              <w:pStyle w:val="P68B1DB1-Normal8"/>
              <w:rPr>
                <w:noProof/>
              </w:rPr>
            </w:pPr>
            <w:r>
              <w:rPr>
                <w:noProof/>
              </w:rPr>
              <w:t>Udzielanie wszystkich zamówień publicznych na kanalizację i oczyszczanie</w:t>
            </w:r>
          </w:p>
        </w:tc>
        <w:tc>
          <w:tcPr>
            <w:tcW w:w="236" w:type="dxa"/>
            <w:tcBorders>
              <w:top w:val="nil"/>
              <w:left w:val="single" w:sz="8" w:space="0" w:color="auto"/>
              <w:bottom w:val="nil"/>
              <w:right w:val="nil"/>
            </w:tcBorders>
            <w:vAlign w:val="center"/>
          </w:tcPr>
          <w:p w14:paraId="0511E971" w14:textId="77777777" w:rsidR="004C6421" w:rsidRDefault="004C6421">
            <w:pPr>
              <w:rPr>
                <w:noProof/>
              </w:rPr>
            </w:pPr>
          </w:p>
        </w:tc>
      </w:tr>
      <w:tr w:rsidR="004C6421" w14:paraId="29C4A9EE" w14:textId="77777777">
        <w:trPr>
          <w:trHeight w:val="300"/>
        </w:trPr>
        <w:tc>
          <w:tcPr>
            <w:tcW w:w="132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5426082" w14:textId="77777777" w:rsidR="004C6421" w:rsidRDefault="009D1962">
            <w:pPr>
              <w:pStyle w:val="P68B1DB1-Normal8"/>
              <w:jc w:val="center"/>
              <w:rPr>
                <w:noProof/>
              </w:rPr>
            </w:pPr>
            <w:r>
              <w:rPr>
                <w:noProof/>
              </w:rPr>
              <w:t>M3C1-4</w:t>
            </w:r>
          </w:p>
        </w:tc>
        <w:tc>
          <w:tcPr>
            <w:tcW w:w="27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E7D404E" w14:textId="77777777" w:rsidR="004C6421" w:rsidRDefault="009D1962">
            <w:pPr>
              <w:pStyle w:val="P68B1DB1-Normal8"/>
              <w:rPr>
                <w:noProof/>
              </w:rPr>
            </w:pPr>
            <w:r>
              <w:rPr>
                <w:noProof/>
              </w:rPr>
              <w:t>Inwestycje 1.1 – Połączenia kolejowe dużych prędkości z Południem dla pasażerów i towarów</w:t>
            </w:r>
          </w:p>
        </w:tc>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618CB72" w14:textId="39055AF6" w:rsidR="004C6421" w:rsidRDefault="00CC179E">
            <w:pPr>
              <w:pStyle w:val="P68B1DB1-Normal8"/>
              <w:jc w:val="center"/>
              <w:rPr>
                <w:noProof/>
              </w:rPr>
            </w:pPr>
            <w:r>
              <w:rPr>
                <w:noProof/>
              </w:rPr>
              <w:t>Milowy</w:t>
            </w:r>
          </w:p>
        </w:tc>
        <w:tc>
          <w:tcPr>
            <w:tcW w:w="40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041CFD2" w14:textId="77777777" w:rsidR="004C6421" w:rsidRDefault="009D1962">
            <w:pPr>
              <w:pStyle w:val="P68B1DB1-Normal8"/>
              <w:rPr>
                <w:noProof/>
              </w:rPr>
            </w:pPr>
            <w:r>
              <w:rPr>
                <w:noProof/>
              </w:rPr>
              <w:t>Udzielenie zamówienia na budowę kolei dużych prędkości na liniach Salerno Reggio Calabria</w:t>
            </w:r>
          </w:p>
        </w:tc>
        <w:tc>
          <w:tcPr>
            <w:tcW w:w="236" w:type="dxa"/>
            <w:tcBorders>
              <w:top w:val="nil"/>
              <w:left w:val="single" w:sz="8" w:space="0" w:color="auto"/>
              <w:bottom w:val="nil"/>
              <w:right w:val="nil"/>
            </w:tcBorders>
            <w:vAlign w:val="center"/>
          </w:tcPr>
          <w:p w14:paraId="57CE8B59" w14:textId="77777777" w:rsidR="004C6421" w:rsidRDefault="004C6421">
            <w:pPr>
              <w:rPr>
                <w:noProof/>
              </w:rPr>
            </w:pPr>
          </w:p>
        </w:tc>
      </w:tr>
      <w:tr w:rsidR="004C6421" w14:paraId="7BD7A8EE" w14:textId="77777777">
        <w:trPr>
          <w:trHeight w:val="300"/>
        </w:trPr>
        <w:tc>
          <w:tcPr>
            <w:tcW w:w="132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8B7C5B5" w14:textId="77777777" w:rsidR="004C6421" w:rsidRDefault="009D1962">
            <w:pPr>
              <w:pStyle w:val="P68B1DB1-Normal8"/>
              <w:jc w:val="center"/>
              <w:rPr>
                <w:noProof/>
              </w:rPr>
            </w:pPr>
            <w:r>
              <w:rPr>
                <w:noProof/>
              </w:rPr>
              <w:t>M3C1-17</w:t>
            </w:r>
          </w:p>
        </w:tc>
        <w:tc>
          <w:tcPr>
            <w:tcW w:w="27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D289E13" w14:textId="77777777" w:rsidR="004C6421" w:rsidRDefault="009D1962">
            <w:pPr>
              <w:pStyle w:val="P68B1DB1-Normal8"/>
              <w:rPr>
                <w:noProof/>
              </w:rPr>
            </w:pPr>
            <w:r>
              <w:rPr>
                <w:noProof/>
              </w:rPr>
              <w:t>Inwestycje 1.7 – Modernizacja, elektryfikacja i odporność kolei na południu</w:t>
            </w:r>
          </w:p>
        </w:tc>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A451957" w14:textId="77777777" w:rsidR="004C6421" w:rsidRDefault="009D1962">
            <w:pPr>
              <w:pStyle w:val="P68B1DB1-Normal8"/>
              <w:jc w:val="center"/>
              <w:rPr>
                <w:noProof/>
              </w:rPr>
            </w:pPr>
            <w:r>
              <w:rPr>
                <w:noProof/>
              </w:rPr>
              <w:t xml:space="preserve">Cel </w:t>
            </w:r>
          </w:p>
        </w:tc>
        <w:tc>
          <w:tcPr>
            <w:tcW w:w="40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7EA01AA" w14:textId="77777777" w:rsidR="004C6421" w:rsidRDefault="009D1962">
            <w:pPr>
              <w:pStyle w:val="P68B1DB1-Normal8"/>
              <w:rPr>
                <w:noProof/>
              </w:rPr>
            </w:pPr>
            <w:r>
              <w:rPr>
                <w:noProof/>
              </w:rPr>
              <w:t>Zakończono 150 km robót związanych z modernizacją, elektryfikacją i odpornością kolei na południu, gotowych do fazy wydawania zezwoleń i eksploatacji.</w:t>
            </w:r>
          </w:p>
        </w:tc>
        <w:tc>
          <w:tcPr>
            <w:tcW w:w="236" w:type="dxa"/>
            <w:tcBorders>
              <w:top w:val="nil"/>
              <w:left w:val="single" w:sz="8" w:space="0" w:color="auto"/>
              <w:bottom w:val="nil"/>
              <w:right w:val="nil"/>
            </w:tcBorders>
            <w:vAlign w:val="center"/>
          </w:tcPr>
          <w:p w14:paraId="574E8F2D" w14:textId="77777777" w:rsidR="004C6421" w:rsidRDefault="004C6421">
            <w:pPr>
              <w:rPr>
                <w:noProof/>
              </w:rPr>
            </w:pPr>
          </w:p>
        </w:tc>
      </w:tr>
      <w:tr w:rsidR="004C6421" w14:paraId="37424867" w14:textId="77777777">
        <w:trPr>
          <w:trHeight w:val="300"/>
        </w:trPr>
        <w:tc>
          <w:tcPr>
            <w:tcW w:w="132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B78AEC5" w14:textId="77777777" w:rsidR="004C6421" w:rsidRDefault="009D1962">
            <w:pPr>
              <w:pStyle w:val="P68B1DB1-Normal8"/>
              <w:jc w:val="center"/>
              <w:rPr>
                <w:noProof/>
              </w:rPr>
            </w:pPr>
            <w:r>
              <w:rPr>
                <w:noProof/>
              </w:rPr>
              <w:t xml:space="preserve">M4C2-5 </w:t>
            </w:r>
          </w:p>
        </w:tc>
        <w:tc>
          <w:tcPr>
            <w:tcW w:w="27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FD57C3A" w14:textId="77777777" w:rsidR="004C6421" w:rsidRDefault="009D1962">
            <w:pPr>
              <w:pStyle w:val="P68B1DB1-Normal8"/>
              <w:rPr>
                <w:noProof/>
              </w:rPr>
            </w:pPr>
            <w:r>
              <w:rPr>
                <w:noProof/>
              </w:rPr>
              <w:t xml:space="preserve">Inwestycje 1.1: Projekty badawcze o istotnym znaczeniu narodowym (PRIN) </w:t>
            </w:r>
          </w:p>
        </w:tc>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C0BB3E8" w14:textId="77777777" w:rsidR="004C6421" w:rsidRDefault="009D1962">
            <w:pPr>
              <w:pStyle w:val="P68B1DB1-Normal8"/>
              <w:jc w:val="center"/>
              <w:rPr>
                <w:noProof/>
              </w:rPr>
            </w:pPr>
            <w:r>
              <w:rPr>
                <w:noProof/>
              </w:rPr>
              <w:t>Cel</w:t>
            </w:r>
          </w:p>
        </w:tc>
        <w:tc>
          <w:tcPr>
            <w:tcW w:w="40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801A86B" w14:textId="77777777" w:rsidR="004C6421" w:rsidRDefault="009D1962">
            <w:pPr>
              <w:pStyle w:val="P68B1DB1-Normal8"/>
              <w:rPr>
                <w:noProof/>
              </w:rPr>
            </w:pPr>
            <w:r>
              <w:rPr>
                <w:noProof/>
              </w:rPr>
              <w:t xml:space="preserve">Liczba projektów badawczych, na które udzielono dotacji </w:t>
            </w:r>
          </w:p>
        </w:tc>
        <w:tc>
          <w:tcPr>
            <w:tcW w:w="236" w:type="dxa"/>
            <w:tcBorders>
              <w:top w:val="nil"/>
              <w:left w:val="single" w:sz="8" w:space="0" w:color="auto"/>
              <w:bottom w:val="nil"/>
              <w:right w:val="nil"/>
            </w:tcBorders>
            <w:vAlign w:val="center"/>
          </w:tcPr>
          <w:p w14:paraId="62A6E23E" w14:textId="77777777" w:rsidR="004C6421" w:rsidRDefault="004C6421">
            <w:pPr>
              <w:rPr>
                <w:noProof/>
              </w:rPr>
            </w:pPr>
          </w:p>
        </w:tc>
      </w:tr>
      <w:tr w:rsidR="004C6421" w14:paraId="53244406" w14:textId="77777777">
        <w:trPr>
          <w:trHeight w:val="300"/>
        </w:trPr>
        <w:tc>
          <w:tcPr>
            <w:tcW w:w="132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4E07622" w14:textId="77777777" w:rsidR="004C6421" w:rsidRDefault="009D1962">
            <w:pPr>
              <w:pStyle w:val="P68B1DB1-Normal8"/>
              <w:jc w:val="center"/>
              <w:rPr>
                <w:noProof/>
              </w:rPr>
            </w:pPr>
            <w:r>
              <w:rPr>
                <w:noProof/>
              </w:rPr>
              <w:t>M6C1-8</w:t>
            </w:r>
          </w:p>
        </w:tc>
        <w:tc>
          <w:tcPr>
            <w:tcW w:w="27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2209A3E" w14:textId="77777777" w:rsidR="004C6421" w:rsidRDefault="009D1962">
            <w:pPr>
              <w:pStyle w:val="P68B1DB1-Normal8"/>
              <w:rPr>
                <w:noProof/>
              </w:rPr>
            </w:pPr>
            <w:r>
              <w:rPr>
                <w:noProof/>
              </w:rPr>
              <w:t>Inwestycje 1.2: Dom jako pierwsze miejsce opieki i telemedycyny</w:t>
            </w:r>
          </w:p>
        </w:tc>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7CA1697" w14:textId="77777777" w:rsidR="004C6421" w:rsidRDefault="009D1962">
            <w:pPr>
              <w:pStyle w:val="P68B1DB1-Normal8"/>
              <w:jc w:val="center"/>
              <w:rPr>
                <w:noProof/>
              </w:rPr>
            </w:pPr>
            <w:r>
              <w:rPr>
                <w:noProof/>
              </w:rPr>
              <w:t>Cel</w:t>
            </w:r>
          </w:p>
        </w:tc>
        <w:tc>
          <w:tcPr>
            <w:tcW w:w="40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ED15F13" w14:textId="77777777" w:rsidR="004C6421" w:rsidRDefault="009D1962">
            <w:pPr>
              <w:pStyle w:val="P68B1DB1-Normal8"/>
              <w:rPr>
                <w:noProof/>
              </w:rPr>
            </w:pPr>
            <w:r>
              <w:rPr>
                <w:noProof/>
              </w:rPr>
              <w:t>Co najmniej jeden projekt telemedyczny przypisany do każdego regionu (z uwzględnieniem zarówno projektów, które będą realizowane w danym regionie, jak i projektów, które mogą być realizowane w ramach konsorcjów między regionami)</w:t>
            </w:r>
          </w:p>
        </w:tc>
        <w:tc>
          <w:tcPr>
            <w:tcW w:w="236" w:type="dxa"/>
            <w:tcBorders>
              <w:top w:val="nil"/>
              <w:left w:val="single" w:sz="8" w:space="0" w:color="auto"/>
              <w:bottom w:val="nil"/>
              <w:right w:val="nil"/>
            </w:tcBorders>
            <w:vAlign w:val="center"/>
          </w:tcPr>
          <w:p w14:paraId="11390292" w14:textId="77777777" w:rsidR="004C6421" w:rsidRDefault="004C6421">
            <w:pPr>
              <w:rPr>
                <w:noProof/>
              </w:rPr>
            </w:pPr>
          </w:p>
        </w:tc>
      </w:tr>
      <w:tr w:rsidR="004C6421" w14:paraId="7567BD74" w14:textId="77777777">
        <w:trPr>
          <w:trHeight w:val="300"/>
        </w:trPr>
        <w:tc>
          <w:tcPr>
            <w:tcW w:w="132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315281BB" w14:textId="77777777" w:rsidR="004C6421" w:rsidRDefault="009D1962">
            <w:pPr>
              <w:pStyle w:val="P68B1DB1-Normal8"/>
              <w:jc w:val="center"/>
              <w:rPr>
                <w:noProof/>
              </w:rPr>
            </w:pPr>
            <w:r>
              <w:rPr>
                <w:noProof/>
              </w:rPr>
              <w:t xml:space="preserve"> </w:t>
            </w:r>
          </w:p>
        </w:tc>
        <w:tc>
          <w:tcPr>
            <w:tcW w:w="27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4547BDD2" w14:textId="77777777" w:rsidR="004C6421" w:rsidRDefault="009D1962">
            <w:pPr>
              <w:pStyle w:val="P68B1DB1-Normal8"/>
              <w:rPr>
                <w:noProof/>
              </w:rPr>
            </w:pPr>
            <w:r>
              <w:rPr>
                <w:noProof/>
              </w:rPr>
              <w:t xml:space="preserve"> </w:t>
            </w:r>
          </w:p>
        </w:tc>
        <w:tc>
          <w:tcPr>
            <w:tcW w:w="120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6C4A07CA" w14:textId="77777777" w:rsidR="004C6421" w:rsidRDefault="009D1962">
            <w:pPr>
              <w:pStyle w:val="P68B1DB1-Normal8"/>
              <w:rPr>
                <w:noProof/>
              </w:rPr>
            </w:pPr>
            <w:r>
              <w:rPr>
                <w:noProof/>
              </w:rPr>
              <w:t>Kwota transzy</w:t>
            </w:r>
          </w:p>
        </w:tc>
        <w:tc>
          <w:tcPr>
            <w:tcW w:w="406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6F19BCCD" w14:textId="0EBCE956" w:rsidR="004C6421" w:rsidRDefault="009D1962">
            <w:pPr>
              <w:rPr>
                <w:noProof/>
              </w:rPr>
            </w:pPr>
            <w:r>
              <w:rPr>
                <w:noProof/>
                <w:color w:val="006100"/>
                <w:sz w:val="20"/>
              </w:rPr>
              <w:t>9030593086 EUR</w:t>
            </w:r>
            <w:r>
              <w:rPr>
                <w:noProof/>
                <w:sz w:val="23"/>
              </w:rPr>
              <w:t xml:space="preserve">  </w:t>
            </w:r>
          </w:p>
        </w:tc>
        <w:tc>
          <w:tcPr>
            <w:tcW w:w="236" w:type="dxa"/>
            <w:tcBorders>
              <w:top w:val="nil"/>
              <w:left w:val="single" w:sz="8" w:space="0" w:color="auto"/>
              <w:bottom w:val="nil"/>
              <w:right w:val="nil"/>
            </w:tcBorders>
            <w:vAlign w:val="center"/>
          </w:tcPr>
          <w:p w14:paraId="496CFE61" w14:textId="77777777" w:rsidR="004C6421" w:rsidRDefault="004C6421">
            <w:pPr>
              <w:rPr>
                <w:noProof/>
              </w:rPr>
            </w:pPr>
          </w:p>
        </w:tc>
      </w:tr>
    </w:tbl>
    <w:p w14:paraId="374F397C" w14:textId="77777777" w:rsidR="004C6421" w:rsidRDefault="004C6421">
      <w:pPr>
        <w:pStyle w:val="ListParagraph"/>
        <w:spacing w:before="0" w:after="0" w:line="279" w:lineRule="auto"/>
        <w:ind w:left="850"/>
        <w:rPr>
          <w:noProof/>
        </w:rPr>
      </w:pPr>
    </w:p>
    <w:p w14:paraId="27DC12C3" w14:textId="5D419071" w:rsidR="004C6421" w:rsidRDefault="009D1962">
      <w:pPr>
        <w:pStyle w:val="ListParagraph"/>
        <w:numPr>
          <w:ilvl w:val="1"/>
          <w:numId w:val="145"/>
        </w:numPr>
        <w:spacing w:before="0" w:after="0" w:line="279" w:lineRule="auto"/>
        <w:ind w:left="850" w:hanging="850"/>
        <w:rPr>
          <w:noProof/>
        </w:rPr>
      </w:pPr>
      <w:r>
        <w:rPr>
          <w:noProof/>
        </w:rPr>
        <w:t>Szósta transza (wsparcie pożyczkowe):</w:t>
      </w:r>
    </w:p>
    <w:tbl>
      <w:tblPr>
        <w:tblW w:w="9594" w:type="dxa"/>
        <w:tblInd w:w="120" w:type="dxa"/>
        <w:tblLayout w:type="fixed"/>
        <w:tblLook w:val="04A0" w:firstRow="1" w:lastRow="0" w:firstColumn="1" w:lastColumn="0" w:noHBand="0" w:noVBand="1"/>
      </w:tblPr>
      <w:tblGrid>
        <w:gridCol w:w="1155"/>
        <w:gridCol w:w="4209"/>
        <w:gridCol w:w="1110"/>
        <w:gridCol w:w="2884"/>
        <w:gridCol w:w="236"/>
      </w:tblGrid>
      <w:tr w:rsidR="004C6421" w14:paraId="081278F2" w14:textId="77777777">
        <w:trPr>
          <w:trHeight w:val="900"/>
          <w:tblHeader/>
        </w:trPr>
        <w:tc>
          <w:tcPr>
            <w:tcW w:w="1155" w:type="dxa"/>
            <w:vMerge w:val="restart"/>
            <w:tcBorders>
              <w:top w:val="single" w:sz="4" w:space="0" w:color="auto"/>
              <w:left w:val="single" w:sz="4" w:space="0" w:color="auto"/>
              <w:bottom w:val="single" w:sz="4" w:space="0" w:color="auto"/>
              <w:right w:val="single" w:sz="8" w:space="0" w:color="auto"/>
            </w:tcBorders>
            <w:shd w:val="clear" w:color="auto" w:fill="BDD7EE"/>
            <w:tcMar>
              <w:left w:w="108" w:type="dxa"/>
              <w:right w:w="108" w:type="dxa"/>
            </w:tcMar>
            <w:vAlign w:val="center"/>
          </w:tcPr>
          <w:p w14:paraId="40C893FD" w14:textId="77777777" w:rsidR="004C6421" w:rsidRDefault="009D1962">
            <w:pPr>
              <w:pStyle w:val="P68B1DB1-Normal36"/>
              <w:jc w:val="center"/>
              <w:rPr>
                <w:noProof/>
              </w:rPr>
            </w:pPr>
            <w:r>
              <w:rPr>
                <w:noProof/>
              </w:rPr>
              <w:t>Numer porządkowy</w:t>
            </w:r>
          </w:p>
        </w:tc>
        <w:tc>
          <w:tcPr>
            <w:tcW w:w="4209" w:type="dxa"/>
            <w:vMerge w:val="restart"/>
            <w:tcBorders>
              <w:top w:val="single" w:sz="4" w:space="0" w:color="auto"/>
              <w:left w:val="single" w:sz="8" w:space="0" w:color="auto"/>
              <w:bottom w:val="single" w:sz="4" w:space="0" w:color="auto"/>
              <w:right w:val="single" w:sz="8" w:space="0" w:color="auto"/>
            </w:tcBorders>
            <w:shd w:val="clear" w:color="auto" w:fill="BDD7EE"/>
            <w:tcMar>
              <w:left w:w="108" w:type="dxa"/>
              <w:right w:w="108" w:type="dxa"/>
            </w:tcMar>
            <w:vAlign w:val="center"/>
          </w:tcPr>
          <w:p w14:paraId="69E21FE2" w14:textId="77777777" w:rsidR="004C6421" w:rsidRDefault="009D1962">
            <w:pPr>
              <w:pStyle w:val="P68B1DB1-Normal36"/>
              <w:jc w:val="center"/>
              <w:rPr>
                <w:noProof/>
              </w:rPr>
            </w:pPr>
            <w:r>
              <w:rPr>
                <w:noProof/>
              </w:rPr>
              <w:t>Powiązane działanie (reforma lub inwestycja)</w:t>
            </w:r>
          </w:p>
        </w:tc>
        <w:tc>
          <w:tcPr>
            <w:tcW w:w="1110" w:type="dxa"/>
            <w:vMerge w:val="restart"/>
            <w:tcBorders>
              <w:top w:val="single" w:sz="4" w:space="0" w:color="auto"/>
              <w:left w:val="single" w:sz="8" w:space="0" w:color="auto"/>
              <w:bottom w:val="single" w:sz="4" w:space="0" w:color="auto"/>
              <w:right w:val="single" w:sz="8" w:space="0" w:color="auto"/>
            </w:tcBorders>
            <w:shd w:val="clear" w:color="auto" w:fill="BDD7EE"/>
            <w:tcMar>
              <w:left w:w="108" w:type="dxa"/>
              <w:right w:w="108" w:type="dxa"/>
            </w:tcMar>
            <w:vAlign w:val="center"/>
          </w:tcPr>
          <w:p w14:paraId="22EE0C2D" w14:textId="77777777" w:rsidR="004C6421" w:rsidRDefault="009D1962">
            <w:pPr>
              <w:pStyle w:val="P68B1DB1-Normal36"/>
              <w:jc w:val="center"/>
              <w:rPr>
                <w:noProof/>
              </w:rPr>
            </w:pPr>
            <w:r>
              <w:rPr>
                <w:noProof/>
              </w:rPr>
              <w:t>Kamień milowy/wartość docelowa</w:t>
            </w:r>
          </w:p>
        </w:tc>
        <w:tc>
          <w:tcPr>
            <w:tcW w:w="2884" w:type="dxa"/>
            <w:vMerge w:val="restart"/>
            <w:tcBorders>
              <w:top w:val="single" w:sz="4" w:space="0" w:color="auto"/>
              <w:left w:val="single" w:sz="8" w:space="0" w:color="auto"/>
              <w:bottom w:val="single" w:sz="4" w:space="0" w:color="auto"/>
              <w:right w:val="single" w:sz="4" w:space="0" w:color="auto"/>
            </w:tcBorders>
            <w:shd w:val="clear" w:color="auto" w:fill="BDD7EE"/>
            <w:tcMar>
              <w:left w:w="108" w:type="dxa"/>
              <w:right w:w="108" w:type="dxa"/>
            </w:tcMar>
            <w:vAlign w:val="center"/>
          </w:tcPr>
          <w:p w14:paraId="2155E37B" w14:textId="77777777" w:rsidR="004C6421" w:rsidRDefault="009D1962">
            <w:pPr>
              <w:pStyle w:val="P68B1DB1-Normal36"/>
              <w:jc w:val="center"/>
              <w:rPr>
                <w:noProof/>
              </w:rPr>
            </w:pPr>
            <w:r>
              <w:rPr>
                <w:noProof/>
              </w:rPr>
              <w:t>Nazwa</w:t>
            </w:r>
          </w:p>
        </w:tc>
        <w:tc>
          <w:tcPr>
            <w:tcW w:w="236" w:type="dxa"/>
            <w:tcBorders>
              <w:top w:val="nil"/>
              <w:left w:val="single" w:sz="4" w:space="0" w:color="auto"/>
              <w:bottom w:val="nil"/>
              <w:right w:val="nil"/>
            </w:tcBorders>
            <w:vAlign w:val="center"/>
          </w:tcPr>
          <w:p w14:paraId="7704A3F2" w14:textId="77777777" w:rsidR="004C6421" w:rsidRDefault="004C6421">
            <w:pPr>
              <w:rPr>
                <w:noProof/>
              </w:rPr>
            </w:pPr>
          </w:p>
        </w:tc>
      </w:tr>
      <w:tr w:rsidR="004C6421" w14:paraId="77B22F81" w14:textId="77777777">
        <w:trPr>
          <w:trHeight w:val="510"/>
        </w:trPr>
        <w:tc>
          <w:tcPr>
            <w:tcW w:w="1155" w:type="dxa"/>
            <w:vMerge/>
            <w:tcBorders>
              <w:top w:val="single" w:sz="8" w:space="0" w:color="auto"/>
              <w:left w:val="single" w:sz="4" w:space="0" w:color="auto"/>
              <w:bottom w:val="single" w:sz="4" w:space="0" w:color="auto"/>
              <w:right w:val="single" w:sz="8" w:space="0" w:color="auto"/>
            </w:tcBorders>
            <w:vAlign w:val="center"/>
          </w:tcPr>
          <w:p w14:paraId="47B6A378" w14:textId="77777777" w:rsidR="004C6421" w:rsidRDefault="004C6421">
            <w:pPr>
              <w:rPr>
                <w:noProof/>
              </w:rPr>
            </w:pPr>
          </w:p>
        </w:tc>
        <w:tc>
          <w:tcPr>
            <w:tcW w:w="4209" w:type="dxa"/>
            <w:vMerge/>
            <w:tcBorders>
              <w:top w:val="single" w:sz="8" w:space="0" w:color="auto"/>
              <w:left w:val="single" w:sz="8" w:space="0" w:color="auto"/>
              <w:bottom w:val="single" w:sz="4" w:space="0" w:color="auto"/>
              <w:right w:val="single" w:sz="8" w:space="0" w:color="auto"/>
            </w:tcBorders>
            <w:vAlign w:val="center"/>
          </w:tcPr>
          <w:p w14:paraId="44AA1E57" w14:textId="77777777" w:rsidR="004C6421" w:rsidRDefault="004C6421">
            <w:pPr>
              <w:rPr>
                <w:noProof/>
              </w:rPr>
            </w:pPr>
          </w:p>
        </w:tc>
        <w:tc>
          <w:tcPr>
            <w:tcW w:w="1110" w:type="dxa"/>
            <w:vMerge/>
            <w:tcBorders>
              <w:top w:val="single" w:sz="8" w:space="0" w:color="auto"/>
              <w:left w:val="single" w:sz="8" w:space="0" w:color="auto"/>
              <w:bottom w:val="single" w:sz="4" w:space="0" w:color="auto"/>
              <w:right w:val="single" w:sz="8" w:space="0" w:color="auto"/>
            </w:tcBorders>
            <w:vAlign w:val="center"/>
          </w:tcPr>
          <w:p w14:paraId="4D5AD116" w14:textId="77777777" w:rsidR="004C6421" w:rsidRDefault="004C6421">
            <w:pPr>
              <w:rPr>
                <w:noProof/>
              </w:rPr>
            </w:pPr>
          </w:p>
        </w:tc>
        <w:tc>
          <w:tcPr>
            <w:tcW w:w="2884" w:type="dxa"/>
            <w:vMerge/>
            <w:tcBorders>
              <w:top w:val="single" w:sz="8" w:space="0" w:color="auto"/>
              <w:left w:val="single" w:sz="8" w:space="0" w:color="auto"/>
              <w:bottom w:val="single" w:sz="4" w:space="0" w:color="auto"/>
              <w:right w:val="single" w:sz="4" w:space="0" w:color="auto"/>
            </w:tcBorders>
            <w:vAlign w:val="center"/>
          </w:tcPr>
          <w:p w14:paraId="30141EE5" w14:textId="77777777" w:rsidR="004C6421" w:rsidRDefault="004C6421">
            <w:pPr>
              <w:rPr>
                <w:noProof/>
              </w:rPr>
            </w:pPr>
          </w:p>
        </w:tc>
        <w:tc>
          <w:tcPr>
            <w:tcW w:w="236" w:type="dxa"/>
            <w:tcBorders>
              <w:top w:val="nil"/>
              <w:left w:val="single" w:sz="4" w:space="0" w:color="auto"/>
              <w:bottom w:val="nil"/>
              <w:right w:val="nil"/>
            </w:tcBorders>
            <w:vAlign w:val="center"/>
          </w:tcPr>
          <w:p w14:paraId="0EF2123C" w14:textId="77777777" w:rsidR="004C6421" w:rsidRDefault="004C6421">
            <w:pPr>
              <w:rPr>
                <w:noProof/>
              </w:rPr>
            </w:pPr>
          </w:p>
        </w:tc>
      </w:tr>
      <w:tr w:rsidR="004C6421" w14:paraId="4AA8B133" w14:textId="77777777">
        <w:trPr>
          <w:trHeight w:val="300"/>
        </w:trPr>
        <w:tc>
          <w:tcPr>
            <w:tcW w:w="1155"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9D57269" w14:textId="77777777" w:rsidR="004C6421" w:rsidRDefault="009D1962">
            <w:pPr>
              <w:pStyle w:val="P68B1DB1-Normal8"/>
              <w:jc w:val="center"/>
              <w:rPr>
                <w:noProof/>
              </w:rPr>
            </w:pPr>
            <w:r>
              <w:rPr>
                <w:noProof/>
              </w:rPr>
              <w:t>M3C1-10</w:t>
            </w:r>
          </w:p>
        </w:tc>
        <w:tc>
          <w:tcPr>
            <w:tcW w:w="4209"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C92D413" w14:textId="77777777" w:rsidR="004C6421" w:rsidRDefault="009D1962">
            <w:pPr>
              <w:pStyle w:val="P68B1DB1-Normal8"/>
              <w:rPr>
                <w:noProof/>
              </w:rPr>
            </w:pPr>
            <w:r>
              <w:rPr>
                <w:noProof/>
              </w:rPr>
              <w:t>Inwestycje 1.3 – Połączenia zasadnicze</w:t>
            </w:r>
          </w:p>
        </w:tc>
        <w:tc>
          <w:tcPr>
            <w:tcW w:w="1110"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7DEC402" w14:textId="1D7F5FD8" w:rsidR="004C6421" w:rsidRDefault="00CC179E">
            <w:pPr>
              <w:pStyle w:val="P68B1DB1-Normal8"/>
              <w:jc w:val="center"/>
              <w:rPr>
                <w:noProof/>
              </w:rPr>
            </w:pPr>
            <w:r>
              <w:rPr>
                <w:noProof/>
              </w:rPr>
              <w:t>Milowy</w:t>
            </w:r>
          </w:p>
        </w:tc>
        <w:tc>
          <w:tcPr>
            <w:tcW w:w="2884"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81231CF" w14:textId="77777777" w:rsidR="004C6421" w:rsidRDefault="009D1962">
            <w:pPr>
              <w:pStyle w:val="P68B1DB1-Normal8"/>
              <w:rPr>
                <w:noProof/>
              </w:rPr>
            </w:pPr>
            <w:r>
              <w:rPr>
                <w:noProof/>
              </w:rPr>
              <w:t>Udzielenie zamówienia na budowę połączeń na liniach Orte-Falconara i Taranto-Metaponto-Potenza-Battipaglia</w:t>
            </w:r>
          </w:p>
        </w:tc>
        <w:tc>
          <w:tcPr>
            <w:tcW w:w="236" w:type="dxa"/>
            <w:tcBorders>
              <w:top w:val="nil"/>
              <w:left w:val="single" w:sz="8" w:space="0" w:color="auto"/>
              <w:bottom w:val="nil"/>
              <w:right w:val="nil"/>
            </w:tcBorders>
            <w:vAlign w:val="center"/>
          </w:tcPr>
          <w:p w14:paraId="3D0D84B4" w14:textId="77777777" w:rsidR="004C6421" w:rsidRDefault="004C6421">
            <w:pPr>
              <w:rPr>
                <w:noProof/>
              </w:rPr>
            </w:pPr>
          </w:p>
        </w:tc>
      </w:tr>
      <w:tr w:rsidR="004C6421" w14:paraId="4400BF99" w14:textId="77777777">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4A2DA21" w14:textId="77777777" w:rsidR="004C6421" w:rsidRDefault="009D1962">
            <w:pPr>
              <w:pStyle w:val="P68B1DB1-Normal8"/>
              <w:jc w:val="center"/>
              <w:rPr>
                <w:noProof/>
              </w:rPr>
            </w:pPr>
            <w:r>
              <w:rPr>
                <w:noProof/>
              </w:rPr>
              <w:t>M7-35</w:t>
            </w:r>
          </w:p>
        </w:tc>
        <w:tc>
          <w:tcPr>
            <w:tcW w:w="420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696ED58" w14:textId="77777777" w:rsidR="004C6421" w:rsidRDefault="009D1962">
            <w:pPr>
              <w:pStyle w:val="P68B1DB1-Normal8"/>
              <w:rPr>
                <w:noProof/>
              </w:rPr>
            </w:pPr>
            <w:r>
              <w:rPr>
                <w:noProof/>
              </w:rPr>
              <w:t>Inwestycja 13: Adriatic Line Phase 1 (stacja kompresorowa Sulmona i gazociąg Sestino-Minerbio)</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71C1C23" w14:textId="3A8C9818" w:rsidR="004C6421" w:rsidRDefault="00CC179E">
            <w:pPr>
              <w:pStyle w:val="P68B1DB1-Normal8"/>
              <w:jc w:val="center"/>
              <w:rPr>
                <w:noProof/>
              </w:rPr>
            </w:pPr>
            <w:r>
              <w:rPr>
                <w:noProof/>
              </w:rPr>
              <w:t>Milowy</w:t>
            </w:r>
          </w:p>
        </w:tc>
        <w:tc>
          <w:tcPr>
            <w:tcW w:w="2884"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C705C61" w14:textId="77777777" w:rsidR="004C6421" w:rsidRDefault="009D1962">
            <w:pPr>
              <w:pStyle w:val="P68B1DB1-Normal8"/>
              <w:rPr>
                <w:noProof/>
              </w:rPr>
            </w:pPr>
            <w:r>
              <w:rPr>
                <w:noProof/>
              </w:rPr>
              <w:t>Przyjęcie i aktualizacja odpowiednich ocen oddziaływania na środowisko (VIncA)</w:t>
            </w:r>
          </w:p>
        </w:tc>
        <w:tc>
          <w:tcPr>
            <w:tcW w:w="236" w:type="dxa"/>
            <w:tcBorders>
              <w:top w:val="nil"/>
              <w:left w:val="single" w:sz="8" w:space="0" w:color="auto"/>
              <w:bottom w:val="nil"/>
              <w:right w:val="nil"/>
            </w:tcBorders>
            <w:vAlign w:val="center"/>
          </w:tcPr>
          <w:p w14:paraId="2D94E422" w14:textId="77777777" w:rsidR="004C6421" w:rsidRDefault="004C6421">
            <w:pPr>
              <w:rPr>
                <w:noProof/>
              </w:rPr>
            </w:pPr>
          </w:p>
        </w:tc>
      </w:tr>
      <w:tr w:rsidR="004C6421" w14:paraId="288D75A5" w14:textId="77777777">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BC322DA" w14:textId="77777777" w:rsidR="004C6421" w:rsidRDefault="009D1962">
            <w:pPr>
              <w:pStyle w:val="P68B1DB1-Normal8"/>
              <w:jc w:val="center"/>
              <w:rPr>
                <w:noProof/>
              </w:rPr>
            </w:pPr>
            <w:r>
              <w:rPr>
                <w:noProof/>
              </w:rPr>
              <w:t>M7–40</w:t>
            </w:r>
          </w:p>
        </w:tc>
        <w:tc>
          <w:tcPr>
            <w:tcW w:w="420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81CEFF8" w14:textId="77777777" w:rsidR="004C6421" w:rsidRDefault="009D1962">
            <w:pPr>
              <w:pStyle w:val="P68B1DB1-Normal8"/>
              <w:rPr>
                <w:noProof/>
              </w:rPr>
            </w:pPr>
            <w:r>
              <w:rPr>
                <w:noProof/>
              </w:rPr>
              <w:t>Inwestycja 15: Transizione 5,0 Zielony</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92ED0CA" w14:textId="3EB39428" w:rsidR="004C6421" w:rsidRDefault="00CC179E">
            <w:pPr>
              <w:pStyle w:val="P68B1DB1-Normal8"/>
              <w:jc w:val="center"/>
              <w:rPr>
                <w:noProof/>
              </w:rPr>
            </w:pPr>
            <w:r>
              <w:rPr>
                <w:noProof/>
              </w:rPr>
              <w:t>Milowy</w:t>
            </w:r>
          </w:p>
        </w:tc>
        <w:tc>
          <w:tcPr>
            <w:tcW w:w="2884"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40CAB1A" w14:textId="77777777" w:rsidR="004C6421" w:rsidRDefault="009D1962">
            <w:pPr>
              <w:pStyle w:val="P68B1DB1-Normal8"/>
              <w:rPr>
                <w:noProof/>
              </w:rPr>
            </w:pPr>
            <w:r>
              <w:rPr>
                <w:noProof/>
              </w:rPr>
              <w:t>Wejście w życie aktu prawnego ustanawiającego kryteria kwalifikujących się interwencji</w:t>
            </w:r>
          </w:p>
        </w:tc>
        <w:tc>
          <w:tcPr>
            <w:tcW w:w="236" w:type="dxa"/>
            <w:tcBorders>
              <w:top w:val="nil"/>
              <w:left w:val="single" w:sz="8" w:space="0" w:color="auto"/>
              <w:bottom w:val="nil"/>
              <w:right w:val="nil"/>
            </w:tcBorders>
            <w:vAlign w:val="center"/>
          </w:tcPr>
          <w:p w14:paraId="150CD67F" w14:textId="77777777" w:rsidR="004C6421" w:rsidRDefault="004C6421">
            <w:pPr>
              <w:rPr>
                <w:noProof/>
              </w:rPr>
            </w:pPr>
          </w:p>
        </w:tc>
      </w:tr>
      <w:tr w:rsidR="004C6421" w14:paraId="63B8B064" w14:textId="77777777">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5E6F48F" w14:textId="77777777" w:rsidR="004C6421" w:rsidRDefault="009D1962">
            <w:pPr>
              <w:pStyle w:val="P68B1DB1-Normal8"/>
              <w:jc w:val="center"/>
              <w:rPr>
                <w:noProof/>
              </w:rPr>
            </w:pPr>
            <w:r>
              <w:rPr>
                <w:noProof/>
              </w:rPr>
              <w:t>M2C1-15</w:t>
            </w:r>
          </w:p>
        </w:tc>
        <w:tc>
          <w:tcPr>
            <w:tcW w:w="420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84105F1" w14:textId="77777777" w:rsidR="004C6421" w:rsidRDefault="009D1962">
            <w:pPr>
              <w:pStyle w:val="P68B1DB1-Normal8"/>
              <w:rPr>
                <w:noProof/>
              </w:rPr>
            </w:pPr>
            <w:r>
              <w:rPr>
                <w:noProof/>
              </w:rPr>
              <w:t>Reforma 1.2 Krajowy program gospodarowania odpadami</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18DA8EC" w14:textId="77777777" w:rsidR="004C6421" w:rsidRDefault="009D1962">
            <w:pPr>
              <w:pStyle w:val="P68B1DB1-Normal8"/>
              <w:jc w:val="center"/>
              <w:rPr>
                <w:noProof/>
              </w:rPr>
            </w:pPr>
            <w:r>
              <w:rPr>
                <w:noProof/>
              </w:rPr>
              <w:t>Cel</w:t>
            </w:r>
          </w:p>
        </w:tc>
        <w:tc>
          <w:tcPr>
            <w:tcW w:w="2884"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2962C52" w14:textId="77777777" w:rsidR="004C6421" w:rsidRDefault="009D1962">
            <w:pPr>
              <w:pStyle w:val="P68B1DB1-Normal8"/>
              <w:rPr>
                <w:noProof/>
              </w:rPr>
            </w:pPr>
            <w:r>
              <w:rPr>
                <w:noProof/>
              </w:rPr>
              <w:t xml:space="preserve">Zmniejszenie liczby nielegalnych składowisk (T1)  </w:t>
            </w:r>
          </w:p>
        </w:tc>
        <w:tc>
          <w:tcPr>
            <w:tcW w:w="236" w:type="dxa"/>
            <w:tcBorders>
              <w:top w:val="nil"/>
              <w:left w:val="single" w:sz="8" w:space="0" w:color="auto"/>
              <w:bottom w:val="nil"/>
              <w:right w:val="nil"/>
            </w:tcBorders>
            <w:vAlign w:val="center"/>
          </w:tcPr>
          <w:p w14:paraId="562EFD4F" w14:textId="77777777" w:rsidR="004C6421" w:rsidRDefault="004C6421">
            <w:pPr>
              <w:rPr>
                <w:noProof/>
              </w:rPr>
            </w:pPr>
          </w:p>
        </w:tc>
      </w:tr>
      <w:tr w:rsidR="004C6421" w14:paraId="18A7521D" w14:textId="77777777">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F53E45D" w14:textId="77777777" w:rsidR="004C6421" w:rsidRDefault="009D1962">
            <w:pPr>
              <w:pStyle w:val="P68B1DB1-Normal8"/>
              <w:jc w:val="center"/>
              <w:rPr>
                <w:noProof/>
              </w:rPr>
            </w:pPr>
            <w:r>
              <w:rPr>
                <w:noProof/>
              </w:rPr>
              <w:t>M2C1-16bis</w:t>
            </w:r>
          </w:p>
        </w:tc>
        <w:tc>
          <w:tcPr>
            <w:tcW w:w="420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06C9D2E" w14:textId="0CA6D459" w:rsidR="004C6421" w:rsidRDefault="009D1962">
            <w:pPr>
              <w:pStyle w:val="P68B1DB1-Normal8"/>
              <w:rPr>
                <w:noProof/>
              </w:rPr>
            </w:pPr>
            <w:r>
              <w:rPr>
                <w:noProof/>
              </w:rPr>
              <w:t>Reforma 1.2 Krajowy program gospodarowania odpadami</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1D69593" w14:textId="77777777" w:rsidR="004C6421" w:rsidRDefault="009D1962">
            <w:pPr>
              <w:pStyle w:val="P68B1DB1-Normal8"/>
              <w:jc w:val="center"/>
              <w:rPr>
                <w:noProof/>
              </w:rPr>
            </w:pPr>
            <w:r>
              <w:rPr>
                <w:noProof/>
              </w:rPr>
              <w:t>Cel</w:t>
            </w:r>
          </w:p>
        </w:tc>
        <w:tc>
          <w:tcPr>
            <w:tcW w:w="2884"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034F428" w14:textId="77777777" w:rsidR="004C6421" w:rsidRDefault="009D1962">
            <w:pPr>
              <w:pStyle w:val="P68B1DB1-Normal8"/>
              <w:rPr>
                <w:noProof/>
              </w:rPr>
            </w:pPr>
            <w:r>
              <w:rPr>
                <w:noProof/>
              </w:rPr>
              <w:t>Nielegalne składowiska odpadów</w:t>
            </w:r>
          </w:p>
        </w:tc>
        <w:tc>
          <w:tcPr>
            <w:tcW w:w="236" w:type="dxa"/>
            <w:tcBorders>
              <w:top w:val="nil"/>
              <w:left w:val="single" w:sz="8" w:space="0" w:color="auto"/>
              <w:bottom w:val="nil"/>
              <w:right w:val="nil"/>
            </w:tcBorders>
            <w:vAlign w:val="center"/>
          </w:tcPr>
          <w:p w14:paraId="5A876E82" w14:textId="77777777" w:rsidR="004C6421" w:rsidRDefault="004C6421">
            <w:pPr>
              <w:rPr>
                <w:noProof/>
              </w:rPr>
            </w:pPr>
          </w:p>
        </w:tc>
      </w:tr>
      <w:tr w:rsidR="004C6421" w14:paraId="3E9ABB6D" w14:textId="77777777">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605D0B0" w14:textId="77777777" w:rsidR="004C6421" w:rsidRDefault="009D1962">
            <w:pPr>
              <w:pStyle w:val="P68B1DB1-Normal8"/>
              <w:jc w:val="center"/>
              <w:rPr>
                <w:noProof/>
              </w:rPr>
            </w:pPr>
            <w:r>
              <w:rPr>
                <w:noProof/>
              </w:rPr>
              <w:t>M2C1-22</w:t>
            </w:r>
          </w:p>
        </w:tc>
        <w:tc>
          <w:tcPr>
            <w:tcW w:w="420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823EBF3" w14:textId="77777777" w:rsidR="004C6421" w:rsidRDefault="009D1962">
            <w:pPr>
              <w:pStyle w:val="P68B1DB1-Normal8"/>
              <w:rPr>
                <w:noProof/>
              </w:rPr>
            </w:pPr>
            <w:r>
              <w:rPr>
                <w:noProof/>
              </w:rPr>
              <w:t>Inwestycja 3.4: Fondo Contratti di Filiera (FCF) w celu wsparcia zamówień na łańcuchy dostaw dla sektorów rolno-spożywczego, rybołówstwa i akwakultury, leśnictwa, kwiaciarstwa i szkółek roślin</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51F6DFE" w14:textId="0A47884B" w:rsidR="004C6421" w:rsidRDefault="00CC179E">
            <w:pPr>
              <w:pStyle w:val="P68B1DB1-Normal8"/>
              <w:jc w:val="center"/>
              <w:rPr>
                <w:noProof/>
              </w:rPr>
            </w:pPr>
            <w:r>
              <w:rPr>
                <w:noProof/>
              </w:rPr>
              <w:t>Milowy</w:t>
            </w:r>
          </w:p>
        </w:tc>
        <w:tc>
          <w:tcPr>
            <w:tcW w:w="2884"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1CB8344" w14:textId="77777777" w:rsidR="004C6421" w:rsidRDefault="009D1962">
            <w:pPr>
              <w:pStyle w:val="P68B1DB1-Normal8"/>
              <w:rPr>
                <w:noProof/>
              </w:rPr>
            </w:pPr>
            <w:r>
              <w:rPr>
                <w:noProof/>
              </w:rPr>
              <w:t>Umowa wykonawcza</w:t>
            </w:r>
          </w:p>
        </w:tc>
        <w:tc>
          <w:tcPr>
            <w:tcW w:w="236" w:type="dxa"/>
            <w:tcBorders>
              <w:top w:val="nil"/>
              <w:left w:val="single" w:sz="8" w:space="0" w:color="auto"/>
              <w:bottom w:val="nil"/>
              <w:right w:val="nil"/>
            </w:tcBorders>
            <w:vAlign w:val="center"/>
          </w:tcPr>
          <w:p w14:paraId="777780F2" w14:textId="77777777" w:rsidR="004C6421" w:rsidRDefault="004C6421">
            <w:pPr>
              <w:rPr>
                <w:noProof/>
              </w:rPr>
            </w:pPr>
          </w:p>
        </w:tc>
      </w:tr>
      <w:tr w:rsidR="004C6421" w14:paraId="6119B989" w14:textId="77777777">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1152A93" w14:textId="77777777" w:rsidR="004C6421" w:rsidRDefault="009D1962">
            <w:pPr>
              <w:pStyle w:val="P68B1DB1-Normal8"/>
              <w:jc w:val="center"/>
              <w:rPr>
                <w:noProof/>
              </w:rPr>
            </w:pPr>
            <w:r>
              <w:rPr>
                <w:noProof/>
              </w:rPr>
              <w:t>M2C2-31</w:t>
            </w:r>
          </w:p>
        </w:tc>
        <w:tc>
          <w:tcPr>
            <w:tcW w:w="420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40F2B69" w14:textId="77777777" w:rsidR="004C6421" w:rsidRDefault="009D1962">
            <w:pPr>
              <w:pStyle w:val="P68B1DB1-Normal8"/>
              <w:rPr>
                <w:noProof/>
              </w:rPr>
            </w:pPr>
            <w:r>
              <w:rPr>
                <w:noProof/>
              </w:rPr>
              <w:t>Inwestycja 4.4.3: Odnowienie floty na potrzeby dowództwa Krajowej Straży Pożarnej</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5012519" w14:textId="75445CD7" w:rsidR="004C6421" w:rsidRDefault="00CC179E">
            <w:pPr>
              <w:pStyle w:val="P68B1DB1-Normal8"/>
              <w:jc w:val="center"/>
              <w:rPr>
                <w:noProof/>
              </w:rPr>
            </w:pPr>
            <w:r>
              <w:rPr>
                <w:noProof/>
              </w:rPr>
              <w:t>Milowy</w:t>
            </w:r>
          </w:p>
        </w:tc>
        <w:tc>
          <w:tcPr>
            <w:tcW w:w="2884"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7F914A2" w14:textId="77777777" w:rsidR="004C6421" w:rsidRDefault="009D1962">
            <w:pPr>
              <w:pStyle w:val="P68B1DB1-Normal8"/>
              <w:rPr>
                <w:noProof/>
              </w:rPr>
            </w:pPr>
            <w:r>
              <w:rPr>
                <w:noProof/>
              </w:rPr>
              <w:t>Udzielanie wszystkich zamówień publicznych na odnowienie floty dla dowództwa Krajowej Straży Pożarnej</w:t>
            </w:r>
          </w:p>
        </w:tc>
        <w:tc>
          <w:tcPr>
            <w:tcW w:w="236" w:type="dxa"/>
            <w:tcBorders>
              <w:top w:val="nil"/>
              <w:left w:val="single" w:sz="8" w:space="0" w:color="auto"/>
              <w:bottom w:val="nil"/>
              <w:right w:val="nil"/>
            </w:tcBorders>
            <w:vAlign w:val="center"/>
          </w:tcPr>
          <w:p w14:paraId="099981EB" w14:textId="77777777" w:rsidR="004C6421" w:rsidRDefault="004C6421">
            <w:pPr>
              <w:rPr>
                <w:noProof/>
              </w:rPr>
            </w:pPr>
          </w:p>
        </w:tc>
      </w:tr>
      <w:tr w:rsidR="004C6421" w14:paraId="04F97EF1" w14:textId="77777777">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2EF9A35" w14:textId="77777777" w:rsidR="004C6421" w:rsidRDefault="009D1962">
            <w:pPr>
              <w:pStyle w:val="P68B1DB1-Normal8"/>
              <w:jc w:val="center"/>
              <w:rPr>
                <w:noProof/>
              </w:rPr>
            </w:pPr>
            <w:r>
              <w:rPr>
                <w:noProof/>
              </w:rPr>
              <w:t>M2C4-6</w:t>
            </w:r>
          </w:p>
        </w:tc>
        <w:tc>
          <w:tcPr>
            <w:tcW w:w="420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CFBAA23" w14:textId="77777777" w:rsidR="004C6421" w:rsidRDefault="009D1962">
            <w:pPr>
              <w:pStyle w:val="P68B1DB1-Normal8"/>
              <w:rPr>
                <w:noProof/>
              </w:rPr>
            </w:pPr>
            <w:r>
              <w:rPr>
                <w:noProof/>
              </w:rPr>
              <w:t>Inwestycje 3.2: Cyfryzacja parków narodowych</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DBAD41C" w14:textId="77777777" w:rsidR="004C6421" w:rsidRDefault="009D1962">
            <w:pPr>
              <w:pStyle w:val="P68B1DB1-Normal8"/>
              <w:jc w:val="center"/>
              <w:rPr>
                <w:noProof/>
              </w:rPr>
            </w:pPr>
            <w:r>
              <w:rPr>
                <w:noProof/>
              </w:rPr>
              <w:t>Cel</w:t>
            </w:r>
          </w:p>
        </w:tc>
        <w:tc>
          <w:tcPr>
            <w:tcW w:w="2884"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3681662" w14:textId="77777777" w:rsidR="004C6421" w:rsidRDefault="009D1962">
            <w:pPr>
              <w:pStyle w:val="P68B1DB1-Normal8"/>
              <w:rPr>
                <w:noProof/>
              </w:rPr>
            </w:pPr>
            <w:r>
              <w:rPr>
                <w:noProof/>
              </w:rPr>
              <w:t xml:space="preserve">Uproszczenie procedur administracyjnych i rozwój usług cyfrowych dla odwiedzających parki narodowe i chronione obszary morskie </w:t>
            </w:r>
          </w:p>
        </w:tc>
        <w:tc>
          <w:tcPr>
            <w:tcW w:w="236" w:type="dxa"/>
            <w:tcBorders>
              <w:top w:val="nil"/>
              <w:left w:val="single" w:sz="8" w:space="0" w:color="auto"/>
              <w:bottom w:val="nil"/>
              <w:right w:val="nil"/>
            </w:tcBorders>
            <w:vAlign w:val="center"/>
          </w:tcPr>
          <w:p w14:paraId="1B2F69C6" w14:textId="77777777" w:rsidR="004C6421" w:rsidRDefault="004C6421">
            <w:pPr>
              <w:rPr>
                <w:noProof/>
              </w:rPr>
            </w:pPr>
          </w:p>
        </w:tc>
      </w:tr>
      <w:tr w:rsidR="004C6421" w14:paraId="74E86ADD" w14:textId="77777777">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28784E4" w14:textId="77777777" w:rsidR="004C6421" w:rsidRDefault="009D1962">
            <w:pPr>
              <w:pStyle w:val="P68B1DB1-Normal8"/>
              <w:jc w:val="center"/>
              <w:rPr>
                <w:noProof/>
              </w:rPr>
            </w:pPr>
            <w:r>
              <w:rPr>
                <w:noProof/>
              </w:rPr>
              <w:t>M3C2-10</w:t>
            </w:r>
          </w:p>
        </w:tc>
        <w:tc>
          <w:tcPr>
            <w:tcW w:w="420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4021883" w14:textId="77777777" w:rsidR="004C6421" w:rsidRDefault="009D1962">
            <w:pPr>
              <w:pStyle w:val="P68B1DB1-Normal8"/>
              <w:rPr>
                <w:noProof/>
              </w:rPr>
            </w:pPr>
            <w:r>
              <w:rPr>
                <w:noProof/>
              </w:rPr>
              <w:t>Reforma 2.2: Utworzenie Krajowej Platformy Logistyki Cyfrowej w celu wprowadzenia cyfryzacji usług towarowych lub pasażerskich</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F7332D4" w14:textId="5AAA9BC4" w:rsidR="004C6421" w:rsidRDefault="00CC179E">
            <w:pPr>
              <w:pStyle w:val="P68B1DB1-Normal8"/>
              <w:jc w:val="center"/>
              <w:rPr>
                <w:noProof/>
              </w:rPr>
            </w:pPr>
            <w:r>
              <w:rPr>
                <w:noProof/>
              </w:rPr>
              <w:t>Milowy</w:t>
            </w:r>
          </w:p>
        </w:tc>
        <w:tc>
          <w:tcPr>
            <w:tcW w:w="2884"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171D5AB" w14:textId="77777777" w:rsidR="004C6421" w:rsidRDefault="009D1962">
            <w:pPr>
              <w:pStyle w:val="P68B1DB1-Normal8"/>
              <w:rPr>
                <w:noProof/>
              </w:rPr>
            </w:pPr>
            <w:r>
              <w:rPr>
                <w:noProof/>
              </w:rPr>
              <w:t xml:space="preserve">Krajowa Platforma Logistyki Cyfrowej </w:t>
            </w:r>
          </w:p>
        </w:tc>
        <w:tc>
          <w:tcPr>
            <w:tcW w:w="236" w:type="dxa"/>
            <w:tcBorders>
              <w:top w:val="nil"/>
              <w:left w:val="single" w:sz="8" w:space="0" w:color="auto"/>
              <w:bottom w:val="nil"/>
              <w:right w:val="nil"/>
            </w:tcBorders>
            <w:vAlign w:val="center"/>
          </w:tcPr>
          <w:p w14:paraId="771ED543" w14:textId="77777777" w:rsidR="004C6421" w:rsidRDefault="004C6421">
            <w:pPr>
              <w:rPr>
                <w:noProof/>
              </w:rPr>
            </w:pPr>
          </w:p>
        </w:tc>
      </w:tr>
      <w:tr w:rsidR="004C6421" w14:paraId="54D0149C" w14:textId="77777777">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358A67C" w14:textId="77777777" w:rsidR="004C6421" w:rsidRDefault="009D1962">
            <w:pPr>
              <w:pStyle w:val="P68B1DB1-Normal8"/>
              <w:jc w:val="center"/>
              <w:rPr>
                <w:noProof/>
              </w:rPr>
            </w:pPr>
            <w:r>
              <w:rPr>
                <w:noProof/>
              </w:rPr>
              <w:t>M6C2-15</w:t>
            </w:r>
          </w:p>
        </w:tc>
        <w:tc>
          <w:tcPr>
            <w:tcW w:w="420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AF7A2CF" w14:textId="77777777" w:rsidR="004C6421" w:rsidRDefault="009D1962">
            <w:pPr>
              <w:pStyle w:val="P68B1DB1-Normal38"/>
              <w:rPr>
                <w:noProof/>
              </w:rPr>
            </w:pPr>
            <w:r>
              <w:rPr>
                <w:noProof/>
              </w:rPr>
              <w:t>Inwestycje 2.2: Rozwój umiejętności technicznych i zawodowych, cyfrowych i kierowniczych specjalistów w systemie opieki zdrowotnej</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92DCF25" w14:textId="77777777" w:rsidR="004C6421" w:rsidRDefault="009D1962">
            <w:pPr>
              <w:pStyle w:val="P68B1DB1-Normal38"/>
              <w:jc w:val="center"/>
              <w:rPr>
                <w:noProof/>
              </w:rPr>
            </w:pPr>
            <w:r>
              <w:rPr>
                <w:noProof/>
              </w:rPr>
              <w:t>Cel</w:t>
            </w:r>
          </w:p>
        </w:tc>
        <w:tc>
          <w:tcPr>
            <w:tcW w:w="2884"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D708028" w14:textId="77777777" w:rsidR="004C6421" w:rsidRDefault="009D1962">
            <w:pPr>
              <w:pStyle w:val="P68B1DB1-Normal38"/>
              <w:rPr>
                <w:noProof/>
              </w:rPr>
            </w:pPr>
            <w:r>
              <w:rPr>
                <w:noProof/>
              </w:rPr>
              <w:t>Przyznawane są dodatkowe stypendia na specjalistyczne szkolenia w zakresie ogólnej praktyki medycznej.</w:t>
            </w:r>
          </w:p>
        </w:tc>
        <w:tc>
          <w:tcPr>
            <w:tcW w:w="236" w:type="dxa"/>
            <w:tcBorders>
              <w:top w:val="nil"/>
              <w:left w:val="single" w:sz="8" w:space="0" w:color="auto"/>
              <w:bottom w:val="nil"/>
              <w:right w:val="nil"/>
            </w:tcBorders>
            <w:vAlign w:val="center"/>
          </w:tcPr>
          <w:p w14:paraId="2FF13D79" w14:textId="77777777" w:rsidR="004C6421" w:rsidRDefault="004C6421">
            <w:pPr>
              <w:rPr>
                <w:noProof/>
              </w:rPr>
            </w:pPr>
          </w:p>
        </w:tc>
      </w:tr>
      <w:tr w:rsidR="004C6421" w14:paraId="66863ECD" w14:textId="77777777">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DB393B7" w14:textId="77777777" w:rsidR="004C6421" w:rsidRDefault="009D1962">
            <w:pPr>
              <w:pStyle w:val="P68B1DB1-Normal8"/>
              <w:jc w:val="center"/>
              <w:rPr>
                <w:noProof/>
              </w:rPr>
            </w:pPr>
            <w:r>
              <w:rPr>
                <w:noProof/>
              </w:rPr>
              <w:t>M7–36</w:t>
            </w:r>
          </w:p>
        </w:tc>
        <w:tc>
          <w:tcPr>
            <w:tcW w:w="420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D36B4A9" w14:textId="77777777" w:rsidR="004C6421" w:rsidRDefault="009D1962">
            <w:pPr>
              <w:pStyle w:val="P68B1DB1-Normal8"/>
              <w:rPr>
                <w:noProof/>
              </w:rPr>
            </w:pPr>
            <w:r>
              <w:rPr>
                <w:noProof/>
              </w:rPr>
              <w:t>Inwestycja 13: Adriatic Line Phase 1 (stacja kompresorowa Sulmona i gazociąg Sestino-Minerbio)</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6BDA7CA" w14:textId="5E268B30" w:rsidR="004C6421" w:rsidRDefault="00CC179E">
            <w:pPr>
              <w:pStyle w:val="P68B1DB1-Normal8"/>
              <w:jc w:val="center"/>
              <w:rPr>
                <w:noProof/>
              </w:rPr>
            </w:pPr>
            <w:r>
              <w:rPr>
                <w:noProof/>
              </w:rPr>
              <w:t>Milowy</w:t>
            </w:r>
          </w:p>
        </w:tc>
        <w:tc>
          <w:tcPr>
            <w:tcW w:w="2884"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4DAB58B" w14:textId="77777777" w:rsidR="004C6421" w:rsidRDefault="009D1962">
            <w:pPr>
              <w:pStyle w:val="P68B1DB1-Normal8"/>
              <w:rPr>
                <w:noProof/>
              </w:rPr>
            </w:pPr>
            <w:r>
              <w:rPr>
                <w:noProof/>
              </w:rPr>
              <w:t>Udzielenie zamówień</w:t>
            </w:r>
          </w:p>
        </w:tc>
        <w:tc>
          <w:tcPr>
            <w:tcW w:w="236" w:type="dxa"/>
            <w:tcBorders>
              <w:top w:val="nil"/>
              <w:left w:val="single" w:sz="8" w:space="0" w:color="auto"/>
              <w:bottom w:val="nil"/>
              <w:right w:val="nil"/>
            </w:tcBorders>
            <w:vAlign w:val="center"/>
          </w:tcPr>
          <w:p w14:paraId="75736212" w14:textId="77777777" w:rsidR="004C6421" w:rsidRDefault="004C6421">
            <w:pPr>
              <w:rPr>
                <w:noProof/>
              </w:rPr>
            </w:pPr>
          </w:p>
        </w:tc>
      </w:tr>
      <w:tr w:rsidR="004C6421" w14:paraId="6F594CB7" w14:textId="77777777">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7243ED3" w14:textId="77777777" w:rsidR="004C6421" w:rsidRDefault="009D1962">
            <w:pPr>
              <w:pStyle w:val="P68B1DB1-Normal8"/>
              <w:jc w:val="center"/>
              <w:rPr>
                <w:noProof/>
              </w:rPr>
            </w:pPr>
            <w:r>
              <w:rPr>
                <w:noProof/>
              </w:rPr>
              <w:t>M7-38</w:t>
            </w:r>
          </w:p>
        </w:tc>
        <w:tc>
          <w:tcPr>
            <w:tcW w:w="420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48B0443" w14:textId="77777777" w:rsidR="004C6421" w:rsidRDefault="009D1962">
            <w:pPr>
              <w:pStyle w:val="P68B1DB1-Normal8"/>
              <w:rPr>
                <w:noProof/>
              </w:rPr>
            </w:pPr>
            <w:r>
              <w:rPr>
                <w:noProof/>
              </w:rPr>
              <w:t>Inwestycja 14: Infrastruktura na potrzeby transgranicznego eksportu gazu</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42F4F7C" w14:textId="07B69A3D" w:rsidR="004C6421" w:rsidRDefault="00CC179E">
            <w:pPr>
              <w:pStyle w:val="P68B1DB1-Normal8"/>
              <w:jc w:val="center"/>
              <w:rPr>
                <w:noProof/>
              </w:rPr>
            </w:pPr>
            <w:r>
              <w:rPr>
                <w:noProof/>
              </w:rPr>
              <w:t>Milowy</w:t>
            </w:r>
          </w:p>
        </w:tc>
        <w:tc>
          <w:tcPr>
            <w:tcW w:w="2884"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6093D62" w14:textId="77777777" w:rsidR="004C6421" w:rsidRDefault="009D1962">
            <w:pPr>
              <w:pStyle w:val="P68B1DB1-Normal8"/>
              <w:rPr>
                <w:noProof/>
              </w:rPr>
            </w:pPr>
            <w:r>
              <w:rPr>
                <w:noProof/>
              </w:rPr>
              <w:t>Udzielenie zamówień</w:t>
            </w:r>
          </w:p>
        </w:tc>
        <w:tc>
          <w:tcPr>
            <w:tcW w:w="236" w:type="dxa"/>
            <w:tcBorders>
              <w:top w:val="nil"/>
              <w:left w:val="single" w:sz="8" w:space="0" w:color="auto"/>
              <w:bottom w:val="nil"/>
              <w:right w:val="nil"/>
            </w:tcBorders>
            <w:vAlign w:val="center"/>
          </w:tcPr>
          <w:p w14:paraId="3B84C3D3" w14:textId="77777777" w:rsidR="004C6421" w:rsidRDefault="004C6421">
            <w:pPr>
              <w:rPr>
                <w:noProof/>
              </w:rPr>
            </w:pPr>
          </w:p>
        </w:tc>
      </w:tr>
      <w:tr w:rsidR="004C6421" w14:paraId="0D393D5C" w14:textId="77777777">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4FE10B3B" w14:textId="77777777" w:rsidR="004C6421" w:rsidRDefault="009D1962">
            <w:pPr>
              <w:pStyle w:val="P68B1DB1-Normal8"/>
              <w:jc w:val="center"/>
              <w:rPr>
                <w:noProof/>
              </w:rPr>
            </w:pPr>
            <w:r>
              <w:rPr>
                <w:noProof/>
              </w:rPr>
              <w:t xml:space="preserve"> </w:t>
            </w:r>
          </w:p>
        </w:tc>
        <w:tc>
          <w:tcPr>
            <w:tcW w:w="420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0778AEED" w14:textId="77777777" w:rsidR="004C6421" w:rsidRDefault="009D1962">
            <w:pPr>
              <w:pStyle w:val="P68B1DB1-Normal8"/>
              <w:rPr>
                <w:noProof/>
              </w:rPr>
            </w:pPr>
            <w:r>
              <w:rPr>
                <w:noProof/>
              </w:rPr>
              <w:t xml:space="preserve"> </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3BDB816E" w14:textId="77777777" w:rsidR="004C6421" w:rsidRDefault="009D1962">
            <w:pPr>
              <w:pStyle w:val="P68B1DB1-Normal8"/>
              <w:rPr>
                <w:noProof/>
              </w:rPr>
            </w:pPr>
            <w:r>
              <w:rPr>
                <w:noProof/>
              </w:rPr>
              <w:t>Kwota transzy</w:t>
            </w:r>
          </w:p>
        </w:tc>
        <w:tc>
          <w:tcPr>
            <w:tcW w:w="2884"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6F012FCD" w14:textId="4DBE69A9" w:rsidR="004C6421" w:rsidRDefault="009D1962">
            <w:pPr>
              <w:rPr>
                <w:noProof/>
              </w:rPr>
            </w:pPr>
            <w:r>
              <w:rPr>
                <w:noProof/>
                <w:color w:val="006100"/>
                <w:sz w:val="20"/>
              </w:rPr>
              <w:t>7908481227 EUR</w:t>
            </w:r>
            <w:r>
              <w:rPr>
                <w:noProof/>
                <w:sz w:val="23"/>
              </w:rPr>
              <w:t xml:space="preserve">  </w:t>
            </w:r>
          </w:p>
        </w:tc>
        <w:tc>
          <w:tcPr>
            <w:tcW w:w="236" w:type="dxa"/>
            <w:tcBorders>
              <w:top w:val="nil"/>
              <w:left w:val="single" w:sz="8" w:space="0" w:color="auto"/>
              <w:bottom w:val="nil"/>
              <w:right w:val="nil"/>
            </w:tcBorders>
            <w:vAlign w:val="center"/>
          </w:tcPr>
          <w:p w14:paraId="1B93B952" w14:textId="77777777" w:rsidR="004C6421" w:rsidRDefault="004C6421">
            <w:pPr>
              <w:rPr>
                <w:noProof/>
              </w:rPr>
            </w:pPr>
          </w:p>
        </w:tc>
      </w:tr>
    </w:tbl>
    <w:p w14:paraId="15CD4ECF" w14:textId="77777777" w:rsidR="004C6421" w:rsidRDefault="004C6421">
      <w:pPr>
        <w:pStyle w:val="ListParagraph"/>
        <w:spacing w:before="0" w:after="0" w:line="279" w:lineRule="auto"/>
        <w:ind w:left="850"/>
        <w:rPr>
          <w:noProof/>
        </w:rPr>
      </w:pPr>
    </w:p>
    <w:p w14:paraId="67F3993C" w14:textId="1CE845DF" w:rsidR="004C6421" w:rsidRDefault="009D1962">
      <w:pPr>
        <w:pStyle w:val="ListParagraph"/>
        <w:numPr>
          <w:ilvl w:val="1"/>
          <w:numId w:val="145"/>
        </w:numPr>
        <w:spacing w:before="0" w:after="0" w:line="279" w:lineRule="auto"/>
        <w:ind w:left="850" w:hanging="850"/>
        <w:rPr>
          <w:noProof/>
        </w:rPr>
      </w:pPr>
      <w:r>
        <w:rPr>
          <w:noProof/>
        </w:rPr>
        <w:t>Siódma transza (wsparcie pożyczkowe):</w:t>
      </w:r>
    </w:p>
    <w:tbl>
      <w:tblPr>
        <w:tblW w:w="9594" w:type="dxa"/>
        <w:tblInd w:w="120" w:type="dxa"/>
        <w:tblLayout w:type="fixed"/>
        <w:tblLook w:val="04A0" w:firstRow="1" w:lastRow="0" w:firstColumn="1" w:lastColumn="0" w:noHBand="0" w:noVBand="1"/>
      </w:tblPr>
      <w:tblGrid>
        <w:gridCol w:w="1140"/>
        <w:gridCol w:w="3628"/>
        <w:gridCol w:w="1110"/>
        <w:gridCol w:w="3480"/>
        <w:gridCol w:w="236"/>
      </w:tblGrid>
      <w:tr w:rsidR="004C6421" w14:paraId="0134419B" w14:textId="77777777">
        <w:trPr>
          <w:trHeight w:val="900"/>
          <w:tblHeader/>
        </w:trPr>
        <w:tc>
          <w:tcPr>
            <w:tcW w:w="1140"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074A7016" w14:textId="77777777" w:rsidR="004C6421" w:rsidRDefault="009D1962">
            <w:pPr>
              <w:pStyle w:val="P68B1DB1-Normal36"/>
              <w:jc w:val="center"/>
              <w:rPr>
                <w:noProof/>
              </w:rPr>
            </w:pPr>
            <w:r>
              <w:rPr>
                <w:noProof/>
              </w:rPr>
              <w:t>Numer porządkowy</w:t>
            </w:r>
          </w:p>
        </w:tc>
        <w:tc>
          <w:tcPr>
            <w:tcW w:w="3628"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4DBAB4F0" w14:textId="77777777" w:rsidR="004C6421" w:rsidRDefault="009D1962">
            <w:pPr>
              <w:pStyle w:val="P68B1DB1-Normal36"/>
              <w:jc w:val="center"/>
              <w:rPr>
                <w:noProof/>
              </w:rPr>
            </w:pPr>
            <w:r>
              <w:rPr>
                <w:noProof/>
              </w:rPr>
              <w:t>Powiązane działanie (reforma lub inwestycja)</w:t>
            </w:r>
          </w:p>
        </w:tc>
        <w:tc>
          <w:tcPr>
            <w:tcW w:w="1110"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0EBC36D4" w14:textId="77777777" w:rsidR="004C6421" w:rsidRDefault="009D1962">
            <w:pPr>
              <w:pStyle w:val="P68B1DB1-Normal36"/>
              <w:jc w:val="center"/>
              <w:rPr>
                <w:noProof/>
              </w:rPr>
            </w:pPr>
            <w:r>
              <w:rPr>
                <w:noProof/>
              </w:rPr>
              <w:t>Kamień milowy/wartość docelowa</w:t>
            </w:r>
          </w:p>
        </w:tc>
        <w:tc>
          <w:tcPr>
            <w:tcW w:w="3480"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65901C1C" w14:textId="77777777" w:rsidR="004C6421" w:rsidRDefault="009D1962">
            <w:pPr>
              <w:pStyle w:val="P68B1DB1-Normal36"/>
              <w:jc w:val="center"/>
              <w:rPr>
                <w:noProof/>
              </w:rPr>
            </w:pPr>
            <w:r>
              <w:rPr>
                <w:noProof/>
              </w:rPr>
              <w:t>Nazwa</w:t>
            </w:r>
          </w:p>
        </w:tc>
        <w:tc>
          <w:tcPr>
            <w:tcW w:w="236" w:type="dxa"/>
            <w:tcBorders>
              <w:top w:val="nil"/>
              <w:left w:val="single" w:sz="4" w:space="0" w:color="auto"/>
              <w:bottom w:val="nil"/>
              <w:right w:val="nil"/>
            </w:tcBorders>
            <w:vAlign w:val="center"/>
          </w:tcPr>
          <w:p w14:paraId="649347BE" w14:textId="77777777" w:rsidR="004C6421" w:rsidRDefault="004C6421">
            <w:pPr>
              <w:rPr>
                <w:noProof/>
              </w:rPr>
            </w:pPr>
          </w:p>
        </w:tc>
      </w:tr>
      <w:tr w:rsidR="004C6421" w14:paraId="10447B88" w14:textId="77777777">
        <w:trPr>
          <w:trHeight w:val="510"/>
        </w:trPr>
        <w:tc>
          <w:tcPr>
            <w:tcW w:w="1140" w:type="dxa"/>
            <w:vMerge/>
            <w:tcBorders>
              <w:top w:val="single" w:sz="4" w:space="0" w:color="auto"/>
              <w:left w:val="single" w:sz="4" w:space="0" w:color="auto"/>
              <w:bottom w:val="single" w:sz="4" w:space="0" w:color="auto"/>
              <w:right w:val="single" w:sz="4" w:space="0" w:color="auto"/>
            </w:tcBorders>
            <w:vAlign w:val="center"/>
          </w:tcPr>
          <w:p w14:paraId="4CC59B45" w14:textId="77777777" w:rsidR="004C6421" w:rsidRDefault="004C6421">
            <w:pPr>
              <w:rPr>
                <w:noProof/>
              </w:rPr>
            </w:pPr>
          </w:p>
        </w:tc>
        <w:tc>
          <w:tcPr>
            <w:tcW w:w="3628" w:type="dxa"/>
            <w:vMerge/>
            <w:tcBorders>
              <w:top w:val="single" w:sz="4" w:space="0" w:color="auto"/>
              <w:left w:val="single" w:sz="4" w:space="0" w:color="auto"/>
              <w:bottom w:val="single" w:sz="4" w:space="0" w:color="auto"/>
              <w:right w:val="single" w:sz="4" w:space="0" w:color="auto"/>
            </w:tcBorders>
            <w:vAlign w:val="center"/>
          </w:tcPr>
          <w:p w14:paraId="53E2763D" w14:textId="77777777" w:rsidR="004C6421" w:rsidRDefault="004C6421">
            <w:pPr>
              <w:rPr>
                <w:noProof/>
              </w:rPr>
            </w:pPr>
          </w:p>
        </w:tc>
        <w:tc>
          <w:tcPr>
            <w:tcW w:w="1110" w:type="dxa"/>
            <w:vMerge/>
            <w:tcBorders>
              <w:top w:val="single" w:sz="4" w:space="0" w:color="auto"/>
              <w:left w:val="single" w:sz="4" w:space="0" w:color="auto"/>
              <w:bottom w:val="single" w:sz="4" w:space="0" w:color="auto"/>
              <w:right w:val="single" w:sz="4" w:space="0" w:color="auto"/>
            </w:tcBorders>
            <w:vAlign w:val="center"/>
          </w:tcPr>
          <w:p w14:paraId="31DEF51A" w14:textId="77777777" w:rsidR="004C6421" w:rsidRDefault="004C6421">
            <w:pPr>
              <w:rPr>
                <w:noProof/>
              </w:rPr>
            </w:pPr>
          </w:p>
        </w:tc>
        <w:tc>
          <w:tcPr>
            <w:tcW w:w="3480" w:type="dxa"/>
            <w:vMerge/>
            <w:tcBorders>
              <w:top w:val="single" w:sz="4" w:space="0" w:color="auto"/>
              <w:left w:val="single" w:sz="4" w:space="0" w:color="auto"/>
              <w:bottom w:val="single" w:sz="4" w:space="0" w:color="auto"/>
              <w:right w:val="single" w:sz="4" w:space="0" w:color="auto"/>
            </w:tcBorders>
            <w:vAlign w:val="center"/>
          </w:tcPr>
          <w:p w14:paraId="516DB259" w14:textId="77777777" w:rsidR="004C6421" w:rsidRDefault="004C6421">
            <w:pPr>
              <w:rPr>
                <w:noProof/>
              </w:rPr>
            </w:pPr>
          </w:p>
        </w:tc>
        <w:tc>
          <w:tcPr>
            <w:tcW w:w="236" w:type="dxa"/>
            <w:tcBorders>
              <w:top w:val="nil"/>
              <w:left w:val="single" w:sz="4" w:space="0" w:color="auto"/>
              <w:bottom w:val="nil"/>
              <w:right w:val="nil"/>
            </w:tcBorders>
            <w:vAlign w:val="center"/>
          </w:tcPr>
          <w:p w14:paraId="785FDA3E" w14:textId="77777777" w:rsidR="004C6421" w:rsidRDefault="004C6421">
            <w:pPr>
              <w:rPr>
                <w:noProof/>
              </w:rPr>
            </w:pPr>
          </w:p>
        </w:tc>
      </w:tr>
      <w:tr w:rsidR="004C6421" w14:paraId="71DD00BC" w14:textId="77777777">
        <w:trPr>
          <w:trHeight w:val="300"/>
        </w:trPr>
        <w:tc>
          <w:tcPr>
            <w:tcW w:w="1140"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E43BF63" w14:textId="77777777" w:rsidR="004C6421" w:rsidRDefault="009D1962">
            <w:pPr>
              <w:pStyle w:val="P68B1DB1-Normal8"/>
              <w:jc w:val="center"/>
              <w:rPr>
                <w:noProof/>
              </w:rPr>
            </w:pPr>
            <w:r>
              <w:rPr>
                <w:noProof/>
              </w:rPr>
              <w:t>M1C1-139</w:t>
            </w:r>
          </w:p>
        </w:tc>
        <w:tc>
          <w:tcPr>
            <w:tcW w:w="3628"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8120E88" w14:textId="77777777" w:rsidR="004C6421" w:rsidRDefault="009D1962">
            <w:pPr>
              <w:pStyle w:val="P68B1DB1-Normal8"/>
              <w:rPr>
                <w:noProof/>
              </w:rPr>
            </w:pPr>
            <w:r>
              <w:rPr>
                <w:noProof/>
              </w:rPr>
              <w:t>Inwestycje 1.2 – Umożliwienie chmury dla lokalnych AP</w:t>
            </w:r>
          </w:p>
        </w:tc>
        <w:tc>
          <w:tcPr>
            <w:tcW w:w="1110"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7C461E1" w14:textId="77777777" w:rsidR="004C6421" w:rsidRDefault="009D1962">
            <w:pPr>
              <w:pStyle w:val="P68B1DB1-Normal8"/>
              <w:jc w:val="center"/>
              <w:rPr>
                <w:noProof/>
              </w:rPr>
            </w:pPr>
            <w:r>
              <w:rPr>
                <w:noProof/>
              </w:rPr>
              <w:t>Cel</w:t>
            </w:r>
          </w:p>
        </w:tc>
        <w:tc>
          <w:tcPr>
            <w:tcW w:w="3480"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3EBD2EC" w14:textId="77777777" w:rsidR="004C6421" w:rsidRDefault="009D1962">
            <w:pPr>
              <w:pStyle w:val="P68B1DB1-Normal8"/>
              <w:rPr>
                <w:noProof/>
              </w:rPr>
            </w:pPr>
            <w:r>
              <w:rPr>
                <w:noProof/>
              </w:rPr>
              <w:t>Umożliwienie korzystania z chmury dla lokalnej administracji publicznej T1</w:t>
            </w:r>
          </w:p>
        </w:tc>
        <w:tc>
          <w:tcPr>
            <w:tcW w:w="236" w:type="dxa"/>
            <w:tcBorders>
              <w:top w:val="nil"/>
              <w:left w:val="single" w:sz="8" w:space="0" w:color="auto"/>
              <w:bottom w:val="nil"/>
              <w:right w:val="nil"/>
            </w:tcBorders>
            <w:vAlign w:val="center"/>
          </w:tcPr>
          <w:p w14:paraId="39078DF0" w14:textId="77777777" w:rsidR="004C6421" w:rsidRDefault="004C6421">
            <w:pPr>
              <w:rPr>
                <w:noProof/>
              </w:rPr>
            </w:pPr>
          </w:p>
        </w:tc>
      </w:tr>
      <w:tr w:rsidR="004C6421" w14:paraId="1B664E84"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6721040" w14:textId="77777777" w:rsidR="004C6421" w:rsidRDefault="009D1962">
            <w:pPr>
              <w:pStyle w:val="P68B1DB1-Normal8"/>
              <w:jc w:val="center"/>
              <w:rPr>
                <w:noProof/>
              </w:rPr>
            </w:pPr>
            <w:r>
              <w:rPr>
                <w:noProof/>
              </w:rPr>
              <w:t>M2C2-25</w:t>
            </w:r>
          </w:p>
        </w:tc>
        <w:tc>
          <w:tcPr>
            <w:tcW w:w="362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0E64D14" w14:textId="77777777" w:rsidR="004C6421" w:rsidRDefault="009D1962">
            <w:pPr>
              <w:pStyle w:val="P68B1DB1-Normal8"/>
              <w:rPr>
                <w:noProof/>
              </w:rPr>
            </w:pPr>
            <w:r>
              <w:rPr>
                <w:noProof/>
              </w:rPr>
              <w:t xml:space="preserve">Inwestycja 4.2 Rozwój systemów szybkiego transportu masowego </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E27CC56" w14:textId="0347DBEC" w:rsidR="004C6421" w:rsidRDefault="00CC179E">
            <w:pPr>
              <w:pStyle w:val="P68B1DB1-Normal8"/>
              <w:jc w:val="center"/>
              <w:rPr>
                <w:noProof/>
              </w:rPr>
            </w:pPr>
            <w:r>
              <w:rPr>
                <w:noProof/>
              </w:rPr>
              <w:t>Milowy</w:t>
            </w:r>
          </w:p>
        </w:tc>
        <w:tc>
          <w:tcPr>
            <w:tcW w:w="348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7D6D171" w14:textId="77777777" w:rsidR="004C6421" w:rsidRDefault="009D1962">
            <w:pPr>
              <w:pStyle w:val="P68B1DB1-Normal37"/>
              <w:rPr>
                <w:noProof/>
              </w:rPr>
            </w:pPr>
            <w:r>
              <w:rPr>
                <w:noProof/>
                <w:color w:val="006100"/>
              </w:rPr>
              <w:t>Udzielanie</w:t>
            </w:r>
            <w:r>
              <w:rPr>
                <w:noProof/>
                <w:color w:val="000000" w:themeColor="text1"/>
              </w:rPr>
              <w:t xml:space="preserve"> </w:t>
            </w:r>
            <w:r>
              <w:rPr>
                <w:noProof/>
                <w:color w:val="006100"/>
              </w:rPr>
              <w:t>wszystkich zamówień publicznych na zakup taboru bezemisyjnego oraz interwencje na rzecz modernizacji infrastruktury systemów szybkiego transportu masowego</w:t>
            </w:r>
          </w:p>
        </w:tc>
        <w:tc>
          <w:tcPr>
            <w:tcW w:w="236" w:type="dxa"/>
            <w:tcBorders>
              <w:top w:val="nil"/>
              <w:left w:val="single" w:sz="8" w:space="0" w:color="auto"/>
              <w:bottom w:val="nil"/>
              <w:right w:val="nil"/>
            </w:tcBorders>
            <w:vAlign w:val="center"/>
          </w:tcPr>
          <w:p w14:paraId="272D997E" w14:textId="77777777" w:rsidR="004C6421" w:rsidRDefault="004C6421">
            <w:pPr>
              <w:rPr>
                <w:noProof/>
              </w:rPr>
            </w:pPr>
          </w:p>
        </w:tc>
      </w:tr>
      <w:tr w:rsidR="004C6421" w14:paraId="019C7342"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EDEEC54" w14:textId="77777777" w:rsidR="004C6421" w:rsidRDefault="009D1962">
            <w:pPr>
              <w:pStyle w:val="P68B1DB1-Normal8"/>
              <w:jc w:val="center"/>
              <w:rPr>
                <w:noProof/>
              </w:rPr>
            </w:pPr>
            <w:r>
              <w:rPr>
                <w:noProof/>
              </w:rPr>
              <w:t>M2C4-11</w:t>
            </w:r>
          </w:p>
        </w:tc>
        <w:tc>
          <w:tcPr>
            <w:tcW w:w="362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91D2C35" w14:textId="77777777" w:rsidR="004C6421" w:rsidRDefault="009D1962">
            <w:pPr>
              <w:pStyle w:val="P68B1DB1-Normal8"/>
              <w:rPr>
                <w:noProof/>
              </w:rPr>
            </w:pPr>
            <w:r>
              <w:rPr>
                <w:noProof/>
              </w:rPr>
              <w:t>Inwestycja 2.1.a. Środki na rzecz ograniczenia ryzyka powodziowego i hydrogeologicznego – Interwencje w Emilia-Romania, Toskanie i Marche</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F35B0FD" w14:textId="76CCA454" w:rsidR="004C6421" w:rsidRDefault="00CC179E">
            <w:pPr>
              <w:pStyle w:val="P68B1DB1-Normal8"/>
              <w:jc w:val="center"/>
              <w:rPr>
                <w:noProof/>
              </w:rPr>
            </w:pPr>
            <w:r>
              <w:rPr>
                <w:noProof/>
              </w:rPr>
              <w:t>Milowy</w:t>
            </w:r>
          </w:p>
        </w:tc>
        <w:tc>
          <w:tcPr>
            <w:tcW w:w="348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9D3BB8C" w14:textId="77777777" w:rsidR="004C6421" w:rsidRDefault="009D1962">
            <w:pPr>
              <w:pStyle w:val="P68B1DB1-Normal8"/>
              <w:rPr>
                <w:noProof/>
              </w:rPr>
            </w:pPr>
            <w:r>
              <w:rPr>
                <w:noProof/>
              </w:rPr>
              <w:t>Identyfikacja interwencji w drodze rozporządzenia (rozporządzeń) komisarza ds. stanu nadzwyczajnego</w:t>
            </w:r>
          </w:p>
        </w:tc>
        <w:tc>
          <w:tcPr>
            <w:tcW w:w="236" w:type="dxa"/>
            <w:tcBorders>
              <w:top w:val="nil"/>
              <w:left w:val="single" w:sz="8" w:space="0" w:color="auto"/>
              <w:bottom w:val="nil"/>
              <w:right w:val="nil"/>
            </w:tcBorders>
            <w:vAlign w:val="center"/>
          </w:tcPr>
          <w:p w14:paraId="1ACE90F9" w14:textId="77777777" w:rsidR="004C6421" w:rsidRDefault="004C6421">
            <w:pPr>
              <w:rPr>
                <w:noProof/>
              </w:rPr>
            </w:pPr>
          </w:p>
        </w:tc>
      </w:tr>
      <w:tr w:rsidR="004C6421" w14:paraId="57F21A2C"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9FE5370" w14:textId="77777777" w:rsidR="004C6421" w:rsidRDefault="009D1962">
            <w:pPr>
              <w:pStyle w:val="P68B1DB1-Normal8"/>
              <w:jc w:val="center"/>
              <w:rPr>
                <w:noProof/>
              </w:rPr>
            </w:pPr>
            <w:r>
              <w:rPr>
                <w:noProof/>
              </w:rPr>
              <w:t>M7–46</w:t>
            </w:r>
          </w:p>
        </w:tc>
        <w:tc>
          <w:tcPr>
            <w:tcW w:w="362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CD3CCD3" w14:textId="77777777" w:rsidR="004C6421" w:rsidRDefault="009D1962">
            <w:pPr>
              <w:pStyle w:val="P68B1DB1-Normal8"/>
              <w:rPr>
                <w:noProof/>
              </w:rPr>
            </w:pPr>
            <w:r>
              <w:rPr>
                <w:noProof/>
              </w:rPr>
              <w:t>Inwestycja 17: Instrument finansowy na rzecz termomodernizacji mieszkań publicznych i socjalnych</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465977D" w14:textId="23C9222E" w:rsidR="004C6421" w:rsidRDefault="00CC179E">
            <w:pPr>
              <w:pStyle w:val="P68B1DB1-Normal8"/>
              <w:jc w:val="center"/>
              <w:rPr>
                <w:noProof/>
              </w:rPr>
            </w:pPr>
            <w:r>
              <w:rPr>
                <w:noProof/>
              </w:rPr>
              <w:t>Milowy</w:t>
            </w:r>
          </w:p>
        </w:tc>
        <w:tc>
          <w:tcPr>
            <w:tcW w:w="348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8717247" w14:textId="77777777" w:rsidR="004C6421" w:rsidRDefault="009D1962">
            <w:pPr>
              <w:pStyle w:val="P68B1DB1-Normal8"/>
              <w:rPr>
                <w:noProof/>
              </w:rPr>
            </w:pPr>
            <w:r>
              <w:rPr>
                <w:noProof/>
              </w:rPr>
              <w:t>Określenie celu określonego w zakresie wymagań i obowiązków</w:t>
            </w:r>
          </w:p>
        </w:tc>
        <w:tc>
          <w:tcPr>
            <w:tcW w:w="236" w:type="dxa"/>
            <w:tcBorders>
              <w:top w:val="nil"/>
              <w:left w:val="single" w:sz="8" w:space="0" w:color="auto"/>
              <w:bottom w:val="nil"/>
              <w:right w:val="nil"/>
            </w:tcBorders>
            <w:vAlign w:val="center"/>
          </w:tcPr>
          <w:p w14:paraId="0339B56F" w14:textId="77777777" w:rsidR="004C6421" w:rsidRDefault="004C6421">
            <w:pPr>
              <w:rPr>
                <w:noProof/>
              </w:rPr>
            </w:pPr>
          </w:p>
        </w:tc>
      </w:tr>
      <w:tr w:rsidR="004C6421" w14:paraId="42532FB3"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DE2E253" w14:textId="77777777" w:rsidR="004C6421" w:rsidRDefault="009D1962">
            <w:pPr>
              <w:pStyle w:val="P68B1DB1-Normal8"/>
              <w:jc w:val="center"/>
              <w:rPr>
                <w:noProof/>
              </w:rPr>
            </w:pPr>
            <w:r>
              <w:rPr>
                <w:noProof/>
              </w:rPr>
              <w:t>M1C1-140</w:t>
            </w:r>
          </w:p>
        </w:tc>
        <w:tc>
          <w:tcPr>
            <w:tcW w:w="362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41180EB" w14:textId="77777777" w:rsidR="004C6421" w:rsidRDefault="009D1962">
            <w:pPr>
              <w:pStyle w:val="P68B1DB1-Normal8"/>
              <w:rPr>
                <w:noProof/>
              </w:rPr>
            </w:pPr>
            <w:r>
              <w:rPr>
                <w:noProof/>
              </w:rPr>
              <w:t>Inwestycje 1.4.1 – Doświadczenia obywatelskie – Poprawa jakości i użyteczności cyfrowych usług publicznych</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E8B671A" w14:textId="77777777" w:rsidR="004C6421" w:rsidRDefault="009D1962">
            <w:pPr>
              <w:pStyle w:val="P68B1DB1-Normal8"/>
              <w:jc w:val="center"/>
              <w:rPr>
                <w:noProof/>
              </w:rPr>
            </w:pPr>
            <w:r>
              <w:rPr>
                <w:noProof/>
              </w:rPr>
              <w:t>Cel</w:t>
            </w:r>
          </w:p>
        </w:tc>
        <w:tc>
          <w:tcPr>
            <w:tcW w:w="348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4FF1EF9" w14:textId="77777777" w:rsidR="004C6421" w:rsidRDefault="009D1962">
            <w:pPr>
              <w:pStyle w:val="P68B1DB1-Normal8"/>
              <w:rPr>
                <w:noProof/>
              </w:rPr>
            </w:pPr>
            <w:r>
              <w:rPr>
                <w:noProof/>
              </w:rPr>
              <w:t>Poprawa jakości i użyteczności cyfrowych usług publicznych T1</w:t>
            </w:r>
          </w:p>
        </w:tc>
        <w:tc>
          <w:tcPr>
            <w:tcW w:w="236" w:type="dxa"/>
            <w:tcBorders>
              <w:top w:val="nil"/>
              <w:left w:val="single" w:sz="8" w:space="0" w:color="auto"/>
              <w:bottom w:val="nil"/>
              <w:right w:val="nil"/>
            </w:tcBorders>
            <w:vAlign w:val="center"/>
          </w:tcPr>
          <w:p w14:paraId="3A53F7B8" w14:textId="77777777" w:rsidR="004C6421" w:rsidRDefault="004C6421">
            <w:pPr>
              <w:rPr>
                <w:noProof/>
              </w:rPr>
            </w:pPr>
          </w:p>
        </w:tc>
      </w:tr>
      <w:tr w:rsidR="004C6421" w14:paraId="280DD2C1"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C59C869" w14:textId="77777777" w:rsidR="004C6421" w:rsidRDefault="009D1962">
            <w:pPr>
              <w:pStyle w:val="P68B1DB1-Normal8"/>
              <w:jc w:val="center"/>
              <w:rPr>
                <w:noProof/>
              </w:rPr>
            </w:pPr>
            <w:r>
              <w:rPr>
                <w:noProof/>
              </w:rPr>
              <w:t>M1C1-141</w:t>
            </w:r>
          </w:p>
        </w:tc>
        <w:tc>
          <w:tcPr>
            <w:tcW w:w="362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B6A2A93" w14:textId="77777777" w:rsidR="004C6421" w:rsidRDefault="009D1962">
            <w:pPr>
              <w:pStyle w:val="P68B1DB1-Normal8"/>
              <w:rPr>
                <w:noProof/>
              </w:rPr>
            </w:pPr>
            <w:r>
              <w:rPr>
                <w:noProof/>
              </w:rPr>
              <w:t>Inwestycje 1.6.4 – Cyfryzacja Ministerstwa Obrony</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2F03FB6" w14:textId="77777777" w:rsidR="004C6421" w:rsidRDefault="009D1962">
            <w:pPr>
              <w:pStyle w:val="P68B1DB1-Normal8"/>
              <w:jc w:val="center"/>
              <w:rPr>
                <w:noProof/>
              </w:rPr>
            </w:pPr>
            <w:r>
              <w:rPr>
                <w:noProof/>
              </w:rPr>
              <w:t>Cel</w:t>
            </w:r>
          </w:p>
        </w:tc>
        <w:tc>
          <w:tcPr>
            <w:tcW w:w="348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5C92221" w14:textId="77777777" w:rsidR="004C6421" w:rsidRDefault="009D1962">
            <w:pPr>
              <w:pStyle w:val="P68B1DB1-Normal8"/>
              <w:rPr>
                <w:noProof/>
              </w:rPr>
            </w:pPr>
            <w:r>
              <w:rPr>
                <w:noProof/>
              </w:rPr>
              <w:t>Cyfryzacja procedur Ministerstwa Obrony T2</w:t>
            </w:r>
          </w:p>
        </w:tc>
        <w:tc>
          <w:tcPr>
            <w:tcW w:w="236" w:type="dxa"/>
            <w:tcBorders>
              <w:top w:val="nil"/>
              <w:left w:val="single" w:sz="8" w:space="0" w:color="auto"/>
              <w:bottom w:val="nil"/>
              <w:right w:val="nil"/>
            </w:tcBorders>
            <w:vAlign w:val="center"/>
          </w:tcPr>
          <w:p w14:paraId="002F0CE1" w14:textId="77777777" w:rsidR="004C6421" w:rsidRDefault="004C6421">
            <w:pPr>
              <w:rPr>
                <w:noProof/>
              </w:rPr>
            </w:pPr>
          </w:p>
        </w:tc>
      </w:tr>
      <w:tr w:rsidR="004C6421" w14:paraId="1FE0326C"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55B06BD" w14:textId="77777777" w:rsidR="004C6421" w:rsidRDefault="009D1962">
            <w:pPr>
              <w:pStyle w:val="P68B1DB1-Normal8"/>
              <w:jc w:val="center"/>
              <w:rPr>
                <w:noProof/>
              </w:rPr>
            </w:pPr>
            <w:r>
              <w:rPr>
                <w:noProof/>
              </w:rPr>
              <w:t>M1C1-142</w:t>
            </w:r>
          </w:p>
        </w:tc>
        <w:tc>
          <w:tcPr>
            <w:tcW w:w="362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01E539C" w14:textId="77777777" w:rsidR="004C6421" w:rsidRDefault="009D1962">
            <w:pPr>
              <w:pStyle w:val="P68B1DB1-Normal8"/>
              <w:rPr>
                <w:noProof/>
              </w:rPr>
            </w:pPr>
            <w:r>
              <w:rPr>
                <w:noProof/>
              </w:rPr>
              <w:t>Inwestycje 1.6.4 – Cyfryzacja Ministerstwa Obrony</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67A3E12" w14:textId="77777777" w:rsidR="004C6421" w:rsidRDefault="009D1962">
            <w:pPr>
              <w:pStyle w:val="P68B1DB1-Normal8"/>
              <w:jc w:val="center"/>
              <w:rPr>
                <w:noProof/>
              </w:rPr>
            </w:pPr>
            <w:r>
              <w:rPr>
                <w:noProof/>
              </w:rPr>
              <w:t>Cel</w:t>
            </w:r>
          </w:p>
        </w:tc>
        <w:tc>
          <w:tcPr>
            <w:tcW w:w="348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AAC0D6F" w14:textId="77777777" w:rsidR="004C6421" w:rsidRDefault="009D1962">
            <w:pPr>
              <w:pStyle w:val="P68B1DB1-Normal8"/>
              <w:rPr>
                <w:noProof/>
              </w:rPr>
            </w:pPr>
            <w:r>
              <w:rPr>
                <w:noProof/>
              </w:rPr>
              <w:t>Cyfryzacja certyfikatów Ministerstwa Obrony T2</w:t>
            </w:r>
          </w:p>
        </w:tc>
        <w:tc>
          <w:tcPr>
            <w:tcW w:w="236" w:type="dxa"/>
            <w:tcBorders>
              <w:top w:val="nil"/>
              <w:left w:val="single" w:sz="8" w:space="0" w:color="auto"/>
              <w:bottom w:val="nil"/>
              <w:right w:val="nil"/>
            </w:tcBorders>
            <w:vAlign w:val="center"/>
          </w:tcPr>
          <w:p w14:paraId="758C3BD4" w14:textId="77777777" w:rsidR="004C6421" w:rsidRDefault="004C6421">
            <w:pPr>
              <w:rPr>
                <w:noProof/>
              </w:rPr>
            </w:pPr>
          </w:p>
        </w:tc>
      </w:tr>
      <w:tr w:rsidR="004C6421" w14:paraId="794A8151"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6FB1D31" w14:textId="77777777" w:rsidR="004C6421" w:rsidRDefault="009D1962">
            <w:pPr>
              <w:pStyle w:val="P68B1DB1-Normal8"/>
              <w:jc w:val="center"/>
              <w:rPr>
                <w:noProof/>
              </w:rPr>
            </w:pPr>
            <w:r>
              <w:rPr>
                <w:noProof/>
              </w:rPr>
              <w:t>M1C1-143</w:t>
            </w:r>
          </w:p>
        </w:tc>
        <w:tc>
          <w:tcPr>
            <w:tcW w:w="362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A9BD757" w14:textId="77777777" w:rsidR="004C6421" w:rsidRDefault="009D1962">
            <w:pPr>
              <w:pStyle w:val="P68B1DB1-Normal8"/>
              <w:rPr>
                <w:noProof/>
              </w:rPr>
            </w:pPr>
            <w:r>
              <w:rPr>
                <w:noProof/>
              </w:rPr>
              <w:t>Inwestycje 1.6.4 – Cyfryzacja Ministerstwa Obrony</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7A0E5DE" w14:textId="77777777" w:rsidR="004C6421" w:rsidRDefault="009D1962">
            <w:pPr>
              <w:pStyle w:val="P68B1DB1-Normal8"/>
              <w:jc w:val="center"/>
              <w:rPr>
                <w:noProof/>
              </w:rPr>
            </w:pPr>
            <w:r>
              <w:rPr>
                <w:noProof/>
              </w:rPr>
              <w:t>Cel</w:t>
            </w:r>
          </w:p>
        </w:tc>
        <w:tc>
          <w:tcPr>
            <w:tcW w:w="348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29F5782" w14:textId="77777777" w:rsidR="004C6421" w:rsidRDefault="009D1962">
            <w:pPr>
              <w:pStyle w:val="P68B1DB1-Normal8"/>
              <w:rPr>
                <w:noProof/>
              </w:rPr>
            </w:pPr>
            <w:r>
              <w:rPr>
                <w:noProof/>
              </w:rPr>
              <w:t>Ministerstwo Obrony – Migracja aplikacji o krytycznym znaczeniu niezwiązanych z misją do rozwiązania w zakresie pełnej ochrony informacji przez otwarcie infrastruktury (S.C.I.P.I.O.) T2</w:t>
            </w:r>
          </w:p>
        </w:tc>
        <w:tc>
          <w:tcPr>
            <w:tcW w:w="236" w:type="dxa"/>
            <w:tcBorders>
              <w:top w:val="nil"/>
              <w:left w:val="single" w:sz="8" w:space="0" w:color="auto"/>
              <w:bottom w:val="nil"/>
              <w:right w:val="nil"/>
            </w:tcBorders>
            <w:vAlign w:val="center"/>
          </w:tcPr>
          <w:p w14:paraId="55ECD23E" w14:textId="77777777" w:rsidR="004C6421" w:rsidRDefault="004C6421">
            <w:pPr>
              <w:rPr>
                <w:noProof/>
              </w:rPr>
            </w:pPr>
          </w:p>
        </w:tc>
      </w:tr>
      <w:tr w:rsidR="004C6421" w14:paraId="1A39FDA6"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A4FF6BD" w14:textId="77777777" w:rsidR="004C6421" w:rsidRDefault="009D1962">
            <w:pPr>
              <w:pStyle w:val="P68B1DB1-Normal8"/>
              <w:jc w:val="center"/>
              <w:rPr>
                <w:noProof/>
              </w:rPr>
            </w:pPr>
            <w:r>
              <w:rPr>
                <w:noProof/>
              </w:rPr>
              <w:t>M1C2-19</w:t>
            </w:r>
          </w:p>
        </w:tc>
        <w:tc>
          <w:tcPr>
            <w:tcW w:w="362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8B9834F" w14:textId="77777777" w:rsidR="004C6421" w:rsidRDefault="009D1962">
            <w:pPr>
              <w:pStyle w:val="P68B1DB1-Normal8"/>
              <w:rPr>
                <w:noProof/>
              </w:rPr>
            </w:pPr>
            <w:r>
              <w:rPr>
                <w:noProof/>
              </w:rPr>
              <w:t>Inwestycja 3: Szybkie połączenia internetowe (sieci szerokopasmowe i 5G)</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FEF2E96" w14:textId="77777777" w:rsidR="004C6421" w:rsidRDefault="009D1962">
            <w:pPr>
              <w:pStyle w:val="P68B1DB1-Normal8"/>
              <w:jc w:val="center"/>
              <w:rPr>
                <w:noProof/>
              </w:rPr>
            </w:pPr>
            <w:r>
              <w:rPr>
                <w:noProof/>
              </w:rPr>
              <w:t>Cel</w:t>
            </w:r>
          </w:p>
        </w:tc>
        <w:tc>
          <w:tcPr>
            <w:tcW w:w="348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5DB15DF" w14:textId="77777777" w:rsidR="004C6421" w:rsidRDefault="009D1962">
            <w:pPr>
              <w:pStyle w:val="P68B1DB1-Normal8"/>
              <w:rPr>
                <w:noProof/>
              </w:rPr>
            </w:pPr>
            <w:r>
              <w:rPr>
                <w:noProof/>
              </w:rPr>
              <w:t>Wyspy zapewniają łączność ultraszerokopasmową</w:t>
            </w:r>
          </w:p>
        </w:tc>
        <w:tc>
          <w:tcPr>
            <w:tcW w:w="236" w:type="dxa"/>
            <w:tcBorders>
              <w:top w:val="nil"/>
              <w:left w:val="single" w:sz="8" w:space="0" w:color="auto"/>
              <w:bottom w:val="nil"/>
              <w:right w:val="nil"/>
            </w:tcBorders>
            <w:vAlign w:val="center"/>
          </w:tcPr>
          <w:p w14:paraId="00E2DCB7" w14:textId="77777777" w:rsidR="004C6421" w:rsidRDefault="004C6421">
            <w:pPr>
              <w:rPr>
                <w:noProof/>
              </w:rPr>
            </w:pPr>
          </w:p>
        </w:tc>
      </w:tr>
      <w:tr w:rsidR="004C6421" w14:paraId="3ACDE0B6"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DC48061" w14:textId="77777777" w:rsidR="004C6421" w:rsidRDefault="009D1962">
            <w:pPr>
              <w:pStyle w:val="P68B1DB1-Normal8"/>
              <w:jc w:val="center"/>
              <w:rPr>
                <w:noProof/>
              </w:rPr>
            </w:pPr>
            <w:r>
              <w:rPr>
                <w:noProof/>
              </w:rPr>
              <w:t>M1C2-30</w:t>
            </w:r>
          </w:p>
        </w:tc>
        <w:tc>
          <w:tcPr>
            <w:tcW w:w="362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67DDB9F" w14:textId="77777777" w:rsidR="004C6421" w:rsidRDefault="009D1962">
            <w:pPr>
              <w:pStyle w:val="P68B1DB1-Normal8"/>
              <w:rPr>
                <w:noProof/>
              </w:rPr>
            </w:pPr>
            <w:r>
              <w:rPr>
                <w:noProof/>
              </w:rPr>
              <w:t>Inwestycja 7. Wsparcie systemu produkcji na rzecz transformacji ekologicznej, technologii neutralnych emisyjnie oraz konkurencyjności i odporności strategicznych łańcuchów dostaw</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55F44C5" w14:textId="76310C42" w:rsidR="004C6421" w:rsidRDefault="00CC179E">
            <w:pPr>
              <w:pStyle w:val="P68B1DB1-Normal8"/>
              <w:rPr>
                <w:noProof/>
              </w:rPr>
            </w:pPr>
            <w:r>
              <w:rPr>
                <w:noProof/>
              </w:rPr>
              <w:t>Milowy</w:t>
            </w:r>
          </w:p>
        </w:tc>
        <w:tc>
          <w:tcPr>
            <w:tcW w:w="348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2DE0386" w14:textId="77777777" w:rsidR="004C6421" w:rsidRDefault="009D1962">
            <w:pPr>
              <w:pStyle w:val="P68B1DB1-Normal8"/>
              <w:rPr>
                <w:noProof/>
              </w:rPr>
            </w:pPr>
            <w:r>
              <w:rPr>
                <w:noProof/>
              </w:rPr>
              <w:t>Umowa wykonawcza</w:t>
            </w:r>
          </w:p>
        </w:tc>
        <w:tc>
          <w:tcPr>
            <w:tcW w:w="236" w:type="dxa"/>
            <w:tcBorders>
              <w:top w:val="nil"/>
              <w:left w:val="single" w:sz="8" w:space="0" w:color="auto"/>
              <w:bottom w:val="nil"/>
              <w:right w:val="nil"/>
            </w:tcBorders>
            <w:vAlign w:val="center"/>
          </w:tcPr>
          <w:p w14:paraId="1A39E9DF" w14:textId="77777777" w:rsidR="004C6421" w:rsidRDefault="004C6421">
            <w:pPr>
              <w:rPr>
                <w:noProof/>
              </w:rPr>
            </w:pPr>
          </w:p>
        </w:tc>
      </w:tr>
      <w:tr w:rsidR="004C6421" w14:paraId="18F0A7F9"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73288A7" w14:textId="77777777" w:rsidR="004C6421" w:rsidRDefault="009D1962">
            <w:pPr>
              <w:pStyle w:val="P68B1DB1-Normal8"/>
              <w:jc w:val="center"/>
              <w:rPr>
                <w:noProof/>
              </w:rPr>
            </w:pPr>
            <w:r>
              <w:rPr>
                <w:noProof/>
              </w:rPr>
              <w:t>M1C2-31</w:t>
            </w:r>
          </w:p>
        </w:tc>
        <w:tc>
          <w:tcPr>
            <w:tcW w:w="362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8B11CAD" w14:textId="77777777" w:rsidR="004C6421" w:rsidRDefault="009D1962">
            <w:pPr>
              <w:pStyle w:val="P68B1DB1-Normal8"/>
              <w:rPr>
                <w:noProof/>
              </w:rPr>
            </w:pPr>
            <w:r>
              <w:rPr>
                <w:noProof/>
              </w:rPr>
              <w:t>Inwestycje 7 Wsparcie systemu produkcji na potrzeby transformacji ekologicznej, technologii neutralnych emisyjnie oraz konkurencyjności i odporności strategicznych łańcuchów dostaw</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DA5E08D" w14:textId="52B0401A" w:rsidR="004C6421" w:rsidRDefault="00CC179E">
            <w:pPr>
              <w:pStyle w:val="P68B1DB1-Normal8"/>
              <w:rPr>
                <w:noProof/>
              </w:rPr>
            </w:pPr>
            <w:r>
              <w:rPr>
                <w:noProof/>
              </w:rPr>
              <w:t>Milowy</w:t>
            </w:r>
          </w:p>
        </w:tc>
        <w:tc>
          <w:tcPr>
            <w:tcW w:w="348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FA47AE8" w14:textId="77777777" w:rsidR="004C6421" w:rsidRDefault="009D1962">
            <w:pPr>
              <w:pStyle w:val="P68B1DB1-Normal8"/>
              <w:rPr>
                <w:noProof/>
              </w:rPr>
            </w:pPr>
            <w:r>
              <w:rPr>
                <w:noProof/>
              </w:rPr>
              <w:t>Ministerstwo Przedsiębiorstw i Made we Włoszech zakończyło inwestycję</w:t>
            </w:r>
          </w:p>
        </w:tc>
        <w:tc>
          <w:tcPr>
            <w:tcW w:w="236" w:type="dxa"/>
            <w:tcBorders>
              <w:top w:val="nil"/>
              <w:left w:val="single" w:sz="8" w:space="0" w:color="auto"/>
              <w:bottom w:val="nil"/>
              <w:right w:val="nil"/>
            </w:tcBorders>
            <w:vAlign w:val="center"/>
          </w:tcPr>
          <w:p w14:paraId="440BEF85" w14:textId="77777777" w:rsidR="004C6421" w:rsidRDefault="004C6421">
            <w:pPr>
              <w:rPr>
                <w:noProof/>
              </w:rPr>
            </w:pPr>
          </w:p>
        </w:tc>
      </w:tr>
      <w:tr w:rsidR="004C6421" w14:paraId="4C0709A3"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368A916" w14:textId="77777777" w:rsidR="004C6421" w:rsidRDefault="009D1962">
            <w:pPr>
              <w:pStyle w:val="P68B1DB1-Normal8"/>
              <w:jc w:val="center"/>
              <w:rPr>
                <w:noProof/>
              </w:rPr>
            </w:pPr>
            <w:r>
              <w:rPr>
                <w:noProof/>
              </w:rPr>
              <w:t>M1C3-27</w:t>
            </w:r>
          </w:p>
        </w:tc>
        <w:tc>
          <w:tcPr>
            <w:tcW w:w="362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12BA295" w14:textId="77777777" w:rsidR="004C6421" w:rsidRDefault="009D1962">
            <w:pPr>
              <w:pStyle w:val="P68B1DB1-Normal8"/>
              <w:rPr>
                <w:noProof/>
              </w:rPr>
            </w:pPr>
            <w:r>
              <w:rPr>
                <w:noProof/>
              </w:rPr>
              <w:t>Inwestycje – 4.3 Caput Mundi-Next Generation EU na rzecz wielkich imprez turystycznych</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209160E" w14:textId="77777777" w:rsidR="004C6421" w:rsidRDefault="009D1962">
            <w:pPr>
              <w:pStyle w:val="P68B1DB1-Normal8"/>
              <w:jc w:val="center"/>
              <w:rPr>
                <w:noProof/>
              </w:rPr>
            </w:pPr>
            <w:r>
              <w:rPr>
                <w:noProof/>
              </w:rPr>
              <w:t>Cel</w:t>
            </w:r>
          </w:p>
        </w:tc>
        <w:tc>
          <w:tcPr>
            <w:tcW w:w="348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19FEE73" w14:textId="77777777" w:rsidR="004C6421" w:rsidRDefault="009D1962">
            <w:pPr>
              <w:pStyle w:val="P68B1DB1-Normal8"/>
              <w:rPr>
                <w:noProof/>
              </w:rPr>
            </w:pPr>
            <w:r>
              <w:rPr>
                <w:noProof/>
              </w:rPr>
              <w:t xml:space="preserve">Liczba obiektów kulturalnych i turystycznych, których przekwalifikowanie osiągnęło średnio 50 % udziałów Stato Avanzamento Lavori (SAL) (pierwsza partia) </w:t>
            </w:r>
          </w:p>
        </w:tc>
        <w:tc>
          <w:tcPr>
            <w:tcW w:w="236" w:type="dxa"/>
            <w:tcBorders>
              <w:top w:val="nil"/>
              <w:left w:val="single" w:sz="8" w:space="0" w:color="auto"/>
              <w:bottom w:val="nil"/>
              <w:right w:val="nil"/>
            </w:tcBorders>
            <w:vAlign w:val="center"/>
          </w:tcPr>
          <w:p w14:paraId="1F8BAA0A" w14:textId="77777777" w:rsidR="004C6421" w:rsidRDefault="004C6421">
            <w:pPr>
              <w:rPr>
                <w:noProof/>
              </w:rPr>
            </w:pPr>
          </w:p>
        </w:tc>
      </w:tr>
      <w:tr w:rsidR="004C6421" w14:paraId="2369624E"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509A169" w14:textId="77777777" w:rsidR="004C6421" w:rsidRDefault="009D1962">
            <w:pPr>
              <w:pStyle w:val="P68B1DB1-Normal8"/>
              <w:jc w:val="center"/>
              <w:rPr>
                <w:noProof/>
              </w:rPr>
            </w:pPr>
            <w:r>
              <w:rPr>
                <w:noProof/>
              </w:rPr>
              <w:t>M2C1-16ter</w:t>
            </w:r>
          </w:p>
        </w:tc>
        <w:tc>
          <w:tcPr>
            <w:tcW w:w="362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D8201E7" w14:textId="77777777" w:rsidR="004C6421" w:rsidRDefault="009D1962">
            <w:pPr>
              <w:pStyle w:val="P68B1DB1-Normal8"/>
              <w:rPr>
                <w:noProof/>
              </w:rPr>
            </w:pPr>
            <w:r>
              <w:rPr>
                <w:noProof/>
              </w:rPr>
              <w:t>Inwestycje 1.1 – Wdrażanie nowych zakładów gospodarki odpadami i modernizacja istniejących obiektów</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F8FBCB5" w14:textId="77777777" w:rsidR="004C6421" w:rsidRDefault="009D1962">
            <w:pPr>
              <w:pStyle w:val="P68B1DB1-Normal8"/>
              <w:jc w:val="center"/>
              <w:rPr>
                <w:noProof/>
              </w:rPr>
            </w:pPr>
            <w:r>
              <w:rPr>
                <w:noProof/>
              </w:rPr>
              <w:t>Cel</w:t>
            </w:r>
          </w:p>
        </w:tc>
        <w:tc>
          <w:tcPr>
            <w:tcW w:w="348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84731A9" w14:textId="77777777" w:rsidR="004C6421" w:rsidRDefault="009D1962">
            <w:pPr>
              <w:pStyle w:val="P68B1DB1-Normal8"/>
              <w:rPr>
                <w:noProof/>
              </w:rPr>
            </w:pPr>
            <w:r>
              <w:rPr>
                <w:noProof/>
              </w:rPr>
              <w:t>Regionalne różnice w poziomach selektywnej zbiórki</w:t>
            </w:r>
          </w:p>
        </w:tc>
        <w:tc>
          <w:tcPr>
            <w:tcW w:w="236" w:type="dxa"/>
            <w:tcBorders>
              <w:top w:val="nil"/>
              <w:left w:val="single" w:sz="8" w:space="0" w:color="auto"/>
              <w:bottom w:val="nil"/>
              <w:right w:val="nil"/>
            </w:tcBorders>
            <w:vAlign w:val="center"/>
          </w:tcPr>
          <w:p w14:paraId="0E490C4B" w14:textId="77777777" w:rsidR="004C6421" w:rsidRDefault="004C6421">
            <w:pPr>
              <w:rPr>
                <w:noProof/>
              </w:rPr>
            </w:pPr>
          </w:p>
        </w:tc>
      </w:tr>
      <w:tr w:rsidR="004C6421" w14:paraId="6EE702CB"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CED01A3" w14:textId="77777777" w:rsidR="004C6421" w:rsidRDefault="009D1962">
            <w:pPr>
              <w:pStyle w:val="P68B1DB1-Normal8"/>
              <w:jc w:val="center"/>
              <w:rPr>
                <w:noProof/>
              </w:rPr>
            </w:pPr>
            <w:r>
              <w:rPr>
                <w:noProof/>
              </w:rPr>
              <w:t>M2C1-25</w:t>
            </w:r>
          </w:p>
        </w:tc>
        <w:tc>
          <w:tcPr>
            <w:tcW w:w="362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B647FA3" w14:textId="77777777" w:rsidR="004C6421" w:rsidRDefault="009D1962">
            <w:pPr>
              <w:pStyle w:val="P68B1DB1-Normal8"/>
              <w:rPr>
                <w:noProof/>
              </w:rPr>
            </w:pPr>
            <w:r>
              <w:rPr>
                <w:noProof/>
              </w:rPr>
              <w:t>Inwestycja 3.4: Fondo Contratti di Filiera (FCF) w celu wsparcia zamówień na łańcuchy dostaw dla sektorów rolno-spożywczego, rybołówstwa i akwakultury, leśnictwa, kwiaciarstwa i szkółek roślin</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9817D9C" w14:textId="4E9816A9" w:rsidR="004C6421" w:rsidRDefault="00CC179E">
            <w:pPr>
              <w:pStyle w:val="P68B1DB1-Normal8"/>
              <w:jc w:val="center"/>
              <w:rPr>
                <w:noProof/>
              </w:rPr>
            </w:pPr>
            <w:r>
              <w:rPr>
                <w:noProof/>
              </w:rPr>
              <w:t>Milowy</w:t>
            </w:r>
          </w:p>
        </w:tc>
        <w:tc>
          <w:tcPr>
            <w:tcW w:w="348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7BCAB01" w14:textId="77777777" w:rsidR="004C6421" w:rsidRDefault="009D1962">
            <w:pPr>
              <w:pStyle w:val="P68B1DB1-Normal8"/>
              <w:rPr>
                <w:noProof/>
              </w:rPr>
            </w:pPr>
            <w:r>
              <w:rPr>
                <w:noProof/>
              </w:rPr>
              <w:t>Ministerstwo przekazało ogólną kwotę zasobów</w:t>
            </w:r>
          </w:p>
        </w:tc>
        <w:tc>
          <w:tcPr>
            <w:tcW w:w="236" w:type="dxa"/>
            <w:tcBorders>
              <w:top w:val="nil"/>
              <w:left w:val="single" w:sz="8" w:space="0" w:color="auto"/>
              <w:bottom w:val="nil"/>
              <w:right w:val="nil"/>
            </w:tcBorders>
            <w:vAlign w:val="center"/>
          </w:tcPr>
          <w:p w14:paraId="0BF91D55" w14:textId="77777777" w:rsidR="004C6421" w:rsidRDefault="004C6421">
            <w:pPr>
              <w:rPr>
                <w:noProof/>
              </w:rPr>
            </w:pPr>
          </w:p>
        </w:tc>
      </w:tr>
      <w:tr w:rsidR="004C6421" w14:paraId="4F78E598"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F631970" w14:textId="77777777" w:rsidR="004C6421" w:rsidRDefault="009D1962">
            <w:pPr>
              <w:pStyle w:val="P68B1DB1-Normal8"/>
              <w:jc w:val="center"/>
              <w:rPr>
                <w:noProof/>
              </w:rPr>
            </w:pPr>
            <w:r>
              <w:rPr>
                <w:noProof/>
              </w:rPr>
              <w:t>M2C2-9</w:t>
            </w:r>
          </w:p>
        </w:tc>
        <w:tc>
          <w:tcPr>
            <w:tcW w:w="362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7D3A28D" w14:textId="77777777" w:rsidR="004C6421" w:rsidRDefault="009D1962">
            <w:pPr>
              <w:pStyle w:val="P68B1DB1-Normal8"/>
              <w:rPr>
                <w:noProof/>
              </w:rPr>
            </w:pPr>
            <w:r>
              <w:rPr>
                <w:noProof/>
              </w:rPr>
              <w:t>Inwestycje 2.1 Wzmocnienie inteligentnych sieci</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D0FABED" w14:textId="77777777" w:rsidR="004C6421" w:rsidRDefault="009D1962">
            <w:pPr>
              <w:pStyle w:val="P68B1DB1-Normal8"/>
              <w:jc w:val="center"/>
              <w:rPr>
                <w:noProof/>
              </w:rPr>
            </w:pPr>
            <w:r>
              <w:rPr>
                <w:noProof/>
              </w:rPr>
              <w:t>Cel</w:t>
            </w:r>
          </w:p>
        </w:tc>
        <w:tc>
          <w:tcPr>
            <w:tcW w:w="348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D437F7C" w14:textId="77777777" w:rsidR="004C6421" w:rsidRDefault="009D1962">
            <w:pPr>
              <w:pStyle w:val="P68B1DB1-Normal8"/>
              <w:rPr>
                <w:noProof/>
              </w:rPr>
            </w:pPr>
            <w:r>
              <w:rPr>
                <w:noProof/>
              </w:rPr>
              <w:t>Inteligentne sieci – Zwiększenie przepustowości sieci dystrybucji energii ze źródeł odnawialnych</w:t>
            </w:r>
          </w:p>
        </w:tc>
        <w:tc>
          <w:tcPr>
            <w:tcW w:w="236" w:type="dxa"/>
            <w:tcBorders>
              <w:top w:val="nil"/>
              <w:left w:val="single" w:sz="8" w:space="0" w:color="auto"/>
              <w:bottom w:val="nil"/>
              <w:right w:val="nil"/>
            </w:tcBorders>
            <w:vAlign w:val="center"/>
          </w:tcPr>
          <w:p w14:paraId="617E9076" w14:textId="77777777" w:rsidR="004C6421" w:rsidRDefault="004C6421">
            <w:pPr>
              <w:rPr>
                <w:noProof/>
              </w:rPr>
            </w:pPr>
          </w:p>
        </w:tc>
      </w:tr>
      <w:tr w:rsidR="004C6421" w14:paraId="25F9ACC4"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C0CD32E" w14:textId="77777777" w:rsidR="004C6421" w:rsidRDefault="009D1962">
            <w:pPr>
              <w:pStyle w:val="P68B1DB1-Normal8"/>
              <w:jc w:val="center"/>
              <w:rPr>
                <w:noProof/>
              </w:rPr>
            </w:pPr>
            <w:r>
              <w:rPr>
                <w:noProof/>
              </w:rPr>
              <w:t>M2C2-34</w:t>
            </w:r>
          </w:p>
        </w:tc>
        <w:tc>
          <w:tcPr>
            <w:tcW w:w="362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30E792E" w14:textId="77777777" w:rsidR="004C6421" w:rsidRDefault="009D1962">
            <w:pPr>
              <w:pStyle w:val="P68B1DB1-Normal8"/>
              <w:rPr>
                <w:noProof/>
              </w:rPr>
            </w:pPr>
            <w:r>
              <w:rPr>
                <w:noProof/>
              </w:rPr>
              <w:t>Inwestycja 4.4.1: Wzmocnienie floty autobusów transportu publicznego bezemisyjnymi niskopodłogowymi autobusami</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D4BC217" w14:textId="77777777" w:rsidR="004C6421" w:rsidRDefault="009D1962">
            <w:pPr>
              <w:pStyle w:val="P68B1DB1-Normal8"/>
              <w:jc w:val="center"/>
              <w:rPr>
                <w:noProof/>
              </w:rPr>
            </w:pPr>
            <w:r>
              <w:rPr>
                <w:noProof/>
              </w:rPr>
              <w:t>Cel</w:t>
            </w:r>
          </w:p>
        </w:tc>
        <w:tc>
          <w:tcPr>
            <w:tcW w:w="348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E61A0CD" w14:textId="77777777" w:rsidR="004C6421" w:rsidRDefault="009D1962">
            <w:pPr>
              <w:pStyle w:val="P68B1DB1-Normal8"/>
              <w:rPr>
                <w:noProof/>
              </w:rPr>
            </w:pPr>
            <w:r>
              <w:rPr>
                <w:noProof/>
              </w:rPr>
              <w:t>Liczba bezemisyjnych autobusów niskopodłogowych zakupionych T1</w:t>
            </w:r>
          </w:p>
        </w:tc>
        <w:tc>
          <w:tcPr>
            <w:tcW w:w="236" w:type="dxa"/>
            <w:tcBorders>
              <w:top w:val="nil"/>
              <w:left w:val="single" w:sz="8" w:space="0" w:color="auto"/>
              <w:bottom w:val="nil"/>
              <w:right w:val="nil"/>
            </w:tcBorders>
            <w:vAlign w:val="center"/>
          </w:tcPr>
          <w:p w14:paraId="0262DE60" w14:textId="77777777" w:rsidR="004C6421" w:rsidRDefault="004C6421">
            <w:pPr>
              <w:rPr>
                <w:noProof/>
              </w:rPr>
            </w:pPr>
          </w:p>
        </w:tc>
      </w:tr>
      <w:tr w:rsidR="004C6421" w14:paraId="4F0D72EE"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665B544" w14:textId="77777777" w:rsidR="004C6421" w:rsidRDefault="009D1962">
            <w:pPr>
              <w:pStyle w:val="P68B1DB1-Normal8"/>
              <w:jc w:val="center"/>
              <w:rPr>
                <w:noProof/>
              </w:rPr>
            </w:pPr>
            <w:r>
              <w:rPr>
                <w:noProof/>
              </w:rPr>
              <w:t>M2C2-34 Bis</w:t>
            </w:r>
          </w:p>
        </w:tc>
        <w:tc>
          <w:tcPr>
            <w:tcW w:w="362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6E7EF49" w14:textId="77777777" w:rsidR="004C6421" w:rsidRDefault="009D1962">
            <w:pPr>
              <w:pStyle w:val="P68B1DB1-Normal8"/>
              <w:rPr>
                <w:noProof/>
              </w:rPr>
            </w:pPr>
            <w:r>
              <w:rPr>
                <w:noProof/>
              </w:rPr>
              <w:t>Inwestycja 4.4.2:  Wzmocnienie regionalnego taboru kolejowego transportu publicznego z pociągami bezemisyjnymi i usługą powszechną</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AD3877A" w14:textId="77777777" w:rsidR="004C6421" w:rsidRDefault="009D1962">
            <w:pPr>
              <w:pStyle w:val="P68B1DB1-Normal8"/>
              <w:jc w:val="center"/>
              <w:rPr>
                <w:noProof/>
              </w:rPr>
            </w:pPr>
            <w:r>
              <w:rPr>
                <w:noProof/>
              </w:rPr>
              <w:t>Cel</w:t>
            </w:r>
          </w:p>
        </w:tc>
        <w:tc>
          <w:tcPr>
            <w:tcW w:w="348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00149DC" w14:textId="77777777" w:rsidR="004C6421" w:rsidRDefault="009D1962">
            <w:pPr>
              <w:pStyle w:val="P68B1DB1-Normal8"/>
              <w:rPr>
                <w:noProof/>
              </w:rPr>
            </w:pPr>
            <w:r>
              <w:rPr>
                <w:noProof/>
              </w:rPr>
              <w:t>Liczba pociągów bezemisyjnych T1</w:t>
            </w:r>
          </w:p>
        </w:tc>
        <w:tc>
          <w:tcPr>
            <w:tcW w:w="236" w:type="dxa"/>
            <w:tcBorders>
              <w:top w:val="nil"/>
              <w:left w:val="single" w:sz="8" w:space="0" w:color="auto"/>
              <w:bottom w:val="nil"/>
              <w:right w:val="nil"/>
            </w:tcBorders>
            <w:vAlign w:val="center"/>
          </w:tcPr>
          <w:p w14:paraId="6C7B3E2F" w14:textId="77777777" w:rsidR="004C6421" w:rsidRDefault="004C6421">
            <w:pPr>
              <w:rPr>
                <w:noProof/>
              </w:rPr>
            </w:pPr>
          </w:p>
        </w:tc>
      </w:tr>
      <w:tr w:rsidR="004C6421" w14:paraId="510B6F70"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1FEF6FE" w14:textId="77777777" w:rsidR="004C6421" w:rsidRDefault="009D1962">
            <w:pPr>
              <w:pStyle w:val="P68B1DB1-Normal8"/>
              <w:jc w:val="center"/>
              <w:rPr>
                <w:noProof/>
              </w:rPr>
            </w:pPr>
            <w:r>
              <w:rPr>
                <w:noProof/>
              </w:rPr>
              <w:t>M2C2-38bis</w:t>
            </w:r>
          </w:p>
        </w:tc>
        <w:tc>
          <w:tcPr>
            <w:tcW w:w="362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D5642A5" w14:textId="77777777" w:rsidR="004C6421" w:rsidRDefault="009D1962">
            <w:pPr>
              <w:pStyle w:val="P68B1DB1-Normal8"/>
              <w:rPr>
                <w:noProof/>
              </w:rPr>
            </w:pPr>
            <w:r>
              <w:rPr>
                <w:noProof/>
              </w:rPr>
              <w:t>Inwestycja 5.1: Odnawialne źródła energii i baterie</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1477BA6" w14:textId="3BAA3CD8" w:rsidR="004C6421" w:rsidRDefault="00CC179E">
            <w:pPr>
              <w:pStyle w:val="P68B1DB1-Normal8"/>
              <w:jc w:val="center"/>
              <w:rPr>
                <w:noProof/>
              </w:rPr>
            </w:pPr>
            <w:r>
              <w:rPr>
                <w:noProof/>
              </w:rPr>
              <w:t>Milowy</w:t>
            </w:r>
          </w:p>
        </w:tc>
        <w:tc>
          <w:tcPr>
            <w:tcW w:w="348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E5F62A1" w14:textId="77777777" w:rsidR="004C6421" w:rsidRDefault="009D1962">
            <w:pPr>
              <w:pStyle w:val="P68B1DB1-Normal8"/>
              <w:rPr>
                <w:noProof/>
              </w:rPr>
            </w:pPr>
            <w:r>
              <w:rPr>
                <w:noProof/>
              </w:rPr>
              <w:t>Umowa wykonawcza</w:t>
            </w:r>
          </w:p>
        </w:tc>
        <w:tc>
          <w:tcPr>
            <w:tcW w:w="236" w:type="dxa"/>
            <w:tcBorders>
              <w:top w:val="nil"/>
              <w:left w:val="single" w:sz="8" w:space="0" w:color="auto"/>
              <w:bottom w:val="nil"/>
              <w:right w:val="nil"/>
            </w:tcBorders>
            <w:vAlign w:val="center"/>
          </w:tcPr>
          <w:p w14:paraId="4C576D5D" w14:textId="77777777" w:rsidR="004C6421" w:rsidRDefault="004C6421">
            <w:pPr>
              <w:rPr>
                <w:noProof/>
              </w:rPr>
            </w:pPr>
          </w:p>
        </w:tc>
      </w:tr>
      <w:tr w:rsidR="004C6421" w14:paraId="4A0E045B"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EBEEFAF" w14:textId="77777777" w:rsidR="004C6421" w:rsidRDefault="009D1962">
            <w:pPr>
              <w:pStyle w:val="P68B1DB1-Normal8"/>
              <w:jc w:val="center"/>
              <w:rPr>
                <w:noProof/>
              </w:rPr>
            </w:pPr>
            <w:r>
              <w:rPr>
                <w:noProof/>
              </w:rPr>
              <w:t>M2C2-39</w:t>
            </w:r>
          </w:p>
        </w:tc>
        <w:tc>
          <w:tcPr>
            <w:tcW w:w="362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DFDD7CD" w14:textId="77777777" w:rsidR="004C6421" w:rsidRDefault="009D1962">
            <w:pPr>
              <w:pStyle w:val="P68B1DB1-Normal8"/>
              <w:rPr>
                <w:noProof/>
              </w:rPr>
            </w:pPr>
            <w:r>
              <w:rPr>
                <w:noProof/>
              </w:rPr>
              <w:t>Inwestycje 5.1.Odnawialne i akumulatory</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E4CBB66" w14:textId="0CECF015" w:rsidR="004C6421" w:rsidRDefault="00CC179E">
            <w:pPr>
              <w:pStyle w:val="P68B1DB1-Normal8"/>
              <w:jc w:val="center"/>
              <w:rPr>
                <w:noProof/>
              </w:rPr>
            </w:pPr>
            <w:r>
              <w:rPr>
                <w:noProof/>
              </w:rPr>
              <w:t>Milowy</w:t>
            </w:r>
          </w:p>
        </w:tc>
        <w:tc>
          <w:tcPr>
            <w:tcW w:w="348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0BE0F6B" w14:textId="77777777" w:rsidR="004C6421" w:rsidRDefault="009D1962">
            <w:pPr>
              <w:pStyle w:val="P68B1DB1-Normal8"/>
              <w:rPr>
                <w:noProof/>
              </w:rPr>
            </w:pPr>
            <w:r>
              <w:rPr>
                <w:noProof/>
              </w:rPr>
              <w:t>Ministerstwo Przedsiębiorstw i Made we Włoszech zakończyło przekazywanie środków do Invitalia S.p.A.</w:t>
            </w:r>
          </w:p>
        </w:tc>
        <w:tc>
          <w:tcPr>
            <w:tcW w:w="236" w:type="dxa"/>
            <w:tcBorders>
              <w:top w:val="nil"/>
              <w:left w:val="single" w:sz="8" w:space="0" w:color="auto"/>
              <w:bottom w:val="nil"/>
              <w:right w:val="nil"/>
            </w:tcBorders>
            <w:vAlign w:val="center"/>
          </w:tcPr>
          <w:p w14:paraId="46627422" w14:textId="77777777" w:rsidR="004C6421" w:rsidRDefault="004C6421">
            <w:pPr>
              <w:rPr>
                <w:noProof/>
              </w:rPr>
            </w:pPr>
          </w:p>
        </w:tc>
      </w:tr>
      <w:tr w:rsidR="004C6421" w14:paraId="7F655E44"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6CA0641" w14:textId="77777777" w:rsidR="004C6421" w:rsidRDefault="009D1962">
            <w:pPr>
              <w:pStyle w:val="P68B1DB1-Normal8"/>
              <w:jc w:val="center"/>
              <w:rPr>
                <w:noProof/>
              </w:rPr>
            </w:pPr>
            <w:r>
              <w:rPr>
                <w:noProof/>
              </w:rPr>
              <w:t xml:space="preserve">M2C2-42 BIS </w:t>
            </w:r>
          </w:p>
        </w:tc>
        <w:tc>
          <w:tcPr>
            <w:tcW w:w="362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F5EB45E" w14:textId="77777777" w:rsidR="004C6421" w:rsidRDefault="009D1962">
            <w:pPr>
              <w:pStyle w:val="P68B1DB1-Normal8"/>
              <w:rPr>
                <w:noProof/>
              </w:rPr>
            </w:pPr>
            <w:r>
              <w:rPr>
                <w:noProof/>
              </w:rPr>
              <w:t xml:space="preserve">Inwestycje 5.4 – Wsparcie dla przedsiębiorstw typu start-up i kapitału wysokiego ryzyka prowadzących działalność w zakresie transformacji ekologicznej.  </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F3A624C" w14:textId="78C2FF49" w:rsidR="004C6421" w:rsidRDefault="00CC179E">
            <w:pPr>
              <w:pStyle w:val="P68B1DB1-Normal8"/>
              <w:jc w:val="center"/>
              <w:rPr>
                <w:noProof/>
              </w:rPr>
            </w:pPr>
            <w:r>
              <w:rPr>
                <w:noProof/>
              </w:rPr>
              <w:t xml:space="preserve">Milowy </w:t>
            </w:r>
          </w:p>
        </w:tc>
        <w:tc>
          <w:tcPr>
            <w:tcW w:w="348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DD9E9E2" w14:textId="77777777" w:rsidR="004C6421" w:rsidRDefault="009D1962">
            <w:pPr>
              <w:pStyle w:val="P68B1DB1-Normal8"/>
              <w:rPr>
                <w:noProof/>
              </w:rPr>
            </w:pPr>
            <w:r>
              <w:rPr>
                <w:noProof/>
              </w:rPr>
              <w:t xml:space="preserve">Ministerstwo zakończyło przekazywanie środków do CDP Venture Capital SGR </w:t>
            </w:r>
          </w:p>
        </w:tc>
        <w:tc>
          <w:tcPr>
            <w:tcW w:w="236" w:type="dxa"/>
            <w:tcBorders>
              <w:top w:val="nil"/>
              <w:left w:val="single" w:sz="8" w:space="0" w:color="auto"/>
              <w:bottom w:val="nil"/>
              <w:right w:val="nil"/>
            </w:tcBorders>
            <w:vAlign w:val="center"/>
          </w:tcPr>
          <w:p w14:paraId="7BEE48A2" w14:textId="77777777" w:rsidR="004C6421" w:rsidRDefault="004C6421">
            <w:pPr>
              <w:rPr>
                <w:noProof/>
              </w:rPr>
            </w:pPr>
          </w:p>
        </w:tc>
      </w:tr>
      <w:tr w:rsidR="004C6421" w14:paraId="0167887F"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EDE5ACD" w14:textId="77777777" w:rsidR="004C6421" w:rsidRDefault="009D1962">
            <w:pPr>
              <w:pStyle w:val="P68B1DB1-Normal8"/>
              <w:jc w:val="center"/>
              <w:rPr>
                <w:noProof/>
              </w:rPr>
            </w:pPr>
            <w:r>
              <w:rPr>
                <w:noProof/>
              </w:rPr>
              <w:t>M2C2-44</w:t>
            </w:r>
          </w:p>
        </w:tc>
        <w:tc>
          <w:tcPr>
            <w:tcW w:w="362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34E4D4D" w14:textId="77777777" w:rsidR="004C6421" w:rsidRDefault="009D1962">
            <w:pPr>
              <w:pStyle w:val="P68B1DB1-Normal8"/>
              <w:rPr>
                <w:noProof/>
              </w:rPr>
            </w:pPr>
            <w:r>
              <w:rPr>
                <w:noProof/>
              </w:rPr>
              <w:t>Inwestycja 1.1 Rozwój systemów agrowoltaicznych</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DF8734A" w14:textId="6BC8936B" w:rsidR="004C6421" w:rsidRDefault="00CC179E">
            <w:pPr>
              <w:pStyle w:val="P68B1DB1-Normal8"/>
              <w:jc w:val="center"/>
              <w:rPr>
                <w:noProof/>
              </w:rPr>
            </w:pPr>
            <w:r>
              <w:rPr>
                <w:noProof/>
              </w:rPr>
              <w:t>Milowy</w:t>
            </w:r>
          </w:p>
        </w:tc>
        <w:tc>
          <w:tcPr>
            <w:tcW w:w="348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F6BC270" w14:textId="77777777" w:rsidR="004C6421" w:rsidRDefault="009D1962">
            <w:pPr>
              <w:pStyle w:val="P68B1DB1-Normal8"/>
              <w:rPr>
                <w:noProof/>
              </w:rPr>
            </w:pPr>
            <w:r>
              <w:rPr>
                <w:noProof/>
              </w:rPr>
              <w:t>Udzielanie wszystkich zamówień publicznych na instalację fotowoltaicznych paneli słonecznych w systemach rolniczych</w:t>
            </w:r>
          </w:p>
        </w:tc>
        <w:tc>
          <w:tcPr>
            <w:tcW w:w="236" w:type="dxa"/>
            <w:tcBorders>
              <w:top w:val="nil"/>
              <w:left w:val="single" w:sz="8" w:space="0" w:color="auto"/>
              <w:bottom w:val="nil"/>
              <w:right w:val="nil"/>
            </w:tcBorders>
            <w:vAlign w:val="center"/>
          </w:tcPr>
          <w:p w14:paraId="740F1362" w14:textId="77777777" w:rsidR="004C6421" w:rsidRDefault="004C6421">
            <w:pPr>
              <w:rPr>
                <w:noProof/>
              </w:rPr>
            </w:pPr>
          </w:p>
        </w:tc>
      </w:tr>
      <w:tr w:rsidR="004C6421" w14:paraId="21EB0417"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BEC2735" w14:textId="77777777" w:rsidR="004C6421" w:rsidRDefault="009D1962">
            <w:pPr>
              <w:pStyle w:val="P68B1DB1-Normal8"/>
              <w:jc w:val="center"/>
              <w:rPr>
                <w:noProof/>
              </w:rPr>
            </w:pPr>
            <w:r>
              <w:rPr>
                <w:noProof/>
              </w:rPr>
              <w:t>M2C4-22</w:t>
            </w:r>
          </w:p>
        </w:tc>
        <w:tc>
          <w:tcPr>
            <w:tcW w:w="362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DA90981" w14:textId="77777777" w:rsidR="004C6421" w:rsidRDefault="009D1962">
            <w:pPr>
              <w:pStyle w:val="P68B1DB1-Normal8"/>
              <w:rPr>
                <w:noProof/>
              </w:rPr>
            </w:pPr>
            <w:r>
              <w:rPr>
                <w:noProof/>
              </w:rPr>
              <w:t>Inwestycja 3.3 Renaturyzacja obszaru Po</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8DE526F" w14:textId="77777777" w:rsidR="004C6421" w:rsidRDefault="009D1962">
            <w:pPr>
              <w:pStyle w:val="P68B1DB1-Normal8"/>
              <w:jc w:val="center"/>
              <w:rPr>
                <w:noProof/>
              </w:rPr>
            </w:pPr>
            <w:r>
              <w:rPr>
                <w:noProof/>
              </w:rPr>
              <w:t>Cel</w:t>
            </w:r>
          </w:p>
        </w:tc>
        <w:tc>
          <w:tcPr>
            <w:tcW w:w="348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40D4B7C" w14:textId="77777777" w:rsidR="004C6421" w:rsidRDefault="009D1962">
            <w:pPr>
              <w:pStyle w:val="P68B1DB1-Normal8"/>
              <w:rPr>
                <w:noProof/>
              </w:rPr>
            </w:pPr>
            <w:r>
              <w:rPr>
                <w:noProof/>
              </w:rPr>
              <w:t xml:space="preserve">Ograniczenie sztucznej inteligencji koryta rzeki w celu renaturyfikacji obszaru Po T1 </w:t>
            </w:r>
          </w:p>
        </w:tc>
        <w:tc>
          <w:tcPr>
            <w:tcW w:w="236" w:type="dxa"/>
            <w:tcBorders>
              <w:top w:val="nil"/>
              <w:left w:val="single" w:sz="8" w:space="0" w:color="auto"/>
              <w:bottom w:val="nil"/>
              <w:right w:val="nil"/>
            </w:tcBorders>
            <w:vAlign w:val="center"/>
          </w:tcPr>
          <w:p w14:paraId="5D15A1BF" w14:textId="77777777" w:rsidR="004C6421" w:rsidRDefault="004C6421">
            <w:pPr>
              <w:rPr>
                <w:noProof/>
              </w:rPr>
            </w:pPr>
          </w:p>
        </w:tc>
      </w:tr>
      <w:tr w:rsidR="004C6421" w14:paraId="683B7A5F"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008A8D1" w14:textId="77777777" w:rsidR="004C6421" w:rsidRDefault="009D1962">
            <w:pPr>
              <w:pStyle w:val="P68B1DB1-Normal8"/>
              <w:jc w:val="center"/>
              <w:rPr>
                <w:noProof/>
              </w:rPr>
            </w:pPr>
            <w:r>
              <w:rPr>
                <w:noProof/>
              </w:rPr>
              <w:t>M2C4-31</w:t>
            </w:r>
          </w:p>
        </w:tc>
        <w:tc>
          <w:tcPr>
            <w:tcW w:w="362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741382F" w14:textId="77777777" w:rsidR="004C6421" w:rsidRDefault="009D1962">
            <w:pPr>
              <w:pStyle w:val="P68B1DB1-Normal8"/>
              <w:rPr>
                <w:noProof/>
              </w:rPr>
            </w:pPr>
            <w:r>
              <w:rPr>
                <w:noProof/>
              </w:rPr>
              <w:t>Inwestycje 4.2. Ograniczenie strat w sieciach wodociągowych, w tym cyfryzacja i monitorowanie sieci</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C15503F" w14:textId="77777777" w:rsidR="004C6421" w:rsidRDefault="009D1962">
            <w:pPr>
              <w:pStyle w:val="P68B1DB1-Normal8"/>
              <w:jc w:val="center"/>
              <w:rPr>
                <w:noProof/>
              </w:rPr>
            </w:pPr>
            <w:r>
              <w:rPr>
                <w:noProof/>
              </w:rPr>
              <w:t>Cel</w:t>
            </w:r>
          </w:p>
        </w:tc>
        <w:tc>
          <w:tcPr>
            <w:tcW w:w="348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8B44D63" w14:textId="77777777" w:rsidR="004C6421" w:rsidRDefault="009D1962">
            <w:pPr>
              <w:pStyle w:val="P68B1DB1-Normal8"/>
              <w:rPr>
                <w:noProof/>
              </w:rPr>
            </w:pPr>
            <w:r>
              <w:rPr>
                <w:noProof/>
              </w:rPr>
              <w:t>Interwencje w sieci dystrybucji wody, w tym cyfryzacja i monitorowanie sieci T1</w:t>
            </w:r>
          </w:p>
        </w:tc>
        <w:tc>
          <w:tcPr>
            <w:tcW w:w="236" w:type="dxa"/>
            <w:tcBorders>
              <w:top w:val="nil"/>
              <w:left w:val="single" w:sz="8" w:space="0" w:color="auto"/>
              <w:bottom w:val="nil"/>
              <w:right w:val="nil"/>
            </w:tcBorders>
            <w:vAlign w:val="center"/>
          </w:tcPr>
          <w:p w14:paraId="3809BA43" w14:textId="77777777" w:rsidR="004C6421" w:rsidRDefault="004C6421">
            <w:pPr>
              <w:rPr>
                <w:noProof/>
              </w:rPr>
            </w:pPr>
          </w:p>
        </w:tc>
      </w:tr>
      <w:tr w:rsidR="004C6421" w14:paraId="2416FB64"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CD28D24" w14:textId="77777777" w:rsidR="004C6421" w:rsidRDefault="009D1962">
            <w:pPr>
              <w:pStyle w:val="P68B1DB1-Normal8"/>
              <w:jc w:val="center"/>
              <w:rPr>
                <w:noProof/>
              </w:rPr>
            </w:pPr>
            <w:r>
              <w:rPr>
                <w:noProof/>
              </w:rPr>
              <w:t>M2C4-34</w:t>
            </w:r>
          </w:p>
        </w:tc>
        <w:tc>
          <w:tcPr>
            <w:tcW w:w="362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47D76DE" w14:textId="77777777" w:rsidR="004C6421" w:rsidRDefault="009D1962">
            <w:pPr>
              <w:pStyle w:val="P68B1DB1-Normal8"/>
              <w:rPr>
                <w:noProof/>
              </w:rPr>
            </w:pPr>
            <w:r>
              <w:rPr>
                <w:noProof/>
              </w:rPr>
              <w:t>Inwestycje 4.3 Inwestycje w odporność agrosystemu nawadniania w celu lepszego gospodarowania zasobami wodnymi</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C4605DB" w14:textId="77777777" w:rsidR="004C6421" w:rsidRDefault="009D1962">
            <w:pPr>
              <w:pStyle w:val="P68B1DB1-Normal8"/>
              <w:jc w:val="center"/>
              <w:rPr>
                <w:noProof/>
              </w:rPr>
            </w:pPr>
            <w:r>
              <w:rPr>
                <w:noProof/>
              </w:rPr>
              <w:t>Cel</w:t>
            </w:r>
          </w:p>
        </w:tc>
        <w:tc>
          <w:tcPr>
            <w:tcW w:w="348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55B68EB" w14:textId="77777777" w:rsidR="004C6421" w:rsidRDefault="009D1962">
            <w:pPr>
              <w:pStyle w:val="P68B1DB1-Normal8"/>
              <w:rPr>
                <w:noProof/>
              </w:rPr>
            </w:pPr>
            <w:r>
              <w:rPr>
                <w:noProof/>
              </w:rPr>
              <w:t>Interwencje na rzecz odporności agrosystemu nawadniania w celu lepszego gospodarowania zasobami wodnymi T1</w:t>
            </w:r>
          </w:p>
        </w:tc>
        <w:tc>
          <w:tcPr>
            <w:tcW w:w="236" w:type="dxa"/>
            <w:tcBorders>
              <w:top w:val="nil"/>
              <w:left w:val="single" w:sz="8" w:space="0" w:color="auto"/>
              <w:bottom w:val="nil"/>
              <w:right w:val="nil"/>
            </w:tcBorders>
            <w:vAlign w:val="center"/>
          </w:tcPr>
          <w:p w14:paraId="5ED4C85A" w14:textId="77777777" w:rsidR="004C6421" w:rsidRDefault="004C6421">
            <w:pPr>
              <w:rPr>
                <w:noProof/>
              </w:rPr>
            </w:pPr>
          </w:p>
        </w:tc>
      </w:tr>
      <w:tr w:rsidR="004C6421" w14:paraId="18A6AD24"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0B6E4E0" w14:textId="77777777" w:rsidR="004C6421" w:rsidRDefault="009D1962">
            <w:pPr>
              <w:pStyle w:val="P68B1DB1-Normal8"/>
              <w:jc w:val="center"/>
              <w:rPr>
                <w:noProof/>
              </w:rPr>
            </w:pPr>
            <w:r>
              <w:rPr>
                <w:noProof/>
              </w:rPr>
              <w:t>M2C4-35</w:t>
            </w:r>
          </w:p>
        </w:tc>
        <w:tc>
          <w:tcPr>
            <w:tcW w:w="362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3772C09" w14:textId="77777777" w:rsidR="004C6421" w:rsidRDefault="009D1962">
            <w:pPr>
              <w:pStyle w:val="P68B1DB1-Normal8"/>
              <w:rPr>
                <w:noProof/>
              </w:rPr>
            </w:pPr>
            <w:r>
              <w:rPr>
                <w:noProof/>
              </w:rPr>
              <w:t>Inwestycje 4.3 Inwestycje w odporność agrosystemu nawadniania w celu lepszego gospodarowania zasobami wodnymi</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DE113C3" w14:textId="77777777" w:rsidR="004C6421" w:rsidRDefault="009D1962">
            <w:pPr>
              <w:pStyle w:val="P68B1DB1-Normal8"/>
              <w:jc w:val="center"/>
              <w:rPr>
                <w:noProof/>
              </w:rPr>
            </w:pPr>
            <w:r>
              <w:rPr>
                <w:noProof/>
              </w:rPr>
              <w:t>Cel</w:t>
            </w:r>
          </w:p>
        </w:tc>
        <w:tc>
          <w:tcPr>
            <w:tcW w:w="348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EBFE60D" w14:textId="77777777" w:rsidR="004C6421" w:rsidRDefault="009D1962">
            <w:pPr>
              <w:pStyle w:val="P68B1DB1-Normal8"/>
              <w:rPr>
                <w:noProof/>
              </w:rPr>
            </w:pPr>
            <w:r>
              <w:rPr>
                <w:noProof/>
              </w:rPr>
              <w:t>Interwencje na rzecz odporności agrosystemu nawadniania w celu lepszego gospodarowania zasobami wodnymi T1</w:t>
            </w:r>
          </w:p>
        </w:tc>
        <w:tc>
          <w:tcPr>
            <w:tcW w:w="236" w:type="dxa"/>
            <w:tcBorders>
              <w:top w:val="nil"/>
              <w:left w:val="single" w:sz="8" w:space="0" w:color="auto"/>
              <w:bottom w:val="nil"/>
              <w:right w:val="nil"/>
            </w:tcBorders>
            <w:vAlign w:val="center"/>
          </w:tcPr>
          <w:p w14:paraId="12E93BC5" w14:textId="77777777" w:rsidR="004C6421" w:rsidRDefault="004C6421">
            <w:pPr>
              <w:rPr>
                <w:noProof/>
              </w:rPr>
            </w:pPr>
          </w:p>
        </w:tc>
      </w:tr>
      <w:tr w:rsidR="004C6421" w14:paraId="3FDC6BD3"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D4CF6E0" w14:textId="77777777" w:rsidR="004C6421" w:rsidRDefault="009D1962">
            <w:pPr>
              <w:pStyle w:val="P68B1DB1-Normal8"/>
              <w:jc w:val="center"/>
              <w:rPr>
                <w:noProof/>
              </w:rPr>
            </w:pPr>
            <w:r>
              <w:rPr>
                <w:noProof/>
              </w:rPr>
              <w:t>M3C1-15</w:t>
            </w:r>
          </w:p>
        </w:tc>
        <w:tc>
          <w:tcPr>
            <w:tcW w:w="362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CA7BD14" w14:textId="77777777" w:rsidR="004C6421" w:rsidRDefault="009D1962">
            <w:pPr>
              <w:pStyle w:val="P68B1DB1-Normal8"/>
              <w:rPr>
                <w:noProof/>
              </w:rPr>
            </w:pPr>
            <w:r>
              <w:rPr>
                <w:noProof/>
              </w:rPr>
              <w:t>Inwestycja 1.5 – Wzmocnienie węzłów metropolitalnych i kluczowych powiązań krajowych</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A0D699A" w14:textId="77777777" w:rsidR="004C6421" w:rsidRDefault="009D1962">
            <w:pPr>
              <w:pStyle w:val="P68B1DB1-Normal8"/>
              <w:jc w:val="center"/>
              <w:rPr>
                <w:noProof/>
              </w:rPr>
            </w:pPr>
            <w:r>
              <w:rPr>
                <w:noProof/>
              </w:rPr>
              <w:t>Cel</w:t>
            </w:r>
          </w:p>
        </w:tc>
        <w:tc>
          <w:tcPr>
            <w:tcW w:w="348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F9921C6" w14:textId="77777777" w:rsidR="004C6421" w:rsidRDefault="009D1962">
            <w:pPr>
              <w:pStyle w:val="P68B1DB1-Normal8"/>
              <w:rPr>
                <w:noProof/>
              </w:rPr>
            </w:pPr>
            <w:r>
              <w:rPr>
                <w:noProof/>
              </w:rPr>
              <w:t>700 km zmodernizowanych odcinków linii zbudowanych na węzłach metropolitalnych i kluczowych połączeniach krajowych</w:t>
            </w:r>
          </w:p>
        </w:tc>
        <w:tc>
          <w:tcPr>
            <w:tcW w:w="236" w:type="dxa"/>
            <w:tcBorders>
              <w:top w:val="nil"/>
              <w:left w:val="single" w:sz="8" w:space="0" w:color="auto"/>
              <w:bottom w:val="nil"/>
              <w:right w:val="nil"/>
            </w:tcBorders>
            <w:vAlign w:val="center"/>
          </w:tcPr>
          <w:p w14:paraId="50B160D3" w14:textId="77777777" w:rsidR="004C6421" w:rsidRDefault="004C6421">
            <w:pPr>
              <w:rPr>
                <w:noProof/>
              </w:rPr>
            </w:pPr>
          </w:p>
        </w:tc>
      </w:tr>
      <w:tr w:rsidR="004C6421" w14:paraId="5C9DB466"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6214A15" w14:textId="77777777" w:rsidR="004C6421" w:rsidRDefault="009D1962">
            <w:pPr>
              <w:pStyle w:val="P68B1DB1-Normal8"/>
              <w:jc w:val="center"/>
              <w:rPr>
                <w:noProof/>
              </w:rPr>
            </w:pPr>
            <w:r>
              <w:rPr>
                <w:noProof/>
              </w:rPr>
              <w:t>M3C1-19</w:t>
            </w:r>
          </w:p>
        </w:tc>
        <w:tc>
          <w:tcPr>
            <w:tcW w:w="362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623C598" w14:textId="77777777" w:rsidR="004C6421" w:rsidRDefault="009D1962">
            <w:pPr>
              <w:pStyle w:val="P68B1DB1-Normal8"/>
              <w:rPr>
                <w:noProof/>
              </w:rPr>
            </w:pPr>
            <w:r>
              <w:rPr>
                <w:noProof/>
              </w:rPr>
              <w:t>Inwestycja 1.8 – Modernizacja dworców kolejowych (zarządzanie RFI; na południu)</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5603A5F" w14:textId="77777777" w:rsidR="004C6421" w:rsidRDefault="009D1962">
            <w:pPr>
              <w:pStyle w:val="P68B1DB1-Normal8"/>
              <w:jc w:val="center"/>
              <w:rPr>
                <w:noProof/>
              </w:rPr>
            </w:pPr>
            <w:r>
              <w:rPr>
                <w:noProof/>
              </w:rPr>
              <w:t>Cel</w:t>
            </w:r>
          </w:p>
        </w:tc>
        <w:tc>
          <w:tcPr>
            <w:tcW w:w="348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7AC4CC4" w14:textId="77777777" w:rsidR="004C6421" w:rsidRDefault="009D1962">
            <w:pPr>
              <w:pStyle w:val="P68B1DB1-Normal8"/>
              <w:rPr>
                <w:noProof/>
              </w:rPr>
            </w:pPr>
            <w:r>
              <w:rPr>
                <w:noProof/>
              </w:rPr>
              <w:t>Zmodernizowane i dostępne stacje kolejowe</w:t>
            </w:r>
          </w:p>
        </w:tc>
        <w:tc>
          <w:tcPr>
            <w:tcW w:w="236" w:type="dxa"/>
            <w:tcBorders>
              <w:top w:val="nil"/>
              <w:left w:val="single" w:sz="8" w:space="0" w:color="auto"/>
              <w:bottom w:val="nil"/>
              <w:right w:val="nil"/>
            </w:tcBorders>
            <w:vAlign w:val="center"/>
          </w:tcPr>
          <w:p w14:paraId="6809D783" w14:textId="77777777" w:rsidR="004C6421" w:rsidRDefault="004C6421">
            <w:pPr>
              <w:rPr>
                <w:noProof/>
              </w:rPr>
            </w:pPr>
          </w:p>
        </w:tc>
      </w:tr>
      <w:tr w:rsidR="004C6421" w14:paraId="610256C5"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91E97E7" w14:textId="77777777" w:rsidR="004C6421" w:rsidRDefault="009D1962">
            <w:pPr>
              <w:pStyle w:val="P68B1DB1-Normal8"/>
              <w:jc w:val="center"/>
              <w:rPr>
                <w:noProof/>
              </w:rPr>
            </w:pPr>
            <w:r>
              <w:rPr>
                <w:noProof/>
              </w:rPr>
              <w:t>M4C2-21bis</w:t>
            </w:r>
          </w:p>
        </w:tc>
        <w:tc>
          <w:tcPr>
            <w:tcW w:w="362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5B65382" w14:textId="77777777" w:rsidR="004C6421" w:rsidRDefault="009D1962">
            <w:pPr>
              <w:pStyle w:val="P68B1DB1-Normal8"/>
              <w:rPr>
                <w:noProof/>
              </w:rPr>
            </w:pPr>
            <w:r>
              <w:rPr>
                <w:noProof/>
              </w:rPr>
              <w:t xml:space="preserve">Inwestycja 3.2 – Finansowanie przedsiębiorstw typu start-up </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EAE6CDC" w14:textId="08CC727A" w:rsidR="004C6421" w:rsidRDefault="00CC179E">
            <w:pPr>
              <w:pStyle w:val="P68B1DB1-Normal8"/>
              <w:jc w:val="center"/>
              <w:rPr>
                <w:noProof/>
              </w:rPr>
            </w:pPr>
            <w:r>
              <w:rPr>
                <w:noProof/>
              </w:rPr>
              <w:t>Milowy</w:t>
            </w:r>
          </w:p>
        </w:tc>
        <w:tc>
          <w:tcPr>
            <w:tcW w:w="348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492E41A" w14:textId="77777777" w:rsidR="004C6421" w:rsidRDefault="009D1962">
            <w:pPr>
              <w:pStyle w:val="P68B1DB1-Normal8"/>
              <w:rPr>
                <w:noProof/>
              </w:rPr>
            </w:pPr>
            <w:r>
              <w:rPr>
                <w:noProof/>
              </w:rPr>
              <w:t>Ministerstwo zakończyło przekazywanie środków do CDP Venture Capital SGR</w:t>
            </w:r>
          </w:p>
        </w:tc>
        <w:tc>
          <w:tcPr>
            <w:tcW w:w="236" w:type="dxa"/>
            <w:tcBorders>
              <w:top w:val="nil"/>
              <w:left w:val="single" w:sz="8" w:space="0" w:color="auto"/>
              <w:bottom w:val="nil"/>
              <w:right w:val="nil"/>
            </w:tcBorders>
            <w:vAlign w:val="center"/>
          </w:tcPr>
          <w:p w14:paraId="22458B6B" w14:textId="77777777" w:rsidR="004C6421" w:rsidRDefault="004C6421">
            <w:pPr>
              <w:rPr>
                <w:noProof/>
              </w:rPr>
            </w:pPr>
          </w:p>
        </w:tc>
      </w:tr>
      <w:tr w:rsidR="004C6421" w14:paraId="2E2ADC78"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1C7A7AC" w14:textId="77777777" w:rsidR="004C6421" w:rsidRDefault="009D1962">
            <w:pPr>
              <w:pStyle w:val="P68B1DB1-Normal8"/>
              <w:jc w:val="center"/>
              <w:rPr>
                <w:noProof/>
              </w:rPr>
            </w:pPr>
            <w:r>
              <w:rPr>
                <w:noProof/>
              </w:rPr>
              <w:t>M5C3-12</w:t>
            </w:r>
          </w:p>
        </w:tc>
        <w:tc>
          <w:tcPr>
            <w:tcW w:w="362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3783EBC" w14:textId="77777777" w:rsidR="004C6421" w:rsidRDefault="009D1962">
            <w:pPr>
              <w:pStyle w:val="P68B1DB1-Normal8"/>
              <w:rPr>
                <w:noProof/>
              </w:rPr>
            </w:pPr>
            <w:r>
              <w:rPr>
                <w:noProof/>
              </w:rPr>
              <w:t>Inwestycje 1.4: Inwestycje infrastrukturalne dla specjalnej strefy ekonomicznej</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70B968D" w14:textId="77777777" w:rsidR="004C6421" w:rsidRDefault="009D1962">
            <w:pPr>
              <w:pStyle w:val="P68B1DB1-Normal8"/>
              <w:jc w:val="center"/>
              <w:rPr>
                <w:noProof/>
              </w:rPr>
            </w:pPr>
            <w:r>
              <w:rPr>
                <w:noProof/>
              </w:rPr>
              <w:t>Cel</w:t>
            </w:r>
          </w:p>
        </w:tc>
        <w:tc>
          <w:tcPr>
            <w:tcW w:w="348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29B7A6A" w14:textId="77777777" w:rsidR="004C6421" w:rsidRDefault="009D1962">
            <w:pPr>
              <w:pStyle w:val="P68B1DB1-Normal8"/>
              <w:rPr>
                <w:noProof/>
              </w:rPr>
            </w:pPr>
            <w:r>
              <w:rPr>
                <w:noProof/>
              </w:rPr>
              <w:t>Rozpoczęcie interwencji infrastrukturalnych w specjalnych strefach ekonomicznych</w:t>
            </w:r>
          </w:p>
        </w:tc>
        <w:tc>
          <w:tcPr>
            <w:tcW w:w="236" w:type="dxa"/>
            <w:tcBorders>
              <w:top w:val="nil"/>
              <w:left w:val="single" w:sz="8" w:space="0" w:color="auto"/>
              <w:bottom w:val="nil"/>
              <w:right w:val="nil"/>
            </w:tcBorders>
            <w:vAlign w:val="center"/>
          </w:tcPr>
          <w:p w14:paraId="41B3EA28" w14:textId="77777777" w:rsidR="004C6421" w:rsidRDefault="004C6421">
            <w:pPr>
              <w:rPr>
                <w:noProof/>
              </w:rPr>
            </w:pPr>
          </w:p>
        </w:tc>
      </w:tr>
      <w:tr w:rsidR="004C6421" w14:paraId="1D0F8FDA"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D58BC90" w14:textId="77777777" w:rsidR="004C6421" w:rsidRDefault="009D1962">
            <w:pPr>
              <w:pStyle w:val="P68B1DB1-Normal8"/>
              <w:jc w:val="center"/>
              <w:rPr>
                <w:noProof/>
              </w:rPr>
            </w:pPr>
            <w:r>
              <w:rPr>
                <w:noProof/>
              </w:rPr>
              <w:t>M6C1-7</w:t>
            </w:r>
          </w:p>
        </w:tc>
        <w:tc>
          <w:tcPr>
            <w:tcW w:w="362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046B968" w14:textId="77777777" w:rsidR="004C6421" w:rsidRDefault="009D1962">
            <w:pPr>
              <w:pStyle w:val="P68B1DB1-Normal8"/>
              <w:rPr>
                <w:noProof/>
              </w:rPr>
            </w:pPr>
            <w:r>
              <w:rPr>
                <w:noProof/>
              </w:rPr>
              <w:t>Inwestycje 1.2: Dom jako pierwsze miejsce opieki i telemedycyny</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4437D23" w14:textId="77777777" w:rsidR="004C6421" w:rsidRDefault="009D1962">
            <w:pPr>
              <w:pStyle w:val="P68B1DB1-Normal8"/>
              <w:jc w:val="center"/>
              <w:rPr>
                <w:noProof/>
              </w:rPr>
            </w:pPr>
            <w:r>
              <w:rPr>
                <w:noProof/>
              </w:rPr>
              <w:t>Cel</w:t>
            </w:r>
          </w:p>
        </w:tc>
        <w:tc>
          <w:tcPr>
            <w:tcW w:w="348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C245D97" w14:textId="77777777" w:rsidR="004C6421" w:rsidRDefault="009D1962">
            <w:pPr>
              <w:pStyle w:val="P68B1DB1-Normal8"/>
              <w:rPr>
                <w:noProof/>
              </w:rPr>
            </w:pPr>
            <w:r>
              <w:rPr>
                <w:noProof/>
              </w:rPr>
              <w:t>Centra koordynacyjne w pełni operacyjne (druga partia)</w:t>
            </w:r>
          </w:p>
        </w:tc>
        <w:tc>
          <w:tcPr>
            <w:tcW w:w="236" w:type="dxa"/>
            <w:tcBorders>
              <w:top w:val="nil"/>
              <w:left w:val="single" w:sz="8" w:space="0" w:color="auto"/>
              <w:bottom w:val="nil"/>
              <w:right w:val="nil"/>
            </w:tcBorders>
            <w:vAlign w:val="center"/>
          </w:tcPr>
          <w:p w14:paraId="0A273456" w14:textId="77777777" w:rsidR="004C6421" w:rsidRDefault="004C6421">
            <w:pPr>
              <w:rPr>
                <w:noProof/>
              </w:rPr>
            </w:pPr>
          </w:p>
        </w:tc>
      </w:tr>
      <w:tr w:rsidR="004C6421" w14:paraId="0FCB7FFA"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90E520B" w14:textId="77777777" w:rsidR="004C6421" w:rsidRDefault="009D1962">
            <w:pPr>
              <w:pStyle w:val="P68B1DB1-Normal8"/>
              <w:jc w:val="center"/>
              <w:rPr>
                <w:noProof/>
              </w:rPr>
            </w:pPr>
            <w:r>
              <w:rPr>
                <w:noProof/>
              </w:rPr>
              <w:t>M7-43</w:t>
            </w:r>
          </w:p>
        </w:tc>
        <w:tc>
          <w:tcPr>
            <w:tcW w:w="362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56E6483" w14:textId="77777777" w:rsidR="004C6421" w:rsidRDefault="009D1962">
            <w:pPr>
              <w:pStyle w:val="P68B1DB1-Normal8"/>
              <w:rPr>
                <w:noProof/>
              </w:rPr>
            </w:pPr>
            <w:r>
              <w:rPr>
                <w:noProof/>
              </w:rPr>
              <w:t>Inwestycja 16: Wsparcie dla MŚP w zakresie własnej produkcji z odnawialnych źródeł energii</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712BA72" w14:textId="26505683" w:rsidR="004C6421" w:rsidRDefault="00CC179E">
            <w:pPr>
              <w:pStyle w:val="P68B1DB1-Normal8"/>
              <w:jc w:val="center"/>
              <w:rPr>
                <w:noProof/>
              </w:rPr>
            </w:pPr>
            <w:r>
              <w:rPr>
                <w:noProof/>
              </w:rPr>
              <w:t>Milowy</w:t>
            </w:r>
          </w:p>
        </w:tc>
        <w:tc>
          <w:tcPr>
            <w:tcW w:w="348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487A4D8" w14:textId="77777777" w:rsidR="004C6421" w:rsidRDefault="009D1962">
            <w:pPr>
              <w:pStyle w:val="P68B1DB1-Normal8"/>
              <w:rPr>
                <w:noProof/>
              </w:rPr>
            </w:pPr>
            <w:r>
              <w:rPr>
                <w:noProof/>
              </w:rPr>
              <w:t>Umowa wykonawcza</w:t>
            </w:r>
          </w:p>
        </w:tc>
        <w:tc>
          <w:tcPr>
            <w:tcW w:w="236" w:type="dxa"/>
            <w:tcBorders>
              <w:top w:val="nil"/>
              <w:left w:val="single" w:sz="8" w:space="0" w:color="auto"/>
              <w:bottom w:val="nil"/>
              <w:right w:val="nil"/>
            </w:tcBorders>
            <w:vAlign w:val="center"/>
          </w:tcPr>
          <w:p w14:paraId="72CBCEDA" w14:textId="77777777" w:rsidR="004C6421" w:rsidRDefault="004C6421">
            <w:pPr>
              <w:rPr>
                <w:noProof/>
              </w:rPr>
            </w:pPr>
          </w:p>
        </w:tc>
      </w:tr>
      <w:tr w:rsidR="004C6421" w14:paraId="6F494845"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CF95A30" w14:textId="77777777" w:rsidR="004C6421" w:rsidRDefault="009D1962">
            <w:pPr>
              <w:pStyle w:val="P68B1DB1-Normal8"/>
              <w:jc w:val="center"/>
              <w:rPr>
                <w:noProof/>
              </w:rPr>
            </w:pPr>
            <w:r>
              <w:rPr>
                <w:noProof/>
              </w:rPr>
              <w:t>M7-44</w:t>
            </w:r>
          </w:p>
        </w:tc>
        <w:tc>
          <w:tcPr>
            <w:tcW w:w="362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5059809" w14:textId="77777777" w:rsidR="004C6421" w:rsidRDefault="009D1962">
            <w:pPr>
              <w:pStyle w:val="P68B1DB1-Normal8"/>
              <w:rPr>
                <w:noProof/>
              </w:rPr>
            </w:pPr>
            <w:r>
              <w:rPr>
                <w:noProof/>
              </w:rPr>
              <w:t>Inwestycja 16: Wsparcie dla MŚP w zakresie własnej produkcji z odnawialnych źródeł energii</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2A67EBD" w14:textId="7313AF29" w:rsidR="004C6421" w:rsidRDefault="00CC179E">
            <w:pPr>
              <w:pStyle w:val="P68B1DB1-Normal8"/>
              <w:jc w:val="center"/>
              <w:rPr>
                <w:noProof/>
              </w:rPr>
            </w:pPr>
            <w:r>
              <w:rPr>
                <w:noProof/>
              </w:rPr>
              <w:t>Milowy</w:t>
            </w:r>
          </w:p>
        </w:tc>
        <w:tc>
          <w:tcPr>
            <w:tcW w:w="348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85900F6" w14:textId="77777777" w:rsidR="004C6421" w:rsidRDefault="009D1962">
            <w:pPr>
              <w:pStyle w:val="P68B1DB1-Normal8"/>
              <w:rPr>
                <w:noProof/>
              </w:rPr>
            </w:pPr>
            <w:r>
              <w:rPr>
                <w:noProof/>
              </w:rPr>
              <w:t>Ministerstwo Przedsiębiorstw i Made we Włoszech zakończyło przekazywanie środków do Invitalii</w:t>
            </w:r>
          </w:p>
        </w:tc>
        <w:tc>
          <w:tcPr>
            <w:tcW w:w="236" w:type="dxa"/>
            <w:tcBorders>
              <w:top w:val="nil"/>
              <w:left w:val="single" w:sz="8" w:space="0" w:color="auto"/>
              <w:bottom w:val="nil"/>
              <w:right w:val="nil"/>
            </w:tcBorders>
            <w:vAlign w:val="center"/>
          </w:tcPr>
          <w:p w14:paraId="6986B136" w14:textId="77777777" w:rsidR="004C6421" w:rsidRDefault="004C6421">
            <w:pPr>
              <w:rPr>
                <w:noProof/>
              </w:rPr>
            </w:pPr>
          </w:p>
        </w:tc>
      </w:tr>
      <w:tr w:rsidR="004C6421" w14:paraId="3DC15D46"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9666F3B" w14:textId="77777777" w:rsidR="004C6421" w:rsidRDefault="009D1962">
            <w:pPr>
              <w:pStyle w:val="P68B1DB1-Normal8"/>
              <w:jc w:val="center"/>
              <w:rPr>
                <w:noProof/>
              </w:rPr>
            </w:pPr>
            <w:r>
              <w:rPr>
                <w:noProof/>
              </w:rPr>
              <w:t>M2C4-20</w:t>
            </w:r>
          </w:p>
        </w:tc>
        <w:tc>
          <w:tcPr>
            <w:tcW w:w="362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9C6277E" w14:textId="77777777" w:rsidR="004C6421" w:rsidRDefault="009D1962">
            <w:pPr>
              <w:pStyle w:val="P68B1DB1-Normal8"/>
              <w:rPr>
                <w:noProof/>
              </w:rPr>
            </w:pPr>
            <w:r>
              <w:rPr>
                <w:noProof/>
              </w:rPr>
              <w:t>Inwestycje. 3.1: Ochrona i poprawa stanu lasów miejskich i podmiejskich</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1E5C651" w14:textId="77777777" w:rsidR="004C6421" w:rsidRDefault="009D1962">
            <w:pPr>
              <w:pStyle w:val="P68B1DB1-Normal8"/>
              <w:jc w:val="center"/>
              <w:rPr>
                <w:noProof/>
              </w:rPr>
            </w:pPr>
            <w:r>
              <w:rPr>
                <w:noProof/>
              </w:rPr>
              <w:t>Cel</w:t>
            </w:r>
          </w:p>
        </w:tc>
        <w:tc>
          <w:tcPr>
            <w:tcW w:w="348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6F5FE72" w14:textId="77777777" w:rsidR="004C6421" w:rsidRDefault="009D1962">
            <w:pPr>
              <w:pStyle w:val="P68B1DB1-Normal8"/>
              <w:rPr>
                <w:noProof/>
              </w:rPr>
            </w:pPr>
            <w:r>
              <w:rPr>
                <w:noProof/>
              </w:rPr>
              <w:t xml:space="preserve">Drzewa roślinne w celu ochrony i waloryzacji zielonych obszarów miejskich i podmiejskich T2 </w:t>
            </w:r>
          </w:p>
        </w:tc>
        <w:tc>
          <w:tcPr>
            <w:tcW w:w="236" w:type="dxa"/>
            <w:tcBorders>
              <w:top w:val="nil"/>
              <w:left w:val="single" w:sz="8" w:space="0" w:color="auto"/>
              <w:bottom w:val="nil"/>
              <w:right w:val="nil"/>
            </w:tcBorders>
            <w:vAlign w:val="center"/>
          </w:tcPr>
          <w:p w14:paraId="662F4044" w14:textId="77777777" w:rsidR="004C6421" w:rsidRDefault="004C6421">
            <w:pPr>
              <w:rPr>
                <w:noProof/>
              </w:rPr>
            </w:pPr>
          </w:p>
        </w:tc>
      </w:tr>
      <w:tr w:rsidR="004C6421" w14:paraId="70BEE66E" w14:textId="77777777">
        <w:trPr>
          <w:trHeight w:val="300"/>
        </w:trPr>
        <w:tc>
          <w:tcPr>
            <w:tcW w:w="114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3E2427D6" w14:textId="77777777" w:rsidR="004C6421" w:rsidRDefault="009D1962">
            <w:pPr>
              <w:pStyle w:val="P68B1DB1-Normal8"/>
              <w:jc w:val="center"/>
              <w:rPr>
                <w:noProof/>
              </w:rPr>
            </w:pPr>
            <w:r>
              <w:rPr>
                <w:noProof/>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0C191BAE" w14:textId="77777777" w:rsidR="004C6421" w:rsidRDefault="009D1962">
            <w:pPr>
              <w:pStyle w:val="P68B1DB1-Normal8"/>
              <w:rPr>
                <w:noProof/>
              </w:rPr>
            </w:pPr>
            <w:r>
              <w:rPr>
                <w:noProof/>
              </w:rPr>
              <w:t xml:space="preserve"> </w:t>
            </w:r>
          </w:p>
        </w:tc>
        <w:tc>
          <w:tcPr>
            <w:tcW w:w="111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3A479B02" w14:textId="77777777" w:rsidR="004C6421" w:rsidRDefault="009D1962">
            <w:pPr>
              <w:pStyle w:val="P68B1DB1-Normal8"/>
              <w:rPr>
                <w:noProof/>
              </w:rPr>
            </w:pPr>
            <w:r>
              <w:rPr>
                <w:noProof/>
              </w:rPr>
              <w:t>Kwota transzy</w:t>
            </w:r>
          </w:p>
        </w:tc>
        <w:tc>
          <w:tcPr>
            <w:tcW w:w="348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6812696D" w14:textId="30079057" w:rsidR="004C6421" w:rsidRDefault="009D1962">
            <w:pPr>
              <w:rPr>
                <w:noProof/>
              </w:rPr>
            </w:pPr>
            <w:r>
              <w:rPr>
                <w:noProof/>
                <w:color w:val="006100"/>
                <w:sz w:val="20"/>
              </w:rPr>
              <w:t>15715972025 EUR</w:t>
            </w:r>
            <w:r>
              <w:rPr>
                <w:noProof/>
                <w:sz w:val="23"/>
              </w:rPr>
              <w:t xml:space="preserve">  </w:t>
            </w:r>
          </w:p>
        </w:tc>
        <w:tc>
          <w:tcPr>
            <w:tcW w:w="236" w:type="dxa"/>
            <w:tcBorders>
              <w:top w:val="nil"/>
              <w:left w:val="single" w:sz="8" w:space="0" w:color="auto"/>
              <w:bottom w:val="nil"/>
              <w:right w:val="nil"/>
            </w:tcBorders>
            <w:vAlign w:val="center"/>
          </w:tcPr>
          <w:p w14:paraId="2563624D" w14:textId="77777777" w:rsidR="004C6421" w:rsidRDefault="004C6421">
            <w:pPr>
              <w:rPr>
                <w:noProof/>
              </w:rPr>
            </w:pPr>
          </w:p>
        </w:tc>
      </w:tr>
    </w:tbl>
    <w:p w14:paraId="04D980B6" w14:textId="77777777" w:rsidR="004C6421" w:rsidRDefault="004C6421">
      <w:pPr>
        <w:pStyle w:val="ListParagraph"/>
        <w:spacing w:before="0" w:after="0" w:line="279" w:lineRule="auto"/>
        <w:ind w:left="850"/>
        <w:rPr>
          <w:noProof/>
        </w:rPr>
      </w:pPr>
    </w:p>
    <w:p w14:paraId="669B0E95" w14:textId="2D3928A8" w:rsidR="004C6421" w:rsidRDefault="009D1962">
      <w:pPr>
        <w:pStyle w:val="ListParagraph"/>
        <w:numPr>
          <w:ilvl w:val="1"/>
          <w:numId w:val="145"/>
        </w:numPr>
        <w:spacing w:before="0" w:after="0" w:line="279" w:lineRule="auto"/>
        <w:ind w:left="850" w:hanging="850"/>
        <w:rPr>
          <w:noProof/>
        </w:rPr>
      </w:pPr>
      <w:r>
        <w:rPr>
          <w:noProof/>
        </w:rPr>
        <w:t>Ósma transza (wsparcie pożyczkowe):</w:t>
      </w:r>
    </w:p>
    <w:tbl>
      <w:tblPr>
        <w:tblW w:w="9594" w:type="dxa"/>
        <w:tblInd w:w="120" w:type="dxa"/>
        <w:tblLayout w:type="fixed"/>
        <w:tblLook w:val="04A0" w:firstRow="1" w:lastRow="0" w:firstColumn="1" w:lastColumn="0" w:noHBand="0" w:noVBand="1"/>
      </w:tblPr>
      <w:tblGrid>
        <w:gridCol w:w="1335"/>
        <w:gridCol w:w="3784"/>
        <w:gridCol w:w="1260"/>
        <w:gridCol w:w="2979"/>
        <w:gridCol w:w="236"/>
      </w:tblGrid>
      <w:tr w:rsidR="004C6421" w14:paraId="579FF546" w14:textId="77777777">
        <w:trPr>
          <w:trHeight w:val="900"/>
          <w:tblHeader/>
        </w:trPr>
        <w:tc>
          <w:tcPr>
            <w:tcW w:w="1335"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658B5773" w14:textId="77777777" w:rsidR="004C6421" w:rsidRDefault="009D1962">
            <w:pPr>
              <w:pStyle w:val="P68B1DB1-Normal36"/>
              <w:jc w:val="center"/>
              <w:rPr>
                <w:noProof/>
              </w:rPr>
            </w:pPr>
            <w:r>
              <w:rPr>
                <w:noProof/>
              </w:rPr>
              <w:t>Numer porządkowy</w:t>
            </w:r>
          </w:p>
        </w:tc>
        <w:tc>
          <w:tcPr>
            <w:tcW w:w="3784"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2DA6B124" w14:textId="77777777" w:rsidR="004C6421" w:rsidRDefault="009D1962">
            <w:pPr>
              <w:pStyle w:val="P68B1DB1-Normal36"/>
              <w:jc w:val="center"/>
              <w:rPr>
                <w:noProof/>
              </w:rPr>
            </w:pPr>
            <w:r>
              <w:rPr>
                <w:noProof/>
              </w:rPr>
              <w:t>Powiązane działanie (reforma lub inwestycja)</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6EE68E2A" w14:textId="77777777" w:rsidR="004C6421" w:rsidRDefault="009D1962">
            <w:pPr>
              <w:pStyle w:val="P68B1DB1-Normal36"/>
              <w:jc w:val="center"/>
              <w:rPr>
                <w:noProof/>
              </w:rPr>
            </w:pPr>
            <w:r>
              <w:rPr>
                <w:noProof/>
              </w:rPr>
              <w:t>Kamień milowy/wartość docelowa</w:t>
            </w:r>
          </w:p>
        </w:tc>
        <w:tc>
          <w:tcPr>
            <w:tcW w:w="2979"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1DE8C42A" w14:textId="77777777" w:rsidR="004C6421" w:rsidRDefault="009D1962">
            <w:pPr>
              <w:pStyle w:val="P68B1DB1-Normal36"/>
              <w:jc w:val="center"/>
              <w:rPr>
                <w:noProof/>
              </w:rPr>
            </w:pPr>
            <w:r>
              <w:rPr>
                <w:noProof/>
              </w:rPr>
              <w:t>Nazwa</w:t>
            </w:r>
          </w:p>
        </w:tc>
        <w:tc>
          <w:tcPr>
            <w:tcW w:w="236" w:type="dxa"/>
            <w:tcBorders>
              <w:top w:val="nil"/>
              <w:left w:val="single" w:sz="4" w:space="0" w:color="auto"/>
              <w:bottom w:val="nil"/>
              <w:right w:val="nil"/>
            </w:tcBorders>
            <w:vAlign w:val="center"/>
          </w:tcPr>
          <w:p w14:paraId="05BA501C" w14:textId="77777777" w:rsidR="004C6421" w:rsidRDefault="004C6421">
            <w:pPr>
              <w:rPr>
                <w:noProof/>
              </w:rPr>
            </w:pPr>
          </w:p>
        </w:tc>
      </w:tr>
      <w:tr w:rsidR="004C6421" w14:paraId="31DF24C3" w14:textId="77777777">
        <w:trPr>
          <w:trHeight w:val="510"/>
        </w:trPr>
        <w:tc>
          <w:tcPr>
            <w:tcW w:w="1335" w:type="dxa"/>
            <w:vMerge/>
            <w:tcBorders>
              <w:top w:val="single" w:sz="4" w:space="0" w:color="auto"/>
              <w:left w:val="single" w:sz="4" w:space="0" w:color="auto"/>
              <w:bottom w:val="single" w:sz="4" w:space="0" w:color="auto"/>
              <w:right w:val="single" w:sz="4" w:space="0" w:color="auto"/>
            </w:tcBorders>
            <w:vAlign w:val="center"/>
          </w:tcPr>
          <w:p w14:paraId="2E9153A0" w14:textId="77777777" w:rsidR="004C6421" w:rsidRDefault="004C6421">
            <w:pPr>
              <w:rPr>
                <w:noProof/>
              </w:rPr>
            </w:pPr>
          </w:p>
        </w:tc>
        <w:tc>
          <w:tcPr>
            <w:tcW w:w="3784" w:type="dxa"/>
            <w:vMerge/>
            <w:tcBorders>
              <w:top w:val="single" w:sz="4" w:space="0" w:color="auto"/>
              <w:left w:val="single" w:sz="4" w:space="0" w:color="auto"/>
              <w:bottom w:val="single" w:sz="4" w:space="0" w:color="auto"/>
              <w:right w:val="single" w:sz="4" w:space="0" w:color="auto"/>
            </w:tcBorders>
            <w:vAlign w:val="center"/>
          </w:tcPr>
          <w:p w14:paraId="1841E8C2" w14:textId="77777777" w:rsidR="004C6421" w:rsidRDefault="004C6421">
            <w:pPr>
              <w:rPr>
                <w:noProof/>
              </w:rPr>
            </w:pPr>
          </w:p>
        </w:tc>
        <w:tc>
          <w:tcPr>
            <w:tcW w:w="1260" w:type="dxa"/>
            <w:vMerge/>
            <w:tcBorders>
              <w:top w:val="single" w:sz="4" w:space="0" w:color="auto"/>
              <w:left w:val="single" w:sz="4" w:space="0" w:color="auto"/>
              <w:bottom w:val="single" w:sz="4" w:space="0" w:color="auto"/>
              <w:right w:val="single" w:sz="4" w:space="0" w:color="auto"/>
            </w:tcBorders>
            <w:vAlign w:val="center"/>
          </w:tcPr>
          <w:p w14:paraId="338B26D4" w14:textId="77777777" w:rsidR="004C6421" w:rsidRDefault="004C6421">
            <w:pPr>
              <w:rPr>
                <w:noProof/>
              </w:rPr>
            </w:pPr>
          </w:p>
        </w:tc>
        <w:tc>
          <w:tcPr>
            <w:tcW w:w="2979" w:type="dxa"/>
            <w:vMerge/>
            <w:tcBorders>
              <w:top w:val="single" w:sz="4" w:space="0" w:color="auto"/>
              <w:left w:val="single" w:sz="4" w:space="0" w:color="auto"/>
              <w:bottom w:val="single" w:sz="4" w:space="0" w:color="auto"/>
              <w:right w:val="single" w:sz="4" w:space="0" w:color="auto"/>
            </w:tcBorders>
            <w:vAlign w:val="center"/>
          </w:tcPr>
          <w:p w14:paraId="7C5D705F" w14:textId="77777777" w:rsidR="004C6421" w:rsidRDefault="004C6421">
            <w:pPr>
              <w:rPr>
                <w:noProof/>
              </w:rPr>
            </w:pPr>
          </w:p>
        </w:tc>
        <w:tc>
          <w:tcPr>
            <w:tcW w:w="236" w:type="dxa"/>
            <w:tcBorders>
              <w:top w:val="nil"/>
              <w:left w:val="single" w:sz="4" w:space="0" w:color="auto"/>
              <w:bottom w:val="nil"/>
              <w:right w:val="nil"/>
            </w:tcBorders>
            <w:vAlign w:val="center"/>
          </w:tcPr>
          <w:p w14:paraId="27ACF927" w14:textId="77777777" w:rsidR="004C6421" w:rsidRDefault="004C6421">
            <w:pPr>
              <w:rPr>
                <w:noProof/>
              </w:rPr>
            </w:pPr>
          </w:p>
        </w:tc>
      </w:tr>
      <w:tr w:rsidR="004C6421" w14:paraId="2677DD98" w14:textId="77777777">
        <w:trPr>
          <w:trHeight w:val="300"/>
        </w:trPr>
        <w:tc>
          <w:tcPr>
            <w:tcW w:w="1335"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8920D47" w14:textId="77777777" w:rsidR="004C6421" w:rsidRDefault="009D1962">
            <w:pPr>
              <w:pStyle w:val="P68B1DB1-Normal8"/>
              <w:jc w:val="center"/>
              <w:rPr>
                <w:noProof/>
              </w:rPr>
            </w:pPr>
            <w:r>
              <w:rPr>
                <w:noProof/>
              </w:rPr>
              <w:t>M5C2-16</w:t>
            </w:r>
          </w:p>
        </w:tc>
        <w:tc>
          <w:tcPr>
            <w:tcW w:w="3784"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6143EB9" w14:textId="77777777" w:rsidR="004C6421" w:rsidRDefault="009D1962">
            <w:pPr>
              <w:pStyle w:val="P68B1DB1-Normal8"/>
              <w:rPr>
                <w:noProof/>
              </w:rPr>
            </w:pPr>
            <w:r>
              <w:rPr>
                <w:noProof/>
              </w:rPr>
              <w:t>Inwestycje 5 – Zintegrowane plany miejskie – Przeciwdziałanie nielegalnym osiedlom w celu zwalczania wyzysku pracowników w rolnictwie</w:t>
            </w:r>
          </w:p>
        </w:tc>
        <w:tc>
          <w:tcPr>
            <w:tcW w:w="1260"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1B7288F" w14:textId="77777777" w:rsidR="004C6421" w:rsidRDefault="009D1962">
            <w:pPr>
              <w:pStyle w:val="P68B1DB1-Normal8"/>
              <w:jc w:val="center"/>
              <w:rPr>
                <w:noProof/>
              </w:rPr>
            </w:pPr>
            <w:r>
              <w:rPr>
                <w:noProof/>
              </w:rPr>
              <w:t>Cel</w:t>
            </w:r>
          </w:p>
        </w:tc>
        <w:tc>
          <w:tcPr>
            <w:tcW w:w="2979"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A9BB869" w14:textId="77777777" w:rsidR="004C6421" w:rsidRDefault="009D1962">
            <w:pPr>
              <w:pStyle w:val="P68B1DB1-Normal8"/>
              <w:rPr>
                <w:noProof/>
              </w:rPr>
            </w:pPr>
            <w:r>
              <w:rPr>
                <w:noProof/>
              </w:rPr>
              <w:t>Działania w ramach projektu są zakończone na obszarach określonych w lokalnych planach jako nielegalne osiedla</w:t>
            </w:r>
          </w:p>
        </w:tc>
        <w:tc>
          <w:tcPr>
            <w:tcW w:w="236" w:type="dxa"/>
            <w:tcBorders>
              <w:top w:val="nil"/>
              <w:left w:val="single" w:sz="8" w:space="0" w:color="auto"/>
              <w:bottom w:val="nil"/>
              <w:right w:val="nil"/>
            </w:tcBorders>
            <w:vAlign w:val="center"/>
          </w:tcPr>
          <w:p w14:paraId="72FE7267" w14:textId="77777777" w:rsidR="004C6421" w:rsidRDefault="004C6421">
            <w:pPr>
              <w:rPr>
                <w:noProof/>
              </w:rPr>
            </w:pPr>
          </w:p>
        </w:tc>
      </w:tr>
      <w:tr w:rsidR="004C6421" w14:paraId="0D3F40F6" w14:textId="77777777">
        <w:trPr>
          <w:trHeight w:val="300"/>
        </w:trPr>
        <w:tc>
          <w:tcPr>
            <w:tcW w:w="13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F7CD394" w14:textId="77777777" w:rsidR="004C6421" w:rsidRDefault="009D1962">
            <w:pPr>
              <w:pStyle w:val="P68B1DB1-Normal8"/>
              <w:jc w:val="center"/>
              <w:rPr>
                <w:noProof/>
              </w:rPr>
            </w:pPr>
            <w:r>
              <w:rPr>
                <w:noProof/>
              </w:rPr>
              <w:t>M7–47</w:t>
            </w:r>
          </w:p>
        </w:tc>
        <w:tc>
          <w:tcPr>
            <w:tcW w:w="3784"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2CDB9EB" w14:textId="77777777" w:rsidR="004C6421" w:rsidRDefault="009D1962">
            <w:pPr>
              <w:pStyle w:val="P68B1DB1-Normal8"/>
              <w:rPr>
                <w:noProof/>
              </w:rPr>
            </w:pPr>
            <w:r>
              <w:rPr>
                <w:noProof/>
              </w:rPr>
              <w:t>Inwestycja 17: Instrument finansowy na rzecz termomodernizacji mieszkań publicznych i socjalnych</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9624E74" w14:textId="5533B459" w:rsidR="004C6421" w:rsidRDefault="00CC179E">
            <w:pPr>
              <w:pStyle w:val="P68B1DB1-Normal8"/>
              <w:jc w:val="center"/>
              <w:rPr>
                <w:noProof/>
              </w:rPr>
            </w:pPr>
            <w:r>
              <w:rPr>
                <w:noProof/>
              </w:rPr>
              <w:t>Milowy</w:t>
            </w:r>
          </w:p>
        </w:tc>
        <w:tc>
          <w:tcPr>
            <w:tcW w:w="297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B688911" w14:textId="77777777" w:rsidR="004C6421" w:rsidRDefault="009D1962">
            <w:pPr>
              <w:pStyle w:val="P68B1DB1-Normal8"/>
              <w:rPr>
                <w:noProof/>
              </w:rPr>
            </w:pPr>
            <w:r>
              <w:rPr>
                <w:noProof/>
              </w:rPr>
              <w:t>Umowa wykonawcza</w:t>
            </w:r>
          </w:p>
        </w:tc>
        <w:tc>
          <w:tcPr>
            <w:tcW w:w="236" w:type="dxa"/>
            <w:tcBorders>
              <w:top w:val="nil"/>
              <w:left w:val="single" w:sz="8" w:space="0" w:color="auto"/>
              <w:bottom w:val="nil"/>
              <w:right w:val="nil"/>
            </w:tcBorders>
            <w:vAlign w:val="center"/>
          </w:tcPr>
          <w:p w14:paraId="445F0B3F" w14:textId="77777777" w:rsidR="004C6421" w:rsidRDefault="004C6421">
            <w:pPr>
              <w:rPr>
                <w:noProof/>
              </w:rPr>
            </w:pPr>
          </w:p>
        </w:tc>
      </w:tr>
      <w:tr w:rsidR="004C6421" w14:paraId="280E8957" w14:textId="77777777">
        <w:trPr>
          <w:trHeight w:val="300"/>
        </w:trPr>
        <w:tc>
          <w:tcPr>
            <w:tcW w:w="13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EABE55F" w14:textId="77777777" w:rsidR="004C6421" w:rsidRDefault="009D1962">
            <w:pPr>
              <w:pStyle w:val="P68B1DB1-Normal8"/>
              <w:jc w:val="center"/>
              <w:rPr>
                <w:noProof/>
              </w:rPr>
            </w:pPr>
            <w:r>
              <w:rPr>
                <w:noProof/>
              </w:rPr>
              <w:t>M7–48</w:t>
            </w:r>
          </w:p>
        </w:tc>
        <w:tc>
          <w:tcPr>
            <w:tcW w:w="3784"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38B5CB5" w14:textId="77777777" w:rsidR="004C6421" w:rsidRDefault="009D1962">
            <w:pPr>
              <w:pStyle w:val="P68B1DB1-Normal8"/>
              <w:rPr>
                <w:noProof/>
              </w:rPr>
            </w:pPr>
            <w:r>
              <w:rPr>
                <w:noProof/>
              </w:rPr>
              <w:t>Inwestycja 17: Instrument finansowy na rzecz termomodernizacji mieszkań publicznych i socjalnych</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4705483" w14:textId="3B9AAF4C" w:rsidR="004C6421" w:rsidRDefault="00CC179E">
            <w:pPr>
              <w:pStyle w:val="P68B1DB1-Normal8"/>
              <w:jc w:val="center"/>
              <w:rPr>
                <w:noProof/>
              </w:rPr>
            </w:pPr>
            <w:r>
              <w:rPr>
                <w:noProof/>
              </w:rPr>
              <w:t>Milowy</w:t>
            </w:r>
          </w:p>
        </w:tc>
        <w:tc>
          <w:tcPr>
            <w:tcW w:w="297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466E760" w14:textId="77777777" w:rsidR="004C6421" w:rsidRDefault="009D1962">
            <w:pPr>
              <w:pStyle w:val="P68B1DB1-Normal8"/>
              <w:rPr>
                <w:noProof/>
              </w:rPr>
            </w:pPr>
            <w:r>
              <w:rPr>
                <w:noProof/>
              </w:rPr>
              <w:t>Ministerstwo zakończyło inwestycję</w:t>
            </w:r>
          </w:p>
        </w:tc>
        <w:tc>
          <w:tcPr>
            <w:tcW w:w="236" w:type="dxa"/>
            <w:tcBorders>
              <w:top w:val="nil"/>
              <w:left w:val="single" w:sz="8" w:space="0" w:color="auto"/>
              <w:bottom w:val="nil"/>
              <w:right w:val="nil"/>
            </w:tcBorders>
            <w:vAlign w:val="center"/>
          </w:tcPr>
          <w:p w14:paraId="5AC73A25" w14:textId="77777777" w:rsidR="004C6421" w:rsidRDefault="004C6421">
            <w:pPr>
              <w:rPr>
                <w:noProof/>
              </w:rPr>
            </w:pPr>
          </w:p>
        </w:tc>
      </w:tr>
      <w:tr w:rsidR="004C6421" w14:paraId="0D181381" w14:textId="77777777">
        <w:trPr>
          <w:trHeight w:val="300"/>
        </w:trPr>
        <w:tc>
          <w:tcPr>
            <w:tcW w:w="13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0B797A9" w14:textId="77777777" w:rsidR="004C6421" w:rsidRDefault="009D1962">
            <w:pPr>
              <w:pStyle w:val="P68B1DB1-Normal8"/>
              <w:jc w:val="center"/>
              <w:rPr>
                <w:noProof/>
              </w:rPr>
            </w:pPr>
            <w:r>
              <w:rPr>
                <w:noProof/>
              </w:rPr>
              <w:t>M1C1-144</w:t>
            </w:r>
          </w:p>
        </w:tc>
        <w:tc>
          <w:tcPr>
            <w:tcW w:w="3784"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E420C0E" w14:textId="77777777" w:rsidR="004C6421" w:rsidRDefault="009D1962">
            <w:pPr>
              <w:pStyle w:val="P68B1DB1-Normal8"/>
              <w:rPr>
                <w:noProof/>
              </w:rPr>
            </w:pPr>
            <w:r>
              <w:rPr>
                <w:noProof/>
              </w:rPr>
              <w:t>Inwestycje 1.4.2 – Włączenie obywateli – Poprawa dostępności cyfrowych usług publicznych</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6D550E0" w14:textId="77777777" w:rsidR="004C6421" w:rsidRDefault="009D1962">
            <w:pPr>
              <w:pStyle w:val="P68B1DB1-Normal8"/>
              <w:jc w:val="center"/>
              <w:rPr>
                <w:noProof/>
              </w:rPr>
            </w:pPr>
            <w:r>
              <w:rPr>
                <w:noProof/>
              </w:rPr>
              <w:t>Cel</w:t>
            </w:r>
          </w:p>
        </w:tc>
        <w:tc>
          <w:tcPr>
            <w:tcW w:w="297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08C6869" w14:textId="77777777" w:rsidR="004C6421" w:rsidRDefault="009D1962">
            <w:pPr>
              <w:pStyle w:val="P68B1DB1-Normal8"/>
              <w:rPr>
                <w:noProof/>
              </w:rPr>
            </w:pPr>
            <w:r>
              <w:rPr>
                <w:noProof/>
              </w:rPr>
              <w:t>Poprawa dostępności cyfrowych usług publicznych</w:t>
            </w:r>
          </w:p>
        </w:tc>
        <w:tc>
          <w:tcPr>
            <w:tcW w:w="236" w:type="dxa"/>
            <w:tcBorders>
              <w:top w:val="nil"/>
              <w:left w:val="single" w:sz="8" w:space="0" w:color="auto"/>
              <w:bottom w:val="nil"/>
              <w:right w:val="nil"/>
            </w:tcBorders>
            <w:vAlign w:val="center"/>
          </w:tcPr>
          <w:p w14:paraId="158E3F1E" w14:textId="77777777" w:rsidR="004C6421" w:rsidRDefault="004C6421">
            <w:pPr>
              <w:rPr>
                <w:noProof/>
              </w:rPr>
            </w:pPr>
          </w:p>
        </w:tc>
      </w:tr>
      <w:tr w:rsidR="004C6421" w14:paraId="08AAC4A7" w14:textId="77777777">
        <w:trPr>
          <w:trHeight w:val="300"/>
        </w:trPr>
        <w:tc>
          <w:tcPr>
            <w:tcW w:w="13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FB0F8C7" w14:textId="77777777" w:rsidR="004C6421" w:rsidRDefault="009D1962">
            <w:pPr>
              <w:pStyle w:val="P68B1DB1-Normal8"/>
              <w:jc w:val="center"/>
              <w:rPr>
                <w:noProof/>
              </w:rPr>
            </w:pPr>
            <w:r>
              <w:rPr>
                <w:noProof/>
              </w:rPr>
              <w:t>M1C3-16</w:t>
            </w:r>
          </w:p>
        </w:tc>
        <w:tc>
          <w:tcPr>
            <w:tcW w:w="3784"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344DDFB" w14:textId="77777777" w:rsidR="004C6421" w:rsidRDefault="009D1962">
            <w:pPr>
              <w:pStyle w:val="P68B1DB1-Normal8"/>
              <w:rPr>
                <w:noProof/>
              </w:rPr>
            </w:pPr>
            <w:r>
              <w:rPr>
                <w:noProof/>
              </w:rPr>
              <w:t>Inwestycje – 2.1 Czynność małych historycznych miast</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404D168" w14:textId="77777777" w:rsidR="004C6421" w:rsidRDefault="009D1962">
            <w:pPr>
              <w:pStyle w:val="P68B1DB1-Normal8"/>
              <w:jc w:val="center"/>
              <w:rPr>
                <w:noProof/>
              </w:rPr>
            </w:pPr>
            <w:r>
              <w:rPr>
                <w:noProof/>
              </w:rPr>
              <w:t>Cel</w:t>
            </w:r>
          </w:p>
        </w:tc>
        <w:tc>
          <w:tcPr>
            <w:tcW w:w="297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7E259EC" w14:textId="77777777" w:rsidR="004C6421" w:rsidRDefault="009D1962">
            <w:pPr>
              <w:pStyle w:val="P68B1DB1-Normal8"/>
              <w:rPr>
                <w:noProof/>
              </w:rPr>
            </w:pPr>
            <w:r>
              <w:rPr>
                <w:noProof/>
              </w:rPr>
              <w:t>Zakończenie interwencji na rzecz poprawy jakości obiektów kulturalnych lub turystycznych</w:t>
            </w:r>
          </w:p>
        </w:tc>
        <w:tc>
          <w:tcPr>
            <w:tcW w:w="236" w:type="dxa"/>
            <w:tcBorders>
              <w:top w:val="nil"/>
              <w:left w:val="single" w:sz="8" w:space="0" w:color="auto"/>
              <w:bottom w:val="nil"/>
              <w:right w:val="nil"/>
            </w:tcBorders>
            <w:vAlign w:val="center"/>
          </w:tcPr>
          <w:p w14:paraId="01A09618" w14:textId="77777777" w:rsidR="004C6421" w:rsidRDefault="004C6421">
            <w:pPr>
              <w:rPr>
                <w:noProof/>
              </w:rPr>
            </w:pPr>
          </w:p>
        </w:tc>
      </w:tr>
      <w:tr w:rsidR="004C6421" w14:paraId="12394EA6" w14:textId="77777777">
        <w:trPr>
          <w:trHeight w:val="300"/>
        </w:trPr>
        <w:tc>
          <w:tcPr>
            <w:tcW w:w="13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A46FB69" w14:textId="77777777" w:rsidR="004C6421" w:rsidRDefault="009D1962">
            <w:pPr>
              <w:pStyle w:val="P68B1DB1-Normal8"/>
              <w:jc w:val="center"/>
              <w:rPr>
                <w:noProof/>
              </w:rPr>
            </w:pPr>
            <w:r>
              <w:rPr>
                <w:noProof/>
              </w:rPr>
              <w:t>M2C1-23</w:t>
            </w:r>
          </w:p>
        </w:tc>
        <w:tc>
          <w:tcPr>
            <w:tcW w:w="3784"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027A7BA" w14:textId="77777777" w:rsidR="004C6421" w:rsidRDefault="009D1962">
            <w:pPr>
              <w:pStyle w:val="P68B1DB1-Normal8"/>
              <w:rPr>
                <w:noProof/>
              </w:rPr>
            </w:pPr>
            <w:r>
              <w:rPr>
                <w:noProof/>
              </w:rPr>
              <w:t>Inwestycja 3.4: Fondo Contratti di Filiera (FCF) w celu wsparcia zamówień na łańcuchy dostaw dla sektorów rolno-spożywczego, rybołówstwa i akwakultury, leśnictwa, kwiaciarstwa i szkółek roślin</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C5A4BB8" w14:textId="77777777" w:rsidR="004C6421" w:rsidRDefault="009D1962">
            <w:pPr>
              <w:pStyle w:val="P68B1DB1-Normal8"/>
              <w:jc w:val="center"/>
              <w:rPr>
                <w:noProof/>
              </w:rPr>
            </w:pPr>
            <w:r>
              <w:rPr>
                <w:noProof/>
              </w:rPr>
              <w:t>Cel</w:t>
            </w:r>
          </w:p>
        </w:tc>
        <w:tc>
          <w:tcPr>
            <w:tcW w:w="297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F17BC6E" w14:textId="77777777" w:rsidR="004C6421" w:rsidRDefault="009D1962">
            <w:pPr>
              <w:pStyle w:val="P68B1DB1-Normal8"/>
              <w:rPr>
                <w:noProof/>
              </w:rPr>
            </w:pPr>
            <w:r>
              <w:rPr>
                <w:noProof/>
              </w:rPr>
              <w:t>Umowy prawne podpisane z beneficjentami końcowymi</w:t>
            </w:r>
          </w:p>
        </w:tc>
        <w:tc>
          <w:tcPr>
            <w:tcW w:w="236" w:type="dxa"/>
            <w:tcBorders>
              <w:top w:val="nil"/>
              <w:left w:val="single" w:sz="8" w:space="0" w:color="auto"/>
              <w:bottom w:val="nil"/>
              <w:right w:val="nil"/>
            </w:tcBorders>
            <w:vAlign w:val="center"/>
          </w:tcPr>
          <w:p w14:paraId="3CA49D74" w14:textId="77777777" w:rsidR="004C6421" w:rsidRDefault="004C6421">
            <w:pPr>
              <w:rPr>
                <w:noProof/>
              </w:rPr>
            </w:pPr>
          </w:p>
        </w:tc>
      </w:tr>
      <w:tr w:rsidR="004C6421" w14:paraId="5B5288AE" w14:textId="77777777">
        <w:trPr>
          <w:trHeight w:val="300"/>
        </w:trPr>
        <w:tc>
          <w:tcPr>
            <w:tcW w:w="13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B8AF22C" w14:textId="77777777" w:rsidR="004C6421" w:rsidRDefault="009D1962">
            <w:pPr>
              <w:pStyle w:val="P68B1DB1-Normal8"/>
              <w:jc w:val="center"/>
              <w:rPr>
                <w:noProof/>
              </w:rPr>
            </w:pPr>
            <w:r>
              <w:rPr>
                <w:noProof/>
              </w:rPr>
              <w:t>M2C2-4</w:t>
            </w:r>
          </w:p>
        </w:tc>
        <w:tc>
          <w:tcPr>
            <w:tcW w:w="3784"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C7960D8" w14:textId="77777777" w:rsidR="004C6421" w:rsidRDefault="009D1962">
            <w:pPr>
              <w:pStyle w:val="P68B1DB1-Normal8"/>
              <w:rPr>
                <w:noProof/>
              </w:rPr>
            </w:pPr>
            <w:r>
              <w:rPr>
                <w:noProof/>
              </w:rPr>
              <w:t>Inwestycja 1.4 Rozwój biometanu zgodnie z kryteriami promowania gospodarki o obiegu zamkniętym</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78516A9" w14:textId="77777777" w:rsidR="004C6421" w:rsidRDefault="009D1962">
            <w:pPr>
              <w:pStyle w:val="P68B1DB1-Normal8"/>
              <w:jc w:val="center"/>
              <w:rPr>
                <w:noProof/>
              </w:rPr>
            </w:pPr>
            <w:r>
              <w:rPr>
                <w:noProof/>
              </w:rPr>
              <w:t>Cel</w:t>
            </w:r>
          </w:p>
        </w:tc>
        <w:tc>
          <w:tcPr>
            <w:tcW w:w="297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7C32338" w14:textId="77777777" w:rsidR="004C6421" w:rsidRDefault="009D1962">
            <w:pPr>
              <w:pStyle w:val="P68B1DB1-Normal8"/>
              <w:rPr>
                <w:noProof/>
              </w:rPr>
            </w:pPr>
            <w:r>
              <w:rPr>
                <w:noProof/>
              </w:rPr>
              <w:t>Dodatkowa zdolność produkcyjna biometanu</w:t>
            </w:r>
          </w:p>
        </w:tc>
        <w:tc>
          <w:tcPr>
            <w:tcW w:w="236" w:type="dxa"/>
            <w:tcBorders>
              <w:top w:val="nil"/>
              <w:left w:val="single" w:sz="8" w:space="0" w:color="auto"/>
              <w:bottom w:val="nil"/>
              <w:right w:val="nil"/>
            </w:tcBorders>
            <w:vAlign w:val="center"/>
          </w:tcPr>
          <w:p w14:paraId="642ADC4E" w14:textId="77777777" w:rsidR="004C6421" w:rsidRDefault="004C6421">
            <w:pPr>
              <w:rPr>
                <w:noProof/>
              </w:rPr>
            </w:pPr>
          </w:p>
        </w:tc>
      </w:tr>
      <w:tr w:rsidR="004C6421" w14:paraId="194B88CB" w14:textId="77777777">
        <w:trPr>
          <w:trHeight w:val="300"/>
        </w:trPr>
        <w:tc>
          <w:tcPr>
            <w:tcW w:w="13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8526E14" w14:textId="77777777" w:rsidR="004C6421" w:rsidRDefault="009D1962">
            <w:pPr>
              <w:pStyle w:val="P68B1DB1-Normal8"/>
              <w:jc w:val="center"/>
              <w:rPr>
                <w:noProof/>
              </w:rPr>
            </w:pPr>
            <w:r>
              <w:rPr>
                <w:noProof/>
              </w:rPr>
              <w:t>M2C4-9</w:t>
            </w:r>
          </w:p>
        </w:tc>
        <w:tc>
          <w:tcPr>
            <w:tcW w:w="3784"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D55BA33" w14:textId="77777777" w:rsidR="004C6421" w:rsidRDefault="009D1962">
            <w:pPr>
              <w:pStyle w:val="P68B1DB1-Normal8"/>
              <w:rPr>
                <w:noProof/>
              </w:rPr>
            </w:pPr>
            <w:r>
              <w:rPr>
                <w:noProof/>
              </w:rPr>
              <w:t>Inwestycje 1.1. Wdrożenie zaawansowanego i zintegrowanego systemu monitorowania i prognozowania</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CD51490" w14:textId="77777777" w:rsidR="004C6421" w:rsidRDefault="009D1962">
            <w:pPr>
              <w:pStyle w:val="P68B1DB1-Normal8"/>
              <w:jc w:val="center"/>
              <w:rPr>
                <w:noProof/>
              </w:rPr>
            </w:pPr>
            <w:r>
              <w:rPr>
                <w:noProof/>
              </w:rPr>
              <w:t>Cel</w:t>
            </w:r>
          </w:p>
        </w:tc>
        <w:tc>
          <w:tcPr>
            <w:tcW w:w="297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582B094" w14:textId="77777777" w:rsidR="004C6421" w:rsidRDefault="009D1962">
            <w:pPr>
              <w:pStyle w:val="P68B1DB1-Normal8"/>
              <w:rPr>
                <w:noProof/>
              </w:rPr>
            </w:pPr>
            <w:r>
              <w:rPr>
                <w:noProof/>
              </w:rPr>
              <w:t xml:space="preserve">Wdrożenie zaawansowanego i zintegrowanego systemu monitorowania i prognozowania w celu identyfikacji zagrożeń hydrologicznych </w:t>
            </w:r>
          </w:p>
        </w:tc>
        <w:tc>
          <w:tcPr>
            <w:tcW w:w="236" w:type="dxa"/>
            <w:tcBorders>
              <w:top w:val="nil"/>
              <w:left w:val="single" w:sz="8" w:space="0" w:color="auto"/>
              <w:bottom w:val="nil"/>
              <w:right w:val="nil"/>
            </w:tcBorders>
            <w:vAlign w:val="center"/>
          </w:tcPr>
          <w:p w14:paraId="11BCF68F" w14:textId="77777777" w:rsidR="004C6421" w:rsidRDefault="004C6421">
            <w:pPr>
              <w:rPr>
                <w:noProof/>
              </w:rPr>
            </w:pPr>
          </w:p>
        </w:tc>
      </w:tr>
      <w:tr w:rsidR="004C6421" w14:paraId="62EED9A1" w14:textId="77777777">
        <w:trPr>
          <w:trHeight w:val="300"/>
        </w:trPr>
        <w:tc>
          <w:tcPr>
            <w:tcW w:w="13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1CB9A1C" w14:textId="77777777" w:rsidR="004C6421" w:rsidRDefault="009D1962">
            <w:pPr>
              <w:pStyle w:val="P68B1DB1-Normal8"/>
              <w:jc w:val="center"/>
              <w:rPr>
                <w:noProof/>
              </w:rPr>
            </w:pPr>
            <w:r>
              <w:rPr>
                <w:noProof/>
              </w:rPr>
              <w:t>M2C4-11bis</w:t>
            </w:r>
          </w:p>
        </w:tc>
        <w:tc>
          <w:tcPr>
            <w:tcW w:w="3784"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AE3C6C9" w14:textId="77777777" w:rsidR="004C6421" w:rsidRDefault="009D1962">
            <w:pPr>
              <w:pStyle w:val="P68B1DB1-Normal8"/>
              <w:rPr>
                <w:noProof/>
              </w:rPr>
            </w:pPr>
            <w:r>
              <w:rPr>
                <w:noProof/>
              </w:rPr>
              <w:t>Inwestycja 2.1.a. Środki na rzecz ograniczenia ryzyka powodziowego i hydrogeologicznego – Interwencje w Emilia-Romania, Toskanie i Marche</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F4E0A15" w14:textId="3843BED7" w:rsidR="004C6421" w:rsidRDefault="00CC179E">
            <w:pPr>
              <w:pStyle w:val="P68B1DB1-Normal8"/>
              <w:jc w:val="center"/>
              <w:rPr>
                <w:noProof/>
              </w:rPr>
            </w:pPr>
            <w:r>
              <w:rPr>
                <w:noProof/>
              </w:rPr>
              <w:t>Milowy</w:t>
            </w:r>
          </w:p>
        </w:tc>
        <w:tc>
          <w:tcPr>
            <w:tcW w:w="297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FE571D0" w14:textId="77777777" w:rsidR="004C6421" w:rsidRDefault="009D1962">
            <w:pPr>
              <w:pStyle w:val="P68B1DB1-Normal8"/>
              <w:rPr>
                <w:noProof/>
              </w:rPr>
            </w:pPr>
            <w:r>
              <w:rPr>
                <w:noProof/>
              </w:rPr>
              <w:t>Udzielanie wszystkich zamówień publicznych na interwencje w regionie Emilia-Romania, Toskania i Marche</w:t>
            </w:r>
          </w:p>
        </w:tc>
        <w:tc>
          <w:tcPr>
            <w:tcW w:w="236" w:type="dxa"/>
            <w:tcBorders>
              <w:top w:val="nil"/>
              <w:left w:val="single" w:sz="8" w:space="0" w:color="auto"/>
              <w:bottom w:val="nil"/>
              <w:right w:val="nil"/>
            </w:tcBorders>
            <w:vAlign w:val="center"/>
          </w:tcPr>
          <w:p w14:paraId="604C1C84" w14:textId="77777777" w:rsidR="004C6421" w:rsidRDefault="004C6421">
            <w:pPr>
              <w:rPr>
                <w:noProof/>
              </w:rPr>
            </w:pPr>
          </w:p>
        </w:tc>
      </w:tr>
      <w:tr w:rsidR="004C6421" w14:paraId="366F1FF2" w14:textId="77777777">
        <w:trPr>
          <w:trHeight w:val="300"/>
        </w:trPr>
        <w:tc>
          <w:tcPr>
            <w:tcW w:w="13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01FE1FD" w14:textId="77777777" w:rsidR="004C6421" w:rsidRDefault="009D1962">
            <w:pPr>
              <w:pStyle w:val="P68B1DB1-Normal8"/>
              <w:jc w:val="center"/>
              <w:rPr>
                <w:noProof/>
              </w:rPr>
            </w:pPr>
            <w:r>
              <w:rPr>
                <w:noProof/>
              </w:rPr>
              <w:t>M2C4-26</w:t>
            </w:r>
          </w:p>
        </w:tc>
        <w:tc>
          <w:tcPr>
            <w:tcW w:w="3784"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22D5AFC" w14:textId="77777777" w:rsidR="004C6421" w:rsidRDefault="009D1962">
            <w:pPr>
              <w:pStyle w:val="P68B1DB1-Normal8"/>
              <w:rPr>
                <w:noProof/>
              </w:rPr>
            </w:pPr>
            <w:r>
              <w:rPr>
                <w:noProof/>
              </w:rPr>
              <w:t>Inwestycje 3.5. Odbudowa i ochrona dna morskiego i siedlisk morskich</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108589C" w14:textId="77777777" w:rsidR="004C6421" w:rsidRDefault="009D1962">
            <w:pPr>
              <w:pStyle w:val="P68B1DB1-Normal8"/>
              <w:jc w:val="center"/>
              <w:rPr>
                <w:noProof/>
              </w:rPr>
            </w:pPr>
            <w:r>
              <w:rPr>
                <w:noProof/>
              </w:rPr>
              <w:t>Cel</w:t>
            </w:r>
          </w:p>
        </w:tc>
        <w:tc>
          <w:tcPr>
            <w:tcW w:w="297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83BF91E" w14:textId="77777777" w:rsidR="004C6421" w:rsidRDefault="009D1962">
            <w:pPr>
              <w:pStyle w:val="P68B1DB1-Normal8"/>
              <w:rPr>
                <w:noProof/>
              </w:rPr>
            </w:pPr>
            <w:r>
              <w:rPr>
                <w:noProof/>
              </w:rPr>
              <w:t xml:space="preserve">Odbudowa i ochrona dna morskiego i siedlisk morskich </w:t>
            </w:r>
          </w:p>
        </w:tc>
        <w:tc>
          <w:tcPr>
            <w:tcW w:w="236" w:type="dxa"/>
            <w:tcBorders>
              <w:top w:val="nil"/>
              <w:left w:val="single" w:sz="8" w:space="0" w:color="auto"/>
              <w:bottom w:val="nil"/>
              <w:right w:val="nil"/>
            </w:tcBorders>
            <w:vAlign w:val="center"/>
          </w:tcPr>
          <w:p w14:paraId="6FD0C053" w14:textId="77777777" w:rsidR="004C6421" w:rsidRDefault="004C6421">
            <w:pPr>
              <w:rPr>
                <w:noProof/>
              </w:rPr>
            </w:pPr>
          </w:p>
        </w:tc>
      </w:tr>
      <w:tr w:rsidR="004C6421" w14:paraId="2C7F4F4F" w14:textId="77777777">
        <w:trPr>
          <w:trHeight w:val="300"/>
        </w:trPr>
        <w:tc>
          <w:tcPr>
            <w:tcW w:w="13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029610D" w14:textId="77777777" w:rsidR="004C6421" w:rsidRDefault="009D1962">
            <w:pPr>
              <w:pStyle w:val="P68B1DB1-Normal8"/>
              <w:jc w:val="center"/>
              <w:rPr>
                <w:noProof/>
              </w:rPr>
            </w:pPr>
            <w:r>
              <w:rPr>
                <w:noProof/>
              </w:rPr>
              <w:t>M3C1-13</w:t>
            </w:r>
          </w:p>
        </w:tc>
        <w:tc>
          <w:tcPr>
            <w:tcW w:w="3784"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E7D1D45" w14:textId="77777777" w:rsidR="004C6421" w:rsidRDefault="009D1962">
            <w:pPr>
              <w:pStyle w:val="P68B1DB1-Normal8"/>
              <w:rPr>
                <w:noProof/>
              </w:rPr>
            </w:pPr>
            <w:r>
              <w:rPr>
                <w:noProof/>
              </w:rPr>
              <w:t>Inwestycje 1.4 – Wprowadzenie europejskiego systemu zarządzania transportem kolejowym (ERTMS)</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0D8A8FA" w14:textId="77777777" w:rsidR="004C6421" w:rsidRDefault="009D1962">
            <w:pPr>
              <w:pStyle w:val="P68B1DB1-Normal8"/>
              <w:jc w:val="center"/>
              <w:rPr>
                <w:noProof/>
              </w:rPr>
            </w:pPr>
            <w:r>
              <w:rPr>
                <w:noProof/>
              </w:rPr>
              <w:t>Cel</w:t>
            </w:r>
          </w:p>
        </w:tc>
        <w:tc>
          <w:tcPr>
            <w:tcW w:w="297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2D7282E" w14:textId="458EAC03" w:rsidR="004C6421" w:rsidRDefault="009D1962">
            <w:pPr>
              <w:rPr>
                <w:noProof/>
              </w:rPr>
            </w:pPr>
            <w:r>
              <w:rPr>
                <w:noProof/>
                <w:color w:val="006100"/>
                <w:sz w:val="20"/>
              </w:rPr>
              <w:t>1400</w:t>
            </w:r>
            <w:r>
              <w:rPr>
                <w:noProof/>
                <w:sz w:val="23"/>
              </w:rPr>
              <w:t xml:space="preserve"> </w:t>
            </w:r>
            <w:r>
              <w:rPr>
                <w:noProof/>
                <w:color w:val="006100"/>
                <w:sz w:val="20"/>
              </w:rPr>
              <w:t>km linii kolejowych wyposażonych w europejski system zarządzania transportem kolejowym</w:t>
            </w:r>
          </w:p>
        </w:tc>
        <w:tc>
          <w:tcPr>
            <w:tcW w:w="236" w:type="dxa"/>
            <w:tcBorders>
              <w:top w:val="nil"/>
              <w:left w:val="single" w:sz="8" w:space="0" w:color="auto"/>
              <w:bottom w:val="nil"/>
              <w:right w:val="nil"/>
            </w:tcBorders>
            <w:vAlign w:val="center"/>
          </w:tcPr>
          <w:p w14:paraId="732D50BD" w14:textId="77777777" w:rsidR="004C6421" w:rsidRDefault="004C6421">
            <w:pPr>
              <w:rPr>
                <w:noProof/>
              </w:rPr>
            </w:pPr>
          </w:p>
        </w:tc>
      </w:tr>
      <w:tr w:rsidR="004C6421" w14:paraId="00534739" w14:textId="77777777">
        <w:trPr>
          <w:trHeight w:val="300"/>
        </w:trPr>
        <w:tc>
          <w:tcPr>
            <w:tcW w:w="13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B124BDD" w14:textId="77777777" w:rsidR="004C6421" w:rsidRDefault="009D1962">
            <w:pPr>
              <w:pStyle w:val="P68B1DB1-Normal8"/>
              <w:jc w:val="center"/>
              <w:rPr>
                <w:noProof/>
              </w:rPr>
            </w:pPr>
            <w:r>
              <w:rPr>
                <w:noProof/>
              </w:rPr>
              <w:t>M4C2-6</w:t>
            </w:r>
          </w:p>
        </w:tc>
        <w:tc>
          <w:tcPr>
            <w:tcW w:w="3784"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7F51FAB" w14:textId="77777777" w:rsidR="004C6421" w:rsidRDefault="009D1962">
            <w:pPr>
              <w:pStyle w:val="P68B1DB1-Normal8"/>
              <w:rPr>
                <w:noProof/>
              </w:rPr>
            </w:pPr>
            <w:r>
              <w:rPr>
                <w:noProof/>
              </w:rPr>
              <w:t>Inwestycje 1.1: Projekty badawcze o istotnym znaczeniu narodowym (PRIN)</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1CCE0C7" w14:textId="77777777" w:rsidR="004C6421" w:rsidRDefault="009D1962">
            <w:pPr>
              <w:pStyle w:val="P68B1DB1-Normal8"/>
              <w:jc w:val="center"/>
              <w:rPr>
                <w:noProof/>
              </w:rPr>
            </w:pPr>
            <w:r>
              <w:rPr>
                <w:noProof/>
              </w:rPr>
              <w:t>Cel</w:t>
            </w:r>
          </w:p>
        </w:tc>
        <w:tc>
          <w:tcPr>
            <w:tcW w:w="297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BD7FD4B" w14:textId="77777777" w:rsidR="004C6421" w:rsidRDefault="009D1962">
            <w:pPr>
              <w:pStyle w:val="P68B1DB1-Normal8"/>
              <w:rPr>
                <w:noProof/>
              </w:rPr>
            </w:pPr>
            <w:r>
              <w:rPr>
                <w:noProof/>
              </w:rPr>
              <w:t>Liczba projektów badawczych, na które udzielono dotacji</w:t>
            </w:r>
          </w:p>
        </w:tc>
        <w:tc>
          <w:tcPr>
            <w:tcW w:w="236" w:type="dxa"/>
            <w:tcBorders>
              <w:top w:val="nil"/>
              <w:left w:val="single" w:sz="8" w:space="0" w:color="auto"/>
              <w:bottom w:val="nil"/>
              <w:right w:val="nil"/>
            </w:tcBorders>
            <w:vAlign w:val="center"/>
          </w:tcPr>
          <w:p w14:paraId="281D1FA2" w14:textId="77777777" w:rsidR="004C6421" w:rsidRDefault="004C6421">
            <w:pPr>
              <w:rPr>
                <w:noProof/>
              </w:rPr>
            </w:pPr>
          </w:p>
        </w:tc>
      </w:tr>
      <w:tr w:rsidR="004C6421" w14:paraId="0D1A0732" w14:textId="77777777">
        <w:trPr>
          <w:trHeight w:val="300"/>
        </w:trPr>
        <w:tc>
          <w:tcPr>
            <w:tcW w:w="13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5E0001F" w14:textId="77777777" w:rsidR="004C6421" w:rsidRDefault="009D1962">
            <w:pPr>
              <w:pStyle w:val="P68B1DB1-Normal8"/>
              <w:jc w:val="center"/>
              <w:rPr>
                <w:noProof/>
              </w:rPr>
            </w:pPr>
            <w:r>
              <w:rPr>
                <w:noProof/>
              </w:rPr>
              <w:t>M4C2-7</w:t>
            </w:r>
          </w:p>
        </w:tc>
        <w:tc>
          <w:tcPr>
            <w:tcW w:w="3784"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D715165" w14:textId="77777777" w:rsidR="004C6421" w:rsidRDefault="009D1962">
            <w:pPr>
              <w:pStyle w:val="P68B1DB1-Normal8"/>
              <w:rPr>
                <w:noProof/>
              </w:rPr>
            </w:pPr>
            <w:r>
              <w:rPr>
                <w:noProof/>
              </w:rPr>
              <w:t>Inwestycje 1.1: Projekty badawcze o istotnym znaczeniu narodowym (PRIN)</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F4C7760" w14:textId="77777777" w:rsidR="004C6421" w:rsidRDefault="009D1962">
            <w:pPr>
              <w:pStyle w:val="P68B1DB1-Normal8"/>
              <w:jc w:val="center"/>
              <w:rPr>
                <w:noProof/>
              </w:rPr>
            </w:pPr>
            <w:r>
              <w:rPr>
                <w:noProof/>
              </w:rPr>
              <w:t>Cel</w:t>
            </w:r>
          </w:p>
        </w:tc>
        <w:tc>
          <w:tcPr>
            <w:tcW w:w="297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38C6835" w14:textId="77777777" w:rsidR="004C6421" w:rsidRDefault="009D1962">
            <w:pPr>
              <w:pStyle w:val="P68B1DB1-Normal8"/>
              <w:rPr>
                <w:noProof/>
              </w:rPr>
            </w:pPr>
            <w:r>
              <w:rPr>
                <w:noProof/>
              </w:rPr>
              <w:t>Liczba zatrudnionych naukowców zatrudnionych na czas określony</w:t>
            </w:r>
          </w:p>
        </w:tc>
        <w:tc>
          <w:tcPr>
            <w:tcW w:w="236" w:type="dxa"/>
            <w:tcBorders>
              <w:top w:val="nil"/>
              <w:left w:val="single" w:sz="8" w:space="0" w:color="auto"/>
              <w:bottom w:val="nil"/>
              <w:right w:val="nil"/>
            </w:tcBorders>
            <w:vAlign w:val="center"/>
          </w:tcPr>
          <w:p w14:paraId="3C8673EC" w14:textId="77777777" w:rsidR="004C6421" w:rsidRDefault="004C6421">
            <w:pPr>
              <w:rPr>
                <w:noProof/>
              </w:rPr>
            </w:pPr>
          </w:p>
        </w:tc>
      </w:tr>
      <w:tr w:rsidR="004C6421" w14:paraId="42E5A65D" w14:textId="77777777">
        <w:trPr>
          <w:trHeight w:val="300"/>
        </w:trPr>
        <w:tc>
          <w:tcPr>
            <w:tcW w:w="13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A92B034" w14:textId="77777777" w:rsidR="004C6421" w:rsidRDefault="009D1962">
            <w:pPr>
              <w:pStyle w:val="P68B1DB1-Normal8"/>
              <w:jc w:val="center"/>
              <w:rPr>
                <w:noProof/>
              </w:rPr>
            </w:pPr>
            <w:r>
              <w:rPr>
                <w:noProof/>
              </w:rPr>
              <w:t>M4C2-8</w:t>
            </w:r>
          </w:p>
        </w:tc>
        <w:tc>
          <w:tcPr>
            <w:tcW w:w="3784"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87E86B8" w14:textId="77777777" w:rsidR="004C6421" w:rsidRDefault="009D1962">
            <w:pPr>
              <w:pStyle w:val="P68B1DB1-Normal8"/>
              <w:rPr>
                <w:noProof/>
              </w:rPr>
            </w:pPr>
            <w:r>
              <w:rPr>
                <w:noProof/>
              </w:rPr>
              <w:t>Inwestycja 1.3: Partnerstwa rozszerzone na uniwersytety, ośrodki badawcze, przedsiębiorstwa i finansowanie podstawowych projektów badawczych</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90313CB" w14:textId="77777777" w:rsidR="004C6421" w:rsidRDefault="009D1962">
            <w:pPr>
              <w:pStyle w:val="P68B1DB1-Normal8"/>
              <w:jc w:val="center"/>
              <w:rPr>
                <w:noProof/>
              </w:rPr>
            </w:pPr>
            <w:r>
              <w:rPr>
                <w:noProof/>
              </w:rPr>
              <w:t>Cel</w:t>
            </w:r>
          </w:p>
        </w:tc>
        <w:tc>
          <w:tcPr>
            <w:tcW w:w="297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61B0925" w14:textId="77777777" w:rsidR="004C6421" w:rsidRDefault="009D1962">
            <w:pPr>
              <w:pStyle w:val="P68B1DB1-Normal8"/>
              <w:rPr>
                <w:noProof/>
              </w:rPr>
            </w:pPr>
            <w:r>
              <w:rPr>
                <w:noProof/>
              </w:rPr>
              <w:t>Liczba naukowców zatrudnionych na czas określony w ramach przewidywanych partnerstw w zakresie badań podstawowych podpisanych między instytutami badawczymi a prywatnymi przedsiębiorstwami</w:t>
            </w:r>
          </w:p>
        </w:tc>
        <w:tc>
          <w:tcPr>
            <w:tcW w:w="236" w:type="dxa"/>
            <w:tcBorders>
              <w:top w:val="nil"/>
              <w:left w:val="single" w:sz="8" w:space="0" w:color="auto"/>
              <w:bottom w:val="nil"/>
              <w:right w:val="nil"/>
            </w:tcBorders>
            <w:vAlign w:val="center"/>
          </w:tcPr>
          <w:p w14:paraId="763AA555" w14:textId="77777777" w:rsidR="004C6421" w:rsidRDefault="004C6421">
            <w:pPr>
              <w:rPr>
                <w:noProof/>
              </w:rPr>
            </w:pPr>
          </w:p>
        </w:tc>
      </w:tr>
      <w:tr w:rsidR="004C6421" w14:paraId="7FDA68CA" w14:textId="77777777">
        <w:trPr>
          <w:trHeight w:val="300"/>
        </w:trPr>
        <w:tc>
          <w:tcPr>
            <w:tcW w:w="13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F2C1A9E" w14:textId="77777777" w:rsidR="004C6421" w:rsidRDefault="009D1962">
            <w:pPr>
              <w:pStyle w:val="P68B1DB1-Normal8"/>
              <w:jc w:val="center"/>
              <w:rPr>
                <w:noProof/>
              </w:rPr>
            </w:pPr>
            <w:r>
              <w:rPr>
                <w:noProof/>
              </w:rPr>
              <w:t>M4C2-22</w:t>
            </w:r>
          </w:p>
        </w:tc>
        <w:tc>
          <w:tcPr>
            <w:tcW w:w="3784"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A06219F" w14:textId="77777777" w:rsidR="004C6421" w:rsidRDefault="009D1962">
            <w:pPr>
              <w:pStyle w:val="P68B1DB1-Normal8"/>
              <w:rPr>
                <w:noProof/>
              </w:rPr>
            </w:pPr>
            <w:r>
              <w:rPr>
                <w:noProof/>
              </w:rPr>
              <w:t>Inwestycja 2.1: PROJEKT IPCEI</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844C547" w14:textId="77777777" w:rsidR="004C6421" w:rsidRDefault="009D1962">
            <w:pPr>
              <w:pStyle w:val="P68B1DB1-Normal8"/>
              <w:jc w:val="center"/>
              <w:rPr>
                <w:noProof/>
              </w:rPr>
            </w:pPr>
            <w:r>
              <w:rPr>
                <w:noProof/>
              </w:rPr>
              <w:t>Cel</w:t>
            </w:r>
          </w:p>
        </w:tc>
        <w:tc>
          <w:tcPr>
            <w:tcW w:w="297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150F994" w14:textId="77777777" w:rsidR="004C6421" w:rsidRDefault="009D1962">
            <w:pPr>
              <w:pStyle w:val="P68B1DB1-Normal8"/>
              <w:rPr>
                <w:noProof/>
              </w:rPr>
            </w:pPr>
            <w:r>
              <w:rPr>
                <w:noProof/>
              </w:rPr>
              <w:t>Liczba projektów, które otrzymały wsparcie</w:t>
            </w:r>
          </w:p>
        </w:tc>
        <w:tc>
          <w:tcPr>
            <w:tcW w:w="236" w:type="dxa"/>
            <w:tcBorders>
              <w:top w:val="nil"/>
              <w:left w:val="single" w:sz="8" w:space="0" w:color="auto"/>
              <w:bottom w:val="nil"/>
              <w:right w:val="nil"/>
            </w:tcBorders>
            <w:vAlign w:val="center"/>
          </w:tcPr>
          <w:p w14:paraId="5A8372DD" w14:textId="77777777" w:rsidR="004C6421" w:rsidRDefault="004C6421">
            <w:pPr>
              <w:rPr>
                <w:noProof/>
              </w:rPr>
            </w:pPr>
          </w:p>
        </w:tc>
      </w:tr>
      <w:tr w:rsidR="004C6421" w14:paraId="66AA5281" w14:textId="77777777">
        <w:trPr>
          <w:trHeight w:val="300"/>
        </w:trPr>
        <w:tc>
          <w:tcPr>
            <w:tcW w:w="13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8F30BC9" w14:textId="77777777" w:rsidR="004C6421" w:rsidRDefault="009D1962">
            <w:pPr>
              <w:pStyle w:val="P68B1DB1-Normal8"/>
              <w:jc w:val="center"/>
              <w:rPr>
                <w:noProof/>
              </w:rPr>
            </w:pPr>
            <w:r>
              <w:rPr>
                <w:noProof/>
              </w:rPr>
              <w:t>M2C4-37</w:t>
            </w:r>
          </w:p>
        </w:tc>
        <w:tc>
          <w:tcPr>
            <w:tcW w:w="3784"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F180858" w14:textId="77777777" w:rsidR="004C6421" w:rsidRDefault="009D1962">
            <w:pPr>
              <w:pStyle w:val="P68B1DB1-Normal8"/>
              <w:rPr>
                <w:noProof/>
              </w:rPr>
            </w:pPr>
            <w:r>
              <w:rPr>
                <w:noProof/>
              </w:rPr>
              <w:t>Inwestycja 4.4 Inwestycje w kanalizację i oczyszczanie</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804E837" w14:textId="77777777" w:rsidR="004C6421" w:rsidRDefault="009D1962">
            <w:pPr>
              <w:pStyle w:val="P68B1DB1-Normal8"/>
              <w:jc w:val="center"/>
              <w:rPr>
                <w:noProof/>
              </w:rPr>
            </w:pPr>
            <w:r>
              <w:rPr>
                <w:noProof/>
              </w:rPr>
              <w:t>Cel</w:t>
            </w:r>
          </w:p>
        </w:tc>
        <w:tc>
          <w:tcPr>
            <w:tcW w:w="297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F4D746C" w14:textId="77777777" w:rsidR="004C6421" w:rsidRDefault="009D1962">
            <w:pPr>
              <w:pStyle w:val="P68B1DB1-Normal8"/>
              <w:rPr>
                <w:noProof/>
              </w:rPr>
            </w:pPr>
            <w:r>
              <w:rPr>
                <w:noProof/>
              </w:rPr>
              <w:t>Interwencje w zakresie kanalizacji i oczyszczania T1</w:t>
            </w:r>
          </w:p>
        </w:tc>
        <w:tc>
          <w:tcPr>
            <w:tcW w:w="236" w:type="dxa"/>
            <w:tcBorders>
              <w:top w:val="nil"/>
              <w:left w:val="single" w:sz="8" w:space="0" w:color="auto"/>
              <w:bottom w:val="nil"/>
              <w:right w:val="nil"/>
            </w:tcBorders>
            <w:vAlign w:val="center"/>
          </w:tcPr>
          <w:p w14:paraId="0978498D" w14:textId="77777777" w:rsidR="004C6421" w:rsidRDefault="004C6421">
            <w:pPr>
              <w:rPr>
                <w:noProof/>
              </w:rPr>
            </w:pPr>
          </w:p>
        </w:tc>
      </w:tr>
      <w:tr w:rsidR="004C6421" w14:paraId="318E2BE6" w14:textId="77777777">
        <w:trPr>
          <w:trHeight w:val="300"/>
        </w:trPr>
        <w:tc>
          <w:tcPr>
            <w:tcW w:w="133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2F2C061E" w14:textId="77777777" w:rsidR="004C6421" w:rsidRDefault="009D1962">
            <w:pPr>
              <w:pStyle w:val="P68B1DB1-Normal8"/>
              <w:jc w:val="center"/>
              <w:rPr>
                <w:noProof/>
              </w:rPr>
            </w:pPr>
            <w:r>
              <w:rPr>
                <w:noProof/>
              </w:rPr>
              <w:t xml:space="preserve"> </w:t>
            </w:r>
          </w:p>
        </w:tc>
        <w:tc>
          <w:tcPr>
            <w:tcW w:w="3784"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46F36BEA" w14:textId="77777777" w:rsidR="004C6421" w:rsidRDefault="009D1962">
            <w:pPr>
              <w:pStyle w:val="P68B1DB1-Normal8"/>
              <w:rPr>
                <w:noProof/>
              </w:rPr>
            </w:pPr>
            <w:r>
              <w:rPr>
                <w:noProof/>
              </w:rPr>
              <w:t xml:space="preserve"> </w:t>
            </w:r>
          </w:p>
        </w:tc>
        <w:tc>
          <w:tcPr>
            <w:tcW w:w="126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037FC0A2" w14:textId="77777777" w:rsidR="004C6421" w:rsidRDefault="009D1962">
            <w:pPr>
              <w:pStyle w:val="P68B1DB1-Normal8"/>
              <w:rPr>
                <w:noProof/>
              </w:rPr>
            </w:pPr>
            <w:r>
              <w:rPr>
                <w:noProof/>
              </w:rPr>
              <w:t>Kwota transzy</w:t>
            </w:r>
          </w:p>
        </w:tc>
        <w:tc>
          <w:tcPr>
            <w:tcW w:w="2979"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570DCB69" w14:textId="51DBC877" w:rsidR="004C6421" w:rsidRDefault="009D1962">
            <w:pPr>
              <w:rPr>
                <w:noProof/>
              </w:rPr>
            </w:pPr>
            <w:r>
              <w:rPr>
                <w:noProof/>
                <w:color w:val="006100"/>
                <w:sz w:val="20"/>
              </w:rPr>
              <w:t>11184566013 EUR</w:t>
            </w:r>
            <w:r>
              <w:rPr>
                <w:noProof/>
                <w:sz w:val="23"/>
              </w:rPr>
              <w:t xml:space="preserve">  </w:t>
            </w:r>
          </w:p>
        </w:tc>
        <w:tc>
          <w:tcPr>
            <w:tcW w:w="236" w:type="dxa"/>
            <w:tcBorders>
              <w:top w:val="nil"/>
              <w:left w:val="single" w:sz="8" w:space="0" w:color="auto"/>
              <w:bottom w:val="nil"/>
              <w:right w:val="nil"/>
            </w:tcBorders>
            <w:vAlign w:val="center"/>
          </w:tcPr>
          <w:p w14:paraId="47415CB3" w14:textId="77777777" w:rsidR="004C6421" w:rsidRDefault="004C6421">
            <w:pPr>
              <w:rPr>
                <w:noProof/>
              </w:rPr>
            </w:pPr>
          </w:p>
        </w:tc>
      </w:tr>
    </w:tbl>
    <w:p w14:paraId="3636ED79" w14:textId="77777777" w:rsidR="004C6421" w:rsidRDefault="009D1962">
      <w:pPr>
        <w:spacing w:before="120" w:after="120"/>
        <w:jc w:val="both"/>
        <w:rPr>
          <w:noProof/>
        </w:rPr>
      </w:pPr>
      <w:r>
        <w:rPr>
          <w:noProof/>
        </w:rPr>
        <w:t xml:space="preserve"> </w:t>
      </w:r>
    </w:p>
    <w:p w14:paraId="2FAD9DD1" w14:textId="77777777" w:rsidR="004C6421" w:rsidRDefault="009D1962">
      <w:pPr>
        <w:pStyle w:val="ListParagraph"/>
        <w:numPr>
          <w:ilvl w:val="1"/>
          <w:numId w:val="145"/>
        </w:numPr>
        <w:spacing w:before="0" w:after="0" w:line="279" w:lineRule="auto"/>
        <w:ind w:left="850" w:hanging="850"/>
        <w:rPr>
          <w:noProof/>
        </w:rPr>
      </w:pPr>
      <w:r>
        <w:rPr>
          <w:noProof/>
        </w:rPr>
        <w:t>Dziewiąta transza (wsparcie pożyczkowe):</w:t>
      </w:r>
    </w:p>
    <w:tbl>
      <w:tblPr>
        <w:tblW w:w="9594" w:type="dxa"/>
        <w:tblInd w:w="120" w:type="dxa"/>
        <w:tblLayout w:type="fixed"/>
        <w:tblLook w:val="04A0" w:firstRow="1" w:lastRow="0" w:firstColumn="1" w:lastColumn="0" w:noHBand="0" w:noVBand="1"/>
      </w:tblPr>
      <w:tblGrid>
        <w:gridCol w:w="1155"/>
        <w:gridCol w:w="3578"/>
        <w:gridCol w:w="1170"/>
        <w:gridCol w:w="3455"/>
        <w:gridCol w:w="236"/>
      </w:tblGrid>
      <w:tr w:rsidR="004C6421" w14:paraId="2AD84AAB" w14:textId="77777777">
        <w:trPr>
          <w:trHeight w:val="900"/>
          <w:tblHeader/>
        </w:trPr>
        <w:tc>
          <w:tcPr>
            <w:tcW w:w="1155"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328C2495" w14:textId="77777777" w:rsidR="004C6421" w:rsidRDefault="009D1962">
            <w:pPr>
              <w:pStyle w:val="P68B1DB1-Normal36"/>
              <w:jc w:val="center"/>
              <w:rPr>
                <w:noProof/>
              </w:rPr>
            </w:pPr>
            <w:r>
              <w:rPr>
                <w:noProof/>
              </w:rPr>
              <w:t>Numer porządkowy</w:t>
            </w:r>
          </w:p>
        </w:tc>
        <w:tc>
          <w:tcPr>
            <w:tcW w:w="3578"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456430CF" w14:textId="77777777" w:rsidR="004C6421" w:rsidRDefault="009D1962">
            <w:pPr>
              <w:pStyle w:val="P68B1DB1-Normal36"/>
              <w:jc w:val="center"/>
              <w:rPr>
                <w:noProof/>
              </w:rPr>
            </w:pPr>
            <w:r>
              <w:rPr>
                <w:noProof/>
              </w:rPr>
              <w:t>Powiązane działanie (reforma lub inwestycja)</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2FB15662" w14:textId="77777777" w:rsidR="004C6421" w:rsidRDefault="009D1962">
            <w:pPr>
              <w:pStyle w:val="P68B1DB1-Normal36"/>
              <w:jc w:val="center"/>
              <w:rPr>
                <w:noProof/>
              </w:rPr>
            </w:pPr>
            <w:r>
              <w:rPr>
                <w:noProof/>
              </w:rPr>
              <w:t>Kamień milowy/wartość docelowa</w:t>
            </w:r>
          </w:p>
        </w:tc>
        <w:tc>
          <w:tcPr>
            <w:tcW w:w="3455"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414BB7A2" w14:textId="77777777" w:rsidR="004C6421" w:rsidRDefault="009D1962">
            <w:pPr>
              <w:pStyle w:val="P68B1DB1-Normal36"/>
              <w:jc w:val="center"/>
              <w:rPr>
                <w:noProof/>
              </w:rPr>
            </w:pPr>
            <w:r>
              <w:rPr>
                <w:noProof/>
              </w:rPr>
              <w:t>Nazwa</w:t>
            </w:r>
          </w:p>
        </w:tc>
        <w:tc>
          <w:tcPr>
            <w:tcW w:w="236" w:type="dxa"/>
            <w:tcBorders>
              <w:top w:val="nil"/>
              <w:left w:val="single" w:sz="4" w:space="0" w:color="auto"/>
              <w:bottom w:val="nil"/>
              <w:right w:val="nil"/>
            </w:tcBorders>
            <w:vAlign w:val="center"/>
          </w:tcPr>
          <w:p w14:paraId="10D08703" w14:textId="77777777" w:rsidR="004C6421" w:rsidRDefault="004C6421">
            <w:pPr>
              <w:rPr>
                <w:noProof/>
              </w:rPr>
            </w:pPr>
          </w:p>
        </w:tc>
      </w:tr>
      <w:tr w:rsidR="004C6421" w14:paraId="5FB22326" w14:textId="77777777">
        <w:trPr>
          <w:trHeight w:val="510"/>
        </w:trPr>
        <w:tc>
          <w:tcPr>
            <w:tcW w:w="1155" w:type="dxa"/>
            <w:vMerge/>
            <w:tcBorders>
              <w:top w:val="single" w:sz="4" w:space="0" w:color="auto"/>
              <w:left w:val="single" w:sz="4" w:space="0" w:color="auto"/>
              <w:bottom w:val="single" w:sz="4" w:space="0" w:color="auto"/>
              <w:right w:val="single" w:sz="4" w:space="0" w:color="auto"/>
            </w:tcBorders>
            <w:vAlign w:val="center"/>
          </w:tcPr>
          <w:p w14:paraId="46B54E06" w14:textId="77777777" w:rsidR="004C6421" w:rsidRDefault="004C6421">
            <w:pPr>
              <w:rPr>
                <w:noProof/>
              </w:rPr>
            </w:pPr>
          </w:p>
        </w:tc>
        <w:tc>
          <w:tcPr>
            <w:tcW w:w="3578" w:type="dxa"/>
            <w:vMerge/>
            <w:tcBorders>
              <w:top w:val="single" w:sz="4" w:space="0" w:color="auto"/>
              <w:left w:val="single" w:sz="4" w:space="0" w:color="auto"/>
              <w:bottom w:val="single" w:sz="4" w:space="0" w:color="auto"/>
              <w:right w:val="single" w:sz="4" w:space="0" w:color="auto"/>
            </w:tcBorders>
            <w:vAlign w:val="center"/>
          </w:tcPr>
          <w:p w14:paraId="347F1618" w14:textId="77777777" w:rsidR="004C6421" w:rsidRDefault="004C6421">
            <w:pPr>
              <w:rPr>
                <w:noProof/>
              </w:rPr>
            </w:pPr>
          </w:p>
        </w:tc>
        <w:tc>
          <w:tcPr>
            <w:tcW w:w="1170" w:type="dxa"/>
            <w:vMerge/>
            <w:tcBorders>
              <w:top w:val="single" w:sz="4" w:space="0" w:color="auto"/>
              <w:left w:val="single" w:sz="4" w:space="0" w:color="auto"/>
              <w:bottom w:val="single" w:sz="4" w:space="0" w:color="auto"/>
              <w:right w:val="single" w:sz="4" w:space="0" w:color="auto"/>
            </w:tcBorders>
            <w:vAlign w:val="center"/>
          </w:tcPr>
          <w:p w14:paraId="0A7F6F5D" w14:textId="77777777" w:rsidR="004C6421" w:rsidRDefault="004C6421">
            <w:pPr>
              <w:rPr>
                <w:noProof/>
              </w:rPr>
            </w:pPr>
          </w:p>
        </w:tc>
        <w:tc>
          <w:tcPr>
            <w:tcW w:w="3455" w:type="dxa"/>
            <w:vMerge/>
            <w:tcBorders>
              <w:top w:val="single" w:sz="4" w:space="0" w:color="auto"/>
              <w:left w:val="single" w:sz="4" w:space="0" w:color="auto"/>
              <w:bottom w:val="single" w:sz="4" w:space="0" w:color="auto"/>
              <w:right w:val="single" w:sz="4" w:space="0" w:color="auto"/>
            </w:tcBorders>
            <w:vAlign w:val="center"/>
          </w:tcPr>
          <w:p w14:paraId="55DFF1B0" w14:textId="77777777" w:rsidR="004C6421" w:rsidRDefault="004C6421">
            <w:pPr>
              <w:rPr>
                <w:noProof/>
              </w:rPr>
            </w:pPr>
          </w:p>
        </w:tc>
        <w:tc>
          <w:tcPr>
            <w:tcW w:w="236" w:type="dxa"/>
            <w:tcBorders>
              <w:top w:val="nil"/>
              <w:left w:val="single" w:sz="4" w:space="0" w:color="auto"/>
              <w:bottom w:val="nil"/>
              <w:right w:val="nil"/>
            </w:tcBorders>
            <w:vAlign w:val="center"/>
          </w:tcPr>
          <w:p w14:paraId="0B47E1E7" w14:textId="77777777" w:rsidR="004C6421" w:rsidRDefault="004C6421">
            <w:pPr>
              <w:rPr>
                <w:noProof/>
              </w:rPr>
            </w:pPr>
          </w:p>
        </w:tc>
      </w:tr>
      <w:tr w:rsidR="004C6421" w14:paraId="421EB4A8" w14:textId="77777777">
        <w:trPr>
          <w:trHeight w:val="300"/>
        </w:trPr>
        <w:tc>
          <w:tcPr>
            <w:tcW w:w="1155"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FFB468A" w14:textId="77777777" w:rsidR="004C6421" w:rsidRDefault="009D1962">
            <w:pPr>
              <w:pStyle w:val="P68B1DB1-Normal8"/>
              <w:jc w:val="center"/>
              <w:rPr>
                <w:noProof/>
              </w:rPr>
            </w:pPr>
            <w:r>
              <w:rPr>
                <w:noProof/>
              </w:rPr>
              <w:t>M1C1-145</w:t>
            </w:r>
          </w:p>
        </w:tc>
        <w:tc>
          <w:tcPr>
            <w:tcW w:w="3578"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5CDFEE3" w14:textId="77777777" w:rsidR="004C6421" w:rsidRDefault="009D1962">
            <w:pPr>
              <w:pStyle w:val="P68B1DB1-Normal8"/>
              <w:rPr>
                <w:noProof/>
              </w:rPr>
            </w:pPr>
            <w:r>
              <w:rPr>
                <w:noProof/>
              </w:rPr>
              <w:t>Inwestycja 1.4.4 – Wzmocnienie krajowych platform tożsamości cyfrowej (SPID, CIE) i rejestru krajowego (ANPR)</w:t>
            </w:r>
          </w:p>
        </w:tc>
        <w:tc>
          <w:tcPr>
            <w:tcW w:w="1170"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AB833BC" w14:textId="77777777" w:rsidR="004C6421" w:rsidRDefault="009D1962">
            <w:pPr>
              <w:pStyle w:val="P68B1DB1-Normal8"/>
              <w:jc w:val="center"/>
              <w:rPr>
                <w:noProof/>
              </w:rPr>
            </w:pPr>
            <w:r>
              <w:rPr>
                <w:noProof/>
              </w:rPr>
              <w:t>Cel</w:t>
            </w:r>
          </w:p>
        </w:tc>
        <w:tc>
          <w:tcPr>
            <w:tcW w:w="3455"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7A5BB72" w14:textId="77777777" w:rsidR="004C6421" w:rsidRDefault="009D1962">
            <w:pPr>
              <w:pStyle w:val="P68B1DB1-Normal8"/>
              <w:rPr>
                <w:noProof/>
              </w:rPr>
            </w:pPr>
            <w:r>
              <w:rPr>
                <w:noProof/>
              </w:rPr>
              <w:t>Krajowe platformy tożsamości cyfrowej (SPID, CIE) i rejestr krajowy (ANPR)</w:t>
            </w:r>
          </w:p>
        </w:tc>
        <w:tc>
          <w:tcPr>
            <w:tcW w:w="236" w:type="dxa"/>
            <w:tcBorders>
              <w:top w:val="nil"/>
              <w:left w:val="single" w:sz="8" w:space="0" w:color="auto"/>
              <w:bottom w:val="nil"/>
              <w:right w:val="nil"/>
            </w:tcBorders>
            <w:vAlign w:val="center"/>
          </w:tcPr>
          <w:p w14:paraId="7C14B989" w14:textId="77777777" w:rsidR="004C6421" w:rsidRDefault="004C6421">
            <w:pPr>
              <w:rPr>
                <w:noProof/>
              </w:rPr>
            </w:pPr>
          </w:p>
        </w:tc>
      </w:tr>
      <w:tr w:rsidR="004C6421" w14:paraId="4401E54F" w14:textId="77777777">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F055C7C" w14:textId="77777777" w:rsidR="004C6421" w:rsidRDefault="009D1962">
            <w:pPr>
              <w:pStyle w:val="P68B1DB1-Normal8"/>
              <w:jc w:val="center"/>
              <w:rPr>
                <w:noProof/>
              </w:rPr>
            </w:pPr>
            <w:r>
              <w:rPr>
                <w:noProof/>
              </w:rPr>
              <w:t>M1C3-17</w:t>
            </w:r>
          </w:p>
        </w:tc>
        <w:tc>
          <w:tcPr>
            <w:tcW w:w="357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BB9D783" w14:textId="77777777" w:rsidR="004C6421" w:rsidRDefault="009D1962">
            <w:pPr>
              <w:pStyle w:val="P68B1DB1-Normal8"/>
              <w:rPr>
                <w:noProof/>
              </w:rPr>
            </w:pPr>
            <w:r>
              <w:rPr>
                <w:noProof/>
              </w:rPr>
              <w:t>Inwestycje – 2.2 Ochrona i poprawa architektury i krajobrazu obszarów wiejskich</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38DADF5" w14:textId="77777777" w:rsidR="004C6421" w:rsidRDefault="009D1962">
            <w:pPr>
              <w:pStyle w:val="P68B1DB1-Normal8"/>
              <w:jc w:val="center"/>
              <w:rPr>
                <w:noProof/>
              </w:rPr>
            </w:pPr>
            <w:r>
              <w:rPr>
                <w:noProof/>
              </w:rPr>
              <w:t>Cel</w:t>
            </w:r>
          </w:p>
        </w:tc>
        <w:tc>
          <w:tcPr>
            <w:tcW w:w="34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D57631A" w14:textId="77777777" w:rsidR="004C6421" w:rsidRDefault="009D1962">
            <w:pPr>
              <w:pStyle w:val="P68B1DB1-Normal8"/>
              <w:rPr>
                <w:noProof/>
              </w:rPr>
            </w:pPr>
            <w:r>
              <w:rPr>
                <w:noProof/>
              </w:rPr>
              <w:t>Zakończenie interwencji na rzecz ochrony i poprawy architektury i krajobrazu obszarów wiejskich</w:t>
            </w:r>
          </w:p>
        </w:tc>
        <w:tc>
          <w:tcPr>
            <w:tcW w:w="236" w:type="dxa"/>
            <w:tcBorders>
              <w:top w:val="nil"/>
              <w:left w:val="single" w:sz="8" w:space="0" w:color="auto"/>
              <w:bottom w:val="nil"/>
              <w:right w:val="nil"/>
            </w:tcBorders>
            <w:vAlign w:val="center"/>
          </w:tcPr>
          <w:p w14:paraId="6C81A0C7" w14:textId="77777777" w:rsidR="004C6421" w:rsidRDefault="004C6421">
            <w:pPr>
              <w:rPr>
                <w:noProof/>
              </w:rPr>
            </w:pPr>
          </w:p>
        </w:tc>
      </w:tr>
      <w:tr w:rsidR="004C6421" w14:paraId="3F280E5F" w14:textId="77777777">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7C6DAA6" w14:textId="77777777" w:rsidR="004C6421" w:rsidRDefault="009D1962">
            <w:pPr>
              <w:pStyle w:val="P68B1DB1-Normal8"/>
              <w:jc w:val="center"/>
              <w:rPr>
                <w:noProof/>
              </w:rPr>
            </w:pPr>
            <w:r>
              <w:rPr>
                <w:noProof/>
              </w:rPr>
              <w:t>M1C3-18</w:t>
            </w:r>
          </w:p>
        </w:tc>
        <w:tc>
          <w:tcPr>
            <w:tcW w:w="357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2BEC8B4" w14:textId="77777777" w:rsidR="004C6421" w:rsidRDefault="009D1962">
            <w:pPr>
              <w:pStyle w:val="P68B1DB1-Normal8"/>
              <w:rPr>
                <w:noProof/>
              </w:rPr>
            </w:pPr>
            <w:r>
              <w:rPr>
                <w:noProof/>
              </w:rPr>
              <w:t>Inwestycje 2.3 Programy mające na celu wzmocnienie tożsamości miejsc: parki i ogrody historyczne</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C267649" w14:textId="77777777" w:rsidR="004C6421" w:rsidRDefault="009D1962">
            <w:pPr>
              <w:pStyle w:val="P68B1DB1-Normal8"/>
              <w:jc w:val="center"/>
              <w:rPr>
                <w:noProof/>
              </w:rPr>
            </w:pPr>
            <w:r>
              <w:rPr>
                <w:noProof/>
              </w:rPr>
              <w:t>Cel</w:t>
            </w:r>
          </w:p>
        </w:tc>
        <w:tc>
          <w:tcPr>
            <w:tcW w:w="34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A94A0A4" w14:textId="77777777" w:rsidR="004C6421" w:rsidRDefault="009D1962">
            <w:pPr>
              <w:pStyle w:val="P68B1DB1-Normal8"/>
              <w:rPr>
                <w:noProof/>
              </w:rPr>
            </w:pPr>
            <w:r>
              <w:rPr>
                <w:noProof/>
              </w:rPr>
              <w:t>Liczba przekwalifikowanych parków i ogrodów historycznych</w:t>
            </w:r>
          </w:p>
        </w:tc>
        <w:tc>
          <w:tcPr>
            <w:tcW w:w="236" w:type="dxa"/>
            <w:tcBorders>
              <w:top w:val="nil"/>
              <w:left w:val="single" w:sz="8" w:space="0" w:color="auto"/>
              <w:bottom w:val="nil"/>
              <w:right w:val="nil"/>
            </w:tcBorders>
            <w:vAlign w:val="center"/>
          </w:tcPr>
          <w:p w14:paraId="12E3906B" w14:textId="77777777" w:rsidR="004C6421" w:rsidRDefault="004C6421">
            <w:pPr>
              <w:rPr>
                <w:noProof/>
              </w:rPr>
            </w:pPr>
          </w:p>
        </w:tc>
      </w:tr>
      <w:tr w:rsidR="004C6421" w14:paraId="3231D11C" w14:textId="77777777">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EBC2082" w14:textId="77777777" w:rsidR="004C6421" w:rsidRDefault="009D1962">
            <w:pPr>
              <w:pStyle w:val="P68B1DB1-Normal8"/>
              <w:jc w:val="center"/>
              <w:rPr>
                <w:noProof/>
              </w:rPr>
            </w:pPr>
            <w:r>
              <w:rPr>
                <w:noProof/>
              </w:rPr>
              <w:t>M1C3-19</w:t>
            </w:r>
          </w:p>
        </w:tc>
        <w:tc>
          <w:tcPr>
            <w:tcW w:w="357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2381ECE" w14:textId="77777777" w:rsidR="004C6421" w:rsidRDefault="009D1962">
            <w:pPr>
              <w:pStyle w:val="P68B1DB1-Normal8"/>
              <w:rPr>
                <w:noProof/>
              </w:rPr>
            </w:pPr>
            <w:r>
              <w:rPr>
                <w:noProof/>
              </w:rPr>
              <w:t>Inwestycje – 2.4 Bezpieczeństwo sejsmiczne miejsc kultu, renowacja dziedzictwa FEC (Fondo Edifici di Culto) oraz schroniska dla dzieł sztuki (Recovery Art)</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E0276D1" w14:textId="77777777" w:rsidR="004C6421" w:rsidRDefault="009D1962">
            <w:pPr>
              <w:pStyle w:val="P68B1DB1-Normal8"/>
              <w:jc w:val="center"/>
              <w:rPr>
                <w:noProof/>
              </w:rPr>
            </w:pPr>
            <w:r>
              <w:rPr>
                <w:noProof/>
              </w:rPr>
              <w:t>Cel</w:t>
            </w:r>
          </w:p>
        </w:tc>
        <w:tc>
          <w:tcPr>
            <w:tcW w:w="34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F94E953" w14:textId="77777777" w:rsidR="004C6421" w:rsidRDefault="009D1962">
            <w:pPr>
              <w:pStyle w:val="P68B1DB1-Normal8"/>
              <w:rPr>
                <w:noProof/>
              </w:rPr>
            </w:pPr>
            <w:r>
              <w:rPr>
                <w:noProof/>
              </w:rPr>
              <w:t>Działania na rzecz bezpieczeństwa sejsmicznego w miejscach kultu, odbudowy dziedzictwa FEC (Fondo Edifici di Culto) oraz schronisk dzieł sztuki</w:t>
            </w:r>
          </w:p>
        </w:tc>
        <w:tc>
          <w:tcPr>
            <w:tcW w:w="236" w:type="dxa"/>
            <w:tcBorders>
              <w:top w:val="nil"/>
              <w:left w:val="single" w:sz="8" w:space="0" w:color="auto"/>
              <w:bottom w:val="nil"/>
              <w:right w:val="nil"/>
            </w:tcBorders>
            <w:vAlign w:val="center"/>
          </w:tcPr>
          <w:p w14:paraId="5EC7CDDF" w14:textId="77777777" w:rsidR="004C6421" w:rsidRDefault="004C6421">
            <w:pPr>
              <w:rPr>
                <w:noProof/>
              </w:rPr>
            </w:pPr>
          </w:p>
        </w:tc>
      </w:tr>
      <w:tr w:rsidR="004C6421" w14:paraId="67069A3A" w14:textId="77777777">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C2FE4A2" w14:textId="77777777" w:rsidR="004C6421" w:rsidRDefault="009D1962">
            <w:pPr>
              <w:pStyle w:val="P68B1DB1-Normal8"/>
              <w:jc w:val="center"/>
              <w:rPr>
                <w:noProof/>
              </w:rPr>
            </w:pPr>
            <w:r>
              <w:rPr>
                <w:noProof/>
              </w:rPr>
              <w:t>M1C3-28</w:t>
            </w:r>
          </w:p>
        </w:tc>
        <w:tc>
          <w:tcPr>
            <w:tcW w:w="357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462DCF1" w14:textId="77777777" w:rsidR="004C6421" w:rsidRDefault="009D1962">
            <w:pPr>
              <w:pStyle w:val="P68B1DB1-Normal8"/>
              <w:rPr>
                <w:noProof/>
              </w:rPr>
            </w:pPr>
            <w:r>
              <w:rPr>
                <w:noProof/>
              </w:rPr>
              <w:t>Inwestycje 4.2:  Fundusze na konkurencyjność przedsiębiorstw turystycznych</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FC2C4F8" w14:textId="77777777" w:rsidR="004C6421" w:rsidRDefault="009D1962">
            <w:pPr>
              <w:pStyle w:val="P68B1DB1-Normal8"/>
              <w:jc w:val="center"/>
              <w:rPr>
                <w:noProof/>
              </w:rPr>
            </w:pPr>
            <w:r>
              <w:rPr>
                <w:noProof/>
              </w:rPr>
              <w:t>Cel</w:t>
            </w:r>
          </w:p>
        </w:tc>
        <w:tc>
          <w:tcPr>
            <w:tcW w:w="34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E0B3981" w14:textId="77777777" w:rsidR="004C6421" w:rsidRDefault="009D1962">
            <w:pPr>
              <w:pStyle w:val="P68B1DB1-Normal8"/>
              <w:rPr>
                <w:noProof/>
              </w:rPr>
            </w:pPr>
            <w:r>
              <w:rPr>
                <w:noProof/>
              </w:rPr>
              <w:t xml:space="preserve">Liczba przedsiębiorstw turystycznych objętych ulgą podatkową na infrastrukturę lub usługi; </w:t>
            </w:r>
          </w:p>
        </w:tc>
        <w:tc>
          <w:tcPr>
            <w:tcW w:w="236" w:type="dxa"/>
            <w:tcBorders>
              <w:top w:val="nil"/>
              <w:left w:val="single" w:sz="8" w:space="0" w:color="auto"/>
              <w:bottom w:val="nil"/>
              <w:right w:val="nil"/>
            </w:tcBorders>
            <w:vAlign w:val="center"/>
          </w:tcPr>
          <w:p w14:paraId="6FA9FAC7" w14:textId="77777777" w:rsidR="004C6421" w:rsidRDefault="004C6421">
            <w:pPr>
              <w:rPr>
                <w:noProof/>
              </w:rPr>
            </w:pPr>
          </w:p>
        </w:tc>
      </w:tr>
      <w:tr w:rsidR="004C6421" w14:paraId="7DCCF94C" w14:textId="77777777">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3579FAE" w14:textId="77777777" w:rsidR="004C6421" w:rsidRDefault="009D1962">
            <w:pPr>
              <w:pStyle w:val="P68B1DB1-Normal8"/>
              <w:jc w:val="center"/>
              <w:rPr>
                <w:noProof/>
              </w:rPr>
            </w:pPr>
            <w:r>
              <w:rPr>
                <w:noProof/>
              </w:rPr>
              <w:t>M1C3-32</w:t>
            </w:r>
          </w:p>
        </w:tc>
        <w:tc>
          <w:tcPr>
            <w:tcW w:w="357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3958C4F" w14:textId="77777777" w:rsidR="004C6421" w:rsidRDefault="009D1962">
            <w:pPr>
              <w:pStyle w:val="P68B1DB1-Normal8"/>
              <w:rPr>
                <w:noProof/>
              </w:rPr>
            </w:pPr>
            <w:r>
              <w:rPr>
                <w:noProof/>
              </w:rPr>
              <w:t xml:space="preserve">Inwestycje 4.2:  Fundusze na konkurencyjność przedsiębiorstw turystycznych </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B349216" w14:textId="77777777" w:rsidR="004C6421" w:rsidRDefault="009D1962">
            <w:pPr>
              <w:pStyle w:val="P68B1DB1-Normal8"/>
              <w:jc w:val="center"/>
              <w:rPr>
                <w:noProof/>
              </w:rPr>
            </w:pPr>
            <w:r>
              <w:rPr>
                <w:noProof/>
              </w:rPr>
              <w:t xml:space="preserve">Cel </w:t>
            </w:r>
          </w:p>
        </w:tc>
        <w:tc>
          <w:tcPr>
            <w:tcW w:w="34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AD5123D" w14:textId="77777777" w:rsidR="004C6421" w:rsidRDefault="009D1962">
            <w:pPr>
              <w:pStyle w:val="P68B1DB1-Normal8"/>
              <w:rPr>
                <w:noProof/>
              </w:rPr>
            </w:pPr>
            <w:r>
              <w:rPr>
                <w:noProof/>
              </w:rPr>
              <w:t xml:space="preserve"> Liczba przedsiębiorstw turystycznych, które mają otrzymać wsparcie z Funduszu Gwarancyjnego dla MŚP </w:t>
            </w:r>
          </w:p>
        </w:tc>
        <w:tc>
          <w:tcPr>
            <w:tcW w:w="236" w:type="dxa"/>
            <w:tcBorders>
              <w:top w:val="nil"/>
              <w:left w:val="single" w:sz="8" w:space="0" w:color="auto"/>
              <w:bottom w:val="nil"/>
              <w:right w:val="nil"/>
            </w:tcBorders>
            <w:vAlign w:val="center"/>
          </w:tcPr>
          <w:p w14:paraId="7B296322" w14:textId="77777777" w:rsidR="004C6421" w:rsidRDefault="004C6421">
            <w:pPr>
              <w:rPr>
                <w:noProof/>
              </w:rPr>
            </w:pPr>
          </w:p>
        </w:tc>
      </w:tr>
      <w:tr w:rsidR="004C6421" w14:paraId="772A4734" w14:textId="77777777">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B84D2D1" w14:textId="77777777" w:rsidR="004C6421" w:rsidRDefault="009D1962">
            <w:pPr>
              <w:pStyle w:val="P68B1DB1-Normal8"/>
              <w:jc w:val="center"/>
              <w:rPr>
                <w:noProof/>
              </w:rPr>
            </w:pPr>
            <w:r>
              <w:rPr>
                <w:noProof/>
              </w:rPr>
              <w:t>M1C3-34</w:t>
            </w:r>
          </w:p>
        </w:tc>
        <w:tc>
          <w:tcPr>
            <w:tcW w:w="357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1987FA7" w14:textId="77777777" w:rsidR="004C6421" w:rsidRDefault="009D1962">
            <w:pPr>
              <w:pStyle w:val="P68B1DB1-Normal8"/>
              <w:rPr>
                <w:noProof/>
              </w:rPr>
            </w:pPr>
            <w:r>
              <w:rPr>
                <w:noProof/>
              </w:rPr>
              <w:t>Inwestycje 4.2 Fundusze na rzecz konkurencyjności przedsiębiorstw turystycznych</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26620CF" w14:textId="77777777" w:rsidR="004C6421" w:rsidRDefault="009D1962">
            <w:pPr>
              <w:pStyle w:val="P68B1DB1-Normal8"/>
              <w:jc w:val="center"/>
              <w:rPr>
                <w:noProof/>
              </w:rPr>
            </w:pPr>
            <w:r>
              <w:rPr>
                <w:noProof/>
              </w:rPr>
              <w:t xml:space="preserve">Cel </w:t>
            </w:r>
          </w:p>
        </w:tc>
        <w:tc>
          <w:tcPr>
            <w:tcW w:w="34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305517C" w14:textId="77777777" w:rsidR="004C6421" w:rsidRDefault="009D1962">
            <w:pPr>
              <w:pStyle w:val="P68B1DB1-Normal8"/>
              <w:rPr>
                <w:noProof/>
              </w:rPr>
            </w:pPr>
            <w:r>
              <w:rPr>
                <w:noProof/>
              </w:rPr>
              <w:t xml:space="preserve"> Liczba nieruchomości przebudowanych na potrzeby turystyki przez Narodowy Fundusz Turystyki  </w:t>
            </w:r>
          </w:p>
        </w:tc>
        <w:tc>
          <w:tcPr>
            <w:tcW w:w="236" w:type="dxa"/>
            <w:tcBorders>
              <w:top w:val="nil"/>
              <w:left w:val="single" w:sz="8" w:space="0" w:color="auto"/>
              <w:bottom w:val="nil"/>
              <w:right w:val="nil"/>
            </w:tcBorders>
            <w:vAlign w:val="center"/>
          </w:tcPr>
          <w:p w14:paraId="1E13C2F1" w14:textId="77777777" w:rsidR="004C6421" w:rsidRDefault="004C6421">
            <w:pPr>
              <w:rPr>
                <w:noProof/>
              </w:rPr>
            </w:pPr>
          </w:p>
        </w:tc>
      </w:tr>
      <w:tr w:rsidR="004C6421" w14:paraId="3C0B9B6C" w14:textId="77777777">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BFA83D0" w14:textId="77777777" w:rsidR="004C6421" w:rsidRDefault="009D1962">
            <w:pPr>
              <w:pStyle w:val="P68B1DB1-Normal8"/>
              <w:jc w:val="center"/>
              <w:rPr>
                <w:noProof/>
              </w:rPr>
            </w:pPr>
            <w:r>
              <w:rPr>
                <w:noProof/>
              </w:rPr>
              <w:t>M2C1-17</w:t>
            </w:r>
          </w:p>
        </w:tc>
        <w:tc>
          <w:tcPr>
            <w:tcW w:w="357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49F8805" w14:textId="77777777" w:rsidR="004C6421" w:rsidRDefault="009D1962">
            <w:pPr>
              <w:pStyle w:val="P68B1DB1-Normal8"/>
              <w:rPr>
                <w:noProof/>
              </w:rPr>
            </w:pPr>
            <w:r>
              <w:rPr>
                <w:noProof/>
              </w:rPr>
              <w:t>Inwestycje 1.2 – Projekty przewodnie gospodarki o obiegu zamkniętym</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7321044" w14:textId="77777777" w:rsidR="004C6421" w:rsidRDefault="009D1962">
            <w:pPr>
              <w:pStyle w:val="P68B1DB1-Normal8"/>
              <w:jc w:val="center"/>
              <w:rPr>
                <w:noProof/>
              </w:rPr>
            </w:pPr>
            <w:r>
              <w:rPr>
                <w:noProof/>
              </w:rPr>
              <w:t>Cel</w:t>
            </w:r>
          </w:p>
        </w:tc>
        <w:tc>
          <w:tcPr>
            <w:tcW w:w="34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6A6E27D" w14:textId="77777777" w:rsidR="004C6421" w:rsidRDefault="009D1962">
            <w:pPr>
              <w:pStyle w:val="P68B1DB1-Normal8"/>
              <w:rPr>
                <w:noProof/>
              </w:rPr>
            </w:pPr>
            <w:r>
              <w:rPr>
                <w:noProof/>
              </w:rPr>
              <w:t xml:space="preserve">Wskaźniki recyklingu odpadów komunalnych w planie działania UE dotyczącym gospodarki o obiegu zamkniętym  </w:t>
            </w:r>
          </w:p>
        </w:tc>
        <w:tc>
          <w:tcPr>
            <w:tcW w:w="236" w:type="dxa"/>
            <w:tcBorders>
              <w:top w:val="nil"/>
              <w:left w:val="single" w:sz="8" w:space="0" w:color="auto"/>
              <w:bottom w:val="nil"/>
              <w:right w:val="nil"/>
            </w:tcBorders>
            <w:vAlign w:val="center"/>
          </w:tcPr>
          <w:p w14:paraId="1B4B8A76" w14:textId="77777777" w:rsidR="004C6421" w:rsidRDefault="004C6421">
            <w:pPr>
              <w:rPr>
                <w:noProof/>
              </w:rPr>
            </w:pPr>
          </w:p>
        </w:tc>
      </w:tr>
      <w:tr w:rsidR="004C6421" w14:paraId="5B29A469" w14:textId="77777777">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4564DCF" w14:textId="77777777" w:rsidR="004C6421" w:rsidRDefault="009D1962">
            <w:pPr>
              <w:pStyle w:val="P68B1DB1-Normal8"/>
              <w:jc w:val="center"/>
              <w:rPr>
                <w:noProof/>
              </w:rPr>
            </w:pPr>
            <w:r>
              <w:rPr>
                <w:noProof/>
              </w:rPr>
              <w:t>M2C1-17bis</w:t>
            </w:r>
          </w:p>
        </w:tc>
        <w:tc>
          <w:tcPr>
            <w:tcW w:w="357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DF3D44B" w14:textId="77777777" w:rsidR="004C6421" w:rsidRDefault="009D1962">
            <w:pPr>
              <w:pStyle w:val="P68B1DB1-Normal8"/>
              <w:rPr>
                <w:noProof/>
              </w:rPr>
            </w:pPr>
            <w:r>
              <w:rPr>
                <w:noProof/>
              </w:rPr>
              <w:t>Inwestycje 1.2 – Projekty przewodnie gospodarki o obiegu zamkniętym</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E240FC6" w14:textId="77777777" w:rsidR="004C6421" w:rsidRDefault="009D1962">
            <w:pPr>
              <w:pStyle w:val="P68B1DB1-Normal8"/>
              <w:jc w:val="center"/>
              <w:rPr>
                <w:noProof/>
              </w:rPr>
            </w:pPr>
            <w:r>
              <w:rPr>
                <w:noProof/>
              </w:rPr>
              <w:t>Cel</w:t>
            </w:r>
          </w:p>
        </w:tc>
        <w:tc>
          <w:tcPr>
            <w:tcW w:w="34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87DE031" w14:textId="77777777" w:rsidR="004C6421" w:rsidRDefault="009D1962">
            <w:pPr>
              <w:pStyle w:val="P68B1DB1-Normal8"/>
              <w:rPr>
                <w:noProof/>
              </w:rPr>
            </w:pPr>
            <w:r>
              <w:rPr>
                <w:noProof/>
              </w:rPr>
              <w:t>Wskaźniki recyklingu odpadów opakowaniowych w planie działania UE dotyczącym gospodarki o obiegu zamkniętym</w:t>
            </w:r>
          </w:p>
        </w:tc>
        <w:tc>
          <w:tcPr>
            <w:tcW w:w="236" w:type="dxa"/>
            <w:tcBorders>
              <w:top w:val="nil"/>
              <w:left w:val="single" w:sz="8" w:space="0" w:color="auto"/>
              <w:bottom w:val="nil"/>
              <w:right w:val="nil"/>
            </w:tcBorders>
            <w:vAlign w:val="center"/>
          </w:tcPr>
          <w:p w14:paraId="500E99A8" w14:textId="77777777" w:rsidR="004C6421" w:rsidRDefault="004C6421">
            <w:pPr>
              <w:rPr>
                <w:noProof/>
              </w:rPr>
            </w:pPr>
          </w:p>
        </w:tc>
      </w:tr>
      <w:tr w:rsidR="004C6421" w14:paraId="5FA102A1" w14:textId="77777777">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7953CF0" w14:textId="77777777" w:rsidR="004C6421" w:rsidRDefault="009D1962">
            <w:pPr>
              <w:pStyle w:val="P68B1DB1-Normal8"/>
              <w:jc w:val="center"/>
              <w:rPr>
                <w:noProof/>
              </w:rPr>
            </w:pPr>
            <w:r>
              <w:rPr>
                <w:noProof/>
              </w:rPr>
              <w:t>M2C1-17ter</w:t>
            </w:r>
          </w:p>
        </w:tc>
        <w:tc>
          <w:tcPr>
            <w:tcW w:w="357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34FB97F" w14:textId="77777777" w:rsidR="004C6421" w:rsidRDefault="009D1962">
            <w:pPr>
              <w:pStyle w:val="P68B1DB1-Normal8"/>
              <w:rPr>
                <w:noProof/>
              </w:rPr>
            </w:pPr>
            <w:r>
              <w:rPr>
                <w:noProof/>
              </w:rPr>
              <w:t>Inwestycje 1.2 – Projekty przewodnie gospodarki o obiegu zamkniętym</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48C3613" w14:textId="77777777" w:rsidR="004C6421" w:rsidRDefault="009D1962">
            <w:pPr>
              <w:pStyle w:val="P68B1DB1-Normal8"/>
              <w:jc w:val="center"/>
              <w:rPr>
                <w:noProof/>
              </w:rPr>
            </w:pPr>
            <w:r>
              <w:rPr>
                <w:noProof/>
              </w:rPr>
              <w:t>Cel</w:t>
            </w:r>
          </w:p>
        </w:tc>
        <w:tc>
          <w:tcPr>
            <w:tcW w:w="34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20330D3" w14:textId="77777777" w:rsidR="004C6421" w:rsidRDefault="009D1962">
            <w:pPr>
              <w:pStyle w:val="P68B1DB1-Normal8"/>
              <w:rPr>
                <w:noProof/>
              </w:rPr>
            </w:pPr>
            <w:r>
              <w:rPr>
                <w:noProof/>
              </w:rPr>
              <w:t>Współczynniki recyklingu opakowań drewnianych w planie działania UE dotyczącym gospodarki o obiegu zamkniętym</w:t>
            </w:r>
          </w:p>
        </w:tc>
        <w:tc>
          <w:tcPr>
            <w:tcW w:w="236" w:type="dxa"/>
            <w:tcBorders>
              <w:top w:val="nil"/>
              <w:left w:val="single" w:sz="8" w:space="0" w:color="auto"/>
              <w:bottom w:val="nil"/>
              <w:right w:val="nil"/>
            </w:tcBorders>
            <w:vAlign w:val="center"/>
          </w:tcPr>
          <w:p w14:paraId="1F74D1CA" w14:textId="77777777" w:rsidR="004C6421" w:rsidRDefault="004C6421">
            <w:pPr>
              <w:rPr>
                <w:noProof/>
              </w:rPr>
            </w:pPr>
          </w:p>
        </w:tc>
      </w:tr>
      <w:tr w:rsidR="004C6421" w14:paraId="17B8760B" w14:textId="77777777">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EEEC8EF" w14:textId="77777777" w:rsidR="004C6421" w:rsidRDefault="009D1962">
            <w:pPr>
              <w:pStyle w:val="P68B1DB1-Normal8"/>
              <w:jc w:val="center"/>
              <w:rPr>
                <w:noProof/>
              </w:rPr>
            </w:pPr>
            <w:r>
              <w:rPr>
                <w:noProof/>
              </w:rPr>
              <w:t>M2C1-17quater</w:t>
            </w:r>
          </w:p>
        </w:tc>
        <w:tc>
          <w:tcPr>
            <w:tcW w:w="357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99F489F" w14:textId="77777777" w:rsidR="004C6421" w:rsidRDefault="009D1962">
            <w:pPr>
              <w:pStyle w:val="P68B1DB1-Normal8"/>
              <w:rPr>
                <w:noProof/>
              </w:rPr>
            </w:pPr>
            <w:r>
              <w:rPr>
                <w:noProof/>
              </w:rPr>
              <w:t>Inwestycje 1.2 – Projekty przewodnie gospodarki o obiegu zamkniętym</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EB1E6C3" w14:textId="77777777" w:rsidR="004C6421" w:rsidRDefault="009D1962">
            <w:pPr>
              <w:pStyle w:val="P68B1DB1-Normal8"/>
              <w:jc w:val="center"/>
              <w:rPr>
                <w:noProof/>
              </w:rPr>
            </w:pPr>
            <w:r>
              <w:rPr>
                <w:noProof/>
              </w:rPr>
              <w:t>Cel</w:t>
            </w:r>
          </w:p>
        </w:tc>
        <w:tc>
          <w:tcPr>
            <w:tcW w:w="34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9EE8901" w14:textId="77777777" w:rsidR="004C6421" w:rsidRDefault="009D1962">
            <w:pPr>
              <w:pStyle w:val="P68B1DB1-Normal8"/>
              <w:rPr>
                <w:noProof/>
              </w:rPr>
            </w:pPr>
            <w:r>
              <w:rPr>
                <w:noProof/>
              </w:rPr>
              <w:t>Współczynniki recyklingu opakowań z metali żelaznych w planie działania UE dotyczącym gospodarki o obiegu zamkniętym</w:t>
            </w:r>
          </w:p>
        </w:tc>
        <w:tc>
          <w:tcPr>
            <w:tcW w:w="236" w:type="dxa"/>
            <w:tcBorders>
              <w:top w:val="nil"/>
              <w:left w:val="single" w:sz="8" w:space="0" w:color="auto"/>
              <w:bottom w:val="nil"/>
              <w:right w:val="nil"/>
            </w:tcBorders>
            <w:vAlign w:val="center"/>
          </w:tcPr>
          <w:p w14:paraId="3F0AADC0" w14:textId="77777777" w:rsidR="004C6421" w:rsidRDefault="004C6421">
            <w:pPr>
              <w:rPr>
                <w:noProof/>
              </w:rPr>
            </w:pPr>
          </w:p>
        </w:tc>
      </w:tr>
      <w:tr w:rsidR="004C6421" w14:paraId="5D12AD64" w14:textId="77777777">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A954EED" w14:textId="77777777" w:rsidR="004C6421" w:rsidRDefault="009D1962">
            <w:pPr>
              <w:pStyle w:val="P68B1DB1-Normal8"/>
              <w:jc w:val="center"/>
              <w:rPr>
                <w:noProof/>
              </w:rPr>
            </w:pPr>
            <w:r>
              <w:rPr>
                <w:noProof/>
              </w:rPr>
              <w:t>Quinquies M2C1-17</w:t>
            </w:r>
          </w:p>
        </w:tc>
        <w:tc>
          <w:tcPr>
            <w:tcW w:w="357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D01A626" w14:textId="77777777" w:rsidR="004C6421" w:rsidRDefault="009D1962">
            <w:pPr>
              <w:pStyle w:val="P68B1DB1-Normal8"/>
              <w:rPr>
                <w:noProof/>
              </w:rPr>
            </w:pPr>
            <w:r>
              <w:rPr>
                <w:noProof/>
              </w:rPr>
              <w:t>Inwestycje 1.2 – Projekty przewodnie gospodarki o obiegu zamkniętym</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34FE7A7" w14:textId="77777777" w:rsidR="004C6421" w:rsidRDefault="009D1962">
            <w:pPr>
              <w:pStyle w:val="P68B1DB1-Normal8"/>
              <w:jc w:val="center"/>
              <w:rPr>
                <w:noProof/>
              </w:rPr>
            </w:pPr>
            <w:r>
              <w:rPr>
                <w:noProof/>
              </w:rPr>
              <w:t>Cel</w:t>
            </w:r>
          </w:p>
        </w:tc>
        <w:tc>
          <w:tcPr>
            <w:tcW w:w="34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B76E894" w14:textId="77777777" w:rsidR="004C6421" w:rsidRDefault="009D1962">
            <w:pPr>
              <w:pStyle w:val="P68B1DB1-Normal8"/>
              <w:rPr>
                <w:noProof/>
              </w:rPr>
            </w:pPr>
            <w:r>
              <w:rPr>
                <w:noProof/>
              </w:rPr>
              <w:t>Współczynniki recyklingu opakowań aluminiowych w planie działania UE dotyczącym gospodarki o obiegu zamkniętym</w:t>
            </w:r>
          </w:p>
        </w:tc>
        <w:tc>
          <w:tcPr>
            <w:tcW w:w="236" w:type="dxa"/>
            <w:tcBorders>
              <w:top w:val="nil"/>
              <w:left w:val="single" w:sz="8" w:space="0" w:color="auto"/>
              <w:bottom w:val="nil"/>
              <w:right w:val="nil"/>
            </w:tcBorders>
            <w:vAlign w:val="center"/>
          </w:tcPr>
          <w:p w14:paraId="7BC559CB" w14:textId="77777777" w:rsidR="004C6421" w:rsidRDefault="004C6421">
            <w:pPr>
              <w:rPr>
                <w:noProof/>
              </w:rPr>
            </w:pPr>
          </w:p>
        </w:tc>
      </w:tr>
      <w:tr w:rsidR="004C6421" w14:paraId="7650ED79" w14:textId="77777777">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092BDDB" w14:textId="77777777" w:rsidR="004C6421" w:rsidRDefault="009D1962">
            <w:pPr>
              <w:pStyle w:val="P68B1DB1-Normal8"/>
              <w:jc w:val="center"/>
              <w:rPr>
                <w:noProof/>
              </w:rPr>
            </w:pPr>
            <w:r>
              <w:rPr>
                <w:noProof/>
              </w:rPr>
              <w:t>M2C1-17 sexies</w:t>
            </w:r>
          </w:p>
        </w:tc>
        <w:tc>
          <w:tcPr>
            <w:tcW w:w="357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88A3CF3" w14:textId="77777777" w:rsidR="004C6421" w:rsidRDefault="009D1962">
            <w:pPr>
              <w:pStyle w:val="P68B1DB1-Normal8"/>
              <w:rPr>
                <w:noProof/>
              </w:rPr>
            </w:pPr>
            <w:r>
              <w:rPr>
                <w:noProof/>
              </w:rPr>
              <w:t>Inwestycje 1.2 – Projekty przewodnie gospodarki o obiegu zamkniętym</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A50E735" w14:textId="77777777" w:rsidR="004C6421" w:rsidRDefault="009D1962">
            <w:pPr>
              <w:pStyle w:val="P68B1DB1-Normal8"/>
              <w:jc w:val="center"/>
              <w:rPr>
                <w:noProof/>
              </w:rPr>
            </w:pPr>
            <w:r>
              <w:rPr>
                <w:noProof/>
              </w:rPr>
              <w:t>Cel</w:t>
            </w:r>
          </w:p>
        </w:tc>
        <w:tc>
          <w:tcPr>
            <w:tcW w:w="34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CC2A72F" w14:textId="77777777" w:rsidR="004C6421" w:rsidRDefault="009D1962">
            <w:pPr>
              <w:pStyle w:val="P68B1DB1-Normal8"/>
              <w:rPr>
                <w:noProof/>
              </w:rPr>
            </w:pPr>
            <w:r>
              <w:rPr>
                <w:noProof/>
              </w:rPr>
              <w:t>Wskaźniki recyklingu opakowań szklanych w planie działania UE dotyczącym gospodarki o obiegu zamkniętym</w:t>
            </w:r>
          </w:p>
        </w:tc>
        <w:tc>
          <w:tcPr>
            <w:tcW w:w="236" w:type="dxa"/>
            <w:tcBorders>
              <w:top w:val="nil"/>
              <w:left w:val="single" w:sz="8" w:space="0" w:color="auto"/>
              <w:bottom w:val="nil"/>
              <w:right w:val="nil"/>
            </w:tcBorders>
            <w:vAlign w:val="center"/>
          </w:tcPr>
          <w:p w14:paraId="62948220" w14:textId="77777777" w:rsidR="004C6421" w:rsidRDefault="004C6421">
            <w:pPr>
              <w:rPr>
                <w:noProof/>
              </w:rPr>
            </w:pPr>
          </w:p>
        </w:tc>
      </w:tr>
      <w:tr w:rsidR="004C6421" w14:paraId="4AE5CD81" w14:textId="77777777">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9B331B9" w14:textId="77777777" w:rsidR="004C6421" w:rsidRDefault="009D1962">
            <w:pPr>
              <w:pStyle w:val="P68B1DB1-Normal8"/>
              <w:jc w:val="center"/>
              <w:rPr>
                <w:noProof/>
              </w:rPr>
            </w:pPr>
            <w:r>
              <w:rPr>
                <w:noProof/>
              </w:rPr>
              <w:t>M2C1-17 septies</w:t>
            </w:r>
          </w:p>
        </w:tc>
        <w:tc>
          <w:tcPr>
            <w:tcW w:w="357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A8735F1" w14:textId="77777777" w:rsidR="004C6421" w:rsidRDefault="009D1962">
            <w:pPr>
              <w:pStyle w:val="P68B1DB1-Normal8"/>
              <w:rPr>
                <w:noProof/>
              </w:rPr>
            </w:pPr>
            <w:r>
              <w:rPr>
                <w:noProof/>
              </w:rPr>
              <w:t>Inwestycje 1.2 – Projekty przewodnie gospodarki o obiegu zamkniętym</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02D06B7" w14:textId="77777777" w:rsidR="004C6421" w:rsidRDefault="009D1962">
            <w:pPr>
              <w:pStyle w:val="P68B1DB1-Normal8"/>
              <w:jc w:val="center"/>
              <w:rPr>
                <w:noProof/>
              </w:rPr>
            </w:pPr>
            <w:r>
              <w:rPr>
                <w:noProof/>
              </w:rPr>
              <w:t>Cel</w:t>
            </w:r>
          </w:p>
        </w:tc>
        <w:tc>
          <w:tcPr>
            <w:tcW w:w="34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A675BBE" w14:textId="77777777" w:rsidR="004C6421" w:rsidRDefault="009D1962">
            <w:pPr>
              <w:pStyle w:val="P68B1DB1-Normal8"/>
              <w:rPr>
                <w:noProof/>
              </w:rPr>
            </w:pPr>
            <w:r>
              <w:rPr>
                <w:noProof/>
              </w:rPr>
              <w:t>Współczynniki recyklingu papieru i tektury w planie działania UE dotyczącym gospodarki o obiegu zamkniętym</w:t>
            </w:r>
          </w:p>
        </w:tc>
        <w:tc>
          <w:tcPr>
            <w:tcW w:w="236" w:type="dxa"/>
            <w:tcBorders>
              <w:top w:val="nil"/>
              <w:left w:val="single" w:sz="8" w:space="0" w:color="auto"/>
              <w:bottom w:val="nil"/>
              <w:right w:val="nil"/>
            </w:tcBorders>
            <w:vAlign w:val="center"/>
          </w:tcPr>
          <w:p w14:paraId="4A3769E2" w14:textId="77777777" w:rsidR="004C6421" w:rsidRDefault="004C6421">
            <w:pPr>
              <w:rPr>
                <w:noProof/>
              </w:rPr>
            </w:pPr>
          </w:p>
        </w:tc>
      </w:tr>
      <w:tr w:rsidR="004C6421" w14:paraId="0D981C2B" w14:textId="77777777">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D09B5DC" w14:textId="77777777" w:rsidR="004C6421" w:rsidRDefault="009D1962">
            <w:pPr>
              <w:pStyle w:val="P68B1DB1-Normal8"/>
              <w:jc w:val="center"/>
              <w:rPr>
                <w:noProof/>
              </w:rPr>
            </w:pPr>
            <w:r>
              <w:rPr>
                <w:noProof/>
              </w:rPr>
              <w:t>M2C1-17 cties</w:t>
            </w:r>
          </w:p>
        </w:tc>
        <w:tc>
          <w:tcPr>
            <w:tcW w:w="357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892BD9F" w14:textId="77777777" w:rsidR="004C6421" w:rsidRDefault="009D1962">
            <w:pPr>
              <w:pStyle w:val="P68B1DB1-Normal8"/>
              <w:rPr>
                <w:noProof/>
              </w:rPr>
            </w:pPr>
            <w:r>
              <w:rPr>
                <w:noProof/>
              </w:rPr>
              <w:t>Inwestycje 1.2 – Projekty przewodnie gospodarki o obiegu zamkniętym</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0814A9D" w14:textId="77777777" w:rsidR="004C6421" w:rsidRDefault="009D1962">
            <w:pPr>
              <w:pStyle w:val="P68B1DB1-Normal8"/>
              <w:jc w:val="center"/>
              <w:rPr>
                <w:noProof/>
              </w:rPr>
            </w:pPr>
            <w:r>
              <w:rPr>
                <w:noProof/>
              </w:rPr>
              <w:t>Cel</w:t>
            </w:r>
          </w:p>
        </w:tc>
        <w:tc>
          <w:tcPr>
            <w:tcW w:w="34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B183850" w14:textId="77777777" w:rsidR="004C6421" w:rsidRDefault="009D1962">
            <w:pPr>
              <w:pStyle w:val="P68B1DB1-Normal8"/>
              <w:rPr>
                <w:noProof/>
              </w:rPr>
            </w:pPr>
            <w:r>
              <w:rPr>
                <w:noProof/>
              </w:rPr>
              <w:t>Wskaźniki recyklingu opakowań z tworzyw sztucznych w planie działania UE dotyczącym gospodarki o obiegu zamkniętym</w:t>
            </w:r>
          </w:p>
        </w:tc>
        <w:tc>
          <w:tcPr>
            <w:tcW w:w="236" w:type="dxa"/>
            <w:tcBorders>
              <w:top w:val="nil"/>
              <w:left w:val="single" w:sz="8" w:space="0" w:color="auto"/>
              <w:bottom w:val="nil"/>
              <w:right w:val="nil"/>
            </w:tcBorders>
            <w:vAlign w:val="center"/>
          </w:tcPr>
          <w:p w14:paraId="0B350F49" w14:textId="77777777" w:rsidR="004C6421" w:rsidRDefault="004C6421">
            <w:pPr>
              <w:rPr>
                <w:noProof/>
              </w:rPr>
            </w:pPr>
          </w:p>
        </w:tc>
      </w:tr>
      <w:tr w:rsidR="004C6421" w14:paraId="656F41E1" w14:textId="77777777">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F7D5D63" w14:textId="77777777" w:rsidR="004C6421" w:rsidRDefault="009D1962">
            <w:pPr>
              <w:pStyle w:val="P68B1DB1-Normal8"/>
              <w:jc w:val="center"/>
              <w:rPr>
                <w:noProof/>
              </w:rPr>
            </w:pPr>
            <w:r>
              <w:rPr>
                <w:noProof/>
              </w:rPr>
              <w:t>M2C1-17 inne</w:t>
            </w:r>
          </w:p>
        </w:tc>
        <w:tc>
          <w:tcPr>
            <w:tcW w:w="357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774688C" w14:textId="77777777" w:rsidR="004C6421" w:rsidRDefault="009D1962">
            <w:pPr>
              <w:pStyle w:val="P68B1DB1-Normal8"/>
              <w:rPr>
                <w:noProof/>
              </w:rPr>
            </w:pPr>
            <w:r>
              <w:rPr>
                <w:noProof/>
              </w:rPr>
              <w:t>Reforma 1.1 Krajowy program na rzecz gospodarki o obiegu zamkniętym; Inwestycje 1.2 – Projekty przewodnie gospodarki o obiegu zamkniętym</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7DB8493" w14:textId="19FD1BD8" w:rsidR="004C6421" w:rsidRDefault="00CC179E">
            <w:pPr>
              <w:pStyle w:val="P68B1DB1-Normal8"/>
              <w:jc w:val="center"/>
              <w:rPr>
                <w:noProof/>
              </w:rPr>
            </w:pPr>
            <w:r>
              <w:rPr>
                <w:noProof/>
              </w:rPr>
              <w:t>Milowy</w:t>
            </w:r>
          </w:p>
        </w:tc>
        <w:tc>
          <w:tcPr>
            <w:tcW w:w="34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B79BA57" w14:textId="77777777" w:rsidR="004C6421" w:rsidRDefault="009D1962">
            <w:pPr>
              <w:pStyle w:val="P68B1DB1-Normal8"/>
              <w:rPr>
                <w:noProof/>
              </w:rPr>
            </w:pPr>
            <w:r>
              <w:rPr>
                <w:noProof/>
              </w:rPr>
              <w:t>Wejście w życie selektywnej zbiórki frakcji odpadów niebezpiecznych wytwarzanych przez gospodarstwa domowe i tekstylia</w:t>
            </w:r>
          </w:p>
        </w:tc>
        <w:tc>
          <w:tcPr>
            <w:tcW w:w="236" w:type="dxa"/>
            <w:tcBorders>
              <w:top w:val="nil"/>
              <w:left w:val="single" w:sz="8" w:space="0" w:color="auto"/>
              <w:bottom w:val="nil"/>
              <w:right w:val="nil"/>
            </w:tcBorders>
            <w:vAlign w:val="center"/>
          </w:tcPr>
          <w:p w14:paraId="07EE8BA1" w14:textId="77777777" w:rsidR="004C6421" w:rsidRDefault="004C6421">
            <w:pPr>
              <w:rPr>
                <w:noProof/>
              </w:rPr>
            </w:pPr>
          </w:p>
        </w:tc>
      </w:tr>
      <w:tr w:rsidR="004C6421" w14:paraId="5A3EFF5A" w14:textId="77777777">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83F3CE3" w14:textId="77777777" w:rsidR="004C6421" w:rsidRDefault="009D1962">
            <w:pPr>
              <w:pStyle w:val="P68B1DB1-Normal8"/>
              <w:jc w:val="center"/>
              <w:rPr>
                <w:noProof/>
              </w:rPr>
            </w:pPr>
            <w:r>
              <w:rPr>
                <w:noProof/>
              </w:rPr>
              <w:t>M2C2-40</w:t>
            </w:r>
          </w:p>
        </w:tc>
        <w:tc>
          <w:tcPr>
            <w:tcW w:w="357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D0FBCBD" w14:textId="77777777" w:rsidR="004C6421" w:rsidRDefault="009D1962">
            <w:pPr>
              <w:pStyle w:val="P68B1DB1-Normal8"/>
              <w:rPr>
                <w:noProof/>
              </w:rPr>
            </w:pPr>
            <w:r>
              <w:rPr>
                <w:noProof/>
              </w:rPr>
              <w:t>Inwestycja 5.1:  Odnawialne źródła energii i baterie</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FC86445" w14:textId="77777777" w:rsidR="004C6421" w:rsidRDefault="009D1962">
            <w:pPr>
              <w:pStyle w:val="P68B1DB1-Normal8"/>
              <w:jc w:val="center"/>
              <w:rPr>
                <w:noProof/>
              </w:rPr>
            </w:pPr>
            <w:r>
              <w:rPr>
                <w:noProof/>
              </w:rPr>
              <w:t>Cel</w:t>
            </w:r>
          </w:p>
        </w:tc>
        <w:tc>
          <w:tcPr>
            <w:tcW w:w="34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5BB7B17" w14:textId="77777777" w:rsidR="004C6421" w:rsidRDefault="009D1962">
            <w:pPr>
              <w:pStyle w:val="P68B1DB1-Normal8"/>
              <w:rPr>
                <w:noProof/>
              </w:rPr>
            </w:pPr>
            <w:r>
              <w:rPr>
                <w:noProof/>
              </w:rPr>
              <w:t>Umowy prawne podpisane z beneficjentami końcowymi odpowiadające zdolności produkcji energii z technologii fotowoltaicznych lub wiatrowych oraz akumulatorów</w:t>
            </w:r>
          </w:p>
        </w:tc>
        <w:tc>
          <w:tcPr>
            <w:tcW w:w="236" w:type="dxa"/>
            <w:tcBorders>
              <w:top w:val="nil"/>
              <w:left w:val="single" w:sz="8" w:space="0" w:color="auto"/>
              <w:bottom w:val="nil"/>
              <w:right w:val="nil"/>
            </w:tcBorders>
            <w:vAlign w:val="center"/>
          </w:tcPr>
          <w:p w14:paraId="146DFAE6" w14:textId="77777777" w:rsidR="004C6421" w:rsidRDefault="004C6421">
            <w:pPr>
              <w:rPr>
                <w:noProof/>
              </w:rPr>
            </w:pPr>
          </w:p>
        </w:tc>
      </w:tr>
      <w:tr w:rsidR="004C6421" w14:paraId="5481ECB4" w14:textId="77777777">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DD70992" w14:textId="77777777" w:rsidR="004C6421" w:rsidRDefault="009D1962">
            <w:pPr>
              <w:pStyle w:val="P68B1DB1-Normal8"/>
              <w:jc w:val="center"/>
              <w:rPr>
                <w:noProof/>
              </w:rPr>
            </w:pPr>
            <w:r>
              <w:rPr>
                <w:noProof/>
              </w:rPr>
              <w:t>M2C2-46</w:t>
            </w:r>
          </w:p>
        </w:tc>
        <w:tc>
          <w:tcPr>
            <w:tcW w:w="357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D96F2C3" w14:textId="77777777" w:rsidR="004C6421" w:rsidRDefault="009D1962">
            <w:pPr>
              <w:pStyle w:val="P68B1DB1-Normal8"/>
              <w:rPr>
                <w:noProof/>
              </w:rPr>
            </w:pPr>
            <w:r>
              <w:rPr>
                <w:noProof/>
              </w:rPr>
              <w:t>Inwestycje 1.2 Promowanie odnawialnych źródeł energii dla społeczności energetycznych i działających wspólnie prosumentów energii ze źródeł odnawialnych</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2EC230B" w14:textId="1E21E9DD" w:rsidR="004C6421" w:rsidRDefault="00CC179E">
            <w:pPr>
              <w:pStyle w:val="P68B1DB1-Normal8"/>
              <w:jc w:val="center"/>
              <w:rPr>
                <w:noProof/>
              </w:rPr>
            </w:pPr>
            <w:r>
              <w:rPr>
                <w:noProof/>
              </w:rPr>
              <w:t>Milowy</w:t>
            </w:r>
          </w:p>
        </w:tc>
        <w:tc>
          <w:tcPr>
            <w:tcW w:w="34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8092EBE" w14:textId="77777777" w:rsidR="004C6421" w:rsidRDefault="009D1962">
            <w:pPr>
              <w:pStyle w:val="P68B1DB1-Normal8"/>
              <w:rPr>
                <w:noProof/>
              </w:rPr>
            </w:pPr>
            <w:r>
              <w:rPr>
                <w:noProof/>
              </w:rPr>
              <w:t>Udzielanie wszystkich zamówień publicznych na udzielenie dotacji na realizację interwencji na rzecz społeczności energetycznych</w:t>
            </w:r>
          </w:p>
        </w:tc>
        <w:tc>
          <w:tcPr>
            <w:tcW w:w="236" w:type="dxa"/>
            <w:tcBorders>
              <w:top w:val="nil"/>
              <w:left w:val="single" w:sz="8" w:space="0" w:color="auto"/>
              <w:bottom w:val="nil"/>
              <w:right w:val="nil"/>
            </w:tcBorders>
            <w:vAlign w:val="center"/>
          </w:tcPr>
          <w:p w14:paraId="73530F61" w14:textId="77777777" w:rsidR="004C6421" w:rsidRDefault="004C6421">
            <w:pPr>
              <w:rPr>
                <w:noProof/>
              </w:rPr>
            </w:pPr>
          </w:p>
        </w:tc>
      </w:tr>
      <w:tr w:rsidR="004C6421" w14:paraId="0DB621C1" w14:textId="77777777">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762A7F5" w14:textId="77777777" w:rsidR="004C6421" w:rsidRDefault="009D1962">
            <w:pPr>
              <w:pStyle w:val="P68B1DB1-Normal8"/>
              <w:jc w:val="center"/>
              <w:rPr>
                <w:noProof/>
              </w:rPr>
            </w:pPr>
            <w:r>
              <w:rPr>
                <w:noProof/>
              </w:rPr>
              <w:t>M3C1-23</w:t>
            </w:r>
          </w:p>
        </w:tc>
        <w:tc>
          <w:tcPr>
            <w:tcW w:w="357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ED2316E" w14:textId="77777777" w:rsidR="004C6421" w:rsidRDefault="009D1962">
            <w:pPr>
              <w:pStyle w:val="P68B1DB1-Normal8"/>
              <w:rPr>
                <w:noProof/>
              </w:rPr>
            </w:pPr>
            <w:r>
              <w:rPr>
                <w:noProof/>
              </w:rPr>
              <w:t>Inwestycje 1.9 Połączenia międzyregionalne</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0BF111E" w14:textId="77777777" w:rsidR="004C6421" w:rsidRDefault="009D1962">
            <w:pPr>
              <w:pStyle w:val="P68B1DB1-Normal8"/>
              <w:jc w:val="center"/>
              <w:rPr>
                <w:noProof/>
              </w:rPr>
            </w:pPr>
            <w:r>
              <w:rPr>
                <w:noProof/>
              </w:rPr>
              <w:t>Cel</w:t>
            </w:r>
          </w:p>
        </w:tc>
        <w:tc>
          <w:tcPr>
            <w:tcW w:w="34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D0082AA" w14:textId="77777777" w:rsidR="004C6421" w:rsidRDefault="009D1962">
            <w:pPr>
              <w:pStyle w:val="P68B1DB1-Normal8"/>
              <w:rPr>
                <w:noProof/>
              </w:rPr>
            </w:pPr>
            <w:r>
              <w:rPr>
                <w:noProof/>
              </w:rPr>
              <w:t>Inwestycje 1.9 Połączenia międzyregionalne</w:t>
            </w:r>
          </w:p>
        </w:tc>
        <w:tc>
          <w:tcPr>
            <w:tcW w:w="236" w:type="dxa"/>
            <w:tcBorders>
              <w:top w:val="nil"/>
              <w:left w:val="single" w:sz="8" w:space="0" w:color="auto"/>
              <w:bottom w:val="nil"/>
              <w:right w:val="nil"/>
            </w:tcBorders>
            <w:vAlign w:val="center"/>
          </w:tcPr>
          <w:p w14:paraId="77A19AA2" w14:textId="77777777" w:rsidR="004C6421" w:rsidRDefault="004C6421">
            <w:pPr>
              <w:rPr>
                <w:noProof/>
              </w:rPr>
            </w:pPr>
          </w:p>
        </w:tc>
      </w:tr>
      <w:tr w:rsidR="004C6421" w14:paraId="5A7D02DF" w14:textId="77777777">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F39A7FB" w14:textId="77777777" w:rsidR="004C6421" w:rsidRDefault="009D1962">
            <w:pPr>
              <w:pStyle w:val="P68B1DB1-Normal8"/>
              <w:jc w:val="center"/>
              <w:rPr>
                <w:noProof/>
              </w:rPr>
            </w:pPr>
            <w:r>
              <w:rPr>
                <w:noProof/>
              </w:rPr>
              <w:t>M4C2-13</w:t>
            </w:r>
          </w:p>
        </w:tc>
        <w:tc>
          <w:tcPr>
            <w:tcW w:w="357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1EE0AE0" w14:textId="77777777" w:rsidR="004C6421" w:rsidRDefault="009D1962">
            <w:pPr>
              <w:pStyle w:val="P68B1DB1-Normal8"/>
              <w:rPr>
                <w:noProof/>
              </w:rPr>
            </w:pPr>
            <w:r>
              <w:rPr>
                <w:noProof/>
              </w:rPr>
              <w:t>Inwestycja 2.3: Wzmocnienie i sektorowe/terytorialne rozszerzenie ośrodków transferu technologii według segmentów przemysłu</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423D9D1" w14:textId="77777777" w:rsidR="004C6421" w:rsidRDefault="009D1962">
            <w:pPr>
              <w:pStyle w:val="P68B1DB1-Normal8"/>
              <w:jc w:val="center"/>
              <w:rPr>
                <w:noProof/>
              </w:rPr>
            </w:pPr>
            <w:r>
              <w:rPr>
                <w:noProof/>
              </w:rPr>
              <w:t>Cel</w:t>
            </w:r>
          </w:p>
        </w:tc>
        <w:tc>
          <w:tcPr>
            <w:tcW w:w="34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E67E160" w14:textId="77777777" w:rsidR="004C6421" w:rsidRDefault="009D1962">
            <w:pPr>
              <w:pStyle w:val="P68B1DB1-Normal8"/>
              <w:rPr>
                <w:noProof/>
              </w:rPr>
            </w:pPr>
            <w:r>
              <w:rPr>
                <w:noProof/>
              </w:rPr>
              <w:t>Liczba nowych centrów, które mają zostać utworzone</w:t>
            </w:r>
          </w:p>
        </w:tc>
        <w:tc>
          <w:tcPr>
            <w:tcW w:w="236" w:type="dxa"/>
            <w:tcBorders>
              <w:top w:val="nil"/>
              <w:left w:val="single" w:sz="8" w:space="0" w:color="auto"/>
              <w:bottom w:val="nil"/>
              <w:right w:val="nil"/>
            </w:tcBorders>
            <w:vAlign w:val="center"/>
          </w:tcPr>
          <w:p w14:paraId="423DDE11" w14:textId="77777777" w:rsidR="004C6421" w:rsidRDefault="004C6421">
            <w:pPr>
              <w:rPr>
                <w:noProof/>
              </w:rPr>
            </w:pPr>
          </w:p>
        </w:tc>
      </w:tr>
      <w:tr w:rsidR="004C6421" w14:paraId="61FCE1CA" w14:textId="77777777">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8E416E8" w14:textId="77777777" w:rsidR="004C6421" w:rsidRDefault="009D1962">
            <w:pPr>
              <w:pStyle w:val="P68B1DB1-Normal8"/>
              <w:jc w:val="center"/>
              <w:rPr>
                <w:noProof/>
              </w:rPr>
            </w:pPr>
            <w:r>
              <w:rPr>
                <w:noProof/>
              </w:rPr>
              <w:t>M6C1-9</w:t>
            </w:r>
          </w:p>
        </w:tc>
        <w:tc>
          <w:tcPr>
            <w:tcW w:w="357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14F795B" w14:textId="77777777" w:rsidR="004C6421" w:rsidRDefault="009D1962">
            <w:pPr>
              <w:pStyle w:val="P68B1DB1-Normal8"/>
              <w:rPr>
                <w:noProof/>
              </w:rPr>
            </w:pPr>
            <w:r>
              <w:rPr>
                <w:noProof/>
              </w:rPr>
              <w:t>Inwestycje 1.2: Dom jako pierwsze miejsce opieki i telemedycyny</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0EF5EF1" w14:textId="77777777" w:rsidR="004C6421" w:rsidRDefault="009D1962">
            <w:pPr>
              <w:pStyle w:val="P68B1DB1-Normal8"/>
              <w:jc w:val="center"/>
              <w:rPr>
                <w:noProof/>
              </w:rPr>
            </w:pPr>
            <w:r>
              <w:rPr>
                <w:noProof/>
              </w:rPr>
              <w:t>Cel</w:t>
            </w:r>
          </w:p>
        </w:tc>
        <w:tc>
          <w:tcPr>
            <w:tcW w:w="34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A1A16F3" w14:textId="77777777" w:rsidR="004C6421" w:rsidRDefault="009D1962">
            <w:pPr>
              <w:pStyle w:val="P68B1DB1-Normal8"/>
              <w:rPr>
                <w:noProof/>
              </w:rPr>
            </w:pPr>
            <w:r>
              <w:rPr>
                <w:noProof/>
              </w:rPr>
              <w:t>Liczba osób wspomaganych narzędziami telemedycyny (trzecia partia)</w:t>
            </w:r>
          </w:p>
        </w:tc>
        <w:tc>
          <w:tcPr>
            <w:tcW w:w="236" w:type="dxa"/>
            <w:tcBorders>
              <w:top w:val="nil"/>
              <w:left w:val="single" w:sz="8" w:space="0" w:color="auto"/>
              <w:bottom w:val="nil"/>
              <w:right w:val="nil"/>
            </w:tcBorders>
            <w:vAlign w:val="center"/>
          </w:tcPr>
          <w:p w14:paraId="25EF2220" w14:textId="77777777" w:rsidR="004C6421" w:rsidRDefault="004C6421">
            <w:pPr>
              <w:rPr>
                <w:noProof/>
              </w:rPr>
            </w:pPr>
          </w:p>
        </w:tc>
      </w:tr>
      <w:tr w:rsidR="004C6421" w14:paraId="75D54DA5" w14:textId="77777777">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D6EFD1E" w14:textId="77777777" w:rsidR="004C6421" w:rsidRDefault="009D1962">
            <w:pPr>
              <w:pStyle w:val="P68B1DB1-Normal8"/>
              <w:jc w:val="center"/>
              <w:rPr>
                <w:noProof/>
              </w:rPr>
            </w:pPr>
            <w:r>
              <w:rPr>
                <w:noProof/>
              </w:rPr>
              <w:t>M6C2-8</w:t>
            </w:r>
          </w:p>
        </w:tc>
        <w:tc>
          <w:tcPr>
            <w:tcW w:w="357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5F12F9A" w14:textId="77777777" w:rsidR="004C6421" w:rsidRDefault="009D1962">
            <w:pPr>
              <w:pStyle w:val="P68B1DB1-Normal38"/>
              <w:rPr>
                <w:noProof/>
              </w:rPr>
            </w:pPr>
            <w:r>
              <w:rPr>
                <w:noProof/>
              </w:rPr>
              <w:t>Inwestycje 1.1: Cyfrowa aktualizacja sprzętu technologicznego szpitali</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0BC20A0" w14:textId="77777777" w:rsidR="004C6421" w:rsidRDefault="009D1962">
            <w:pPr>
              <w:pStyle w:val="P68B1DB1-Normal38"/>
              <w:jc w:val="center"/>
              <w:rPr>
                <w:noProof/>
              </w:rPr>
            </w:pPr>
            <w:r>
              <w:rPr>
                <w:noProof/>
              </w:rPr>
              <w:t>Cel</w:t>
            </w:r>
          </w:p>
        </w:tc>
        <w:tc>
          <w:tcPr>
            <w:tcW w:w="34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C3C99B9" w14:textId="77777777" w:rsidR="004C6421" w:rsidRDefault="009D1962">
            <w:pPr>
              <w:pStyle w:val="P68B1DB1-Normal38"/>
              <w:rPr>
                <w:noProof/>
              </w:rPr>
            </w:pPr>
            <w:r>
              <w:rPr>
                <w:noProof/>
              </w:rPr>
              <w:t>Szpitale są zdigitalizowane (DEA – Departamenty ds. Sytuacji Kryzysowych i Przyjęć – poziom I i II)</w:t>
            </w:r>
          </w:p>
        </w:tc>
        <w:tc>
          <w:tcPr>
            <w:tcW w:w="236" w:type="dxa"/>
            <w:tcBorders>
              <w:top w:val="nil"/>
              <w:left w:val="single" w:sz="8" w:space="0" w:color="auto"/>
              <w:bottom w:val="nil"/>
              <w:right w:val="nil"/>
            </w:tcBorders>
            <w:vAlign w:val="center"/>
          </w:tcPr>
          <w:p w14:paraId="3BE25B4C" w14:textId="77777777" w:rsidR="004C6421" w:rsidRDefault="004C6421">
            <w:pPr>
              <w:rPr>
                <w:noProof/>
              </w:rPr>
            </w:pPr>
          </w:p>
        </w:tc>
      </w:tr>
      <w:tr w:rsidR="004C6421" w14:paraId="17C96CFA" w14:textId="77777777">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310A762" w14:textId="77777777" w:rsidR="004C6421" w:rsidRDefault="009D1962">
            <w:pPr>
              <w:pStyle w:val="P68B1DB1-Normal8"/>
              <w:jc w:val="center"/>
              <w:rPr>
                <w:noProof/>
              </w:rPr>
            </w:pPr>
            <w:r>
              <w:rPr>
                <w:noProof/>
              </w:rPr>
              <w:t>M6C2-11</w:t>
            </w:r>
          </w:p>
        </w:tc>
        <w:tc>
          <w:tcPr>
            <w:tcW w:w="357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0F21892" w14:textId="77777777" w:rsidR="004C6421" w:rsidRDefault="009D1962">
            <w:pPr>
              <w:pStyle w:val="P68B1DB1-Normal38"/>
              <w:rPr>
                <w:noProof/>
              </w:rPr>
            </w:pPr>
            <w:r>
              <w:rPr>
                <w:noProof/>
              </w:rPr>
              <w:t>Inwestycja 1.3: Wzmocnienie infrastruktury technologicznej i narzędzi gromadzenia, przetwarzania danych, analizy i symulacji danych</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2A554D4" w14:textId="77777777" w:rsidR="004C6421" w:rsidRDefault="009D1962">
            <w:pPr>
              <w:pStyle w:val="P68B1DB1-Normal38"/>
              <w:jc w:val="center"/>
              <w:rPr>
                <w:noProof/>
              </w:rPr>
            </w:pPr>
            <w:r>
              <w:rPr>
                <w:noProof/>
              </w:rPr>
              <w:t>Cel</w:t>
            </w:r>
          </w:p>
        </w:tc>
        <w:tc>
          <w:tcPr>
            <w:tcW w:w="34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BB44745" w14:textId="77777777" w:rsidR="004C6421" w:rsidRDefault="009D1962">
            <w:pPr>
              <w:pStyle w:val="P68B1DB1-Normal38"/>
              <w:rPr>
                <w:noProof/>
              </w:rPr>
            </w:pPr>
            <w:r>
              <w:rPr>
                <w:noProof/>
              </w:rPr>
              <w:t>Lekarze medycyny ogólnej przekazujący elektroniczną dokumentację medyczną.</w:t>
            </w:r>
          </w:p>
        </w:tc>
        <w:tc>
          <w:tcPr>
            <w:tcW w:w="236" w:type="dxa"/>
            <w:tcBorders>
              <w:top w:val="nil"/>
              <w:left w:val="single" w:sz="8" w:space="0" w:color="auto"/>
              <w:bottom w:val="nil"/>
              <w:right w:val="nil"/>
            </w:tcBorders>
            <w:vAlign w:val="center"/>
          </w:tcPr>
          <w:p w14:paraId="4E1F09D7" w14:textId="77777777" w:rsidR="004C6421" w:rsidRDefault="004C6421">
            <w:pPr>
              <w:rPr>
                <w:noProof/>
              </w:rPr>
            </w:pPr>
          </w:p>
        </w:tc>
      </w:tr>
      <w:tr w:rsidR="004C6421" w14:paraId="72AFD349" w14:textId="77777777">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5666D91" w14:textId="77777777" w:rsidR="004C6421" w:rsidRDefault="009D1962">
            <w:pPr>
              <w:pStyle w:val="P68B1DB1-Normal8"/>
              <w:jc w:val="center"/>
              <w:rPr>
                <w:noProof/>
              </w:rPr>
            </w:pPr>
            <w:r>
              <w:rPr>
                <w:noProof/>
              </w:rPr>
              <w:t>M1C3-33</w:t>
            </w:r>
          </w:p>
        </w:tc>
        <w:tc>
          <w:tcPr>
            <w:tcW w:w="357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58616BC" w14:textId="77777777" w:rsidR="004C6421" w:rsidRDefault="009D1962">
            <w:pPr>
              <w:pStyle w:val="P68B1DB1-Normal8"/>
              <w:rPr>
                <w:noProof/>
              </w:rPr>
            </w:pPr>
            <w:r>
              <w:rPr>
                <w:noProof/>
              </w:rPr>
              <w:t>Inwestycje 4.2 Fundusze na rzecz konkurencyjności przedsiębiorstw turystycznych</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42319F0" w14:textId="77777777" w:rsidR="004C6421" w:rsidRDefault="009D1962">
            <w:pPr>
              <w:pStyle w:val="P68B1DB1-Normal8"/>
              <w:jc w:val="center"/>
              <w:rPr>
                <w:noProof/>
              </w:rPr>
            </w:pPr>
            <w:r>
              <w:rPr>
                <w:noProof/>
              </w:rPr>
              <w:t>Cel</w:t>
            </w:r>
          </w:p>
        </w:tc>
        <w:tc>
          <w:tcPr>
            <w:tcW w:w="34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1A6FEC1" w14:textId="77777777" w:rsidR="004C6421" w:rsidRDefault="009D1962">
            <w:pPr>
              <w:pStyle w:val="P68B1DB1-Normal8"/>
              <w:rPr>
                <w:noProof/>
              </w:rPr>
            </w:pPr>
            <w:r>
              <w:rPr>
                <w:noProof/>
              </w:rPr>
              <w:t xml:space="preserve">Liczba przedsiębiorstw, które mają otrzymać wsparcie w ramach rotacji Fondo (pierwsza partia)  </w:t>
            </w:r>
          </w:p>
        </w:tc>
        <w:tc>
          <w:tcPr>
            <w:tcW w:w="236" w:type="dxa"/>
            <w:tcBorders>
              <w:top w:val="nil"/>
              <w:left w:val="single" w:sz="8" w:space="0" w:color="auto"/>
              <w:bottom w:val="nil"/>
              <w:right w:val="nil"/>
            </w:tcBorders>
            <w:vAlign w:val="center"/>
          </w:tcPr>
          <w:p w14:paraId="6E880189" w14:textId="77777777" w:rsidR="004C6421" w:rsidRDefault="004C6421">
            <w:pPr>
              <w:rPr>
                <w:noProof/>
              </w:rPr>
            </w:pPr>
          </w:p>
        </w:tc>
      </w:tr>
      <w:tr w:rsidR="004C6421" w14:paraId="024DAA64" w14:textId="77777777">
        <w:trPr>
          <w:trHeight w:val="300"/>
        </w:trPr>
        <w:tc>
          <w:tcPr>
            <w:tcW w:w="11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5E4994B9" w14:textId="77777777" w:rsidR="004C6421" w:rsidRDefault="009D1962">
            <w:pPr>
              <w:pStyle w:val="P68B1DB1-Normal8"/>
              <w:jc w:val="center"/>
              <w:rPr>
                <w:noProof/>
              </w:rPr>
            </w:pPr>
            <w:r>
              <w:rPr>
                <w:noProof/>
              </w:rPr>
              <w:t xml:space="preserve"> </w:t>
            </w:r>
          </w:p>
        </w:tc>
        <w:tc>
          <w:tcPr>
            <w:tcW w:w="357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47DB6B20" w14:textId="77777777" w:rsidR="004C6421" w:rsidRDefault="009D1962">
            <w:pPr>
              <w:pStyle w:val="P68B1DB1-Normal8"/>
              <w:rPr>
                <w:noProof/>
              </w:rPr>
            </w:pPr>
            <w:r>
              <w:rPr>
                <w:noProof/>
              </w:rPr>
              <w:t xml:space="preserve"> </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47A9965F" w14:textId="77777777" w:rsidR="004C6421" w:rsidRDefault="009D1962">
            <w:pPr>
              <w:pStyle w:val="P68B1DB1-Normal8"/>
              <w:rPr>
                <w:noProof/>
              </w:rPr>
            </w:pPr>
            <w:r>
              <w:rPr>
                <w:noProof/>
              </w:rPr>
              <w:t>Kwota transzy</w:t>
            </w:r>
          </w:p>
        </w:tc>
        <w:tc>
          <w:tcPr>
            <w:tcW w:w="34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4FFA9BFE" w14:textId="19B85C33" w:rsidR="004C6421" w:rsidRDefault="009D1962">
            <w:pPr>
              <w:rPr>
                <w:noProof/>
              </w:rPr>
            </w:pPr>
            <w:r>
              <w:rPr>
                <w:noProof/>
                <w:color w:val="006100"/>
                <w:sz w:val="20"/>
              </w:rPr>
              <w:t>7118464154 EUR</w:t>
            </w:r>
            <w:r>
              <w:rPr>
                <w:noProof/>
                <w:sz w:val="23"/>
              </w:rPr>
              <w:t xml:space="preserve">  </w:t>
            </w:r>
          </w:p>
        </w:tc>
        <w:tc>
          <w:tcPr>
            <w:tcW w:w="236" w:type="dxa"/>
            <w:tcBorders>
              <w:top w:val="nil"/>
              <w:left w:val="single" w:sz="8" w:space="0" w:color="auto"/>
              <w:bottom w:val="nil"/>
              <w:right w:val="nil"/>
            </w:tcBorders>
            <w:vAlign w:val="center"/>
          </w:tcPr>
          <w:p w14:paraId="5C3F452D" w14:textId="77777777" w:rsidR="004C6421" w:rsidRDefault="004C6421">
            <w:pPr>
              <w:rPr>
                <w:noProof/>
              </w:rPr>
            </w:pPr>
          </w:p>
        </w:tc>
      </w:tr>
    </w:tbl>
    <w:p w14:paraId="788E6609" w14:textId="77777777" w:rsidR="004C6421" w:rsidRDefault="009D1962">
      <w:pPr>
        <w:pStyle w:val="ListParagraph"/>
        <w:numPr>
          <w:ilvl w:val="1"/>
          <w:numId w:val="145"/>
        </w:numPr>
        <w:spacing w:before="0" w:after="0" w:line="279" w:lineRule="auto"/>
        <w:ind w:left="850" w:hanging="850"/>
        <w:rPr>
          <w:noProof/>
        </w:rPr>
      </w:pPr>
      <w:r>
        <w:rPr>
          <w:noProof/>
        </w:rPr>
        <w:t>Dziesiąta transza (wsparcie pożyczkowe):</w:t>
      </w:r>
    </w:p>
    <w:tbl>
      <w:tblPr>
        <w:tblW w:w="9360" w:type="dxa"/>
        <w:tblInd w:w="120" w:type="dxa"/>
        <w:tblLayout w:type="fixed"/>
        <w:tblLook w:val="04A0" w:firstRow="1" w:lastRow="0" w:firstColumn="1" w:lastColumn="0" w:noHBand="0" w:noVBand="1"/>
      </w:tblPr>
      <w:tblGrid>
        <w:gridCol w:w="1246"/>
        <w:gridCol w:w="3463"/>
        <w:gridCol w:w="1144"/>
        <w:gridCol w:w="3271"/>
        <w:gridCol w:w="236"/>
      </w:tblGrid>
      <w:tr w:rsidR="004C6421" w14:paraId="49F1A71F" w14:textId="77777777">
        <w:trPr>
          <w:trHeight w:val="900"/>
          <w:tblHeader/>
        </w:trPr>
        <w:tc>
          <w:tcPr>
            <w:tcW w:w="1275"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09ED71D1" w14:textId="77777777" w:rsidR="004C6421" w:rsidRDefault="009D1962">
            <w:pPr>
              <w:pStyle w:val="P68B1DB1-Normal36"/>
              <w:jc w:val="center"/>
              <w:rPr>
                <w:noProof/>
              </w:rPr>
            </w:pPr>
            <w:r>
              <w:rPr>
                <w:noProof/>
              </w:rPr>
              <w:t>Numer porządkowy</w:t>
            </w:r>
          </w:p>
        </w:tc>
        <w:tc>
          <w:tcPr>
            <w:tcW w:w="3555"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753423C8" w14:textId="77777777" w:rsidR="004C6421" w:rsidRDefault="009D1962">
            <w:pPr>
              <w:pStyle w:val="P68B1DB1-Normal36"/>
              <w:jc w:val="center"/>
              <w:rPr>
                <w:noProof/>
              </w:rPr>
            </w:pPr>
            <w:r>
              <w:rPr>
                <w:noProof/>
              </w:rPr>
              <w:t>Powiązane działanie (reforma lub inwestycja)</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6C4DAD15" w14:textId="77777777" w:rsidR="004C6421" w:rsidRDefault="009D1962">
            <w:pPr>
              <w:pStyle w:val="P68B1DB1-Normal36"/>
              <w:jc w:val="center"/>
              <w:rPr>
                <w:noProof/>
              </w:rPr>
            </w:pPr>
            <w:r>
              <w:rPr>
                <w:noProof/>
              </w:rPr>
              <w:t>Kamień milowy/wartość docelowa</w:t>
            </w:r>
          </w:p>
        </w:tc>
        <w:tc>
          <w:tcPr>
            <w:tcW w:w="3358" w:type="dxa"/>
            <w:vMerge w:val="restart"/>
            <w:tcBorders>
              <w:top w:val="single" w:sz="4" w:space="0" w:color="auto"/>
              <w:left w:val="single" w:sz="4" w:space="0" w:color="auto"/>
              <w:bottom w:val="single" w:sz="4" w:space="0" w:color="auto"/>
              <w:right w:val="single" w:sz="4" w:space="0" w:color="auto"/>
            </w:tcBorders>
            <w:shd w:val="clear" w:color="auto" w:fill="BDD7EE"/>
            <w:tcMar>
              <w:left w:w="108" w:type="dxa"/>
              <w:right w:w="108" w:type="dxa"/>
            </w:tcMar>
            <w:vAlign w:val="center"/>
          </w:tcPr>
          <w:p w14:paraId="7AF60186" w14:textId="77777777" w:rsidR="004C6421" w:rsidRDefault="009D1962">
            <w:pPr>
              <w:pStyle w:val="P68B1DB1-Normal36"/>
              <w:jc w:val="center"/>
              <w:rPr>
                <w:noProof/>
              </w:rPr>
            </w:pPr>
            <w:r>
              <w:rPr>
                <w:noProof/>
              </w:rPr>
              <w:t>Nazwa</w:t>
            </w:r>
          </w:p>
        </w:tc>
        <w:tc>
          <w:tcPr>
            <w:tcW w:w="2" w:type="dxa"/>
            <w:tcBorders>
              <w:top w:val="nil"/>
              <w:left w:val="single" w:sz="4" w:space="0" w:color="auto"/>
              <w:bottom w:val="nil"/>
              <w:right w:val="nil"/>
            </w:tcBorders>
            <w:vAlign w:val="center"/>
          </w:tcPr>
          <w:p w14:paraId="4AA57E78" w14:textId="77777777" w:rsidR="004C6421" w:rsidRDefault="004C6421">
            <w:pPr>
              <w:rPr>
                <w:noProof/>
              </w:rPr>
            </w:pPr>
          </w:p>
        </w:tc>
      </w:tr>
      <w:tr w:rsidR="004C6421" w14:paraId="68057E2E" w14:textId="77777777">
        <w:trPr>
          <w:trHeight w:val="510"/>
        </w:trPr>
        <w:tc>
          <w:tcPr>
            <w:tcW w:w="1275" w:type="dxa"/>
            <w:vMerge/>
            <w:tcBorders>
              <w:top w:val="single" w:sz="4" w:space="0" w:color="auto"/>
              <w:left w:val="single" w:sz="4" w:space="0" w:color="auto"/>
              <w:bottom w:val="single" w:sz="4" w:space="0" w:color="auto"/>
              <w:right w:val="single" w:sz="4" w:space="0" w:color="auto"/>
            </w:tcBorders>
            <w:vAlign w:val="center"/>
          </w:tcPr>
          <w:p w14:paraId="56A52ED2" w14:textId="77777777" w:rsidR="004C6421" w:rsidRDefault="004C6421">
            <w:pPr>
              <w:rPr>
                <w:noProof/>
              </w:rPr>
            </w:pPr>
          </w:p>
        </w:tc>
        <w:tc>
          <w:tcPr>
            <w:tcW w:w="3555" w:type="dxa"/>
            <w:vMerge/>
            <w:tcBorders>
              <w:top w:val="single" w:sz="4" w:space="0" w:color="auto"/>
              <w:left w:val="single" w:sz="4" w:space="0" w:color="auto"/>
              <w:bottom w:val="single" w:sz="4" w:space="0" w:color="auto"/>
              <w:right w:val="single" w:sz="4" w:space="0" w:color="auto"/>
            </w:tcBorders>
            <w:vAlign w:val="center"/>
          </w:tcPr>
          <w:p w14:paraId="1A0210F9" w14:textId="77777777" w:rsidR="004C6421" w:rsidRDefault="004C6421">
            <w:pPr>
              <w:rPr>
                <w:noProof/>
              </w:rPr>
            </w:pPr>
          </w:p>
        </w:tc>
        <w:tc>
          <w:tcPr>
            <w:tcW w:w="1170" w:type="dxa"/>
            <w:vMerge/>
            <w:tcBorders>
              <w:top w:val="single" w:sz="4" w:space="0" w:color="auto"/>
              <w:left w:val="single" w:sz="4" w:space="0" w:color="auto"/>
              <w:bottom w:val="single" w:sz="4" w:space="0" w:color="auto"/>
              <w:right w:val="single" w:sz="4" w:space="0" w:color="auto"/>
            </w:tcBorders>
            <w:vAlign w:val="center"/>
          </w:tcPr>
          <w:p w14:paraId="5C51DC66" w14:textId="77777777" w:rsidR="004C6421" w:rsidRDefault="004C6421">
            <w:pPr>
              <w:rPr>
                <w:noProof/>
              </w:rPr>
            </w:pPr>
          </w:p>
        </w:tc>
        <w:tc>
          <w:tcPr>
            <w:tcW w:w="3358" w:type="dxa"/>
            <w:vMerge/>
            <w:tcBorders>
              <w:top w:val="single" w:sz="4" w:space="0" w:color="auto"/>
              <w:left w:val="single" w:sz="4" w:space="0" w:color="auto"/>
              <w:bottom w:val="single" w:sz="4" w:space="0" w:color="auto"/>
              <w:right w:val="single" w:sz="4" w:space="0" w:color="auto"/>
            </w:tcBorders>
            <w:vAlign w:val="center"/>
          </w:tcPr>
          <w:p w14:paraId="4B811AE2" w14:textId="77777777" w:rsidR="004C6421" w:rsidRDefault="004C6421">
            <w:pPr>
              <w:rPr>
                <w:noProof/>
              </w:rPr>
            </w:pPr>
          </w:p>
        </w:tc>
        <w:tc>
          <w:tcPr>
            <w:tcW w:w="2" w:type="dxa"/>
            <w:tcBorders>
              <w:top w:val="nil"/>
              <w:left w:val="single" w:sz="4" w:space="0" w:color="auto"/>
              <w:bottom w:val="nil"/>
              <w:right w:val="nil"/>
            </w:tcBorders>
            <w:vAlign w:val="center"/>
          </w:tcPr>
          <w:p w14:paraId="32F1242C" w14:textId="77777777" w:rsidR="004C6421" w:rsidRDefault="004C6421">
            <w:pPr>
              <w:rPr>
                <w:noProof/>
              </w:rPr>
            </w:pPr>
          </w:p>
        </w:tc>
      </w:tr>
      <w:tr w:rsidR="004C6421" w14:paraId="7172FA18" w14:textId="77777777">
        <w:trPr>
          <w:trHeight w:val="300"/>
        </w:trPr>
        <w:tc>
          <w:tcPr>
            <w:tcW w:w="1275"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5C68E84" w14:textId="77777777" w:rsidR="004C6421" w:rsidRDefault="009D1962">
            <w:pPr>
              <w:pStyle w:val="P68B1DB1-Normal8"/>
              <w:jc w:val="center"/>
              <w:rPr>
                <w:noProof/>
              </w:rPr>
            </w:pPr>
            <w:r>
              <w:rPr>
                <w:noProof/>
              </w:rPr>
              <w:t>M1C1-146</w:t>
            </w:r>
          </w:p>
        </w:tc>
        <w:tc>
          <w:tcPr>
            <w:tcW w:w="3555"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D5635B2" w14:textId="77777777" w:rsidR="004C6421" w:rsidRDefault="009D1962">
            <w:pPr>
              <w:pStyle w:val="P68B1DB1-Normal8"/>
              <w:rPr>
                <w:noProof/>
              </w:rPr>
            </w:pPr>
            <w:r>
              <w:rPr>
                <w:noProof/>
              </w:rPr>
              <w:t>Inwestycja 1.4.4 – Wzmocnienie krajowych platform tożsamości cyfrowej (SPID, CIE) i rejestru krajowego (ANPR)</w:t>
            </w:r>
          </w:p>
        </w:tc>
        <w:tc>
          <w:tcPr>
            <w:tcW w:w="1170"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F56BC0B" w14:textId="77777777" w:rsidR="004C6421" w:rsidRDefault="009D1962">
            <w:pPr>
              <w:pStyle w:val="P68B1DB1-Normal8"/>
              <w:jc w:val="center"/>
              <w:rPr>
                <w:noProof/>
              </w:rPr>
            </w:pPr>
            <w:r>
              <w:rPr>
                <w:noProof/>
              </w:rPr>
              <w:t>Cel</w:t>
            </w:r>
          </w:p>
        </w:tc>
        <w:tc>
          <w:tcPr>
            <w:tcW w:w="3358" w:type="dxa"/>
            <w:tcBorders>
              <w:top w:val="single" w:sz="4"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D78A553" w14:textId="77777777" w:rsidR="004C6421" w:rsidRDefault="009D1962">
            <w:pPr>
              <w:pStyle w:val="P68B1DB1-Normal8"/>
              <w:rPr>
                <w:noProof/>
              </w:rPr>
            </w:pPr>
            <w:r>
              <w:rPr>
                <w:noProof/>
              </w:rPr>
              <w:t>Krajowe platformy tożsamości cyfrowej (SPID, CIE) i rejestr krajowy (ANPR)</w:t>
            </w:r>
          </w:p>
        </w:tc>
        <w:tc>
          <w:tcPr>
            <w:tcW w:w="2" w:type="dxa"/>
            <w:tcBorders>
              <w:top w:val="nil"/>
              <w:left w:val="single" w:sz="8" w:space="0" w:color="auto"/>
              <w:bottom w:val="nil"/>
              <w:right w:val="nil"/>
            </w:tcBorders>
            <w:vAlign w:val="center"/>
          </w:tcPr>
          <w:p w14:paraId="686B24E3" w14:textId="77777777" w:rsidR="004C6421" w:rsidRDefault="004C6421">
            <w:pPr>
              <w:rPr>
                <w:noProof/>
              </w:rPr>
            </w:pPr>
          </w:p>
        </w:tc>
      </w:tr>
      <w:tr w:rsidR="004C6421" w14:paraId="3D21D0AA"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2F15E8E" w14:textId="77777777" w:rsidR="004C6421" w:rsidRDefault="009D1962">
            <w:pPr>
              <w:pStyle w:val="P68B1DB1-Normal8"/>
              <w:jc w:val="center"/>
              <w:rPr>
                <w:noProof/>
              </w:rPr>
            </w:pPr>
            <w:r>
              <w:rPr>
                <w:noProof/>
              </w:rPr>
              <w:t>M2C3-6</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0C566E5" w14:textId="77777777" w:rsidR="004C6421" w:rsidRDefault="009D1962">
            <w:pPr>
              <w:pStyle w:val="P68B1DB1-Normal8"/>
              <w:rPr>
                <w:noProof/>
              </w:rPr>
            </w:pPr>
            <w:r>
              <w:rPr>
                <w:noProof/>
              </w:rPr>
              <w:t>Inwestycje 1.1: Budowa nowych szkół poprzez wymianę budynków</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0093BF5"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D4DD489" w14:textId="6B6EC687" w:rsidR="004C6421" w:rsidRDefault="009D1962">
            <w:pPr>
              <w:rPr>
                <w:noProof/>
              </w:rPr>
            </w:pPr>
            <w:r>
              <w:rPr>
                <w:noProof/>
                <w:color w:val="006100"/>
                <w:sz w:val="20"/>
              </w:rPr>
              <w:t>W drodze wymiany budynków budowane są co najmniej 400000 m² nowych szkół.</w:t>
            </w:r>
          </w:p>
        </w:tc>
        <w:tc>
          <w:tcPr>
            <w:tcW w:w="2" w:type="dxa"/>
            <w:tcBorders>
              <w:top w:val="nil"/>
              <w:left w:val="single" w:sz="8" w:space="0" w:color="auto"/>
              <w:bottom w:val="nil"/>
              <w:right w:val="nil"/>
            </w:tcBorders>
            <w:vAlign w:val="center"/>
          </w:tcPr>
          <w:p w14:paraId="3DDF5DE4" w14:textId="77777777" w:rsidR="004C6421" w:rsidRDefault="004C6421">
            <w:pPr>
              <w:rPr>
                <w:noProof/>
              </w:rPr>
            </w:pPr>
          </w:p>
        </w:tc>
      </w:tr>
      <w:tr w:rsidR="004C6421" w14:paraId="7452F3FE"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54EE59E" w14:textId="77777777" w:rsidR="004C6421" w:rsidRDefault="009D1962">
            <w:pPr>
              <w:pStyle w:val="P68B1DB1-Normal8"/>
              <w:jc w:val="center"/>
              <w:rPr>
                <w:noProof/>
              </w:rPr>
            </w:pPr>
            <w:r>
              <w:rPr>
                <w:noProof/>
              </w:rPr>
              <w:t>M2C3-8</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ECBD2C3" w14:textId="77777777" w:rsidR="004C6421" w:rsidRDefault="009D1962">
            <w:pPr>
              <w:pStyle w:val="P68B1DB1-Normal8"/>
              <w:rPr>
                <w:noProof/>
              </w:rPr>
            </w:pPr>
            <w:r>
              <w:rPr>
                <w:noProof/>
              </w:rPr>
              <w:t>Inwestycje 1.2 – Budowa budynków, przekwalifikowanie i wzmocnienie nieruchomości administracji wymiaru sprawiedliwości</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C61600C"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EAEAB10" w14:textId="77777777" w:rsidR="004C6421" w:rsidRDefault="009D1962">
            <w:pPr>
              <w:pStyle w:val="P68B1DB1-Normal8"/>
              <w:rPr>
                <w:noProof/>
              </w:rPr>
            </w:pPr>
            <w:r>
              <w:rPr>
                <w:noProof/>
              </w:rPr>
              <w:t>Budowa budynków, przekwalifikowanie i wzmocnienie majątku nieruchomego organów wymiaru sprawiedliwości</w:t>
            </w:r>
          </w:p>
        </w:tc>
        <w:tc>
          <w:tcPr>
            <w:tcW w:w="2" w:type="dxa"/>
            <w:tcBorders>
              <w:top w:val="nil"/>
              <w:left w:val="single" w:sz="8" w:space="0" w:color="auto"/>
              <w:bottom w:val="nil"/>
              <w:right w:val="nil"/>
            </w:tcBorders>
            <w:vAlign w:val="center"/>
          </w:tcPr>
          <w:p w14:paraId="4DE564A5" w14:textId="77777777" w:rsidR="004C6421" w:rsidRDefault="004C6421">
            <w:pPr>
              <w:rPr>
                <w:noProof/>
              </w:rPr>
            </w:pPr>
          </w:p>
        </w:tc>
      </w:tr>
      <w:tr w:rsidR="004C6421" w14:paraId="13FD5B53"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D674040" w14:textId="77777777" w:rsidR="004C6421" w:rsidRDefault="009D1962">
            <w:pPr>
              <w:pStyle w:val="P68B1DB1-Normal8"/>
              <w:jc w:val="center"/>
              <w:rPr>
                <w:noProof/>
              </w:rPr>
            </w:pPr>
            <w:r>
              <w:rPr>
                <w:noProof/>
              </w:rPr>
              <w:t>M2C3-10</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D189D28" w14:textId="77777777" w:rsidR="004C6421" w:rsidRDefault="009D1962">
            <w:pPr>
              <w:pStyle w:val="P68B1DB1-Normal8"/>
              <w:rPr>
                <w:noProof/>
              </w:rPr>
            </w:pPr>
            <w:r>
              <w:rPr>
                <w:noProof/>
              </w:rPr>
              <w:t>Inwestycja 3.1: Promowanie efektywnego systemu ciepłowniczego</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451F36D"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6F48C04" w14:textId="77777777" w:rsidR="004C6421" w:rsidRDefault="009D1962">
            <w:pPr>
              <w:pStyle w:val="P68B1DB1-Normal8"/>
              <w:rPr>
                <w:noProof/>
              </w:rPr>
            </w:pPr>
            <w:r>
              <w:rPr>
                <w:noProof/>
              </w:rPr>
              <w:t xml:space="preserve">Budowa lub rozbudowa sieci ciepłowniczych w celu zmniejszenia zużycia energii </w:t>
            </w:r>
          </w:p>
        </w:tc>
        <w:tc>
          <w:tcPr>
            <w:tcW w:w="2" w:type="dxa"/>
            <w:tcBorders>
              <w:top w:val="nil"/>
              <w:left w:val="single" w:sz="8" w:space="0" w:color="auto"/>
              <w:bottom w:val="nil"/>
              <w:right w:val="nil"/>
            </w:tcBorders>
            <w:vAlign w:val="center"/>
          </w:tcPr>
          <w:p w14:paraId="5EAC531D" w14:textId="77777777" w:rsidR="004C6421" w:rsidRDefault="004C6421">
            <w:pPr>
              <w:rPr>
                <w:noProof/>
              </w:rPr>
            </w:pPr>
          </w:p>
        </w:tc>
      </w:tr>
      <w:tr w:rsidR="004C6421" w14:paraId="6A7696D6"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9A5462E" w14:textId="77777777" w:rsidR="004C6421" w:rsidRDefault="009D1962">
            <w:pPr>
              <w:pStyle w:val="P68B1DB1-Normal8"/>
              <w:jc w:val="center"/>
              <w:rPr>
                <w:noProof/>
              </w:rPr>
            </w:pPr>
            <w:r>
              <w:rPr>
                <w:noProof/>
              </w:rPr>
              <w:t>M2C4-23</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4825A68" w14:textId="77777777" w:rsidR="004C6421" w:rsidRDefault="009D1962">
            <w:pPr>
              <w:pStyle w:val="P68B1DB1-Normal8"/>
              <w:rPr>
                <w:noProof/>
              </w:rPr>
            </w:pPr>
            <w:r>
              <w:rPr>
                <w:noProof/>
              </w:rPr>
              <w:t>Inwestycja 3.3 Renaturyzacja obszaru Po</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7D31FD3"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978A589" w14:textId="77777777" w:rsidR="004C6421" w:rsidRDefault="009D1962">
            <w:pPr>
              <w:pStyle w:val="P68B1DB1-Normal8"/>
              <w:rPr>
                <w:noProof/>
              </w:rPr>
            </w:pPr>
            <w:r>
              <w:rPr>
                <w:noProof/>
              </w:rPr>
              <w:t>Ograniczenie sztucznej inteligencji koryta rzeki w celu renaturyfikacji obszaru Po T2</w:t>
            </w:r>
          </w:p>
        </w:tc>
        <w:tc>
          <w:tcPr>
            <w:tcW w:w="2" w:type="dxa"/>
            <w:tcBorders>
              <w:top w:val="nil"/>
              <w:left w:val="single" w:sz="8" w:space="0" w:color="auto"/>
              <w:bottom w:val="nil"/>
              <w:right w:val="nil"/>
            </w:tcBorders>
            <w:vAlign w:val="center"/>
          </w:tcPr>
          <w:p w14:paraId="54736856" w14:textId="77777777" w:rsidR="004C6421" w:rsidRDefault="004C6421">
            <w:pPr>
              <w:rPr>
                <w:noProof/>
              </w:rPr>
            </w:pPr>
          </w:p>
        </w:tc>
      </w:tr>
      <w:tr w:rsidR="004C6421" w14:paraId="2FA5FBE8"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28589A6" w14:textId="77777777" w:rsidR="004C6421" w:rsidRDefault="009D1962">
            <w:pPr>
              <w:pStyle w:val="P68B1DB1-Normal8"/>
              <w:jc w:val="center"/>
              <w:rPr>
                <w:noProof/>
              </w:rPr>
            </w:pPr>
            <w:r>
              <w:rPr>
                <w:noProof/>
              </w:rPr>
              <w:t>M2C4-25</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7FE9373" w14:textId="77777777" w:rsidR="004C6421" w:rsidRDefault="009D1962">
            <w:pPr>
              <w:pStyle w:val="P68B1DB1-Normal8"/>
              <w:rPr>
                <w:noProof/>
              </w:rPr>
            </w:pPr>
            <w:r>
              <w:rPr>
                <w:noProof/>
              </w:rPr>
              <w:t>Inwestycja 3.4. Rekultywacja „gruntów osieroconych”</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C6B7D11"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2A9CA4C" w14:textId="77777777" w:rsidR="004C6421" w:rsidRDefault="009D1962">
            <w:pPr>
              <w:pStyle w:val="P68B1DB1-Normal8"/>
              <w:rPr>
                <w:noProof/>
              </w:rPr>
            </w:pPr>
            <w:r>
              <w:rPr>
                <w:noProof/>
              </w:rPr>
              <w:t xml:space="preserve">Rewitalizacja terenów sierocych </w:t>
            </w:r>
          </w:p>
        </w:tc>
        <w:tc>
          <w:tcPr>
            <w:tcW w:w="2" w:type="dxa"/>
            <w:tcBorders>
              <w:top w:val="nil"/>
              <w:left w:val="single" w:sz="8" w:space="0" w:color="auto"/>
              <w:bottom w:val="nil"/>
              <w:right w:val="nil"/>
            </w:tcBorders>
            <w:vAlign w:val="center"/>
          </w:tcPr>
          <w:p w14:paraId="46C28646" w14:textId="77777777" w:rsidR="004C6421" w:rsidRDefault="004C6421">
            <w:pPr>
              <w:rPr>
                <w:noProof/>
              </w:rPr>
            </w:pPr>
          </w:p>
        </w:tc>
      </w:tr>
      <w:tr w:rsidR="004C6421" w14:paraId="29AB04F5"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DBDC0E9" w14:textId="77777777" w:rsidR="004C6421" w:rsidRDefault="009D1962">
            <w:pPr>
              <w:pStyle w:val="P68B1DB1-Normal8"/>
              <w:jc w:val="center"/>
              <w:rPr>
                <w:noProof/>
              </w:rPr>
            </w:pPr>
            <w:r>
              <w:rPr>
                <w:noProof/>
              </w:rPr>
              <w:t>M2C4-29</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39E6504" w14:textId="77777777" w:rsidR="004C6421" w:rsidRDefault="009D1962">
            <w:pPr>
              <w:pStyle w:val="P68B1DB1-Normal8"/>
              <w:rPr>
                <w:noProof/>
              </w:rPr>
            </w:pPr>
            <w:r>
              <w:rPr>
                <w:noProof/>
              </w:rPr>
              <w:t>Inwestycja 4.1. Inwestycje w infrastrukturę wodociągową podstawową w celu zapewnienia bezpieczeństwa dostaw wody</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E961109"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E186427" w14:textId="77777777" w:rsidR="004C6421" w:rsidRDefault="009D1962">
            <w:pPr>
              <w:pStyle w:val="P68B1DB1-Normal8"/>
              <w:rPr>
                <w:noProof/>
              </w:rPr>
            </w:pPr>
            <w:r>
              <w:rPr>
                <w:noProof/>
              </w:rPr>
              <w:t xml:space="preserve">Inwestycje w infrastrukturę wodociągową podstawową w celu zapewnienia bezpieczeństwa dostaw wody </w:t>
            </w:r>
          </w:p>
        </w:tc>
        <w:tc>
          <w:tcPr>
            <w:tcW w:w="2" w:type="dxa"/>
            <w:tcBorders>
              <w:top w:val="nil"/>
              <w:left w:val="single" w:sz="8" w:space="0" w:color="auto"/>
              <w:bottom w:val="nil"/>
              <w:right w:val="nil"/>
            </w:tcBorders>
            <w:vAlign w:val="center"/>
          </w:tcPr>
          <w:p w14:paraId="18C71CDD" w14:textId="77777777" w:rsidR="004C6421" w:rsidRDefault="004C6421">
            <w:pPr>
              <w:rPr>
                <w:noProof/>
              </w:rPr>
            </w:pPr>
          </w:p>
        </w:tc>
      </w:tr>
      <w:tr w:rsidR="004C6421" w14:paraId="0DCB4F1F"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0E9E719" w14:textId="77777777" w:rsidR="004C6421" w:rsidRDefault="009D1962">
            <w:pPr>
              <w:pStyle w:val="P68B1DB1-Normal8"/>
              <w:jc w:val="center"/>
              <w:rPr>
                <w:noProof/>
              </w:rPr>
            </w:pPr>
            <w:r>
              <w:rPr>
                <w:noProof/>
              </w:rPr>
              <w:t>M2C4-32</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853777C" w14:textId="77777777" w:rsidR="004C6421" w:rsidRDefault="009D1962">
            <w:pPr>
              <w:pStyle w:val="P68B1DB1-Normal8"/>
              <w:rPr>
                <w:noProof/>
              </w:rPr>
            </w:pPr>
            <w:r>
              <w:rPr>
                <w:noProof/>
              </w:rPr>
              <w:t>Inwestycje 4.2. Ograniczenie strat w sieciach wodociągowych, w tym cyfryzacja i monitorowanie sieci</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51B9BE0"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F37B352" w14:textId="77777777" w:rsidR="004C6421" w:rsidRDefault="009D1962">
            <w:pPr>
              <w:pStyle w:val="P68B1DB1-Normal8"/>
              <w:rPr>
                <w:noProof/>
              </w:rPr>
            </w:pPr>
            <w:r>
              <w:rPr>
                <w:noProof/>
              </w:rPr>
              <w:t>Interwencje w sieci dystrybucji wody, w tym cyfryzacja i monitorowanie sieci T2</w:t>
            </w:r>
          </w:p>
        </w:tc>
        <w:tc>
          <w:tcPr>
            <w:tcW w:w="2" w:type="dxa"/>
            <w:tcBorders>
              <w:top w:val="nil"/>
              <w:left w:val="single" w:sz="8" w:space="0" w:color="auto"/>
              <w:bottom w:val="nil"/>
              <w:right w:val="nil"/>
            </w:tcBorders>
            <w:vAlign w:val="center"/>
          </w:tcPr>
          <w:p w14:paraId="26E72D8D" w14:textId="77777777" w:rsidR="004C6421" w:rsidRDefault="004C6421">
            <w:pPr>
              <w:rPr>
                <w:noProof/>
              </w:rPr>
            </w:pPr>
          </w:p>
        </w:tc>
      </w:tr>
      <w:tr w:rsidR="004C6421" w14:paraId="69F1B39D"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BA70405" w14:textId="77777777" w:rsidR="004C6421" w:rsidRDefault="009D1962">
            <w:pPr>
              <w:pStyle w:val="P68B1DB1-Normal8"/>
              <w:jc w:val="center"/>
              <w:rPr>
                <w:noProof/>
              </w:rPr>
            </w:pPr>
            <w:r>
              <w:rPr>
                <w:noProof/>
              </w:rPr>
              <w:t>M2C4-35bis</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15210A7" w14:textId="77777777" w:rsidR="004C6421" w:rsidRDefault="009D1962">
            <w:pPr>
              <w:pStyle w:val="P68B1DB1-Normal8"/>
              <w:rPr>
                <w:noProof/>
              </w:rPr>
            </w:pPr>
            <w:r>
              <w:rPr>
                <w:noProof/>
              </w:rPr>
              <w:t>Inwestycje 4.3 Inwestycje w odporność agrosystemu nawadniania w celu lepszego gospodarowania zasobami wodnymi</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455B288"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6AED969" w14:textId="77777777" w:rsidR="004C6421" w:rsidRDefault="009D1962">
            <w:pPr>
              <w:pStyle w:val="P68B1DB1-Normal8"/>
              <w:rPr>
                <w:noProof/>
              </w:rPr>
            </w:pPr>
            <w:r>
              <w:rPr>
                <w:noProof/>
              </w:rPr>
              <w:t>Interwencje na rzecz odporności agrosystemu nawadniania w celu lepszego gospodarowania zasobami wodnymi T2</w:t>
            </w:r>
          </w:p>
        </w:tc>
        <w:tc>
          <w:tcPr>
            <w:tcW w:w="2" w:type="dxa"/>
            <w:tcBorders>
              <w:top w:val="nil"/>
              <w:left w:val="single" w:sz="8" w:space="0" w:color="auto"/>
              <w:bottom w:val="nil"/>
              <w:right w:val="nil"/>
            </w:tcBorders>
            <w:vAlign w:val="center"/>
          </w:tcPr>
          <w:p w14:paraId="7CD747FD" w14:textId="77777777" w:rsidR="004C6421" w:rsidRDefault="004C6421">
            <w:pPr>
              <w:rPr>
                <w:noProof/>
              </w:rPr>
            </w:pPr>
          </w:p>
        </w:tc>
      </w:tr>
      <w:tr w:rsidR="004C6421" w14:paraId="4D06284D"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8846DDE" w14:textId="77777777" w:rsidR="004C6421" w:rsidRDefault="009D1962">
            <w:pPr>
              <w:pStyle w:val="P68B1DB1-Normal8"/>
              <w:jc w:val="center"/>
              <w:rPr>
                <w:noProof/>
              </w:rPr>
            </w:pPr>
            <w:r>
              <w:rPr>
                <w:noProof/>
              </w:rPr>
              <w:t>M2C4-38</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B77C3B4" w14:textId="77777777" w:rsidR="004C6421" w:rsidRDefault="009D1962">
            <w:pPr>
              <w:pStyle w:val="P68B1DB1-Normal8"/>
              <w:rPr>
                <w:noProof/>
              </w:rPr>
            </w:pPr>
            <w:r>
              <w:rPr>
                <w:noProof/>
              </w:rPr>
              <w:t>Inwestycja 4.4 Inwestycje w kanalizację i oczyszczanie</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C9B9328"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76912F0" w14:textId="77777777" w:rsidR="004C6421" w:rsidRDefault="009D1962">
            <w:pPr>
              <w:pStyle w:val="P68B1DB1-Normal8"/>
              <w:rPr>
                <w:noProof/>
              </w:rPr>
            </w:pPr>
            <w:r>
              <w:rPr>
                <w:noProof/>
              </w:rPr>
              <w:t>Interwencje w zakresie kanalizacji i oczyszczania T2</w:t>
            </w:r>
          </w:p>
        </w:tc>
        <w:tc>
          <w:tcPr>
            <w:tcW w:w="2" w:type="dxa"/>
            <w:tcBorders>
              <w:top w:val="nil"/>
              <w:left w:val="single" w:sz="8" w:space="0" w:color="auto"/>
              <w:bottom w:val="nil"/>
              <w:right w:val="nil"/>
            </w:tcBorders>
            <w:vAlign w:val="center"/>
          </w:tcPr>
          <w:p w14:paraId="25085DE0" w14:textId="77777777" w:rsidR="004C6421" w:rsidRDefault="004C6421">
            <w:pPr>
              <w:rPr>
                <w:noProof/>
              </w:rPr>
            </w:pPr>
          </w:p>
        </w:tc>
      </w:tr>
      <w:tr w:rsidR="004C6421" w14:paraId="61A04DF4"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044E838" w14:textId="77777777" w:rsidR="004C6421" w:rsidRDefault="009D1962">
            <w:pPr>
              <w:pStyle w:val="P68B1DB1-Normal8"/>
              <w:jc w:val="center"/>
              <w:rPr>
                <w:noProof/>
              </w:rPr>
            </w:pPr>
            <w:r>
              <w:rPr>
                <w:noProof/>
              </w:rPr>
              <w:t>M5C2-20</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E8D6271" w14:textId="77777777" w:rsidR="004C6421" w:rsidRDefault="009D1962">
            <w:pPr>
              <w:pStyle w:val="P68B1DB1-Normal8"/>
              <w:rPr>
                <w:noProof/>
              </w:rPr>
            </w:pPr>
            <w:r>
              <w:rPr>
                <w:noProof/>
              </w:rPr>
              <w:t>Inwestycje 6 – Program innowacji na rzecz jakości mieszkalnictwa</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1066870"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DE15B64" w14:textId="77777777" w:rsidR="004C6421" w:rsidRDefault="009D1962">
            <w:pPr>
              <w:pStyle w:val="P68B1DB1-Normal8"/>
              <w:rPr>
                <w:noProof/>
              </w:rPr>
            </w:pPr>
            <w:r>
              <w:rPr>
                <w:noProof/>
              </w:rPr>
              <w:t>Liczba wspartych lokali mieszkalnych (zarówno pod względem budowy, jak i rekultywacji) i metrów kwadratowych przestrzeni publicznych objętych wsparciem</w:t>
            </w:r>
          </w:p>
        </w:tc>
        <w:tc>
          <w:tcPr>
            <w:tcW w:w="2" w:type="dxa"/>
            <w:tcBorders>
              <w:top w:val="nil"/>
              <w:left w:val="single" w:sz="8" w:space="0" w:color="auto"/>
              <w:bottom w:val="nil"/>
              <w:right w:val="nil"/>
            </w:tcBorders>
            <w:vAlign w:val="center"/>
          </w:tcPr>
          <w:p w14:paraId="397BE8D7" w14:textId="77777777" w:rsidR="004C6421" w:rsidRDefault="004C6421">
            <w:pPr>
              <w:rPr>
                <w:noProof/>
              </w:rPr>
            </w:pPr>
          </w:p>
        </w:tc>
      </w:tr>
      <w:tr w:rsidR="004C6421" w14:paraId="2355380A"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DDB7F47" w14:textId="77777777" w:rsidR="004C6421" w:rsidRDefault="009D1962">
            <w:pPr>
              <w:pStyle w:val="P68B1DB1-Normal8"/>
              <w:jc w:val="center"/>
              <w:rPr>
                <w:noProof/>
              </w:rPr>
            </w:pPr>
            <w:r>
              <w:rPr>
                <w:noProof/>
              </w:rPr>
              <w:t>M1C1-147</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8AEA760" w14:textId="77777777" w:rsidR="004C6421" w:rsidRDefault="009D1962">
            <w:pPr>
              <w:pStyle w:val="P68B1DB1-Normal8"/>
              <w:rPr>
                <w:noProof/>
              </w:rPr>
            </w:pPr>
            <w:r>
              <w:rPr>
                <w:noProof/>
              </w:rPr>
              <w:t>Inwestycje 1.2 – Umożliwienie chmury dla lokalnych AP</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F57ECE2"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B27803B" w14:textId="77777777" w:rsidR="004C6421" w:rsidRDefault="009D1962">
            <w:pPr>
              <w:pStyle w:val="P68B1DB1-Normal8"/>
              <w:rPr>
                <w:noProof/>
              </w:rPr>
            </w:pPr>
            <w:r>
              <w:rPr>
                <w:noProof/>
              </w:rPr>
              <w:t>Umożliwienie korzystania z chmury dla lokalnej administracji publicznej T2</w:t>
            </w:r>
          </w:p>
        </w:tc>
        <w:tc>
          <w:tcPr>
            <w:tcW w:w="2" w:type="dxa"/>
            <w:tcBorders>
              <w:top w:val="nil"/>
              <w:left w:val="single" w:sz="8" w:space="0" w:color="auto"/>
              <w:bottom w:val="nil"/>
              <w:right w:val="nil"/>
            </w:tcBorders>
            <w:vAlign w:val="center"/>
          </w:tcPr>
          <w:p w14:paraId="556F2116" w14:textId="77777777" w:rsidR="004C6421" w:rsidRDefault="004C6421">
            <w:pPr>
              <w:rPr>
                <w:noProof/>
              </w:rPr>
            </w:pPr>
          </w:p>
        </w:tc>
      </w:tr>
      <w:tr w:rsidR="004C6421" w14:paraId="1E5054A7"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7539274" w14:textId="77777777" w:rsidR="004C6421" w:rsidRDefault="009D1962">
            <w:pPr>
              <w:pStyle w:val="P68B1DB1-Normal8"/>
              <w:jc w:val="center"/>
              <w:rPr>
                <w:noProof/>
              </w:rPr>
            </w:pPr>
            <w:r>
              <w:rPr>
                <w:noProof/>
              </w:rPr>
              <w:t>M1C1-148</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C26362B" w14:textId="77777777" w:rsidR="004C6421" w:rsidRDefault="009D1962">
            <w:pPr>
              <w:pStyle w:val="P68B1DB1-Normal8"/>
              <w:rPr>
                <w:noProof/>
              </w:rPr>
            </w:pPr>
            <w:r>
              <w:rPr>
                <w:noProof/>
              </w:rPr>
              <w:t>Inwestycje 1.4.1 – Doświadczenia obywatelskie – Poprawa jakości i użyteczności cyfrowych usług publicznych</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0F8FB24"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AC78718" w14:textId="77777777" w:rsidR="004C6421" w:rsidRDefault="009D1962">
            <w:pPr>
              <w:pStyle w:val="P68B1DB1-Normal8"/>
              <w:rPr>
                <w:noProof/>
              </w:rPr>
            </w:pPr>
            <w:r>
              <w:rPr>
                <w:noProof/>
              </w:rPr>
              <w:t>Poprawa jakości i użyteczności cyfrowych usług publicznych T2</w:t>
            </w:r>
          </w:p>
        </w:tc>
        <w:tc>
          <w:tcPr>
            <w:tcW w:w="2" w:type="dxa"/>
            <w:tcBorders>
              <w:top w:val="nil"/>
              <w:left w:val="single" w:sz="8" w:space="0" w:color="auto"/>
              <w:bottom w:val="nil"/>
              <w:right w:val="nil"/>
            </w:tcBorders>
            <w:vAlign w:val="center"/>
          </w:tcPr>
          <w:p w14:paraId="63967696" w14:textId="77777777" w:rsidR="004C6421" w:rsidRDefault="004C6421">
            <w:pPr>
              <w:rPr>
                <w:noProof/>
              </w:rPr>
            </w:pPr>
          </w:p>
        </w:tc>
      </w:tr>
      <w:tr w:rsidR="004C6421" w14:paraId="5FD8A93B"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ACC3D53" w14:textId="77777777" w:rsidR="004C6421" w:rsidRDefault="009D1962">
            <w:pPr>
              <w:pStyle w:val="P68B1DB1-Normal8"/>
              <w:jc w:val="center"/>
              <w:rPr>
                <w:noProof/>
              </w:rPr>
            </w:pPr>
            <w:r>
              <w:rPr>
                <w:noProof/>
              </w:rPr>
              <w:t>M1C1-149</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8594489" w14:textId="77777777" w:rsidR="004C6421" w:rsidRDefault="009D1962">
            <w:pPr>
              <w:pStyle w:val="P68B1DB1-Normal8"/>
              <w:rPr>
                <w:noProof/>
              </w:rPr>
            </w:pPr>
            <w:r>
              <w:rPr>
                <w:noProof/>
              </w:rPr>
              <w:t>Inwestycja 1.4.3 – Wzmocnienie usług platformy PagoPA i aplikacji „IO”</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3A71C20"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CEEE817" w14:textId="77777777" w:rsidR="004C6421" w:rsidRDefault="009D1962">
            <w:pPr>
              <w:pStyle w:val="P68B1DB1-Normal8"/>
              <w:rPr>
                <w:noProof/>
              </w:rPr>
            </w:pPr>
            <w:r>
              <w:rPr>
                <w:noProof/>
              </w:rPr>
              <w:t>Zwiększenie skali przyjęcia usług platformowych PagoPA T2</w:t>
            </w:r>
          </w:p>
        </w:tc>
        <w:tc>
          <w:tcPr>
            <w:tcW w:w="2" w:type="dxa"/>
            <w:tcBorders>
              <w:top w:val="nil"/>
              <w:left w:val="single" w:sz="8" w:space="0" w:color="auto"/>
              <w:bottom w:val="nil"/>
              <w:right w:val="nil"/>
            </w:tcBorders>
            <w:vAlign w:val="center"/>
          </w:tcPr>
          <w:p w14:paraId="244AACEC" w14:textId="77777777" w:rsidR="004C6421" w:rsidRDefault="004C6421">
            <w:pPr>
              <w:rPr>
                <w:noProof/>
              </w:rPr>
            </w:pPr>
          </w:p>
        </w:tc>
      </w:tr>
      <w:tr w:rsidR="004C6421" w14:paraId="0CA04013"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5E131ED" w14:textId="77777777" w:rsidR="004C6421" w:rsidRDefault="009D1962">
            <w:pPr>
              <w:pStyle w:val="P68B1DB1-Normal8"/>
              <w:jc w:val="center"/>
              <w:rPr>
                <w:noProof/>
              </w:rPr>
            </w:pPr>
            <w:r>
              <w:rPr>
                <w:noProof/>
              </w:rPr>
              <w:t>M1C1-150</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B44FD61" w14:textId="77777777" w:rsidR="004C6421" w:rsidRDefault="009D1962">
            <w:pPr>
              <w:pStyle w:val="P68B1DB1-Normal8"/>
              <w:rPr>
                <w:noProof/>
              </w:rPr>
            </w:pPr>
            <w:r>
              <w:rPr>
                <w:noProof/>
              </w:rPr>
              <w:t>Inwestycja 1.4.3 – Wzmocnienie usług platformy PagoPA i aplikacji „IO”</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0B9597E"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1AAF5F1" w14:textId="77777777" w:rsidR="004C6421" w:rsidRDefault="009D1962">
            <w:pPr>
              <w:pStyle w:val="P68B1DB1-Normal8"/>
              <w:rPr>
                <w:noProof/>
              </w:rPr>
            </w:pPr>
            <w:r>
              <w:rPr>
                <w:noProof/>
              </w:rPr>
              <w:t>Zwiększenie skali przyjęcia aplikacji T2 „IO”</w:t>
            </w:r>
          </w:p>
        </w:tc>
        <w:tc>
          <w:tcPr>
            <w:tcW w:w="2" w:type="dxa"/>
            <w:tcBorders>
              <w:top w:val="nil"/>
              <w:left w:val="single" w:sz="8" w:space="0" w:color="auto"/>
              <w:bottom w:val="nil"/>
              <w:right w:val="nil"/>
            </w:tcBorders>
            <w:vAlign w:val="center"/>
          </w:tcPr>
          <w:p w14:paraId="16A9D6C0" w14:textId="77777777" w:rsidR="004C6421" w:rsidRDefault="004C6421">
            <w:pPr>
              <w:rPr>
                <w:noProof/>
              </w:rPr>
            </w:pPr>
          </w:p>
        </w:tc>
      </w:tr>
      <w:tr w:rsidR="004C6421" w14:paraId="1244FBD2"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AC6C57B" w14:textId="77777777" w:rsidR="004C6421" w:rsidRDefault="009D1962">
            <w:pPr>
              <w:pStyle w:val="P68B1DB1-Normal8"/>
              <w:jc w:val="center"/>
              <w:rPr>
                <w:noProof/>
              </w:rPr>
            </w:pPr>
            <w:r>
              <w:rPr>
                <w:noProof/>
              </w:rPr>
              <w:t>M1C1-151</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69302CF" w14:textId="77777777" w:rsidR="004C6421" w:rsidRDefault="009D1962">
            <w:pPr>
              <w:pStyle w:val="P68B1DB1-Normal8"/>
              <w:rPr>
                <w:noProof/>
              </w:rPr>
            </w:pPr>
            <w:r>
              <w:rPr>
                <w:noProof/>
              </w:rPr>
              <w:t>Inwestycje 1.4.5 – Cyfryzacja ogłoszeń publicznych</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0DF943E"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C46EE95" w14:textId="77777777" w:rsidR="004C6421" w:rsidRDefault="009D1962">
            <w:pPr>
              <w:pStyle w:val="P68B1DB1-Normal8"/>
              <w:rPr>
                <w:noProof/>
              </w:rPr>
            </w:pPr>
            <w:r>
              <w:rPr>
                <w:noProof/>
              </w:rPr>
              <w:t>Zwiększenie skali przyjmowania cyfrowych ogłoszeń publicznych T2</w:t>
            </w:r>
          </w:p>
        </w:tc>
        <w:tc>
          <w:tcPr>
            <w:tcW w:w="2" w:type="dxa"/>
            <w:tcBorders>
              <w:top w:val="nil"/>
              <w:left w:val="single" w:sz="8" w:space="0" w:color="auto"/>
              <w:bottom w:val="nil"/>
              <w:right w:val="nil"/>
            </w:tcBorders>
            <w:vAlign w:val="center"/>
          </w:tcPr>
          <w:p w14:paraId="283B9EBA" w14:textId="77777777" w:rsidR="004C6421" w:rsidRDefault="004C6421">
            <w:pPr>
              <w:rPr>
                <w:noProof/>
              </w:rPr>
            </w:pPr>
          </w:p>
        </w:tc>
      </w:tr>
      <w:tr w:rsidR="004C6421" w14:paraId="42BD808A"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B7D6E3E" w14:textId="77777777" w:rsidR="004C6421" w:rsidRDefault="009D1962">
            <w:pPr>
              <w:pStyle w:val="P68B1DB1-Normal8"/>
              <w:jc w:val="center"/>
              <w:rPr>
                <w:noProof/>
              </w:rPr>
            </w:pPr>
            <w:r>
              <w:rPr>
                <w:noProof/>
              </w:rPr>
              <w:t>M1C1-152</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5FB4141" w14:textId="77777777" w:rsidR="004C6421" w:rsidRDefault="009D1962">
            <w:pPr>
              <w:pStyle w:val="P68B1DB1-Normal8"/>
              <w:rPr>
                <w:noProof/>
              </w:rPr>
            </w:pPr>
            <w:r>
              <w:rPr>
                <w:noProof/>
              </w:rPr>
              <w:t>Inwestycja 1.6.1 – Cyfryzacja Ministerstwa Spraw Wewnętrznych</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303107C"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79C55E5" w14:textId="77777777" w:rsidR="004C6421" w:rsidRDefault="009D1962">
            <w:pPr>
              <w:pStyle w:val="P68B1DB1-Normal8"/>
              <w:rPr>
                <w:noProof/>
              </w:rPr>
            </w:pPr>
            <w:r>
              <w:rPr>
                <w:noProof/>
              </w:rPr>
              <w:t>Ministerstwo Spraw Wewnętrznych – w pełni przeprojektowane i zdigitalizowane procesy T2</w:t>
            </w:r>
          </w:p>
        </w:tc>
        <w:tc>
          <w:tcPr>
            <w:tcW w:w="2" w:type="dxa"/>
            <w:tcBorders>
              <w:top w:val="nil"/>
              <w:left w:val="single" w:sz="8" w:space="0" w:color="auto"/>
              <w:bottom w:val="nil"/>
              <w:right w:val="nil"/>
            </w:tcBorders>
            <w:vAlign w:val="center"/>
          </w:tcPr>
          <w:p w14:paraId="1397D470" w14:textId="77777777" w:rsidR="004C6421" w:rsidRDefault="004C6421">
            <w:pPr>
              <w:rPr>
                <w:noProof/>
              </w:rPr>
            </w:pPr>
          </w:p>
        </w:tc>
      </w:tr>
      <w:tr w:rsidR="004C6421" w14:paraId="24490D87"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AF8FC48" w14:textId="77777777" w:rsidR="004C6421" w:rsidRDefault="009D1962">
            <w:pPr>
              <w:pStyle w:val="P68B1DB1-Normal8"/>
              <w:jc w:val="center"/>
              <w:rPr>
                <w:noProof/>
              </w:rPr>
            </w:pPr>
            <w:r>
              <w:rPr>
                <w:noProof/>
              </w:rPr>
              <w:t>M1C1-153</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CF3414E" w14:textId="77777777" w:rsidR="004C6421" w:rsidRDefault="009D1962">
            <w:pPr>
              <w:pStyle w:val="P68B1DB1-Normal8"/>
              <w:rPr>
                <w:noProof/>
              </w:rPr>
            </w:pPr>
            <w:r>
              <w:rPr>
                <w:noProof/>
              </w:rPr>
              <w:t>Inwestycje 1.6.2 – Cyfryzacja Ministerstwa Sprawiedliwości</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B1D1D95"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704CB94" w14:textId="77777777" w:rsidR="004C6421" w:rsidRDefault="009D1962">
            <w:pPr>
              <w:pStyle w:val="P68B1DB1-Normal8"/>
              <w:rPr>
                <w:noProof/>
              </w:rPr>
            </w:pPr>
            <w:r>
              <w:rPr>
                <w:noProof/>
              </w:rPr>
              <w:t>Cyfrowe akta sądowe T2</w:t>
            </w:r>
          </w:p>
        </w:tc>
        <w:tc>
          <w:tcPr>
            <w:tcW w:w="2" w:type="dxa"/>
            <w:tcBorders>
              <w:top w:val="nil"/>
              <w:left w:val="single" w:sz="8" w:space="0" w:color="auto"/>
              <w:bottom w:val="nil"/>
              <w:right w:val="nil"/>
            </w:tcBorders>
            <w:vAlign w:val="center"/>
          </w:tcPr>
          <w:p w14:paraId="5E029633" w14:textId="77777777" w:rsidR="004C6421" w:rsidRDefault="004C6421">
            <w:pPr>
              <w:rPr>
                <w:noProof/>
              </w:rPr>
            </w:pPr>
          </w:p>
        </w:tc>
      </w:tr>
      <w:tr w:rsidR="004C6421" w14:paraId="10AF3A8F"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198B635" w14:textId="77777777" w:rsidR="004C6421" w:rsidRDefault="009D1962">
            <w:pPr>
              <w:pStyle w:val="P68B1DB1-Normal8"/>
              <w:jc w:val="center"/>
              <w:rPr>
                <w:noProof/>
              </w:rPr>
            </w:pPr>
            <w:r>
              <w:rPr>
                <w:noProof/>
              </w:rPr>
              <w:t>M1C1-154</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A92D1A3" w14:textId="77777777" w:rsidR="004C6421" w:rsidRDefault="009D1962">
            <w:pPr>
              <w:pStyle w:val="P68B1DB1-Normal8"/>
              <w:rPr>
                <w:noProof/>
              </w:rPr>
            </w:pPr>
            <w:r>
              <w:rPr>
                <w:noProof/>
              </w:rPr>
              <w:t>Inwestycje 1.6.2 – Cyfryzacja Ministerstwa Sprawiedliwości</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D8157DE"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614D105" w14:textId="77777777" w:rsidR="004C6421" w:rsidRDefault="009D1962">
            <w:pPr>
              <w:pStyle w:val="P68B1DB1-Normal8"/>
              <w:rPr>
                <w:noProof/>
              </w:rPr>
            </w:pPr>
            <w:r>
              <w:rPr>
                <w:noProof/>
              </w:rPr>
              <w:t>Systemy wiedzy na temat jeziora danych dotyczących wymiaru sprawiedliwości T2</w:t>
            </w:r>
          </w:p>
        </w:tc>
        <w:tc>
          <w:tcPr>
            <w:tcW w:w="2" w:type="dxa"/>
            <w:tcBorders>
              <w:top w:val="nil"/>
              <w:left w:val="single" w:sz="8" w:space="0" w:color="auto"/>
              <w:bottom w:val="nil"/>
              <w:right w:val="nil"/>
            </w:tcBorders>
            <w:vAlign w:val="center"/>
          </w:tcPr>
          <w:p w14:paraId="37A3598D" w14:textId="77777777" w:rsidR="004C6421" w:rsidRDefault="004C6421">
            <w:pPr>
              <w:rPr>
                <w:noProof/>
              </w:rPr>
            </w:pPr>
          </w:p>
        </w:tc>
      </w:tr>
      <w:tr w:rsidR="004C6421" w14:paraId="1A0B6D7B"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D664C9A" w14:textId="77777777" w:rsidR="004C6421" w:rsidRDefault="009D1962">
            <w:pPr>
              <w:pStyle w:val="P68B1DB1-Normal8"/>
              <w:jc w:val="center"/>
              <w:rPr>
                <w:noProof/>
              </w:rPr>
            </w:pPr>
            <w:r>
              <w:rPr>
                <w:noProof/>
              </w:rPr>
              <w:t>M1C1-155</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89582D1" w14:textId="77777777" w:rsidR="004C6421" w:rsidRDefault="009D1962">
            <w:pPr>
              <w:pStyle w:val="P68B1DB1-Normal8"/>
              <w:rPr>
                <w:noProof/>
              </w:rPr>
            </w:pPr>
            <w:r>
              <w:rPr>
                <w:noProof/>
              </w:rPr>
              <w:t>Inwestycje 1.6.3 – Cyfryzacja Krajowego Instytutu Zabezpieczenia Społecznego (INPS) i Krajowego Instytutu Ubezpieczeń od Wypadków przy Pracy (INAIL)</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AC861B8"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459A8DB" w14:textId="77777777" w:rsidR="004C6421" w:rsidRDefault="009D1962">
            <w:pPr>
              <w:pStyle w:val="P68B1DB1-Normal8"/>
              <w:rPr>
                <w:noProof/>
              </w:rPr>
            </w:pPr>
            <w:r>
              <w:rPr>
                <w:noProof/>
              </w:rPr>
              <w:t>INAIL – w pełni przeprojektowane i zdigitalizowane procesy/usługi T2</w:t>
            </w:r>
          </w:p>
        </w:tc>
        <w:tc>
          <w:tcPr>
            <w:tcW w:w="2" w:type="dxa"/>
            <w:tcBorders>
              <w:top w:val="nil"/>
              <w:left w:val="single" w:sz="8" w:space="0" w:color="auto"/>
              <w:bottom w:val="nil"/>
              <w:right w:val="nil"/>
            </w:tcBorders>
            <w:vAlign w:val="center"/>
          </w:tcPr>
          <w:p w14:paraId="5EAFD1AB" w14:textId="77777777" w:rsidR="004C6421" w:rsidRDefault="004C6421">
            <w:pPr>
              <w:rPr>
                <w:noProof/>
              </w:rPr>
            </w:pPr>
          </w:p>
        </w:tc>
      </w:tr>
      <w:tr w:rsidR="004C6421" w14:paraId="547343B5"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373D1CA" w14:textId="77777777" w:rsidR="004C6421" w:rsidRDefault="009D1962">
            <w:pPr>
              <w:pStyle w:val="P68B1DB1-Normal8"/>
              <w:jc w:val="center"/>
              <w:rPr>
                <w:noProof/>
              </w:rPr>
            </w:pPr>
            <w:r>
              <w:rPr>
                <w:noProof/>
              </w:rPr>
              <w:t>M1C2-15</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D43FE82" w14:textId="77777777" w:rsidR="004C6421" w:rsidRDefault="009D1962">
            <w:pPr>
              <w:pStyle w:val="P68B1DB1-Normal8"/>
              <w:rPr>
                <w:noProof/>
              </w:rPr>
            </w:pPr>
            <w:r>
              <w:rPr>
                <w:noProof/>
              </w:rPr>
              <w:t>Inwestycja 2: Innowacje i technologia mikroelektroniki</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487B00C"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47988A3" w14:textId="77777777" w:rsidR="004C6421" w:rsidRDefault="009D1962">
            <w:pPr>
              <w:pStyle w:val="P68B1DB1-Normal8"/>
              <w:rPr>
                <w:noProof/>
              </w:rPr>
            </w:pPr>
            <w:r>
              <w:rPr>
                <w:noProof/>
              </w:rPr>
              <w:t>Moce produkcyjne substratów węglika krzemu</w:t>
            </w:r>
          </w:p>
        </w:tc>
        <w:tc>
          <w:tcPr>
            <w:tcW w:w="2" w:type="dxa"/>
            <w:tcBorders>
              <w:top w:val="nil"/>
              <w:left w:val="single" w:sz="8" w:space="0" w:color="auto"/>
              <w:bottom w:val="nil"/>
              <w:right w:val="nil"/>
            </w:tcBorders>
            <w:vAlign w:val="center"/>
          </w:tcPr>
          <w:p w14:paraId="657BAB9B" w14:textId="77777777" w:rsidR="004C6421" w:rsidRDefault="004C6421">
            <w:pPr>
              <w:rPr>
                <w:noProof/>
              </w:rPr>
            </w:pPr>
          </w:p>
        </w:tc>
      </w:tr>
      <w:tr w:rsidR="004C6421" w14:paraId="2049C918"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4F94DE5" w14:textId="77777777" w:rsidR="004C6421" w:rsidRDefault="009D1962">
            <w:pPr>
              <w:pStyle w:val="P68B1DB1-Normal8"/>
              <w:jc w:val="center"/>
              <w:rPr>
                <w:noProof/>
              </w:rPr>
            </w:pPr>
            <w:r>
              <w:rPr>
                <w:noProof/>
              </w:rPr>
              <w:t>M1C2-17</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B2E2D8C" w14:textId="77777777" w:rsidR="004C6421" w:rsidRDefault="009D1962">
            <w:pPr>
              <w:pStyle w:val="P68B1DB1-Normal8"/>
              <w:rPr>
                <w:noProof/>
              </w:rPr>
            </w:pPr>
            <w:r>
              <w:rPr>
                <w:noProof/>
              </w:rPr>
              <w:t>Inwestycja 3: Szybkie połączenia internetowe (sieci szerokopasmowe i 5G)</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5962827"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C8F4745" w14:textId="77777777" w:rsidR="004C6421" w:rsidRDefault="009D1962">
            <w:pPr>
              <w:pStyle w:val="P68B1DB1-Normal8"/>
              <w:rPr>
                <w:noProof/>
              </w:rPr>
            </w:pPr>
            <w:r>
              <w:rPr>
                <w:noProof/>
              </w:rPr>
              <w:t>Liczba domów z łącznością 1 Gb/s</w:t>
            </w:r>
          </w:p>
        </w:tc>
        <w:tc>
          <w:tcPr>
            <w:tcW w:w="2" w:type="dxa"/>
            <w:tcBorders>
              <w:top w:val="nil"/>
              <w:left w:val="single" w:sz="8" w:space="0" w:color="auto"/>
              <w:bottom w:val="nil"/>
              <w:right w:val="nil"/>
            </w:tcBorders>
            <w:vAlign w:val="center"/>
          </w:tcPr>
          <w:p w14:paraId="0FADF983" w14:textId="77777777" w:rsidR="004C6421" w:rsidRDefault="004C6421">
            <w:pPr>
              <w:rPr>
                <w:noProof/>
              </w:rPr>
            </w:pPr>
          </w:p>
        </w:tc>
      </w:tr>
      <w:tr w:rsidR="004C6421" w14:paraId="0DFCD1E7"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9B46187" w14:textId="77777777" w:rsidR="004C6421" w:rsidRDefault="009D1962">
            <w:pPr>
              <w:pStyle w:val="P68B1DB1-Normal8"/>
              <w:jc w:val="center"/>
              <w:rPr>
                <w:noProof/>
              </w:rPr>
            </w:pPr>
            <w:r>
              <w:rPr>
                <w:noProof/>
              </w:rPr>
              <w:t>M1C2-18</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80E60A5" w14:textId="77777777" w:rsidR="004C6421" w:rsidRDefault="009D1962">
            <w:pPr>
              <w:pStyle w:val="P68B1DB1-Normal8"/>
              <w:rPr>
                <w:noProof/>
              </w:rPr>
            </w:pPr>
            <w:r>
              <w:rPr>
                <w:noProof/>
              </w:rPr>
              <w:t>Inwestycja 3: Szybkie połączenia internetowe (sieci szerokopasmowe i 5G)</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A9E634C"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9542DC8" w14:textId="77777777" w:rsidR="004C6421" w:rsidRDefault="009D1962">
            <w:pPr>
              <w:pStyle w:val="P68B1DB1-Normal8"/>
              <w:rPr>
                <w:noProof/>
              </w:rPr>
            </w:pPr>
            <w:r>
              <w:rPr>
                <w:noProof/>
              </w:rPr>
              <w:t>Budynki szkół i placówki opieki zdrowotnej zapewniające łączność o przepustowości 1 Gb/s</w:t>
            </w:r>
          </w:p>
        </w:tc>
        <w:tc>
          <w:tcPr>
            <w:tcW w:w="2" w:type="dxa"/>
            <w:tcBorders>
              <w:top w:val="nil"/>
              <w:left w:val="single" w:sz="8" w:space="0" w:color="auto"/>
              <w:bottom w:val="nil"/>
              <w:right w:val="nil"/>
            </w:tcBorders>
            <w:vAlign w:val="center"/>
          </w:tcPr>
          <w:p w14:paraId="6D6D1CF5" w14:textId="77777777" w:rsidR="004C6421" w:rsidRDefault="004C6421">
            <w:pPr>
              <w:rPr>
                <w:noProof/>
              </w:rPr>
            </w:pPr>
          </w:p>
        </w:tc>
      </w:tr>
      <w:tr w:rsidR="004C6421" w14:paraId="38EFE4BE"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70D37CD" w14:textId="77777777" w:rsidR="004C6421" w:rsidRDefault="009D1962">
            <w:pPr>
              <w:pStyle w:val="P68B1DB1-Normal8"/>
              <w:jc w:val="center"/>
              <w:rPr>
                <w:noProof/>
              </w:rPr>
            </w:pPr>
            <w:r>
              <w:rPr>
                <w:noProof/>
              </w:rPr>
              <w:t>M1C2-20</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12285BF" w14:textId="77777777" w:rsidR="004C6421" w:rsidRDefault="009D1962">
            <w:pPr>
              <w:pStyle w:val="P68B1DB1-Normal8"/>
              <w:rPr>
                <w:noProof/>
              </w:rPr>
            </w:pPr>
            <w:r>
              <w:rPr>
                <w:noProof/>
              </w:rPr>
              <w:t>Inwestycja 3: Szybkie połączenia internetowe (sieci szerokopasmowe i 5G)</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471B4CB"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931C9BB" w14:textId="77777777" w:rsidR="004C6421" w:rsidRDefault="009D1962">
            <w:pPr>
              <w:pStyle w:val="P68B1DB1-Normal8"/>
              <w:rPr>
                <w:noProof/>
              </w:rPr>
            </w:pPr>
            <w:r>
              <w:rPr>
                <w:noProof/>
              </w:rPr>
              <w:t>Drogi i korytarze pozamiejskie o zasięgu sieci 5G</w:t>
            </w:r>
          </w:p>
        </w:tc>
        <w:tc>
          <w:tcPr>
            <w:tcW w:w="2" w:type="dxa"/>
            <w:tcBorders>
              <w:top w:val="nil"/>
              <w:left w:val="single" w:sz="8" w:space="0" w:color="auto"/>
              <w:bottom w:val="nil"/>
              <w:right w:val="nil"/>
            </w:tcBorders>
            <w:vAlign w:val="center"/>
          </w:tcPr>
          <w:p w14:paraId="1614D9B0" w14:textId="77777777" w:rsidR="004C6421" w:rsidRDefault="004C6421">
            <w:pPr>
              <w:rPr>
                <w:noProof/>
              </w:rPr>
            </w:pPr>
          </w:p>
        </w:tc>
      </w:tr>
      <w:tr w:rsidR="004C6421" w14:paraId="50301307"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6272284" w14:textId="77777777" w:rsidR="004C6421" w:rsidRDefault="009D1962">
            <w:pPr>
              <w:pStyle w:val="P68B1DB1-Normal8"/>
              <w:jc w:val="center"/>
              <w:rPr>
                <w:noProof/>
              </w:rPr>
            </w:pPr>
            <w:r>
              <w:rPr>
                <w:noProof/>
              </w:rPr>
              <w:t>M1C2-21</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6640576" w14:textId="77777777" w:rsidR="004C6421" w:rsidRDefault="009D1962">
            <w:pPr>
              <w:pStyle w:val="P68B1DB1-Normal8"/>
              <w:rPr>
                <w:noProof/>
              </w:rPr>
            </w:pPr>
            <w:r>
              <w:rPr>
                <w:noProof/>
              </w:rPr>
              <w:t>Inwestycja 3: Szybkie połączenia internetowe (sieci szerokopasmowe i 5G)</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6323BBC"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02A7A29" w14:textId="77777777" w:rsidR="004C6421" w:rsidRDefault="009D1962">
            <w:pPr>
              <w:pStyle w:val="P68B1DB1-Normal8"/>
              <w:rPr>
                <w:noProof/>
              </w:rPr>
            </w:pPr>
            <w:r>
              <w:rPr>
                <w:noProof/>
              </w:rPr>
              <w:t>Obszary niedoskonałości rynku o zasięgu sieci 5G</w:t>
            </w:r>
          </w:p>
        </w:tc>
        <w:tc>
          <w:tcPr>
            <w:tcW w:w="2" w:type="dxa"/>
            <w:tcBorders>
              <w:top w:val="nil"/>
              <w:left w:val="single" w:sz="8" w:space="0" w:color="auto"/>
              <w:bottom w:val="nil"/>
              <w:right w:val="nil"/>
            </w:tcBorders>
            <w:vAlign w:val="center"/>
          </w:tcPr>
          <w:p w14:paraId="489D28B9" w14:textId="77777777" w:rsidR="004C6421" w:rsidRDefault="004C6421">
            <w:pPr>
              <w:rPr>
                <w:noProof/>
              </w:rPr>
            </w:pPr>
          </w:p>
        </w:tc>
      </w:tr>
      <w:tr w:rsidR="004C6421" w14:paraId="420F1BE4"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F56DADE" w14:textId="77777777" w:rsidR="004C6421" w:rsidRDefault="009D1962">
            <w:pPr>
              <w:pStyle w:val="P68B1DB1-Normal8"/>
              <w:jc w:val="center"/>
              <w:rPr>
                <w:noProof/>
              </w:rPr>
            </w:pPr>
            <w:r>
              <w:rPr>
                <w:noProof/>
              </w:rPr>
              <w:t>M1C2-23</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21762FF" w14:textId="77777777" w:rsidR="004C6421" w:rsidRDefault="009D1962">
            <w:pPr>
              <w:pStyle w:val="P68B1DB1-Normal8"/>
              <w:rPr>
                <w:noProof/>
              </w:rPr>
            </w:pPr>
            <w:r>
              <w:rPr>
                <w:noProof/>
              </w:rPr>
              <w:t>Inwestycja 4: Technologia satelitarna i gospodarka kosmiczna</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63D9D23"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4C23303" w14:textId="77777777" w:rsidR="004C6421" w:rsidRDefault="009D1962">
            <w:pPr>
              <w:pStyle w:val="P68B1DB1-Normal8"/>
              <w:rPr>
                <w:noProof/>
              </w:rPr>
            </w:pPr>
            <w:r>
              <w:rPr>
                <w:noProof/>
              </w:rPr>
              <w:t>Zastosowane teleskopy naziemne, operacyjne centrum SST, fabryka kosmiczna i demonstrator napędu cieczy</w:t>
            </w:r>
          </w:p>
        </w:tc>
        <w:tc>
          <w:tcPr>
            <w:tcW w:w="2" w:type="dxa"/>
            <w:tcBorders>
              <w:top w:val="nil"/>
              <w:left w:val="single" w:sz="8" w:space="0" w:color="auto"/>
              <w:bottom w:val="nil"/>
              <w:right w:val="nil"/>
            </w:tcBorders>
            <w:vAlign w:val="center"/>
          </w:tcPr>
          <w:p w14:paraId="192BD821" w14:textId="77777777" w:rsidR="004C6421" w:rsidRDefault="004C6421">
            <w:pPr>
              <w:rPr>
                <w:noProof/>
              </w:rPr>
            </w:pPr>
          </w:p>
        </w:tc>
      </w:tr>
      <w:tr w:rsidR="004C6421" w14:paraId="715CD59F"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8ADD29E" w14:textId="77777777" w:rsidR="004C6421" w:rsidRDefault="009D1962">
            <w:pPr>
              <w:pStyle w:val="P68B1DB1-Normal8"/>
              <w:jc w:val="center"/>
              <w:rPr>
                <w:noProof/>
              </w:rPr>
            </w:pPr>
            <w:r>
              <w:rPr>
                <w:noProof/>
              </w:rPr>
              <w:t>M1C2-24</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F75DA9B" w14:textId="77777777" w:rsidR="004C6421" w:rsidRDefault="009D1962">
            <w:pPr>
              <w:pStyle w:val="P68B1DB1-Normal8"/>
              <w:rPr>
                <w:noProof/>
              </w:rPr>
            </w:pPr>
            <w:r>
              <w:rPr>
                <w:noProof/>
              </w:rPr>
              <w:t>Inwestycja 4: Technologia satelitarna i gospodarka kosmiczna</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75032AC"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AB4931A" w14:textId="77777777" w:rsidR="004C6421" w:rsidRDefault="009D1962">
            <w:pPr>
              <w:pStyle w:val="P68B1DB1-Normal8"/>
              <w:rPr>
                <w:noProof/>
              </w:rPr>
            </w:pPr>
            <w:r>
              <w:rPr>
                <w:noProof/>
              </w:rPr>
              <w:t>Konstelacje lub potwierdzenie koncepcji zastosowanych konstelacji</w:t>
            </w:r>
          </w:p>
        </w:tc>
        <w:tc>
          <w:tcPr>
            <w:tcW w:w="2" w:type="dxa"/>
            <w:tcBorders>
              <w:top w:val="nil"/>
              <w:left w:val="single" w:sz="8" w:space="0" w:color="auto"/>
              <w:bottom w:val="nil"/>
              <w:right w:val="nil"/>
            </w:tcBorders>
            <w:vAlign w:val="center"/>
          </w:tcPr>
          <w:p w14:paraId="6C7C2323" w14:textId="77777777" w:rsidR="004C6421" w:rsidRDefault="004C6421">
            <w:pPr>
              <w:rPr>
                <w:noProof/>
              </w:rPr>
            </w:pPr>
          </w:p>
        </w:tc>
      </w:tr>
      <w:tr w:rsidR="004C6421" w14:paraId="1B7E50FF"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17C21C9" w14:textId="77777777" w:rsidR="004C6421" w:rsidRDefault="009D1962">
            <w:pPr>
              <w:pStyle w:val="P68B1DB1-Normal8"/>
              <w:jc w:val="center"/>
              <w:rPr>
                <w:noProof/>
              </w:rPr>
            </w:pPr>
            <w:r>
              <w:rPr>
                <w:noProof/>
              </w:rPr>
              <w:t>M1C2-25</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228DA95" w14:textId="77777777" w:rsidR="004C6421" w:rsidRDefault="009D1962">
            <w:pPr>
              <w:pStyle w:val="P68B1DB1-Normal8"/>
              <w:rPr>
                <w:noProof/>
              </w:rPr>
            </w:pPr>
            <w:r>
              <w:rPr>
                <w:noProof/>
              </w:rPr>
              <w:t>Inwestycja 4: Technologia satelitarna i gospodarka kosmiczna</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45679AB"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4867269" w14:textId="77777777" w:rsidR="004C6421" w:rsidRDefault="009D1962">
            <w:pPr>
              <w:pStyle w:val="P68B1DB1-Normal8"/>
              <w:rPr>
                <w:noProof/>
              </w:rPr>
            </w:pPr>
            <w:r>
              <w:rPr>
                <w:noProof/>
              </w:rPr>
              <w:t>Usługi świadczone na rzecz administracji publicznej</w:t>
            </w:r>
          </w:p>
        </w:tc>
        <w:tc>
          <w:tcPr>
            <w:tcW w:w="2" w:type="dxa"/>
            <w:tcBorders>
              <w:top w:val="nil"/>
              <w:left w:val="single" w:sz="8" w:space="0" w:color="auto"/>
              <w:bottom w:val="nil"/>
              <w:right w:val="nil"/>
            </w:tcBorders>
            <w:vAlign w:val="center"/>
          </w:tcPr>
          <w:p w14:paraId="04DFDF18" w14:textId="77777777" w:rsidR="004C6421" w:rsidRDefault="004C6421">
            <w:pPr>
              <w:rPr>
                <w:noProof/>
              </w:rPr>
            </w:pPr>
          </w:p>
        </w:tc>
      </w:tr>
      <w:tr w:rsidR="004C6421" w14:paraId="027047B6"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7F5FFBB" w14:textId="77777777" w:rsidR="004C6421" w:rsidRDefault="009D1962">
            <w:pPr>
              <w:pStyle w:val="P68B1DB1-Normal8"/>
              <w:jc w:val="center"/>
              <w:rPr>
                <w:noProof/>
              </w:rPr>
            </w:pPr>
            <w:r>
              <w:rPr>
                <w:noProof/>
              </w:rPr>
              <w:t>M1C2-32</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3609283" w14:textId="77777777" w:rsidR="004C6421" w:rsidRDefault="009D1962">
            <w:pPr>
              <w:pStyle w:val="P68B1DB1-Normal8"/>
              <w:rPr>
                <w:noProof/>
              </w:rPr>
            </w:pPr>
            <w:r>
              <w:rPr>
                <w:noProof/>
              </w:rPr>
              <w:t>Inwestycja 7. Wsparcie systemu produkcji na rzecz transformacji ekologicznej, technologii neutralnych emisyjnie oraz konkurencyjności i odporności strategicznych łańcuchów dostaw</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AE15C71" w14:textId="77777777" w:rsidR="004C6421" w:rsidRDefault="009D1962">
            <w:pPr>
              <w:pStyle w:val="P68B1DB1-Normal8"/>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2A44560" w14:textId="77777777" w:rsidR="004C6421" w:rsidRDefault="009D1962">
            <w:pPr>
              <w:pStyle w:val="P68B1DB1-Normal8"/>
              <w:rPr>
                <w:noProof/>
              </w:rPr>
            </w:pPr>
            <w:r>
              <w:rPr>
                <w:noProof/>
              </w:rPr>
              <w:t>Umowy prawne podpisane z beneficjentami końcowymi</w:t>
            </w:r>
          </w:p>
        </w:tc>
        <w:tc>
          <w:tcPr>
            <w:tcW w:w="2" w:type="dxa"/>
            <w:tcBorders>
              <w:top w:val="nil"/>
              <w:left w:val="single" w:sz="8" w:space="0" w:color="auto"/>
              <w:bottom w:val="nil"/>
              <w:right w:val="nil"/>
            </w:tcBorders>
            <w:vAlign w:val="center"/>
          </w:tcPr>
          <w:p w14:paraId="6306441F" w14:textId="77777777" w:rsidR="004C6421" w:rsidRDefault="004C6421">
            <w:pPr>
              <w:rPr>
                <w:noProof/>
              </w:rPr>
            </w:pPr>
          </w:p>
        </w:tc>
      </w:tr>
      <w:tr w:rsidR="004C6421" w14:paraId="02A09E62"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87BBA8E" w14:textId="77777777" w:rsidR="004C6421" w:rsidRDefault="009D1962">
            <w:pPr>
              <w:pStyle w:val="P68B1DB1-Normal8"/>
              <w:jc w:val="center"/>
              <w:rPr>
                <w:noProof/>
              </w:rPr>
            </w:pPr>
            <w:r>
              <w:rPr>
                <w:noProof/>
              </w:rPr>
              <w:t>M1C3-21</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DB09E39" w14:textId="77777777" w:rsidR="004C6421" w:rsidRDefault="009D1962">
            <w:pPr>
              <w:pStyle w:val="P68B1DB1-Normal8"/>
              <w:rPr>
                <w:noProof/>
              </w:rPr>
            </w:pPr>
            <w:r>
              <w:rPr>
                <w:noProof/>
              </w:rPr>
              <w:t>Inwestycje – 3.2 Rozwój przemysłu filmowego (projekt Cinecittà)</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BB2C9DF"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4F74FB2" w14:textId="77777777" w:rsidR="004C6421" w:rsidRDefault="009D1962">
            <w:pPr>
              <w:pStyle w:val="P68B1DB1-Normal8"/>
              <w:rPr>
                <w:noProof/>
              </w:rPr>
            </w:pPr>
            <w:r>
              <w:rPr>
                <w:noProof/>
              </w:rPr>
              <w:t>Liczba studiów, których prace w zakresie przebudowy, modernizacji, budowy zostały ukończone</w:t>
            </w:r>
          </w:p>
        </w:tc>
        <w:tc>
          <w:tcPr>
            <w:tcW w:w="2" w:type="dxa"/>
            <w:tcBorders>
              <w:top w:val="nil"/>
              <w:left w:val="single" w:sz="8" w:space="0" w:color="auto"/>
              <w:bottom w:val="nil"/>
              <w:right w:val="nil"/>
            </w:tcBorders>
            <w:vAlign w:val="center"/>
          </w:tcPr>
          <w:p w14:paraId="5EB937DA" w14:textId="77777777" w:rsidR="004C6421" w:rsidRDefault="004C6421">
            <w:pPr>
              <w:rPr>
                <w:noProof/>
              </w:rPr>
            </w:pPr>
          </w:p>
        </w:tc>
      </w:tr>
      <w:tr w:rsidR="004C6421" w14:paraId="328EE5CD"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6E8D690" w14:textId="77777777" w:rsidR="004C6421" w:rsidRDefault="009D1962">
            <w:pPr>
              <w:pStyle w:val="P68B1DB1-Normal8"/>
              <w:jc w:val="center"/>
              <w:rPr>
                <w:noProof/>
              </w:rPr>
            </w:pPr>
            <w:r>
              <w:rPr>
                <w:noProof/>
              </w:rPr>
              <w:t>M1C3-36</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D7C3EAA" w14:textId="77777777" w:rsidR="004C6421" w:rsidRDefault="009D1962">
            <w:pPr>
              <w:pStyle w:val="P68B1DB1-Normal8"/>
              <w:rPr>
                <w:noProof/>
              </w:rPr>
            </w:pPr>
            <w:r>
              <w:rPr>
                <w:noProof/>
              </w:rPr>
              <w:t>Inwestycje – 4.3 Caput Mundi-Next Generation EU na rzecz wielkich imprez turystycznych</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27CBCE6"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667A5C9" w14:textId="77777777" w:rsidR="004C6421" w:rsidRDefault="009D1962">
            <w:pPr>
              <w:pStyle w:val="P68B1DB1-Normal8"/>
              <w:rPr>
                <w:noProof/>
              </w:rPr>
            </w:pPr>
            <w:r>
              <w:rPr>
                <w:noProof/>
              </w:rPr>
              <w:t xml:space="preserve">Liczba miejsc o charakterze kulturalnym i turystycznym, których przekwalifikowano </w:t>
            </w:r>
          </w:p>
        </w:tc>
        <w:tc>
          <w:tcPr>
            <w:tcW w:w="2" w:type="dxa"/>
            <w:tcBorders>
              <w:top w:val="nil"/>
              <w:left w:val="single" w:sz="8" w:space="0" w:color="auto"/>
              <w:bottom w:val="nil"/>
              <w:right w:val="nil"/>
            </w:tcBorders>
            <w:vAlign w:val="center"/>
          </w:tcPr>
          <w:p w14:paraId="414FEEF4" w14:textId="77777777" w:rsidR="004C6421" w:rsidRDefault="004C6421">
            <w:pPr>
              <w:rPr>
                <w:noProof/>
              </w:rPr>
            </w:pPr>
          </w:p>
        </w:tc>
      </w:tr>
      <w:tr w:rsidR="004C6421" w14:paraId="6719991D"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F12B72D" w14:textId="77777777" w:rsidR="004C6421" w:rsidRDefault="009D1962">
            <w:pPr>
              <w:pStyle w:val="P68B1DB1-Normal8"/>
              <w:jc w:val="center"/>
              <w:rPr>
                <w:noProof/>
              </w:rPr>
            </w:pPr>
            <w:r>
              <w:rPr>
                <w:noProof/>
              </w:rPr>
              <w:t>M2C1-16</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C09FAAF" w14:textId="77777777" w:rsidR="004C6421" w:rsidRDefault="009D1962">
            <w:pPr>
              <w:pStyle w:val="P68B1DB1-Normal8"/>
              <w:rPr>
                <w:noProof/>
              </w:rPr>
            </w:pPr>
            <w:r>
              <w:rPr>
                <w:noProof/>
              </w:rPr>
              <w:t xml:space="preserve">  Inwestycje 1.1 – Wdrażanie nowych zakładów gospodarki odpadami i modernizacja istniejących obiektów</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5E2F467"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EC6CB65" w14:textId="068AA2B8" w:rsidR="004C6421" w:rsidRDefault="009D1962">
            <w:pPr>
              <w:pStyle w:val="P68B1DB1-Normal8"/>
              <w:rPr>
                <w:noProof/>
              </w:rPr>
            </w:pPr>
            <w:r>
              <w:rPr>
                <w:noProof/>
              </w:rPr>
              <w:t>Nielegalne składowiska odpadów</w:t>
            </w:r>
          </w:p>
        </w:tc>
        <w:tc>
          <w:tcPr>
            <w:tcW w:w="2" w:type="dxa"/>
            <w:tcBorders>
              <w:top w:val="nil"/>
              <w:left w:val="single" w:sz="8" w:space="0" w:color="auto"/>
              <w:bottom w:val="nil"/>
              <w:right w:val="nil"/>
            </w:tcBorders>
            <w:vAlign w:val="center"/>
          </w:tcPr>
          <w:p w14:paraId="7B75891A" w14:textId="77777777" w:rsidR="004C6421" w:rsidRDefault="004C6421">
            <w:pPr>
              <w:rPr>
                <w:noProof/>
              </w:rPr>
            </w:pPr>
          </w:p>
        </w:tc>
      </w:tr>
      <w:tr w:rsidR="004C6421" w14:paraId="3DEE9B1C"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C13D250" w14:textId="77777777" w:rsidR="004C6421" w:rsidRDefault="009D1962">
            <w:pPr>
              <w:pStyle w:val="P68B1DB1-Normal8"/>
              <w:jc w:val="center"/>
              <w:rPr>
                <w:noProof/>
              </w:rPr>
            </w:pPr>
            <w:r>
              <w:rPr>
                <w:noProof/>
              </w:rPr>
              <w:t>M2C1-19</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F782CA9" w14:textId="77777777" w:rsidR="004C6421" w:rsidRDefault="009D1962">
            <w:pPr>
              <w:pStyle w:val="P68B1DB1-Normal8"/>
              <w:rPr>
                <w:noProof/>
              </w:rPr>
            </w:pPr>
            <w:r>
              <w:rPr>
                <w:noProof/>
              </w:rPr>
              <w:t>Inwestycja 3.1: Zielone wyspy</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0565B49"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BF8DE27" w14:textId="77777777" w:rsidR="004C6421" w:rsidRDefault="009D1962">
            <w:pPr>
              <w:pStyle w:val="P68B1DB1-Normal8"/>
              <w:rPr>
                <w:noProof/>
              </w:rPr>
            </w:pPr>
            <w:r>
              <w:rPr>
                <w:noProof/>
              </w:rPr>
              <w:t>Realizacja projektów zintegrowanych na małych wyspach</w:t>
            </w:r>
          </w:p>
        </w:tc>
        <w:tc>
          <w:tcPr>
            <w:tcW w:w="2" w:type="dxa"/>
            <w:tcBorders>
              <w:top w:val="nil"/>
              <w:left w:val="single" w:sz="8" w:space="0" w:color="auto"/>
              <w:bottom w:val="nil"/>
              <w:right w:val="nil"/>
            </w:tcBorders>
            <w:vAlign w:val="center"/>
          </w:tcPr>
          <w:p w14:paraId="256F67D2" w14:textId="77777777" w:rsidR="004C6421" w:rsidRDefault="004C6421">
            <w:pPr>
              <w:rPr>
                <w:noProof/>
              </w:rPr>
            </w:pPr>
          </w:p>
        </w:tc>
      </w:tr>
      <w:tr w:rsidR="004C6421" w14:paraId="79268A57"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5C16761" w14:textId="77777777" w:rsidR="004C6421" w:rsidRDefault="009D1962">
            <w:pPr>
              <w:pStyle w:val="P68B1DB1-Normal8"/>
              <w:jc w:val="center"/>
              <w:rPr>
                <w:noProof/>
              </w:rPr>
            </w:pPr>
            <w:r>
              <w:rPr>
                <w:noProof/>
              </w:rPr>
              <w:t>M2C1-21</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7A79E6C" w14:textId="77777777" w:rsidR="004C6421" w:rsidRDefault="009D1962">
            <w:pPr>
              <w:pStyle w:val="P68B1DB1-Normal8"/>
              <w:rPr>
                <w:noProof/>
              </w:rPr>
            </w:pPr>
            <w:r>
              <w:rPr>
                <w:noProof/>
              </w:rPr>
              <w:t>Inwestycje 3.2: Społeczności ekologiczne</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4757931"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9B70C1D" w14:textId="77777777" w:rsidR="004C6421" w:rsidRDefault="009D1962">
            <w:pPr>
              <w:pStyle w:val="P68B1DB1-Normal8"/>
              <w:rPr>
                <w:noProof/>
              </w:rPr>
            </w:pPr>
            <w:r>
              <w:rPr>
                <w:noProof/>
              </w:rPr>
              <w:t>Realizacja interwencji przedstawionych w planach przez wspólnoty ekologiczne</w:t>
            </w:r>
          </w:p>
        </w:tc>
        <w:tc>
          <w:tcPr>
            <w:tcW w:w="2" w:type="dxa"/>
            <w:tcBorders>
              <w:top w:val="nil"/>
              <w:left w:val="single" w:sz="8" w:space="0" w:color="auto"/>
              <w:bottom w:val="nil"/>
              <w:right w:val="nil"/>
            </w:tcBorders>
            <w:vAlign w:val="center"/>
          </w:tcPr>
          <w:p w14:paraId="0E58A109" w14:textId="77777777" w:rsidR="004C6421" w:rsidRDefault="004C6421">
            <w:pPr>
              <w:rPr>
                <w:noProof/>
              </w:rPr>
            </w:pPr>
          </w:p>
        </w:tc>
      </w:tr>
      <w:tr w:rsidR="004C6421" w14:paraId="7AA45BDE"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6963506" w14:textId="77777777" w:rsidR="004C6421" w:rsidRDefault="009D1962">
            <w:pPr>
              <w:pStyle w:val="P68B1DB1-Normal8"/>
              <w:jc w:val="center"/>
              <w:rPr>
                <w:noProof/>
              </w:rPr>
            </w:pPr>
            <w:r>
              <w:rPr>
                <w:noProof/>
              </w:rPr>
              <w:t>M2C1-24</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B7D061D" w14:textId="77777777" w:rsidR="004C6421" w:rsidRDefault="009D1962">
            <w:pPr>
              <w:pStyle w:val="P68B1DB1-Normal8"/>
              <w:rPr>
                <w:noProof/>
              </w:rPr>
            </w:pPr>
            <w:r>
              <w:rPr>
                <w:noProof/>
              </w:rPr>
              <w:t>Inwestycja 3.4: Fondo Contratti di Filiera (FCF) w celu wsparcia zamówień na łańcuchy dostaw dla sektorów rolno-spożywczego, rybołówstwa i akwakultury, leśnictwa, kwiaciarstwa i szkółek roślin</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66065B1"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B2A2B5E" w14:textId="77777777" w:rsidR="004C6421" w:rsidRDefault="009D1962">
            <w:pPr>
              <w:pStyle w:val="P68B1DB1-Normal8"/>
              <w:rPr>
                <w:noProof/>
              </w:rPr>
            </w:pPr>
            <w:r>
              <w:rPr>
                <w:noProof/>
              </w:rPr>
              <w:t>Umowy prawne podpisane z beneficjentami końcowymi</w:t>
            </w:r>
          </w:p>
        </w:tc>
        <w:tc>
          <w:tcPr>
            <w:tcW w:w="2" w:type="dxa"/>
            <w:tcBorders>
              <w:top w:val="nil"/>
              <w:left w:val="single" w:sz="8" w:space="0" w:color="auto"/>
              <w:bottom w:val="nil"/>
              <w:right w:val="nil"/>
            </w:tcBorders>
            <w:vAlign w:val="center"/>
          </w:tcPr>
          <w:p w14:paraId="3BCE767D" w14:textId="77777777" w:rsidR="004C6421" w:rsidRDefault="004C6421">
            <w:pPr>
              <w:rPr>
                <w:noProof/>
              </w:rPr>
            </w:pPr>
          </w:p>
        </w:tc>
      </w:tr>
      <w:tr w:rsidR="004C6421" w14:paraId="2FBDC80B"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E655846" w14:textId="77777777" w:rsidR="004C6421" w:rsidRDefault="009D1962">
            <w:pPr>
              <w:pStyle w:val="P68B1DB1-Normal8"/>
              <w:jc w:val="center"/>
              <w:rPr>
                <w:noProof/>
              </w:rPr>
            </w:pPr>
            <w:r>
              <w:rPr>
                <w:noProof/>
              </w:rPr>
              <w:t>M2C2-3</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0F83C63" w14:textId="77777777" w:rsidR="004C6421" w:rsidRDefault="009D1962">
            <w:pPr>
              <w:pStyle w:val="P68B1DB1-Normal8"/>
              <w:rPr>
                <w:noProof/>
              </w:rPr>
            </w:pPr>
            <w:r>
              <w:rPr>
                <w:noProof/>
              </w:rPr>
              <w:t>Inwestycja 1.4 Rozwój biometanu zgodnie z kryteriami promowania gospodarki o obiegu zamkniętym</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E317C54"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B7B7E9A" w14:textId="77777777" w:rsidR="004C6421" w:rsidRDefault="009D1962">
            <w:pPr>
              <w:pStyle w:val="P68B1DB1-Normal8"/>
              <w:rPr>
                <w:noProof/>
              </w:rPr>
            </w:pPr>
            <w:r>
              <w:rPr>
                <w:noProof/>
              </w:rPr>
              <w:t>Wymiana ciągników rolniczych</w:t>
            </w:r>
          </w:p>
        </w:tc>
        <w:tc>
          <w:tcPr>
            <w:tcW w:w="2" w:type="dxa"/>
            <w:tcBorders>
              <w:top w:val="nil"/>
              <w:left w:val="single" w:sz="8" w:space="0" w:color="auto"/>
              <w:bottom w:val="nil"/>
              <w:right w:val="nil"/>
            </w:tcBorders>
            <w:vAlign w:val="center"/>
          </w:tcPr>
          <w:p w14:paraId="0BB4BCDB" w14:textId="77777777" w:rsidR="004C6421" w:rsidRDefault="004C6421">
            <w:pPr>
              <w:rPr>
                <w:noProof/>
              </w:rPr>
            </w:pPr>
          </w:p>
        </w:tc>
      </w:tr>
      <w:tr w:rsidR="004C6421" w14:paraId="2326AF97"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EB02776" w14:textId="77777777" w:rsidR="004C6421" w:rsidRDefault="009D1962">
            <w:pPr>
              <w:pStyle w:val="P68B1DB1-Normal8"/>
              <w:jc w:val="center"/>
              <w:rPr>
                <w:noProof/>
              </w:rPr>
            </w:pPr>
            <w:r>
              <w:rPr>
                <w:noProof/>
              </w:rPr>
              <w:t>M2C2-5</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6E6AF0F" w14:textId="77777777" w:rsidR="004C6421" w:rsidRDefault="009D1962">
            <w:pPr>
              <w:pStyle w:val="P68B1DB1-Normal8"/>
              <w:rPr>
                <w:noProof/>
              </w:rPr>
            </w:pPr>
            <w:r>
              <w:rPr>
                <w:noProof/>
              </w:rPr>
              <w:t>Inwestycja 1.4 Rozwój biometanu zgodnie z kryteriami promowania gospodarki o obiegu zamkniętym</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AD6C072"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BA1A1C4" w14:textId="77777777" w:rsidR="004C6421" w:rsidRDefault="009D1962">
            <w:pPr>
              <w:pStyle w:val="P68B1DB1-Normal8"/>
              <w:rPr>
                <w:noProof/>
              </w:rPr>
            </w:pPr>
            <w:r>
              <w:rPr>
                <w:noProof/>
              </w:rPr>
              <w:t>Dodatkowa produkcja biometanu</w:t>
            </w:r>
          </w:p>
        </w:tc>
        <w:tc>
          <w:tcPr>
            <w:tcW w:w="2" w:type="dxa"/>
            <w:tcBorders>
              <w:top w:val="nil"/>
              <w:left w:val="single" w:sz="8" w:space="0" w:color="auto"/>
              <w:bottom w:val="nil"/>
              <w:right w:val="nil"/>
            </w:tcBorders>
            <w:vAlign w:val="center"/>
          </w:tcPr>
          <w:p w14:paraId="62C7B990" w14:textId="77777777" w:rsidR="004C6421" w:rsidRDefault="004C6421">
            <w:pPr>
              <w:rPr>
                <w:noProof/>
              </w:rPr>
            </w:pPr>
          </w:p>
        </w:tc>
      </w:tr>
      <w:tr w:rsidR="004C6421" w14:paraId="026D147B"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E2B0B60" w14:textId="77777777" w:rsidR="004C6421" w:rsidRDefault="009D1962">
            <w:pPr>
              <w:pStyle w:val="P68B1DB1-Normal8"/>
              <w:jc w:val="center"/>
              <w:rPr>
                <w:noProof/>
              </w:rPr>
            </w:pPr>
            <w:r>
              <w:rPr>
                <w:noProof/>
              </w:rPr>
              <w:t>M2C2-10</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4601B58" w14:textId="77777777" w:rsidR="004C6421" w:rsidRDefault="009D1962">
            <w:pPr>
              <w:pStyle w:val="P68B1DB1-Normal8"/>
              <w:rPr>
                <w:noProof/>
              </w:rPr>
            </w:pPr>
            <w:r>
              <w:rPr>
                <w:noProof/>
              </w:rPr>
              <w:t>Inwestycje 2.1 Wzmocnienie inteligentnych sieci</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605E506"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B2FD9F1" w14:textId="77777777" w:rsidR="004C6421" w:rsidRDefault="009D1962">
            <w:pPr>
              <w:pStyle w:val="P68B1DB1-Normal8"/>
              <w:rPr>
                <w:noProof/>
              </w:rPr>
            </w:pPr>
            <w:r>
              <w:rPr>
                <w:noProof/>
              </w:rPr>
              <w:t>Inteligentne sieci – Zwiększenie przepustowości sieci dystrybucji energii ze źródeł odnawialnych</w:t>
            </w:r>
          </w:p>
        </w:tc>
        <w:tc>
          <w:tcPr>
            <w:tcW w:w="2" w:type="dxa"/>
            <w:tcBorders>
              <w:top w:val="nil"/>
              <w:left w:val="single" w:sz="8" w:space="0" w:color="auto"/>
              <w:bottom w:val="nil"/>
              <w:right w:val="nil"/>
            </w:tcBorders>
            <w:vAlign w:val="center"/>
          </w:tcPr>
          <w:p w14:paraId="05C8C653" w14:textId="77777777" w:rsidR="004C6421" w:rsidRDefault="004C6421">
            <w:pPr>
              <w:rPr>
                <w:noProof/>
              </w:rPr>
            </w:pPr>
          </w:p>
        </w:tc>
      </w:tr>
      <w:tr w:rsidR="004C6421" w14:paraId="2350AEFB"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DB75A3F" w14:textId="77777777" w:rsidR="004C6421" w:rsidRDefault="009D1962">
            <w:pPr>
              <w:pStyle w:val="P68B1DB1-Normal8"/>
              <w:jc w:val="center"/>
              <w:rPr>
                <w:noProof/>
              </w:rPr>
            </w:pPr>
            <w:r>
              <w:rPr>
                <w:noProof/>
              </w:rPr>
              <w:t>M2C2-11</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E0DF921" w14:textId="77777777" w:rsidR="004C6421" w:rsidRDefault="009D1962">
            <w:pPr>
              <w:pStyle w:val="P68B1DB1-Normal8"/>
              <w:rPr>
                <w:noProof/>
              </w:rPr>
            </w:pPr>
            <w:r>
              <w:rPr>
                <w:noProof/>
              </w:rPr>
              <w:t>Inwestycje 2.1 Wzmocnienie inteligentnych sieci</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91B5A74"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969EA89" w14:textId="77777777" w:rsidR="004C6421" w:rsidRDefault="009D1962">
            <w:pPr>
              <w:pStyle w:val="P68B1DB1-Normal8"/>
              <w:rPr>
                <w:noProof/>
              </w:rPr>
            </w:pPr>
            <w:r>
              <w:rPr>
                <w:noProof/>
              </w:rPr>
              <w:t>Inteligentne sieci – elektryfikacja zużycia energii</w:t>
            </w:r>
          </w:p>
        </w:tc>
        <w:tc>
          <w:tcPr>
            <w:tcW w:w="2" w:type="dxa"/>
            <w:tcBorders>
              <w:top w:val="nil"/>
              <w:left w:val="single" w:sz="8" w:space="0" w:color="auto"/>
              <w:bottom w:val="nil"/>
              <w:right w:val="nil"/>
            </w:tcBorders>
            <w:vAlign w:val="center"/>
          </w:tcPr>
          <w:p w14:paraId="0F574DCF" w14:textId="77777777" w:rsidR="004C6421" w:rsidRDefault="004C6421">
            <w:pPr>
              <w:rPr>
                <w:noProof/>
              </w:rPr>
            </w:pPr>
          </w:p>
        </w:tc>
      </w:tr>
      <w:tr w:rsidR="004C6421" w14:paraId="0B06EC95"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955902C" w14:textId="77777777" w:rsidR="004C6421" w:rsidRDefault="009D1962">
            <w:pPr>
              <w:pStyle w:val="P68B1DB1-Normal8"/>
              <w:jc w:val="center"/>
              <w:rPr>
                <w:noProof/>
              </w:rPr>
            </w:pPr>
            <w:r>
              <w:rPr>
                <w:noProof/>
              </w:rPr>
              <w:t>M2C2-13</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288E2A5" w14:textId="77777777" w:rsidR="004C6421" w:rsidRDefault="009D1962">
            <w:pPr>
              <w:pStyle w:val="P68B1DB1-Normal8"/>
              <w:rPr>
                <w:noProof/>
              </w:rPr>
            </w:pPr>
            <w:r>
              <w:rPr>
                <w:noProof/>
              </w:rPr>
              <w:t>Inwestycje 2.2 Interwencje mające na celu zwiększenie odporności sieci elektroenergetycznej</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86B94AE"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233AEA7" w14:textId="77777777" w:rsidR="004C6421" w:rsidRDefault="009D1962">
            <w:pPr>
              <w:pStyle w:val="P68B1DB1-Normal8"/>
              <w:rPr>
                <w:noProof/>
              </w:rPr>
            </w:pPr>
            <w:r>
              <w:rPr>
                <w:noProof/>
              </w:rPr>
              <w:t>Zwiększenie odporności sieci elektroenergetycznej</w:t>
            </w:r>
          </w:p>
        </w:tc>
        <w:tc>
          <w:tcPr>
            <w:tcW w:w="2" w:type="dxa"/>
            <w:tcBorders>
              <w:top w:val="nil"/>
              <w:left w:val="single" w:sz="8" w:space="0" w:color="auto"/>
              <w:bottom w:val="nil"/>
              <w:right w:val="nil"/>
            </w:tcBorders>
            <w:vAlign w:val="center"/>
          </w:tcPr>
          <w:p w14:paraId="53C01588" w14:textId="77777777" w:rsidR="004C6421" w:rsidRDefault="004C6421">
            <w:pPr>
              <w:rPr>
                <w:noProof/>
              </w:rPr>
            </w:pPr>
          </w:p>
        </w:tc>
      </w:tr>
      <w:tr w:rsidR="004C6421" w14:paraId="42D85C12"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3AED25E" w14:textId="77777777" w:rsidR="004C6421" w:rsidRDefault="009D1962">
            <w:pPr>
              <w:pStyle w:val="P68B1DB1-Normal8"/>
              <w:jc w:val="center"/>
              <w:rPr>
                <w:noProof/>
              </w:rPr>
            </w:pPr>
            <w:r>
              <w:rPr>
                <w:noProof/>
              </w:rPr>
              <w:t>M2C2-15</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4C92982" w14:textId="77777777" w:rsidR="004C6421" w:rsidRDefault="009D1962">
            <w:pPr>
              <w:pStyle w:val="P68B1DB1-Normal8"/>
              <w:rPr>
                <w:noProof/>
              </w:rPr>
            </w:pPr>
            <w:r>
              <w:rPr>
                <w:noProof/>
              </w:rPr>
              <w:t>Inwestycja 3.3 Badanie wodoru w transporcie drogowym</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44A0D09"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7E2DD93" w14:textId="77777777" w:rsidR="004C6421" w:rsidRDefault="009D1962">
            <w:pPr>
              <w:pStyle w:val="P68B1DB1-Normal8"/>
              <w:rPr>
                <w:noProof/>
              </w:rPr>
            </w:pPr>
            <w:r>
              <w:rPr>
                <w:noProof/>
              </w:rPr>
              <w:t>Budowa stacji ładowania opartych na wodorze</w:t>
            </w:r>
          </w:p>
        </w:tc>
        <w:tc>
          <w:tcPr>
            <w:tcW w:w="2" w:type="dxa"/>
            <w:tcBorders>
              <w:top w:val="nil"/>
              <w:left w:val="single" w:sz="8" w:space="0" w:color="auto"/>
              <w:bottom w:val="nil"/>
              <w:right w:val="nil"/>
            </w:tcBorders>
            <w:vAlign w:val="center"/>
          </w:tcPr>
          <w:p w14:paraId="755B18EE" w14:textId="77777777" w:rsidR="004C6421" w:rsidRDefault="004C6421">
            <w:pPr>
              <w:rPr>
                <w:noProof/>
              </w:rPr>
            </w:pPr>
          </w:p>
        </w:tc>
      </w:tr>
      <w:tr w:rsidR="004C6421" w14:paraId="55EC0E71"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150F0E4" w14:textId="77777777" w:rsidR="004C6421" w:rsidRDefault="009D1962">
            <w:pPr>
              <w:pStyle w:val="P68B1DB1-Normal8"/>
              <w:jc w:val="center"/>
              <w:rPr>
                <w:noProof/>
              </w:rPr>
            </w:pPr>
            <w:r>
              <w:rPr>
                <w:noProof/>
              </w:rPr>
              <w:t>M2C2-17</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935FFD8" w14:textId="77777777" w:rsidR="004C6421" w:rsidRDefault="009D1962">
            <w:pPr>
              <w:pStyle w:val="P68B1DB1-Normal8"/>
              <w:rPr>
                <w:noProof/>
              </w:rPr>
            </w:pPr>
            <w:r>
              <w:rPr>
                <w:noProof/>
              </w:rPr>
              <w:t>Inwestycja 3.4 Testowanie wodoru na potrzeby mobilności kolejowej</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7A4D0F8"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8F194B9" w14:textId="77777777" w:rsidR="004C6421" w:rsidRDefault="009D1962">
            <w:pPr>
              <w:pStyle w:val="P68B1DB1-Normal8"/>
              <w:rPr>
                <w:noProof/>
              </w:rPr>
            </w:pPr>
            <w:r>
              <w:rPr>
                <w:noProof/>
              </w:rPr>
              <w:t>Liczba stacji tankowania wodoru</w:t>
            </w:r>
          </w:p>
        </w:tc>
        <w:tc>
          <w:tcPr>
            <w:tcW w:w="2" w:type="dxa"/>
            <w:tcBorders>
              <w:top w:val="nil"/>
              <w:left w:val="single" w:sz="8" w:space="0" w:color="auto"/>
              <w:bottom w:val="nil"/>
              <w:right w:val="nil"/>
            </w:tcBorders>
            <w:vAlign w:val="center"/>
          </w:tcPr>
          <w:p w14:paraId="06E3381B" w14:textId="77777777" w:rsidR="004C6421" w:rsidRDefault="004C6421">
            <w:pPr>
              <w:rPr>
                <w:noProof/>
              </w:rPr>
            </w:pPr>
          </w:p>
        </w:tc>
      </w:tr>
      <w:tr w:rsidR="004C6421" w14:paraId="6C290C25"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BF2EC73" w14:textId="77777777" w:rsidR="004C6421" w:rsidRDefault="009D1962">
            <w:pPr>
              <w:pStyle w:val="P68B1DB1-Normal8"/>
              <w:jc w:val="center"/>
              <w:rPr>
                <w:noProof/>
              </w:rPr>
            </w:pPr>
            <w:r>
              <w:rPr>
                <w:noProof/>
              </w:rPr>
              <w:t>M2C2-19</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165EB18" w14:textId="77777777" w:rsidR="004C6421" w:rsidRDefault="009D1962">
            <w:pPr>
              <w:pStyle w:val="P68B1DB1-Normal8"/>
              <w:rPr>
                <w:noProof/>
              </w:rPr>
            </w:pPr>
            <w:r>
              <w:rPr>
                <w:noProof/>
              </w:rPr>
              <w:t>Inwestycja 3.5 Badania i rozwój w zakresie wodoru</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DF8C01A"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AEE6AC2" w14:textId="77777777" w:rsidR="004C6421" w:rsidRDefault="009D1962">
            <w:pPr>
              <w:pStyle w:val="P68B1DB1-Normal8"/>
              <w:rPr>
                <w:noProof/>
              </w:rPr>
            </w:pPr>
            <w:r>
              <w:rPr>
                <w:noProof/>
              </w:rPr>
              <w:t>Liczba projektów badawczo-rozwojowych w zakresie wodoru</w:t>
            </w:r>
          </w:p>
        </w:tc>
        <w:tc>
          <w:tcPr>
            <w:tcW w:w="2" w:type="dxa"/>
            <w:tcBorders>
              <w:top w:val="nil"/>
              <w:left w:val="single" w:sz="8" w:space="0" w:color="auto"/>
              <w:bottom w:val="nil"/>
              <w:right w:val="nil"/>
            </w:tcBorders>
            <w:vAlign w:val="center"/>
          </w:tcPr>
          <w:p w14:paraId="478248A0" w14:textId="77777777" w:rsidR="004C6421" w:rsidRDefault="004C6421">
            <w:pPr>
              <w:rPr>
                <w:noProof/>
              </w:rPr>
            </w:pPr>
          </w:p>
        </w:tc>
      </w:tr>
      <w:tr w:rsidR="004C6421" w14:paraId="2DEF7F2C"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DC3E877" w14:textId="77777777" w:rsidR="004C6421" w:rsidRDefault="009D1962">
            <w:pPr>
              <w:pStyle w:val="P68B1DB1-Normal8"/>
              <w:jc w:val="center"/>
              <w:rPr>
                <w:noProof/>
              </w:rPr>
            </w:pPr>
            <w:r>
              <w:rPr>
                <w:noProof/>
              </w:rPr>
              <w:t>M2C2-25bis</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FBA1557" w14:textId="77777777" w:rsidR="004C6421" w:rsidRDefault="009D1962">
            <w:pPr>
              <w:pStyle w:val="P68B1DB1-Normal8"/>
              <w:rPr>
                <w:noProof/>
              </w:rPr>
            </w:pPr>
            <w:r>
              <w:rPr>
                <w:noProof/>
              </w:rPr>
              <w:t xml:space="preserve">Inwestycja 4.2 Rozwój systemów szybkiego transportu masowego </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0D18B0B"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1CFCFB6" w14:textId="77777777" w:rsidR="004C6421" w:rsidRDefault="009D1962">
            <w:pPr>
              <w:pStyle w:val="P68B1DB1-Normal8"/>
              <w:rPr>
                <w:noProof/>
              </w:rPr>
            </w:pPr>
            <w:r>
              <w:rPr>
                <w:noProof/>
              </w:rPr>
              <w:t>Co najmniej 5 interwencji na rzecz modernizacji infrastruktury systemów szybkiego transportu masowego</w:t>
            </w:r>
          </w:p>
        </w:tc>
        <w:tc>
          <w:tcPr>
            <w:tcW w:w="2" w:type="dxa"/>
            <w:tcBorders>
              <w:top w:val="nil"/>
              <w:left w:val="single" w:sz="8" w:space="0" w:color="auto"/>
              <w:bottom w:val="nil"/>
              <w:right w:val="nil"/>
            </w:tcBorders>
            <w:vAlign w:val="center"/>
          </w:tcPr>
          <w:p w14:paraId="1C601AC3" w14:textId="77777777" w:rsidR="004C6421" w:rsidRDefault="004C6421">
            <w:pPr>
              <w:rPr>
                <w:noProof/>
              </w:rPr>
            </w:pPr>
          </w:p>
        </w:tc>
      </w:tr>
      <w:tr w:rsidR="004C6421" w14:paraId="4F88D15C"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7EE7B62" w14:textId="77777777" w:rsidR="004C6421" w:rsidRDefault="009D1962">
            <w:pPr>
              <w:pStyle w:val="P68B1DB1-Normal8"/>
              <w:jc w:val="center"/>
              <w:rPr>
                <w:noProof/>
              </w:rPr>
            </w:pPr>
            <w:r>
              <w:rPr>
                <w:noProof/>
              </w:rPr>
              <w:t>M2C2-25ter</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300503A" w14:textId="77777777" w:rsidR="004C6421" w:rsidRDefault="009D1962">
            <w:pPr>
              <w:pStyle w:val="P68B1DB1-Normal8"/>
              <w:rPr>
                <w:noProof/>
              </w:rPr>
            </w:pPr>
            <w:r>
              <w:rPr>
                <w:noProof/>
              </w:rPr>
              <w:t xml:space="preserve">Inwestycja 4.2 Rozwój systemów szybkiego transportu masowego </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E12BFB2"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0510EF7" w14:textId="77777777" w:rsidR="004C6421" w:rsidRDefault="009D1962">
            <w:pPr>
              <w:pStyle w:val="P68B1DB1-Normal8"/>
              <w:rPr>
                <w:noProof/>
              </w:rPr>
            </w:pPr>
            <w:r>
              <w:rPr>
                <w:noProof/>
              </w:rPr>
              <w:t>Zakup co najmniej 85 jednostek taboru do szybkiego transportu masowego</w:t>
            </w:r>
          </w:p>
        </w:tc>
        <w:tc>
          <w:tcPr>
            <w:tcW w:w="2" w:type="dxa"/>
            <w:tcBorders>
              <w:top w:val="nil"/>
              <w:left w:val="single" w:sz="8" w:space="0" w:color="auto"/>
              <w:bottom w:val="nil"/>
              <w:right w:val="nil"/>
            </w:tcBorders>
            <w:vAlign w:val="center"/>
          </w:tcPr>
          <w:p w14:paraId="20B80AF3" w14:textId="77777777" w:rsidR="004C6421" w:rsidRDefault="004C6421">
            <w:pPr>
              <w:rPr>
                <w:noProof/>
              </w:rPr>
            </w:pPr>
          </w:p>
        </w:tc>
      </w:tr>
      <w:tr w:rsidR="004C6421" w14:paraId="734BF663"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ED4A265" w14:textId="77777777" w:rsidR="004C6421" w:rsidRDefault="009D1962">
            <w:pPr>
              <w:pStyle w:val="P68B1DB1-Normal8"/>
              <w:jc w:val="center"/>
              <w:rPr>
                <w:noProof/>
              </w:rPr>
            </w:pPr>
            <w:r>
              <w:rPr>
                <w:noProof/>
              </w:rPr>
              <w:t>M2C2-26</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E66CCB7" w14:textId="77777777" w:rsidR="004C6421" w:rsidRDefault="009D1962">
            <w:pPr>
              <w:pStyle w:val="P68B1DB1-Normal8"/>
              <w:rPr>
                <w:noProof/>
              </w:rPr>
            </w:pPr>
            <w:r>
              <w:rPr>
                <w:noProof/>
              </w:rPr>
              <w:t xml:space="preserve">Inwestycja 4.2 Rozwój systemów szybkiego transportu masowego </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8C86205"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A6535FB" w14:textId="77777777" w:rsidR="004C6421" w:rsidRDefault="009D1962">
            <w:pPr>
              <w:pStyle w:val="P68B1DB1-Normal8"/>
              <w:rPr>
                <w:noProof/>
              </w:rPr>
            </w:pPr>
            <w:r>
              <w:rPr>
                <w:noProof/>
              </w:rPr>
              <w:t>Liczba km infrastruktury transportu publicznego</w:t>
            </w:r>
          </w:p>
        </w:tc>
        <w:tc>
          <w:tcPr>
            <w:tcW w:w="2" w:type="dxa"/>
            <w:tcBorders>
              <w:top w:val="nil"/>
              <w:left w:val="single" w:sz="8" w:space="0" w:color="auto"/>
              <w:bottom w:val="nil"/>
              <w:right w:val="nil"/>
            </w:tcBorders>
            <w:vAlign w:val="center"/>
          </w:tcPr>
          <w:p w14:paraId="37D4A1B2" w14:textId="77777777" w:rsidR="004C6421" w:rsidRDefault="004C6421">
            <w:pPr>
              <w:rPr>
                <w:noProof/>
              </w:rPr>
            </w:pPr>
          </w:p>
        </w:tc>
      </w:tr>
      <w:tr w:rsidR="004C6421" w14:paraId="328EAC2F"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438342B" w14:textId="77777777" w:rsidR="004C6421" w:rsidRDefault="009D1962">
            <w:pPr>
              <w:pStyle w:val="P68B1DB1-Normal8"/>
              <w:jc w:val="center"/>
              <w:rPr>
                <w:noProof/>
              </w:rPr>
            </w:pPr>
            <w:r>
              <w:rPr>
                <w:noProof/>
              </w:rPr>
              <w:t>M2C2-35</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B36275E" w14:textId="77777777" w:rsidR="004C6421" w:rsidRDefault="009D1962">
            <w:pPr>
              <w:pStyle w:val="P68B1DB1-Normal37"/>
              <w:rPr>
                <w:noProof/>
              </w:rPr>
            </w:pPr>
            <w:r>
              <w:rPr>
                <w:noProof/>
                <w:color w:val="006100"/>
              </w:rPr>
              <w:t>Inwestycja 4.4.1: Wzmocnienie floty autobusów transportu publicznego</w:t>
            </w:r>
            <w:r>
              <w:rPr>
                <w:noProof/>
                <w:color w:val="000000" w:themeColor="text1"/>
              </w:rPr>
              <w:t xml:space="preserve"> </w:t>
            </w:r>
            <w:r>
              <w:rPr>
                <w:noProof/>
                <w:color w:val="006100"/>
              </w:rPr>
              <w:t>bezemisyjnymi niskopodłogowymi autobusami —</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7912182"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5BF4256" w14:textId="77777777" w:rsidR="004C6421" w:rsidRDefault="009D1962">
            <w:pPr>
              <w:pStyle w:val="P68B1DB1-Normal8"/>
              <w:rPr>
                <w:noProof/>
              </w:rPr>
            </w:pPr>
            <w:r>
              <w:rPr>
                <w:noProof/>
              </w:rPr>
              <w:t>Liczba bezemisyjnych autobusów niskopodłogowych weszła w życie T2</w:t>
            </w:r>
          </w:p>
        </w:tc>
        <w:tc>
          <w:tcPr>
            <w:tcW w:w="2" w:type="dxa"/>
            <w:tcBorders>
              <w:top w:val="nil"/>
              <w:left w:val="single" w:sz="8" w:space="0" w:color="auto"/>
              <w:bottom w:val="nil"/>
              <w:right w:val="nil"/>
            </w:tcBorders>
            <w:vAlign w:val="center"/>
          </w:tcPr>
          <w:p w14:paraId="15608302" w14:textId="77777777" w:rsidR="004C6421" w:rsidRDefault="004C6421">
            <w:pPr>
              <w:rPr>
                <w:noProof/>
              </w:rPr>
            </w:pPr>
          </w:p>
        </w:tc>
      </w:tr>
      <w:tr w:rsidR="004C6421" w14:paraId="13503793"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670535A" w14:textId="77777777" w:rsidR="004C6421" w:rsidRDefault="009D1962">
            <w:pPr>
              <w:pStyle w:val="P68B1DB1-Normal8"/>
              <w:jc w:val="center"/>
              <w:rPr>
                <w:noProof/>
              </w:rPr>
            </w:pPr>
            <w:r>
              <w:rPr>
                <w:noProof/>
              </w:rPr>
              <w:t>M2C2-35 ter</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E3A7A17" w14:textId="77777777" w:rsidR="004C6421" w:rsidRDefault="009D1962">
            <w:pPr>
              <w:pStyle w:val="P68B1DB1-Normal8"/>
              <w:rPr>
                <w:noProof/>
              </w:rPr>
            </w:pPr>
            <w:r>
              <w:rPr>
                <w:noProof/>
              </w:rPr>
              <w:t>Inwestycja 4.4.1: Wzmocnienie floty regionalnych autobusów transportu publicznego za pomocą pojazdów napędzanych czystym paliwem</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46A8863"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5FF3B78" w14:textId="77777777" w:rsidR="004C6421" w:rsidRDefault="009D1962">
            <w:pPr>
              <w:pStyle w:val="P68B1DB1-Normal8"/>
              <w:rPr>
                <w:noProof/>
              </w:rPr>
            </w:pPr>
            <w:r>
              <w:rPr>
                <w:noProof/>
              </w:rPr>
              <w:t>Liczba stacji ładowania dla bezemisyjnych i niskoemisyjnych autobusów niskopodłogowych</w:t>
            </w:r>
          </w:p>
        </w:tc>
        <w:tc>
          <w:tcPr>
            <w:tcW w:w="2" w:type="dxa"/>
            <w:tcBorders>
              <w:top w:val="nil"/>
              <w:left w:val="single" w:sz="8" w:space="0" w:color="auto"/>
              <w:bottom w:val="nil"/>
              <w:right w:val="nil"/>
            </w:tcBorders>
            <w:vAlign w:val="center"/>
          </w:tcPr>
          <w:p w14:paraId="0B994DF4" w14:textId="77777777" w:rsidR="004C6421" w:rsidRDefault="004C6421">
            <w:pPr>
              <w:rPr>
                <w:noProof/>
              </w:rPr>
            </w:pPr>
          </w:p>
        </w:tc>
      </w:tr>
      <w:tr w:rsidR="004C6421" w14:paraId="54E7D4BF"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770C325" w14:textId="77777777" w:rsidR="004C6421" w:rsidRDefault="009D1962">
            <w:pPr>
              <w:pStyle w:val="P68B1DB1-Normal8"/>
              <w:jc w:val="center"/>
              <w:rPr>
                <w:noProof/>
              </w:rPr>
            </w:pPr>
            <w:r>
              <w:rPr>
                <w:noProof/>
              </w:rPr>
              <w:t xml:space="preserve">M2C2-35 bis </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BFB1386" w14:textId="77777777" w:rsidR="004C6421" w:rsidRDefault="009D1962">
            <w:pPr>
              <w:pStyle w:val="P68B1DB1-Normal8"/>
              <w:rPr>
                <w:noProof/>
              </w:rPr>
            </w:pPr>
            <w:r>
              <w:rPr>
                <w:noProof/>
              </w:rPr>
              <w:t>Inwestycja 4.4.2:  Wzmocnienie regionalnego taboru kolejowego transportu publicznego z pociągami bezemisyjnymi i usługą powszechną</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A28AE2F"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5AF04E2" w14:textId="77777777" w:rsidR="004C6421" w:rsidRDefault="009D1962">
            <w:pPr>
              <w:pStyle w:val="P68B1DB1-Normal8"/>
              <w:rPr>
                <w:noProof/>
              </w:rPr>
            </w:pPr>
            <w:r>
              <w:rPr>
                <w:noProof/>
              </w:rPr>
              <w:t xml:space="preserve">Liczba pociągów zeroemisyjnych i liczba przewozów w ramach usługi powszechnej </w:t>
            </w:r>
          </w:p>
        </w:tc>
        <w:tc>
          <w:tcPr>
            <w:tcW w:w="2" w:type="dxa"/>
            <w:tcBorders>
              <w:top w:val="nil"/>
              <w:left w:val="single" w:sz="8" w:space="0" w:color="auto"/>
              <w:bottom w:val="nil"/>
              <w:right w:val="nil"/>
            </w:tcBorders>
            <w:vAlign w:val="center"/>
          </w:tcPr>
          <w:p w14:paraId="665B3AB3" w14:textId="77777777" w:rsidR="004C6421" w:rsidRDefault="004C6421">
            <w:pPr>
              <w:rPr>
                <w:noProof/>
              </w:rPr>
            </w:pPr>
          </w:p>
        </w:tc>
      </w:tr>
      <w:tr w:rsidR="004C6421" w14:paraId="368A3907"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CD9768E" w14:textId="77777777" w:rsidR="004C6421" w:rsidRDefault="009D1962">
            <w:pPr>
              <w:pStyle w:val="P68B1DB1-Normal8"/>
              <w:jc w:val="center"/>
              <w:rPr>
                <w:noProof/>
              </w:rPr>
            </w:pPr>
            <w:r>
              <w:rPr>
                <w:noProof/>
              </w:rPr>
              <w:t>M2C2-36</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DA61741" w14:textId="77777777" w:rsidR="004C6421" w:rsidRDefault="009D1962">
            <w:pPr>
              <w:pStyle w:val="P68B1DB1-Normal8"/>
              <w:rPr>
                <w:noProof/>
              </w:rPr>
            </w:pPr>
            <w:r>
              <w:rPr>
                <w:noProof/>
              </w:rPr>
              <w:t>Inwestycja 4.4.3: Odnowienie floty na potrzeby dowództwa Krajowej Straży Pożarnej</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7D6E126"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9881BAF" w14:textId="77777777" w:rsidR="004C6421" w:rsidRDefault="009D1962">
            <w:pPr>
              <w:pStyle w:val="P68B1DB1-Normal8"/>
              <w:rPr>
                <w:noProof/>
              </w:rPr>
            </w:pPr>
            <w:r>
              <w:rPr>
                <w:noProof/>
              </w:rPr>
              <w:t>Liczba ekologicznie czystych pojazdów na potrzeby odnowienia floty na potrzeby dowództwa Krajowej Straży Pożarnej</w:t>
            </w:r>
          </w:p>
        </w:tc>
        <w:tc>
          <w:tcPr>
            <w:tcW w:w="2" w:type="dxa"/>
            <w:tcBorders>
              <w:top w:val="nil"/>
              <w:left w:val="single" w:sz="8" w:space="0" w:color="auto"/>
              <w:bottom w:val="nil"/>
              <w:right w:val="nil"/>
            </w:tcBorders>
            <w:vAlign w:val="center"/>
          </w:tcPr>
          <w:p w14:paraId="559B0135" w14:textId="77777777" w:rsidR="004C6421" w:rsidRDefault="004C6421">
            <w:pPr>
              <w:rPr>
                <w:noProof/>
              </w:rPr>
            </w:pPr>
          </w:p>
        </w:tc>
      </w:tr>
      <w:tr w:rsidR="004C6421" w14:paraId="60002570"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FBA9529" w14:textId="77777777" w:rsidR="004C6421" w:rsidRDefault="009D1962">
            <w:pPr>
              <w:pStyle w:val="P68B1DB1-Normal8"/>
              <w:jc w:val="center"/>
              <w:rPr>
                <w:noProof/>
              </w:rPr>
            </w:pPr>
            <w:r>
              <w:rPr>
                <w:noProof/>
              </w:rPr>
              <w:t>M2C2-43</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3F93B01" w14:textId="77777777" w:rsidR="004C6421" w:rsidRDefault="009D1962">
            <w:pPr>
              <w:pStyle w:val="P68B1DB1-Normal8"/>
              <w:rPr>
                <w:noProof/>
              </w:rPr>
            </w:pPr>
            <w:r>
              <w:rPr>
                <w:noProof/>
              </w:rPr>
              <w:t xml:space="preserve">Inwestycje 5.4 – Wsparcie dla przedsiębiorstw typu start-up i kapitału wysokiego ryzyka prowadzących działalność w zakresie transformacji ekologicznej. </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B5991F7"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641B38E" w14:textId="77777777" w:rsidR="004C6421" w:rsidRDefault="009D1962">
            <w:pPr>
              <w:pStyle w:val="P68B1DB1-Normal8"/>
              <w:rPr>
                <w:noProof/>
              </w:rPr>
            </w:pPr>
            <w:r>
              <w:rPr>
                <w:noProof/>
              </w:rPr>
              <w:t>Umowy prawne podpisane z funduszami venture capital i przedsiębiorstwami typu start-up</w:t>
            </w:r>
          </w:p>
        </w:tc>
        <w:tc>
          <w:tcPr>
            <w:tcW w:w="2" w:type="dxa"/>
            <w:tcBorders>
              <w:top w:val="nil"/>
              <w:left w:val="single" w:sz="8" w:space="0" w:color="auto"/>
              <w:bottom w:val="nil"/>
              <w:right w:val="nil"/>
            </w:tcBorders>
            <w:vAlign w:val="center"/>
          </w:tcPr>
          <w:p w14:paraId="01922E20" w14:textId="77777777" w:rsidR="004C6421" w:rsidRDefault="004C6421">
            <w:pPr>
              <w:rPr>
                <w:noProof/>
              </w:rPr>
            </w:pPr>
          </w:p>
        </w:tc>
      </w:tr>
      <w:tr w:rsidR="004C6421" w14:paraId="560AE21F"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0A93327" w14:textId="77777777" w:rsidR="004C6421" w:rsidRDefault="009D1962">
            <w:pPr>
              <w:pStyle w:val="P68B1DB1-Normal8"/>
              <w:jc w:val="center"/>
              <w:rPr>
                <w:noProof/>
              </w:rPr>
            </w:pPr>
            <w:r>
              <w:rPr>
                <w:noProof/>
              </w:rPr>
              <w:t>M2C2-45</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61C089A" w14:textId="77777777" w:rsidR="004C6421" w:rsidRDefault="009D1962">
            <w:pPr>
              <w:pStyle w:val="P68B1DB1-Normal8"/>
              <w:rPr>
                <w:noProof/>
              </w:rPr>
            </w:pPr>
            <w:r>
              <w:rPr>
                <w:noProof/>
              </w:rPr>
              <w:t>Inwestycja 1.1 Rozwój systemów agrowoltaicznych</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C82E6F2"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4E29F9E" w14:textId="77777777" w:rsidR="004C6421" w:rsidRDefault="009D1962">
            <w:pPr>
              <w:pStyle w:val="P68B1DB1-Normal8"/>
              <w:rPr>
                <w:noProof/>
              </w:rPr>
            </w:pPr>
            <w:r>
              <w:rPr>
                <w:noProof/>
              </w:rPr>
              <w:t xml:space="preserve">Instalacja fotowoltaicznych paneli słonecznych w systemach rolniczych </w:t>
            </w:r>
          </w:p>
        </w:tc>
        <w:tc>
          <w:tcPr>
            <w:tcW w:w="2" w:type="dxa"/>
            <w:tcBorders>
              <w:top w:val="nil"/>
              <w:left w:val="single" w:sz="8" w:space="0" w:color="auto"/>
              <w:bottom w:val="nil"/>
              <w:right w:val="nil"/>
            </w:tcBorders>
            <w:vAlign w:val="center"/>
          </w:tcPr>
          <w:p w14:paraId="751231BC" w14:textId="77777777" w:rsidR="004C6421" w:rsidRDefault="004C6421">
            <w:pPr>
              <w:rPr>
                <w:noProof/>
              </w:rPr>
            </w:pPr>
          </w:p>
        </w:tc>
      </w:tr>
      <w:tr w:rsidR="004C6421" w14:paraId="6AD218DD"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A919D98" w14:textId="77777777" w:rsidR="004C6421" w:rsidRDefault="009D1962">
            <w:pPr>
              <w:pStyle w:val="P68B1DB1-Normal8"/>
              <w:jc w:val="center"/>
              <w:rPr>
                <w:noProof/>
              </w:rPr>
            </w:pPr>
            <w:r>
              <w:rPr>
                <w:noProof/>
              </w:rPr>
              <w:t>M2C2-47</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F57C45C" w14:textId="77777777" w:rsidR="004C6421" w:rsidRDefault="009D1962">
            <w:pPr>
              <w:pStyle w:val="P68B1DB1-Normal8"/>
              <w:rPr>
                <w:noProof/>
              </w:rPr>
            </w:pPr>
            <w:r>
              <w:rPr>
                <w:noProof/>
              </w:rPr>
              <w:t>Inwestycje 1.2 Promowanie OZE dla społeczności energetycznych i działających wspólnie prosumentów energii ze źródeł odnawialnych</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514C5E1"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8F81504" w14:textId="77777777" w:rsidR="004C6421" w:rsidRDefault="009D1962">
            <w:pPr>
              <w:pStyle w:val="P68B1DB1-Normal8"/>
              <w:rPr>
                <w:noProof/>
              </w:rPr>
            </w:pPr>
            <w:r>
              <w:rPr>
                <w:noProof/>
              </w:rPr>
              <w:t>Instalacja nowych mocy wytwórczych z odnawialnych źródeł energii w społecznościach energetycznych i wspólnie działających prosumentach energii ze źródeł odnawialnych</w:t>
            </w:r>
          </w:p>
        </w:tc>
        <w:tc>
          <w:tcPr>
            <w:tcW w:w="2" w:type="dxa"/>
            <w:tcBorders>
              <w:top w:val="nil"/>
              <w:left w:val="single" w:sz="8" w:space="0" w:color="auto"/>
              <w:bottom w:val="nil"/>
              <w:right w:val="nil"/>
            </w:tcBorders>
            <w:vAlign w:val="center"/>
          </w:tcPr>
          <w:p w14:paraId="504B10D8" w14:textId="77777777" w:rsidR="004C6421" w:rsidRDefault="004C6421">
            <w:pPr>
              <w:rPr>
                <w:noProof/>
              </w:rPr>
            </w:pPr>
          </w:p>
        </w:tc>
      </w:tr>
      <w:tr w:rsidR="004C6421" w14:paraId="4DABC177"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910D3CB" w14:textId="77777777" w:rsidR="004C6421" w:rsidRDefault="009D1962">
            <w:pPr>
              <w:pStyle w:val="P68B1DB1-Normal8"/>
              <w:jc w:val="center"/>
              <w:rPr>
                <w:noProof/>
              </w:rPr>
            </w:pPr>
            <w:r>
              <w:rPr>
                <w:noProof/>
              </w:rPr>
              <w:t>M2C2-49</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599CFD0" w14:textId="77777777" w:rsidR="004C6421" w:rsidRDefault="009D1962">
            <w:pPr>
              <w:pStyle w:val="P68B1DB1-Normal8"/>
              <w:rPr>
                <w:noProof/>
              </w:rPr>
            </w:pPr>
            <w:r>
              <w:rPr>
                <w:noProof/>
              </w:rPr>
              <w:t>Inwestycja 3.1 Produkcja wodoru na terenach zdegradowanych (Hydrogen Valleys)</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8C639D3"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7A536A3" w14:textId="77777777" w:rsidR="004C6421" w:rsidRDefault="009D1962">
            <w:pPr>
              <w:pStyle w:val="P68B1DB1-Normal8"/>
              <w:rPr>
                <w:noProof/>
              </w:rPr>
            </w:pPr>
            <w:r>
              <w:rPr>
                <w:noProof/>
              </w:rPr>
              <w:t>Zakończenie projektu dotyczącego produkcji wodoru na obszarach przemysłowych</w:t>
            </w:r>
          </w:p>
        </w:tc>
        <w:tc>
          <w:tcPr>
            <w:tcW w:w="2" w:type="dxa"/>
            <w:tcBorders>
              <w:top w:val="nil"/>
              <w:left w:val="single" w:sz="8" w:space="0" w:color="auto"/>
              <w:bottom w:val="nil"/>
              <w:right w:val="nil"/>
            </w:tcBorders>
            <w:vAlign w:val="center"/>
          </w:tcPr>
          <w:p w14:paraId="382DBCAB" w14:textId="77777777" w:rsidR="004C6421" w:rsidRDefault="004C6421">
            <w:pPr>
              <w:rPr>
                <w:noProof/>
              </w:rPr>
            </w:pPr>
          </w:p>
        </w:tc>
      </w:tr>
      <w:tr w:rsidR="004C6421" w14:paraId="5A6513DF"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129C7CC" w14:textId="77777777" w:rsidR="004C6421" w:rsidRDefault="009D1962">
            <w:pPr>
              <w:pStyle w:val="P68B1DB1-Normal8"/>
              <w:jc w:val="center"/>
              <w:rPr>
                <w:noProof/>
              </w:rPr>
            </w:pPr>
            <w:r>
              <w:rPr>
                <w:noProof/>
              </w:rPr>
              <w:t>M2C2-51</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AE2C795" w14:textId="77777777" w:rsidR="004C6421" w:rsidRDefault="009D1962">
            <w:pPr>
              <w:pStyle w:val="P68B1DB1-Normal8"/>
              <w:rPr>
                <w:noProof/>
              </w:rPr>
            </w:pPr>
            <w:r>
              <w:rPr>
                <w:noProof/>
              </w:rPr>
              <w:t>Inwestycje 3.2 Wykorzystanie wodoru w przemyśle, w którym trudno zredukować emisje</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90F7D3C"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2446C64" w14:textId="77777777" w:rsidR="004C6421" w:rsidRDefault="009D1962">
            <w:pPr>
              <w:pStyle w:val="P68B1DB1-Normal8"/>
              <w:rPr>
                <w:noProof/>
              </w:rPr>
            </w:pPr>
            <w:r>
              <w:rPr>
                <w:noProof/>
              </w:rPr>
              <w:t>Wprowadzenie wodoru do procesu przemysłowego</w:t>
            </w:r>
          </w:p>
        </w:tc>
        <w:tc>
          <w:tcPr>
            <w:tcW w:w="2" w:type="dxa"/>
            <w:tcBorders>
              <w:top w:val="nil"/>
              <w:left w:val="single" w:sz="8" w:space="0" w:color="auto"/>
              <w:bottom w:val="nil"/>
              <w:right w:val="nil"/>
            </w:tcBorders>
            <w:vAlign w:val="center"/>
          </w:tcPr>
          <w:p w14:paraId="75FF336F" w14:textId="77777777" w:rsidR="004C6421" w:rsidRDefault="004C6421">
            <w:pPr>
              <w:rPr>
                <w:noProof/>
              </w:rPr>
            </w:pPr>
          </w:p>
        </w:tc>
      </w:tr>
      <w:tr w:rsidR="004C6421" w14:paraId="7D8D0002"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2B8373D" w14:textId="77777777" w:rsidR="004C6421" w:rsidRDefault="009D1962">
            <w:pPr>
              <w:pStyle w:val="P68B1DB1-Normal8"/>
              <w:jc w:val="center"/>
              <w:rPr>
                <w:noProof/>
              </w:rPr>
            </w:pPr>
            <w:r>
              <w:rPr>
                <w:noProof/>
              </w:rPr>
              <w:t>M2C2-53</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02C0836" w14:textId="77777777" w:rsidR="004C6421" w:rsidRDefault="009D1962">
            <w:pPr>
              <w:pStyle w:val="P68B1DB1-Normal8"/>
              <w:rPr>
                <w:noProof/>
              </w:rPr>
            </w:pPr>
            <w:r>
              <w:rPr>
                <w:noProof/>
              </w:rPr>
              <w:t>Inwestycje 5.2 Wodor</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443CC91"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80BC56B" w14:textId="77777777" w:rsidR="004C6421" w:rsidRDefault="009D1962">
            <w:pPr>
              <w:pStyle w:val="P68B1DB1-Normal8"/>
              <w:rPr>
                <w:noProof/>
              </w:rPr>
            </w:pPr>
            <w:r>
              <w:rPr>
                <w:noProof/>
              </w:rPr>
              <w:t xml:space="preserve">Wybudowana instalacja przemysłowa </w:t>
            </w:r>
          </w:p>
        </w:tc>
        <w:tc>
          <w:tcPr>
            <w:tcW w:w="2" w:type="dxa"/>
            <w:tcBorders>
              <w:top w:val="nil"/>
              <w:left w:val="single" w:sz="8" w:space="0" w:color="auto"/>
              <w:bottom w:val="nil"/>
              <w:right w:val="nil"/>
            </w:tcBorders>
            <w:vAlign w:val="center"/>
          </w:tcPr>
          <w:p w14:paraId="06A1858C" w14:textId="77777777" w:rsidR="004C6421" w:rsidRDefault="004C6421">
            <w:pPr>
              <w:rPr>
                <w:noProof/>
              </w:rPr>
            </w:pPr>
          </w:p>
        </w:tc>
      </w:tr>
      <w:tr w:rsidR="004C6421" w14:paraId="08177068"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54636C1" w14:textId="77777777" w:rsidR="004C6421" w:rsidRDefault="009D1962">
            <w:pPr>
              <w:pStyle w:val="P68B1DB1-Normal8"/>
              <w:jc w:val="center"/>
              <w:rPr>
                <w:noProof/>
              </w:rPr>
            </w:pPr>
            <w:r>
              <w:rPr>
                <w:noProof/>
              </w:rPr>
              <w:t>M2C4-6bis</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1AF3E7E" w14:textId="77777777" w:rsidR="004C6421" w:rsidRDefault="009D1962">
            <w:pPr>
              <w:pStyle w:val="P68B1DB1-Normal8"/>
              <w:rPr>
                <w:noProof/>
              </w:rPr>
            </w:pPr>
            <w:r>
              <w:rPr>
                <w:noProof/>
              </w:rPr>
              <w:t>Inwestycje 3.2: Cyfryzacja parków narodowych</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AFD19FB"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ADA5A1F" w14:textId="77777777" w:rsidR="004C6421" w:rsidRDefault="009D1962">
            <w:pPr>
              <w:pStyle w:val="P68B1DB1-Normal8"/>
              <w:rPr>
                <w:noProof/>
              </w:rPr>
            </w:pPr>
            <w:r>
              <w:rPr>
                <w:noProof/>
              </w:rPr>
              <w:t>Zakończenie interwencji</w:t>
            </w:r>
          </w:p>
        </w:tc>
        <w:tc>
          <w:tcPr>
            <w:tcW w:w="2" w:type="dxa"/>
            <w:tcBorders>
              <w:top w:val="nil"/>
              <w:left w:val="single" w:sz="8" w:space="0" w:color="auto"/>
              <w:bottom w:val="nil"/>
              <w:right w:val="nil"/>
            </w:tcBorders>
            <w:vAlign w:val="center"/>
          </w:tcPr>
          <w:p w14:paraId="15C029FC" w14:textId="77777777" w:rsidR="004C6421" w:rsidRDefault="004C6421">
            <w:pPr>
              <w:rPr>
                <w:noProof/>
              </w:rPr>
            </w:pPr>
          </w:p>
        </w:tc>
      </w:tr>
      <w:tr w:rsidR="004C6421" w14:paraId="4E0A0ED8"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64000AE" w14:textId="77777777" w:rsidR="004C6421" w:rsidRDefault="009D1962">
            <w:pPr>
              <w:pStyle w:val="P68B1DB1-Normal8"/>
              <w:jc w:val="center"/>
              <w:rPr>
                <w:noProof/>
              </w:rPr>
            </w:pPr>
            <w:r>
              <w:rPr>
                <w:noProof/>
              </w:rPr>
              <w:t>M2C4-11ter</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066BDD8" w14:textId="77777777" w:rsidR="004C6421" w:rsidRDefault="009D1962">
            <w:pPr>
              <w:pStyle w:val="P68B1DB1-Normal8"/>
              <w:rPr>
                <w:noProof/>
              </w:rPr>
            </w:pPr>
            <w:r>
              <w:rPr>
                <w:noProof/>
              </w:rPr>
              <w:t>Inwestycja 2.1.a. Środki na rzecz ograniczenia ryzyka powodziowego i hydrogeologicznego – Interwencje w Emilia-Romania, Toskanie i Marche</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08DEEDE" w14:textId="16158633" w:rsidR="004C6421" w:rsidRDefault="00CC179E">
            <w:pPr>
              <w:pStyle w:val="P68B1DB1-Normal8"/>
              <w:jc w:val="center"/>
              <w:rPr>
                <w:noProof/>
              </w:rPr>
            </w:pPr>
            <w:r>
              <w:rPr>
                <w:noProof/>
              </w:rPr>
              <w:t>Milowy</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011ADF7" w14:textId="77777777" w:rsidR="004C6421" w:rsidRDefault="009D1962">
            <w:pPr>
              <w:pStyle w:val="P68B1DB1-Normal8"/>
              <w:rPr>
                <w:noProof/>
              </w:rPr>
            </w:pPr>
            <w:r>
              <w:rPr>
                <w:noProof/>
              </w:rPr>
              <w:t>Zakończenie projektów</w:t>
            </w:r>
          </w:p>
        </w:tc>
        <w:tc>
          <w:tcPr>
            <w:tcW w:w="2" w:type="dxa"/>
            <w:tcBorders>
              <w:top w:val="nil"/>
              <w:left w:val="single" w:sz="8" w:space="0" w:color="auto"/>
              <w:bottom w:val="nil"/>
              <w:right w:val="nil"/>
            </w:tcBorders>
            <w:vAlign w:val="center"/>
          </w:tcPr>
          <w:p w14:paraId="014BA51E" w14:textId="77777777" w:rsidR="004C6421" w:rsidRDefault="004C6421">
            <w:pPr>
              <w:rPr>
                <w:noProof/>
              </w:rPr>
            </w:pPr>
          </w:p>
        </w:tc>
      </w:tr>
      <w:tr w:rsidR="004C6421" w14:paraId="225989C2"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2E84EFB" w14:textId="77777777" w:rsidR="004C6421" w:rsidRDefault="009D1962">
            <w:pPr>
              <w:pStyle w:val="P68B1DB1-Normal8"/>
              <w:jc w:val="center"/>
              <w:rPr>
                <w:noProof/>
              </w:rPr>
            </w:pPr>
            <w:r>
              <w:rPr>
                <w:noProof/>
              </w:rPr>
              <w:t>M2C4-13</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52AE8AC" w14:textId="77777777" w:rsidR="004C6421" w:rsidRDefault="009D1962">
            <w:pPr>
              <w:pStyle w:val="P68B1DB1-Normal8"/>
              <w:rPr>
                <w:noProof/>
              </w:rPr>
            </w:pPr>
            <w:r>
              <w:rPr>
                <w:noProof/>
              </w:rPr>
              <w:t>Inwestycje 2.1b – Środki na rzecz zmniejszenia ryzyka powodziowego i hydrogeologicznego</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A2CE121"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6C5963D" w14:textId="77777777" w:rsidR="004C6421" w:rsidRDefault="009D1962">
            <w:pPr>
              <w:pStyle w:val="P68B1DB1-Normal8"/>
              <w:rPr>
                <w:noProof/>
              </w:rPr>
            </w:pPr>
            <w:r>
              <w:rPr>
                <w:noProof/>
              </w:rPr>
              <w:t>Zakończenie interwencji typu D i E</w:t>
            </w:r>
          </w:p>
        </w:tc>
        <w:tc>
          <w:tcPr>
            <w:tcW w:w="2" w:type="dxa"/>
            <w:tcBorders>
              <w:top w:val="nil"/>
              <w:left w:val="single" w:sz="8" w:space="0" w:color="auto"/>
              <w:bottom w:val="nil"/>
              <w:right w:val="nil"/>
            </w:tcBorders>
            <w:vAlign w:val="center"/>
          </w:tcPr>
          <w:p w14:paraId="75218789" w14:textId="77777777" w:rsidR="004C6421" w:rsidRDefault="004C6421">
            <w:pPr>
              <w:rPr>
                <w:noProof/>
              </w:rPr>
            </w:pPr>
          </w:p>
        </w:tc>
      </w:tr>
      <w:tr w:rsidR="004C6421" w14:paraId="60A7C974"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0069C09" w14:textId="77777777" w:rsidR="004C6421" w:rsidRDefault="009D1962">
            <w:pPr>
              <w:pStyle w:val="P68B1DB1-Normal8"/>
              <w:jc w:val="center"/>
              <w:rPr>
                <w:noProof/>
              </w:rPr>
            </w:pPr>
            <w:r>
              <w:rPr>
                <w:noProof/>
              </w:rPr>
              <w:t>M2C4-20bis</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89CE6D3" w14:textId="77777777" w:rsidR="004C6421" w:rsidRDefault="009D1962">
            <w:pPr>
              <w:pStyle w:val="P68B1DB1-Normal8"/>
              <w:rPr>
                <w:noProof/>
              </w:rPr>
            </w:pPr>
            <w:r>
              <w:rPr>
                <w:noProof/>
              </w:rPr>
              <w:t>Inwestycje. 3.1: Ochrona i poprawa stanu lasów miejskich i podmiejskich</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6501986"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9F000AC" w14:textId="77777777" w:rsidR="004C6421" w:rsidRDefault="009D1962">
            <w:pPr>
              <w:pStyle w:val="P68B1DB1-Normal8"/>
              <w:rPr>
                <w:noProof/>
              </w:rPr>
            </w:pPr>
            <w:r>
              <w:rPr>
                <w:noProof/>
              </w:rPr>
              <w:t xml:space="preserve">Drzewa roślinne w celu ochrony i waloryzacji zielonych obszarów miejskich i podmiejskich T3 </w:t>
            </w:r>
          </w:p>
        </w:tc>
        <w:tc>
          <w:tcPr>
            <w:tcW w:w="2" w:type="dxa"/>
            <w:tcBorders>
              <w:top w:val="nil"/>
              <w:left w:val="single" w:sz="8" w:space="0" w:color="auto"/>
              <w:bottom w:val="nil"/>
              <w:right w:val="nil"/>
            </w:tcBorders>
            <w:vAlign w:val="center"/>
          </w:tcPr>
          <w:p w14:paraId="47569BE7" w14:textId="77777777" w:rsidR="004C6421" w:rsidRDefault="004C6421">
            <w:pPr>
              <w:rPr>
                <w:noProof/>
              </w:rPr>
            </w:pPr>
          </w:p>
        </w:tc>
      </w:tr>
      <w:tr w:rsidR="004C6421" w14:paraId="176816C1"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FE84D7F" w14:textId="77777777" w:rsidR="004C6421" w:rsidRDefault="009D1962">
            <w:pPr>
              <w:pStyle w:val="P68B1DB1-Normal8"/>
              <w:jc w:val="center"/>
              <w:rPr>
                <w:noProof/>
              </w:rPr>
            </w:pPr>
            <w:r>
              <w:rPr>
                <w:noProof/>
              </w:rPr>
              <w:t>M2C4-34bis</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DF1B942" w14:textId="77777777" w:rsidR="004C6421" w:rsidRDefault="009D1962">
            <w:pPr>
              <w:pStyle w:val="P68B1DB1-Normal8"/>
              <w:rPr>
                <w:noProof/>
              </w:rPr>
            </w:pPr>
            <w:r>
              <w:rPr>
                <w:noProof/>
              </w:rPr>
              <w:t>Inwestycje 4.3 Inwestycje w odporność agrosystemu nawadniania w celu lepszego gospodarowania zasobami wodnymi</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D5CF4B1"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223EA5D" w14:textId="77777777" w:rsidR="004C6421" w:rsidRDefault="009D1962">
            <w:pPr>
              <w:pStyle w:val="P68B1DB1-Normal8"/>
              <w:rPr>
                <w:noProof/>
              </w:rPr>
            </w:pPr>
            <w:r>
              <w:rPr>
                <w:noProof/>
              </w:rPr>
              <w:t>Interwencje na rzecz odporności agrosystemu nawadniania w celu lepszego gospodarowania zasobami wodnymi T1</w:t>
            </w:r>
          </w:p>
        </w:tc>
        <w:tc>
          <w:tcPr>
            <w:tcW w:w="2" w:type="dxa"/>
            <w:tcBorders>
              <w:top w:val="nil"/>
              <w:left w:val="single" w:sz="8" w:space="0" w:color="auto"/>
              <w:bottom w:val="nil"/>
              <w:right w:val="nil"/>
            </w:tcBorders>
            <w:vAlign w:val="center"/>
          </w:tcPr>
          <w:p w14:paraId="16E2D73E" w14:textId="77777777" w:rsidR="004C6421" w:rsidRDefault="004C6421">
            <w:pPr>
              <w:rPr>
                <w:noProof/>
              </w:rPr>
            </w:pPr>
          </w:p>
        </w:tc>
      </w:tr>
      <w:tr w:rsidR="004C6421" w14:paraId="19DEF49D"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F3DAA8E" w14:textId="77777777" w:rsidR="004C6421" w:rsidRDefault="009D1962">
            <w:pPr>
              <w:pStyle w:val="P68B1DB1-Normal8"/>
              <w:jc w:val="center"/>
              <w:rPr>
                <w:noProof/>
              </w:rPr>
            </w:pPr>
            <w:r>
              <w:rPr>
                <w:noProof/>
              </w:rPr>
              <w:t>M3C1-6</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BC4C527" w14:textId="77777777" w:rsidR="004C6421" w:rsidRDefault="009D1962">
            <w:pPr>
              <w:pStyle w:val="P68B1DB1-Normal8"/>
              <w:rPr>
                <w:noProof/>
              </w:rPr>
            </w:pPr>
            <w:r>
              <w:rPr>
                <w:noProof/>
              </w:rPr>
              <w:t>Inwestycje 1.1 – Połączenia kolejowe dużych prędkości z Południem dla pasażerów i towarów</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6CC5284"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7867AA0" w14:textId="77777777" w:rsidR="004C6421" w:rsidRDefault="009D1962">
            <w:pPr>
              <w:pStyle w:val="P68B1DB1-Normal8"/>
              <w:rPr>
                <w:noProof/>
              </w:rPr>
            </w:pPr>
            <w:r>
              <w:rPr>
                <w:noProof/>
              </w:rPr>
              <w:t>Kolej dużych prędkości, zarówno pasażerskich, jak i towarowych, na liniach Napoli-Bari, Salerno-Reggio Calabria, Palermo-Katania</w:t>
            </w:r>
          </w:p>
        </w:tc>
        <w:tc>
          <w:tcPr>
            <w:tcW w:w="2" w:type="dxa"/>
            <w:tcBorders>
              <w:top w:val="nil"/>
              <w:left w:val="single" w:sz="8" w:space="0" w:color="auto"/>
              <w:bottom w:val="nil"/>
              <w:right w:val="nil"/>
            </w:tcBorders>
            <w:vAlign w:val="center"/>
          </w:tcPr>
          <w:p w14:paraId="7D1B42CF" w14:textId="77777777" w:rsidR="004C6421" w:rsidRDefault="004C6421">
            <w:pPr>
              <w:rPr>
                <w:noProof/>
              </w:rPr>
            </w:pPr>
          </w:p>
        </w:tc>
      </w:tr>
      <w:tr w:rsidR="004C6421" w14:paraId="335AD5F8"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95AF6CA" w14:textId="77777777" w:rsidR="004C6421" w:rsidRDefault="009D1962">
            <w:pPr>
              <w:pStyle w:val="P68B1DB1-Normal8"/>
              <w:jc w:val="center"/>
              <w:rPr>
                <w:noProof/>
              </w:rPr>
            </w:pPr>
            <w:r>
              <w:rPr>
                <w:noProof/>
              </w:rPr>
              <w:t>M3C1-24</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1BA6F5C" w14:textId="77777777" w:rsidR="004C6421" w:rsidRDefault="009D1962">
            <w:pPr>
              <w:pStyle w:val="P68B1DB1-Normal8"/>
              <w:rPr>
                <w:noProof/>
              </w:rPr>
            </w:pPr>
            <w:r>
              <w:rPr>
                <w:noProof/>
              </w:rPr>
              <w:t>Inwestycje 1.9 Połączenia międzyregionalne</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84EFD4D"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9586DDC" w14:textId="77777777" w:rsidR="004C6421" w:rsidRDefault="009D1962">
            <w:pPr>
              <w:pStyle w:val="P68B1DB1-Normal8"/>
              <w:rPr>
                <w:noProof/>
              </w:rPr>
            </w:pPr>
            <w:r>
              <w:rPr>
                <w:noProof/>
              </w:rPr>
              <w:t>Inwestycje 1.9 Połączenia międzyregionalne</w:t>
            </w:r>
          </w:p>
        </w:tc>
        <w:tc>
          <w:tcPr>
            <w:tcW w:w="2" w:type="dxa"/>
            <w:tcBorders>
              <w:top w:val="nil"/>
              <w:left w:val="single" w:sz="8" w:space="0" w:color="auto"/>
              <w:bottom w:val="nil"/>
              <w:right w:val="nil"/>
            </w:tcBorders>
            <w:vAlign w:val="center"/>
          </w:tcPr>
          <w:p w14:paraId="207B4034" w14:textId="77777777" w:rsidR="004C6421" w:rsidRDefault="004C6421">
            <w:pPr>
              <w:rPr>
                <w:noProof/>
              </w:rPr>
            </w:pPr>
          </w:p>
        </w:tc>
      </w:tr>
      <w:tr w:rsidR="004C6421" w14:paraId="2BBA7015"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ECF6515" w14:textId="77777777" w:rsidR="004C6421" w:rsidRDefault="009D1962">
            <w:pPr>
              <w:pStyle w:val="P68B1DB1-Normal8"/>
              <w:jc w:val="center"/>
              <w:rPr>
                <w:noProof/>
              </w:rPr>
            </w:pPr>
            <w:r>
              <w:rPr>
                <w:noProof/>
              </w:rPr>
              <w:t>M3C1-9</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565B63D" w14:textId="77777777" w:rsidR="004C6421" w:rsidRDefault="009D1962">
            <w:pPr>
              <w:pStyle w:val="P68B1DB1-Normal8"/>
              <w:rPr>
                <w:noProof/>
              </w:rPr>
            </w:pPr>
            <w:r>
              <w:rPr>
                <w:noProof/>
              </w:rPr>
              <w:t>Inwestycja 1.2 – Linie dużych prędkości na północy łączące się z resztą Europy</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A0D134F"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2AA8CAD" w14:textId="77777777" w:rsidR="004C6421" w:rsidRDefault="009D1962">
            <w:pPr>
              <w:pStyle w:val="P68B1DB1-Normal8"/>
              <w:rPr>
                <w:noProof/>
              </w:rPr>
            </w:pPr>
            <w:r>
              <w:rPr>
                <w:noProof/>
              </w:rPr>
              <w:t>Kolej dużych prędkości, zarówno pasażerskich, jak i towarowych, na liniach Brescia-Werona-Vicenza-Padova; Liguria-Alpi.</w:t>
            </w:r>
          </w:p>
        </w:tc>
        <w:tc>
          <w:tcPr>
            <w:tcW w:w="2" w:type="dxa"/>
            <w:tcBorders>
              <w:top w:val="nil"/>
              <w:left w:val="single" w:sz="8" w:space="0" w:color="auto"/>
              <w:bottom w:val="nil"/>
              <w:right w:val="nil"/>
            </w:tcBorders>
            <w:vAlign w:val="center"/>
          </w:tcPr>
          <w:p w14:paraId="63E38D8E" w14:textId="77777777" w:rsidR="004C6421" w:rsidRDefault="004C6421">
            <w:pPr>
              <w:rPr>
                <w:noProof/>
              </w:rPr>
            </w:pPr>
          </w:p>
        </w:tc>
      </w:tr>
      <w:tr w:rsidR="004C6421" w14:paraId="762E95F4"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A6AAAE6" w14:textId="77777777" w:rsidR="004C6421" w:rsidRDefault="009D1962">
            <w:pPr>
              <w:pStyle w:val="P68B1DB1-Normal8"/>
              <w:jc w:val="center"/>
              <w:rPr>
                <w:noProof/>
              </w:rPr>
            </w:pPr>
            <w:r>
              <w:rPr>
                <w:noProof/>
              </w:rPr>
              <w:t>M3C1-11</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92B0827" w14:textId="77777777" w:rsidR="004C6421" w:rsidRDefault="009D1962">
            <w:pPr>
              <w:pStyle w:val="P68B1DB1-Normal8"/>
              <w:rPr>
                <w:noProof/>
              </w:rPr>
            </w:pPr>
            <w:r>
              <w:rPr>
                <w:noProof/>
              </w:rPr>
              <w:t>Inwestycje 1.3 – Połączenia zasadnicze</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2E4AEC3"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A114C92" w14:textId="77777777" w:rsidR="004C6421" w:rsidRDefault="009D1962">
            <w:pPr>
              <w:pStyle w:val="P68B1DB1-Normal8"/>
              <w:rPr>
                <w:noProof/>
              </w:rPr>
            </w:pPr>
            <w:r>
              <w:rPr>
                <w:noProof/>
              </w:rPr>
              <w:t>Kolej dużych prędkości, zarówno pasażerskich, jak i towarowych, na linii Orte-Falconara i Taranto-Metaponto-Potenza-Battipaglia</w:t>
            </w:r>
          </w:p>
        </w:tc>
        <w:tc>
          <w:tcPr>
            <w:tcW w:w="2" w:type="dxa"/>
            <w:tcBorders>
              <w:top w:val="nil"/>
              <w:left w:val="single" w:sz="8" w:space="0" w:color="auto"/>
              <w:bottom w:val="nil"/>
              <w:right w:val="nil"/>
            </w:tcBorders>
            <w:vAlign w:val="center"/>
          </w:tcPr>
          <w:p w14:paraId="04B38629" w14:textId="77777777" w:rsidR="004C6421" w:rsidRDefault="004C6421">
            <w:pPr>
              <w:rPr>
                <w:noProof/>
              </w:rPr>
            </w:pPr>
          </w:p>
        </w:tc>
      </w:tr>
      <w:tr w:rsidR="004C6421" w14:paraId="185076AB"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43BA148" w14:textId="77777777" w:rsidR="004C6421" w:rsidRDefault="009D1962">
            <w:pPr>
              <w:pStyle w:val="P68B1DB1-Normal8"/>
              <w:jc w:val="center"/>
              <w:rPr>
                <w:noProof/>
              </w:rPr>
            </w:pPr>
            <w:r>
              <w:rPr>
                <w:noProof/>
              </w:rPr>
              <w:t>M3C1-14</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EA739DF" w14:textId="77777777" w:rsidR="004C6421" w:rsidRDefault="009D1962">
            <w:pPr>
              <w:pStyle w:val="P68B1DB1-Normal8"/>
              <w:rPr>
                <w:noProof/>
              </w:rPr>
            </w:pPr>
            <w:r>
              <w:rPr>
                <w:noProof/>
              </w:rPr>
              <w:t>Inwestycje 1.4 – Wprowadzenie europejskiego systemu zarządzania transportem kolejowym (ERTMS)</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063FD72"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6FEEBA8" w14:textId="4020B27F" w:rsidR="004C6421" w:rsidRDefault="009D1962">
            <w:pPr>
              <w:rPr>
                <w:noProof/>
              </w:rPr>
            </w:pPr>
            <w:r>
              <w:rPr>
                <w:noProof/>
                <w:color w:val="006100"/>
                <w:sz w:val="20"/>
              </w:rPr>
              <w:t>2</w:t>
            </w:r>
            <w:r>
              <w:rPr>
                <w:noProof/>
                <w:sz w:val="23"/>
              </w:rPr>
              <w:t xml:space="preserve"> </w:t>
            </w:r>
            <w:r>
              <w:rPr>
                <w:noProof/>
                <w:color w:val="006100"/>
                <w:sz w:val="20"/>
              </w:rPr>
              <w:t>785 km linii kolejowych wyposażonych w europejski system zarządzania transportem kolejowym</w:t>
            </w:r>
          </w:p>
        </w:tc>
        <w:tc>
          <w:tcPr>
            <w:tcW w:w="2" w:type="dxa"/>
            <w:tcBorders>
              <w:top w:val="nil"/>
              <w:left w:val="single" w:sz="8" w:space="0" w:color="auto"/>
              <w:bottom w:val="nil"/>
              <w:right w:val="nil"/>
            </w:tcBorders>
            <w:vAlign w:val="center"/>
          </w:tcPr>
          <w:p w14:paraId="2CA385CB" w14:textId="77777777" w:rsidR="004C6421" w:rsidRDefault="004C6421">
            <w:pPr>
              <w:rPr>
                <w:noProof/>
              </w:rPr>
            </w:pPr>
          </w:p>
        </w:tc>
      </w:tr>
      <w:tr w:rsidR="004C6421" w14:paraId="7974BAF6"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1E54141" w14:textId="77777777" w:rsidR="004C6421" w:rsidRDefault="009D1962">
            <w:pPr>
              <w:pStyle w:val="P68B1DB1-Normal8"/>
              <w:jc w:val="center"/>
              <w:rPr>
                <w:noProof/>
              </w:rPr>
            </w:pPr>
            <w:r>
              <w:rPr>
                <w:noProof/>
              </w:rPr>
              <w:t>M3C1-16</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305513A" w14:textId="77777777" w:rsidR="004C6421" w:rsidRDefault="009D1962">
            <w:pPr>
              <w:pStyle w:val="P68B1DB1-Normal8"/>
              <w:rPr>
                <w:noProof/>
              </w:rPr>
            </w:pPr>
            <w:r>
              <w:rPr>
                <w:noProof/>
              </w:rPr>
              <w:t>Inwestycja 1.5 – Wzmocnienie węzłów metropolitalnych i kluczowych powiązań krajowych</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E09E626"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CCF35F8" w14:textId="416C9365" w:rsidR="004C6421" w:rsidRDefault="009D1962">
            <w:pPr>
              <w:rPr>
                <w:noProof/>
              </w:rPr>
            </w:pPr>
            <w:r>
              <w:rPr>
                <w:noProof/>
                <w:color w:val="006100"/>
                <w:sz w:val="20"/>
              </w:rPr>
              <w:t>1280</w:t>
            </w:r>
            <w:r>
              <w:rPr>
                <w:noProof/>
                <w:sz w:val="23"/>
              </w:rPr>
              <w:t xml:space="preserve"> </w:t>
            </w:r>
            <w:r>
              <w:rPr>
                <w:noProof/>
                <w:color w:val="006100"/>
                <w:sz w:val="20"/>
              </w:rPr>
              <w:t>km zmodernizowanych odcinków linii zbudowanych na węzłach metropolitalnych i kluczowych połączeniach krajowych</w:t>
            </w:r>
          </w:p>
        </w:tc>
        <w:tc>
          <w:tcPr>
            <w:tcW w:w="2" w:type="dxa"/>
            <w:tcBorders>
              <w:top w:val="nil"/>
              <w:left w:val="single" w:sz="8" w:space="0" w:color="auto"/>
              <w:bottom w:val="nil"/>
              <w:right w:val="nil"/>
            </w:tcBorders>
            <w:vAlign w:val="center"/>
          </w:tcPr>
          <w:p w14:paraId="04562FCF" w14:textId="77777777" w:rsidR="004C6421" w:rsidRDefault="004C6421">
            <w:pPr>
              <w:rPr>
                <w:noProof/>
              </w:rPr>
            </w:pPr>
          </w:p>
        </w:tc>
      </w:tr>
      <w:tr w:rsidR="004C6421" w14:paraId="6A25F110"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E357A5D" w14:textId="77777777" w:rsidR="004C6421" w:rsidRDefault="009D1962">
            <w:pPr>
              <w:pStyle w:val="P68B1DB1-Normal8"/>
              <w:jc w:val="center"/>
              <w:rPr>
                <w:noProof/>
              </w:rPr>
            </w:pPr>
            <w:r>
              <w:rPr>
                <w:noProof/>
              </w:rPr>
              <w:t>M3C1-17bis</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4A3F32A" w14:textId="77777777" w:rsidR="004C6421" w:rsidRDefault="009D1962">
            <w:pPr>
              <w:pStyle w:val="P68B1DB1-Normal8"/>
              <w:rPr>
                <w:noProof/>
              </w:rPr>
            </w:pPr>
            <w:r>
              <w:rPr>
                <w:noProof/>
              </w:rPr>
              <w:t>Inwestycje 1.7 – Modernizacja, elektryfikacja i odporność kolei na południu</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0B460A3"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2EC008A" w14:textId="77777777" w:rsidR="004C6421" w:rsidRDefault="009D1962">
            <w:pPr>
              <w:pStyle w:val="P68B1DB1-Normal8"/>
              <w:rPr>
                <w:noProof/>
              </w:rPr>
            </w:pPr>
            <w:r>
              <w:rPr>
                <w:noProof/>
              </w:rPr>
              <w:t>Zakończono 650 km robót związanych z modernizacją, elektryfikacją i odpornością kolei na południu, gotowych do fazy udzielania zezwoleń i eksploatacji.</w:t>
            </w:r>
          </w:p>
        </w:tc>
        <w:tc>
          <w:tcPr>
            <w:tcW w:w="2" w:type="dxa"/>
            <w:tcBorders>
              <w:top w:val="nil"/>
              <w:left w:val="single" w:sz="8" w:space="0" w:color="auto"/>
              <w:bottom w:val="nil"/>
              <w:right w:val="nil"/>
            </w:tcBorders>
            <w:vAlign w:val="center"/>
          </w:tcPr>
          <w:p w14:paraId="62DD983B" w14:textId="77777777" w:rsidR="004C6421" w:rsidRDefault="004C6421">
            <w:pPr>
              <w:rPr>
                <w:noProof/>
              </w:rPr>
            </w:pPr>
          </w:p>
        </w:tc>
      </w:tr>
      <w:tr w:rsidR="004C6421" w14:paraId="50DEA004"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C9DE6A7" w14:textId="77777777" w:rsidR="004C6421" w:rsidRDefault="009D1962">
            <w:pPr>
              <w:pStyle w:val="P68B1DB1-Normal8"/>
              <w:jc w:val="center"/>
              <w:rPr>
                <w:noProof/>
              </w:rPr>
            </w:pPr>
            <w:r>
              <w:rPr>
                <w:noProof/>
              </w:rPr>
              <w:t>M3C1-18</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0A66776" w14:textId="77777777" w:rsidR="004C6421" w:rsidRDefault="009D1962">
            <w:pPr>
              <w:pStyle w:val="P68B1DB1-Normal8"/>
              <w:rPr>
                <w:noProof/>
              </w:rPr>
            </w:pPr>
            <w:r>
              <w:rPr>
                <w:noProof/>
              </w:rPr>
              <w:t>Inwestycje 1.6 – Wzmocnienie linii regionalnych – modernizacja kolei regionalnych (zarządzanie RFI)</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ADC0F0E"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73A693A" w14:textId="77777777" w:rsidR="004C6421" w:rsidRDefault="009D1962">
            <w:pPr>
              <w:pStyle w:val="P68B1DB1-Normal8"/>
              <w:rPr>
                <w:noProof/>
              </w:rPr>
            </w:pPr>
            <w:r>
              <w:rPr>
                <w:noProof/>
              </w:rPr>
              <w:t>Zmodernizowane linie regionalne, gotowe do uzyskania zezwolenia i fazy eksploatacji</w:t>
            </w:r>
          </w:p>
        </w:tc>
        <w:tc>
          <w:tcPr>
            <w:tcW w:w="2" w:type="dxa"/>
            <w:tcBorders>
              <w:top w:val="nil"/>
              <w:left w:val="single" w:sz="8" w:space="0" w:color="auto"/>
              <w:bottom w:val="nil"/>
              <w:right w:val="nil"/>
            </w:tcBorders>
            <w:vAlign w:val="center"/>
          </w:tcPr>
          <w:p w14:paraId="36E38128" w14:textId="77777777" w:rsidR="004C6421" w:rsidRDefault="004C6421">
            <w:pPr>
              <w:rPr>
                <w:noProof/>
              </w:rPr>
            </w:pPr>
          </w:p>
        </w:tc>
      </w:tr>
      <w:tr w:rsidR="004C6421" w14:paraId="6D310280"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7AD940C" w14:textId="77777777" w:rsidR="004C6421" w:rsidRDefault="009D1962">
            <w:pPr>
              <w:pStyle w:val="P68B1DB1-Normal8"/>
              <w:jc w:val="center"/>
              <w:rPr>
                <w:noProof/>
              </w:rPr>
            </w:pPr>
            <w:r>
              <w:rPr>
                <w:noProof/>
              </w:rPr>
              <w:t>M3C1-20</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91534A0" w14:textId="77777777" w:rsidR="004C6421" w:rsidRDefault="009D1962">
            <w:pPr>
              <w:pStyle w:val="P68B1DB1-Normal8"/>
              <w:rPr>
                <w:noProof/>
              </w:rPr>
            </w:pPr>
            <w:r>
              <w:rPr>
                <w:noProof/>
              </w:rPr>
              <w:t>Inwestycja 1.8 – Modernizacja dworców kolejowych (zarządzanie RFI; na południu)</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D90B4AB"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36FD618" w14:textId="77777777" w:rsidR="004C6421" w:rsidRDefault="009D1962">
            <w:pPr>
              <w:pStyle w:val="P68B1DB1-Normal8"/>
              <w:rPr>
                <w:noProof/>
              </w:rPr>
            </w:pPr>
            <w:r>
              <w:rPr>
                <w:noProof/>
              </w:rPr>
              <w:t>Zmodernizowane i dostępne stacje kolejowe</w:t>
            </w:r>
          </w:p>
        </w:tc>
        <w:tc>
          <w:tcPr>
            <w:tcW w:w="2" w:type="dxa"/>
            <w:tcBorders>
              <w:top w:val="nil"/>
              <w:left w:val="single" w:sz="8" w:space="0" w:color="auto"/>
              <w:bottom w:val="nil"/>
              <w:right w:val="nil"/>
            </w:tcBorders>
            <w:vAlign w:val="center"/>
          </w:tcPr>
          <w:p w14:paraId="1475259F" w14:textId="77777777" w:rsidR="004C6421" w:rsidRDefault="004C6421">
            <w:pPr>
              <w:rPr>
                <w:noProof/>
              </w:rPr>
            </w:pPr>
          </w:p>
        </w:tc>
      </w:tr>
      <w:tr w:rsidR="004C6421" w14:paraId="17BC629B"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C39DC1E" w14:textId="77777777" w:rsidR="004C6421" w:rsidRDefault="009D1962">
            <w:pPr>
              <w:pStyle w:val="P68B1DB1-Normal8"/>
              <w:jc w:val="center"/>
              <w:rPr>
                <w:noProof/>
              </w:rPr>
            </w:pPr>
            <w:r>
              <w:rPr>
                <w:noProof/>
              </w:rPr>
              <w:t>M4C1-30</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2BE28DE" w14:textId="77777777" w:rsidR="004C6421" w:rsidRDefault="009D1962">
            <w:pPr>
              <w:pStyle w:val="P68B1DB1-Normal8"/>
              <w:rPr>
                <w:noProof/>
              </w:rPr>
            </w:pPr>
            <w:r>
              <w:rPr>
                <w:noProof/>
              </w:rPr>
              <w:t>Reforma 1.7: Reforma przepisów dotyczących mieszkalnictwa dla studentów i inwestycje w mieszkalnictwo studenckie</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4328870"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1A92EF1" w14:textId="77777777" w:rsidR="004C6421" w:rsidRDefault="009D1962">
            <w:pPr>
              <w:pStyle w:val="P68B1DB1-Normal8"/>
              <w:rPr>
                <w:noProof/>
              </w:rPr>
            </w:pPr>
            <w:r>
              <w:rPr>
                <w:noProof/>
              </w:rPr>
              <w:t>Utworzone lokale noclegowe dla studentów zgodnie z odpowiednimi przepisami</w:t>
            </w:r>
          </w:p>
        </w:tc>
        <w:tc>
          <w:tcPr>
            <w:tcW w:w="2" w:type="dxa"/>
            <w:tcBorders>
              <w:top w:val="nil"/>
              <w:left w:val="single" w:sz="8" w:space="0" w:color="auto"/>
              <w:bottom w:val="nil"/>
              <w:right w:val="nil"/>
            </w:tcBorders>
            <w:vAlign w:val="center"/>
          </w:tcPr>
          <w:p w14:paraId="627AAFF0" w14:textId="77777777" w:rsidR="004C6421" w:rsidRDefault="004C6421">
            <w:pPr>
              <w:rPr>
                <w:noProof/>
              </w:rPr>
            </w:pPr>
          </w:p>
        </w:tc>
      </w:tr>
      <w:tr w:rsidR="004C6421" w14:paraId="779750FF"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11F94AC" w14:textId="77777777" w:rsidR="004C6421" w:rsidRDefault="009D1962">
            <w:pPr>
              <w:pStyle w:val="P68B1DB1-Normal8"/>
              <w:jc w:val="center"/>
              <w:rPr>
                <w:noProof/>
              </w:rPr>
            </w:pPr>
            <w:r>
              <w:rPr>
                <w:noProof/>
              </w:rPr>
              <w:t>M4C2-9</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3976573" w14:textId="77777777" w:rsidR="004C6421" w:rsidRDefault="009D1962">
            <w:pPr>
              <w:pStyle w:val="P68B1DB1-Normal8"/>
              <w:rPr>
                <w:noProof/>
              </w:rPr>
            </w:pPr>
            <w:r>
              <w:rPr>
                <w:noProof/>
              </w:rPr>
              <w:t>Inwestycje 1.4: Wzmocnienie struktur badawczych i wspieranie tworzenia „krajowych liderów badań i rozwoju” w zakresie niektórych kluczowych technologii prorozwojowych</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21BB3E3"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BD0CD66" w14:textId="77777777" w:rsidR="004C6421" w:rsidRDefault="009D1962">
            <w:pPr>
              <w:pStyle w:val="P68B1DB1-Normal8"/>
              <w:rPr>
                <w:noProof/>
              </w:rPr>
            </w:pPr>
            <w:r>
              <w:rPr>
                <w:noProof/>
              </w:rPr>
              <w:t xml:space="preserve">Ośrodki krajowe są operacyjne i działania realizowane przez ośrodki krajowe w zakresie kluczowych technologii prorozwojowych </w:t>
            </w:r>
          </w:p>
        </w:tc>
        <w:tc>
          <w:tcPr>
            <w:tcW w:w="2" w:type="dxa"/>
            <w:tcBorders>
              <w:top w:val="nil"/>
              <w:left w:val="single" w:sz="8" w:space="0" w:color="auto"/>
              <w:bottom w:val="nil"/>
              <w:right w:val="nil"/>
            </w:tcBorders>
            <w:vAlign w:val="center"/>
          </w:tcPr>
          <w:p w14:paraId="1464BC45" w14:textId="77777777" w:rsidR="004C6421" w:rsidRDefault="004C6421">
            <w:pPr>
              <w:rPr>
                <w:noProof/>
              </w:rPr>
            </w:pPr>
          </w:p>
        </w:tc>
      </w:tr>
      <w:tr w:rsidR="004C6421" w14:paraId="3493DCD3"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30B2DBE" w14:textId="77777777" w:rsidR="004C6421" w:rsidRDefault="009D1962">
            <w:pPr>
              <w:pStyle w:val="P68B1DB1-Normal8"/>
              <w:jc w:val="center"/>
              <w:rPr>
                <w:noProof/>
              </w:rPr>
            </w:pPr>
            <w:r>
              <w:rPr>
                <w:noProof/>
              </w:rPr>
              <w:t>M4C2-14</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EE6831A" w14:textId="77777777" w:rsidR="004C6421" w:rsidRDefault="009D1962">
            <w:pPr>
              <w:pStyle w:val="P68B1DB1-Normal8"/>
              <w:rPr>
                <w:noProof/>
              </w:rPr>
            </w:pPr>
            <w:r>
              <w:rPr>
                <w:noProof/>
              </w:rPr>
              <w:t>Inwestycja 2.3: Wzmocnienie i sektorowe/terytorialne rozszerzenie ośrodków transferu technologii według segmentów przemysłu</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C405550"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B15B8E0" w14:textId="32B77555" w:rsidR="004C6421" w:rsidRDefault="009D1962">
            <w:pPr>
              <w:rPr>
                <w:noProof/>
              </w:rPr>
            </w:pPr>
            <w:r>
              <w:rPr>
                <w:noProof/>
                <w:color w:val="006100"/>
                <w:sz w:val="20"/>
              </w:rPr>
              <w:t xml:space="preserve">Wypłata wartości finansowej w wysokości 307000000 EUR. </w:t>
            </w:r>
          </w:p>
        </w:tc>
        <w:tc>
          <w:tcPr>
            <w:tcW w:w="2" w:type="dxa"/>
            <w:tcBorders>
              <w:top w:val="nil"/>
              <w:left w:val="single" w:sz="8" w:space="0" w:color="auto"/>
              <w:bottom w:val="nil"/>
              <w:right w:val="nil"/>
            </w:tcBorders>
            <w:vAlign w:val="center"/>
          </w:tcPr>
          <w:p w14:paraId="6B6248E8" w14:textId="77777777" w:rsidR="004C6421" w:rsidRDefault="004C6421">
            <w:pPr>
              <w:rPr>
                <w:noProof/>
              </w:rPr>
            </w:pPr>
          </w:p>
        </w:tc>
      </w:tr>
      <w:tr w:rsidR="004C6421" w14:paraId="3FB185E3"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78B5DE6" w14:textId="77777777" w:rsidR="004C6421" w:rsidRDefault="009D1962">
            <w:pPr>
              <w:pStyle w:val="P68B1DB1-Normal8"/>
              <w:jc w:val="center"/>
              <w:rPr>
                <w:noProof/>
              </w:rPr>
            </w:pPr>
            <w:r>
              <w:rPr>
                <w:noProof/>
              </w:rPr>
              <w:t>M4C2-15</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89E12D4" w14:textId="77777777" w:rsidR="004C6421" w:rsidRDefault="009D1962">
            <w:pPr>
              <w:pStyle w:val="P68B1DB1-Normal8"/>
              <w:rPr>
                <w:noProof/>
              </w:rPr>
            </w:pPr>
            <w:r>
              <w:rPr>
                <w:noProof/>
              </w:rPr>
              <w:t>Inwestycja 2.3: Wzmocnienie i sektorowe/terytorialne rozszerzenie ośrodków transferu technologii według segmentów przemysłu</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345136D"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C071038" w14:textId="77777777" w:rsidR="004C6421" w:rsidRDefault="009D1962">
            <w:pPr>
              <w:pStyle w:val="P68B1DB1-Normal8"/>
              <w:rPr>
                <w:noProof/>
              </w:rPr>
            </w:pPr>
            <w:r>
              <w:rPr>
                <w:noProof/>
              </w:rPr>
              <w:t>Liczba wspieranych MŚP</w:t>
            </w:r>
          </w:p>
        </w:tc>
        <w:tc>
          <w:tcPr>
            <w:tcW w:w="2" w:type="dxa"/>
            <w:tcBorders>
              <w:top w:val="nil"/>
              <w:left w:val="single" w:sz="8" w:space="0" w:color="auto"/>
              <w:bottom w:val="nil"/>
              <w:right w:val="nil"/>
            </w:tcBorders>
            <w:vAlign w:val="center"/>
          </w:tcPr>
          <w:p w14:paraId="56060318" w14:textId="77777777" w:rsidR="004C6421" w:rsidRDefault="004C6421">
            <w:pPr>
              <w:rPr>
                <w:noProof/>
              </w:rPr>
            </w:pPr>
          </w:p>
        </w:tc>
      </w:tr>
      <w:tr w:rsidR="004C6421" w14:paraId="003FDFA5"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86A2AF6" w14:textId="77777777" w:rsidR="004C6421" w:rsidRDefault="009D1962">
            <w:pPr>
              <w:pStyle w:val="P68B1DB1-Normal8"/>
              <w:jc w:val="center"/>
              <w:rPr>
                <w:noProof/>
              </w:rPr>
            </w:pPr>
            <w:r>
              <w:rPr>
                <w:noProof/>
              </w:rPr>
              <w:t>M4C2-15 bis</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BFEDC82" w14:textId="77777777" w:rsidR="004C6421" w:rsidRDefault="009D1962">
            <w:pPr>
              <w:pStyle w:val="P68B1DB1-Normal8"/>
              <w:rPr>
                <w:noProof/>
              </w:rPr>
            </w:pPr>
            <w:r>
              <w:rPr>
                <w:noProof/>
              </w:rPr>
              <w:t>Inwestycja 2.3: Wzmocnienie i sektorowe/terytorialne rozszerzenie ośrodków transferu technologii według segmentów przemysłu</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B5E4975" w14:textId="52CA0DDF" w:rsidR="004C6421" w:rsidRDefault="00CC179E">
            <w:pPr>
              <w:pStyle w:val="P68B1DB1-Normal8"/>
              <w:jc w:val="center"/>
              <w:rPr>
                <w:noProof/>
              </w:rPr>
            </w:pPr>
            <w:r>
              <w:rPr>
                <w:noProof/>
              </w:rPr>
              <w:t>Milowy</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B34EC5D" w14:textId="77777777" w:rsidR="004C6421" w:rsidRDefault="009D1962">
            <w:pPr>
              <w:pStyle w:val="P68B1DB1-Normal8"/>
              <w:rPr>
                <w:noProof/>
              </w:rPr>
            </w:pPr>
            <w:r>
              <w:rPr>
                <w:noProof/>
              </w:rPr>
              <w:t>Zakończenie pakietów roboczych EDIH i TEF</w:t>
            </w:r>
          </w:p>
        </w:tc>
        <w:tc>
          <w:tcPr>
            <w:tcW w:w="2" w:type="dxa"/>
            <w:tcBorders>
              <w:top w:val="nil"/>
              <w:left w:val="single" w:sz="8" w:space="0" w:color="auto"/>
              <w:bottom w:val="nil"/>
              <w:right w:val="nil"/>
            </w:tcBorders>
            <w:vAlign w:val="center"/>
          </w:tcPr>
          <w:p w14:paraId="285C83FA" w14:textId="77777777" w:rsidR="004C6421" w:rsidRDefault="004C6421">
            <w:pPr>
              <w:rPr>
                <w:noProof/>
              </w:rPr>
            </w:pPr>
          </w:p>
        </w:tc>
      </w:tr>
      <w:tr w:rsidR="004C6421" w14:paraId="2CA6CE28"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D737DE8" w14:textId="77777777" w:rsidR="004C6421" w:rsidRDefault="009D1962">
            <w:pPr>
              <w:pStyle w:val="P68B1DB1-Normal8"/>
              <w:jc w:val="center"/>
              <w:rPr>
                <w:noProof/>
              </w:rPr>
            </w:pPr>
            <w:r>
              <w:rPr>
                <w:noProof/>
              </w:rPr>
              <w:t xml:space="preserve">M4C2-16 bis </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2B1F344" w14:textId="77777777" w:rsidR="004C6421" w:rsidRDefault="009D1962">
            <w:pPr>
              <w:pStyle w:val="P68B1DB1-Normal8"/>
              <w:rPr>
                <w:noProof/>
              </w:rPr>
            </w:pPr>
            <w:r>
              <w:rPr>
                <w:noProof/>
              </w:rPr>
              <w:t>Inwestycja 3.1: Fundusz na rzecz budowy zintegrowanego systemu infrastruktury badawczej i innowacyjnej</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FCE5297"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943515B" w14:textId="77777777" w:rsidR="004C6421" w:rsidRDefault="009D1962">
            <w:pPr>
              <w:pStyle w:val="P68B1DB1-Normal8"/>
              <w:rPr>
                <w:noProof/>
              </w:rPr>
            </w:pPr>
            <w:r>
              <w:rPr>
                <w:noProof/>
              </w:rPr>
              <w:t xml:space="preserve">Liczba infrastruktur badawczych i innowacyjnych, które zostały utworzone lub zakończyły działalność </w:t>
            </w:r>
          </w:p>
        </w:tc>
        <w:tc>
          <w:tcPr>
            <w:tcW w:w="2" w:type="dxa"/>
            <w:tcBorders>
              <w:top w:val="nil"/>
              <w:left w:val="single" w:sz="8" w:space="0" w:color="auto"/>
              <w:bottom w:val="nil"/>
              <w:right w:val="nil"/>
            </w:tcBorders>
            <w:vAlign w:val="center"/>
          </w:tcPr>
          <w:p w14:paraId="5694FC7B" w14:textId="77777777" w:rsidR="004C6421" w:rsidRDefault="004C6421">
            <w:pPr>
              <w:rPr>
                <w:noProof/>
              </w:rPr>
            </w:pPr>
          </w:p>
        </w:tc>
      </w:tr>
      <w:tr w:rsidR="004C6421" w14:paraId="6884DC33"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63F9559" w14:textId="77777777" w:rsidR="004C6421" w:rsidRDefault="009D1962">
            <w:pPr>
              <w:pStyle w:val="P68B1DB1-Normal8"/>
              <w:jc w:val="center"/>
              <w:rPr>
                <w:noProof/>
              </w:rPr>
            </w:pPr>
            <w:r>
              <w:rPr>
                <w:noProof/>
              </w:rPr>
              <w:t>M4C2-18 Bis</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0512F61" w14:textId="77777777" w:rsidR="004C6421" w:rsidRDefault="009D1962">
            <w:pPr>
              <w:pStyle w:val="P68B1DB1-Normal8"/>
              <w:rPr>
                <w:noProof/>
              </w:rPr>
            </w:pPr>
            <w:r>
              <w:rPr>
                <w:noProof/>
              </w:rPr>
              <w:t>Invesment1.5: Ustanowienie i wzmocnienie „ekosystemów innowacji na rzecz zrównoważonego rozwoju”, budowanie „terytorialnych liderów badań i rozwoju”</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59370FB"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46237BB" w14:textId="77777777" w:rsidR="004C6421" w:rsidRDefault="009D1962">
            <w:pPr>
              <w:pStyle w:val="P68B1DB1-Normal8"/>
              <w:rPr>
                <w:noProof/>
              </w:rPr>
            </w:pPr>
            <w:r>
              <w:rPr>
                <w:noProof/>
              </w:rPr>
              <w:t>Działania realizowane przez ekosystemy innowacji</w:t>
            </w:r>
          </w:p>
        </w:tc>
        <w:tc>
          <w:tcPr>
            <w:tcW w:w="2" w:type="dxa"/>
            <w:tcBorders>
              <w:top w:val="nil"/>
              <w:left w:val="single" w:sz="8" w:space="0" w:color="auto"/>
              <w:bottom w:val="nil"/>
              <w:right w:val="nil"/>
            </w:tcBorders>
            <w:vAlign w:val="center"/>
          </w:tcPr>
          <w:p w14:paraId="2700E604" w14:textId="77777777" w:rsidR="004C6421" w:rsidRDefault="004C6421">
            <w:pPr>
              <w:rPr>
                <w:noProof/>
              </w:rPr>
            </w:pPr>
          </w:p>
        </w:tc>
      </w:tr>
      <w:tr w:rsidR="004C6421" w14:paraId="64B48C30"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C008BEF" w14:textId="77777777" w:rsidR="004C6421" w:rsidRDefault="009D1962">
            <w:pPr>
              <w:pStyle w:val="P68B1DB1-Normal8"/>
              <w:jc w:val="center"/>
              <w:rPr>
                <w:noProof/>
              </w:rPr>
            </w:pPr>
            <w:r>
              <w:rPr>
                <w:noProof/>
              </w:rPr>
              <w:t>M4C2-21</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C052FE2" w14:textId="77777777" w:rsidR="004C6421" w:rsidRDefault="009D1962">
            <w:pPr>
              <w:pStyle w:val="P68B1DB1-Normal8"/>
              <w:rPr>
                <w:noProof/>
              </w:rPr>
            </w:pPr>
            <w:r>
              <w:rPr>
                <w:noProof/>
              </w:rPr>
              <w:t xml:space="preserve">Inwestycja 3.2 – Finansowanie przedsiębiorstw typu start-up.  </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E0AC5B1"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E4F1A46" w14:textId="77777777" w:rsidR="004C6421" w:rsidRDefault="009D1962">
            <w:pPr>
              <w:pStyle w:val="P68B1DB1-Normal8"/>
              <w:rPr>
                <w:noProof/>
              </w:rPr>
            </w:pPr>
            <w:r>
              <w:rPr>
                <w:noProof/>
              </w:rPr>
              <w:t xml:space="preserve">Umowy prawne podpisane z przedsiębiorstwami typu start-up lub funduszami venture capital </w:t>
            </w:r>
          </w:p>
        </w:tc>
        <w:tc>
          <w:tcPr>
            <w:tcW w:w="2" w:type="dxa"/>
            <w:tcBorders>
              <w:top w:val="nil"/>
              <w:left w:val="single" w:sz="8" w:space="0" w:color="auto"/>
              <w:bottom w:val="nil"/>
              <w:right w:val="nil"/>
            </w:tcBorders>
            <w:vAlign w:val="center"/>
          </w:tcPr>
          <w:p w14:paraId="3BAFDCC0" w14:textId="77777777" w:rsidR="004C6421" w:rsidRDefault="004C6421">
            <w:pPr>
              <w:rPr>
                <w:noProof/>
              </w:rPr>
            </w:pPr>
          </w:p>
        </w:tc>
      </w:tr>
      <w:tr w:rsidR="004C6421" w14:paraId="6844AB6E"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D72F07D" w14:textId="77777777" w:rsidR="004C6421" w:rsidRDefault="009D1962">
            <w:pPr>
              <w:pStyle w:val="P68B1DB1-Normal8"/>
              <w:jc w:val="center"/>
              <w:rPr>
                <w:noProof/>
              </w:rPr>
            </w:pPr>
            <w:r>
              <w:rPr>
                <w:noProof/>
              </w:rPr>
              <w:t>M5C1-19</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D80F08F" w14:textId="77777777" w:rsidR="004C6421" w:rsidRDefault="009D1962">
            <w:pPr>
              <w:pStyle w:val="P68B1DB1-Normal8"/>
              <w:rPr>
                <w:noProof/>
              </w:rPr>
            </w:pPr>
            <w:r>
              <w:rPr>
                <w:noProof/>
              </w:rPr>
              <w:t>Inwestycje 5 – Tworzenie przedsiębiorstw kobiecych</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6996F40"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74DA0CD" w14:textId="77777777" w:rsidR="004C6421" w:rsidRDefault="009D1962">
            <w:pPr>
              <w:pStyle w:val="P68B1DB1-Normal8"/>
              <w:rPr>
                <w:noProof/>
              </w:rPr>
            </w:pPr>
            <w:r>
              <w:rPr>
                <w:noProof/>
              </w:rPr>
              <w:t>Przedsiębiorstwa określone w odpowiedniej polityce inwestycyjnej otrzymały wsparcie finansowe</w:t>
            </w:r>
          </w:p>
        </w:tc>
        <w:tc>
          <w:tcPr>
            <w:tcW w:w="2" w:type="dxa"/>
            <w:tcBorders>
              <w:top w:val="nil"/>
              <w:left w:val="single" w:sz="8" w:space="0" w:color="auto"/>
              <w:bottom w:val="nil"/>
              <w:right w:val="nil"/>
            </w:tcBorders>
            <w:vAlign w:val="center"/>
          </w:tcPr>
          <w:p w14:paraId="181E94F1" w14:textId="77777777" w:rsidR="004C6421" w:rsidRDefault="004C6421">
            <w:pPr>
              <w:rPr>
                <w:noProof/>
              </w:rPr>
            </w:pPr>
          </w:p>
        </w:tc>
      </w:tr>
      <w:tr w:rsidR="004C6421" w14:paraId="43C3FDE0"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D71788C" w14:textId="77777777" w:rsidR="004C6421" w:rsidRDefault="009D1962">
            <w:pPr>
              <w:pStyle w:val="P68B1DB1-Normal8"/>
              <w:jc w:val="center"/>
              <w:rPr>
                <w:noProof/>
              </w:rPr>
            </w:pPr>
            <w:r>
              <w:rPr>
                <w:noProof/>
              </w:rPr>
              <w:t>M5C2-12</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52A67AD" w14:textId="77777777" w:rsidR="004C6421" w:rsidRDefault="009D1962">
            <w:pPr>
              <w:pStyle w:val="P68B1DB1-Normal8"/>
              <w:rPr>
                <w:noProof/>
              </w:rPr>
            </w:pPr>
            <w:r>
              <w:rPr>
                <w:noProof/>
              </w:rPr>
              <w:t>Inwestycje 4 – Inwestycje w projekty rewitalizacji obszarów miejskich mające na celu ograniczenie sytuacji marginalizacji i degradacji społecznej</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6D8495C"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28355D1" w14:textId="77777777" w:rsidR="004C6421" w:rsidRDefault="009D1962">
            <w:pPr>
              <w:pStyle w:val="P68B1DB1-Normal8"/>
              <w:rPr>
                <w:noProof/>
              </w:rPr>
            </w:pPr>
            <w:r>
              <w:rPr>
                <w:noProof/>
              </w:rPr>
              <w:t>Projekty dotyczące interwencji rewitalizacji obszarów miejskich obejmujących gminy</w:t>
            </w:r>
          </w:p>
        </w:tc>
        <w:tc>
          <w:tcPr>
            <w:tcW w:w="2" w:type="dxa"/>
            <w:tcBorders>
              <w:top w:val="nil"/>
              <w:left w:val="single" w:sz="8" w:space="0" w:color="auto"/>
              <w:bottom w:val="nil"/>
              <w:right w:val="nil"/>
            </w:tcBorders>
            <w:vAlign w:val="center"/>
          </w:tcPr>
          <w:p w14:paraId="63801574" w14:textId="77777777" w:rsidR="004C6421" w:rsidRDefault="004C6421">
            <w:pPr>
              <w:rPr>
                <w:noProof/>
              </w:rPr>
            </w:pPr>
          </w:p>
        </w:tc>
      </w:tr>
      <w:tr w:rsidR="004C6421" w14:paraId="507C1090"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0EF4215" w14:textId="77777777" w:rsidR="004C6421" w:rsidRDefault="009D1962">
            <w:pPr>
              <w:pStyle w:val="P68B1DB1-Normal8"/>
              <w:jc w:val="center"/>
              <w:rPr>
                <w:noProof/>
              </w:rPr>
            </w:pPr>
            <w:r>
              <w:rPr>
                <w:noProof/>
              </w:rPr>
              <w:t>M5C2-14</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5C6F2F4" w14:textId="77777777" w:rsidR="004C6421" w:rsidRDefault="009D1962">
            <w:pPr>
              <w:pStyle w:val="P68B1DB1-Normal8"/>
              <w:rPr>
                <w:noProof/>
              </w:rPr>
            </w:pPr>
            <w:r>
              <w:rPr>
                <w:noProof/>
              </w:rPr>
              <w:t>Inwestycje 5 – Zintegrowane plany miejskie – projekty ogólne</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C632D84"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3D6079B" w14:textId="77777777" w:rsidR="004C6421" w:rsidRDefault="009D1962">
            <w:pPr>
              <w:pStyle w:val="P68B1DB1-Normal8"/>
              <w:rPr>
                <w:noProof/>
              </w:rPr>
            </w:pPr>
            <w:r>
              <w:rPr>
                <w:noProof/>
              </w:rPr>
              <w:t>Ukończenie zintegrowanych projektów planowania w miastach metropolitalnych</w:t>
            </w:r>
          </w:p>
        </w:tc>
        <w:tc>
          <w:tcPr>
            <w:tcW w:w="2" w:type="dxa"/>
            <w:tcBorders>
              <w:top w:val="nil"/>
              <w:left w:val="single" w:sz="8" w:space="0" w:color="auto"/>
              <w:bottom w:val="nil"/>
              <w:right w:val="nil"/>
            </w:tcBorders>
            <w:vAlign w:val="center"/>
          </w:tcPr>
          <w:p w14:paraId="04EE994F" w14:textId="77777777" w:rsidR="004C6421" w:rsidRDefault="004C6421">
            <w:pPr>
              <w:rPr>
                <w:noProof/>
              </w:rPr>
            </w:pPr>
          </w:p>
        </w:tc>
      </w:tr>
      <w:tr w:rsidR="004C6421" w14:paraId="2ED94599"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2944C3D" w14:textId="77777777" w:rsidR="004C6421" w:rsidRDefault="009D1962">
            <w:pPr>
              <w:pStyle w:val="P68B1DB1-Normal8"/>
              <w:jc w:val="center"/>
              <w:rPr>
                <w:noProof/>
              </w:rPr>
            </w:pPr>
            <w:r>
              <w:rPr>
                <w:noProof/>
              </w:rPr>
              <w:t>M5C2-18</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E3D9787" w14:textId="77777777" w:rsidR="004C6421" w:rsidRDefault="009D1962">
            <w:pPr>
              <w:pStyle w:val="P68B1DB1-Normal8"/>
              <w:rPr>
                <w:noProof/>
              </w:rPr>
            </w:pPr>
            <w:r>
              <w:rPr>
                <w:noProof/>
              </w:rPr>
              <w:t>Inwestycje 5 – Zintegrowane plany miejskie – Fundusz EBI</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BEAE7F1"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DD0D07B" w14:textId="77777777" w:rsidR="004C6421" w:rsidRDefault="009D1962">
            <w:pPr>
              <w:pStyle w:val="P68B1DB1-Normal8"/>
              <w:rPr>
                <w:noProof/>
              </w:rPr>
            </w:pPr>
            <w:r>
              <w:rPr>
                <w:noProof/>
              </w:rPr>
              <w:t>Wartość pieniężna wkładu do funduszu tematycznego i wsparcie projektów miejskich</w:t>
            </w:r>
          </w:p>
        </w:tc>
        <w:tc>
          <w:tcPr>
            <w:tcW w:w="2" w:type="dxa"/>
            <w:tcBorders>
              <w:top w:val="nil"/>
              <w:left w:val="single" w:sz="8" w:space="0" w:color="auto"/>
              <w:bottom w:val="nil"/>
              <w:right w:val="nil"/>
            </w:tcBorders>
            <w:vAlign w:val="center"/>
          </w:tcPr>
          <w:p w14:paraId="7EDAE6E8" w14:textId="77777777" w:rsidR="004C6421" w:rsidRDefault="004C6421">
            <w:pPr>
              <w:rPr>
                <w:noProof/>
              </w:rPr>
            </w:pPr>
          </w:p>
        </w:tc>
      </w:tr>
      <w:tr w:rsidR="004C6421" w14:paraId="01386897"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04FC709" w14:textId="77777777" w:rsidR="004C6421" w:rsidRDefault="009D1962">
            <w:pPr>
              <w:pStyle w:val="P68B1DB1-Normal8"/>
              <w:jc w:val="center"/>
              <w:rPr>
                <w:noProof/>
              </w:rPr>
            </w:pPr>
            <w:r>
              <w:rPr>
                <w:noProof/>
              </w:rPr>
              <w:t>M5C2-22</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F9396E8" w14:textId="77777777" w:rsidR="004C6421" w:rsidRDefault="009D1962">
            <w:pPr>
              <w:pStyle w:val="P68B1DB1-Normal8"/>
              <w:rPr>
                <w:noProof/>
              </w:rPr>
            </w:pPr>
            <w:r>
              <w:rPr>
                <w:noProof/>
              </w:rPr>
              <w:t>Inwestycje 7 – Projekt „Sport i włączenie społeczne”</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C113F0A"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CAC26BF" w14:textId="77777777" w:rsidR="004C6421" w:rsidRDefault="009D1962">
            <w:pPr>
              <w:pStyle w:val="P68B1DB1-Normal8"/>
              <w:rPr>
                <w:noProof/>
              </w:rPr>
            </w:pPr>
            <w:r>
              <w:rPr>
                <w:noProof/>
              </w:rPr>
              <w:t>Interwencje związane z umowami dotyczącymi obiektów sportowych</w:t>
            </w:r>
          </w:p>
        </w:tc>
        <w:tc>
          <w:tcPr>
            <w:tcW w:w="2" w:type="dxa"/>
            <w:tcBorders>
              <w:top w:val="nil"/>
              <w:left w:val="single" w:sz="8" w:space="0" w:color="auto"/>
              <w:bottom w:val="nil"/>
              <w:right w:val="nil"/>
            </w:tcBorders>
            <w:vAlign w:val="center"/>
          </w:tcPr>
          <w:p w14:paraId="43572522" w14:textId="77777777" w:rsidR="004C6421" w:rsidRDefault="004C6421">
            <w:pPr>
              <w:rPr>
                <w:noProof/>
              </w:rPr>
            </w:pPr>
          </w:p>
        </w:tc>
      </w:tr>
      <w:tr w:rsidR="004C6421" w14:paraId="4C6C2294"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C111729" w14:textId="77777777" w:rsidR="004C6421" w:rsidRDefault="009D1962">
            <w:pPr>
              <w:pStyle w:val="P68B1DB1-Normal8"/>
              <w:jc w:val="center"/>
              <w:rPr>
                <w:noProof/>
              </w:rPr>
            </w:pPr>
            <w:r>
              <w:rPr>
                <w:noProof/>
              </w:rPr>
              <w:t>M5C3-13</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6B26379" w14:textId="77777777" w:rsidR="004C6421" w:rsidRDefault="009D1962">
            <w:pPr>
              <w:pStyle w:val="P68B1DB1-Normal8"/>
              <w:rPr>
                <w:noProof/>
              </w:rPr>
            </w:pPr>
            <w:r>
              <w:rPr>
                <w:noProof/>
              </w:rPr>
              <w:t>Inwestycje 1.4: Inwestycje infrastrukturalne dla specjalnej strefy ekonomicznej</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49F0DC5"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4E01F39" w14:textId="77777777" w:rsidR="004C6421" w:rsidRDefault="009D1962">
            <w:pPr>
              <w:pStyle w:val="P68B1DB1-Normal8"/>
              <w:rPr>
                <w:noProof/>
              </w:rPr>
            </w:pPr>
            <w:r>
              <w:rPr>
                <w:noProof/>
              </w:rPr>
              <w:t>Zakończenie interwencji infrastrukturalnych w specjalnych strefach ekonomicznych.</w:t>
            </w:r>
          </w:p>
        </w:tc>
        <w:tc>
          <w:tcPr>
            <w:tcW w:w="2" w:type="dxa"/>
            <w:tcBorders>
              <w:top w:val="nil"/>
              <w:left w:val="single" w:sz="8" w:space="0" w:color="auto"/>
              <w:bottom w:val="nil"/>
              <w:right w:val="nil"/>
            </w:tcBorders>
            <w:vAlign w:val="center"/>
          </w:tcPr>
          <w:p w14:paraId="651AB3AF" w14:textId="77777777" w:rsidR="004C6421" w:rsidRDefault="004C6421">
            <w:pPr>
              <w:rPr>
                <w:noProof/>
              </w:rPr>
            </w:pPr>
          </w:p>
        </w:tc>
      </w:tr>
      <w:tr w:rsidR="004C6421" w14:paraId="175DED95"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B777815" w14:textId="77777777" w:rsidR="004C6421" w:rsidRDefault="009D1962">
            <w:pPr>
              <w:pStyle w:val="P68B1DB1-Normal8"/>
              <w:jc w:val="center"/>
              <w:rPr>
                <w:noProof/>
              </w:rPr>
            </w:pPr>
            <w:r>
              <w:rPr>
                <w:noProof/>
              </w:rPr>
              <w:t>M6C1-3</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146A22E" w14:textId="77777777" w:rsidR="004C6421" w:rsidRDefault="009D1962">
            <w:pPr>
              <w:pStyle w:val="P68B1DB1-Normal8"/>
              <w:rPr>
                <w:noProof/>
              </w:rPr>
            </w:pPr>
            <w:r>
              <w:rPr>
                <w:noProof/>
              </w:rPr>
              <w:t>Inwestycje 1.1: Wspólnotowe Domy Zdrowia w celu poprawy terytorialnej pomocy zdrowotnej</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DC8B5EB"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7F7F833" w14:textId="77777777" w:rsidR="004C6421" w:rsidRDefault="009D1962">
            <w:pPr>
              <w:pStyle w:val="P68B1DB1-Normal8"/>
              <w:rPr>
                <w:noProof/>
              </w:rPr>
            </w:pPr>
            <w:r>
              <w:rPr>
                <w:noProof/>
              </w:rPr>
              <w:t>Udostępnione i wyposażone technologicznie domy zdrowia (pierwsza partia)</w:t>
            </w:r>
          </w:p>
        </w:tc>
        <w:tc>
          <w:tcPr>
            <w:tcW w:w="2" w:type="dxa"/>
            <w:tcBorders>
              <w:top w:val="nil"/>
              <w:left w:val="single" w:sz="8" w:space="0" w:color="auto"/>
              <w:bottom w:val="nil"/>
              <w:right w:val="nil"/>
            </w:tcBorders>
            <w:vAlign w:val="center"/>
          </w:tcPr>
          <w:p w14:paraId="0EF991E0" w14:textId="77777777" w:rsidR="004C6421" w:rsidRDefault="004C6421">
            <w:pPr>
              <w:rPr>
                <w:noProof/>
              </w:rPr>
            </w:pPr>
          </w:p>
        </w:tc>
      </w:tr>
      <w:tr w:rsidR="004C6421" w14:paraId="3F2414BC"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970313E" w14:textId="77777777" w:rsidR="004C6421" w:rsidRDefault="009D1962">
            <w:pPr>
              <w:pStyle w:val="P68B1DB1-Normal8"/>
              <w:jc w:val="center"/>
              <w:rPr>
                <w:noProof/>
              </w:rPr>
            </w:pPr>
            <w:r>
              <w:rPr>
                <w:noProof/>
              </w:rPr>
              <w:t>M6C1-6</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01DCF45" w14:textId="77777777" w:rsidR="004C6421" w:rsidRDefault="009D1962">
            <w:pPr>
              <w:pStyle w:val="P68B1DB1-Normal8"/>
              <w:rPr>
                <w:noProof/>
              </w:rPr>
            </w:pPr>
            <w:r>
              <w:rPr>
                <w:noProof/>
              </w:rPr>
              <w:t>Inwestycje 1.2: Dom jako pierwsze miejsce opieki i telemedycyny</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2A5694E"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EC583A5" w14:textId="77777777" w:rsidR="004C6421" w:rsidRDefault="009D1962">
            <w:pPr>
              <w:pStyle w:val="P68B1DB1-Normal8"/>
              <w:rPr>
                <w:noProof/>
              </w:rPr>
            </w:pPr>
            <w:r>
              <w:rPr>
                <w:noProof/>
              </w:rPr>
              <w:t>Dodatkowe osoby leczone w domu (pierwsza partia)</w:t>
            </w:r>
          </w:p>
        </w:tc>
        <w:tc>
          <w:tcPr>
            <w:tcW w:w="2" w:type="dxa"/>
            <w:tcBorders>
              <w:top w:val="nil"/>
              <w:left w:val="single" w:sz="8" w:space="0" w:color="auto"/>
              <w:bottom w:val="nil"/>
              <w:right w:val="nil"/>
            </w:tcBorders>
            <w:vAlign w:val="center"/>
          </w:tcPr>
          <w:p w14:paraId="1A580E2A" w14:textId="77777777" w:rsidR="004C6421" w:rsidRDefault="004C6421">
            <w:pPr>
              <w:rPr>
                <w:noProof/>
              </w:rPr>
            </w:pPr>
          </w:p>
        </w:tc>
      </w:tr>
      <w:tr w:rsidR="004C6421" w14:paraId="3CDDCE9B"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63C41F7" w14:textId="77777777" w:rsidR="004C6421" w:rsidRDefault="009D1962">
            <w:pPr>
              <w:pStyle w:val="P68B1DB1-Normal8"/>
              <w:jc w:val="center"/>
              <w:rPr>
                <w:noProof/>
              </w:rPr>
            </w:pPr>
            <w:r>
              <w:rPr>
                <w:noProof/>
              </w:rPr>
              <w:t>M6C1-11</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0BBA07C" w14:textId="77777777" w:rsidR="004C6421" w:rsidRDefault="009D1962">
            <w:pPr>
              <w:pStyle w:val="P68B1DB1-Normal8"/>
              <w:rPr>
                <w:noProof/>
              </w:rPr>
            </w:pPr>
            <w:r>
              <w:rPr>
                <w:noProof/>
              </w:rPr>
              <w:t>Inwestycja 1.3: Wzmocnienie pośredniej opieki zdrowotnej i jej placówek (szpitale społecznościowe)</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9088346"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6A0E02F" w14:textId="77777777" w:rsidR="004C6421" w:rsidRDefault="009D1962">
            <w:pPr>
              <w:pStyle w:val="P68B1DB1-Normal8"/>
              <w:rPr>
                <w:noProof/>
              </w:rPr>
            </w:pPr>
            <w:r>
              <w:rPr>
                <w:noProof/>
              </w:rPr>
              <w:t>Szpitale społecznościowe odnowione, połączone ze sobą i wyposażone technologicznie (pierwsza partia)</w:t>
            </w:r>
          </w:p>
        </w:tc>
        <w:tc>
          <w:tcPr>
            <w:tcW w:w="2" w:type="dxa"/>
            <w:tcBorders>
              <w:top w:val="nil"/>
              <w:left w:val="single" w:sz="8" w:space="0" w:color="auto"/>
              <w:bottom w:val="nil"/>
              <w:right w:val="nil"/>
            </w:tcBorders>
            <w:vAlign w:val="center"/>
          </w:tcPr>
          <w:p w14:paraId="24C5370E" w14:textId="77777777" w:rsidR="004C6421" w:rsidRDefault="004C6421">
            <w:pPr>
              <w:rPr>
                <w:noProof/>
              </w:rPr>
            </w:pPr>
          </w:p>
        </w:tc>
      </w:tr>
      <w:tr w:rsidR="004C6421" w14:paraId="6F0F13D3"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44BE4D4" w14:textId="77777777" w:rsidR="004C6421" w:rsidRDefault="009D1962">
            <w:pPr>
              <w:pStyle w:val="P68B1DB1-Normal8"/>
              <w:jc w:val="center"/>
              <w:rPr>
                <w:noProof/>
              </w:rPr>
            </w:pPr>
            <w:r>
              <w:rPr>
                <w:noProof/>
              </w:rPr>
              <w:t>M6C2-6</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E966EA9" w14:textId="77777777" w:rsidR="004C6421" w:rsidRDefault="009D1962">
            <w:pPr>
              <w:pStyle w:val="P68B1DB1-Normal38"/>
              <w:rPr>
                <w:noProof/>
              </w:rPr>
            </w:pPr>
            <w:r>
              <w:rPr>
                <w:noProof/>
              </w:rPr>
              <w:t>Inwestycje 1.1: Cyfrowa aktualizacja sprzętu technologicznego szpitali</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C201479" w14:textId="77777777" w:rsidR="004C6421" w:rsidRDefault="009D1962">
            <w:pPr>
              <w:pStyle w:val="P68B1DB1-Normal3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5BE3FF2" w14:textId="77777777" w:rsidR="004C6421" w:rsidRDefault="009D1962">
            <w:pPr>
              <w:pStyle w:val="P68B1DB1-Normal38"/>
              <w:rPr>
                <w:noProof/>
              </w:rPr>
            </w:pPr>
            <w:r>
              <w:rPr>
                <w:noProof/>
              </w:rPr>
              <w:t>Eksploatacja dużego sprzętu sanitarnego</w:t>
            </w:r>
          </w:p>
        </w:tc>
        <w:tc>
          <w:tcPr>
            <w:tcW w:w="2" w:type="dxa"/>
            <w:tcBorders>
              <w:top w:val="nil"/>
              <w:left w:val="single" w:sz="8" w:space="0" w:color="auto"/>
              <w:bottom w:val="nil"/>
              <w:right w:val="nil"/>
            </w:tcBorders>
            <w:vAlign w:val="center"/>
          </w:tcPr>
          <w:p w14:paraId="5EA80685" w14:textId="77777777" w:rsidR="004C6421" w:rsidRDefault="004C6421">
            <w:pPr>
              <w:rPr>
                <w:noProof/>
              </w:rPr>
            </w:pPr>
          </w:p>
        </w:tc>
      </w:tr>
      <w:tr w:rsidR="004C6421" w14:paraId="606C7E0E"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0787AFE" w14:textId="77777777" w:rsidR="004C6421" w:rsidRDefault="009D1962">
            <w:pPr>
              <w:pStyle w:val="P68B1DB1-Normal8"/>
              <w:jc w:val="center"/>
              <w:rPr>
                <w:noProof/>
              </w:rPr>
            </w:pPr>
            <w:r>
              <w:rPr>
                <w:noProof/>
              </w:rPr>
              <w:t>M6C2-9</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9132723" w14:textId="77777777" w:rsidR="004C6421" w:rsidRDefault="009D1962">
            <w:pPr>
              <w:pStyle w:val="P68B1DB1-Normal38"/>
              <w:rPr>
                <w:noProof/>
              </w:rPr>
            </w:pPr>
            <w:r>
              <w:rPr>
                <w:noProof/>
              </w:rPr>
              <w:t>Inwestycje 1.1: Cyfrowa aktualizacja sprzętu technologicznego szpitali</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ED11A6C" w14:textId="77777777" w:rsidR="004C6421" w:rsidRDefault="009D1962">
            <w:pPr>
              <w:pStyle w:val="P68B1DB1-Normal3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6EF5743" w14:textId="77777777" w:rsidR="004C6421" w:rsidRDefault="009D1962">
            <w:pPr>
              <w:pStyle w:val="P68B1DB1-Normal38"/>
              <w:rPr>
                <w:noProof/>
              </w:rPr>
            </w:pPr>
            <w:r>
              <w:rPr>
                <w:noProof/>
              </w:rPr>
              <w:t>Dodatkowe łóżka zapewniane w ICU i terapii subintensywnej</w:t>
            </w:r>
          </w:p>
        </w:tc>
        <w:tc>
          <w:tcPr>
            <w:tcW w:w="2" w:type="dxa"/>
            <w:tcBorders>
              <w:top w:val="nil"/>
              <w:left w:val="single" w:sz="8" w:space="0" w:color="auto"/>
              <w:bottom w:val="nil"/>
              <w:right w:val="nil"/>
            </w:tcBorders>
            <w:vAlign w:val="center"/>
          </w:tcPr>
          <w:p w14:paraId="26F35765" w14:textId="77777777" w:rsidR="004C6421" w:rsidRDefault="004C6421">
            <w:pPr>
              <w:rPr>
                <w:noProof/>
              </w:rPr>
            </w:pPr>
          </w:p>
        </w:tc>
      </w:tr>
      <w:tr w:rsidR="004C6421" w14:paraId="73A7FFE1"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D2CBA0D" w14:textId="77777777" w:rsidR="004C6421" w:rsidRDefault="009D1962">
            <w:pPr>
              <w:pStyle w:val="P68B1DB1-Normal8"/>
              <w:jc w:val="center"/>
              <w:rPr>
                <w:noProof/>
              </w:rPr>
            </w:pPr>
            <w:r>
              <w:rPr>
                <w:noProof/>
              </w:rPr>
              <w:t>M6C2-10</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7EA4BD4" w14:textId="77777777" w:rsidR="004C6421" w:rsidRDefault="009D1962">
            <w:pPr>
              <w:pStyle w:val="P68B1DB1-Normal38"/>
              <w:rPr>
                <w:noProof/>
              </w:rPr>
            </w:pPr>
            <w:r>
              <w:rPr>
                <w:noProof/>
              </w:rPr>
              <w:t>Inwestycje 1.2: W kierunku bezpiecznego i zrównoważonego szpitala</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26BEC50" w14:textId="77777777" w:rsidR="004C6421" w:rsidRDefault="009D1962">
            <w:pPr>
              <w:pStyle w:val="P68B1DB1-Normal3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155B346" w14:textId="77777777" w:rsidR="004C6421" w:rsidRDefault="009D1962">
            <w:pPr>
              <w:pStyle w:val="P68B1DB1-Normal38"/>
              <w:rPr>
                <w:noProof/>
              </w:rPr>
            </w:pPr>
            <w:r>
              <w:rPr>
                <w:noProof/>
              </w:rPr>
              <w:t>Zakończono interwencje antysejsmiczne w placówkach szpitalnych</w:t>
            </w:r>
          </w:p>
        </w:tc>
        <w:tc>
          <w:tcPr>
            <w:tcW w:w="2" w:type="dxa"/>
            <w:tcBorders>
              <w:top w:val="nil"/>
              <w:left w:val="single" w:sz="8" w:space="0" w:color="auto"/>
              <w:bottom w:val="nil"/>
              <w:right w:val="nil"/>
            </w:tcBorders>
            <w:vAlign w:val="center"/>
          </w:tcPr>
          <w:p w14:paraId="3FCB41CC" w14:textId="77777777" w:rsidR="004C6421" w:rsidRDefault="004C6421">
            <w:pPr>
              <w:rPr>
                <w:noProof/>
              </w:rPr>
            </w:pPr>
          </w:p>
        </w:tc>
      </w:tr>
      <w:tr w:rsidR="004C6421" w14:paraId="24B98BE1"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F10539A" w14:textId="77777777" w:rsidR="004C6421" w:rsidRDefault="009D1962">
            <w:pPr>
              <w:pStyle w:val="P68B1DB1-Normal8"/>
              <w:jc w:val="center"/>
              <w:rPr>
                <w:noProof/>
              </w:rPr>
            </w:pPr>
            <w:r>
              <w:rPr>
                <w:noProof/>
              </w:rPr>
              <w:t>M6C2-10 bis</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063EDFA" w14:textId="77777777" w:rsidR="004C6421" w:rsidRDefault="009D1962">
            <w:pPr>
              <w:pStyle w:val="P68B1DB1-Normal38"/>
              <w:rPr>
                <w:noProof/>
              </w:rPr>
            </w:pPr>
            <w:r>
              <w:rPr>
                <w:noProof/>
              </w:rPr>
              <w:t>Inwestycje 1.2: W kierunku bezpiecznego i zrównoważonego szpitala</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4AD37AF" w14:textId="77777777" w:rsidR="004C6421" w:rsidRDefault="009D1962">
            <w:pPr>
              <w:pStyle w:val="P68B1DB1-Normal38"/>
              <w:jc w:val="center"/>
              <w:rPr>
                <w:noProof/>
              </w:rPr>
            </w:pPr>
            <w:r>
              <w:rPr>
                <w:noProof/>
              </w:rPr>
              <w:t xml:space="preserve">Cel </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43E0054" w14:textId="77777777" w:rsidR="004C6421" w:rsidRDefault="009D1962">
            <w:pPr>
              <w:pStyle w:val="P68B1DB1-Normal38"/>
              <w:rPr>
                <w:noProof/>
              </w:rPr>
            </w:pPr>
            <w:r>
              <w:rPr>
                <w:noProof/>
              </w:rPr>
              <w:t>Wypłata środków z RRF na projekty na podstawie art. 20 ustawy finansowej 67/88 „Budowanie opieki zdrowotnej”</w:t>
            </w:r>
          </w:p>
        </w:tc>
        <w:tc>
          <w:tcPr>
            <w:tcW w:w="2" w:type="dxa"/>
            <w:tcBorders>
              <w:top w:val="nil"/>
              <w:left w:val="single" w:sz="8" w:space="0" w:color="auto"/>
              <w:bottom w:val="nil"/>
              <w:right w:val="nil"/>
            </w:tcBorders>
            <w:vAlign w:val="center"/>
          </w:tcPr>
          <w:p w14:paraId="699F70DC" w14:textId="77777777" w:rsidR="004C6421" w:rsidRDefault="004C6421">
            <w:pPr>
              <w:rPr>
                <w:noProof/>
              </w:rPr>
            </w:pPr>
          </w:p>
        </w:tc>
      </w:tr>
      <w:tr w:rsidR="004C6421" w14:paraId="319F7924"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D37F60D" w14:textId="77777777" w:rsidR="004C6421" w:rsidRDefault="009D1962">
            <w:pPr>
              <w:pStyle w:val="P68B1DB1-Normal8"/>
              <w:jc w:val="center"/>
              <w:rPr>
                <w:noProof/>
              </w:rPr>
            </w:pPr>
            <w:r>
              <w:rPr>
                <w:noProof/>
              </w:rPr>
              <w:t>M6C2-12</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6E73D37" w14:textId="77777777" w:rsidR="004C6421" w:rsidRDefault="009D1962">
            <w:pPr>
              <w:pStyle w:val="P68B1DB1-Normal38"/>
              <w:rPr>
                <w:noProof/>
              </w:rPr>
            </w:pPr>
            <w:r>
              <w:rPr>
                <w:noProof/>
              </w:rPr>
              <w:t>Inwestycja 1.3: Wzmocnienie infrastruktury technologicznej i narzędzi gromadzenia, przetwarzania danych, analizy i symulacji danych</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02467C8" w14:textId="2C82F875" w:rsidR="004C6421" w:rsidRDefault="00CC179E">
            <w:pPr>
              <w:pStyle w:val="P68B1DB1-Normal38"/>
              <w:jc w:val="center"/>
              <w:rPr>
                <w:noProof/>
              </w:rPr>
            </w:pPr>
            <w:r>
              <w:rPr>
                <w:noProof/>
              </w:rPr>
              <w:t>Milowy</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FAE46B7" w14:textId="77777777" w:rsidR="004C6421" w:rsidRDefault="009D1962">
            <w:pPr>
              <w:pStyle w:val="P68B1DB1-Normal38"/>
              <w:rPr>
                <w:noProof/>
              </w:rPr>
            </w:pPr>
            <w:r>
              <w:rPr>
                <w:noProof/>
              </w:rPr>
              <w:t>System kart ubezpieczenia zdrowotnego oraz infrastruktura służąca interoperacyjności elektronicznej dokumentacji medycznej są w pełni operacyjne.</w:t>
            </w:r>
          </w:p>
        </w:tc>
        <w:tc>
          <w:tcPr>
            <w:tcW w:w="2" w:type="dxa"/>
            <w:tcBorders>
              <w:top w:val="nil"/>
              <w:left w:val="single" w:sz="8" w:space="0" w:color="auto"/>
              <w:bottom w:val="nil"/>
              <w:right w:val="nil"/>
            </w:tcBorders>
            <w:vAlign w:val="center"/>
          </w:tcPr>
          <w:p w14:paraId="7BDB92E6" w14:textId="77777777" w:rsidR="004C6421" w:rsidRDefault="004C6421">
            <w:pPr>
              <w:rPr>
                <w:noProof/>
              </w:rPr>
            </w:pPr>
          </w:p>
        </w:tc>
      </w:tr>
      <w:tr w:rsidR="004C6421" w14:paraId="554C026D"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DF73005" w14:textId="77777777" w:rsidR="004C6421" w:rsidRDefault="009D1962">
            <w:pPr>
              <w:pStyle w:val="P68B1DB1-Normal8"/>
              <w:jc w:val="center"/>
              <w:rPr>
                <w:noProof/>
              </w:rPr>
            </w:pPr>
            <w:r>
              <w:rPr>
                <w:noProof/>
              </w:rPr>
              <w:t>M6C2-13</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EFA16C5" w14:textId="77777777" w:rsidR="004C6421" w:rsidRDefault="009D1962">
            <w:pPr>
              <w:pStyle w:val="P68B1DB1-Normal38"/>
              <w:rPr>
                <w:noProof/>
              </w:rPr>
            </w:pPr>
            <w:r>
              <w:rPr>
                <w:noProof/>
              </w:rPr>
              <w:t>Inwestycja 1.3: Wzmocnienie infrastruktury technologicznej i narzędzi gromadzenia, przetwarzania danych, analizy i symulacji danych</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B484D11" w14:textId="77777777" w:rsidR="004C6421" w:rsidRDefault="009D1962">
            <w:pPr>
              <w:pStyle w:val="P68B1DB1-Normal3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FC18CA6" w14:textId="77777777" w:rsidR="004C6421" w:rsidRDefault="009D1962">
            <w:pPr>
              <w:pStyle w:val="P68B1DB1-Normal38"/>
              <w:rPr>
                <w:noProof/>
              </w:rPr>
            </w:pPr>
            <w:r>
              <w:rPr>
                <w:noProof/>
              </w:rPr>
              <w:t>Wszystkie regiony przyjęły i korzystają z elektronicznej dokumentacji medycznej</w:t>
            </w:r>
          </w:p>
        </w:tc>
        <w:tc>
          <w:tcPr>
            <w:tcW w:w="2" w:type="dxa"/>
            <w:tcBorders>
              <w:top w:val="nil"/>
              <w:left w:val="single" w:sz="8" w:space="0" w:color="auto"/>
              <w:bottom w:val="nil"/>
              <w:right w:val="nil"/>
            </w:tcBorders>
            <w:vAlign w:val="center"/>
          </w:tcPr>
          <w:p w14:paraId="5F3D7F5D" w14:textId="77777777" w:rsidR="004C6421" w:rsidRDefault="004C6421">
            <w:pPr>
              <w:rPr>
                <w:noProof/>
              </w:rPr>
            </w:pPr>
          </w:p>
        </w:tc>
      </w:tr>
      <w:tr w:rsidR="004C6421" w14:paraId="083590D2"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0060229" w14:textId="77777777" w:rsidR="004C6421" w:rsidRDefault="009D1962">
            <w:pPr>
              <w:pStyle w:val="P68B1DB1-Normal8"/>
              <w:jc w:val="center"/>
              <w:rPr>
                <w:noProof/>
              </w:rPr>
            </w:pPr>
            <w:r>
              <w:rPr>
                <w:noProof/>
              </w:rPr>
              <w:t>M6C2-16</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18DD4AE" w14:textId="77777777" w:rsidR="004C6421" w:rsidRDefault="009D1962">
            <w:pPr>
              <w:pStyle w:val="P68B1DB1-Normal38"/>
              <w:rPr>
                <w:noProof/>
              </w:rPr>
            </w:pPr>
            <w:r>
              <w:rPr>
                <w:noProof/>
              </w:rPr>
              <w:t>Inwestycje 2.2: Rozwój umiejętności technicznych i zawodowych, cyfrowych i kierowniczych specjalistów w systemie opieki zdrowotnej</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92505BC" w14:textId="77777777" w:rsidR="004C6421" w:rsidRDefault="009D1962">
            <w:pPr>
              <w:pStyle w:val="P68B1DB1-Normal3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C59ADB3" w14:textId="77777777" w:rsidR="004C6421" w:rsidRDefault="009D1962">
            <w:pPr>
              <w:pStyle w:val="P68B1DB1-Normal38"/>
              <w:rPr>
                <w:noProof/>
              </w:rPr>
            </w:pPr>
            <w:r>
              <w:rPr>
                <w:noProof/>
              </w:rPr>
              <w:t>Szkolenia w zakresie umiejętności kierowniczych i cyfrowych zapewniane pracownikom krajowej służby zdrowia</w:t>
            </w:r>
          </w:p>
        </w:tc>
        <w:tc>
          <w:tcPr>
            <w:tcW w:w="2" w:type="dxa"/>
            <w:tcBorders>
              <w:top w:val="nil"/>
              <w:left w:val="single" w:sz="8" w:space="0" w:color="auto"/>
              <w:bottom w:val="nil"/>
              <w:right w:val="nil"/>
            </w:tcBorders>
            <w:vAlign w:val="center"/>
          </w:tcPr>
          <w:p w14:paraId="576992E7" w14:textId="77777777" w:rsidR="004C6421" w:rsidRDefault="004C6421">
            <w:pPr>
              <w:rPr>
                <w:noProof/>
              </w:rPr>
            </w:pPr>
          </w:p>
        </w:tc>
      </w:tr>
      <w:tr w:rsidR="004C6421" w14:paraId="05D87D01"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A018728" w14:textId="77777777" w:rsidR="004C6421" w:rsidRDefault="009D1962">
            <w:pPr>
              <w:pStyle w:val="P68B1DB1-Normal38"/>
              <w:jc w:val="center"/>
              <w:rPr>
                <w:noProof/>
              </w:rPr>
            </w:pPr>
            <w:r>
              <w:rPr>
                <w:noProof/>
              </w:rPr>
              <w:t>M6C2-17</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7AACC37" w14:textId="77777777" w:rsidR="004C6421" w:rsidRDefault="009D1962">
            <w:pPr>
              <w:pStyle w:val="P68B1DB1-Normal38"/>
              <w:rPr>
                <w:noProof/>
              </w:rPr>
            </w:pPr>
            <w:r>
              <w:rPr>
                <w:noProof/>
              </w:rPr>
              <w:t>Inwestycje 2.2: Rozwój umiejętności technicznych i zawodowych, cyfrowych i kierowniczych specjalistów w systemie opieki zdrowotnej</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E694D25" w14:textId="77777777" w:rsidR="004C6421" w:rsidRDefault="009D1962">
            <w:pPr>
              <w:pStyle w:val="P68B1DB1-Normal3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8C16553" w14:textId="77777777" w:rsidR="004C6421" w:rsidRDefault="009D1962">
            <w:pPr>
              <w:pStyle w:val="P68B1DB1-Normal38"/>
              <w:rPr>
                <w:noProof/>
              </w:rPr>
            </w:pPr>
            <w:r>
              <w:rPr>
                <w:noProof/>
              </w:rPr>
              <w:t>Liczba finansowanych umów o szkolenie specjalistyczne</w:t>
            </w:r>
          </w:p>
        </w:tc>
        <w:tc>
          <w:tcPr>
            <w:tcW w:w="2" w:type="dxa"/>
            <w:tcBorders>
              <w:top w:val="nil"/>
              <w:left w:val="single" w:sz="8" w:space="0" w:color="auto"/>
              <w:bottom w:val="nil"/>
              <w:right w:val="nil"/>
            </w:tcBorders>
            <w:vAlign w:val="center"/>
          </w:tcPr>
          <w:p w14:paraId="0E58F5C0" w14:textId="77777777" w:rsidR="004C6421" w:rsidRDefault="004C6421">
            <w:pPr>
              <w:rPr>
                <w:noProof/>
              </w:rPr>
            </w:pPr>
          </w:p>
        </w:tc>
      </w:tr>
      <w:tr w:rsidR="004C6421" w14:paraId="26DA27EB"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D402FF5" w14:textId="77777777" w:rsidR="004C6421" w:rsidRDefault="009D1962">
            <w:pPr>
              <w:pStyle w:val="P68B1DB1-Normal8"/>
              <w:jc w:val="center"/>
              <w:rPr>
                <w:noProof/>
              </w:rPr>
            </w:pPr>
            <w:r>
              <w:rPr>
                <w:noProof/>
              </w:rPr>
              <w:t>M7–37</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27CA45F" w14:textId="77777777" w:rsidR="004C6421" w:rsidRDefault="009D1962">
            <w:pPr>
              <w:pStyle w:val="P68B1DB1-Normal8"/>
              <w:rPr>
                <w:noProof/>
              </w:rPr>
            </w:pPr>
            <w:r>
              <w:rPr>
                <w:noProof/>
              </w:rPr>
              <w:t>Inwestycja 13: Adriatic Line Phase 1 (stacja kompresorowa Sulmona i gazociąg Sestino-Minerbio)</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2BA863D" w14:textId="37826F2E" w:rsidR="004C6421" w:rsidRDefault="00CC179E">
            <w:pPr>
              <w:pStyle w:val="P68B1DB1-Normal8"/>
              <w:jc w:val="center"/>
              <w:rPr>
                <w:noProof/>
              </w:rPr>
            </w:pPr>
            <w:r>
              <w:rPr>
                <w:noProof/>
              </w:rPr>
              <w:t>Milowy</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8BC8EB4" w14:textId="77777777" w:rsidR="004C6421" w:rsidRDefault="009D1962">
            <w:pPr>
              <w:pStyle w:val="P68B1DB1-Normal8"/>
              <w:rPr>
                <w:noProof/>
              </w:rPr>
            </w:pPr>
            <w:r>
              <w:rPr>
                <w:noProof/>
              </w:rPr>
              <w:t>Zakończenie prac</w:t>
            </w:r>
          </w:p>
        </w:tc>
        <w:tc>
          <w:tcPr>
            <w:tcW w:w="2" w:type="dxa"/>
            <w:tcBorders>
              <w:top w:val="nil"/>
              <w:left w:val="single" w:sz="8" w:space="0" w:color="auto"/>
              <w:bottom w:val="nil"/>
              <w:right w:val="nil"/>
            </w:tcBorders>
            <w:vAlign w:val="center"/>
          </w:tcPr>
          <w:p w14:paraId="04BB773E" w14:textId="77777777" w:rsidR="004C6421" w:rsidRDefault="004C6421">
            <w:pPr>
              <w:rPr>
                <w:noProof/>
              </w:rPr>
            </w:pPr>
          </w:p>
        </w:tc>
      </w:tr>
      <w:tr w:rsidR="004C6421" w14:paraId="43F77608"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A3A2429" w14:textId="77777777" w:rsidR="004C6421" w:rsidRDefault="009D1962">
            <w:pPr>
              <w:pStyle w:val="P68B1DB1-Normal8"/>
              <w:jc w:val="center"/>
              <w:rPr>
                <w:noProof/>
              </w:rPr>
            </w:pPr>
            <w:r>
              <w:rPr>
                <w:noProof/>
              </w:rPr>
              <w:t>M7–39</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389FECE" w14:textId="77777777" w:rsidR="004C6421" w:rsidRDefault="009D1962">
            <w:pPr>
              <w:pStyle w:val="P68B1DB1-Normal8"/>
              <w:rPr>
                <w:noProof/>
              </w:rPr>
            </w:pPr>
            <w:r>
              <w:rPr>
                <w:noProof/>
              </w:rPr>
              <w:t>Inwestycja 14: Infrastruktura na potrzeby transgranicznego eksportu gazu</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000EA5F" w14:textId="21F006EA" w:rsidR="004C6421" w:rsidRDefault="00CC179E">
            <w:pPr>
              <w:pStyle w:val="P68B1DB1-Normal8"/>
              <w:jc w:val="center"/>
              <w:rPr>
                <w:noProof/>
              </w:rPr>
            </w:pPr>
            <w:r>
              <w:rPr>
                <w:noProof/>
              </w:rPr>
              <w:t>Milowy</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E2C0791" w14:textId="77777777" w:rsidR="004C6421" w:rsidRDefault="009D1962">
            <w:pPr>
              <w:pStyle w:val="P68B1DB1-Normal8"/>
              <w:rPr>
                <w:noProof/>
              </w:rPr>
            </w:pPr>
            <w:r>
              <w:rPr>
                <w:noProof/>
              </w:rPr>
              <w:t>Zakończenie prac</w:t>
            </w:r>
          </w:p>
        </w:tc>
        <w:tc>
          <w:tcPr>
            <w:tcW w:w="2" w:type="dxa"/>
            <w:tcBorders>
              <w:top w:val="nil"/>
              <w:left w:val="single" w:sz="8" w:space="0" w:color="auto"/>
              <w:bottom w:val="nil"/>
              <w:right w:val="nil"/>
            </w:tcBorders>
            <w:vAlign w:val="center"/>
          </w:tcPr>
          <w:p w14:paraId="5A2B2356" w14:textId="77777777" w:rsidR="004C6421" w:rsidRDefault="004C6421">
            <w:pPr>
              <w:rPr>
                <w:noProof/>
              </w:rPr>
            </w:pPr>
          </w:p>
        </w:tc>
      </w:tr>
      <w:tr w:rsidR="004C6421" w14:paraId="6855D22E"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777D7F1" w14:textId="77777777" w:rsidR="004C6421" w:rsidRDefault="009D1962">
            <w:pPr>
              <w:pStyle w:val="P68B1DB1-Normal8"/>
              <w:jc w:val="center"/>
              <w:rPr>
                <w:noProof/>
              </w:rPr>
            </w:pPr>
            <w:r>
              <w:rPr>
                <w:noProof/>
              </w:rPr>
              <w:t>M7–41</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BA3F386" w14:textId="77777777" w:rsidR="004C6421" w:rsidRDefault="009D1962">
            <w:pPr>
              <w:pStyle w:val="P68B1DB1-Normal8"/>
              <w:rPr>
                <w:noProof/>
              </w:rPr>
            </w:pPr>
            <w:r>
              <w:rPr>
                <w:noProof/>
              </w:rPr>
              <w:t>Inwestycja 15: Transizione 5,0 Zielony</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BC20D47"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E84666F" w14:textId="77777777" w:rsidR="004C6421" w:rsidRDefault="009D1962">
            <w:pPr>
              <w:pStyle w:val="P68B1DB1-Normal8"/>
              <w:rPr>
                <w:noProof/>
              </w:rPr>
            </w:pPr>
            <w:r>
              <w:rPr>
                <w:noProof/>
              </w:rPr>
              <w:t>Przyznawanie zasobów Instrumentu na rzecz Odbudowy i Zwiększania Odporności</w:t>
            </w:r>
          </w:p>
        </w:tc>
        <w:tc>
          <w:tcPr>
            <w:tcW w:w="2" w:type="dxa"/>
            <w:tcBorders>
              <w:top w:val="nil"/>
              <w:left w:val="single" w:sz="8" w:space="0" w:color="auto"/>
              <w:bottom w:val="nil"/>
              <w:right w:val="nil"/>
            </w:tcBorders>
            <w:vAlign w:val="center"/>
          </w:tcPr>
          <w:p w14:paraId="185AA417" w14:textId="77777777" w:rsidR="004C6421" w:rsidRDefault="004C6421">
            <w:pPr>
              <w:rPr>
                <w:noProof/>
              </w:rPr>
            </w:pPr>
          </w:p>
        </w:tc>
      </w:tr>
      <w:tr w:rsidR="004C6421" w14:paraId="0C303040"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F6D2805" w14:textId="77777777" w:rsidR="004C6421" w:rsidRDefault="009D1962">
            <w:pPr>
              <w:pStyle w:val="P68B1DB1-Normal8"/>
              <w:jc w:val="center"/>
              <w:rPr>
                <w:noProof/>
              </w:rPr>
            </w:pPr>
            <w:r>
              <w:rPr>
                <w:noProof/>
              </w:rPr>
              <w:t>M7–42</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9A52494" w14:textId="77777777" w:rsidR="004C6421" w:rsidRDefault="009D1962">
            <w:pPr>
              <w:pStyle w:val="P68B1DB1-Normal8"/>
              <w:rPr>
                <w:noProof/>
              </w:rPr>
            </w:pPr>
            <w:r>
              <w:rPr>
                <w:noProof/>
              </w:rPr>
              <w:t>Inwestycja 15: Transizione 5,0 Zielony</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F7916A9"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3672384" w14:textId="77777777" w:rsidR="004C6421" w:rsidRDefault="009D1962">
            <w:pPr>
              <w:pStyle w:val="P68B1DB1-Normal8"/>
              <w:rPr>
                <w:noProof/>
              </w:rPr>
            </w:pPr>
            <w:r>
              <w:rPr>
                <w:noProof/>
              </w:rPr>
              <w:t>0,4 Mtoe oszczędności energii w zużyciu energii końcowej w latach 2024–2026</w:t>
            </w:r>
          </w:p>
        </w:tc>
        <w:tc>
          <w:tcPr>
            <w:tcW w:w="2" w:type="dxa"/>
            <w:tcBorders>
              <w:top w:val="nil"/>
              <w:left w:val="single" w:sz="8" w:space="0" w:color="auto"/>
              <w:bottom w:val="nil"/>
              <w:right w:val="nil"/>
            </w:tcBorders>
            <w:vAlign w:val="center"/>
          </w:tcPr>
          <w:p w14:paraId="36CA5BCA" w14:textId="77777777" w:rsidR="004C6421" w:rsidRDefault="004C6421">
            <w:pPr>
              <w:rPr>
                <w:noProof/>
              </w:rPr>
            </w:pPr>
          </w:p>
        </w:tc>
      </w:tr>
      <w:tr w:rsidR="004C6421" w14:paraId="6CE31FFB"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FB7AEE3" w14:textId="77777777" w:rsidR="004C6421" w:rsidRDefault="009D1962">
            <w:pPr>
              <w:pStyle w:val="P68B1DB1-Normal8"/>
              <w:jc w:val="center"/>
              <w:rPr>
                <w:noProof/>
              </w:rPr>
            </w:pPr>
            <w:r>
              <w:rPr>
                <w:noProof/>
              </w:rPr>
              <w:t>M7–45</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34BD17AD" w14:textId="77777777" w:rsidR="004C6421" w:rsidRDefault="009D1962">
            <w:pPr>
              <w:pStyle w:val="P68B1DB1-Normal8"/>
              <w:rPr>
                <w:noProof/>
              </w:rPr>
            </w:pPr>
            <w:r>
              <w:rPr>
                <w:noProof/>
              </w:rPr>
              <w:t>Inwestycja 16: Wsparcie dla MŚP w zakresie własnej produkcji z odnawialnych źródeł energii</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5422030"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4D9B132" w14:textId="77777777" w:rsidR="004C6421" w:rsidRDefault="009D1962">
            <w:pPr>
              <w:pStyle w:val="P68B1DB1-Normal8"/>
              <w:rPr>
                <w:noProof/>
              </w:rPr>
            </w:pPr>
            <w:r>
              <w:rPr>
                <w:noProof/>
              </w:rPr>
              <w:t>Umowy prawne z beneficjentami końcowymi</w:t>
            </w:r>
          </w:p>
        </w:tc>
        <w:tc>
          <w:tcPr>
            <w:tcW w:w="2" w:type="dxa"/>
            <w:tcBorders>
              <w:top w:val="nil"/>
              <w:left w:val="single" w:sz="8" w:space="0" w:color="auto"/>
              <w:bottom w:val="nil"/>
              <w:right w:val="nil"/>
            </w:tcBorders>
            <w:vAlign w:val="center"/>
          </w:tcPr>
          <w:p w14:paraId="0E6FAA40" w14:textId="77777777" w:rsidR="004C6421" w:rsidRDefault="004C6421">
            <w:pPr>
              <w:rPr>
                <w:noProof/>
              </w:rPr>
            </w:pPr>
          </w:p>
        </w:tc>
      </w:tr>
      <w:tr w:rsidR="004C6421" w14:paraId="336E257A"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04ECC01" w14:textId="77777777" w:rsidR="004C6421" w:rsidRDefault="009D1962">
            <w:pPr>
              <w:pStyle w:val="P68B1DB1-Normal8"/>
              <w:jc w:val="center"/>
              <w:rPr>
                <w:noProof/>
              </w:rPr>
            </w:pPr>
            <w:r>
              <w:rPr>
                <w:noProof/>
              </w:rPr>
              <w:t>M7–49</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49F52AE3" w14:textId="77777777" w:rsidR="004C6421" w:rsidRDefault="009D1962">
            <w:pPr>
              <w:pStyle w:val="P68B1DB1-Normal8"/>
              <w:rPr>
                <w:noProof/>
              </w:rPr>
            </w:pPr>
            <w:r>
              <w:rPr>
                <w:noProof/>
              </w:rPr>
              <w:t>Inwestycja 17: Instrument finansowy na rzecz termomodernizacji mieszkań publicznych i socjalnych</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D7B2F37"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9CF2845" w14:textId="77777777" w:rsidR="004C6421" w:rsidRDefault="009D1962">
            <w:pPr>
              <w:pStyle w:val="P68B1DB1-Normal8"/>
              <w:rPr>
                <w:noProof/>
              </w:rPr>
            </w:pPr>
            <w:r>
              <w:rPr>
                <w:noProof/>
              </w:rPr>
              <w:t>Umowy prawne podpisane z beneficjentami końcowymi</w:t>
            </w:r>
          </w:p>
        </w:tc>
        <w:tc>
          <w:tcPr>
            <w:tcW w:w="2" w:type="dxa"/>
            <w:tcBorders>
              <w:top w:val="nil"/>
              <w:left w:val="single" w:sz="8" w:space="0" w:color="auto"/>
              <w:bottom w:val="nil"/>
              <w:right w:val="nil"/>
            </w:tcBorders>
            <w:vAlign w:val="center"/>
          </w:tcPr>
          <w:p w14:paraId="7B48D05B" w14:textId="77777777" w:rsidR="004C6421" w:rsidRDefault="004C6421">
            <w:pPr>
              <w:rPr>
                <w:noProof/>
              </w:rPr>
            </w:pPr>
          </w:p>
        </w:tc>
      </w:tr>
      <w:tr w:rsidR="004C6421" w14:paraId="1287A047"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23A07AE2" w14:textId="77777777" w:rsidR="004C6421" w:rsidRDefault="009D1962">
            <w:pPr>
              <w:pStyle w:val="P68B1DB1-Normal8"/>
              <w:jc w:val="center"/>
              <w:rPr>
                <w:noProof/>
              </w:rPr>
            </w:pPr>
            <w:r>
              <w:rPr>
                <w:noProof/>
              </w:rPr>
              <w:t>M1C3-29</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E970777" w14:textId="77777777" w:rsidR="004C6421" w:rsidRDefault="009D1962">
            <w:pPr>
              <w:pStyle w:val="P68B1DB1-Normal8"/>
              <w:rPr>
                <w:noProof/>
              </w:rPr>
            </w:pPr>
            <w:r>
              <w:rPr>
                <w:noProof/>
              </w:rPr>
              <w:t>Inwestycje 4.2:  Fundusze na konkurencyjność przedsiębiorstw turystycznych</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6306587D" w14:textId="77777777" w:rsidR="004C6421" w:rsidRDefault="009D1962">
            <w:pPr>
              <w:pStyle w:val="P68B1DB1-Normal8"/>
              <w:jc w:val="center"/>
              <w:rPr>
                <w:noProof/>
              </w:rPr>
            </w:pPr>
            <w:r>
              <w:rPr>
                <w:noProof/>
              </w:rPr>
              <w:t>Cel</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057DA1B5" w14:textId="77777777" w:rsidR="004C6421" w:rsidRDefault="009D1962">
            <w:pPr>
              <w:pStyle w:val="P68B1DB1-Normal8"/>
              <w:rPr>
                <w:noProof/>
              </w:rPr>
            </w:pPr>
            <w:r>
              <w:rPr>
                <w:noProof/>
              </w:rPr>
              <w:t xml:space="preserve">Liczba projektów turystycznych, które mają być wspierane z funduszy tematycznych Europejskiego Banku Inwestycyjnego </w:t>
            </w:r>
          </w:p>
        </w:tc>
        <w:tc>
          <w:tcPr>
            <w:tcW w:w="2" w:type="dxa"/>
            <w:tcBorders>
              <w:top w:val="nil"/>
              <w:left w:val="single" w:sz="8" w:space="0" w:color="auto"/>
              <w:bottom w:val="nil"/>
              <w:right w:val="nil"/>
            </w:tcBorders>
            <w:vAlign w:val="center"/>
          </w:tcPr>
          <w:p w14:paraId="3FB15E9E" w14:textId="77777777" w:rsidR="004C6421" w:rsidRDefault="004C6421">
            <w:pPr>
              <w:rPr>
                <w:noProof/>
              </w:rPr>
            </w:pPr>
          </w:p>
        </w:tc>
      </w:tr>
      <w:tr w:rsidR="004C6421" w14:paraId="15C61260"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81C8534" w14:textId="77777777" w:rsidR="004C6421" w:rsidRDefault="009D1962">
            <w:pPr>
              <w:pStyle w:val="P68B1DB1-Normal8"/>
              <w:jc w:val="center"/>
              <w:rPr>
                <w:noProof/>
              </w:rPr>
            </w:pPr>
            <w:r>
              <w:rPr>
                <w:noProof/>
              </w:rPr>
              <w:t xml:space="preserve">M3C2-9 </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792F0BAE" w14:textId="77777777" w:rsidR="004C6421" w:rsidRDefault="009D1962">
            <w:pPr>
              <w:pStyle w:val="P68B1DB1-Normal8"/>
              <w:rPr>
                <w:noProof/>
              </w:rPr>
            </w:pPr>
            <w:r>
              <w:rPr>
                <w:noProof/>
              </w:rPr>
              <w:t xml:space="preserve">Inwestycje 1.1: „Zielone porty: interwencje w zakresie energii odnawialnej i efektywności energetycznej w portach </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1CE012B7" w14:textId="77777777" w:rsidR="004C6421" w:rsidRDefault="009D1962">
            <w:pPr>
              <w:pStyle w:val="P68B1DB1-Normal8"/>
              <w:jc w:val="center"/>
              <w:rPr>
                <w:noProof/>
              </w:rPr>
            </w:pPr>
            <w:r>
              <w:rPr>
                <w:noProof/>
              </w:rPr>
              <w:t xml:space="preserve">Cel </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center"/>
          </w:tcPr>
          <w:p w14:paraId="5B3ABDBC" w14:textId="77777777" w:rsidR="004C6421" w:rsidRDefault="009D1962">
            <w:pPr>
              <w:pStyle w:val="P68B1DB1-Normal8"/>
              <w:rPr>
                <w:noProof/>
              </w:rPr>
            </w:pPr>
            <w:r>
              <w:rPr>
                <w:noProof/>
              </w:rPr>
              <w:t>„Zielone porty: zakończenie prac</w:t>
            </w:r>
          </w:p>
        </w:tc>
        <w:tc>
          <w:tcPr>
            <w:tcW w:w="2" w:type="dxa"/>
            <w:tcBorders>
              <w:top w:val="nil"/>
              <w:left w:val="single" w:sz="8" w:space="0" w:color="auto"/>
              <w:bottom w:val="nil"/>
              <w:right w:val="nil"/>
            </w:tcBorders>
            <w:vAlign w:val="center"/>
          </w:tcPr>
          <w:p w14:paraId="778DCB88" w14:textId="77777777" w:rsidR="004C6421" w:rsidRDefault="004C6421">
            <w:pPr>
              <w:rPr>
                <w:noProof/>
              </w:rPr>
            </w:pPr>
          </w:p>
        </w:tc>
      </w:tr>
      <w:tr w:rsidR="004C6421" w14:paraId="76B69D09" w14:textId="77777777">
        <w:trPr>
          <w:trHeight w:val="300"/>
        </w:trPr>
        <w:tc>
          <w:tcPr>
            <w:tcW w:w="127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6ABBAAFD" w14:textId="77777777" w:rsidR="004C6421" w:rsidRDefault="009D1962">
            <w:pPr>
              <w:pStyle w:val="P68B1DB1-Normal8"/>
              <w:jc w:val="center"/>
              <w:rPr>
                <w:noProof/>
              </w:rPr>
            </w:pPr>
            <w:r>
              <w:rPr>
                <w:noProof/>
              </w:rPr>
              <w:t xml:space="preserve"> </w:t>
            </w:r>
          </w:p>
        </w:tc>
        <w:tc>
          <w:tcPr>
            <w:tcW w:w="3555"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3C9B9C01" w14:textId="77777777" w:rsidR="004C6421" w:rsidRDefault="009D1962">
            <w:pPr>
              <w:pStyle w:val="P68B1DB1-Normal8"/>
              <w:rPr>
                <w:noProof/>
              </w:rPr>
            </w:pPr>
            <w:r>
              <w:rPr>
                <w:noProof/>
              </w:rPr>
              <w:t xml:space="preserve"> </w:t>
            </w:r>
          </w:p>
        </w:tc>
        <w:tc>
          <w:tcPr>
            <w:tcW w:w="1170"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38BCA203" w14:textId="77777777" w:rsidR="004C6421" w:rsidRDefault="009D1962">
            <w:pPr>
              <w:pStyle w:val="P68B1DB1-Normal8"/>
              <w:rPr>
                <w:noProof/>
              </w:rPr>
            </w:pPr>
            <w:r>
              <w:rPr>
                <w:noProof/>
              </w:rPr>
              <w:t>Kwota transzy</w:t>
            </w:r>
          </w:p>
        </w:tc>
        <w:tc>
          <w:tcPr>
            <w:tcW w:w="3358" w:type="dxa"/>
            <w:tcBorders>
              <w:top w:val="single" w:sz="8" w:space="0" w:color="auto"/>
              <w:left w:val="single" w:sz="8" w:space="0" w:color="auto"/>
              <w:bottom w:val="single" w:sz="8" w:space="0" w:color="auto"/>
              <w:right w:val="single" w:sz="8" w:space="0" w:color="auto"/>
            </w:tcBorders>
            <w:shd w:val="clear" w:color="auto" w:fill="C6EFCE"/>
            <w:tcMar>
              <w:left w:w="108" w:type="dxa"/>
              <w:right w:w="108" w:type="dxa"/>
            </w:tcMar>
            <w:vAlign w:val="bottom"/>
          </w:tcPr>
          <w:p w14:paraId="37A02A27" w14:textId="36526DFC" w:rsidR="004C6421" w:rsidRDefault="009D1962">
            <w:pPr>
              <w:rPr>
                <w:noProof/>
              </w:rPr>
            </w:pPr>
            <w:r>
              <w:rPr>
                <w:noProof/>
                <w:color w:val="006100"/>
                <w:sz w:val="20"/>
              </w:rPr>
              <w:t>19919595964 EUR</w:t>
            </w:r>
            <w:r>
              <w:rPr>
                <w:noProof/>
                <w:sz w:val="23"/>
              </w:rPr>
              <w:t xml:space="preserve">  </w:t>
            </w:r>
          </w:p>
        </w:tc>
        <w:tc>
          <w:tcPr>
            <w:tcW w:w="2" w:type="dxa"/>
            <w:tcBorders>
              <w:top w:val="nil"/>
              <w:left w:val="single" w:sz="8" w:space="0" w:color="auto"/>
              <w:bottom w:val="nil"/>
              <w:right w:val="nil"/>
            </w:tcBorders>
            <w:vAlign w:val="center"/>
          </w:tcPr>
          <w:p w14:paraId="167DE493" w14:textId="77777777" w:rsidR="004C6421" w:rsidRDefault="004C6421">
            <w:pPr>
              <w:rPr>
                <w:noProof/>
              </w:rPr>
            </w:pPr>
          </w:p>
        </w:tc>
      </w:tr>
    </w:tbl>
    <w:p w14:paraId="56B366F7" w14:textId="2FD0EBA2" w:rsidR="004C6421" w:rsidRDefault="004C6421">
      <w:pPr>
        <w:spacing w:line="276" w:lineRule="auto"/>
        <w:rPr>
          <w:noProof/>
        </w:rPr>
      </w:pPr>
    </w:p>
    <w:p w14:paraId="7CEC6516" w14:textId="77777777" w:rsidR="004C6421" w:rsidRDefault="009D1962">
      <w:pPr>
        <w:spacing w:after="160" w:line="259" w:lineRule="auto"/>
        <w:rPr>
          <w:noProof/>
        </w:rPr>
      </w:pPr>
      <w:r>
        <w:rPr>
          <w:noProof/>
        </w:rPr>
        <w:br w:type="page"/>
      </w:r>
    </w:p>
    <w:p w14:paraId="294FB638" w14:textId="77777777" w:rsidR="004C6421" w:rsidRDefault="009D1962">
      <w:pPr>
        <w:pStyle w:val="P68B1DB1-Normal39"/>
        <w:spacing w:after="200" w:line="276" w:lineRule="auto"/>
        <w:rPr>
          <w:noProof/>
        </w:rPr>
      </w:pPr>
      <w:r>
        <w:rPr>
          <w:noProof/>
        </w:rPr>
        <w:t xml:space="preserve">SEKCJA 3: UZGODNIENIA DODATKOWE </w:t>
      </w:r>
    </w:p>
    <w:p w14:paraId="720E40FB" w14:textId="77777777" w:rsidR="004C6421" w:rsidRDefault="009D1962">
      <w:pPr>
        <w:pStyle w:val="P68B1DB1-NumPar140"/>
        <w:numPr>
          <w:ilvl w:val="0"/>
          <w:numId w:val="143"/>
        </w:numPr>
        <w:rPr>
          <w:noProof/>
        </w:rPr>
      </w:pPr>
      <w:r>
        <w:rPr>
          <w:noProof/>
        </w:rPr>
        <w:t>Ustalenia dotyczące monitorowania i realizacji planu odbudowy i zwiększania odporności</w:t>
      </w:r>
    </w:p>
    <w:p w14:paraId="27DFD7B1" w14:textId="77777777" w:rsidR="004C6421" w:rsidRDefault="009D1962">
      <w:pPr>
        <w:pStyle w:val="P68B1DB1-Normal41"/>
        <w:spacing w:before="120" w:after="120"/>
        <w:jc w:val="both"/>
        <w:rPr>
          <w:noProof/>
        </w:rPr>
      </w:pPr>
      <w:r>
        <w:rPr>
          <w:noProof/>
        </w:rPr>
        <w:t>Monitorowanie i wdrażanie planu odbudowy i zwiększania odporności Włoch odbywa się zgodnie z następującymi ustaleniami.</w:t>
      </w:r>
    </w:p>
    <w:p w14:paraId="51627A8A" w14:textId="77777777" w:rsidR="004C6421" w:rsidRDefault="009D1962">
      <w:pPr>
        <w:pStyle w:val="P68B1DB1-Normal41"/>
        <w:spacing w:before="120" w:after="120"/>
        <w:jc w:val="both"/>
        <w:rPr>
          <w:noProof/>
        </w:rPr>
      </w:pPr>
      <w:r>
        <w:rPr>
          <w:noProof/>
        </w:rPr>
        <w:t>Zgodnie z dekretem z mocą ustawy nr 77 z dnia 31 maja 2021 r., zmienionym dekretem z mocą ustawy nr 13 z dnia 24 lutego 2023 r., należy utworzyć szereg struktur koordynujących w celu monitorowania i wdrażania planu. Są to w szczególności: (i) komitet sterujący wysokiego szczebla („cabina di regia”) ustanowiony podczas prezydencji Rady Ministrów, którego głównym zadaniem jest kierowanie realizacją planu i koordynowanie jego realizacji; (II) strukturę misji ustanowioną podczas prezydencji Rady Ministrów, przynajmniej na czas trwania planu, uprawnioną do działania jako centralna struktura koordynująca w celu realizacji i monitorowania planu; (III) strukturę techniczną w Ministerstwie Gospodarki i Finansów, prowadzącą monitorowanie operacyjne realizacji planu, kontrolę prawidłowości procedur i wydatków oraz sprawozdawczość, a także wsparcie techniczne i operacyjne na etapie realizacji. Struktura misji prezydencji Rady Ministrów pełni funkcję pojedynczego punktu kontaktowego na szczeblu krajowym dla Komisji Europejskiej. Ministerstwo Gospodarki i Finansów zapewnia ocenę wyników planu. Partnerzy społeczni i inni interesariusze biorą udział w specjalnych spotkaniach „cabina di regia”, aby zapewnić uczestnictwo w realizacji planu. Ponadto struktury koordynacyjne określa się na poziomie każdej centralnej administracji odpowiedzialnej za środki zawarte w planie, której zadaniem jest zarządzanie, monitorowanie, sprawozdawczość i kontrola w odniesieniu do odpowiednich interwencji, w tym w odniesieniu do nadzoru nad realizacją i postępami w osiąganiu celów pośrednich i końcowych. Przewiduje się też mechanizmy egzekwowania przepisów w przypadku problemów związanych z wdrażaniem, w tym poprzez wprowadzenie uprawnień do zastępowania organów administracji odpowiedzialnych za środki przewidziane w planie, w celu zagwarantowania terminowej i skutecznej realizacji projektów, a także ustanowienie mechanizmów ex ante służących rozwiązywaniu konfliktów.</w:t>
      </w:r>
    </w:p>
    <w:p w14:paraId="4A03E6C9" w14:textId="77777777" w:rsidR="004C6421" w:rsidRDefault="009D1962">
      <w:pPr>
        <w:pStyle w:val="P68B1DB1-Normal41"/>
        <w:spacing w:before="120" w:after="120"/>
        <w:jc w:val="both"/>
        <w:rPr>
          <w:noProof/>
        </w:rPr>
      </w:pPr>
      <w:r>
        <w:rPr>
          <w:noProof/>
        </w:rPr>
        <w:t xml:space="preserve">W celu wzmocnienia zdolności administracyjnych w zakresie monitorowania i wdrażania przewiduje się rekrutację personelu tymczasowego, w tym w odniesieniu do administracji centralnej odpowiedzialnej za interwencje w ramach planu oraz Ministerstwa Gospodarki i Finansów (w tym w odniesieniu do centralnej struktury koordynującej i Departamentu Rachunkowości państwa), jak przewidziano w dekrecie z mocą ustawy nr 80 z dnia 9 czerwca 2021 r., a także w odniesieniu do administracji na południu Włoch, które mają wzmocnić kapitał ludzki zaangażowany w planowanie i wydatkowanie funduszy UE, jak przewidziano w szczególności w ustawie nr 178 z 2020 r. Ponadto przydziela się zasoby na strukturę zadaniową ustanowioną przy prezydencji Rady Ministrów, aby zapewnić jej skuteczne funkcjonowanie, zgodnie z dekretem z mocą ustawy nr 13 z dnia 24 lutego 2023 r. Wreszcie, przy realizacji projektów przewiduje się wsparcie techniczne i operacyjne dla administracji centralnej i lokalnej, w tym poprzez wykorzystanie spółek kapitału publicznego, grupy ekspertów ds. pomocy technicznej oraz możliwości skorzystania z pomocy ekspertów zewnętrznych. Działaniom tym towarzyszyć powinno wdrożenie środków mających na celu ograniczenie biurokracji i uproszczenie procedur administracyjnych, jak przewidziano w dekrecie z mocą ustawy nr 77 z dnia 31 maja 2021 r. i w dekrecie z mocą ustawy nr 13 z dnia 24 lutego 2023 r. </w:t>
      </w:r>
    </w:p>
    <w:p w14:paraId="12B98104" w14:textId="77777777" w:rsidR="004C6421" w:rsidRDefault="009D1962">
      <w:pPr>
        <w:pStyle w:val="P68B1DB1-Normal41"/>
        <w:spacing w:before="120" w:after="120"/>
        <w:jc w:val="both"/>
        <w:rPr>
          <w:noProof/>
        </w:rPr>
      </w:pPr>
      <w:r>
        <w:rPr>
          <w:noProof/>
        </w:rPr>
        <w:t>Ustalenia przewidują również wykorzystanie zintegrowanego systemu informatycznego („ReGiS”). Istniejący Inspektorat Generalny ds. Stosunków Finansowych z Unią Europejską (IGRUE) w Ministerstwie Gospodarki i Finansów ma za zadanie koordynację systemów audytu i prowadzenie kontroli przy wsparciu Regionalnych Urzędów ds. Rachunkowości (RTS). Nadal obowiązywać powinny wzmocnione ustalenia z Guardia di Finanza i odpowiednimi niezależnymi organami, takimi jak krajowa agencja antykorupcyjna ANAC, co wzmocni rolę, jaką włoski system prawny już przewiduje dla tych organów w odniesieniu do ochrony finansów publicznych, w tym finansów UE.</w:t>
      </w:r>
    </w:p>
    <w:p w14:paraId="719741AE" w14:textId="77777777" w:rsidR="004C6421" w:rsidRDefault="009D1962">
      <w:pPr>
        <w:pStyle w:val="P68B1DB1-NumPar142"/>
        <w:numPr>
          <w:ilvl w:val="0"/>
          <w:numId w:val="143"/>
        </w:numPr>
        <w:rPr>
          <w:noProof/>
        </w:rPr>
      </w:pPr>
      <w:r>
        <w:rPr>
          <w:noProof/>
        </w:rPr>
        <w:t>Ustalenia dotyczące zapewnienia Komisji pełnego dostępu do danych bazowych</w:t>
      </w:r>
    </w:p>
    <w:p w14:paraId="52BF9823" w14:textId="77777777" w:rsidR="004C6421" w:rsidRDefault="009D1962">
      <w:pPr>
        <w:pStyle w:val="P68B1DB1-Normal41"/>
        <w:spacing w:before="120" w:after="120"/>
        <w:jc w:val="both"/>
        <w:rPr>
          <w:noProof/>
        </w:rPr>
      </w:pPr>
      <w:r>
        <w:rPr>
          <w:noProof/>
        </w:rPr>
        <w:t>Aby zapewnić Komisji pełny dostęp do odpowiednich danych bazowych, Włochy wprowadzają następujące ustalenia.</w:t>
      </w:r>
    </w:p>
    <w:p w14:paraId="1B3C4E29" w14:textId="77777777" w:rsidR="004C6421" w:rsidRDefault="009D1962">
      <w:pPr>
        <w:pStyle w:val="P68B1DB1-Normal41"/>
        <w:spacing w:before="120" w:after="120"/>
        <w:jc w:val="both"/>
        <w:rPr>
          <w:noProof/>
        </w:rPr>
      </w:pPr>
      <w:r>
        <w:rPr>
          <w:noProof/>
        </w:rPr>
        <w:t>Ministerstwo Gospodarki i Finansów działa jako organ techniczny zajmujący się monitorowaniem, między innymi postępów w realizacji kamieni milowych i wartości docelowych, oraz – w stosownych przypadkach – realizacją działań w zakresie kontroli i audytu, a także sprawozdawczości i składania wniosków o płatność. Koordynuje sprawozdawczość dotyczącą kamieni milowych i wartości docelowych, odpowiednich wskaźników, a także jakościowych informacji finansowych i innych danych, np. dotyczących ostatecznych odbiorców. Kodowanie danych odbywa się na szczeblu organów administracji centralnej odpowiedzialnych za środki przewidziane w planie, które przekazują wymagane dane do Ministerstwa Gospodarki i Finansów. Zgodnie z art. 24 ust. 2 rozporządzenia (UE) 2021/241 po zakończeniu realizacji odpowiednich uzgodnionych kamieni milowych i wartości docelowych określonych w sekcji 2.1 niniejszego załącznika Włochy przedkładają Komisji należycie uzasadniony wniosek o wypłatę wkładu finansowego oraz, w stosownych przypadkach, pożyczki. Włochy zapewniają, aby na wniosek Komisja miała pełny dostęp do odpowiednich danych bazowych, które potwierdzają należyte uzasadnienie wniosku o płatność, zarówno do celów oceny wniosku o płatność zgodnie z art. 24 ust. 3 rozporządzenia (UE) 2021/241, jak i do celów audytu i kontroli.</w:t>
      </w:r>
    </w:p>
    <w:p w14:paraId="738F2D65" w14:textId="77777777" w:rsidR="004C6421" w:rsidRDefault="004C6421">
      <w:pPr>
        <w:rPr>
          <w:noProof/>
        </w:rPr>
      </w:pPr>
    </w:p>
    <w:sectPr w:rsidR="004C6421">
      <w:headerReference w:type="even" r:id="rId435"/>
      <w:headerReference w:type="default" r:id="rId436"/>
      <w:footerReference w:type="even" r:id="rId437"/>
      <w:footerReference w:type="default" r:id="rId438"/>
      <w:headerReference w:type="first" r:id="rId439"/>
      <w:footerReference w:type="first" r:id="rId4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839C4" w14:textId="77777777" w:rsidR="00F2015C" w:rsidRDefault="00F2015C">
      <w:r>
        <w:separator/>
      </w:r>
    </w:p>
  </w:endnote>
  <w:endnote w:type="continuationSeparator" w:id="0">
    <w:p w14:paraId="1524A734" w14:textId="77777777" w:rsidR="00F2015C" w:rsidRDefault="00F2015C">
      <w:r>
        <w:continuationSeparator/>
      </w:r>
    </w:p>
  </w:endnote>
  <w:endnote w:type="continuationNotice" w:id="1">
    <w:p w14:paraId="41DF23F4" w14:textId="77777777" w:rsidR="00F2015C" w:rsidRDefault="00F201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EC Square Sans Pro">
    <w:charset w:val="00"/>
    <w:family w:val="swiss"/>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C5B5D" w14:textId="11944E1C" w:rsidR="00863339" w:rsidRPr="00863339" w:rsidRDefault="00863339" w:rsidP="00863339">
    <w:pPr>
      <w:pStyle w:val="FooterCoverPage"/>
      <w:rPr>
        <w:rFonts w:ascii="Arial" w:hAnsi="Arial" w:cs="Arial"/>
        <w:b/>
        <w:sz w:val="48"/>
      </w:rPr>
    </w:pPr>
    <w:r w:rsidRPr="00863339">
      <w:rPr>
        <w:rFonts w:ascii="Arial" w:hAnsi="Arial" w:cs="Arial"/>
        <w:b/>
        <w:sz w:val="48"/>
      </w:rPr>
      <w:t>PL</w:t>
    </w:r>
    <w:r w:rsidRPr="00863339">
      <w:rPr>
        <w:rFonts w:ascii="Arial" w:hAnsi="Arial" w:cs="Arial"/>
        <w:b/>
        <w:sz w:val="48"/>
      </w:rPr>
      <w:tab/>
    </w:r>
    <w:r w:rsidRPr="00863339">
      <w:rPr>
        <w:rFonts w:ascii="Arial" w:hAnsi="Arial" w:cs="Arial"/>
        <w:b/>
        <w:sz w:val="48"/>
      </w:rPr>
      <w:tab/>
    </w:r>
    <w:r w:rsidRPr="00863339">
      <w:tab/>
    </w:r>
    <w:r w:rsidRPr="00863339">
      <w:rPr>
        <w:rFonts w:ascii="Arial" w:hAnsi="Arial" w:cs="Arial"/>
        <w:b/>
        <w:sz w:val="48"/>
      </w:rPr>
      <w:t>PL</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BE254" w14:textId="77777777" w:rsidR="004C6421" w:rsidRDefault="004C6421">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EE0E5" w14:textId="77777777" w:rsidR="004C6421" w:rsidRDefault="004C6421">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795532"/>
      <w:docPartObj>
        <w:docPartGallery w:val="Page Numbers (Bottom of Page)"/>
        <w:docPartUnique/>
      </w:docPartObj>
    </w:sdtPr>
    <w:sdtEndPr>
      <w:rPr>
        <w:noProof/>
      </w:rPr>
    </w:sdtEndPr>
    <w:sdtContent>
      <w:p w14:paraId="02B36DDB"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388A1BCA" w14:textId="77777777" w:rsidR="004C6421" w:rsidRDefault="004C6421">
    <w:pPr>
      <w:pStyle w:val="FooterCouncil"/>
    </w:pP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43268" w14:textId="77777777" w:rsidR="004C6421" w:rsidRDefault="004C6421">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824A6" w14:textId="77777777" w:rsidR="004C6421" w:rsidRDefault="004C6421">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0231685"/>
      <w:docPartObj>
        <w:docPartGallery w:val="Page Numbers (Bottom of Page)"/>
        <w:docPartUnique/>
      </w:docPartObj>
    </w:sdtPr>
    <w:sdtEndPr>
      <w:rPr>
        <w:noProof/>
      </w:rPr>
    </w:sdtEndPr>
    <w:sdtContent>
      <w:p w14:paraId="4E05DAF2"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51AD5299" w14:textId="77777777" w:rsidR="004C6421" w:rsidRDefault="004C6421">
    <w:pPr>
      <w:pStyle w:val="FooterCouncil"/>
    </w:pP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915C9" w14:textId="77777777" w:rsidR="004C6421" w:rsidRDefault="004C6421">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60DC6" w14:textId="77777777" w:rsidR="004C6421" w:rsidRDefault="004C6421">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909044"/>
      <w:docPartObj>
        <w:docPartGallery w:val="Page Numbers (Bottom of Page)"/>
        <w:docPartUnique/>
      </w:docPartObj>
    </w:sdtPr>
    <w:sdtEndPr>
      <w:rPr>
        <w:noProof/>
      </w:rPr>
    </w:sdtEndPr>
    <w:sdtContent>
      <w:p w14:paraId="6ACA7AC7"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74D52278" w14:textId="77777777" w:rsidR="004C6421" w:rsidRDefault="004C6421">
    <w:pPr>
      <w:pStyle w:val="FooterCouncil"/>
    </w:pPr>
  </w:p>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5E650" w14:textId="77777777" w:rsidR="004C6421" w:rsidRDefault="004C6421">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2B923" w14:textId="77777777" w:rsidR="004C6421" w:rsidRDefault="004C642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504340"/>
      <w:docPartObj>
        <w:docPartGallery w:val="Page Numbers (Bottom of Page)"/>
        <w:docPartUnique/>
      </w:docPartObj>
    </w:sdtPr>
    <w:sdtEndPr>
      <w:rPr>
        <w:noProof/>
      </w:rPr>
    </w:sdtEndPr>
    <w:sdtContent>
      <w:p w14:paraId="0CEC1EAA"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59610CDD" w14:textId="77777777" w:rsidR="004C6421" w:rsidRDefault="004C6421">
    <w:pPr>
      <w:pStyle w:val="FooterCouncil"/>
    </w:pPr>
  </w:p>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151712"/>
      <w:docPartObj>
        <w:docPartGallery w:val="Page Numbers (Bottom of Page)"/>
        <w:docPartUnique/>
      </w:docPartObj>
    </w:sdtPr>
    <w:sdtEndPr>
      <w:rPr>
        <w:noProof/>
      </w:rPr>
    </w:sdtEndPr>
    <w:sdtContent>
      <w:p w14:paraId="5F9FF847"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1704AB84" w14:textId="77777777" w:rsidR="004C6421" w:rsidRDefault="004C6421">
    <w:pPr>
      <w:pStyle w:val="FooterCouncil"/>
    </w:pPr>
  </w:p>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C4DB5" w14:textId="77777777" w:rsidR="004C6421" w:rsidRDefault="004C6421">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B4648" w14:textId="77777777" w:rsidR="004C6421" w:rsidRDefault="004C6421">
    <w:pPr>
      <w:pStyle w:val="Footer"/>
    </w:pPr>
  </w:p>
</w:ftr>
</file>

<file path=word/footer1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9649965"/>
      <w:docPartObj>
        <w:docPartGallery w:val="Page Numbers (Bottom of Page)"/>
        <w:docPartUnique/>
      </w:docPartObj>
    </w:sdtPr>
    <w:sdtEndPr>
      <w:rPr>
        <w:noProof/>
      </w:rPr>
    </w:sdtEndPr>
    <w:sdtContent>
      <w:p w14:paraId="45BF2CEB"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522B141A" w14:textId="77777777" w:rsidR="004C6421" w:rsidRDefault="004C6421">
    <w:pPr>
      <w:pStyle w:val="FooterCouncil"/>
    </w:pPr>
  </w:p>
</w:ftr>
</file>

<file path=word/footer1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837BB" w14:textId="77777777" w:rsidR="004C6421" w:rsidRDefault="004C6421">
    <w:pPr>
      <w:pStyle w:val="Footer"/>
    </w:pPr>
  </w:p>
</w:ftr>
</file>

<file path=word/footer1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9F48C" w14:textId="77777777" w:rsidR="004C6421" w:rsidRDefault="004C6421">
    <w:pPr>
      <w:pStyle w:val="Footer"/>
    </w:pPr>
  </w:p>
</w:ftr>
</file>

<file path=word/footer1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2535438"/>
      <w:docPartObj>
        <w:docPartGallery w:val="Page Numbers (Bottom of Page)"/>
        <w:docPartUnique/>
      </w:docPartObj>
    </w:sdtPr>
    <w:sdtEndPr>
      <w:rPr>
        <w:noProof/>
      </w:rPr>
    </w:sdtEndPr>
    <w:sdtContent>
      <w:p w14:paraId="6245E7CE"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2EDAA5C6" w14:textId="77777777" w:rsidR="004C6421" w:rsidRDefault="004C6421">
    <w:pPr>
      <w:pStyle w:val="FooterCouncil"/>
    </w:pPr>
  </w:p>
</w:ftr>
</file>

<file path=word/footer1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61845" w14:textId="77777777" w:rsidR="004C6421" w:rsidRDefault="004C6421">
    <w:pPr>
      <w:pStyle w:val="Footer"/>
    </w:pPr>
  </w:p>
</w:ftr>
</file>

<file path=word/footer1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9A2E0" w14:textId="77777777" w:rsidR="004C6421" w:rsidRDefault="004C6421">
    <w:pPr>
      <w:pStyle w:val="Footer"/>
    </w:pPr>
  </w:p>
</w:ftr>
</file>

<file path=word/footer1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0378442"/>
      <w:docPartObj>
        <w:docPartGallery w:val="Page Numbers (Bottom of Page)"/>
        <w:docPartUnique/>
      </w:docPartObj>
    </w:sdtPr>
    <w:sdtEndPr>
      <w:rPr>
        <w:noProof/>
      </w:rPr>
    </w:sdtEndPr>
    <w:sdtContent>
      <w:p w14:paraId="18E61420"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4D9EDF93" w14:textId="77777777" w:rsidR="004C6421" w:rsidRDefault="004C6421">
    <w:pPr>
      <w:pStyle w:val="FooterCouncil"/>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AA452" w14:textId="77777777" w:rsidR="004C6421" w:rsidRDefault="004C6421">
    <w:pPr>
      <w:pStyle w:val="Footer"/>
    </w:pPr>
  </w:p>
</w:ftr>
</file>

<file path=word/footer1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0BD25" w14:textId="77777777" w:rsidR="004C6421" w:rsidRDefault="004C6421">
    <w:pPr>
      <w:pStyle w:val="Footer"/>
    </w:pPr>
  </w:p>
</w:ftr>
</file>

<file path=word/footer1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76D0A" w14:textId="77777777" w:rsidR="004C6421" w:rsidRDefault="004C6421">
    <w:pPr>
      <w:pStyle w:val="Footer"/>
    </w:pPr>
  </w:p>
</w:ftr>
</file>

<file path=word/footer1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8553045"/>
      <w:docPartObj>
        <w:docPartGallery w:val="Page Numbers (Bottom of Page)"/>
        <w:docPartUnique/>
      </w:docPartObj>
    </w:sdtPr>
    <w:sdtEndPr>
      <w:rPr>
        <w:noProof/>
      </w:rPr>
    </w:sdtEndPr>
    <w:sdtContent>
      <w:p w14:paraId="27F5C8F2"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1B2ABDF7" w14:textId="77777777" w:rsidR="004C6421" w:rsidRDefault="004C6421">
    <w:pPr>
      <w:pStyle w:val="FooterCouncil"/>
    </w:pPr>
  </w:p>
</w:ftr>
</file>

<file path=word/footer1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8E9E5" w14:textId="77777777" w:rsidR="004C6421" w:rsidRDefault="004C6421">
    <w:pPr>
      <w:pStyle w:val="Footer"/>
    </w:pPr>
  </w:p>
</w:ftr>
</file>

<file path=word/footer1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73E2E" w14:textId="77777777" w:rsidR="004C6421" w:rsidRDefault="004C6421">
    <w:pPr>
      <w:pStyle w:val="Footer"/>
    </w:pPr>
  </w:p>
</w:ftr>
</file>

<file path=word/footer1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300025"/>
      <w:docPartObj>
        <w:docPartGallery w:val="Page Numbers (Bottom of Page)"/>
        <w:docPartUnique/>
      </w:docPartObj>
    </w:sdtPr>
    <w:sdtEndPr>
      <w:rPr>
        <w:noProof/>
      </w:rPr>
    </w:sdtEndPr>
    <w:sdtContent>
      <w:p w14:paraId="3B6FB993"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482F1352" w14:textId="77777777" w:rsidR="004C6421" w:rsidRDefault="004C6421">
    <w:pPr>
      <w:pStyle w:val="FooterCouncil"/>
    </w:pPr>
  </w:p>
</w:ftr>
</file>

<file path=word/footer1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799ED" w14:textId="77777777" w:rsidR="004C6421" w:rsidRDefault="004C6421">
    <w:pPr>
      <w:pStyle w:val="Footer"/>
    </w:pPr>
  </w:p>
</w:ftr>
</file>

<file path=word/footer1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DB507" w14:textId="77777777" w:rsidR="004C6421" w:rsidRDefault="004C6421">
    <w:pPr>
      <w:pStyle w:val="Footer"/>
    </w:pPr>
  </w:p>
</w:ftr>
</file>

<file path=word/footer1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09279"/>
      <w:docPartObj>
        <w:docPartGallery w:val="Page Numbers (Bottom of Page)"/>
        <w:docPartUnique/>
      </w:docPartObj>
    </w:sdtPr>
    <w:sdtEndPr>
      <w:rPr>
        <w:noProof/>
      </w:rPr>
    </w:sdtEndPr>
    <w:sdtContent>
      <w:p w14:paraId="2AB8F766"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14F7C03A" w14:textId="77777777" w:rsidR="004C6421" w:rsidRDefault="004C6421">
    <w:pPr>
      <w:pStyle w:val="FooterCouncil"/>
    </w:pPr>
  </w:p>
</w:ftr>
</file>

<file path=word/footer1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0DA77" w14:textId="77777777" w:rsidR="004C6421" w:rsidRDefault="004C6421">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61AD1" w14:textId="77777777" w:rsidR="004C6421" w:rsidRDefault="004C6421">
    <w:pPr>
      <w:pStyle w:val="Footer"/>
    </w:pPr>
  </w:p>
</w:ftr>
</file>

<file path=word/footer1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A9CB0" w14:textId="77777777" w:rsidR="004C6421" w:rsidRDefault="004C6421">
    <w:pPr>
      <w:pStyle w:val="Footer"/>
    </w:pPr>
  </w:p>
</w:ftr>
</file>

<file path=word/footer1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2487318"/>
      <w:docPartObj>
        <w:docPartGallery w:val="Page Numbers (Bottom of Page)"/>
        <w:docPartUnique/>
      </w:docPartObj>
    </w:sdtPr>
    <w:sdtEndPr>
      <w:rPr>
        <w:noProof/>
      </w:rPr>
    </w:sdtEndPr>
    <w:sdtContent>
      <w:p w14:paraId="4D69A46A"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68D547F4" w14:textId="77777777" w:rsidR="004C6421" w:rsidRDefault="004C6421">
    <w:pPr>
      <w:pStyle w:val="FooterCouncil"/>
    </w:pPr>
  </w:p>
</w:ftr>
</file>

<file path=word/footer1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07D08" w14:textId="77777777" w:rsidR="004C6421" w:rsidRDefault="004C6421">
    <w:pPr>
      <w:pStyle w:val="Footer"/>
    </w:pPr>
  </w:p>
</w:ftr>
</file>

<file path=word/footer1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D0C8F" w14:textId="77777777" w:rsidR="004C6421" w:rsidRDefault="004C6421">
    <w:pPr>
      <w:pStyle w:val="Footer"/>
    </w:pPr>
  </w:p>
</w:ftr>
</file>

<file path=word/footer1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017778"/>
      <w:docPartObj>
        <w:docPartGallery w:val="Page Numbers (Bottom of Page)"/>
        <w:docPartUnique/>
      </w:docPartObj>
    </w:sdtPr>
    <w:sdtEndPr>
      <w:rPr>
        <w:noProof/>
      </w:rPr>
    </w:sdtEndPr>
    <w:sdtContent>
      <w:p w14:paraId="5BFE8712"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4E909E92" w14:textId="77777777" w:rsidR="004C6421" w:rsidRDefault="004C6421">
    <w:pPr>
      <w:pStyle w:val="FooterCouncil"/>
    </w:pPr>
  </w:p>
</w:ftr>
</file>

<file path=word/footer1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8AF51" w14:textId="77777777" w:rsidR="004C6421" w:rsidRDefault="004C6421">
    <w:pPr>
      <w:pStyle w:val="Footer"/>
    </w:pPr>
  </w:p>
</w:ftr>
</file>

<file path=word/footer1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E8F4E" w14:textId="77777777" w:rsidR="004C6421" w:rsidRDefault="004C6421">
    <w:pPr>
      <w:pStyle w:val="Footer"/>
    </w:pPr>
  </w:p>
</w:ftr>
</file>

<file path=word/footer1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604405"/>
      <w:docPartObj>
        <w:docPartGallery w:val="Page Numbers (Bottom of Page)"/>
        <w:docPartUnique/>
      </w:docPartObj>
    </w:sdtPr>
    <w:sdtEndPr>
      <w:rPr>
        <w:noProof/>
      </w:rPr>
    </w:sdtEndPr>
    <w:sdtContent>
      <w:p w14:paraId="1E8398A2"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39834BE1" w14:textId="77777777" w:rsidR="004C6421" w:rsidRDefault="004C6421">
    <w:pPr>
      <w:pStyle w:val="FooterCouncil"/>
    </w:pPr>
  </w:p>
</w:ftr>
</file>

<file path=word/footer1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4D1EC" w14:textId="77777777" w:rsidR="004C6421" w:rsidRDefault="004C6421">
    <w:pPr>
      <w:pStyle w:val="Footer"/>
    </w:pPr>
  </w:p>
</w:ftr>
</file>

<file path=word/footer1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25463" w14:textId="77777777" w:rsidR="004C6421" w:rsidRDefault="004C6421">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844585"/>
      <w:docPartObj>
        <w:docPartGallery w:val="Page Numbers (Bottom of Page)"/>
        <w:docPartUnique/>
      </w:docPartObj>
    </w:sdtPr>
    <w:sdtEndPr>
      <w:rPr>
        <w:noProof/>
      </w:rPr>
    </w:sdtEndPr>
    <w:sdtContent>
      <w:p w14:paraId="492B2A30"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17FE41BE" w14:textId="77777777" w:rsidR="004C6421" w:rsidRDefault="004C6421">
    <w:pPr>
      <w:pStyle w:val="FooterCouncil"/>
    </w:pPr>
  </w:p>
</w:ftr>
</file>

<file path=word/footer1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250502"/>
      <w:docPartObj>
        <w:docPartGallery w:val="Page Numbers (Bottom of Page)"/>
        <w:docPartUnique/>
      </w:docPartObj>
    </w:sdtPr>
    <w:sdtEndPr>
      <w:rPr>
        <w:noProof/>
      </w:rPr>
    </w:sdtEndPr>
    <w:sdtContent>
      <w:p w14:paraId="3298335F"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13F78C45" w14:textId="77777777" w:rsidR="004C6421" w:rsidRDefault="004C6421">
    <w:pPr>
      <w:pStyle w:val="FooterCouncil"/>
    </w:pPr>
  </w:p>
</w:ftr>
</file>

<file path=word/footer1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B2B0A" w14:textId="77777777" w:rsidR="004C6421" w:rsidRDefault="004C6421">
    <w:pPr>
      <w:pStyle w:val="Footer"/>
    </w:pPr>
  </w:p>
</w:ftr>
</file>

<file path=word/footer1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6A886" w14:textId="77777777" w:rsidR="004C6421" w:rsidRDefault="004C6421">
    <w:pPr>
      <w:pStyle w:val="Footer"/>
    </w:pPr>
  </w:p>
</w:ftr>
</file>

<file path=word/footer1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333636"/>
      <w:docPartObj>
        <w:docPartGallery w:val="Page Numbers (Bottom of Page)"/>
        <w:docPartUnique/>
      </w:docPartObj>
    </w:sdtPr>
    <w:sdtEndPr>
      <w:rPr>
        <w:noProof/>
      </w:rPr>
    </w:sdtEndPr>
    <w:sdtContent>
      <w:p w14:paraId="26CCF8A2"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206B16D3" w14:textId="77777777" w:rsidR="004C6421" w:rsidRDefault="004C6421">
    <w:pPr>
      <w:pStyle w:val="FooterCouncil"/>
    </w:pPr>
  </w:p>
</w:ftr>
</file>

<file path=word/footer1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08B6B" w14:textId="77777777" w:rsidR="004C6421" w:rsidRDefault="004C6421">
    <w:pPr>
      <w:pStyle w:val="Footer"/>
    </w:pPr>
  </w:p>
</w:ftr>
</file>

<file path=word/footer1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2AAA4" w14:textId="77777777" w:rsidR="004C6421" w:rsidRDefault="004C6421">
    <w:pPr>
      <w:pStyle w:val="Footer"/>
    </w:pPr>
  </w:p>
</w:ftr>
</file>

<file path=word/footer1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582437"/>
      <w:docPartObj>
        <w:docPartGallery w:val="Page Numbers (Bottom of Page)"/>
        <w:docPartUnique/>
      </w:docPartObj>
    </w:sdtPr>
    <w:sdtEndPr>
      <w:rPr>
        <w:noProof/>
      </w:rPr>
    </w:sdtEndPr>
    <w:sdtContent>
      <w:p w14:paraId="3F1C204C"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350FCCBE" w14:textId="77777777" w:rsidR="004C6421" w:rsidRDefault="004C6421">
    <w:pPr>
      <w:pStyle w:val="FooterCouncil"/>
    </w:pPr>
  </w:p>
</w:ftr>
</file>

<file path=word/footer1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5C34D" w14:textId="77777777" w:rsidR="004C6421" w:rsidRDefault="004C6421">
    <w:pPr>
      <w:pStyle w:val="Footer"/>
    </w:pPr>
  </w:p>
</w:ftr>
</file>

<file path=word/footer1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6BFA3" w14:textId="77777777" w:rsidR="004C6421" w:rsidRDefault="004C6421">
    <w:pPr>
      <w:pStyle w:val="Footer"/>
    </w:pPr>
  </w:p>
</w:ftr>
</file>

<file path=word/footer1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987498"/>
      <w:docPartObj>
        <w:docPartGallery w:val="Page Numbers (Bottom of Page)"/>
        <w:docPartUnique/>
      </w:docPartObj>
    </w:sdtPr>
    <w:sdtEndPr>
      <w:rPr>
        <w:noProof/>
      </w:rPr>
    </w:sdtEndPr>
    <w:sdtContent>
      <w:p w14:paraId="18AC4B48"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24D0C9AC" w14:textId="77777777" w:rsidR="004C6421" w:rsidRDefault="004C6421">
    <w:pPr>
      <w:pStyle w:val="FooterCouncil"/>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767D5" w14:textId="77777777" w:rsidR="004C6421" w:rsidRDefault="004C6421">
    <w:pPr>
      <w:pStyle w:val="Footer"/>
    </w:pPr>
  </w:p>
</w:ftr>
</file>

<file path=word/footer1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8BF08" w14:textId="77777777" w:rsidR="004C6421" w:rsidRDefault="004C6421">
    <w:pPr>
      <w:pStyle w:val="Footer"/>
    </w:pPr>
  </w:p>
</w:ftr>
</file>

<file path=word/footer1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12116" w14:textId="77777777" w:rsidR="004C6421" w:rsidRDefault="004C6421">
    <w:pPr>
      <w:pStyle w:val="Footer"/>
    </w:pPr>
  </w:p>
</w:ftr>
</file>

<file path=word/footer1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548900"/>
      <w:docPartObj>
        <w:docPartGallery w:val="Page Numbers (Bottom of Page)"/>
        <w:docPartUnique/>
      </w:docPartObj>
    </w:sdtPr>
    <w:sdtEndPr>
      <w:rPr>
        <w:noProof/>
      </w:rPr>
    </w:sdtEndPr>
    <w:sdtContent>
      <w:p w14:paraId="65D14DFF"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29AA1B76" w14:textId="77777777" w:rsidR="004C6421" w:rsidRDefault="004C6421">
    <w:pPr>
      <w:pStyle w:val="FooterCouncil"/>
    </w:pPr>
  </w:p>
</w:ftr>
</file>

<file path=word/footer1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2E9CE" w14:textId="77777777" w:rsidR="004C6421" w:rsidRDefault="004C6421">
    <w:pPr>
      <w:pStyle w:val="Footer"/>
    </w:pPr>
  </w:p>
</w:ftr>
</file>

<file path=word/footer1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ABA4C" w14:textId="77777777" w:rsidR="004C6421" w:rsidRDefault="004C6421">
    <w:pPr>
      <w:pStyle w:val="Footer"/>
    </w:pPr>
  </w:p>
</w:ftr>
</file>

<file path=word/footer1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180683"/>
      <w:docPartObj>
        <w:docPartGallery w:val="Page Numbers (Bottom of Page)"/>
        <w:docPartUnique/>
      </w:docPartObj>
    </w:sdtPr>
    <w:sdtEndPr>
      <w:rPr>
        <w:noProof/>
      </w:rPr>
    </w:sdtEndPr>
    <w:sdtContent>
      <w:p w14:paraId="52ACB069"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45F89F9C" w14:textId="77777777" w:rsidR="004C6421" w:rsidRDefault="004C6421">
    <w:pPr>
      <w:pStyle w:val="FooterCouncil"/>
    </w:pPr>
  </w:p>
</w:ftr>
</file>

<file path=word/footer1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4AD92" w14:textId="77777777" w:rsidR="004C6421" w:rsidRDefault="004C6421">
    <w:pPr>
      <w:pStyle w:val="Footer"/>
    </w:pPr>
  </w:p>
</w:ftr>
</file>

<file path=word/footer1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2570E" w14:textId="77777777" w:rsidR="004C6421" w:rsidRDefault="004C6421">
    <w:pPr>
      <w:pStyle w:val="Footer"/>
    </w:pPr>
  </w:p>
</w:ftr>
</file>

<file path=word/footer1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031883"/>
      <w:docPartObj>
        <w:docPartGallery w:val="Page Numbers (Bottom of Page)"/>
        <w:docPartUnique/>
      </w:docPartObj>
    </w:sdtPr>
    <w:sdtEndPr>
      <w:rPr>
        <w:noProof/>
      </w:rPr>
    </w:sdtEndPr>
    <w:sdtContent>
      <w:p w14:paraId="26231EEC"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2C660081" w14:textId="77777777" w:rsidR="004C6421" w:rsidRDefault="004C6421">
    <w:pPr>
      <w:pStyle w:val="FooterCouncil"/>
    </w:pPr>
  </w:p>
</w:ftr>
</file>

<file path=word/footer1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22D8A" w14:textId="77777777" w:rsidR="004C6421" w:rsidRDefault="004C6421">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FD704" w14:textId="77777777" w:rsidR="004C6421" w:rsidRDefault="004C6421">
    <w:pPr>
      <w:pStyle w:val="Footer"/>
    </w:pPr>
  </w:p>
</w:ftr>
</file>

<file path=word/footer1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D0EBF" w14:textId="77777777" w:rsidR="004C6421" w:rsidRDefault="004C6421">
    <w:pPr>
      <w:pStyle w:val="Footer"/>
    </w:pPr>
  </w:p>
</w:ftr>
</file>

<file path=word/footer1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578663"/>
      <w:docPartObj>
        <w:docPartGallery w:val="Page Numbers (Bottom of Page)"/>
        <w:docPartUnique/>
      </w:docPartObj>
    </w:sdtPr>
    <w:sdtEndPr>
      <w:rPr>
        <w:noProof/>
      </w:rPr>
    </w:sdtEndPr>
    <w:sdtContent>
      <w:p w14:paraId="14564E60"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4E096741" w14:textId="77777777" w:rsidR="004C6421" w:rsidRDefault="004C6421">
    <w:pPr>
      <w:pStyle w:val="FooterCouncil"/>
    </w:pPr>
  </w:p>
</w:ftr>
</file>

<file path=word/footer1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4C516" w14:textId="77777777" w:rsidR="004C6421" w:rsidRDefault="004C6421">
    <w:pPr>
      <w:pStyle w:val="Footer"/>
    </w:pPr>
  </w:p>
</w:ftr>
</file>

<file path=word/footer1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68556" w14:textId="77777777" w:rsidR="004C6421" w:rsidRDefault="004C6421">
    <w:pPr>
      <w:pStyle w:val="Footer"/>
    </w:pPr>
  </w:p>
</w:ftr>
</file>

<file path=word/footer1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676152"/>
      <w:docPartObj>
        <w:docPartGallery w:val="Page Numbers (Bottom of Page)"/>
        <w:docPartUnique/>
      </w:docPartObj>
    </w:sdtPr>
    <w:sdtEndPr>
      <w:rPr>
        <w:noProof/>
      </w:rPr>
    </w:sdtEndPr>
    <w:sdtContent>
      <w:p w14:paraId="2C831FDE"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3D6A6130" w14:textId="77777777" w:rsidR="004C6421" w:rsidRDefault="004C6421">
    <w:pPr>
      <w:pStyle w:val="FooterCouncil"/>
    </w:pPr>
  </w:p>
</w:ftr>
</file>

<file path=word/footer1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3D346" w14:textId="77777777" w:rsidR="004C6421" w:rsidRDefault="004C6421">
    <w:pPr>
      <w:pStyle w:val="Footer"/>
    </w:pPr>
  </w:p>
</w:ftr>
</file>

<file path=word/footer1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98A3C" w14:textId="77777777" w:rsidR="004C6421" w:rsidRDefault="004C6421">
    <w:pPr>
      <w:pStyle w:val="Footer"/>
    </w:pPr>
  </w:p>
</w:ftr>
</file>

<file path=word/footer1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4835686"/>
      <w:docPartObj>
        <w:docPartGallery w:val="Page Numbers (Bottom of Page)"/>
        <w:docPartUnique/>
      </w:docPartObj>
    </w:sdtPr>
    <w:sdtEndPr>
      <w:rPr>
        <w:noProof/>
      </w:rPr>
    </w:sdtEndPr>
    <w:sdtContent>
      <w:p w14:paraId="3198873B"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4388AE43" w14:textId="77777777" w:rsidR="004C6421" w:rsidRDefault="004C6421">
    <w:pPr>
      <w:pStyle w:val="FooterCouncil"/>
    </w:pPr>
  </w:p>
</w:ftr>
</file>

<file path=word/footer1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E9B96" w14:textId="77777777" w:rsidR="004C6421" w:rsidRDefault="004C6421">
    <w:pPr>
      <w:pStyle w:val="Footer"/>
    </w:pPr>
  </w:p>
</w:ftr>
</file>

<file path=word/footer1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C4B53" w14:textId="77777777" w:rsidR="004C6421" w:rsidRDefault="004C6421">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924729"/>
      <w:docPartObj>
        <w:docPartGallery w:val="Page Numbers (Bottom of Page)"/>
        <w:docPartUnique/>
      </w:docPartObj>
    </w:sdtPr>
    <w:sdtEndPr>
      <w:rPr>
        <w:noProof/>
      </w:rPr>
    </w:sdtEndPr>
    <w:sdtContent>
      <w:p w14:paraId="011785B7"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7E716989" w14:textId="77777777" w:rsidR="004C6421" w:rsidRDefault="004C6421">
    <w:pPr>
      <w:pStyle w:val="FooterCouncil"/>
    </w:pPr>
  </w:p>
</w:ftr>
</file>

<file path=word/footer1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979719"/>
      <w:docPartObj>
        <w:docPartGallery w:val="Page Numbers (Bottom of Page)"/>
        <w:docPartUnique/>
      </w:docPartObj>
    </w:sdtPr>
    <w:sdtEndPr>
      <w:rPr>
        <w:noProof/>
      </w:rPr>
    </w:sdtEndPr>
    <w:sdtContent>
      <w:p w14:paraId="6A43CF85"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467D1920" w14:textId="77777777" w:rsidR="004C6421" w:rsidRDefault="004C6421">
    <w:pPr>
      <w:pStyle w:val="FooterCouncil"/>
    </w:pPr>
  </w:p>
</w:ftr>
</file>

<file path=word/footer1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F5F5" w14:textId="77777777" w:rsidR="004C6421" w:rsidRDefault="004C6421">
    <w:pPr>
      <w:pStyle w:val="Footer"/>
    </w:pPr>
  </w:p>
</w:ftr>
</file>

<file path=word/footer1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B38A5" w14:textId="77777777" w:rsidR="004C6421" w:rsidRDefault="004C6421">
    <w:pPr>
      <w:pStyle w:val="Footer"/>
    </w:pPr>
  </w:p>
</w:ftr>
</file>

<file path=word/footer1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969950"/>
      <w:docPartObj>
        <w:docPartGallery w:val="Page Numbers (Bottom of Page)"/>
        <w:docPartUnique/>
      </w:docPartObj>
    </w:sdtPr>
    <w:sdtEndPr>
      <w:rPr>
        <w:noProof/>
      </w:rPr>
    </w:sdtEndPr>
    <w:sdtContent>
      <w:p w14:paraId="77CAC0A9"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384E0B95" w14:textId="77777777" w:rsidR="004C6421" w:rsidRDefault="004C6421">
    <w:pPr>
      <w:pStyle w:val="FooterCouncil"/>
    </w:pPr>
  </w:p>
</w:ftr>
</file>

<file path=word/footer1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AD920" w14:textId="77777777" w:rsidR="004C6421" w:rsidRDefault="004C6421">
    <w:pPr>
      <w:pStyle w:val="Footer"/>
    </w:pPr>
  </w:p>
</w:ftr>
</file>

<file path=word/footer1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55BEF" w14:textId="77777777" w:rsidR="004C6421" w:rsidRDefault="004C6421">
    <w:pPr>
      <w:pStyle w:val="Footer"/>
    </w:pPr>
  </w:p>
</w:ftr>
</file>

<file path=word/footer1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7572471"/>
      <w:docPartObj>
        <w:docPartGallery w:val="Page Numbers (Bottom of Page)"/>
        <w:docPartUnique/>
      </w:docPartObj>
    </w:sdtPr>
    <w:sdtEndPr>
      <w:rPr>
        <w:noProof/>
      </w:rPr>
    </w:sdtEndPr>
    <w:sdtContent>
      <w:p w14:paraId="5F9AC5DC"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4FA575F1" w14:textId="77777777" w:rsidR="004C6421" w:rsidRDefault="004C6421">
    <w:pPr>
      <w:pStyle w:val="FooterCouncil"/>
    </w:pPr>
  </w:p>
</w:ftr>
</file>

<file path=word/footer1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DC35C" w14:textId="77777777" w:rsidR="004C6421" w:rsidRDefault="004C6421">
    <w:pPr>
      <w:pStyle w:val="Footer"/>
    </w:pPr>
  </w:p>
</w:ftr>
</file>

<file path=word/footer1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F2A4D" w14:textId="77777777" w:rsidR="004C6421" w:rsidRDefault="004C6421">
    <w:pPr>
      <w:pStyle w:val="Footer"/>
    </w:pPr>
  </w:p>
</w:ftr>
</file>

<file path=word/footer1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695283"/>
      <w:docPartObj>
        <w:docPartGallery w:val="Page Numbers (Bottom of Page)"/>
        <w:docPartUnique/>
      </w:docPartObj>
    </w:sdtPr>
    <w:sdtEndPr>
      <w:rPr>
        <w:noProof/>
      </w:rPr>
    </w:sdtEndPr>
    <w:sdtContent>
      <w:p w14:paraId="6059845D"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6537D201" w14:textId="77777777" w:rsidR="004C6421" w:rsidRDefault="004C6421">
    <w:pPr>
      <w:pStyle w:val="FooterCouncil"/>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2ED3D" w14:textId="77777777" w:rsidR="004C6421" w:rsidRDefault="004C6421">
    <w:pPr>
      <w:pStyle w:val="Footer"/>
    </w:pPr>
  </w:p>
</w:ftr>
</file>

<file path=word/footer1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652B1" w14:textId="77777777" w:rsidR="004C6421" w:rsidRDefault="004C6421">
    <w:pPr>
      <w:pStyle w:val="Footer"/>
    </w:pPr>
  </w:p>
</w:ftr>
</file>

<file path=word/footer1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9D355" w14:textId="77777777" w:rsidR="004C6421" w:rsidRDefault="004C6421">
    <w:pPr>
      <w:pStyle w:val="Footer"/>
    </w:pPr>
  </w:p>
</w:ftr>
</file>

<file path=word/footer1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08887"/>
      <w:docPartObj>
        <w:docPartGallery w:val="Page Numbers (Bottom of Page)"/>
        <w:docPartUnique/>
      </w:docPartObj>
    </w:sdtPr>
    <w:sdtEndPr>
      <w:rPr>
        <w:noProof/>
      </w:rPr>
    </w:sdtEndPr>
    <w:sdtContent>
      <w:p w14:paraId="02219E30"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5EBE3E53" w14:textId="77777777" w:rsidR="004C6421" w:rsidRDefault="004C6421">
    <w:pPr>
      <w:pStyle w:val="FooterCouncil"/>
    </w:pPr>
  </w:p>
</w:ftr>
</file>

<file path=word/footer1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7442E" w14:textId="77777777" w:rsidR="004C6421" w:rsidRDefault="004C6421">
    <w:pPr>
      <w:pStyle w:val="Footer"/>
    </w:pPr>
  </w:p>
</w:ftr>
</file>

<file path=word/footer1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14DB8" w14:textId="77777777" w:rsidR="004C6421" w:rsidRDefault="004C6421">
    <w:pPr>
      <w:pStyle w:val="Footer"/>
    </w:pPr>
  </w:p>
</w:ftr>
</file>

<file path=word/footer1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245955"/>
      <w:docPartObj>
        <w:docPartGallery w:val="Page Numbers (Bottom of Page)"/>
        <w:docPartUnique/>
      </w:docPartObj>
    </w:sdtPr>
    <w:sdtEndPr>
      <w:rPr>
        <w:noProof/>
      </w:rPr>
    </w:sdtEndPr>
    <w:sdtContent>
      <w:p w14:paraId="3CB3810C"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4D6A8871" w14:textId="77777777" w:rsidR="004C6421" w:rsidRDefault="004C6421">
    <w:pPr>
      <w:pStyle w:val="FooterCouncil"/>
    </w:pPr>
  </w:p>
</w:ftr>
</file>

<file path=word/footer1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DD42A" w14:textId="77777777" w:rsidR="004C6421" w:rsidRDefault="004C6421">
    <w:pPr>
      <w:pStyle w:val="Footer"/>
    </w:pPr>
  </w:p>
</w:ftr>
</file>

<file path=word/footer1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51D2B" w14:textId="77777777" w:rsidR="004C6421" w:rsidRDefault="004C6421">
    <w:pPr>
      <w:pStyle w:val="Footer"/>
    </w:pPr>
  </w:p>
</w:ftr>
</file>

<file path=word/footer1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1572551"/>
      <w:docPartObj>
        <w:docPartGallery w:val="Page Numbers (Bottom of Page)"/>
        <w:docPartUnique/>
      </w:docPartObj>
    </w:sdtPr>
    <w:sdtEndPr>
      <w:rPr>
        <w:noProof/>
      </w:rPr>
    </w:sdtEndPr>
    <w:sdtContent>
      <w:p w14:paraId="64896986"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06A22ECC" w14:textId="77777777" w:rsidR="004C6421" w:rsidRDefault="004C6421">
    <w:pPr>
      <w:pStyle w:val="FooterCouncil"/>
    </w:pPr>
  </w:p>
</w:ftr>
</file>

<file path=word/footer1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2FB98" w14:textId="77777777" w:rsidR="004C6421" w:rsidRDefault="004C6421">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EE562" w14:textId="77777777" w:rsidR="004C6421" w:rsidRDefault="004C6421">
    <w:pPr>
      <w:pStyle w:val="Footer"/>
    </w:pPr>
  </w:p>
</w:ftr>
</file>

<file path=word/footer1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0160F" w14:textId="77777777" w:rsidR="004C6421" w:rsidRDefault="004C6421">
    <w:pPr>
      <w:pStyle w:val="Footer"/>
    </w:pPr>
  </w:p>
</w:ftr>
</file>

<file path=word/footer1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122785"/>
      <w:docPartObj>
        <w:docPartGallery w:val="Page Numbers (Bottom of Page)"/>
        <w:docPartUnique/>
      </w:docPartObj>
    </w:sdtPr>
    <w:sdtEndPr>
      <w:rPr>
        <w:noProof/>
      </w:rPr>
    </w:sdtEndPr>
    <w:sdtContent>
      <w:p w14:paraId="6C0467C3"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000DA6BE" w14:textId="77777777" w:rsidR="004C6421" w:rsidRDefault="004C6421">
    <w:pPr>
      <w:pStyle w:val="FooterCouncil"/>
    </w:pPr>
  </w:p>
</w:ftr>
</file>

<file path=word/footer1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D6AA1" w14:textId="77777777" w:rsidR="004C6421" w:rsidRDefault="004C6421">
    <w:pPr>
      <w:pStyle w:val="Footer"/>
    </w:pPr>
  </w:p>
</w:ftr>
</file>

<file path=word/footer1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3450D" w14:textId="77777777" w:rsidR="004C6421" w:rsidRDefault="004C6421">
    <w:pPr>
      <w:pStyle w:val="Footer"/>
    </w:pPr>
  </w:p>
</w:ftr>
</file>

<file path=word/footer1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580418"/>
      <w:docPartObj>
        <w:docPartGallery w:val="Page Numbers (Bottom of Page)"/>
        <w:docPartUnique/>
      </w:docPartObj>
    </w:sdtPr>
    <w:sdtEndPr>
      <w:rPr>
        <w:noProof/>
      </w:rPr>
    </w:sdtEndPr>
    <w:sdtContent>
      <w:p w14:paraId="7DB0C3AC"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014FA46F" w14:textId="77777777" w:rsidR="004C6421" w:rsidRDefault="004C6421">
    <w:pPr>
      <w:pStyle w:val="FooterCouncil"/>
    </w:pPr>
  </w:p>
</w:ftr>
</file>

<file path=word/footer1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5AF03" w14:textId="77777777" w:rsidR="004C6421" w:rsidRDefault="004C6421">
    <w:pPr>
      <w:pStyle w:val="Footer"/>
    </w:pPr>
  </w:p>
</w:ftr>
</file>

<file path=word/footer1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0784A" w14:textId="77777777" w:rsidR="004C6421" w:rsidRDefault="004C6421">
    <w:pPr>
      <w:pStyle w:val="Footer"/>
    </w:pPr>
  </w:p>
</w:ftr>
</file>

<file path=word/footer1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876722"/>
      <w:docPartObj>
        <w:docPartGallery w:val="Page Numbers (Bottom of Page)"/>
        <w:docPartUnique/>
      </w:docPartObj>
    </w:sdtPr>
    <w:sdtEndPr>
      <w:rPr>
        <w:noProof/>
      </w:rPr>
    </w:sdtEndPr>
    <w:sdtContent>
      <w:p w14:paraId="2E25F5ED"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015862C3" w14:textId="77777777" w:rsidR="004C6421" w:rsidRDefault="004C6421">
    <w:pPr>
      <w:pStyle w:val="Footer"/>
    </w:pPr>
  </w:p>
</w:ftr>
</file>

<file path=word/footer1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F14AA" w14:textId="77777777" w:rsidR="004C6421" w:rsidRDefault="004C6421">
    <w:pPr>
      <w:pStyle w:val="Footer"/>
    </w:pPr>
  </w:p>
</w:ftr>
</file>

<file path=word/footer1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ACE8F" w14:textId="77777777" w:rsidR="004C6421" w:rsidRDefault="004C64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C78C3" w14:textId="0700D582" w:rsidR="00863339" w:rsidRPr="00863339" w:rsidRDefault="00863339" w:rsidP="00863339">
    <w:pPr>
      <w:pStyle w:val="FooterCoverPage"/>
      <w:rPr>
        <w:rFonts w:ascii="Arial" w:hAnsi="Arial" w:cs="Arial"/>
        <w:b/>
        <w:sz w:val="48"/>
      </w:rPr>
    </w:pPr>
    <w:r w:rsidRPr="00863339">
      <w:rPr>
        <w:rFonts w:ascii="Arial" w:hAnsi="Arial" w:cs="Arial"/>
        <w:b/>
        <w:sz w:val="48"/>
      </w:rPr>
      <w:t>PL</w:t>
    </w:r>
    <w:r w:rsidRPr="00863339">
      <w:rPr>
        <w:rFonts w:ascii="Arial" w:hAnsi="Arial" w:cs="Arial"/>
        <w:b/>
        <w:sz w:val="48"/>
      </w:rPr>
      <w:tab/>
    </w:r>
    <w:r w:rsidRPr="00863339">
      <w:rPr>
        <w:rFonts w:ascii="Arial" w:hAnsi="Arial" w:cs="Arial"/>
        <w:b/>
        <w:sz w:val="48"/>
      </w:rPr>
      <w:tab/>
    </w:r>
    <w:r w:rsidRPr="00863339">
      <w:tab/>
    </w:r>
    <w:r w:rsidRPr="00863339">
      <w:rPr>
        <w:rFonts w:ascii="Arial" w:hAnsi="Arial" w:cs="Arial"/>
        <w:b/>
        <w:sz w:val="48"/>
      </w:rPr>
      <w:t>PL</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438783"/>
      <w:docPartObj>
        <w:docPartGallery w:val="Page Numbers (Bottom of Page)"/>
        <w:docPartUnique/>
      </w:docPartObj>
    </w:sdtPr>
    <w:sdtEndPr>
      <w:rPr>
        <w:noProof/>
      </w:rPr>
    </w:sdtEndPr>
    <w:sdtContent>
      <w:p w14:paraId="0D1BBE70"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7C658D8D" w14:textId="77777777" w:rsidR="004C6421" w:rsidRDefault="004C6421">
    <w:pPr>
      <w:pStyle w:val="FooterCouncil"/>
    </w:pPr>
  </w:p>
</w:ftr>
</file>

<file path=word/footer2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801561"/>
      <w:docPartObj>
        <w:docPartGallery w:val="Page Numbers (Bottom of Page)"/>
        <w:docPartUnique/>
      </w:docPartObj>
    </w:sdtPr>
    <w:sdtEndPr>
      <w:rPr>
        <w:noProof/>
      </w:rPr>
    </w:sdtEndPr>
    <w:sdtContent>
      <w:p w14:paraId="5DAFA780"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36B9D369" w14:textId="77777777" w:rsidR="004C6421" w:rsidRDefault="004C6421">
    <w:pPr>
      <w:pStyle w:val="Footer"/>
    </w:pPr>
  </w:p>
</w:ftr>
</file>

<file path=word/footer2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FCBA7" w14:textId="77777777" w:rsidR="004C6421" w:rsidRDefault="004C6421">
    <w:pPr>
      <w:pStyle w:val="Footer"/>
    </w:pPr>
  </w:p>
</w:ftr>
</file>

<file path=word/footer2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68D5A" w14:textId="77777777" w:rsidR="004C6421" w:rsidRDefault="004C6421">
    <w:pPr>
      <w:pStyle w:val="Footer"/>
    </w:pPr>
  </w:p>
</w:ftr>
</file>

<file path=word/footer2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5293921"/>
      <w:docPartObj>
        <w:docPartGallery w:val="Page Numbers (Bottom of Page)"/>
        <w:docPartUnique/>
      </w:docPartObj>
    </w:sdtPr>
    <w:sdtEndPr>
      <w:rPr>
        <w:noProof/>
      </w:rPr>
    </w:sdtEndPr>
    <w:sdtContent>
      <w:p w14:paraId="12F30D38"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114EE919" w14:textId="77777777" w:rsidR="004C6421" w:rsidRDefault="004C6421">
    <w:pPr>
      <w:pStyle w:val="FooterCouncil"/>
    </w:pPr>
  </w:p>
</w:ftr>
</file>

<file path=word/footer2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1DBB3" w14:textId="77777777" w:rsidR="004C6421" w:rsidRDefault="004C6421">
    <w:pPr>
      <w:pStyle w:val="Footer"/>
    </w:pPr>
  </w:p>
</w:ftr>
</file>

<file path=word/footer2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4291B" w14:textId="77777777" w:rsidR="004C6421" w:rsidRDefault="004C6421">
    <w:pPr>
      <w:pStyle w:val="Footer"/>
    </w:pPr>
  </w:p>
</w:ftr>
</file>

<file path=word/footer2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967449"/>
      <w:docPartObj>
        <w:docPartGallery w:val="Page Numbers (Bottom of Page)"/>
        <w:docPartUnique/>
      </w:docPartObj>
    </w:sdtPr>
    <w:sdtEndPr>
      <w:rPr>
        <w:noProof/>
      </w:rPr>
    </w:sdtEndPr>
    <w:sdtContent>
      <w:p w14:paraId="1A2E9DEE"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096D7806" w14:textId="77777777" w:rsidR="004C6421" w:rsidRDefault="004C6421">
    <w:pPr>
      <w:pStyle w:val="FooterCouncil"/>
    </w:pPr>
  </w:p>
</w:ftr>
</file>

<file path=word/footer2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FB8C5" w14:textId="77777777" w:rsidR="004C6421" w:rsidRDefault="004C6421">
    <w:pPr>
      <w:pStyle w:val="Footer"/>
    </w:pPr>
  </w:p>
</w:ftr>
</file>

<file path=word/footer2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398AD" w14:textId="77777777" w:rsidR="004C6421" w:rsidRDefault="004C6421">
    <w:pPr>
      <w:pStyle w:val="Footer"/>
    </w:pPr>
  </w:p>
</w:ftr>
</file>

<file path=word/footer2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0390389"/>
      <w:docPartObj>
        <w:docPartGallery w:val="Page Numbers (Bottom of Page)"/>
        <w:docPartUnique/>
      </w:docPartObj>
    </w:sdtPr>
    <w:sdtEndPr>
      <w:rPr>
        <w:noProof/>
      </w:rPr>
    </w:sdtEndPr>
    <w:sdtContent>
      <w:p w14:paraId="14767050"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1EBF73F2" w14:textId="77777777" w:rsidR="004C6421" w:rsidRDefault="004C6421">
    <w:pPr>
      <w:pStyle w:val="FooterCouncil"/>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F2CDC" w14:textId="77777777" w:rsidR="004C6421" w:rsidRDefault="004C6421">
    <w:pPr>
      <w:pStyle w:val="Footer"/>
    </w:pPr>
  </w:p>
</w:ftr>
</file>

<file path=word/footer2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389EF" w14:textId="77777777" w:rsidR="004C6421" w:rsidRDefault="004C6421">
    <w:pPr>
      <w:pStyle w:val="Footer"/>
    </w:pPr>
  </w:p>
</w:ftr>
</file>

<file path=word/footer2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A3B5F" w14:textId="77777777" w:rsidR="00CC179E" w:rsidRDefault="00CC179E">
    <w:pPr>
      <w:pStyle w:val="Footer"/>
    </w:pPr>
  </w:p>
</w:ftr>
</file>

<file path=word/footer2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84132"/>
      <w:docPartObj>
        <w:docPartGallery w:val="Page Numbers (Bottom of Page)"/>
        <w:docPartUnique/>
      </w:docPartObj>
    </w:sdtPr>
    <w:sdtEndPr>
      <w:rPr>
        <w:noProof/>
      </w:rPr>
    </w:sdtEndPr>
    <w:sdtContent>
      <w:p w14:paraId="43DE6EC9" w14:textId="77777777" w:rsidR="00CC179E" w:rsidRDefault="00CC179E">
        <w:pPr>
          <w:pStyle w:val="Footer"/>
          <w:jc w:val="center"/>
        </w:pPr>
        <w:r>
          <w:fldChar w:fldCharType="begin"/>
        </w:r>
        <w:r>
          <w:instrText xml:space="preserve"> PAGE   \* MERGEFORMAT </w:instrText>
        </w:r>
        <w:r>
          <w:fldChar w:fldCharType="separate"/>
        </w:r>
        <w:r>
          <w:t>2</w:t>
        </w:r>
        <w:r>
          <w:fldChar w:fldCharType="end"/>
        </w:r>
      </w:p>
    </w:sdtContent>
  </w:sdt>
  <w:p w14:paraId="474CF0E2" w14:textId="77777777" w:rsidR="00CC179E" w:rsidRDefault="00CC179E">
    <w:pPr>
      <w:pStyle w:val="FooterCouncil"/>
    </w:pPr>
  </w:p>
</w:ftr>
</file>

<file path=word/footer2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D410F" w14:textId="77777777" w:rsidR="00CC179E" w:rsidRDefault="00CC179E">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A3099" w14:textId="77777777" w:rsidR="004C6421" w:rsidRDefault="004C6421">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92641"/>
      <w:docPartObj>
        <w:docPartGallery w:val="Page Numbers (Bottom of Page)"/>
        <w:docPartUnique/>
      </w:docPartObj>
    </w:sdtPr>
    <w:sdtEndPr>
      <w:rPr>
        <w:noProof/>
      </w:rPr>
    </w:sdtEndPr>
    <w:sdtContent>
      <w:p w14:paraId="1A9B7716"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593446C1" w14:textId="77777777" w:rsidR="004C6421" w:rsidRDefault="004C6421">
    <w:pPr>
      <w:pStyle w:val="FooterCouncil"/>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84B30" w14:textId="77777777" w:rsidR="004C6421" w:rsidRDefault="004C6421">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02217" w14:textId="77777777" w:rsidR="004C6421" w:rsidRDefault="004C6421">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186196"/>
      <w:docPartObj>
        <w:docPartGallery w:val="Page Numbers (Bottom of Page)"/>
        <w:docPartUnique/>
      </w:docPartObj>
    </w:sdtPr>
    <w:sdtEndPr>
      <w:rPr>
        <w:noProof/>
      </w:rPr>
    </w:sdtEndPr>
    <w:sdtContent>
      <w:p w14:paraId="4E4DA2E5"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136F1285" w14:textId="77777777" w:rsidR="004C6421" w:rsidRDefault="004C6421">
    <w:pPr>
      <w:pStyle w:val="FooterCouncil"/>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510A6" w14:textId="77777777" w:rsidR="004C6421" w:rsidRDefault="004C6421">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B84E9" w14:textId="77777777" w:rsidR="004C6421" w:rsidRDefault="004C6421">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504779"/>
      <w:docPartObj>
        <w:docPartGallery w:val="Page Numbers (Bottom of Page)"/>
        <w:docPartUnique/>
      </w:docPartObj>
    </w:sdtPr>
    <w:sdtEndPr>
      <w:rPr>
        <w:noProof/>
      </w:rPr>
    </w:sdtEndPr>
    <w:sdtContent>
      <w:p w14:paraId="65CE174A"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2E605B02" w14:textId="77777777" w:rsidR="004C6421" w:rsidRDefault="004C6421">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D8296" w14:textId="77777777" w:rsidR="00863339" w:rsidRPr="00863339" w:rsidRDefault="00863339" w:rsidP="00863339">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52F02" w14:textId="77777777" w:rsidR="004C6421" w:rsidRDefault="004C6421">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6680B" w14:textId="77777777" w:rsidR="004C6421" w:rsidRDefault="004C6421">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688558"/>
      <w:docPartObj>
        <w:docPartGallery w:val="Page Numbers (Bottom of Page)"/>
        <w:docPartUnique/>
      </w:docPartObj>
    </w:sdtPr>
    <w:sdtEndPr>
      <w:rPr>
        <w:noProof/>
      </w:rPr>
    </w:sdtEndPr>
    <w:sdtContent>
      <w:p w14:paraId="7D9B55C5"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4B367262" w14:textId="77777777" w:rsidR="004C6421" w:rsidRDefault="004C6421">
    <w:pPr>
      <w:pStyle w:val="FooterCouncil"/>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79104" w14:textId="77777777" w:rsidR="004C6421" w:rsidRDefault="004C6421">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7C4F9" w14:textId="77777777" w:rsidR="004C6421" w:rsidRDefault="004C6421">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195845"/>
      <w:docPartObj>
        <w:docPartGallery w:val="Page Numbers (Bottom of Page)"/>
        <w:docPartUnique/>
      </w:docPartObj>
    </w:sdtPr>
    <w:sdtEndPr>
      <w:rPr>
        <w:noProof/>
      </w:rPr>
    </w:sdtEndPr>
    <w:sdtContent>
      <w:p w14:paraId="7D197335"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5465C33F" w14:textId="77777777" w:rsidR="004C6421" w:rsidRDefault="004C6421">
    <w:pPr>
      <w:pStyle w:val="FooterCouncil"/>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7AB55" w14:textId="77777777" w:rsidR="004C6421" w:rsidRDefault="004C6421">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5E21E" w14:textId="77777777" w:rsidR="004C6421" w:rsidRDefault="004C6421">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365696"/>
      <w:docPartObj>
        <w:docPartGallery w:val="Page Numbers (Bottom of Page)"/>
        <w:docPartUnique/>
      </w:docPartObj>
    </w:sdtPr>
    <w:sdtEndPr>
      <w:rPr>
        <w:noProof/>
      </w:rPr>
    </w:sdtEndPr>
    <w:sdtContent>
      <w:p w14:paraId="29371D64"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426F5BF2" w14:textId="77777777" w:rsidR="004C6421" w:rsidRDefault="004C6421">
    <w:pPr>
      <w:pStyle w:val="FooterCouncil"/>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720F1" w14:textId="77777777" w:rsidR="004C6421" w:rsidRDefault="004C64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612E6" w14:textId="77777777" w:rsidR="004C6421" w:rsidRDefault="004C6421">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F3135" w14:textId="77777777" w:rsidR="004C6421" w:rsidRDefault="004C6421">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905944"/>
      <w:docPartObj>
        <w:docPartGallery w:val="Page Numbers (Bottom of Page)"/>
        <w:docPartUnique/>
      </w:docPartObj>
    </w:sdtPr>
    <w:sdtEndPr>
      <w:rPr>
        <w:noProof/>
      </w:rPr>
    </w:sdtEndPr>
    <w:sdtContent>
      <w:p w14:paraId="1D79BE84"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628E8D31" w14:textId="77777777" w:rsidR="004C6421" w:rsidRDefault="004C6421">
    <w:pPr>
      <w:pStyle w:val="FooterCouncil"/>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35070" w14:textId="77777777" w:rsidR="004C6421" w:rsidRDefault="004C6421">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F8B26" w14:textId="77777777" w:rsidR="004C6421" w:rsidRDefault="004C6421">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375581"/>
      <w:docPartObj>
        <w:docPartGallery w:val="Page Numbers (Bottom of Page)"/>
        <w:docPartUnique/>
      </w:docPartObj>
    </w:sdtPr>
    <w:sdtEndPr>
      <w:rPr>
        <w:noProof/>
      </w:rPr>
    </w:sdtEndPr>
    <w:sdtContent>
      <w:p w14:paraId="6C59E861"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5034C800" w14:textId="77777777" w:rsidR="004C6421" w:rsidRDefault="004C6421">
    <w:pPr>
      <w:pStyle w:val="FooterCouncil"/>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9BC8C" w14:textId="77777777" w:rsidR="004C6421" w:rsidRDefault="004C6421">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5CAD0" w14:textId="77777777" w:rsidR="004C6421" w:rsidRDefault="004C6421">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39167"/>
      <w:docPartObj>
        <w:docPartGallery w:val="Page Numbers (Bottom of Page)"/>
        <w:docPartUnique/>
      </w:docPartObj>
    </w:sdtPr>
    <w:sdtEndPr>
      <w:rPr>
        <w:noProof/>
      </w:rPr>
    </w:sdtEndPr>
    <w:sdtContent>
      <w:p w14:paraId="0FCE8DEC"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02275468" w14:textId="77777777" w:rsidR="004C6421" w:rsidRDefault="004C6421">
    <w:pPr>
      <w:pStyle w:val="FooterCouncil"/>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88144" w14:textId="77777777" w:rsidR="004C6421" w:rsidRDefault="004C6421">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5A537" w14:textId="77777777" w:rsidR="004C6421" w:rsidRDefault="004C64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638651"/>
      <w:docPartObj>
        <w:docPartGallery w:val="Page Numbers (Bottom of Page)"/>
        <w:docPartUnique/>
      </w:docPartObj>
    </w:sdtPr>
    <w:sdtEndPr>
      <w:rPr>
        <w:noProof/>
      </w:rPr>
    </w:sdtEndPr>
    <w:sdtContent>
      <w:p w14:paraId="75590EBD" w14:textId="4D9A5056" w:rsidR="004C6421" w:rsidRDefault="009D1962">
        <w:pPr>
          <w:pStyle w:val="Footer"/>
          <w:jc w:val="center"/>
        </w:pPr>
        <w:r>
          <w:fldChar w:fldCharType="begin"/>
        </w:r>
        <w:r>
          <w:instrText xml:space="preserve"> PAGE   \* MERGEFORMAT </w:instrText>
        </w:r>
        <w:r>
          <w:fldChar w:fldCharType="separate"/>
        </w:r>
        <w:r w:rsidR="00863339">
          <w:rPr>
            <w:noProof/>
          </w:rPr>
          <w:t>11</w:t>
        </w:r>
        <w:r>
          <w:fldChar w:fldCharType="end"/>
        </w:r>
      </w:p>
    </w:sdtContent>
  </w:sdt>
  <w:p w14:paraId="74977227" w14:textId="77777777" w:rsidR="004C6421" w:rsidRDefault="004C6421">
    <w:pPr>
      <w:pStyle w:val="FooterCouncil"/>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3752216"/>
      <w:docPartObj>
        <w:docPartGallery w:val="Page Numbers (Bottom of Page)"/>
        <w:docPartUnique/>
      </w:docPartObj>
    </w:sdtPr>
    <w:sdtEndPr>
      <w:rPr>
        <w:noProof/>
      </w:rPr>
    </w:sdtEndPr>
    <w:sdtContent>
      <w:p w14:paraId="4C865209"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5805EF05" w14:textId="77777777" w:rsidR="004C6421" w:rsidRDefault="004C6421">
    <w:pPr>
      <w:pStyle w:val="FooterCouncil"/>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2ED0E" w14:textId="77777777" w:rsidR="004C6421" w:rsidRDefault="004C6421">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0F879" w14:textId="77777777" w:rsidR="004C6421" w:rsidRDefault="004C6421">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426461"/>
      <w:docPartObj>
        <w:docPartGallery w:val="Page Numbers (Bottom of Page)"/>
        <w:docPartUnique/>
      </w:docPartObj>
    </w:sdtPr>
    <w:sdtEndPr>
      <w:rPr>
        <w:noProof/>
      </w:rPr>
    </w:sdtEndPr>
    <w:sdtContent>
      <w:p w14:paraId="50C774CC"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0ED8A395" w14:textId="77777777" w:rsidR="004C6421" w:rsidRDefault="004C6421">
    <w:pPr>
      <w:pStyle w:val="FooterCouncil"/>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1B178" w14:textId="77777777" w:rsidR="004C6421" w:rsidRDefault="004C6421">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3FF16" w14:textId="77777777" w:rsidR="004C6421" w:rsidRDefault="004C6421">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0213657"/>
      <w:docPartObj>
        <w:docPartGallery w:val="Page Numbers (Bottom of Page)"/>
        <w:docPartUnique/>
      </w:docPartObj>
    </w:sdtPr>
    <w:sdtEndPr>
      <w:rPr>
        <w:noProof/>
      </w:rPr>
    </w:sdtEndPr>
    <w:sdtContent>
      <w:p w14:paraId="74CBEAED"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4E007FC8" w14:textId="77777777" w:rsidR="004C6421" w:rsidRDefault="004C6421">
    <w:pPr>
      <w:pStyle w:val="FooterCouncil"/>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1BD75" w14:textId="77777777" w:rsidR="004C6421" w:rsidRDefault="004C6421">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B0F41" w14:textId="77777777" w:rsidR="004C6421" w:rsidRDefault="004C6421">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077321"/>
      <w:docPartObj>
        <w:docPartGallery w:val="Page Numbers (Bottom of Page)"/>
        <w:docPartUnique/>
      </w:docPartObj>
    </w:sdtPr>
    <w:sdtEndPr>
      <w:rPr>
        <w:noProof/>
      </w:rPr>
    </w:sdtEndPr>
    <w:sdtContent>
      <w:p w14:paraId="142F0153"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6A5295AE" w14:textId="77777777" w:rsidR="004C6421" w:rsidRDefault="004C6421">
    <w:pPr>
      <w:pStyle w:val="FooterCouncil"/>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59772" w14:textId="77777777" w:rsidR="004C6421" w:rsidRDefault="004C6421">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23F91" w14:textId="77777777" w:rsidR="004C6421" w:rsidRDefault="004C6421">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6EC84" w14:textId="77777777" w:rsidR="004C6421" w:rsidRDefault="004C6421">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6282736"/>
      <w:docPartObj>
        <w:docPartGallery w:val="Page Numbers (Bottom of Page)"/>
        <w:docPartUnique/>
      </w:docPartObj>
    </w:sdtPr>
    <w:sdtEndPr>
      <w:rPr>
        <w:noProof/>
      </w:rPr>
    </w:sdtEndPr>
    <w:sdtContent>
      <w:p w14:paraId="61A0B397"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6D169F4A" w14:textId="77777777" w:rsidR="004C6421" w:rsidRDefault="004C6421">
    <w:pPr>
      <w:pStyle w:val="FooterCouncil"/>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587AA" w14:textId="77777777" w:rsidR="004C6421" w:rsidRDefault="004C6421">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DFE45" w14:textId="77777777" w:rsidR="004C6421" w:rsidRDefault="004C6421">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821140"/>
      <w:docPartObj>
        <w:docPartGallery w:val="Page Numbers (Bottom of Page)"/>
        <w:docPartUnique/>
      </w:docPartObj>
    </w:sdtPr>
    <w:sdtEndPr>
      <w:rPr>
        <w:noProof/>
      </w:rPr>
    </w:sdtEndPr>
    <w:sdtContent>
      <w:p w14:paraId="32BE1CEF"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4268D191" w14:textId="77777777" w:rsidR="004C6421" w:rsidRDefault="004C6421">
    <w:pPr>
      <w:pStyle w:val="FooterCouncil"/>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0C065" w14:textId="77777777" w:rsidR="004C6421" w:rsidRDefault="004C6421">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31026" w14:textId="77777777" w:rsidR="004C6421" w:rsidRDefault="004C6421">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251616"/>
      <w:docPartObj>
        <w:docPartGallery w:val="Page Numbers (Bottom of Page)"/>
        <w:docPartUnique/>
      </w:docPartObj>
    </w:sdtPr>
    <w:sdtEndPr>
      <w:rPr>
        <w:noProof/>
      </w:rPr>
    </w:sdtEndPr>
    <w:sdtContent>
      <w:p w14:paraId="7A87AD2D"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420B972D" w14:textId="77777777" w:rsidR="004C6421" w:rsidRDefault="004C6421">
    <w:pPr>
      <w:pStyle w:val="FooterCouncil"/>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92F73" w14:textId="77777777" w:rsidR="004C6421" w:rsidRDefault="004C642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A75BB" w14:textId="77777777" w:rsidR="004C6421" w:rsidRDefault="004C6421">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9C61A" w14:textId="77777777" w:rsidR="004C6421" w:rsidRDefault="004C6421">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387456"/>
      <w:docPartObj>
        <w:docPartGallery w:val="Page Numbers (Bottom of Page)"/>
        <w:docPartUnique/>
      </w:docPartObj>
    </w:sdtPr>
    <w:sdtEndPr>
      <w:rPr>
        <w:noProof/>
      </w:rPr>
    </w:sdtEndPr>
    <w:sdtContent>
      <w:p w14:paraId="52CBA149"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68F74F73" w14:textId="77777777" w:rsidR="004C6421" w:rsidRDefault="004C6421">
    <w:pPr>
      <w:pStyle w:val="FooterCouncil"/>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95087" w14:textId="77777777" w:rsidR="004C6421" w:rsidRDefault="004C6421">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DBD91" w14:textId="77777777" w:rsidR="004C6421" w:rsidRDefault="004C6421">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042029"/>
      <w:docPartObj>
        <w:docPartGallery w:val="Page Numbers (Bottom of Page)"/>
        <w:docPartUnique/>
      </w:docPartObj>
    </w:sdtPr>
    <w:sdtEndPr>
      <w:rPr>
        <w:noProof/>
      </w:rPr>
    </w:sdtEndPr>
    <w:sdtContent>
      <w:p w14:paraId="5FE97F26"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1BBFB8B0" w14:textId="77777777" w:rsidR="004C6421" w:rsidRDefault="004C6421">
    <w:pPr>
      <w:pStyle w:val="FooterCouncil"/>
    </w:pP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701D9" w14:textId="77777777" w:rsidR="004C6421" w:rsidRDefault="004C6421">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12255" w14:textId="77777777" w:rsidR="004C6421" w:rsidRDefault="004C6421">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437440"/>
      <w:docPartObj>
        <w:docPartGallery w:val="Page Numbers (Bottom of Page)"/>
        <w:docPartUnique/>
      </w:docPartObj>
    </w:sdtPr>
    <w:sdtEndPr>
      <w:rPr>
        <w:noProof/>
      </w:rPr>
    </w:sdtEndPr>
    <w:sdtContent>
      <w:p w14:paraId="3360FD4B"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2AE204A8" w14:textId="77777777" w:rsidR="004C6421" w:rsidRDefault="004C6421">
    <w:pPr>
      <w:pStyle w:val="FooterCouncil"/>
    </w:pP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28C2B" w14:textId="77777777" w:rsidR="004C6421" w:rsidRDefault="004C6421">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F0BA4" w14:textId="77777777" w:rsidR="004C6421" w:rsidRDefault="004C642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449238"/>
      <w:docPartObj>
        <w:docPartGallery w:val="Page Numbers (Bottom of Page)"/>
        <w:docPartUnique/>
      </w:docPartObj>
    </w:sdtPr>
    <w:sdtEndPr>
      <w:rPr>
        <w:noProof/>
      </w:rPr>
    </w:sdtEndPr>
    <w:sdtContent>
      <w:p w14:paraId="556A237E" w14:textId="184C63DD" w:rsidR="004C6421" w:rsidRDefault="009D1962">
        <w:pPr>
          <w:pStyle w:val="Footer"/>
          <w:jc w:val="center"/>
        </w:pPr>
        <w:r>
          <w:fldChar w:fldCharType="begin"/>
        </w:r>
        <w:r>
          <w:instrText xml:space="preserve"> PAGE   \* MERGEFORMAT </w:instrText>
        </w:r>
        <w:r>
          <w:fldChar w:fldCharType="separate"/>
        </w:r>
        <w:r w:rsidR="00863339">
          <w:rPr>
            <w:noProof/>
          </w:rPr>
          <w:t>18</w:t>
        </w:r>
        <w:r>
          <w:fldChar w:fldCharType="end"/>
        </w:r>
      </w:p>
    </w:sdtContent>
  </w:sdt>
  <w:p w14:paraId="63E0845E" w14:textId="77777777" w:rsidR="004C6421" w:rsidRDefault="004C6421">
    <w:pPr>
      <w:pStyle w:val="FooterCouncil"/>
    </w:pP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3844078"/>
      <w:docPartObj>
        <w:docPartGallery w:val="Page Numbers (Bottom of Page)"/>
        <w:docPartUnique/>
      </w:docPartObj>
    </w:sdtPr>
    <w:sdtEndPr>
      <w:rPr>
        <w:noProof/>
      </w:rPr>
    </w:sdtEndPr>
    <w:sdtContent>
      <w:p w14:paraId="615A1ED1"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595D32E2" w14:textId="77777777" w:rsidR="004C6421" w:rsidRDefault="004C6421">
    <w:pPr>
      <w:pStyle w:val="FooterCouncil"/>
    </w:pP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984CF" w14:textId="77777777" w:rsidR="004C6421" w:rsidRDefault="004C6421">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120BA" w14:textId="77777777" w:rsidR="004C6421" w:rsidRDefault="004C6421">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001240"/>
      <w:docPartObj>
        <w:docPartGallery w:val="Page Numbers (Bottom of Page)"/>
        <w:docPartUnique/>
      </w:docPartObj>
    </w:sdtPr>
    <w:sdtEndPr>
      <w:rPr>
        <w:noProof/>
      </w:rPr>
    </w:sdtEndPr>
    <w:sdtContent>
      <w:p w14:paraId="6E03FDA8"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2A271111" w14:textId="77777777" w:rsidR="004C6421" w:rsidRDefault="004C6421">
    <w:pPr>
      <w:pStyle w:val="FooterCouncil"/>
    </w:pP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E2DA1" w14:textId="77777777" w:rsidR="004C6421" w:rsidRDefault="004C6421">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F9975" w14:textId="77777777" w:rsidR="004C6421" w:rsidRDefault="004C6421">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726519"/>
      <w:docPartObj>
        <w:docPartGallery w:val="Page Numbers (Bottom of Page)"/>
        <w:docPartUnique/>
      </w:docPartObj>
    </w:sdtPr>
    <w:sdtEndPr>
      <w:rPr>
        <w:noProof/>
      </w:rPr>
    </w:sdtEndPr>
    <w:sdtContent>
      <w:p w14:paraId="59DE5A12"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42323EE7" w14:textId="77777777" w:rsidR="004C6421" w:rsidRDefault="004C6421">
    <w:pPr>
      <w:pStyle w:val="FooterCouncil"/>
    </w:pP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82679" w14:textId="77777777" w:rsidR="004C6421" w:rsidRDefault="004C6421">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0E87A" w14:textId="77777777" w:rsidR="004C6421" w:rsidRDefault="004C6421">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768562"/>
      <w:docPartObj>
        <w:docPartGallery w:val="Page Numbers (Bottom of Page)"/>
        <w:docPartUnique/>
      </w:docPartObj>
    </w:sdtPr>
    <w:sdtEndPr>
      <w:rPr>
        <w:noProof/>
      </w:rPr>
    </w:sdtEndPr>
    <w:sdtContent>
      <w:p w14:paraId="4427E77F"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49E8C5A2" w14:textId="77777777" w:rsidR="004C6421" w:rsidRDefault="004C6421">
    <w:pPr>
      <w:pStyle w:val="FooterCouncil"/>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66E53" w14:textId="77777777" w:rsidR="004C6421" w:rsidRDefault="004C6421">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9E1A5" w14:textId="77777777" w:rsidR="004C6421" w:rsidRDefault="004C6421">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B13CF" w14:textId="77777777" w:rsidR="004C6421" w:rsidRDefault="004C6421">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0093231"/>
      <w:docPartObj>
        <w:docPartGallery w:val="Page Numbers (Bottom of Page)"/>
        <w:docPartUnique/>
      </w:docPartObj>
    </w:sdtPr>
    <w:sdtEndPr>
      <w:rPr>
        <w:noProof/>
      </w:rPr>
    </w:sdtEndPr>
    <w:sdtContent>
      <w:p w14:paraId="24B04CB3"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1A7B3D1C" w14:textId="77777777" w:rsidR="004C6421" w:rsidRDefault="004C6421">
    <w:pPr>
      <w:pStyle w:val="FooterCouncil"/>
    </w:pP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C3742" w14:textId="77777777" w:rsidR="004C6421" w:rsidRDefault="004C6421">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787E1" w14:textId="77777777" w:rsidR="004C6421" w:rsidRDefault="004C6421">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578604"/>
      <w:docPartObj>
        <w:docPartGallery w:val="Page Numbers (Bottom of Page)"/>
        <w:docPartUnique/>
      </w:docPartObj>
    </w:sdtPr>
    <w:sdtEndPr>
      <w:rPr>
        <w:noProof/>
      </w:rPr>
    </w:sdtEndPr>
    <w:sdtContent>
      <w:p w14:paraId="660BDB15"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6FE0B461" w14:textId="77777777" w:rsidR="004C6421" w:rsidRDefault="004C6421">
    <w:pPr>
      <w:pStyle w:val="FooterCouncil"/>
    </w:pP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49761" w14:textId="77777777" w:rsidR="004C6421" w:rsidRDefault="004C6421">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46319" w14:textId="77777777" w:rsidR="004C6421" w:rsidRDefault="004C6421">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307440"/>
      <w:docPartObj>
        <w:docPartGallery w:val="Page Numbers (Bottom of Page)"/>
        <w:docPartUnique/>
      </w:docPartObj>
    </w:sdtPr>
    <w:sdtEndPr>
      <w:rPr>
        <w:noProof/>
      </w:rPr>
    </w:sdtEndPr>
    <w:sdtContent>
      <w:p w14:paraId="7F62FE06" w14:textId="77777777" w:rsidR="004C6421" w:rsidRDefault="009D1962">
        <w:pPr>
          <w:pStyle w:val="Footer"/>
          <w:jc w:val="center"/>
        </w:pPr>
        <w:r>
          <w:fldChar w:fldCharType="begin"/>
        </w:r>
        <w:r>
          <w:instrText xml:space="preserve"> PAGE   \* MERGEFORMAT </w:instrText>
        </w:r>
        <w:r>
          <w:fldChar w:fldCharType="separate"/>
        </w:r>
        <w:r>
          <w:t>2</w:t>
        </w:r>
        <w:r>
          <w:fldChar w:fldCharType="end"/>
        </w:r>
      </w:p>
    </w:sdtContent>
  </w:sdt>
  <w:p w14:paraId="13B81994" w14:textId="77777777" w:rsidR="004C6421" w:rsidRDefault="004C6421">
    <w:pPr>
      <w:pStyle w:val="FooterCouncil"/>
    </w:pP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8CF17" w14:textId="77777777" w:rsidR="004C6421" w:rsidRDefault="004C6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6EB47" w14:textId="77777777" w:rsidR="00F2015C" w:rsidRDefault="00F2015C">
      <w:r>
        <w:separator/>
      </w:r>
    </w:p>
  </w:footnote>
  <w:footnote w:type="continuationSeparator" w:id="0">
    <w:p w14:paraId="10E34A19" w14:textId="77777777" w:rsidR="00F2015C" w:rsidRDefault="00F2015C">
      <w:r>
        <w:continuationSeparator/>
      </w:r>
    </w:p>
  </w:footnote>
  <w:footnote w:type="continuationNotice" w:id="1">
    <w:p w14:paraId="28DF2F73" w14:textId="77777777" w:rsidR="00F2015C" w:rsidRDefault="00F2015C"/>
  </w:footnote>
  <w:footnote w:id="2">
    <w:p w14:paraId="5D335FCD" w14:textId="77777777" w:rsidR="004C6421" w:rsidRDefault="009D1962">
      <w:pPr>
        <w:pStyle w:val="FootnoteText"/>
        <w:ind w:left="0" w:firstLine="0"/>
      </w:pPr>
      <w:r>
        <w:rPr>
          <w:rStyle w:val="FootnoteReference"/>
        </w:rPr>
        <w:footnoteRef/>
      </w:r>
      <w:r>
        <w:t xml:space="preserve"> Z wyjątkiem a) projektów realizowanych w ramach tego środka w zakresie wytwarzania energii elektrycznej lub ciepła, a także powiązanej infrastruktury przesyłowej i dystrybucyjnej z wykorzystaniem gazu ziemnego, które są zgodne z warunkami określonymi w załączniku III do wytycznych technicznych dotyczących zasady „nie czyń poważnych szkód” (2021/C58/01) oraz b) działań i aktywów, o których mowa w ppkt (ii), w przypadku których stosowanie paliw kopalnych jest tymczasowe i technicznie nieuniknione do celów terminowego przejścia na działalność wolną od paliw kopalnych.</w:t>
      </w:r>
    </w:p>
  </w:footnote>
  <w:footnote w:id="3">
    <w:p w14:paraId="16EF2D24" w14:textId="77777777" w:rsidR="004C6421" w:rsidRDefault="009D1962">
      <w:pPr>
        <w:pStyle w:val="FootnoteText"/>
        <w:ind w:left="0" w:firstLine="0"/>
      </w:pPr>
      <w:r>
        <w:rPr>
          <w:rStyle w:val="FootnoteReference"/>
        </w:rPr>
        <w:footnoteRef/>
      </w:r>
      <w:r>
        <w:t xml:space="preserve"> W przypadku gdy wspierane działanie osiąga prognozowane emisje gazów cieplarnianych, które nie są znacznie niższe niż odpowiednie wskaźniki, należy przedstawić wyjaśnienie przyczyn, dla których nie jest to możliwe. Wartości odniesienia ustanowione dla przydziału bezpłatnych uprawnień w odniesieniu do działań wchodzących w zakres systemu handlu uprawnieniami do emisji, jak określono w rozporządzeniu wykonawczym Komisji (UE) 2021/447.</w:t>
      </w:r>
    </w:p>
  </w:footnote>
  <w:footnote w:id="4">
    <w:p w14:paraId="70A3869B" w14:textId="77777777" w:rsidR="004C6421" w:rsidRDefault="009D1962">
      <w:pPr>
        <w:pStyle w:val="FootnoteText"/>
        <w:ind w:left="0" w:firstLine="0"/>
      </w:pPr>
      <w:r>
        <w:rPr>
          <w:rStyle w:val="FootnoteReference"/>
        </w:rPr>
        <w:footnoteRef/>
      </w:r>
      <w:r>
        <w:t xml:space="preserve"> Wyłączenie to nie ma zastosowania do działań w ramach tego środka w zakładach przeznaczonych wyłącznie do przetwarzania odpadów niebezpiecznych nienadających się do recyklingu oraz do istniejących zakładów, w których działania w ramach tego środka mają na celu zwiększenie efektywności energetycznej, wychwytywanie gazów spalinowych do składowania lub wykorzystania lub odzyskiwanie materiałów z popiołów spalania,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5">
    <w:p w14:paraId="4C6FE1EB" w14:textId="77777777" w:rsidR="004C6421" w:rsidRDefault="009D1962">
      <w:pPr>
        <w:pStyle w:val="FootnoteText"/>
        <w:ind w:left="0" w:firstLine="0"/>
      </w:pPr>
      <w:r>
        <w:rPr>
          <w:rStyle w:val="FootnoteReference"/>
        </w:rPr>
        <w:footnoteRef/>
      </w:r>
      <w:r>
        <w:t xml:space="preserve"> Wyłączenie to nie ma zastosowania do działań podejmowanych w ramach tego środka w istniejących zakładach mechaniczno-biologicznego przetwarzania odpadów, w przypadku gdy działania w ramach tego środka mają na celu zwiększenie efektywności energetycznej lub dostosowanie do procesów recyklingu odpadów posegregowanych w celu kompostowania bioodpadów i fermentacji beztlenowej bioodpadów,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6">
    <w:p w14:paraId="7B3AC6B7" w14:textId="77777777" w:rsidR="004C6421" w:rsidRDefault="009D1962">
      <w:pPr>
        <w:jc w:val="both"/>
      </w:pPr>
      <w:r>
        <w:footnoteRef/>
      </w:r>
      <w:r>
        <w:rPr>
          <w:sz w:val="20"/>
        </w:rPr>
        <w:t>Wyjątkiem projektów w ramach tego środka dotyczących wytwarzania energii elektrycznej lub ciepła, a także powiązanej infrastruktury przesyłowej i dystrybucyjnej wykorzystującej gaz ziemny, które są zgodne z warunkami określonymi w załączniku III do wytycznych technicznych „Nie czyń poważnych szkód” (2021/C58/01).</w:t>
      </w:r>
    </w:p>
  </w:footnote>
  <w:footnote w:id="7">
    <w:p w14:paraId="18E64C39" w14:textId="77777777" w:rsidR="004C6421" w:rsidRDefault="009D1962">
      <w:pPr>
        <w:jc w:val="both"/>
        <w:rPr>
          <w:sz w:val="20"/>
        </w:rPr>
      </w:pPr>
      <w:r>
        <w:footnoteRef/>
      </w:r>
      <w:r>
        <w:rPr>
          <w:sz w:val="20"/>
        </w:rPr>
        <w:t>W przypadku gdy wspierane działanie osiąga prognozowane emisje gazów cieplarnianych, które nie są znacznie niższe niż odpowiednie wskaźniki, należy przedstawić wyjaśnienie przyczyn, dla których nie jest to możliwe. Wartości odniesienia ustanowione dla przydziału bezpłatnych uprawnień w odniesieniu do działań wchodzących w zakres systemu handlu uprawnieniami do emisji, jak określono w rozporządzeniu wykonawczym Komisji (UE) 2021/447.</w:t>
      </w:r>
    </w:p>
  </w:footnote>
  <w:footnote w:id="8">
    <w:p w14:paraId="5606F65B" w14:textId="77777777" w:rsidR="004C6421" w:rsidRDefault="009D1962">
      <w:pPr>
        <w:jc w:val="both"/>
        <w:rPr>
          <w:sz w:val="20"/>
        </w:rPr>
      </w:pPr>
      <w:r>
        <w:t>Wyłączenie</w:t>
      </w:r>
      <w:r>
        <w:footnoteRef/>
      </w:r>
      <w:r>
        <w:t xml:space="preserve"> </w:t>
      </w:r>
      <w:r>
        <w:rPr>
          <w:sz w:val="20"/>
        </w:rPr>
        <w:t>to nie ma zastosowania do działań w ramach tego środka w zakładach przeznaczonych wyłącznie do przetwarzania odpadów niebezpiecznych nienadających się do recyklingu oraz do istniejących zakładów, w których działania w ramach tego środka mają na celu zwiększenie efektywności energetycznej, wychwytywanie gazów spalinowych do składowania lub wykorzystania lub odzyskiwanie materiałów z popiołów spalania,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9">
    <w:p w14:paraId="6425DE1E" w14:textId="77777777" w:rsidR="004C6421" w:rsidRDefault="009D1962">
      <w:pPr>
        <w:jc w:val="both"/>
        <w:rPr>
          <w:sz w:val="20"/>
        </w:rPr>
      </w:pPr>
      <w:r>
        <w:t>Wyłączenie</w:t>
      </w:r>
      <w:r>
        <w:footnoteRef/>
      </w:r>
      <w:r>
        <w:t xml:space="preserve"> </w:t>
      </w:r>
      <w:r>
        <w:rPr>
          <w:sz w:val="20"/>
        </w:rPr>
        <w:t>to nie ma zastosowania do działań podejmowanych w ramach tego środka w istniejących zakładach mechaniczno-biologicznego przetwarzania odpadów, w przypadku gdy działania w ramach tego środka mają na celu zwiększenie efektywności energetycznej lub dostosowanie do procesów recyklingu odpadów posegregowanych w celu kompostowania bioodpadów i fermentacji beztlenowej bioodpadów,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10">
    <w:p w14:paraId="1BC715AB" w14:textId="77777777" w:rsidR="004C6421" w:rsidRDefault="009D1962">
      <w:pPr>
        <w:pStyle w:val="FootnoteText"/>
        <w:ind w:left="0" w:firstLine="0"/>
      </w:pPr>
      <w:r>
        <w:rPr>
          <w:rStyle w:val="FootnoteReference"/>
        </w:rPr>
        <w:footnoteRef/>
      </w:r>
      <w:r>
        <w:t xml:space="preserve"> Z wyjątkiem a) aktywów i działań związanych z wytwarzaniem energii elektrycznej lub ciepła, a także związanej z nimi infrastruktury przesyłowej i dystrybucyjnej z wykorzystaniem gazu ziemnego, które są zgodne z warunkami określonymi w załączniku III do wytycznych technicznych dotyczących zasady „nie czyń poważnych szkód” (2021/C58/01) oraz b) działań i aktywów, o których mowa w ppkt (ii), w przypadku których stosowanie paliw kopalnych jest tymczasowe i technicznie nieuniknione do celów terminowego przejścia na działalność bez udziału paliw kopalnych.</w:t>
      </w:r>
    </w:p>
  </w:footnote>
  <w:footnote w:id="11">
    <w:p w14:paraId="3F9702C2" w14:textId="77777777" w:rsidR="004C6421" w:rsidRDefault="009D1962">
      <w:pPr>
        <w:pStyle w:val="FootnoteText"/>
        <w:ind w:left="0" w:firstLine="0"/>
      </w:pPr>
      <w:r>
        <w:rPr>
          <w:rStyle w:val="FootnoteReference"/>
        </w:rPr>
        <w:footnoteRef/>
      </w:r>
      <w:r>
        <w:t xml:space="preserve"> W przypadku gdy w ramach wspieranej działalności osiąga się prognozowane emisje gazów cieplarnianych, które nie są znacznie niższe od odpowiednich wskaźników referencyjnych, należy przedstawić wyjaśnienie powodów, dla których nie jest to możliwe. Wartości odniesienia ustanowione dla przydziału bezpłatnych uprawnień w odniesieniu do działań wchodzących w zakres systemu handlu uprawnieniami do emisji, jak określono w rozporządzeniu wykonawczym Komisji (UE) 2021/447.</w:t>
      </w:r>
    </w:p>
  </w:footnote>
  <w:footnote w:id="12">
    <w:p w14:paraId="1F51AAD0" w14:textId="77777777" w:rsidR="004C6421" w:rsidRDefault="009D1962">
      <w:pPr>
        <w:pStyle w:val="FootnoteText"/>
        <w:ind w:left="0" w:firstLine="0"/>
      </w:pPr>
      <w:r>
        <w:rPr>
          <w:rStyle w:val="FootnoteReference"/>
        </w:rPr>
        <w:footnoteRef/>
      </w:r>
      <w:r>
        <w:t xml:space="preserve"> Wyłączenie to nie ma zastosowania do działań w ramach tego środka w zakładach przeznaczonych wyłącznie do przetwarzania odpadów niebezpiecznych nienadających się do recyklingu oraz do istniejących zakładów, w których działania w ramach tego środka mają na celu zwiększenie efektywności energetycznej, wychwytywanie gazów spalinowych do składowania lub wykorzystania lub odzyskiwanie materiałów z popiołów spalania, pod warunkiem że takie działania w ramach tego środka nie prowadzą do zwiększenia zdolności zakładów w zakresie przetwarzania odpadów ani do wydłużenia okresu eksploatacji zakładów; w odniesieniu do których przedstawiono dowody na poziomie zakładu. </w:t>
      </w:r>
    </w:p>
  </w:footnote>
  <w:footnote w:id="13">
    <w:p w14:paraId="1B12BB57" w14:textId="77777777" w:rsidR="004C6421" w:rsidRDefault="009D1962">
      <w:pPr>
        <w:pStyle w:val="FootnoteText"/>
        <w:ind w:left="0" w:firstLine="0"/>
      </w:pPr>
      <w:r>
        <w:rPr>
          <w:rStyle w:val="FootnoteReference"/>
        </w:rPr>
        <w:footnoteRef/>
      </w:r>
      <w:r>
        <w:t xml:space="preserve"> Wyłączenie to nie ma zastosowania do działań podejmowanych w ramach tego środka w istniejących zakładach mechaniczno-biologicznego przetwarzania odpadów, w przypadku gdy działania w ramach tego środka mają na celu zwiększenie efektywności energetycznej lub dostosowanie do procesów recyklingu odpadów posegregowanych w celu kompostowania bioodpadów i fermentacji beztlenowej bioodpadów, pod warunkiem że takie działania w ramach tego środka nie prowadzą do zwiększenia zdolności zakładów w zakresie przetwarzania odpadów ani do wydłużenia okresu eksploatacji zakładów; w odniesieniu do których przedstawiono dowody na poziomie zakładu. </w:t>
      </w:r>
    </w:p>
  </w:footnote>
  <w:footnote w:id="14">
    <w:p w14:paraId="38A9C0E9" w14:textId="77777777" w:rsidR="004C6421" w:rsidRDefault="009D1962">
      <w:pPr>
        <w:pStyle w:val="FootnoteText"/>
        <w:ind w:left="0" w:firstLine="0"/>
      </w:pPr>
      <w:r>
        <w:rPr>
          <w:rStyle w:val="FootnoteReference"/>
        </w:rPr>
        <w:footnoteRef/>
      </w:r>
      <w:r>
        <w:t xml:space="preserve"> Beneficjenci końcowi stowarzyszeni z konkretnymi projektami są zobowiązani do przedstawienia uzasadnienia wybranego obszaru interwencji dla każdego wspieranego projektu, wraz z opisem projektu, do celów obliczenia wkładu na rzecz klimatu.</w:t>
      </w:r>
    </w:p>
  </w:footnote>
  <w:footnote w:id="15">
    <w:p w14:paraId="635A8F59" w14:textId="77777777" w:rsidR="004C6421" w:rsidRDefault="009D1962">
      <w:pPr>
        <w:pStyle w:val="FootnoteText"/>
        <w:ind w:left="0" w:firstLine="0"/>
      </w:pPr>
      <w:r>
        <w:rPr>
          <w:rStyle w:val="FootnoteReference"/>
        </w:rPr>
        <w:footnoteRef/>
      </w:r>
      <w:r>
        <w:t xml:space="preserve"> Z wyjątkiem a) aktywów i działań związanych z wytwarzaniem energii elektrycznej lub ciepła, a także związanej z nimi infrastruktury przesyłowej i dystrybucyjnej z wykorzystaniem gazu ziemnego, które są zgodne z warunkami określonymi w załączniku III do wytycznych technicznych dotyczących zasady „nie czyń poważnych szkód” (2021/C58/01) oraz b) działań i aktywów, o których mowa w ppkt (ii), w przypadku których stosowanie paliw kopalnych jest tymczasowe i technicznie nieuniknione do celów terminowego przejścia na działalność bez udziału paliw kopalnych.</w:t>
      </w:r>
    </w:p>
  </w:footnote>
  <w:footnote w:id="16">
    <w:p w14:paraId="243A27F8" w14:textId="77777777" w:rsidR="004C6421" w:rsidRDefault="009D1962">
      <w:pPr>
        <w:pStyle w:val="FootnoteText"/>
        <w:ind w:left="0" w:firstLine="0"/>
      </w:pPr>
      <w:r>
        <w:rPr>
          <w:rStyle w:val="FootnoteReference"/>
        </w:rPr>
        <w:footnoteRef/>
      </w:r>
      <w:r>
        <w:t xml:space="preserve"> W przypadku gdy w ramach wspieranej działalności osiąga się prognozowane emisje gazów cieplarnianych, które nie są znacznie niższe od odpowiednich wskaźników referencyjnych, należy przedstawić wyjaśnienie powodów, dla których nie jest to możliwe. Wartości odniesienia ustanowione dla przydziału bezpłatnych uprawnień w odniesieniu do działań wchodzących w zakres systemu handlu uprawnieniami do emisji, jak określono w rozporządzeniu wykonawczym Komisji (UE) 2021/447.</w:t>
      </w:r>
    </w:p>
  </w:footnote>
  <w:footnote w:id="17">
    <w:p w14:paraId="661C1861" w14:textId="77777777" w:rsidR="004C6421" w:rsidRDefault="009D1962">
      <w:pPr>
        <w:pStyle w:val="FootnoteText"/>
        <w:ind w:left="0" w:firstLine="0"/>
      </w:pPr>
      <w:r>
        <w:rPr>
          <w:rStyle w:val="FootnoteReference"/>
        </w:rPr>
        <w:footnoteRef/>
      </w:r>
      <w:r>
        <w:t xml:space="preserve"> Wyłączenie to nie ma zastosowania do działań w ramach tego środka w zakładach przeznaczonych wyłącznie do przetwarzania odpadów niebezpiecznych nienadających się do recyklingu oraz do istniejących zakładów, w których działania w ramach tego środka mają na celu zwiększenie efektywności energetycznej, wychwytywanie gazów spalinowych do składowania lub wykorzystania lub odzyskiwanie materiałów z popiołów spalania,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18">
    <w:p w14:paraId="5EE01F6C" w14:textId="77777777" w:rsidR="004C6421" w:rsidRDefault="009D1962">
      <w:pPr>
        <w:pStyle w:val="FootnoteText"/>
        <w:ind w:left="0" w:firstLine="0"/>
      </w:pPr>
      <w:r>
        <w:rPr>
          <w:rStyle w:val="FootnoteReference"/>
        </w:rPr>
        <w:footnoteRef/>
      </w:r>
      <w:r>
        <w:t xml:space="preserve"> Wyłączenie to nie ma zastosowania do działań podejmowanych w ramach tego środka w istniejących zakładach mechaniczno-biologicznego przetwarzania odpadów, w przypadku gdy działania w ramach tego środka mają na celu zwiększenie efektywności energetycznej lub dostosowanie do procesów recyklingu odpadów posegregowanych w celu kompostowania bioodpadów i fermentacji beztlenowej bioodpadów,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19">
    <w:p w14:paraId="5722586F" w14:textId="77777777" w:rsidR="004C6421" w:rsidRDefault="009D1962">
      <w:pPr>
        <w:pStyle w:val="FootnoteText"/>
        <w:ind w:left="0" w:firstLine="0"/>
      </w:pPr>
      <w:r>
        <w:rPr>
          <w:rStyle w:val="FootnoteReference"/>
        </w:rPr>
        <w:footnoteRef/>
      </w:r>
      <w:r>
        <w:t xml:space="preserve"> Z wyjątkiem a) projektów realizowanych w ramach tego środka w zakresie wytwarzania energii elektrycznej lub ciepła, a także powiązanej infrastruktury przesyłowej i dystrybucyjnej z wykorzystaniem gazu ziemnego, które są zgodne z warunkami określonymi w załączniku III do wytycznych technicznych dotyczących zasady „nie czyń poważnych szkód” (2021/C58/01) oraz b) działań i aktywów, o których mowa w ppkt (ii), w przypadku których stosowanie paliw kopalnych jest tymczasowe i technicznie nieuniknione do celów terminowego przejścia na działalność wolną od paliw kopalnych.</w:t>
      </w:r>
    </w:p>
  </w:footnote>
  <w:footnote w:id="20">
    <w:p w14:paraId="5BA7913C" w14:textId="77777777" w:rsidR="004C6421" w:rsidRDefault="009D1962">
      <w:pPr>
        <w:pStyle w:val="FootnoteText"/>
        <w:ind w:left="0" w:firstLine="0"/>
      </w:pPr>
      <w:r>
        <w:rPr>
          <w:rStyle w:val="FootnoteReference"/>
        </w:rPr>
        <w:footnoteRef/>
      </w:r>
      <w:r>
        <w:t xml:space="preserve"> W przypadku gdy wspierane działanie osiąga prognozowane emisje gazów cieplarnianych, które nie są znacznie niższe niż odpowiednie wskaźniki, należy przedstawić wyjaśnienie przyczyn, dla których nie jest to możliwe. Wartości odniesienia ustanowione dla przydziału bezpłatnych uprawnień w odniesieniu do działań wchodzących w zakres systemu handlu uprawnieniami do emisji, jak określono w rozporządzeniu wykonawczym Komisji (UE) 2021/447.</w:t>
      </w:r>
    </w:p>
  </w:footnote>
  <w:footnote w:id="21">
    <w:p w14:paraId="467B8EC0" w14:textId="77777777" w:rsidR="004C6421" w:rsidRDefault="009D1962">
      <w:pPr>
        <w:pStyle w:val="P68B1DB1-Normal37"/>
        <w:jc w:val="both"/>
      </w:pPr>
      <w:r>
        <w:rPr>
          <w:vertAlign w:val="superscript"/>
        </w:rPr>
        <w:t>20</w:t>
      </w:r>
      <w:r>
        <w:t xml:space="preserve"> Wyłączenie to nie ma zastosowania do działań w ramach tego środka w zakładach przeznaczonych wyłącznie do przetwarzania odpadów niebezpiecznych nienadających się do recyklingu oraz do istniejących zakładów, w przypadku gdy działania w ramach tego środka mają na celu zwiększenie efektywności energetycznej, wychwytywanie gazów spalinowych przeznaczonych do składowania lub wykorzystania lub odzyskiwanie materiałów z popiołów ze spalania, pod warunkiem że takie działania w ramach tego środka nie skutkują zwiększeniem zdolności przetwarzania odpadów w zakładach ani wydłużeniem okresu eksploatacji obiektów; w odniesieniu do których przedstawiono dowody na poziomie zakładu.</w:t>
      </w:r>
    </w:p>
  </w:footnote>
  <w:footnote w:id="22">
    <w:p w14:paraId="0D20416E" w14:textId="77777777" w:rsidR="004C6421" w:rsidRDefault="009D1962">
      <w:pPr>
        <w:pStyle w:val="FootnoteText"/>
        <w:ind w:left="0" w:firstLine="0"/>
      </w:pPr>
      <w:r>
        <w:rPr>
          <w:rStyle w:val="FootnoteReference"/>
        </w:rPr>
        <w:footnoteRef/>
      </w:r>
      <w:r>
        <w:t xml:space="preserve"> Wyłączenie to nie ma zastosowania do działań podejmowanych w ramach tego środka w istniejących zakładach mechaniczno-biologicznego przetwarzania odpadów, w przypadku gdy działania w ramach tego środka mają na celu zwiększenie efektywności energetycznej lub dostosowanie do procesów recyklingu odpadów posegregowanych w celu kompostowania bioodpadów i fermentacji beztlenowej bioodpadów,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23">
    <w:p w14:paraId="297ADF18" w14:textId="77777777" w:rsidR="004C6421" w:rsidRDefault="009D1962">
      <w:pPr>
        <w:pStyle w:val="FootnoteText"/>
        <w:ind w:left="0" w:firstLine="0"/>
      </w:pPr>
      <w:r>
        <w:rPr>
          <w:rStyle w:val="FootnoteReference"/>
        </w:rPr>
        <w:footnoteRef/>
      </w:r>
      <w:r>
        <w:t xml:space="preserve"> Z wyjątkiem a) projektów realizowanych w ramach tego środka w zakresie wytwarzania energii elektrycznej lub ciepła, a także powiązanej infrastruktury przesyłowej i dystrybucyjnej z wykorzystaniem gazu ziemnego, które są zgodne z warunkami określonymi w załączniku III do wytycznych technicznych dotyczących zasady „nie czyń poważnych szkód” (2021/C58/01) oraz b) działań i aktywów, o których mowa w ppkt (ii), w przypadku których stosowanie paliw kopalnych jest tymczasowe i technicznie nieuniknione do celów terminowego przejścia na działalność wolną od paliw kopalnych.</w:t>
      </w:r>
    </w:p>
  </w:footnote>
  <w:footnote w:id="24">
    <w:p w14:paraId="69CD7628" w14:textId="77777777" w:rsidR="004C6421" w:rsidRDefault="009D1962">
      <w:pPr>
        <w:pStyle w:val="FootnoteText"/>
        <w:ind w:left="0" w:firstLine="0"/>
      </w:pPr>
      <w:r>
        <w:rPr>
          <w:rStyle w:val="FootnoteReference"/>
        </w:rPr>
        <w:footnoteRef/>
      </w:r>
      <w:r>
        <w:t xml:space="preserve"> W przypadku gdy wspierane działanie osiąga prognozowane emisje gazów cieplarnianych, które nie są znacznie niższe niż odpowiednie wskaźniki, należy przedstawić wyjaśnienie przyczyn, dla których nie jest to możliwe. Wartości odniesienia ustanowione dla przydziału bezpłatnych uprawnień w odniesieniu do działań wchodzących w zakres systemu handlu uprawnieniami do emisji, jak określono w rozporządzeniu wykonawczym Komisji (UE) 2021/447.</w:t>
      </w:r>
    </w:p>
  </w:footnote>
  <w:footnote w:id="25">
    <w:p w14:paraId="0A3ABF97" w14:textId="77777777" w:rsidR="004C6421" w:rsidRDefault="009D1962">
      <w:pPr>
        <w:pStyle w:val="P68B1DB1-Normal37"/>
        <w:jc w:val="both"/>
      </w:pPr>
      <w:r>
        <w:rPr>
          <w:vertAlign w:val="superscript"/>
        </w:rPr>
        <w:t>24</w:t>
      </w:r>
      <w:r>
        <w:t xml:space="preserve"> Wyłączenie to nie ma zastosowania do działań w ramach tego środka w zakładach przeznaczonych wyłącznie do przetwarzania odpadów niebezpiecznych nienadających się do recyklingu oraz do istniejących zakładów, w przypadku gdy działania w ramach tego środka mają na celu zwiększenie efektywności energetycznej, wychwytywanie gazów spalinowych przeznaczonych do składowania lub wykorzystania lub odzyskiwanie materiałów z popiołów ze spalania, pod warunkiem że takie działania w ramach tego środka nie skutkują zwiększeniem zdolności przetwarzania odpadów w zakładach ani wydłużeniem okresu eksploatacji obiektów; w odniesieniu do których przedstawiono dowody na poziomie zakładu.</w:t>
      </w:r>
    </w:p>
  </w:footnote>
  <w:footnote w:id="26">
    <w:p w14:paraId="0AD4BC48" w14:textId="77777777" w:rsidR="004C6421" w:rsidRDefault="009D1962">
      <w:pPr>
        <w:pStyle w:val="FootnoteText"/>
        <w:ind w:left="0" w:firstLine="0"/>
      </w:pPr>
      <w:r>
        <w:rPr>
          <w:rStyle w:val="FootnoteReference"/>
        </w:rPr>
        <w:footnoteRef/>
      </w:r>
      <w:r>
        <w:t xml:space="preserve"> Wyłączenie to nie ma zastosowania do działań podejmowanych w ramach tego środka w istniejących zakładach mechaniczno-biologicznego przetwarzania odpadów, w przypadku gdy działania w ramach tego środka mają na celu zwiększenie efektywności energetycznej lub dostosowanie do procesów recyklingu odpadów posegregowanych w celu kompostowania bioodpadów i fermentacji beztlenowej bioodpadów,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27">
    <w:p w14:paraId="1E47C105" w14:textId="77777777" w:rsidR="004C6421" w:rsidRDefault="009D1962">
      <w:pPr>
        <w:pStyle w:val="FootnoteText"/>
        <w:ind w:left="0" w:firstLine="0"/>
      </w:pPr>
      <w:r>
        <w:rPr>
          <w:rStyle w:val="FootnoteReference"/>
        </w:rPr>
        <w:footnoteRef/>
      </w:r>
      <w:r>
        <w:t xml:space="preserve"> Z wyjątkiem a) projektów realizowanych w ramach tego środka w zakresie wytwarzania energii elektrycznej lub ciepła, a także powiązanej infrastruktury przesyłowej i dystrybucyjnej z wykorzystaniem gazu ziemnego, które są zgodne z warunkami określonymi w załączniku III do wytycznych technicznych dotyczących zasady „nie czyń poważnych szkód” (2021/C58/01) oraz b) działań i aktywów, o których mowa w ppkt (ii), w przypadku których stosowanie paliw kopalnych jest tymczasowe i technicznie nieuniknione do celów terminowego przejścia na działalność wolną od paliw kopalnych.</w:t>
      </w:r>
    </w:p>
  </w:footnote>
  <w:footnote w:id="28">
    <w:p w14:paraId="41C48C65" w14:textId="77777777" w:rsidR="004C6421" w:rsidRDefault="009D1962">
      <w:pPr>
        <w:pStyle w:val="FootnoteText"/>
        <w:ind w:left="0" w:firstLine="0"/>
      </w:pPr>
      <w:r>
        <w:rPr>
          <w:rStyle w:val="FootnoteReference"/>
        </w:rPr>
        <w:footnoteRef/>
      </w:r>
      <w:r>
        <w:t xml:space="preserve"> W przypadku gdy wspierane działanie osiąga prognozowane emisje gazów cieplarnianych, które nie są znacznie niższe niż odpowiednie wskaźniki, należy przedstawić wyjaśnienie przyczyn, dla których nie jest to możliwe. Wartości odniesienia ustanowione dla przydziału bezpłatnych uprawnień w odniesieniu do działań wchodzących w zakres systemu handlu uprawnieniami do emisji, jak określono w rozporządzeniu wykonawczym Komisji (UE) 2021/447.</w:t>
      </w:r>
    </w:p>
  </w:footnote>
  <w:footnote w:id="29">
    <w:p w14:paraId="2C4AE5A5" w14:textId="77777777" w:rsidR="004C6421" w:rsidRDefault="009D1962">
      <w:pPr>
        <w:pStyle w:val="P68B1DB1-Normal37"/>
        <w:jc w:val="both"/>
      </w:pPr>
      <w:r>
        <w:t>Wyłączenie to nie ma zastosowania do działań w ramach tego środka w zakładach przeznaczonych wyłącznie do przetwarzania odpadów niebezpiecznych nienadających się do recyklingu oraz do istniejących zakładów, w których działania w ramach tego środka mają na celu zwiększenie efektywności energetycznej, wychwytywanie gazów spalinowych do składowania lub wykorzystania lub odzyskiwanie materiałów z popiołów spalania,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30">
    <w:p w14:paraId="5058B472" w14:textId="77777777" w:rsidR="004C6421" w:rsidRDefault="009D1962">
      <w:pPr>
        <w:pStyle w:val="FootnoteText"/>
        <w:ind w:left="0" w:firstLine="0"/>
      </w:pPr>
      <w:r>
        <w:rPr>
          <w:rStyle w:val="FootnoteReference"/>
        </w:rPr>
        <w:footnoteRef/>
      </w:r>
      <w:r>
        <w:t xml:space="preserve"> Wyłączenie to nie ma zastosowania do działań podejmowanych w ramach tego środka w istniejących zakładach mechaniczno-biologicznego przetwarzania odpadów, w przypadku gdy działania w ramach tego środka mają na celu zwiększenie efektywności energetycznej lub dostosowanie do procesów recyklingu odpadów posegregowanych w celu kompostowania bioodpadów i fermentacji beztlenowej bioodpadów,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31">
    <w:p w14:paraId="760F5A85" w14:textId="77777777" w:rsidR="004C6421" w:rsidRDefault="009D1962">
      <w:pPr>
        <w:pStyle w:val="FootnoteText"/>
        <w:ind w:left="0" w:firstLine="0"/>
      </w:pPr>
      <w:r>
        <w:rPr>
          <w:rStyle w:val="FootnoteReference"/>
        </w:rPr>
        <w:footnoteRef/>
      </w:r>
      <w:r>
        <w:t xml:space="preserve"> Z wyjątkiem a) projektów realizowanych w ramach tego środka w zakresie wytwarzania energii elektrycznej lub ciepła, a także powiązanej infrastruktury przesyłowej i dystrybucyjnej z wykorzystaniem gazu ziemnego, które są zgodne z warunkami określonymi w załączniku III do wytycznych technicznych dotyczących zasady „nie czyń poważnych szkód” (2021/C58/01) oraz b) działań i aktywów, o których mowa w ppkt (ii), w przypadku których stosowanie paliw kopalnych jest tymczasowe i technicznie nieuniknione do celów terminowego przejścia na działalność wolną od paliw kopalnych.</w:t>
      </w:r>
    </w:p>
  </w:footnote>
  <w:footnote w:id="32">
    <w:p w14:paraId="461089BE" w14:textId="77777777" w:rsidR="004C6421" w:rsidRDefault="009D1962">
      <w:pPr>
        <w:pStyle w:val="FootnoteText"/>
        <w:ind w:left="0" w:firstLine="0"/>
      </w:pPr>
      <w:r>
        <w:rPr>
          <w:rStyle w:val="FootnoteReference"/>
        </w:rPr>
        <w:footnoteRef/>
      </w:r>
      <w:r>
        <w:t xml:space="preserve"> W przypadku gdy wspierane działanie osiąga prognozowane emisje gazów cieplarnianych, które nie są znacznie niższe niż odpowiednie wskaźniki, należy przedstawić wyjaśnienie przyczyn, dla których nie jest to możliwe. Wartości odniesienia ustanowione dla przydziału bezpłatnych uprawnień w odniesieniu do działań wchodzących w zakres systemu handlu uprawnieniami do emisji, jak określono w rozporządzeniu wykonawczym Komisji (UE) 2021/447.</w:t>
      </w:r>
    </w:p>
  </w:footnote>
  <w:footnote w:id="33">
    <w:p w14:paraId="03810762" w14:textId="77777777" w:rsidR="004C6421" w:rsidRDefault="009D1962">
      <w:pPr>
        <w:pStyle w:val="FootnoteText"/>
        <w:ind w:left="0" w:firstLine="0"/>
      </w:pPr>
      <w:r>
        <w:rPr>
          <w:vertAlign w:val="superscript"/>
        </w:rPr>
        <w:t>32</w:t>
      </w:r>
      <w:r>
        <w:t xml:space="preserve"> Wyłączenie to nie ma zastosowania do działań podejmowanych w ramach tego środka w zakładach przeznaczonych wyłącznie do przetwarzania odpadów niebezpiecznych nienadających się do recyklingu oraz do istniejących zakładów, w przypadku gdy działania w ramach tego środka mają na celu zwiększenie efektywności energetycznej, wychwytywanie gazów spalinowych do składowania lub wykorzystania lub odzyskiwanie materiałów z popiołów ze spalania, pod warunkiem że takie działania w ramach tego środka nie skutkują zwiększeniem zdolności przetwarzania odpadów w zakładach ani wydłużeniem okresu eksploatacji obiektów; w odniesieniu do których przedstawiono dowody na poziomie zakładu.</w:t>
      </w:r>
    </w:p>
  </w:footnote>
  <w:footnote w:id="34">
    <w:p w14:paraId="0804E76A" w14:textId="77777777" w:rsidR="004C6421" w:rsidRDefault="009D1962">
      <w:pPr>
        <w:pStyle w:val="FootnoteText"/>
        <w:ind w:left="0" w:firstLine="0"/>
      </w:pPr>
      <w:r>
        <w:rPr>
          <w:rStyle w:val="FootnoteReference"/>
        </w:rPr>
        <w:footnoteRef/>
      </w:r>
      <w:r>
        <w:t xml:space="preserve"> Wyłączenie to nie ma zastosowania do działań podejmowanych w ramach tego środka w istniejących zakładach mechaniczno-biologicznego przetwarzania odpadów, w przypadku gdy działania w ramach tego środka mają na celu zwiększenie efektywności energetycznej lub dostosowanie do procesów recyklingu odpadów posegregowanych w celu kompostowania bioodpadów i fermentacji beztlenowej bioodpadów,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35">
    <w:p w14:paraId="3F2E7273" w14:textId="77777777" w:rsidR="004C6421" w:rsidRDefault="009D1962">
      <w:pPr>
        <w:pStyle w:val="FootnoteText"/>
        <w:ind w:left="0" w:firstLine="0"/>
      </w:pPr>
      <w:r>
        <w:rPr>
          <w:rStyle w:val="FootnoteReference"/>
        </w:rPr>
        <w:footnoteRef/>
      </w:r>
      <w:r>
        <w:t xml:space="preserve"> Z wyjątkiem a) projektów realizowanych w ramach tego środka w zakresie wytwarzania energii elektrycznej lub ciepła, a także powiązanej infrastruktury przesyłowej i dystrybucyjnej z wykorzystaniem gazu ziemnego, które są zgodne z warunkami określonymi w załączniku III do wytycznych technicznych dotyczących zasady „nie czyń poważnych szkód” (2021/C58/01) oraz b) działań i aktywów, o których mowa w ppkt (ii), w przypadku których stosowanie paliw kopalnych jest tymczasowe i technicznie nieuniknione do celów terminowego przejścia na działalność wolną od paliw kopalnych.</w:t>
      </w:r>
    </w:p>
  </w:footnote>
  <w:footnote w:id="36">
    <w:p w14:paraId="73E96E4E" w14:textId="77777777" w:rsidR="004C6421" w:rsidRDefault="009D1962">
      <w:pPr>
        <w:pStyle w:val="FootnoteText"/>
        <w:ind w:left="0" w:firstLine="0"/>
      </w:pPr>
      <w:r>
        <w:rPr>
          <w:rStyle w:val="FootnoteReference"/>
        </w:rPr>
        <w:footnoteRef/>
      </w:r>
      <w:r>
        <w:t xml:space="preserve"> W przypadku gdy wspierane działanie osiąga prognozowane emisje gazów cieplarnianych, które nie są znacznie niższe niż odpowiednie wskaźniki, należy przedstawić wyjaśnienie przyczyn, dla których nie jest to możliwe. Wartości odniesienia ustanowione dla przydziału bezpłatnych uprawnień w odniesieniu do działań wchodzących w zakres systemu handlu uprawnieniami do emisji, jak określono w rozporządzeniu wykonawczym Komisji (UE) 2021/447.</w:t>
      </w:r>
    </w:p>
  </w:footnote>
  <w:footnote w:id="37">
    <w:p w14:paraId="5D399FF1" w14:textId="77777777" w:rsidR="004C6421" w:rsidRDefault="009D1962">
      <w:pPr>
        <w:pStyle w:val="FootnoteText"/>
        <w:ind w:left="0" w:firstLine="0"/>
      </w:pPr>
      <w:r>
        <w:rPr>
          <w:rStyle w:val="FootnoteReference"/>
        </w:rPr>
        <w:footnoteRef/>
      </w:r>
      <w:r>
        <w:t xml:space="preserve"> Wyłączenie to nie ma zastosowania do działań w ramach tego środka w zakładach przeznaczonych wyłącznie do przetwarzania odpadów niebezpiecznych nienadających się do recyklingu oraz do istniejących zakładów, w których działania w ramach tego środka mają na celu zwiększenie efektywności energetycznej, wychwytywanie gazów spalinowych do składowania lub wykorzystania lub odzyskiwanie materiałów z popiołów spalania,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38">
    <w:p w14:paraId="06B9D944" w14:textId="77777777" w:rsidR="004C6421" w:rsidRDefault="009D1962">
      <w:pPr>
        <w:pStyle w:val="FootnoteText"/>
        <w:ind w:left="0" w:firstLine="0"/>
      </w:pPr>
      <w:r>
        <w:rPr>
          <w:rStyle w:val="FootnoteReference"/>
        </w:rPr>
        <w:footnoteRef/>
      </w:r>
      <w:r>
        <w:t xml:space="preserve"> Wyłączenie to nie ma zastosowania do działań podejmowanych w ramach tego środka w istniejących zakładach mechaniczno-biologicznego przetwarzania odpadów, w przypadku gdy działania w ramach tego środka mają na celu zwiększenie efektywności energetycznej lub dostosowanie do procesów recyklingu odpadów posegregowanych w celu kompostowania bioodpadów i fermentacji beztlenowej bioodpadów,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39">
    <w:p w14:paraId="22D0AAB8" w14:textId="77777777" w:rsidR="004C6421" w:rsidRDefault="009D1962">
      <w:pPr>
        <w:pStyle w:val="FootnoteText"/>
        <w:ind w:left="0" w:firstLine="0"/>
      </w:pPr>
      <w:r>
        <w:rPr>
          <w:rStyle w:val="FootnoteReference"/>
        </w:rPr>
        <w:footnoteRef/>
      </w:r>
      <w:r>
        <w:t xml:space="preserve"> Z wyjątkiem a) projektów realizowanych w ramach tego środka w zakresie wytwarzania energii elektrycznej lub ciepła, a także powiązanej infrastruktury przesyłowej i dystrybucyjnej z wykorzystaniem gazu ziemnego, które są zgodne z warunkami określonymi w załączniku III do wytycznych technicznych dotyczących zasady „nie czyń poważnych szkód” (2021/C58/01) oraz b) działań i aktywów, o których mowa w ppkt (ii), w przypadku których stosowanie paliw kopalnych jest tymczasowe i technicznie nieuniknione do celów terminowego przejścia na działalność wolną od paliw kopalnych.</w:t>
      </w:r>
    </w:p>
  </w:footnote>
  <w:footnote w:id="40">
    <w:p w14:paraId="3A322458" w14:textId="77777777" w:rsidR="004C6421" w:rsidRDefault="009D1962">
      <w:pPr>
        <w:pStyle w:val="FootnoteText"/>
        <w:ind w:left="0" w:firstLine="0"/>
      </w:pPr>
      <w:r>
        <w:rPr>
          <w:rStyle w:val="FootnoteReference"/>
        </w:rPr>
        <w:footnoteRef/>
      </w:r>
      <w:r>
        <w:t xml:space="preserve"> W przypadku gdy wspierane działanie osiąga prognozowane emisje gazów cieplarnianych, które nie są znacznie niższe niż odpowiednie wskaźniki, należy przedstawić wyjaśnienie przyczyn, dla których nie jest to możliwe. Wartości odniesienia ustanowione dla przydziału bezpłatnych uprawnień w odniesieniu do działań wchodzących w zakres systemu handlu uprawnieniami do emisji, jak określono w rozporządzeniu wykonawczym Komisji (UE) 2021/447.</w:t>
      </w:r>
    </w:p>
  </w:footnote>
  <w:footnote w:id="41">
    <w:p w14:paraId="30A91318" w14:textId="77777777" w:rsidR="004C6421" w:rsidRDefault="009D1962">
      <w:pPr>
        <w:pStyle w:val="FootnoteText"/>
        <w:ind w:left="0" w:firstLine="0"/>
      </w:pPr>
      <w:r>
        <w:rPr>
          <w:rStyle w:val="FootnoteReference"/>
        </w:rPr>
        <w:footnoteRef/>
      </w:r>
      <w:r>
        <w:t xml:space="preserve"> Wyłączenie to nie ma zastosowania do działań w ramach tego środka w zakładach przeznaczonych wyłącznie do przetwarzania odpadów niebezpiecznych nienadających się do recyklingu oraz do istniejących zakładów, w których działania w ramach tego środka mają na celu zwiększenie efektywności energetycznej, wychwytywanie gazów spalinowych do składowania lub wykorzystania lub odzyskiwanie materiałów z popiołów spalania,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42">
    <w:p w14:paraId="614E525D" w14:textId="77777777" w:rsidR="004C6421" w:rsidRDefault="009D1962">
      <w:pPr>
        <w:pStyle w:val="FootnoteText"/>
        <w:ind w:left="0" w:firstLine="0"/>
      </w:pPr>
      <w:r>
        <w:rPr>
          <w:rStyle w:val="FootnoteReference"/>
        </w:rPr>
        <w:footnoteRef/>
      </w:r>
      <w:r>
        <w:t xml:space="preserve"> Wyłączenie to nie ma zastosowania do działań podejmowanych w ramach tego środka w istniejących zakładach mechaniczno-biologicznego przetwarzania odpadów, w przypadku gdy działania w ramach tego środka mają na celu zwiększenie efektywności energetycznej lub dostosowanie do procesów recyklingu odpadów posegregowanych w celu kompostowania bioodpadów i fermentacji beztlenowej bioodpadów,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43">
    <w:p w14:paraId="14BAA10A" w14:textId="77777777" w:rsidR="004C6421" w:rsidRDefault="009D1962">
      <w:pPr>
        <w:pStyle w:val="FootnoteText"/>
        <w:ind w:left="0" w:firstLine="0"/>
      </w:pPr>
      <w:r>
        <w:rPr>
          <w:rStyle w:val="FootnoteReference"/>
        </w:rPr>
        <w:footnoteRef/>
      </w:r>
      <w:r>
        <w:t xml:space="preserve"> Z wyjątkiem a) aktywów i działań związanych z wytwarzaniem energii elektrycznej lub ciepła, a także związanej z nimi infrastruktury przesyłowej i dystrybucyjnej z wykorzystaniem gazu ziemnego, które są zgodne z warunkami określonymi w załączniku III do wytycznych technicznych dotyczących zasady „nie czyń poważnych szkód” (2021/C58/01) oraz b) działań i aktywów, o których mowa w ppkt (ii), w przypadku których stosowanie paliw kopalnych jest tymczasowe i technicznie nieuniknione do celów terminowego przejścia na działalność bez udziału paliw kopalnych.</w:t>
      </w:r>
    </w:p>
  </w:footnote>
  <w:footnote w:id="44">
    <w:p w14:paraId="56C0BBA5" w14:textId="77777777" w:rsidR="004C6421" w:rsidRDefault="009D1962">
      <w:pPr>
        <w:pStyle w:val="FootnoteText"/>
        <w:ind w:left="0" w:firstLine="0"/>
      </w:pPr>
      <w:r>
        <w:rPr>
          <w:rStyle w:val="FootnoteReference"/>
        </w:rPr>
        <w:footnoteRef/>
      </w:r>
      <w:r>
        <w:t xml:space="preserve"> W przypadku gdy w ramach wspieranej działalności osiąga się prognozowane emisje gazów cieplarnianych, które nie są znacznie niższe od odpowiednich wskaźników referencyjnych, należy przedstawić wyjaśnienie powodów, dla których nie jest to możliwe. Wartości odniesienia ustanowione dla przydziału bezpłatnych uprawnień w odniesieniu do działań wchodzących w zakres systemu handlu uprawnieniami do emisji, jak określono w rozporządzeniu wykonawczym Komisji (UE) 2021/447.</w:t>
      </w:r>
    </w:p>
  </w:footnote>
  <w:footnote w:id="45">
    <w:p w14:paraId="3AEB9FEE" w14:textId="77777777" w:rsidR="004C6421" w:rsidRDefault="009D1962">
      <w:pPr>
        <w:pStyle w:val="FootnoteText"/>
        <w:ind w:left="0" w:firstLine="0"/>
      </w:pPr>
      <w:r>
        <w:rPr>
          <w:rStyle w:val="FootnoteReference"/>
        </w:rPr>
        <w:footnoteRef/>
      </w:r>
      <w:r>
        <w:t xml:space="preserve"> Wyłączenie to nie ma zastosowania do działań w ramach tego środka w zakładach przeznaczonych wyłącznie do przetwarzania odpadów niebezpiecznych nienadających się do recyklingu oraz do istniejących zakładów, w których działania w ramach tego środka mają na celu zwiększenie efektywności energetycznej, wychwytywanie gazów spalinowych do składowania lub wykorzystania lub odzyskiwanie materiałów z popiołów spalania, pod warunkiem że takie działania w ramach tego środka nie prowadzą do zwiększenia zdolności zakładów w zakresie przetwarzania odpadów ani do wydłużenia okresu eksploatacji zakładów; w odniesieniu do których przedstawiono dowody na poziomie zakładu. </w:t>
      </w:r>
    </w:p>
  </w:footnote>
  <w:footnote w:id="46">
    <w:p w14:paraId="7C633204" w14:textId="77777777" w:rsidR="004C6421" w:rsidRDefault="009D1962">
      <w:pPr>
        <w:pStyle w:val="FootnoteText"/>
        <w:ind w:left="0" w:firstLine="0"/>
      </w:pPr>
      <w:r>
        <w:rPr>
          <w:rStyle w:val="FootnoteReference"/>
        </w:rPr>
        <w:footnoteRef/>
      </w:r>
      <w:r>
        <w:t xml:space="preserve"> Wyłączenie to nie ma zastosowania do działań podejmowanych w ramach tego środka w istniejących zakładach mechaniczno-biologicznego przetwarzania odpadów, w przypadku gdy działania w ramach tego środka mają na celu zwiększenie efektywności energetycznej lub dostosowanie do procesów recyklingu odpadów posegregowanych w celu kompostowania bioodpadów i fermentacji beztlenowej bioodpadów, pod warunkiem że takie działania w ramach tego środka nie prowadzą do zwiększenia zdolności zakładów w zakresie przetwarzania odpadów ani do wydłużenia okresu eksploatacji zakładów; w odniesieniu do których przedstawiono dowody na poziomie zakładu. </w:t>
      </w:r>
    </w:p>
  </w:footnote>
  <w:footnote w:id="47">
    <w:p w14:paraId="0482CB61" w14:textId="77777777" w:rsidR="004C6421" w:rsidRDefault="009D1962">
      <w:pPr>
        <w:pStyle w:val="FootnoteText"/>
        <w:ind w:left="0" w:firstLine="0"/>
      </w:pPr>
      <w:r>
        <w:rPr>
          <w:rStyle w:val="FootnoteReference"/>
        </w:rPr>
        <w:footnoteRef/>
      </w:r>
      <w:r>
        <w:t xml:space="preserve"> Beneficjenci końcowi stowarzyszeni z konkretnymi projektami są zobowiązani do przedstawienia uzasadnienia wybranego obszaru interwencji dla każdego wspieranego projektu, wraz z opisem projektu, do celów obliczenia wkładu na rzecz klimatu. Do celów obliczenia wkładu w dziedzinie klimatu beneficjenci końcowi korzystający z obligacji kapitałowych, quasi-kapitałowych, korporacyjnych lub równoważnych instrumentów, które nie są ukierunkowane na konkretne projekty, przedstawiają uzasadnienie wybranych obszarów interwencji. Partner wykonawczy jest również zobowiązany do przedstawienia państwu członkowskiemu półrocznego sprawozdania z realizacji każdego projektu/działania.</w:t>
      </w:r>
    </w:p>
    <w:p w14:paraId="28C0E889" w14:textId="77777777" w:rsidR="004C6421" w:rsidRDefault="004C6421">
      <w:pPr>
        <w:pStyle w:val="FootnoteText"/>
      </w:pPr>
    </w:p>
  </w:footnote>
  <w:footnote w:id="48">
    <w:p w14:paraId="0BA58E43" w14:textId="77777777" w:rsidR="004C6421" w:rsidRDefault="009D1962">
      <w:pPr>
        <w:pStyle w:val="FootnoteText"/>
        <w:ind w:left="0" w:firstLine="0"/>
      </w:pPr>
      <w:r>
        <w:rPr>
          <w:rStyle w:val="FootnoteReference"/>
        </w:rPr>
        <w:footnoteRef/>
      </w:r>
      <w:r>
        <w:t xml:space="preserve"> Obszary metropolitalne są rozumiane w tym środku jako „funkcjonalne obszary miejskie” zgodnie z definicją zawartą w bazie danych Komisji Europejskiej-OECD (Dijkstra, L., H. Poelman i P. Veneri (2019), „The EU-OECD definition of a functional urban area”, OECD Regional Development Working Papers, No. 2019/11, OECD Publishing, Paryż, https://doi.org/10.1787/d58cb34d-en). </w:t>
      </w:r>
    </w:p>
  </w:footnote>
  <w:footnote w:id="49">
    <w:p w14:paraId="694F668C" w14:textId="77777777" w:rsidR="004C6421" w:rsidRDefault="009D1962">
      <w:pPr>
        <w:pStyle w:val="FootnoteText"/>
      </w:pPr>
      <w:r>
        <w:rPr>
          <w:rStyle w:val="FootnoteReference"/>
        </w:rPr>
        <w:footnoteRef/>
      </w:r>
      <w:r>
        <w:t xml:space="preserve"> Zgodnie z obszarem interwencji 72a w załączniku VI do rozporządzenia (UE) 2021/241 ma ono również zastosowanie do pociągów dwufazowych.</w:t>
      </w:r>
    </w:p>
  </w:footnote>
  <w:footnote w:id="50">
    <w:p w14:paraId="261DEA45" w14:textId="77777777" w:rsidR="004C6421" w:rsidRDefault="009D1962">
      <w:pPr>
        <w:pStyle w:val="FootnoteText"/>
        <w:ind w:left="0" w:firstLine="0"/>
      </w:pPr>
      <w:r>
        <w:rPr>
          <w:rStyle w:val="FootnoteReference"/>
        </w:rPr>
        <w:footnoteRef/>
      </w:r>
      <w:r>
        <w:t xml:space="preserve"> Obszary metropolitalne oznaczają w tym środku „funkcjonalne obszary miejskie”, zgodnie z definicją w bazie danych Komisji Europejskiej i OECD (Dijkstra, L., H. Poelman i P. Veneri (2019).</w:t>
      </w:r>
    </w:p>
  </w:footnote>
  <w:footnote w:id="51">
    <w:p w14:paraId="64B111A3" w14:textId="77777777" w:rsidR="004C6421" w:rsidRDefault="009D1962">
      <w:pPr>
        <w:pStyle w:val="FootnoteText"/>
      </w:pPr>
      <w:r>
        <w:rPr>
          <w:rStyle w:val="FootnoteReference"/>
        </w:rPr>
        <w:footnoteRef/>
      </w:r>
      <w:r>
        <w:t xml:space="preserve"> Zgodnie z obszarem interwencji 72a w załączniku VI do rozporządzenia (UE) 2021/241 ma ono również zastosowanie do pociągów dwufazowych.</w:t>
      </w:r>
    </w:p>
  </w:footnote>
  <w:footnote w:id="52">
    <w:p w14:paraId="77FE795F" w14:textId="77777777" w:rsidR="004C6421" w:rsidRDefault="009D1962">
      <w:pPr>
        <w:pStyle w:val="FootnoteText"/>
        <w:ind w:left="0" w:firstLine="0"/>
      </w:pPr>
      <w:r>
        <w:rPr>
          <w:rStyle w:val="FootnoteReference"/>
        </w:rPr>
        <w:footnoteRef/>
      </w:r>
      <w:r>
        <w:t xml:space="preserve"> Z wyjątkiem a) aktywów i działań związanych z wytwarzaniem energii elektrycznej lub ciepła, a także związanej z nimi infrastruktury przesyłowej i dystrybucyjnej z wykorzystaniem gazu ziemnego, które są zgodne z warunkami określonymi w załączniku III do wytycznych technicznych dotyczących zasady „nie czyń poważnych szkód” (2021/C58/01) oraz b) działań i aktywów, o których mowa w ppkt (ii), w przypadku których stosowanie paliw kopalnych jest tymczasowe i technicznie nieuniknione do celów terminowego przejścia na działalność bez udziału paliw kopalnych.</w:t>
      </w:r>
    </w:p>
  </w:footnote>
  <w:footnote w:id="53">
    <w:p w14:paraId="78832593" w14:textId="77777777" w:rsidR="004C6421" w:rsidRDefault="009D1962">
      <w:pPr>
        <w:pStyle w:val="FootnoteText"/>
        <w:ind w:left="0" w:firstLine="0"/>
      </w:pPr>
      <w:r>
        <w:rPr>
          <w:rStyle w:val="FootnoteReference"/>
        </w:rPr>
        <w:footnoteRef/>
      </w:r>
      <w:r>
        <w:t xml:space="preserve"> W przypadku gdy wspierane działanie osiąga prognozowane emisje gazów cieplarnianych, które nie są znacznie niższe od odpowiednich wskaźników referencyjnych, należy przedstawić wyjaśnienie powodów, dla których nie jest to możliwe. Wartości odniesienia ustanowione dla przydziału bezpłatnych uprawnień w odniesieniu do działań wchodzących w zakres systemu handlu uprawnieniami do emisji, jak określono w rozporządzeniu wykonawczym Komisji (UE) 2021/447.</w:t>
      </w:r>
    </w:p>
  </w:footnote>
  <w:footnote w:id="54">
    <w:p w14:paraId="5A45602D" w14:textId="77777777" w:rsidR="004C6421" w:rsidRDefault="009D1962">
      <w:pPr>
        <w:pStyle w:val="FootnoteText"/>
        <w:ind w:left="0" w:firstLine="0"/>
      </w:pPr>
      <w:r>
        <w:rPr>
          <w:rStyle w:val="FootnoteReference"/>
        </w:rPr>
        <w:footnoteRef/>
      </w:r>
      <w:r>
        <w:t xml:space="preserve"> Wyłączenie to nie ma zastosowania do działań w ramach tego środka w zakładach przeznaczonych wyłącznie do przetwarzania odpadów niebezpiecznych nienadających się do recyklingu oraz do istniejących zakładów, w których działania w ramach tego środka mają na celu zwiększenie efektywności energetycznej, wychwytywanie gazów spalinowych do składowania lub wykorzystania lub odzyskiwanie materiałów z popiołów spalania, pod warunkiem że takie działania w ramach tego środka nie prowadzą do zwiększenia zdolności zakładów w zakresie przetwarzania odpadów ani do wydłużenia okresu eksploatacji zakładów; w odniesieniu do których przedstawiono dowody na poziomie zakładu. </w:t>
      </w:r>
    </w:p>
  </w:footnote>
  <w:footnote w:id="55">
    <w:p w14:paraId="32878E37" w14:textId="77777777" w:rsidR="004C6421" w:rsidRDefault="009D1962">
      <w:pPr>
        <w:pStyle w:val="FootnoteText"/>
        <w:ind w:left="0" w:firstLine="0"/>
      </w:pPr>
      <w:r>
        <w:rPr>
          <w:rStyle w:val="FootnoteReference"/>
        </w:rPr>
        <w:footnoteRef/>
      </w:r>
      <w:r>
        <w:t xml:space="preserve"> Wyłączenie to nie ma zastosowania do działań podejmowanych w ramach tego środka w istniejących zakładach mechaniczno-biologicznego przetwarzania odpadów, w przypadku gdy działania w ramach tego środka mają na celu zwiększenie efektywności energetycznej lub dostosowanie do procesów recyklingu odpadów posegregowanych w celu kompostowania bioodpadów i fermentacji beztlenowej bioodpadów,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56">
    <w:p w14:paraId="1567B517" w14:textId="77777777" w:rsidR="004C6421" w:rsidRDefault="009D1962">
      <w:pPr>
        <w:pStyle w:val="FootnoteText"/>
        <w:ind w:left="0" w:firstLine="0"/>
      </w:pPr>
      <w:r>
        <w:rPr>
          <w:rStyle w:val="FootnoteReference"/>
        </w:rPr>
        <w:footnoteRef/>
      </w:r>
      <w:r>
        <w:t xml:space="preserve"> Beneficjenci końcowi stowarzyszeni z konkretnymi projektami są zobowiązani do przedstawienia uzasadnienia wybranego obszaru interwencji dla każdego wspieranego projektu, wraz z opisem projektu, do celów obliczenia wkładu na rzecz klimatu. Do celów obliczenia wkładu w dziedzinie klimatu beneficjenci końcowi korzystający z obligacji kapitałowych, quasi-kapitałowych, korporacyjnych lub równoważnych instrumentów, które nie są ukierunkowane na konkretne projekty, przedstawiają uzasadnienie wybranych obszarów interwencji. Partner wykonawczy jest również zobowiązany do przedstawienia państwu członkowskiemu półrocznego sprawozdania z realizacji każdego projektu/działania.</w:t>
      </w:r>
    </w:p>
  </w:footnote>
  <w:footnote w:id="57">
    <w:p w14:paraId="469AF66B" w14:textId="77777777" w:rsidR="004C6421" w:rsidRDefault="009D1962">
      <w:pPr>
        <w:pStyle w:val="FootnoteText"/>
        <w:ind w:left="0" w:firstLine="0"/>
      </w:pPr>
      <w:r>
        <w:rPr>
          <w:rStyle w:val="FootnoteReference"/>
          <w:rFonts w:eastAsiaTheme="majorEastAsia"/>
        </w:rPr>
        <w:footnoteRef/>
      </w:r>
      <w:r>
        <w:t xml:space="preserve"> CDP Venture Capital SGR prowadzi działalność zarządczą zgodnie z zasadami niezależności i autonomii określonymi w dyrektywie w sprawie ZAFI. </w:t>
      </w:r>
    </w:p>
  </w:footnote>
  <w:footnote w:id="58">
    <w:p w14:paraId="41EC3027" w14:textId="77777777" w:rsidR="004C6421" w:rsidRDefault="009D1962">
      <w:pPr>
        <w:pStyle w:val="FootnoteText"/>
        <w:ind w:left="0" w:firstLine="0"/>
      </w:pPr>
      <w:r>
        <w:rPr>
          <w:rStyle w:val="FootnoteReference"/>
          <w:rFonts w:eastAsiaTheme="majorEastAsia"/>
        </w:rPr>
        <w:footnoteRef/>
      </w:r>
      <w:r>
        <w:t xml:space="preserve"> Uznaje się, że beneficjent końcowy „znacznie koncentruje się” na danym sektorze lub działalności gospodarczej, jeżeli taki sektor lub działalność została określona jako istotna część działalności gospodarczej beneficjenta końcowego odpowiednio w odniesieniu do przychodów brutto, zysku lub bazy klientów beneficjenta końcowego. Dochód brutto wygenerowany z sektora lub działalności objętej ograniczeniami w żadnym przypadku nie przekracza 50 % dochodu brutto.</w:t>
      </w:r>
    </w:p>
  </w:footnote>
  <w:footnote w:id="59">
    <w:p w14:paraId="1D00145F" w14:textId="77777777" w:rsidR="004C6421" w:rsidRDefault="009D1962">
      <w:pPr>
        <w:jc w:val="both"/>
        <w:rPr>
          <w:sz w:val="20"/>
        </w:rPr>
      </w:pPr>
      <w:r>
        <w:rPr>
          <w:rStyle w:val="FootnoteReference"/>
          <w:rFonts w:eastAsiaTheme="majorEastAsia"/>
        </w:rPr>
        <w:footnoteRef/>
      </w:r>
      <w:r>
        <w:rPr>
          <w:sz w:val="20"/>
        </w:rPr>
        <w:t xml:space="preserve"> Z wyjątkiem a) aktywów i działań związanych z wytwarzaniem energii elektrycznej lub ciepła, a także związanej z nimi infrastruktury przesyłowej i dystrybucyjnej z wykorzystaniem gazu ziemnego, które są zgodne z warunkami określonymi w załączniku III do wytycznych technicznych dotyczących zasady „nie czyń poważnych szkód” (2021/C58/01) oraz b) działań i aktywów, o których mowa w ppkt (ii), w przypadku których stosowanie paliw kopalnych jest tymczasowe i technicznie nieuniknione do celów terminowego przejścia na działalność bez udziału paliw kopalnych.</w:t>
      </w:r>
    </w:p>
  </w:footnote>
  <w:footnote w:id="60">
    <w:p w14:paraId="271A4FF0" w14:textId="77777777" w:rsidR="004C6421" w:rsidRDefault="009D1962">
      <w:pPr>
        <w:jc w:val="both"/>
        <w:rPr>
          <w:sz w:val="20"/>
        </w:rPr>
      </w:pPr>
      <w:r>
        <w:rPr>
          <w:rStyle w:val="FootnoteReference"/>
          <w:rFonts w:eastAsiaTheme="majorEastAsia"/>
        </w:rPr>
        <w:footnoteRef/>
      </w:r>
      <w:r>
        <w:rPr>
          <w:sz w:val="20"/>
        </w:rPr>
        <w:t xml:space="preserve"> W tym działań i aktywów w ramach unijnego systemu handlu uprawnieniami do emisji (ETS) zapewniających prognozowane emisje gazów cieplarnianych, które nie są niższe od odpowiednich wskaźników referencyjnych. W przypadku gdy w ramach wspieranej działalności osiąga się prognozowane emisje gazów cieplarnianych, które nie są znacznie niższe od odpowiednich wskaźników referencyjnych, należy przedstawić wyjaśnienie powodów, dla których nie jest to możliwe. Wartości odniesienia ustanowione dla przydziału bezpłatnych uprawnień w odniesieniu do działań wchodzących w zakres systemu handlu uprawnieniami do emisji, jak określono w rozporządzeniu wykonawczym Komisji (UE) 2021/447.</w:t>
      </w:r>
    </w:p>
  </w:footnote>
  <w:footnote w:id="61">
    <w:p w14:paraId="37797258" w14:textId="77777777" w:rsidR="004C6421" w:rsidRDefault="009D1962">
      <w:pPr>
        <w:jc w:val="both"/>
        <w:rPr>
          <w:sz w:val="20"/>
        </w:rPr>
      </w:pPr>
      <w:r>
        <w:rPr>
          <w:rStyle w:val="FootnoteReference"/>
          <w:rFonts w:eastAsiaTheme="majorEastAsia"/>
        </w:rPr>
        <w:footnoteRef/>
      </w:r>
      <w:r>
        <w:rPr>
          <w:sz w:val="20"/>
        </w:rPr>
        <w:t xml:space="preserve"> Pojazdy zanieczyszczające definiuje się jako pojazdy niebezemisyjne.</w:t>
      </w:r>
    </w:p>
  </w:footnote>
  <w:footnote w:id="62">
    <w:p w14:paraId="492470BC" w14:textId="77777777" w:rsidR="004C6421" w:rsidRDefault="009D1962">
      <w:pPr>
        <w:pStyle w:val="FootnoteText"/>
        <w:ind w:left="0" w:firstLine="0"/>
      </w:pPr>
      <w:r>
        <w:rPr>
          <w:rStyle w:val="FootnoteReference"/>
          <w:rFonts w:eastAsiaTheme="majorEastAsia"/>
        </w:rPr>
        <w:footnoteRef/>
      </w:r>
      <w:r>
        <w:t xml:space="preserve"> Wyłączenie to nie ma zastosowania do działań prowadzonych w zakładach przeznaczonych wyłącznie do przetwarzania odpadów niebezpiecznych nienadających się do recyklingu oraz do istniejących zakładów, w przypadku gdy działania w ramach tego środka mają na celu zwiększenie efektywności energetycznej, wychwytywanie gazów spalinowych do składowania lub wykorzystania lub odzyskiwanie materiałów z popiołów ze spalania, pod warunkiem że takie działania w ramach tego środka nie skutkują zwiększeniem zdolności zakładów w zakresie przetwarzania odpadów ani wydłużeniem okresu eksploatacji obiektów; w odniesieniu do których przedstawiono dowody na poziomie zakładu.</w:t>
      </w:r>
    </w:p>
  </w:footnote>
  <w:footnote w:id="63">
    <w:p w14:paraId="1605C32D" w14:textId="77777777" w:rsidR="004C6421" w:rsidRDefault="009D1962">
      <w:pPr>
        <w:pStyle w:val="FootnoteText"/>
        <w:ind w:left="0" w:firstLine="0"/>
      </w:pPr>
      <w:r>
        <w:rPr>
          <w:rStyle w:val="FootnoteReference"/>
        </w:rPr>
        <w:footnoteRef/>
      </w:r>
      <w:r>
        <w:t xml:space="preserve"> Z wyjątkiem a) projektów realizowanych w ramach tego środka w zakresie wytwarzania energii elektrycznej lub ciepła, a także powiązanej infrastruktury przesyłowej i dystrybucyjnej z wykorzystaniem gazu ziemnego, które są zgodne z warunkami określonymi w załączniku III do wytycznych technicznych dotyczących zasady „nie czyń poważnych szkód” (2021/C58/01) oraz b) działań i aktywów, o których mowa w ppkt (ii), w przypadku których stosowanie paliw kopalnych jest tymczasowe i technicznie nieuniknione do celów terminowego przejścia na działalność wolną od paliw kopalnych.</w:t>
      </w:r>
    </w:p>
  </w:footnote>
  <w:footnote w:id="64">
    <w:p w14:paraId="761D57E2" w14:textId="77777777" w:rsidR="004C6421" w:rsidRDefault="009D1962">
      <w:pPr>
        <w:pStyle w:val="FootnoteText"/>
        <w:ind w:left="0" w:firstLine="0"/>
      </w:pPr>
      <w:r>
        <w:rPr>
          <w:rStyle w:val="FootnoteReference"/>
        </w:rPr>
        <w:footnoteRef/>
      </w:r>
      <w:r>
        <w:t xml:space="preserve"> W przypadku gdy wspierane działanie osiąga prognozowane emisje gazów cieplarnianych, które nie są znacznie niższe niż odpowiednie wskaźniki, należy przedstawić wyjaśnienie przyczyn, dla których nie jest to możliwe. Wartości odniesienia ustanowione dla przydziału bezpłatnych uprawnień w odniesieniu do działań wchodzących w zakres systemu handlu uprawnieniami do emisji, jak określono w rozporządzeniu wykonawczym Komisji (UE) 2021/447.</w:t>
      </w:r>
    </w:p>
  </w:footnote>
  <w:footnote w:id="65">
    <w:p w14:paraId="5EC15E54" w14:textId="77777777" w:rsidR="004C6421" w:rsidRDefault="009D1962">
      <w:pPr>
        <w:pStyle w:val="P68B1DB1-Normal37"/>
        <w:jc w:val="both"/>
      </w:pPr>
      <w:r>
        <w:rPr>
          <w:vertAlign w:val="superscript"/>
        </w:rPr>
        <w:t>64</w:t>
      </w:r>
      <w:r>
        <w:t xml:space="preserve"> Wyłączenie to nie ma zastosowania do działań w ramach tego środka w zakładach przeznaczonych wyłącznie do przetwarzania odpadów niebezpiecznych nienadających się do recyklingu oraz do istniejących zakładów, w przypadku gdy działania w ramach tego środka mają na celu zwiększenie efektywności energetycznej, wychwytywanie gazów spalinowych przeznaczonych do składowania lub wykorzystania lub odzyskiwanie materiałów z popiołów ze spalania, pod warunkiem że takie działania w ramach tego środka nie skutkują zwiększeniem zdolności przetwarzania odpadów w zakładach ani wydłużeniem okresu eksploatacji obiektów; w odniesieniu do których przedstawiono dowody na poziomie zakładu.</w:t>
      </w:r>
    </w:p>
  </w:footnote>
  <w:footnote w:id="66">
    <w:p w14:paraId="3B4CA5A4" w14:textId="77777777" w:rsidR="004C6421" w:rsidRDefault="009D1962">
      <w:pPr>
        <w:pStyle w:val="FootnoteText"/>
        <w:ind w:left="0" w:firstLine="0"/>
      </w:pPr>
      <w:r>
        <w:rPr>
          <w:rStyle w:val="FootnoteReference"/>
        </w:rPr>
        <w:footnoteRef/>
      </w:r>
      <w:r>
        <w:t xml:space="preserve"> Wyłączenie to nie ma zastosowania do działań podejmowanych w ramach tego środka w istniejących zakładach mechaniczno-biologicznego przetwarzania odpadów, w przypadku gdy działania w ramach tego środka mają na celu zwiększenie efektywności energetycznej lub dostosowanie do procesów recyklingu odpadów posegregowanych w celu kompostowania bioodpadów i fermentacji beztlenowej bioodpadów,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67">
    <w:p w14:paraId="067B585A" w14:textId="77777777" w:rsidR="004C6421" w:rsidRDefault="009D1962">
      <w:pPr>
        <w:pStyle w:val="FootnoteText"/>
        <w:ind w:left="0" w:firstLine="0"/>
      </w:pPr>
      <w:r>
        <w:rPr>
          <w:rStyle w:val="FootnoteReference"/>
        </w:rPr>
        <w:footnoteRef/>
      </w:r>
      <w:r>
        <w:t xml:space="preserve"> Wyjątkiem projektów w ramach tego środka dotyczących wytwarzania energii elektrycznej lub ciepła, a także powiązanej infrastruktury przesyłowej i dystrybucyjnej wykorzystującej gaz ziemny, które są zgodne z warunkami określonymi w załączniku III do wytycznych technicznych „Nie czyń poważnych szkód” (2021/C58/01).</w:t>
      </w:r>
    </w:p>
  </w:footnote>
  <w:footnote w:id="68">
    <w:p w14:paraId="44F92B05" w14:textId="77777777" w:rsidR="004C6421" w:rsidRDefault="009D1962">
      <w:pPr>
        <w:pStyle w:val="FootnoteText"/>
        <w:ind w:left="0" w:firstLine="0"/>
      </w:pPr>
      <w:r>
        <w:rPr>
          <w:rStyle w:val="FootnoteReference"/>
        </w:rPr>
        <w:footnoteRef/>
      </w:r>
      <w:r>
        <w:t xml:space="preserve"> W przypadku gdy wspierane działanie osiąga prognozowane emisje gazów cieplarnianych, które nie są znacznie niższe niż odpowiednie wskaźniki, należy przedstawić wyjaśnienie przyczyn, dla których nie jest to możliwe. Wartości odniesienia ustanowione dla przydziału bezpłatnych uprawnień w odniesieniu do działań wchodzących w zakres systemu handlu uprawnieniami do emisji, jak określono w rozporządzeniu wykonawczym Komisji (UE) 2021/447.</w:t>
      </w:r>
    </w:p>
  </w:footnote>
  <w:footnote w:id="69">
    <w:p w14:paraId="25F42CBE" w14:textId="77777777" w:rsidR="004C6421" w:rsidRDefault="009D1962">
      <w:pPr>
        <w:pStyle w:val="FootnoteText"/>
        <w:ind w:left="0" w:firstLine="0"/>
      </w:pPr>
      <w:r>
        <w:rPr>
          <w:rStyle w:val="FootnoteReference"/>
        </w:rPr>
        <w:footnoteRef/>
      </w:r>
      <w:r>
        <w:t xml:space="preserve"> Wyłączenie to nie ma zastosowania do działań w ramach tego środka w zakładach przeznaczonych wyłącznie do przetwarzania odpadów niebezpiecznych nienadających się do recyklingu oraz do istniejących zakładów, w których działania w ramach tego środka mają na celu zwiększenie efektywności energetycznej, wychwytywanie gazów spalinowych do składowania lub wykorzystania lub odzyskiwanie materiałów z popiołów spalania,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70">
    <w:p w14:paraId="23654B45" w14:textId="77777777" w:rsidR="004C6421" w:rsidRDefault="009D1962">
      <w:pPr>
        <w:pStyle w:val="FootnoteText"/>
        <w:ind w:left="0" w:firstLine="0"/>
      </w:pPr>
      <w:r>
        <w:rPr>
          <w:rStyle w:val="FootnoteReference"/>
        </w:rPr>
        <w:footnoteRef/>
      </w:r>
      <w:r>
        <w:t xml:space="preserve"> Wyłączenie to nie ma zastosowania do działań podejmowanych w ramach tego środka w istniejących zakładach mechaniczno-biologicznego przetwarzania odpadów, w przypadku gdy działania w ramach tego środka mają na celu zwiększenie efektywności energetycznej lub dostosowanie do procesów recyklingu odpadów posegregowanych w celu kompostowania bioodpadów i fermentacji beztlenowej bioodpadów,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71">
    <w:p w14:paraId="00054C2B" w14:textId="77777777" w:rsidR="004C6421" w:rsidRDefault="009D1962">
      <w:pPr>
        <w:pStyle w:val="FootnoteText"/>
        <w:ind w:left="0" w:firstLine="0"/>
      </w:pPr>
      <w:r>
        <w:rPr>
          <w:rStyle w:val="FootnoteReference"/>
        </w:rPr>
        <w:footnoteRef/>
      </w:r>
      <w:r>
        <w:t xml:space="preserve"> Z wyjątkiem a) projektów realizowanych w ramach tego środka w zakresie wytwarzania energii elektrycznej lub ciepła, a także powiązanej infrastruktury przesyłowej i dystrybucyjnej z wykorzystaniem gazu ziemnego, które są zgodne z warunkami określonymi w załączniku III do wytycznych technicznych dotyczących zasady „nie czyń poważnych szkód” (2021/C58/01) oraz b) działań i aktywów, o których mowa w ppkt (ii), w przypadku których stosowanie paliw kopalnych jest tymczasowe i technicznie nieuniknione do celów terminowego przejścia na działalność wolną od paliw kopalnych.</w:t>
      </w:r>
    </w:p>
  </w:footnote>
  <w:footnote w:id="72">
    <w:p w14:paraId="6647C6A4" w14:textId="77777777" w:rsidR="004C6421" w:rsidRDefault="009D1962">
      <w:pPr>
        <w:pStyle w:val="FootnoteText"/>
        <w:ind w:left="0" w:firstLine="0"/>
      </w:pPr>
      <w:r>
        <w:rPr>
          <w:rStyle w:val="FootnoteReference"/>
        </w:rPr>
        <w:footnoteRef/>
      </w:r>
      <w:r>
        <w:t xml:space="preserve"> W przypadku gdy wspierane działanie osiąga prognozowane emisje gazów cieplarnianych, które nie są znacznie niższe niż odpowiednie wskaźniki, należy przedstawić wyjaśnienie przyczyn, dla których nie jest to możliwe. Wartości odniesienia ustanowione dla przydziału bezpłatnych uprawnień w odniesieniu do działań wchodzących w zakres systemu handlu uprawnieniami do emisji, jak określono w rozporządzeniu wykonawczym Komisji (UE) 2021/447.</w:t>
      </w:r>
    </w:p>
  </w:footnote>
  <w:footnote w:id="73">
    <w:p w14:paraId="6A9C642F" w14:textId="77777777" w:rsidR="004C6421" w:rsidRDefault="009D1962">
      <w:pPr>
        <w:pStyle w:val="FootnoteText"/>
        <w:ind w:left="0" w:firstLine="0"/>
      </w:pPr>
      <w:r>
        <w:rPr>
          <w:rStyle w:val="FootnoteReference"/>
        </w:rPr>
        <w:footnoteRef/>
      </w:r>
      <w:r>
        <w:t xml:space="preserve"> Wyłączenie to nie ma zastosowania do działań w ramach tego środka w zakładach przeznaczonych wyłącznie do przetwarzania odpadów niebezpiecznych nienadających się do recyklingu oraz do istniejących zakładów, w których działania w ramach tego środka mają na celu zwiększenie efektywności energetycznej, wychwytywanie gazów spalinowych do składowania lub wykorzystania lub odzyskiwanie materiałów z popiołów spalania,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74">
    <w:p w14:paraId="0CBC4847" w14:textId="77777777" w:rsidR="004C6421" w:rsidRDefault="009D1962">
      <w:pPr>
        <w:pStyle w:val="FootnoteText"/>
        <w:ind w:left="0" w:firstLine="0"/>
      </w:pPr>
      <w:r>
        <w:rPr>
          <w:rStyle w:val="FootnoteReference"/>
        </w:rPr>
        <w:footnoteRef/>
      </w:r>
      <w:r>
        <w:t xml:space="preserve"> Wyłączenie to nie ma zastosowania do działań podejmowanych w ramach tego środka w istniejących zakładach mechaniczno-biologicznego przetwarzania odpadów, w przypadku gdy działania w ramach tego środka mają na celu zwiększenie efektywności energetycznej lub dostosowanie do procesów recyklingu odpadów posegregowanych w celu kompostowania bioodpadów i fermentacji beztlenowej bioodpadów,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75">
    <w:p w14:paraId="2E2D802B" w14:textId="77777777" w:rsidR="004C6421" w:rsidRDefault="009D1962">
      <w:pPr>
        <w:pStyle w:val="FootnoteText"/>
        <w:ind w:left="0" w:firstLine="0"/>
      </w:pPr>
      <w:r>
        <w:rPr>
          <w:rStyle w:val="FootnoteReference"/>
        </w:rPr>
        <w:footnoteRef/>
      </w:r>
      <w:r>
        <w:t xml:space="preserve"> Wyjątkiem projektów w ramach tego środka dotyczących wytwarzania energii elektrycznej lub ciepła, a także powiązanej infrastruktury przesyłowej i dystrybucyjnej wykorzystującej gaz ziemny, które są zgodne z warunkami określonymi w załączniku III do wytycznych technicznych „Nie czyń poważnych szkód” (2021/C58/01).</w:t>
      </w:r>
    </w:p>
  </w:footnote>
  <w:footnote w:id="76">
    <w:p w14:paraId="229ACA30" w14:textId="77777777" w:rsidR="004C6421" w:rsidRDefault="009D1962">
      <w:pPr>
        <w:pStyle w:val="FootnoteText"/>
        <w:ind w:left="0" w:firstLine="0"/>
      </w:pPr>
      <w:r>
        <w:rPr>
          <w:rStyle w:val="FootnoteReference"/>
        </w:rPr>
        <w:footnoteRef/>
      </w:r>
      <w:r>
        <w:t xml:space="preserve"> W przypadku gdy wspierane działanie osiąga prognozowane emisje gazów cieplarnianych, które nie są znacznie niższe niż odpowiednie wskaźniki, należy przedstawić wyjaśnienie przyczyn, dla których nie jest to możliwe. Wartości odniesienia ustanowione dla przydziału bezpłatnych uprawnień w odniesieniu do działań wchodzących w zakres systemu handlu uprawnieniami do emisji, jak określono w rozporządzeniu wykonawczym Komisji (UE) 2021/447.</w:t>
      </w:r>
    </w:p>
  </w:footnote>
  <w:footnote w:id="77">
    <w:p w14:paraId="274B61BD" w14:textId="77777777" w:rsidR="004C6421" w:rsidRDefault="009D1962">
      <w:pPr>
        <w:pStyle w:val="FootnoteText"/>
        <w:ind w:left="0" w:firstLine="0"/>
      </w:pPr>
      <w:r>
        <w:rPr>
          <w:rStyle w:val="FootnoteReference"/>
        </w:rPr>
        <w:footnoteRef/>
      </w:r>
      <w:r>
        <w:t xml:space="preserve"> Wyłączenie to nie ma zastosowania do działań w ramach tego środka w zakładach przeznaczonych wyłącznie do przetwarzania odpadów niebezpiecznych nienadających się do recyklingu oraz do istniejących zakładów, w których działania w ramach tego środka mają na celu zwiększenie efektywności energetycznej, wychwytywanie gazów spalinowych do składowania lub wykorzystania lub odzyskiwanie materiałów z popiołów spalania,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78">
    <w:p w14:paraId="11F16262" w14:textId="77777777" w:rsidR="004C6421" w:rsidRDefault="009D1962">
      <w:pPr>
        <w:pStyle w:val="FootnoteText"/>
        <w:ind w:left="0" w:firstLine="0"/>
      </w:pPr>
      <w:r>
        <w:rPr>
          <w:rStyle w:val="FootnoteReference"/>
        </w:rPr>
        <w:footnoteRef/>
      </w:r>
      <w:r>
        <w:t xml:space="preserve"> Wyłączenie to nie ma zastosowania do działań podejmowanych w ramach tego środka w istniejących zakładach mechaniczno-biologicznego przetwarzania odpadów, w przypadku gdy działania w ramach tego środka mają na celu zwiększenie efektywności energetycznej lub dostosowanie do procesów recyklingu odpadów posegregowanych w celu kompostowania bioodpadów i fermentacji beztlenowej bioodpadów,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79">
    <w:p w14:paraId="74581174" w14:textId="77777777" w:rsidR="004C6421" w:rsidRDefault="009D1962">
      <w:pPr>
        <w:pStyle w:val="FootnoteText"/>
        <w:ind w:left="0" w:firstLine="0"/>
      </w:pPr>
      <w:r>
        <w:rPr>
          <w:rStyle w:val="FootnoteReference"/>
        </w:rPr>
        <w:footnoteRef/>
      </w:r>
      <w:r>
        <w:t xml:space="preserve"> </w:t>
      </w:r>
      <w:r>
        <w:rPr>
          <w:rStyle w:val="normaltextrun"/>
          <w:color w:val="000000"/>
          <w:shd w:val="clear" w:color="auto" w:fill="FFFFFF"/>
        </w:rPr>
        <w:t>OECD, „Supvice Studies on Supporting Entrepreneurship and Innovation in Higher Education in Italy” [Badanie umiejętności na temat wspierania przedsiębiorczości i innowacji w szkolnictwie wyższym we Włoszech]</w:t>
      </w:r>
    </w:p>
  </w:footnote>
  <w:footnote w:id="80">
    <w:p w14:paraId="71A296C2" w14:textId="77777777" w:rsidR="004C6421" w:rsidRDefault="009D1962">
      <w:pPr>
        <w:pStyle w:val="FootnoteText"/>
        <w:ind w:left="0" w:firstLine="0"/>
      </w:pPr>
      <w:r>
        <w:rPr>
          <w:rStyle w:val="FootnoteReference"/>
        </w:rPr>
        <w:footnoteRef/>
      </w:r>
      <w:r>
        <w:t xml:space="preserve"> Wyjątkiem projektów w ramach tego środka dotyczących wytwarzania energii elektrycznej lub ciepła, a także powiązanej infrastruktury przesyłowej i dystrybucyjnej wykorzystującej gaz ziemny, które są zgodne z warunkami określonymi w załączniku III do wytycznych technicznych „Nie czyń poważnych szkód” (2021/C58/01).</w:t>
      </w:r>
    </w:p>
  </w:footnote>
  <w:footnote w:id="81">
    <w:p w14:paraId="057E87FE" w14:textId="77777777" w:rsidR="004C6421" w:rsidRDefault="009D1962">
      <w:pPr>
        <w:pStyle w:val="FootnoteText"/>
        <w:ind w:left="0" w:firstLine="0"/>
      </w:pPr>
      <w:r>
        <w:rPr>
          <w:rStyle w:val="FootnoteReference"/>
        </w:rPr>
        <w:footnoteRef/>
      </w:r>
      <w:r>
        <w:t xml:space="preserve"> W przypadku gdy wspierane działanie osiąga prognozowane emisje gazów cieplarnianych, które nie są znacznie niższe niż odpowiednie wskaźniki, należy przedstawić wyjaśnienie przyczyn, dla których nie jest to możliwe. Wartości odniesienia ustanowione dla przydziału bezpłatnych uprawnień w odniesieniu do działań wchodzących w zakres systemu handlu uprawnieniami do emisji, jak określono w rozporządzeniu wykonawczym Komisji (UE) 2021/447.</w:t>
      </w:r>
    </w:p>
  </w:footnote>
  <w:footnote w:id="82">
    <w:p w14:paraId="6233C3F5" w14:textId="77777777" w:rsidR="004C6421" w:rsidRDefault="009D1962">
      <w:pPr>
        <w:pStyle w:val="FootnoteText"/>
        <w:ind w:left="0" w:firstLine="0"/>
      </w:pPr>
      <w:r>
        <w:rPr>
          <w:rStyle w:val="FootnoteReference"/>
        </w:rPr>
        <w:footnoteRef/>
      </w:r>
      <w:r>
        <w:t xml:space="preserve"> Wyłączenie to nie ma zastosowania do działań w ramach tego środka w zakładach przeznaczonych wyłącznie do przetwarzania odpadów niebezpiecznych nienadających się do recyklingu oraz do istniejących zakładów, w których działania w ramach tego środka mają na celu zwiększenie efektywności energetycznej, wychwytywanie gazów spalinowych do składowania lub wykorzystania lub odzyskiwanie materiałów z popiołów spalania,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83">
    <w:p w14:paraId="76F1800B" w14:textId="77777777" w:rsidR="004C6421" w:rsidRDefault="009D1962">
      <w:pPr>
        <w:pStyle w:val="FootnoteText"/>
        <w:ind w:left="0" w:firstLine="0"/>
      </w:pPr>
      <w:r>
        <w:rPr>
          <w:rStyle w:val="FootnoteReference"/>
        </w:rPr>
        <w:footnoteRef/>
      </w:r>
      <w:r>
        <w:t xml:space="preserve"> Wyłączenie to nie ma zastosowania do działań podejmowanych w ramach tego środka w istniejących zakładach mechaniczno-biologicznego przetwarzania odpadów, w przypadku gdy działania w ramach tego środka mają na celu zwiększenie efektywności energetycznej lub dostosowanie do procesów recyklingu odpadów posegregowanych w celu kompostowania bioodpadów i fermentacji beztlenowej bioodpadów,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84">
    <w:p w14:paraId="29CA115F" w14:textId="77777777" w:rsidR="004C6421" w:rsidRDefault="009D1962">
      <w:pPr>
        <w:pStyle w:val="FootnoteText"/>
        <w:ind w:left="0" w:firstLine="0"/>
      </w:pPr>
      <w:r>
        <w:rPr>
          <w:rStyle w:val="FootnoteReference"/>
        </w:rPr>
        <w:footnoteRef/>
      </w:r>
      <w:r>
        <w:t xml:space="preserve"> Wyjątkiem projektów w ramach tego środka dotyczących wytwarzania energii elektrycznej lub ciepła, a także powiązanej infrastruktury przesyłowej i dystrybucyjnej wykorzystującej gaz ziemny, które są zgodne z warunkami określonymi w załączniku III do wytycznych technicznych „Nie czyń poważnych szkód” (2021/C58/01).</w:t>
      </w:r>
    </w:p>
  </w:footnote>
  <w:footnote w:id="85">
    <w:p w14:paraId="4809283A" w14:textId="77777777" w:rsidR="004C6421" w:rsidRDefault="009D1962">
      <w:pPr>
        <w:pStyle w:val="FootnoteText"/>
        <w:ind w:left="0" w:firstLine="0"/>
      </w:pPr>
      <w:r>
        <w:rPr>
          <w:rStyle w:val="FootnoteReference"/>
        </w:rPr>
        <w:footnoteRef/>
      </w:r>
      <w:r>
        <w:t xml:space="preserve"> W przypadku gdy wspierane działanie osiąga prognozowane emisje gazów cieplarnianych, które nie są znacznie niższe niż odpowiednie wskaźniki, należy przedstawić wyjaśnienie przyczyn, dla których nie jest to możliwe. Wartości odniesienia ustanowione dla przydziału bezpłatnych uprawnień w odniesieniu do działań wchodzących w zakres systemu handlu uprawnieniami do emisji, jak określono w rozporządzeniu wykonawczym Komisji (UE) 2021/447.</w:t>
      </w:r>
    </w:p>
  </w:footnote>
  <w:footnote w:id="86">
    <w:p w14:paraId="2259142F" w14:textId="77777777" w:rsidR="004C6421" w:rsidRDefault="009D1962">
      <w:pPr>
        <w:pStyle w:val="FootnoteText"/>
        <w:ind w:left="0" w:firstLine="0"/>
      </w:pPr>
      <w:r>
        <w:rPr>
          <w:rStyle w:val="FootnoteReference"/>
        </w:rPr>
        <w:footnoteRef/>
      </w:r>
      <w:r>
        <w:t xml:space="preserve"> Wyłączenie to nie ma zastosowania do działań w ramach tego środka w zakładach przeznaczonych wyłącznie do przetwarzania odpadów niebezpiecznych nienadających się do recyklingu oraz do istniejących zakładów, w których działania w ramach tego środka mają na celu zwiększenie efektywności energetycznej, wychwytywanie gazów spalinowych do składowania lub wykorzystania lub odzyskiwanie materiałów z popiołów spalania,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87">
    <w:p w14:paraId="4E68241E" w14:textId="77777777" w:rsidR="004C6421" w:rsidRDefault="009D1962">
      <w:pPr>
        <w:pStyle w:val="FootnoteText"/>
        <w:ind w:left="0" w:firstLine="0"/>
      </w:pPr>
      <w:r>
        <w:rPr>
          <w:rStyle w:val="FootnoteReference"/>
        </w:rPr>
        <w:footnoteRef/>
      </w:r>
      <w:r>
        <w:t xml:space="preserve"> Wyłączenie to nie ma zastosowania do działań podejmowanych w ramach tego środka w istniejących zakładach mechaniczno-biologicznego przetwarzania odpadów, w przypadku gdy działania w ramach tego środka mają na celu zwiększenie efektywności energetycznej lub dostosowanie do procesów recyklingu odpadów posegregowanych w celu kompostowania bioodpadów i fermentacji beztlenowej bioodpadów,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88">
    <w:p w14:paraId="0C3E72F6" w14:textId="77777777" w:rsidR="004C6421" w:rsidRDefault="009D1962">
      <w:pPr>
        <w:pStyle w:val="FootnoteText"/>
        <w:ind w:left="0" w:firstLine="0"/>
      </w:pPr>
      <w:r>
        <w:rPr>
          <w:rStyle w:val="FootnoteReference"/>
        </w:rPr>
        <w:footnoteRef/>
      </w:r>
      <w:r>
        <w:t xml:space="preserve"> Wyjątkiem projektów w ramach tego środka dotyczących wytwarzania energii elektrycznej lub ciepła, a także powiązanej infrastruktury przesyłowej i dystrybucyjnej wykorzystującej gaz ziemny, które są zgodne z warunkami określonymi w załączniku III do wytycznych technicznych „Nie czyń poważnych szkód” (2021/C58/01).</w:t>
      </w:r>
    </w:p>
  </w:footnote>
  <w:footnote w:id="89">
    <w:p w14:paraId="52CCF599" w14:textId="77777777" w:rsidR="004C6421" w:rsidRDefault="009D1962">
      <w:pPr>
        <w:pStyle w:val="FootnoteText"/>
        <w:ind w:left="0" w:firstLine="0"/>
      </w:pPr>
      <w:r>
        <w:rPr>
          <w:rStyle w:val="FootnoteReference"/>
        </w:rPr>
        <w:footnoteRef/>
      </w:r>
      <w:r>
        <w:t xml:space="preserve"> W przypadku gdy wspierane działanie osiąga prognozowane emisje gazów cieplarnianych, które nie są znacznie niższe niż odpowiednie wskaźniki, należy przedstawić wyjaśnienie przyczyn, dla których nie jest to możliwe. Wartości odniesienia ustanowione dla przydziału bezpłatnych uprawnień w odniesieniu do działań wchodzących w zakres systemu handlu uprawnieniami do emisji, jak określono w rozporządzeniu wykonawczym Komisji (UE) 2021/447.</w:t>
      </w:r>
    </w:p>
  </w:footnote>
  <w:footnote w:id="90">
    <w:p w14:paraId="1BF6CB32" w14:textId="77777777" w:rsidR="004C6421" w:rsidRDefault="009D1962">
      <w:pPr>
        <w:pStyle w:val="FootnoteText"/>
        <w:ind w:left="0" w:firstLine="0"/>
      </w:pPr>
      <w:r>
        <w:rPr>
          <w:rStyle w:val="FootnoteReference"/>
        </w:rPr>
        <w:footnoteRef/>
      </w:r>
      <w:r>
        <w:t xml:space="preserve"> Wyłączenie to nie ma zastosowania do działań w ramach tego środka w zakładach przeznaczonych wyłącznie do przetwarzania odpadów niebezpiecznych nienadających się do recyklingu oraz do istniejących zakładów, w których działania w ramach tego środka mają na celu zwiększenie efektywności energetycznej, wychwytywanie gazów spalinowych do składowania lub wykorzystania lub odzyskiwanie materiałów z popiołów spalania,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91">
    <w:p w14:paraId="65DE041F" w14:textId="77777777" w:rsidR="004C6421" w:rsidRDefault="009D1962">
      <w:pPr>
        <w:pStyle w:val="FootnoteText"/>
        <w:ind w:left="0" w:firstLine="0"/>
      </w:pPr>
      <w:r>
        <w:rPr>
          <w:rStyle w:val="FootnoteReference"/>
        </w:rPr>
        <w:footnoteRef/>
      </w:r>
      <w:r>
        <w:t xml:space="preserve"> Wyłączenie to nie ma zastosowania do działań podejmowanych w ramach tego środka w istniejących zakładach mechaniczno-biologicznego przetwarzania odpadów, w przypadku gdy działania w ramach tego środka mają na celu zwiększenie efektywności energetycznej lub dostosowanie do procesów recyklingu odpadów posegregowanych w celu kompostowania bioodpadów i fermentacji beztlenowej bioodpadów,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92">
    <w:p w14:paraId="1150F3A1" w14:textId="77777777" w:rsidR="004C6421" w:rsidRDefault="009D1962">
      <w:pPr>
        <w:pStyle w:val="FootnoteText"/>
        <w:ind w:left="0" w:firstLine="0"/>
      </w:pPr>
      <w:r>
        <w:rPr>
          <w:rStyle w:val="FootnoteReference"/>
        </w:rPr>
        <w:footnoteRef/>
      </w:r>
      <w:r>
        <w:t xml:space="preserve"> Wyjątkiem projektów w ramach tego środka dotyczących wytwarzania energii elektrycznej lub ciepła, a także powiązanej infrastruktury przesyłowej i dystrybucyjnej wykorzystującej gaz ziemny, które są zgodne z warunkami określonymi w załączniku III do wytycznych technicznych „Nie czyń poważnych szkód” (2021/C58/01).</w:t>
      </w:r>
    </w:p>
  </w:footnote>
  <w:footnote w:id="93">
    <w:p w14:paraId="699F1D36" w14:textId="77777777" w:rsidR="004C6421" w:rsidRDefault="009D1962">
      <w:pPr>
        <w:pStyle w:val="FootnoteText"/>
        <w:ind w:left="0" w:firstLine="0"/>
      </w:pPr>
      <w:r>
        <w:rPr>
          <w:rStyle w:val="FootnoteReference"/>
        </w:rPr>
        <w:footnoteRef/>
      </w:r>
      <w:r>
        <w:t xml:space="preserve"> W przypadku gdy wspierane działanie osiąga prognozowane emisje gazów cieplarnianych, które nie są znacznie niższe niż odpowiednie wskaźniki, należy przedstawić wyjaśnienie przyczyn, dla których nie jest to możliwe. Wartości odniesienia ustanowione dla przydziału bezpłatnych uprawnień w odniesieniu do działań wchodzących w zakres systemu handlu uprawnieniami do emisji, jak określono w rozporządzeniu wykonawczym Komisji (UE) 2021/447.</w:t>
      </w:r>
    </w:p>
  </w:footnote>
  <w:footnote w:id="94">
    <w:p w14:paraId="18308386" w14:textId="77777777" w:rsidR="004C6421" w:rsidRDefault="009D1962">
      <w:pPr>
        <w:jc w:val="both"/>
      </w:pPr>
      <w:r>
        <w:rPr>
          <w:rStyle w:val="FootnoteReference"/>
          <w:sz w:val="20"/>
        </w:rPr>
        <w:footnoteRef/>
      </w:r>
      <w:r>
        <w:rPr>
          <w:sz w:val="20"/>
        </w:rPr>
        <w:t xml:space="preserve"> Wyłączenie to nie ma zastosowania do działań w ramach tego środka w zakładach przeznaczonych wyłącznie do przetwarzania odpadów niebezpiecznych nienadających się do recyklingu oraz do istniejących zakładów, w których działania w ramach tego środka mają na celu zwiększenie efektywności energetycznej, wychwytywanie gazów spalinowych do składowania lub wykorzystania lub odzyskiwanie materiałów z popiołów spalania,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95">
    <w:p w14:paraId="18327C88" w14:textId="77777777" w:rsidR="004C6421" w:rsidRDefault="009D1962">
      <w:pPr>
        <w:pStyle w:val="FootnoteText"/>
        <w:ind w:left="0" w:firstLine="0"/>
      </w:pPr>
      <w:r>
        <w:rPr>
          <w:rStyle w:val="FootnoteReference"/>
        </w:rPr>
        <w:footnoteRef/>
      </w:r>
      <w:r>
        <w:t xml:space="preserve"> Wyłączenie to nie ma zastosowania do działań podejmowanych w ramach tego środka w istniejących zakładach mechaniczno-biologicznego przetwarzania odpadów, w przypadku gdy działania w ramach tego środka mają na celu zwiększenie efektywności energetycznej lub dostosowanie do procesów recyklingu odpadów posegregowanych w celu kompostowania bioodpadów i fermentacji beztlenowej bioodpadów,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96">
    <w:p w14:paraId="63E02081" w14:textId="77777777" w:rsidR="004C6421" w:rsidRDefault="009D1962">
      <w:pPr>
        <w:pStyle w:val="FootnoteText"/>
        <w:ind w:left="0" w:firstLine="0"/>
      </w:pPr>
      <w:r>
        <w:rPr>
          <w:rStyle w:val="FootnoteReference"/>
        </w:rPr>
        <w:footnoteRef/>
      </w:r>
      <w:r>
        <w:t xml:space="preserve"> Pakiet prac jest elementem podziału prac w ramach projektu, takim jak na przykład: testowanie przed dokonaniem inwestycji, umiejętności i szkolenia, zarządzanie projektami i ich koordynacja. Stanowi on grupę prac projektowych opisanych w działaniach i zadaniach. Pakiety prac przedstawiają jasne, logiczne powiązanie z celami projektu i z innymi pakietami prac. Każdy pakiet prac stanowi podczęść projektu, etap prowadzący do osiągnięcia ogólnych celów projektu. </w:t>
      </w:r>
    </w:p>
  </w:footnote>
  <w:footnote w:id="97">
    <w:p w14:paraId="284BF06C" w14:textId="77777777" w:rsidR="004C6421" w:rsidRDefault="009D1962">
      <w:pPr>
        <w:pStyle w:val="FootnoteText"/>
        <w:ind w:left="0" w:firstLine="0"/>
      </w:pPr>
      <w:r>
        <w:rPr>
          <w:rStyle w:val="FootnoteReference"/>
        </w:rPr>
        <w:footnoteRef/>
      </w:r>
      <w:r>
        <w:t xml:space="preserve"> Wyjątkiem projektów w ramach tego środka dotyczących wytwarzania energii elektrycznej lub ciepła, a także powiązanej infrastruktury przesyłowej i dystrybucyjnej wykorzystującej gaz ziemny, które są zgodne z warunkami określonymi w załączniku III do wytycznych technicznych „Nie czyń poważnych szkód” (2021/C58/01).</w:t>
      </w:r>
    </w:p>
  </w:footnote>
  <w:footnote w:id="98">
    <w:p w14:paraId="045326DF" w14:textId="77777777" w:rsidR="004C6421" w:rsidRDefault="009D1962">
      <w:pPr>
        <w:pStyle w:val="FootnoteText"/>
        <w:ind w:left="0" w:firstLine="0"/>
      </w:pPr>
      <w:r>
        <w:rPr>
          <w:rStyle w:val="FootnoteReference"/>
        </w:rPr>
        <w:footnoteRef/>
      </w:r>
      <w:r>
        <w:t xml:space="preserve"> W przypadku gdy wspierane działanie osiąga prognozowane emisje gazów cieplarnianych, które nie są znacznie niższe niż odpowiednie wskaźniki, należy przedstawić wyjaśnienie przyczyn, dla których nie jest to możliwe. Wartości odniesienia ustanowione dla przydziału bezpłatnych uprawnień w odniesieniu do działań wchodzących w zakres systemu handlu uprawnieniami do emisji, jak określono w rozporządzeniu wykonawczym Komisji (UE) 2021/447.</w:t>
      </w:r>
    </w:p>
  </w:footnote>
  <w:footnote w:id="99">
    <w:p w14:paraId="0506DF01" w14:textId="77777777" w:rsidR="004C6421" w:rsidRDefault="009D1962">
      <w:pPr>
        <w:jc w:val="both"/>
      </w:pPr>
      <w:r>
        <w:rPr>
          <w:rStyle w:val="FootnoteReference"/>
        </w:rPr>
        <w:footnoteRef/>
      </w:r>
      <w:r>
        <w:rPr>
          <w:rStyle w:val="FootnoteReference"/>
        </w:rPr>
        <w:t>Wyłączenie</w:t>
      </w:r>
      <w:r>
        <w:rPr>
          <w:sz w:val="20"/>
        </w:rPr>
        <w:t xml:space="preserve"> to nie ma zastosowania do działań w ramach tego środka w zakładach przeznaczonych wyłącznie do przetwarzania odpadów niebezpiecznych nienadających się do recyklingu oraz do istniejących zakładów, w których działania w ramach tego środka mają na celu zwiększenie efektywności energetycznej, wychwytywanie gazów spalinowych do składowania lub wykorzystania lub odzyskiwanie materiałów z popiołów spalania,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100">
    <w:p w14:paraId="73A5E05C" w14:textId="77777777" w:rsidR="004C6421" w:rsidRDefault="009D1962">
      <w:pPr>
        <w:pStyle w:val="FootnoteText"/>
        <w:ind w:left="0" w:firstLine="0"/>
      </w:pPr>
      <w:r>
        <w:rPr>
          <w:rStyle w:val="FootnoteReference"/>
        </w:rPr>
        <w:footnoteRef/>
      </w:r>
      <w:r>
        <w:t xml:space="preserve"> Wyłączenie to nie ma zastosowania do działań podejmowanych w ramach tego środka w istniejących zakładach mechaniczno-biologicznego przetwarzania odpadów, w przypadku gdy działania w ramach tego środka mają na celu zwiększenie efektywności energetycznej lub dostosowanie do procesów recyklingu odpadów posegregowanych w celu kompostowania bioodpadów i fermentacji beztlenowej bioodpadów,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101">
    <w:p w14:paraId="3D9D0FB3" w14:textId="77777777" w:rsidR="004C6421" w:rsidRDefault="009D1962">
      <w:pPr>
        <w:pStyle w:val="FootnoteText"/>
        <w:ind w:left="0" w:firstLine="0"/>
      </w:pPr>
      <w:r>
        <w:rPr>
          <w:rStyle w:val="FootnoteReference"/>
        </w:rPr>
        <w:footnoteRef/>
      </w:r>
      <w:r>
        <w:t xml:space="preserve"> Wyjątkiem projektów w ramach tego środka dotyczących wytwarzania energii elektrycznej lub ciepła, a także powiązanej infrastruktury przesyłowej i dystrybucyjnej wykorzystującej gaz ziemny, które są zgodne z warunkami określonymi w załączniku III do wytycznych technicznych „Nie czyń poważnych szkód” (2021/C58/01).</w:t>
      </w:r>
    </w:p>
  </w:footnote>
  <w:footnote w:id="102">
    <w:p w14:paraId="4D701D9E" w14:textId="77777777" w:rsidR="004C6421" w:rsidRDefault="009D1962">
      <w:pPr>
        <w:pStyle w:val="FootnoteText"/>
        <w:ind w:left="0" w:firstLine="0"/>
      </w:pPr>
      <w:r>
        <w:rPr>
          <w:rStyle w:val="FootnoteReference"/>
        </w:rPr>
        <w:footnoteRef/>
      </w:r>
      <w:r>
        <w:t xml:space="preserve"> W przypadku gdy wspierane działanie osiąga prognozowane emisje gazów cieplarnianych, które nie są znacznie niższe niż odpowiednie wskaźniki, należy przedstawić wyjaśnienie przyczyn, dla których nie jest to możliwe. Wartości odniesienia ustanowione dla przydziału bezpłatnych uprawnień w odniesieniu do działań wchodzących w zakres systemu handlu uprawnieniami do emisji, jak określono w rozporządzeniu wykonawczym Komisji (UE) 2021/447.</w:t>
      </w:r>
    </w:p>
  </w:footnote>
  <w:footnote w:id="103">
    <w:p w14:paraId="612D1D33" w14:textId="77777777" w:rsidR="004C6421" w:rsidRDefault="009D1962">
      <w:pPr>
        <w:jc w:val="both"/>
      </w:pPr>
      <w:r>
        <w:rPr>
          <w:rStyle w:val="FootnoteReference"/>
          <w:sz w:val="20"/>
        </w:rPr>
        <w:footnoteRef/>
      </w:r>
      <w:r>
        <w:rPr>
          <w:sz w:val="20"/>
        </w:rPr>
        <w:t xml:space="preserve"> Wyłączenie to nie ma zastosowania do działań w ramach tego środka w zakładach przeznaczonych wyłącznie do przetwarzania odpadów niebezpiecznych nienadających się do recyklingu oraz do istniejących zakładów, w których działania w ramach tego środka mają na celu zwiększenie efektywności energetycznej, wychwytywanie gazów spalinowych do składowania lub wykorzystania lub odzyskiwanie materiałów z popiołów spalania,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104">
    <w:p w14:paraId="1AC60F76" w14:textId="77777777" w:rsidR="004C6421" w:rsidRDefault="009D1962">
      <w:pPr>
        <w:pStyle w:val="FootnoteText"/>
        <w:ind w:left="0" w:firstLine="0"/>
      </w:pPr>
      <w:r>
        <w:rPr>
          <w:rStyle w:val="FootnoteReference"/>
        </w:rPr>
        <w:footnoteRef/>
      </w:r>
      <w:r>
        <w:t xml:space="preserve"> Wyłączenie to nie ma zastosowania do działań podejmowanych w ramach tego środka w istniejących zakładach mechaniczno-biologicznego przetwarzania odpadów, w przypadku gdy działania w ramach tego środka mają na celu zwiększenie efektywności energetycznej lub dostosowanie do procesów recyklingu odpadów posegregowanych w celu kompostowania bioodpadów i fermentacji beztlenowej bioodpadów,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105">
    <w:p w14:paraId="3B4BE4DB" w14:textId="77777777" w:rsidR="004C6421" w:rsidRDefault="009D1962">
      <w:pPr>
        <w:pStyle w:val="FootnoteText"/>
        <w:ind w:left="0" w:firstLine="0"/>
      </w:pPr>
      <w:r>
        <w:rPr>
          <w:rStyle w:val="FootnoteReference"/>
          <w:rFonts w:eastAsiaTheme="majorEastAsia"/>
        </w:rPr>
        <w:footnoteRef/>
      </w:r>
      <w:r>
        <w:t xml:space="preserve"> CDP Venture Capital SGR prowadzi działalność zarządczą zgodnie z zasadami niezależności i autonomii określonymi w dyrektywie w sprawie ZAFI.</w:t>
      </w:r>
    </w:p>
  </w:footnote>
  <w:footnote w:id="106">
    <w:p w14:paraId="699767DE" w14:textId="77777777" w:rsidR="004C6421" w:rsidRDefault="009D1962">
      <w:pPr>
        <w:pStyle w:val="FootnoteText"/>
        <w:ind w:left="0" w:firstLine="0"/>
      </w:pPr>
      <w:r>
        <w:rPr>
          <w:rStyle w:val="FootnoteReference"/>
          <w:rFonts w:eastAsiaTheme="majorEastAsia"/>
        </w:rPr>
        <w:footnoteRef/>
      </w:r>
      <w:r>
        <w:t xml:space="preserve"> Uznaje się, że beneficjent końcowy „znacznie koncentruje się” na danym sektorze lub działalności gospodarczej, jeżeli taki sektor lub działalność została określona jako istotna część działalności gospodarczej beneficjenta końcowego odpowiednio w odniesieniu do przychodów brutto, zysku lub bazy klientów beneficjenta końcowego. Dochód brutto wygenerowany z sektora lub działalności objętej ograniczeniami w żadnym przypadku nie przekracza 50 % dochodu brutto.</w:t>
      </w:r>
    </w:p>
  </w:footnote>
  <w:footnote w:id="107">
    <w:p w14:paraId="7078A655" w14:textId="77777777" w:rsidR="004C6421" w:rsidRDefault="009D1962">
      <w:pPr>
        <w:jc w:val="both"/>
        <w:rPr>
          <w:sz w:val="20"/>
        </w:rPr>
      </w:pPr>
      <w:r>
        <w:rPr>
          <w:rStyle w:val="FootnoteReference"/>
          <w:rFonts w:eastAsiaTheme="majorEastAsia"/>
        </w:rPr>
        <w:footnoteRef/>
      </w:r>
      <w:r>
        <w:rPr>
          <w:sz w:val="20"/>
        </w:rPr>
        <w:t xml:space="preserve"> Z wyjątkiem a) aktywów i działań związanych z wytwarzaniem energii elektrycznej lub ciepła, a także związanej z nimi infrastruktury przesyłowej i dystrybucyjnej z wykorzystaniem gazu ziemnego, które są zgodne z warunkami określonymi w załączniku III do wytycznych technicznych dotyczących zasady „nie czyń poważnych szkód” (2021/C58/01) oraz b) działań i aktywów, o których mowa w ppkt (ii), w przypadku których stosowanie paliw kopalnych jest tymczasowe i technicznie nieuniknione do celów terminowego przejścia na działalność bez udziału paliw kopalnych.</w:t>
      </w:r>
    </w:p>
  </w:footnote>
  <w:footnote w:id="108">
    <w:p w14:paraId="5F92004A" w14:textId="77777777" w:rsidR="004C6421" w:rsidRDefault="009D1962">
      <w:pPr>
        <w:jc w:val="both"/>
        <w:rPr>
          <w:sz w:val="20"/>
        </w:rPr>
      </w:pPr>
      <w:r>
        <w:rPr>
          <w:rStyle w:val="FootnoteReference"/>
          <w:rFonts w:eastAsiaTheme="majorEastAsia"/>
        </w:rPr>
        <w:footnoteRef/>
      </w:r>
      <w:r>
        <w:rPr>
          <w:sz w:val="20"/>
        </w:rPr>
        <w:t xml:space="preserve"> W tym działań i aktywów w ramach unijnego systemu handlu uprawnieniami do emisji (ETS) zapewniających prognozowane emisje gazów cieplarnianych, które nie są niższe od odpowiednich wskaźników referencyjnych. W przypadku gdy w ramach wspieranej działalności osiąga się prognozowane emisje gazów cieplarnianych, które nie są znacznie niższe od odpowiednich wskaźników referencyjnych, należy przedstawić wyjaśnienie powodów, dla których nie jest to możliwe. Wartości odniesienia ustanowione dla przydziału bezpłatnych uprawnień w odniesieniu do działań wchodzących w zakres systemu handlu uprawnieniami do emisji, jak określono w rozporządzeniu wykonawczym Komisji (UE) 2021/447.</w:t>
      </w:r>
    </w:p>
  </w:footnote>
  <w:footnote w:id="109">
    <w:p w14:paraId="7F2208FF" w14:textId="77777777" w:rsidR="004C6421" w:rsidRDefault="009D1962">
      <w:pPr>
        <w:jc w:val="both"/>
        <w:rPr>
          <w:sz w:val="20"/>
        </w:rPr>
      </w:pPr>
      <w:r>
        <w:rPr>
          <w:rStyle w:val="FootnoteReference"/>
          <w:rFonts w:eastAsiaTheme="majorEastAsia"/>
        </w:rPr>
        <w:footnoteRef/>
      </w:r>
      <w:r>
        <w:rPr>
          <w:sz w:val="20"/>
        </w:rPr>
        <w:t xml:space="preserve"> Pojazdy zanieczyszczające definiuje się jako pojazdy niebezemisyjne.</w:t>
      </w:r>
    </w:p>
  </w:footnote>
  <w:footnote w:id="110">
    <w:p w14:paraId="57C010FA" w14:textId="77777777" w:rsidR="004C6421" w:rsidRDefault="009D1962">
      <w:pPr>
        <w:pStyle w:val="FootnoteText"/>
        <w:ind w:left="0" w:firstLine="0"/>
      </w:pPr>
      <w:r>
        <w:rPr>
          <w:rStyle w:val="FootnoteReference"/>
          <w:rFonts w:eastAsiaTheme="majorEastAsia"/>
        </w:rPr>
        <w:footnoteRef/>
      </w:r>
      <w:r>
        <w:t xml:space="preserve"> Wyłączenie to nie ma zastosowania do działań prowadzonych w zakładach przeznaczonych wyłącznie do przetwarzania odpadów niebezpiecznych nienadających się do recyklingu oraz do istniejących zakładów, w przypadku gdy działania w ramach tego środka mają na celu zwiększenie efektywności energetycznej, wychwytywanie gazów spalinowych do składowania lub wykorzystania lub odzyskiwanie materiałów z popiołów ze spalania, pod warunkiem że takie działania w ramach tego środka nie skutkują zwiększeniem zdolności zakładów w zakresie przetwarzania odpadów ani wydłużeniem okresu eksploatacji obiektów; w odniesieniu do których przedstawiono dowody na poziomie zakładu.</w:t>
      </w:r>
    </w:p>
  </w:footnote>
  <w:footnote w:id="111">
    <w:p w14:paraId="7E5827D9" w14:textId="77777777" w:rsidR="004C6421" w:rsidRDefault="009D1962">
      <w:pPr>
        <w:pStyle w:val="FootnoteText"/>
        <w:ind w:left="0" w:firstLine="0"/>
      </w:pPr>
      <w:r>
        <w:rPr>
          <w:rStyle w:val="FootnoteReference"/>
        </w:rPr>
        <w:footnoteRef/>
      </w:r>
      <w:r>
        <w:t xml:space="preserve"> Wyjątkiem projektów w ramach tego środka dotyczących wytwarzania energii elektrycznej lub ciepła, a także powiązanej infrastruktury przesyłowej i dystrybucyjnej wykorzystującej gaz ziemny, które są zgodne z warunkami określonymi w załączniku III do wytycznych technicznych „Nie czyń poważnych szkód” (2021/C58/01).</w:t>
      </w:r>
    </w:p>
  </w:footnote>
  <w:footnote w:id="112">
    <w:p w14:paraId="16FDB8A7" w14:textId="77777777" w:rsidR="004C6421" w:rsidRDefault="009D1962">
      <w:pPr>
        <w:pStyle w:val="FootnoteText"/>
        <w:ind w:left="0" w:firstLine="0"/>
      </w:pPr>
      <w:r>
        <w:rPr>
          <w:rStyle w:val="FootnoteReference"/>
        </w:rPr>
        <w:footnoteRef/>
      </w:r>
      <w:r>
        <w:t xml:space="preserve"> W przypadku gdy wspierane działanie osiąga prognozowane emisje gazów cieplarnianych, które nie są znacznie niższe niż odpowiednie wskaźniki, należy przedstawić wyjaśnienie przyczyn, dla których nie jest to możliwe. Wartości odniesienia ustanowione dla przydziału bezpłatnych uprawnień w odniesieniu do działań wchodzących w zakres systemu handlu uprawnieniami do emisji, jak określono w rozporządzeniu wykonawczym Komisji (UE) 2021/447.</w:t>
      </w:r>
    </w:p>
  </w:footnote>
  <w:footnote w:id="113">
    <w:p w14:paraId="1EA1AC39" w14:textId="77777777" w:rsidR="004C6421" w:rsidRDefault="009D1962">
      <w:pPr>
        <w:jc w:val="both"/>
      </w:pPr>
      <w:r>
        <w:rPr>
          <w:rStyle w:val="FootnoteReference"/>
          <w:sz w:val="20"/>
        </w:rPr>
        <w:footnoteRef/>
      </w:r>
      <w:r>
        <w:rPr>
          <w:sz w:val="20"/>
        </w:rPr>
        <w:t xml:space="preserve"> Wyłączenie to nie ma zastosowania do działań w ramach tego środka w zakładach przeznaczonych wyłącznie do przetwarzania odpadów niebezpiecznych nienadających się do recyklingu oraz do istniejących zakładów, w których działania w ramach tego środka mają na celu zwiększenie efektywności energetycznej, wychwytywanie gazów spalinowych do składowania lub wykorzystania lub odzyskiwanie materiałów z popiołów spalania,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114">
    <w:p w14:paraId="3B58BA1C" w14:textId="77777777" w:rsidR="004C6421" w:rsidRDefault="009D1962">
      <w:pPr>
        <w:pStyle w:val="FootnoteText"/>
        <w:ind w:left="0" w:firstLine="0"/>
      </w:pPr>
      <w:r>
        <w:rPr>
          <w:rStyle w:val="FootnoteReference"/>
        </w:rPr>
        <w:footnoteRef/>
      </w:r>
      <w:r>
        <w:t xml:space="preserve"> Wyłączenie to nie ma zastosowania do działań podejmowanych w ramach tego środka w istniejących zakładach mechaniczno-biologicznego przetwarzania odpadów, w przypadku gdy działania w ramach tego środka mają na celu zwiększenie efektywności energetycznej lub dostosowanie do procesów recyklingu odpadów posegregowanych w celu kompostowania bioodpadów i fermentacji beztlenowej bioodpadów,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115">
    <w:p w14:paraId="55E88EE0" w14:textId="77777777" w:rsidR="004C6421" w:rsidRDefault="009D1962">
      <w:pPr>
        <w:pStyle w:val="FootnoteText"/>
        <w:ind w:left="0" w:firstLine="0"/>
      </w:pPr>
      <w:r>
        <w:rPr>
          <w:rStyle w:val="FootnoteReference"/>
        </w:rPr>
        <w:footnoteRef/>
      </w:r>
      <w:r>
        <w:t xml:space="preserve"> Wyjątkiem projektów w ramach tego środka dotyczących wytwarzania energii elektrycznej lub ciepła, a także powiązanej infrastruktury przesyłowej i dystrybucyjnej wykorzystującej gaz ziemny, które są zgodne z warunkami określonymi w załączniku III do wytycznych technicznych „Nie czyń poważnych szkód” (2021/C58/01).</w:t>
      </w:r>
    </w:p>
  </w:footnote>
  <w:footnote w:id="116">
    <w:p w14:paraId="55BE04E2" w14:textId="77777777" w:rsidR="004C6421" w:rsidRDefault="009D1962">
      <w:pPr>
        <w:pStyle w:val="FootnoteText"/>
        <w:ind w:left="0" w:firstLine="0"/>
      </w:pPr>
      <w:r>
        <w:rPr>
          <w:rStyle w:val="FootnoteReference"/>
        </w:rPr>
        <w:footnoteRef/>
      </w:r>
      <w:r>
        <w:t xml:space="preserve"> W przypadku gdy wspierane działanie osiąga prognozowane emisje gazów cieplarnianych, które nie są znacznie niższe niż odpowiednie wskaźniki, należy przedstawić wyjaśnienie przyczyn, dla których nie jest to możliwe. Wartości odniesienia ustanowione dla przydziału bezpłatnych uprawnień w odniesieniu do działań wchodzących w zakres systemu handlu uprawnieniami do emisji, jak określono w rozporządzeniu wykonawczym Komisji (UE) 2021/447.</w:t>
      </w:r>
    </w:p>
  </w:footnote>
  <w:footnote w:id="117">
    <w:p w14:paraId="75CE4650" w14:textId="77777777" w:rsidR="004C6421" w:rsidRDefault="009D1962">
      <w:pPr>
        <w:jc w:val="both"/>
      </w:pPr>
      <w:r>
        <w:rPr>
          <w:rStyle w:val="FootnoteReference"/>
          <w:sz w:val="20"/>
        </w:rPr>
        <w:footnoteRef/>
      </w:r>
      <w:r>
        <w:rPr>
          <w:sz w:val="20"/>
        </w:rPr>
        <w:t xml:space="preserve"> Wyłączenie to nie ma zastosowania do działań w ramach tego środka w zakładach przeznaczonych wyłącznie do przetwarzania odpadów niebezpiecznych nienadających się do recyklingu oraz do istniejących zakładów, w których działania w ramach tego środka mają na celu zwiększenie efektywności energetycznej, wychwytywanie gazów spalinowych do składowania lub wykorzystania lub odzyskiwanie materiałów z popiołów spalania,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118">
    <w:p w14:paraId="056C60B4" w14:textId="77777777" w:rsidR="004C6421" w:rsidRDefault="009D1962">
      <w:pPr>
        <w:pStyle w:val="FootnoteText"/>
        <w:ind w:left="0" w:firstLine="0"/>
      </w:pPr>
      <w:r>
        <w:rPr>
          <w:rStyle w:val="FootnoteReference"/>
        </w:rPr>
        <w:footnoteRef/>
      </w:r>
      <w:r>
        <w:t xml:space="preserve"> Wyłączenie to nie ma zastosowania do działań podejmowanych w ramach tego środka w istniejących zakładach mechaniczno-biologicznego przetwarzania odpadów, w przypadku gdy działania w ramach tego środka mają na celu zwiększenie efektywności energetycznej lub dostosowanie do procesów recyklingu odpadów posegregowanych w celu kompostowania bioodpadów i fermentacji beztlenowej bioodpadów,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119">
    <w:p w14:paraId="2DC40F52" w14:textId="32A3BFA9" w:rsidR="004C6421" w:rsidRDefault="009D1962">
      <w:r>
        <w:rPr>
          <w:rStyle w:val="FootnoteReference"/>
        </w:rPr>
        <w:footnoteRef/>
      </w:r>
      <w:r>
        <w:t xml:space="preserve"> </w:t>
      </w:r>
      <w:r>
        <w:rPr>
          <w:sz w:val="20"/>
        </w:rPr>
        <w:t>Z wyjątkiem a) aktywów i działań związanych z wytwarzaniem energii elektrycznej lub ciepła, a także związanej z nimi infrastruktury przesyłowej i dystrybucyjnej z wykorzystaniem gazu ziemnego, które są zgodne z warunkami określonymi w załączniku III do wytycznych technicznych dotyczących zasady „nie czyń poważnych szkód” (2021/C58/01) oraz b) działań i aktywów, o których mowa w ppkt (ii), w przypadku których stosowanie paliw kopalnych jest tymczasowe i technicznie nieuniknione do celów terminowego przejścia na działalność wolną od paliw kopalnych.</w:t>
      </w:r>
    </w:p>
  </w:footnote>
  <w:footnote w:id="120">
    <w:p w14:paraId="2446C2D5" w14:textId="7A13E951" w:rsidR="004C6421" w:rsidRDefault="009D1962">
      <w:pPr>
        <w:pStyle w:val="FootnoteText"/>
      </w:pPr>
      <w:r>
        <w:rPr>
          <w:rStyle w:val="FootnoteReference"/>
        </w:rPr>
        <w:footnoteRef/>
      </w:r>
      <w:r>
        <w:t xml:space="preserve"> W przypadku gdy w ramach wspieranej działalności osiąga się prognozowane emisje gazów cieplarnianych, które nie są znacznie niższe od odpowiednich wskaźników referencyjnych, należy przedstawić wyjaśnienie powodów, dla których nie jest to możliwe. Poziomy odniesienia ustanowione na potrzeby przydziału bezpłatnych uprawnień w odniesieniu do działań wchodzących w zakres systemu handlu uprawnieniami do emisji, jak określono w rozporządzeniu wykonawczym Komisji (UE) 2021/447</w:t>
      </w:r>
    </w:p>
  </w:footnote>
  <w:footnote w:id="121">
    <w:p w14:paraId="6114E0A4" w14:textId="70A0CBF8" w:rsidR="004C6421" w:rsidRDefault="009D1962">
      <w:pPr>
        <w:pStyle w:val="FootnoteText"/>
      </w:pPr>
      <w:r>
        <w:rPr>
          <w:rStyle w:val="FootnoteReference"/>
        </w:rPr>
        <w:footnoteRef/>
      </w:r>
      <w:r>
        <w:t xml:space="preserve"> Wyłączenie to nie ma zastosowania do działań w ramach tego środka w zakładach przeznaczonych wyłącznie do przetwarzania odpadów niebezpiecznych nienadających się do recyklingu oraz do istniejących zakładów, w których działania w ramach tego środka mają na celu zwiększenie efektywności energetycznej, wychwytywanie gazów spalinowych do składowania lub wykorzystania lub odzyskiwanie materiałów z popiołów spalania,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122">
    <w:p w14:paraId="3504EDEF" w14:textId="4A237E57" w:rsidR="004C6421" w:rsidRDefault="009D1962">
      <w:pPr>
        <w:pStyle w:val="FootnoteText"/>
      </w:pPr>
      <w:r>
        <w:rPr>
          <w:rStyle w:val="FootnoteReference"/>
        </w:rPr>
        <w:footnoteRef/>
      </w:r>
      <w:r>
        <w:t xml:space="preserve"> Wyłączenie to nie ma zastosowania do działań podejmowanych w ramach tego środka w istniejących zakładach mechaniczno-biologicznego przetwarzania odpadów, w przypadku gdy działania w ramach tego środka mają na celu zwiększenie efektywności energetycznej lub dostosowanie do procesów recyklingu odpadów posegregowanych w celu kompostowania bioodpadów i fermentacji beztlenowej bioodpadów, pod warunkiem że takie działania w ramach tego środka nie prowadzą do zwiększenia zdolności zakładów w zakresie przetwarzania odpadów ani do wydłużenia okresu eksploatacji zakładów; w odniesieniu do których przedstawiono dowody na poziomie zakładu</w:t>
      </w:r>
    </w:p>
  </w:footnote>
  <w:footnote w:id="123">
    <w:p w14:paraId="09B23B23" w14:textId="77DE6157" w:rsidR="004C6421" w:rsidRDefault="009D1962">
      <w:pPr>
        <w:pStyle w:val="FootnoteText"/>
      </w:pPr>
      <w:r>
        <w:rPr>
          <w:rStyle w:val="FootnoteReference"/>
        </w:rPr>
        <w:footnoteRef/>
      </w:r>
      <w:r>
        <w:t xml:space="preserve"> Beneficjenci końcowi są zobowiązani do przedstawienia uzasadnienia wybranego zakresu interwencji dla każdego wspieranego projektu, wraz z opisem projektu, do celów obliczenia wkładu na rzecz klimatu. Partner wykonawczy jest również zobowiązany do przedstawienia państwu członkowskiemu półrocznego sprawozdania z realizacji każdego projektu/działania.</w:t>
      </w:r>
    </w:p>
  </w:footnote>
  <w:footnote w:id="124">
    <w:p w14:paraId="29C693C3" w14:textId="77777777" w:rsidR="004C6421" w:rsidRDefault="009D1962">
      <w:pPr>
        <w:pStyle w:val="FootnoteText"/>
        <w:rPr>
          <w:rFonts w:eastAsiaTheme="majorEastAsia"/>
        </w:rPr>
      </w:pPr>
      <w:r>
        <w:rPr>
          <w:rStyle w:val="FootnoteReference"/>
        </w:rPr>
        <w:footnoteRef/>
      </w:r>
      <w:r>
        <w:rPr>
          <w:rStyle w:val="normaltextrun"/>
        </w:rPr>
        <w:t>W szczególności program odnosi się do załączników A i B do ustawy z dnia 11 grudnia 2016 r., nr 232.</w:t>
      </w:r>
    </w:p>
  </w:footnote>
  <w:footnote w:id="125">
    <w:p w14:paraId="421F666C" w14:textId="77777777" w:rsidR="004C6421" w:rsidRDefault="009D1962">
      <w:pPr>
        <w:pStyle w:val="FootnoteText"/>
        <w:ind w:left="0" w:firstLine="0"/>
      </w:pPr>
      <w:r>
        <w:rPr>
          <w:rStyle w:val="FootnoteReference"/>
        </w:rPr>
        <w:footnoteRef/>
      </w:r>
      <w:r>
        <w:t xml:space="preserve"> W przypadku nowo utworzonych przedsiębiorstw oszczędności energii należy mierzyć w odniesieniu do średniego rocznego zużycia przez przedsiębiorstwo o podobnych cechach (wielkości) działające w tym samym sektorze (kod ATECO).</w:t>
      </w:r>
    </w:p>
  </w:footnote>
  <w:footnote w:id="126">
    <w:p w14:paraId="77823E96" w14:textId="77777777" w:rsidR="004C6421" w:rsidRDefault="009D1962">
      <w:pPr>
        <w:pStyle w:val="FootnoteText"/>
        <w:ind w:left="0" w:firstLine="0"/>
      </w:pPr>
      <w:r>
        <w:rPr>
          <w:rStyle w:val="FootnoteReference"/>
          <w:rFonts w:eastAsiaTheme="majorEastAsia"/>
        </w:rPr>
        <w:footnoteRef/>
      </w:r>
      <w:r>
        <w:t xml:space="preserve"> Uznaje się, że beneficjent końcowy „znacznie koncentruje się” na danym sektorze lub działalności gospodarczej, jeżeli taki sektor lub działalność została określona jako istotna część działalności gospodarczej beneficjenta końcowego odpowiednio w odniesieniu do przychodów brutto, zysku lub bazy klientów beneficjenta końcowego. Dochód brutto wygenerowany z sektora lub działalności objętej ograniczeniami w żadnym przypadku nie przekracza 50 % dochodu brutto.</w:t>
      </w:r>
    </w:p>
  </w:footnote>
  <w:footnote w:id="127">
    <w:p w14:paraId="5AA807E3" w14:textId="77777777" w:rsidR="004C6421" w:rsidRDefault="009D1962">
      <w:pPr>
        <w:jc w:val="both"/>
        <w:rPr>
          <w:sz w:val="20"/>
        </w:rPr>
      </w:pPr>
      <w:r>
        <w:rPr>
          <w:rStyle w:val="FootnoteReference"/>
          <w:rFonts w:eastAsiaTheme="majorEastAsia"/>
          <w:sz w:val="20"/>
        </w:rPr>
        <w:footnoteRef/>
      </w:r>
      <w:r>
        <w:rPr>
          <w:sz w:val="20"/>
        </w:rPr>
        <w:t xml:space="preserve"> Z wyjątkiem a) aktywów i działań związanych z wytwarzaniem energii elektrycznej lub ciepła, a także związanej z nimi infrastruktury przesyłowej i dystrybucyjnej z wykorzystaniem gazu ziemnego, które są zgodne z warunkami określonymi w załączniku III do wytycznych technicznych dotyczących zasady „nie czyń poważnych szkód” (2021/C58/01) oraz b) działań i aktywów, o których mowa w ppkt (ii), w przypadku których stosowanie paliw kopalnych jest tymczasowe i technicznie nieuniknione do celów terminowego przejścia na działalność bez udziału paliw kopalnych.</w:t>
      </w:r>
    </w:p>
  </w:footnote>
  <w:footnote w:id="128">
    <w:p w14:paraId="7B4371FE" w14:textId="77777777" w:rsidR="004C6421" w:rsidRDefault="009D1962">
      <w:pPr>
        <w:jc w:val="both"/>
        <w:rPr>
          <w:sz w:val="20"/>
        </w:rPr>
      </w:pPr>
      <w:r>
        <w:rPr>
          <w:rStyle w:val="FootnoteReference"/>
          <w:rFonts w:eastAsiaTheme="majorEastAsia"/>
          <w:sz w:val="20"/>
        </w:rPr>
        <w:footnoteRef/>
      </w:r>
      <w:r>
        <w:rPr>
          <w:sz w:val="20"/>
        </w:rPr>
        <w:t xml:space="preserve"> W tym działań i aktywów w ramach unijnego systemu handlu uprawnieniami do emisji (ETS) zapewniających prognozowane emisje gazów cieplarnianych, które nie są niższe od odpowiednich wskaźników referencyjnych. W przypadku gdy w ramach wspieranej działalności osiąga się prognozowane emisje gazów cieplarnianych, które nie są znacznie niższe od odpowiednich wskaźników referencyjnych, należy przedstawić wyjaśnienie powodów, dla których nie jest to możliwe. Wartości odniesienia ustanowione dla przydziału bezpłatnych uprawnień w odniesieniu do działań wchodzących w zakres systemu handlu uprawnieniami do emisji, jak określono w rozporządzeniu wykonawczym Komisji (UE) 2021/447.</w:t>
      </w:r>
    </w:p>
  </w:footnote>
  <w:footnote w:id="129">
    <w:p w14:paraId="65791801" w14:textId="77777777" w:rsidR="004C6421" w:rsidRDefault="009D1962">
      <w:pPr>
        <w:jc w:val="both"/>
        <w:rPr>
          <w:sz w:val="20"/>
        </w:rPr>
      </w:pPr>
      <w:r>
        <w:rPr>
          <w:rStyle w:val="FootnoteReference"/>
          <w:rFonts w:eastAsiaTheme="majorEastAsia"/>
          <w:sz w:val="20"/>
        </w:rPr>
        <w:footnoteRef/>
      </w:r>
      <w:r>
        <w:rPr>
          <w:sz w:val="20"/>
        </w:rPr>
        <w:t xml:space="preserve"> Pojazdy zanieczyszczające definiuje się jako pojazdy niebezemisyjne.</w:t>
      </w:r>
    </w:p>
  </w:footnote>
  <w:footnote w:id="130">
    <w:p w14:paraId="719ACC95" w14:textId="77777777" w:rsidR="004C6421" w:rsidRDefault="009D1962">
      <w:pPr>
        <w:pStyle w:val="FootnoteText"/>
        <w:ind w:left="0" w:firstLine="0"/>
      </w:pPr>
      <w:r>
        <w:rPr>
          <w:rStyle w:val="FootnoteReference"/>
          <w:rFonts w:eastAsiaTheme="majorEastAsia"/>
        </w:rPr>
        <w:footnoteRef/>
      </w:r>
      <w:r>
        <w:t xml:space="preserve"> Wyłączenie to nie ma zastosowania do działań prowadzonych w zakładach przeznaczonych wyłącznie do przetwarzania odpadów niebezpiecznych nienadających się do recyklingu oraz do istniejących zakładów, w przypadku gdy działania w ramach tego środka mają na celu zwiększenie efektywności energetycznej, wychwytywanie gazów spalinowych do składowania lub wykorzystania lub odzyskiwanie materiałów z popiołów ze spalania, pod warunkiem że takie działania w ramach tego środka nie skutkują zwiększeniem zdolności zakładów w zakresie przetwarzania odpadów ani wydłużeniem okresu eksploatacji obiektów; w odniesieniu do których przedstawiono dowody na poziomie zakładu.</w:t>
      </w:r>
    </w:p>
  </w:footnote>
  <w:footnote w:id="131">
    <w:p w14:paraId="5AA75162" w14:textId="77777777" w:rsidR="004C6421" w:rsidRDefault="009D1962">
      <w:pPr>
        <w:pStyle w:val="FootnoteText"/>
        <w:ind w:left="0" w:firstLine="0"/>
      </w:pPr>
      <w:r>
        <w:rPr>
          <w:rStyle w:val="FootnoteReference"/>
        </w:rPr>
        <w:footnoteRef/>
      </w:r>
      <w:r>
        <w:t xml:space="preserve"> Beneficjenci końcowi stowarzyszeni z konkretnymi projektami są zobowiązani do przedstawienia uzasadnienia wybranego obszaru interwencji dla każdego wspieranego projektu, wraz z opisem projektu, do celów obliczenia wkładu na rzecz klimatu. </w:t>
      </w:r>
    </w:p>
    <w:p w14:paraId="5FEA141C" w14:textId="77777777" w:rsidR="004C6421" w:rsidRDefault="004C6421">
      <w:pPr>
        <w:pStyle w:val="FootnoteText"/>
      </w:pPr>
    </w:p>
  </w:footnote>
  <w:footnote w:id="132">
    <w:p w14:paraId="32126B83" w14:textId="77777777" w:rsidR="004C6421" w:rsidRDefault="009D1962">
      <w:pPr>
        <w:pStyle w:val="FootnoteText"/>
        <w:ind w:left="0" w:firstLine="0"/>
      </w:pPr>
      <w:r>
        <w:rPr>
          <w:rStyle w:val="FootnoteReference"/>
        </w:rPr>
        <w:footnoteRef/>
      </w:r>
      <w:r>
        <w:t xml:space="preserve"> Beneficjenci końcowi stowarzyszeni z konkretnymi projektami są zobowiązani do przedstawienia uzasadnienia wybranego obszaru interwencji dla każdego wspieranego projektu, wraz z opisem projektu, do celów obliczenia wkładu na rzecz klimatu.</w:t>
      </w:r>
    </w:p>
  </w:footnote>
  <w:footnote w:id="133">
    <w:p w14:paraId="07B3454E" w14:textId="77777777" w:rsidR="004C6421" w:rsidRDefault="009D1962">
      <w:pPr>
        <w:pStyle w:val="FootnoteText"/>
        <w:ind w:left="0" w:firstLine="0"/>
      </w:pPr>
      <w:r>
        <w:rPr>
          <w:rStyle w:val="FootnoteReference"/>
        </w:rPr>
        <w:footnoteRef/>
      </w:r>
      <w:r>
        <w:t xml:space="preserve"> Z wyjątkiem a) aktywów i działań związanych z wytwarzaniem energii elektrycznej lub ciepła, a także związanej z nimi infrastruktury przesyłowej i dystrybucyjnej z wykorzystaniem gazu ziemnego, które są zgodne z warunkami określonymi w załączniku III do wytycznych technicznych dotyczących zasady „nie czyń poważnych szkód” (2021/C58/01) oraz b) działań i aktywów, o których mowa w ppkt (ii), w przypadku których stosowanie paliw kopalnych jest tymczasowe i technicznie nieuniknione do celów terminowego przejścia na działalność bez udziału paliw kopalnych.</w:t>
      </w:r>
    </w:p>
  </w:footnote>
  <w:footnote w:id="134">
    <w:p w14:paraId="0376641B" w14:textId="77777777" w:rsidR="004C6421" w:rsidRDefault="009D1962">
      <w:pPr>
        <w:pStyle w:val="FootnoteText"/>
        <w:ind w:left="0" w:firstLine="0"/>
        <w:rPr>
          <w:rFonts w:eastAsia="EC Square Sans Pro"/>
        </w:rPr>
      </w:pPr>
      <w:r>
        <w:rPr>
          <w:rStyle w:val="FootnoteReference"/>
          <w:rFonts w:eastAsiaTheme="majorEastAsia"/>
        </w:rPr>
        <w:footnoteRef/>
      </w:r>
      <w:r>
        <w:t xml:space="preserve"> W przypadku gdy w ramach wspieranej działalności osiąga się prognozowane emisje gazów cieplarnianych, które nie są znacznie niższe od odpowiednich wskaźników referencyjnych, należy przedstawić wyjaśnienie powodów, dla których nie jest to możliwe. Wartości odniesienia ustanowione dla przydziału bezpłatnych uprawnień w odniesieniu do działań wchodzących w zakres systemu handlu uprawnieniami do emisji, jak określono w rozporządzeniu wykonawczym Komisji (UE) 2021/447. </w:t>
      </w:r>
    </w:p>
  </w:footnote>
  <w:footnote w:id="135">
    <w:p w14:paraId="6FEB1E12" w14:textId="77777777" w:rsidR="004C6421" w:rsidRDefault="009D1962">
      <w:pPr>
        <w:pStyle w:val="FootnoteText"/>
        <w:ind w:left="0" w:firstLine="0"/>
      </w:pPr>
      <w:r>
        <w:rPr>
          <w:rStyle w:val="FootnoteReference"/>
          <w:rFonts w:eastAsiaTheme="majorEastAsia"/>
        </w:rPr>
        <w:footnoteRef/>
      </w:r>
      <w:r>
        <w:t xml:space="preserve"> Wyłączenie to nie ma zastosowania do działań w ramach tego środka w zakładach przeznaczonych wyłącznie do przetwarzania odpadów niebezpiecznych nienadających się do recyklingu oraz do istniejących zakładów, w których działania w ramach tego środka mają na celu zwiększenie efektywności energetycznej, wychwytywanie gazów spalinowych do składowania lub wykorzystania lub odzyskiwanie materiałów z popiołów spalania, pod warunkiem że takie działania w ramach tego środka nie prowadzą do zwiększenia zdolności zakładów w zakresie przetwarzania odpadów ani do wydłużenia okresu eksploatacji zakładów; w odniesieniu do których przedstawiono dowody na poziomie zakładu. </w:t>
      </w:r>
    </w:p>
  </w:footnote>
  <w:footnote w:id="136">
    <w:p w14:paraId="29ED9692" w14:textId="77777777" w:rsidR="004C6421" w:rsidRDefault="009D1962">
      <w:pPr>
        <w:pStyle w:val="FootnoteText"/>
        <w:ind w:left="0" w:firstLine="0"/>
      </w:pPr>
      <w:r>
        <w:rPr>
          <w:rStyle w:val="FootnoteReference"/>
          <w:rFonts w:eastAsiaTheme="majorEastAsia"/>
        </w:rPr>
        <w:footnoteRef/>
      </w:r>
      <w:r>
        <w:t xml:space="preserve"> Wyłączenie to nie ma zastosowania do działań podejmowanych w ramach tego środka w istniejących zakładach mechaniczno-biologicznego przetwarzania odpadów, w przypadku gdy działania w ramach tego środka mają na celu zwiększenie efektywności energetycznej lub dostosowanie do procesów recyklingu odpadów posegregowanych w celu kompostowania bioodpadów i fermentacji beztlenowej bioodpadów, pod warunkiem że takie działania w ramach tego środka nie prowadzą do zwiększenia zdolności zakładów w zakresie przetwarzania odpadów ani do wydłużenia okresu eksploatacji zakładów; w odniesieniu do których przedstawiono dowody na poziomie zakładu. </w:t>
      </w:r>
    </w:p>
  </w:footnote>
  <w:footnote w:id="137">
    <w:p w14:paraId="1AB62699" w14:textId="77777777" w:rsidR="004C6421" w:rsidRDefault="009D1962">
      <w:pPr>
        <w:pStyle w:val="FootnoteText"/>
        <w:ind w:left="0" w:firstLine="0"/>
      </w:pPr>
      <w:r>
        <w:rPr>
          <w:rStyle w:val="FootnoteReference"/>
        </w:rPr>
        <w:footnoteRef/>
      </w:r>
      <w:r>
        <w:t xml:space="preserve"> Beneficjenci końcowi stowarzyszeni z konkretnymi projektami są zobowiązani do przedstawienia uzasadnienia wybranego obszaru interwencji dla każdego wspieranego projektu, wraz z opisem projektu, do celów obliczenia wkładu na rzecz klimatu. </w:t>
      </w:r>
    </w:p>
    <w:p w14:paraId="58F380F7" w14:textId="77777777" w:rsidR="004C6421" w:rsidRDefault="004C642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009F7" w14:textId="77777777" w:rsidR="00863339" w:rsidRPr="00863339" w:rsidRDefault="00863339" w:rsidP="00863339">
    <w:pPr>
      <w:pStyle w:val="HeaderCoverPag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4AE42" w14:textId="77777777" w:rsidR="004C6421" w:rsidRDefault="004C6421">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0970C" w14:textId="77777777" w:rsidR="004C6421" w:rsidRDefault="004C6421">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3CE8C" w14:textId="77777777" w:rsidR="004C6421" w:rsidRDefault="004C6421">
    <w:pPr>
      <w:pStyle w:val="Heade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97539" w14:textId="77777777" w:rsidR="004C6421" w:rsidRDefault="004C6421">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808D9" w14:textId="77777777" w:rsidR="004C6421" w:rsidRDefault="004C6421">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62B76" w14:textId="77777777" w:rsidR="004C6421" w:rsidRDefault="004C6421">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C6042" w14:textId="77777777" w:rsidR="004C6421" w:rsidRDefault="004C6421">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EA638" w14:textId="77777777" w:rsidR="004C6421" w:rsidRDefault="004C6421">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C3934" w14:textId="77777777" w:rsidR="004C6421" w:rsidRDefault="004C6421">
    <w:pPr>
      <w:pStyle w:val="Header"/>
      <w:rPr>
        <w:rFonts w:eastAsia="Calibri"/>
      </w:rP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3CC9F" w14:textId="77777777" w:rsidR="004C6421" w:rsidRDefault="004C6421">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E280E" w14:textId="77777777" w:rsidR="004C6421" w:rsidRDefault="004C642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65902" w14:textId="77777777" w:rsidR="004C6421" w:rsidRDefault="004C6421">
    <w:pPr>
      <w:pStyle w:val="Header"/>
      <w:rPr>
        <w:sz w:val="10"/>
      </w:rP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D5302" w14:textId="77777777" w:rsidR="004C6421" w:rsidRDefault="004C6421">
    <w:pPr>
      <w:pStyle w:val="Header"/>
      <w:rPr>
        <w:rFonts w:eastAsia="Calibri"/>
      </w:rP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56B24" w14:textId="77777777" w:rsidR="004C6421" w:rsidRDefault="004C6421">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E722A" w14:textId="77777777" w:rsidR="004C6421" w:rsidRDefault="004C6421">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88C25" w14:textId="77777777" w:rsidR="004C6421" w:rsidRDefault="004C6421">
    <w:pPr>
      <w:pStyle w:val="Header"/>
      <w:rPr>
        <w:rFonts w:eastAsia="Calibri"/>
      </w:rPr>
    </w:pPr>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AD837" w14:textId="77777777" w:rsidR="004C6421" w:rsidRDefault="004C6421">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640BB" w14:textId="77777777" w:rsidR="004C6421" w:rsidRDefault="004C6421">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C38C9" w14:textId="77777777" w:rsidR="004C6421" w:rsidRDefault="004C6421">
    <w:pPr>
      <w:pStyle w:val="Header"/>
      <w:rPr>
        <w:rFonts w:eastAsia="Calibri"/>
      </w:rPr>
    </w:pPr>
  </w:p>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C5DA6" w14:textId="77777777" w:rsidR="004C6421" w:rsidRDefault="004C6421">
    <w:pPr>
      <w:pStyle w:val="Header"/>
    </w:pPr>
  </w:p>
</w:hdr>
</file>

<file path=word/header1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27856" w14:textId="77777777" w:rsidR="004C6421" w:rsidRDefault="004C6421">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01EC4" w14:textId="77777777" w:rsidR="004C6421" w:rsidRDefault="004C6421">
    <w:pPr>
      <w:pStyle w:val="Header"/>
      <w:rPr>
        <w:rFonts w:eastAsia="Calibri"/>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2CA48" w14:textId="77777777" w:rsidR="004C6421" w:rsidRDefault="004C6421">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11CBD" w14:textId="77777777" w:rsidR="004C6421" w:rsidRDefault="004C6421">
    <w:pPr>
      <w:pStyle w:val="Header"/>
    </w:pPr>
  </w:p>
</w:hdr>
</file>

<file path=word/header1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8707B" w14:textId="77777777" w:rsidR="004C6421" w:rsidRDefault="004C6421">
    <w:pPr>
      <w:pStyle w:val="Header"/>
    </w:pPr>
  </w:p>
</w:hdr>
</file>

<file path=word/header1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362D2" w14:textId="77777777" w:rsidR="004C6421" w:rsidRDefault="004C6421">
    <w:pPr>
      <w:pStyle w:val="Header"/>
      <w:rPr>
        <w:rFonts w:eastAsia="Calibri"/>
      </w:rPr>
    </w:pPr>
  </w:p>
</w:hdr>
</file>

<file path=word/header1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D49C8" w14:textId="77777777" w:rsidR="004C6421" w:rsidRDefault="004C6421">
    <w:pPr>
      <w:pStyle w:val="Header"/>
    </w:pPr>
  </w:p>
</w:hdr>
</file>

<file path=word/header1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6F7E8" w14:textId="77777777" w:rsidR="004C6421" w:rsidRDefault="004C6421">
    <w:pPr>
      <w:pStyle w:val="Header"/>
    </w:pPr>
  </w:p>
</w:hdr>
</file>

<file path=word/header1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94833" w14:textId="77777777" w:rsidR="004C6421" w:rsidRDefault="004C6421">
    <w:pPr>
      <w:pStyle w:val="Header"/>
      <w:rPr>
        <w:rFonts w:eastAsia="Calibri"/>
      </w:rPr>
    </w:pPr>
  </w:p>
</w:hdr>
</file>

<file path=word/header1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0A7D1" w14:textId="77777777" w:rsidR="004C6421" w:rsidRDefault="004C6421">
    <w:pPr>
      <w:pStyle w:val="Header"/>
    </w:pPr>
  </w:p>
</w:hdr>
</file>

<file path=word/header1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B4E47" w14:textId="77777777" w:rsidR="004C6421" w:rsidRDefault="004C6421">
    <w:pPr>
      <w:pStyle w:val="Header"/>
    </w:pPr>
  </w:p>
</w:hdr>
</file>

<file path=word/header1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30F4E" w14:textId="77777777" w:rsidR="004C6421" w:rsidRDefault="004C6421">
    <w:pPr>
      <w:pStyle w:val="Header"/>
      <w:rPr>
        <w:rFonts w:eastAsia="Calibri"/>
      </w:rPr>
    </w:pPr>
  </w:p>
</w:hdr>
</file>

<file path=word/header1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C461F" w14:textId="77777777" w:rsidR="004C6421" w:rsidRDefault="004C642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C9BB8" w14:textId="77777777" w:rsidR="004C6421" w:rsidRDefault="004C6421">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51CE3" w14:textId="77777777" w:rsidR="004C6421" w:rsidRDefault="004C6421">
    <w:pPr>
      <w:pStyle w:val="Header"/>
    </w:pPr>
  </w:p>
</w:hdr>
</file>

<file path=word/header1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FA590" w14:textId="77777777" w:rsidR="004C6421" w:rsidRDefault="004C6421">
    <w:pPr>
      <w:pStyle w:val="Header"/>
      <w:rPr>
        <w:rFonts w:eastAsia="Calibri"/>
      </w:rPr>
    </w:pPr>
  </w:p>
</w:hdr>
</file>

<file path=word/header1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B0400" w14:textId="77777777" w:rsidR="004C6421" w:rsidRDefault="004C6421">
    <w:pPr>
      <w:pStyle w:val="Header"/>
    </w:pPr>
  </w:p>
</w:hdr>
</file>

<file path=word/header1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BFF83" w14:textId="77777777" w:rsidR="004C6421" w:rsidRDefault="004C6421">
    <w:pPr>
      <w:pStyle w:val="Header"/>
    </w:pPr>
  </w:p>
</w:hdr>
</file>

<file path=word/header1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62B3E" w14:textId="77777777" w:rsidR="004C6421" w:rsidRDefault="004C6421">
    <w:pPr>
      <w:pStyle w:val="Header"/>
      <w:rPr>
        <w:rFonts w:eastAsia="Calibri"/>
      </w:rPr>
    </w:pPr>
  </w:p>
</w:hdr>
</file>

<file path=word/header1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4BA89" w14:textId="77777777" w:rsidR="004C6421" w:rsidRDefault="004C6421">
    <w:pPr>
      <w:pStyle w:val="Header"/>
    </w:pPr>
  </w:p>
</w:hdr>
</file>

<file path=word/header1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AF8B" w14:textId="77777777" w:rsidR="004C6421" w:rsidRDefault="004C6421">
    <w:pPr>
      <w:pStyle w:val="Header"/>
    </w:pPr>
  </w:p>
</w:hdr>
</file>

<file path=word/header1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5DCF7" w14:textId="77777777" w:rsidR="004C6421" w:rsidRDefault="004C6421">
    <w:pPr>
      <w:pStyle w:val="Header"/>
      <w:rPr>
        <w:rFonts w:eastAsia="Calibri"/>
      </w:rPr>
    </w:pPr>
  </w:p>
</w:hdr>
</file>

<file path=word/header1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6218A" w14:textId="77777777" w:rsidR="004C6421" w:rsidRDefault="004C6421">
    <w:pPr>
      <w:pStyle w:val="Header"/>
    </w:pPr>
  </w:p>
</w:hdr>
</file>

<file path=word/header1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E316A" w14:textId="77777777" w:rsidR="004C6421" w:rsidRDefault="004C642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ED0BF" w14:textId="77777777" w:rsidR="004C6421" w:rsidRDefault="004C6421">
    <w:pPr>
      <w:pStyle w:val="Header"/>
    </w:pPr>
  </w:p>
</w:hdr>
</file>

<file path=word/header1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3C17F" w14:textId="77777777" w:rsidR="004C6421" w:rsidRDefault="004C6421">
    <w:pPr>
      <w:jc w:val="both"/>
      <w:rPr>
        <w:sz w:val="20"/>
      </w:rPr>
    </w:pPr>
  </w:p>
</w:hdr>
</file>

<file path=word/header1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A3B77" w14:textId="77777777" w:rsidR="004C6421" w:rsidRDefault="004C6421">
    <w:pPr>
      <w:pStyle w:val="Header"/>
    </w:pPr>
  </w:p>
</w:hdr>
</file>

<file path=word/header1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162F8" w14:textId="77777777" w:rsidR="004C6421" w:rsidRDefault="004C6421">
    <w:pPr>
      <w:pStyle w:val="Header"/>
    </w:pPr>
  </w:p>
</w:hdr>
</file>

<file path=word/header1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2EAE8" w14:textId="77777777" w:rsidR="004C6421" w:rsidRDefault="004C6421">
    <w:pPr>
      <w:pStyle w:val="Header"/>
      <w:rPr>
        <w:rFonts w:eastAsia="Calibri"/>
      </w:rPr>
    </w:pPr>
  </w:p>
</w:hdr>
</file>

<file path=word/header1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AC643" w14:textId="77777777" w:rsidR="004C6421" w:rsidRDefault="004C6421">
    <w:pPr>
      <w:pStyle w:val="Header"/>
    </w:pPr>
  </w:p>
</w:hdr>
</file>

<file path=word/header1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FFB97" w14:textId="77777777" w:rsidR="004C6421" w:rsidRDefault="004C6421">
    <w:pPr>
      <w:pStyle w:val="Header"/>
    </w:pPr>
  </w:p>
</w:hdr>
</file>

<file path=word/header1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E5753" w14:textId="77777777" w:rsidR="004C6421" w:rsidRDefault="004C6421">
    <w:pPr>
      <w:pStyle w:val="Header"/>
      <w:rPr>
        <w:rFonts w:eastAsia="Calibri"/>
      </w:rPr>
    </w:pPr>
  </w:p>
</w:hdr>
</file>

<file path=word/header1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E158D" w14:textId="77777777" w:rsidR="004C6421" w:rsidRDefault="004C6421">
    <w:pPr>
      <w:pStyle w:val="Header"/>
    </w:pPr>
  </w:p>
</w:hdr>
</file>

<file path=word/header1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8B608" w14:textId="77777777" w:rsidR="004C6421" w:rsidRDefault="004C6421">
    <w:pPr>
      <w:pStyle w:val="Header"/>
    </w:pPr>
  </w:p>
</w:hdr>
</file>

<file path=word/header1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CE4D5" w14:textId="77777777" w:rsidR="004C6421" w:rsidRDefault="004C6421">
    <w:pPr>
      <w:pStyle w:val="Header"/>
      <w:rPr>
        <w:rFonts w:eastAsia="Calibri"/>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9F176" w14:textId="77777777" w:rsidR="004C6421" w:rsidRDefault="004C6421">
    <w:pPr>
      <w:pStyle w:val="Header"/>
    </w:pPr>
  </w:p>
</w:hdr>
</file>

<file path=word/header1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63B0C" w14:textId="77777777" w:rsidR="004C6421" w:rsidRDefault="004C6421">
    <w:pPr>
      <w:pStyle w:val="Header"/>
    </w:pPr>
  </w:p>
</w:hdr>
</file>

<file path=word/header1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FBEE3" w14:textId="77777777" w:rsidR="004C6421" w:rsidRDefault="004C6421">
    <w:pPr>
      <w:pStyle w:val="Header"/>
    </w:pPr>
  </w:p>
</w:hdr>
</file>

<file path=word/header1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F2A71" w14:textId="77777777" w:rsidR="004C6421" w:rsidRDefault="004C6421">
    <w:pPr>
      <w:pStyle w:val="Header"/>
      <w:rPr>
        <w:rFonts w:eastAsia="Calibri"/>
      </w:rPr>
    </w:pPr>
  </w:p>
</w:hdr>
</file>

<file path=word/header1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E556B" w14:textId="77777777" w:rsidR="004C6421" w:rsidRDefault="004C6421">
    <w:pPr>
      <w:pStyle w:val="Header"/>
    </w:pPr>
  </w:p>
</w:hdr>
</file>

<file path=word/header1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9F452" w14:textId="77777777" w:rsidR="004C6421" w:rsidRDefault="004C6421">
    <w:pPr>
      <w:pStyle w:val="Header"/>
    </w:pPr>
  </w:p>
</w:hdr>
</file>

<file path=word/header1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233E8" w14:textId="77777777" w:rsidR="004C6421" w:rsidRDefault="004C6421">
    <w:pPr>
      <w:pStyle w:val="Header"/>
      <w:rPr>
        <w:rFonts w:eastAsia="Calibri"/>
      </w:rPr>
    </w:pPr>
  </w:p>
</w:hdr>
</file>

<file path=word/header1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64256" w14:textId="77777777" w:rsidR="004C6421" w:rsidRDefault="004C6421">
    <w:pPr>
      <w:pStyle w:val="Header"/>
    </w:pPr>
  </w:p>
</w:hdr>
</file>

<file path=word/header1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C4CEC" w14:textId="77777777" w:rsidR="004C6421" w:rsidRDefault="004C6421">
    <w:pPr>
      <w:pStyle w:val="Header"/>
    </w:pPr>
  </w:p>
</w:hdr>
</file>

<file path=word/header1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E94D2" w14:textId="77777777" w:rsidR="004C6421" w:rsidRDefault="004C6421">
    <w:pPr>
      <w:pStyle w:val="Header"/>
      <w:rPr>
        <w:rFonts w:eastAsia="Calibri"/>
      </w:rPr>
    </w:pPr>
  </w:p>
</w:hdr>
</file>

<file path=word/header1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BCEB6" w14:textId="77777777" w:rsidR="004C6421" w:rsidRDefault="004C642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D9AC64" w14:textId="77777777" w:rsidR="004C6421" w:rsidRDefault="004C6421">
    <w:pPr>
      <w:pStyle w:val="Header"/>
    </w:pPr>
  </w:p>
</w:hdr>
</file>

<file path=word/header1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F1FAB" w14:textId="77777777" w:rsidR="004C6421" w:rsidRDefault="004C6421">
    <w:pPr>
      <w:pStyle w:val="Header"/>
    </w:pPr>
  </w:p>
</w:hdr>
</file>

<file path=word/header1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61C51" w14:textId="77777777" w:rsidR="004C6421" w:rsidRDefault="004C6421">
    <w:pPr>
      <w:pStyle w:val="Header"/>
      <w:rPr>
        <w:rFonts w:eastAsia="Calibri"/>
      </w:rPr>
    </w:pPr>
  </w:p>
</w:hdr>
</file>

<file path=word/header1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AF0F9" w14:textId="77777777" w:rsidR="004C6421" w:rsidRDefault="004C6421">
    <w:pPr>
      <w:pStyle w:val="Header"/>
    </w:pPr>
  </w:p>
</w:hdr>
</file>

<file path=word/header1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6B288" w14:textId="77777777" w:rsidR="004C6421" w:rsidRDefault="004C6421">
    <w:pPr>
      <w:pStyle w:val="Header"/>
    </w:pPr>
  </w:p>
</w:hdr>
</file>

<file path=word/header1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0CEC7" w14:textId="77777777" w:rsidR="004C6421" w:rsidRDefault="004C6421">
    <w:pPr>
      <w:pStyle w:val="Header"/>
      <w:rPr>
        <w:rFonts w:eastAsia="Calibri"/>
      </w:rPr>
    </w:pPr>
  </w:p>
</w:hdr>
</file>

<file path=word/header1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DB976" w14:textId="77777777" w:rsidR="004C6421" w:rsidRDefault="004C6421">
    <w:pPr>
      <w:pStyle w:val="Header"/>
    </w:pPr>
  </w:p>
</w:hdr>
</file>

<file path=word/header1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A1CD5" w14:textId="77777777" w:rsidR="004C6421" w:rsidRDefault="004C6421">
    <w:pPr>
      <w:pStyle w:val="Header"/>
    </w:pPr>
  </w:p>
</w:hdr>
</file>

<file path=word/header1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4F4D8" w14:textId="77777777" w:rsidR="004C6421" w:rsidRDefault="004C6421">
    <w:pPr>
      <w:pStyle w:val="Header"/>
      <w:rPr>
        <w:rFonts w:eastAsia="Calibri"/>
      </w:rPr>
    </w:pPr>
  </w:p>
</w:hdr>
</file>

<file path=word/header1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AB449" w14:textId="77777777" w:rsidR="004C6421" w:rsidRDefault="004C6421">
    <w:pPr>
      <w:pStyle w:val="Header"/>
    </w:pPr>
  </w:p>
</w:hdr>
</file>

<file path=word/header1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48E9B" w14:textId="77777777" w:rsidR="004C6421" w:rsidRDefault="004C642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A0936" w14:textId="77777777" w:rsidR="004C6421" w:rsidRDefault="004C6421">
    <w:pPr>
      <w:pStyle w:val="Header"/>
    </w:pPr>
  </w:p>
</w:hdr>
</file>

<file path=word/header1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AE610" w14:textId="77777777" w:rsidR="004C6421" w:rsidRDefault="004C6421">
    <w:pPr>
      <w:pStyle w:val="Header"/>
      <w:rPr>
        <w:rFonts w:eastAsia="Calibri"/>
      </w:rPr>
    </w:pPr>
  </w:p>
</w:hdr>
</file>

<file path=word/header1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FBB8B" w14:textId="77777777" w:rsidR="004C6421" w:rsidRDefault="004C6421">
    <w:pPr>
      <w:pStyle w:val="Header"/>
    </w:pPr>
  </w:p>
</w:hdr>
</file>

<file path=word/header1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C4CEF" w14:textId="77777777" w:rsidR="004C6421" w:rsidRDefault="004C6421">
    <w:pPr>
      <w:pStyle w:val="Header"/>
    </w:pPr>
  </w:p>
</w:hdr>
</file>

<file path=word/header1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D87B6" w14:textId="77777777" w:rsidR="004C6421" w:rsidRDefault="004C6421">
    <w:pPr>
      <w:pStyle w:val="Header"/>
      <w:rPr>
        <w:rFonts w:eastAsia="Calibri"/>
      </w:rPr>
    </w:pPr>
  </w:p>
</w:hdr>
</file>

<file path=word/header1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2A2B4" w14:textId="77777777" w:rsidR="004C6421" w:rsidRDefault="004C6421">
    <w:pPr>
      <w:pStyle w:val="Header"/>
    </w:pPr>
  </w:p>
</w:hdr>
</file>

<file path=word/header1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FF1A9" w14:textId="77777777" w:rsidR="004C6421" w:rsidRDefault="004C6421">
    <w:pPr>
      <w:pStyle w:val="Header"/>
    </w:pPr>
  </w:p>
</w:hdr>
</file>

<file path=word/header1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B2347" w14:textId="77777777" w:rsidR="004C6421" w:rsidRDefault="004C6421">
    <w:pPr>
      <w:pStyle w:val="Header"/>
      <w:rPr>
        <w:rFonts w:eastAsia="Calibri"/>
      </w:rPr>
    </w:pPr>
  </w:p>
</w:hdr>
</file>

<file path=word/header1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FF2FD" w14:textId="77777777" w:rsidR="004C6421" w:rsidRDefault="004C6421">
    <w:pPr>
      <w:pStyle w:val="Header"/>
    </w:pPr>
  </w:p>
</w:hdr>
</file>

<file path=word/header1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A24B4" w14:textId="77777777" w:rsidR="004C6421" w:rsidRDefault="004C6421">
    <w:pPr>
      <w:pStyle w:val="Header"/>
    </w:pPr>
  </w:p>
</w:hdr>
</file>

<file path=word/header1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F8582" w14:textId="77777777" w:rsidR="004C6421" w:rsidRDefault="004C6421">
    <w:pPr>
      <w:pStyle w:val="Header"/>
      <w:rPr>
        <w:rFonts w:eastAsia="Calibri"/>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B36AD" w14:textId="77777777" w:rsidR="004C6421" w:rsidRDefault="004C6421">
    <w:pPr>
      <w:pStyle w:val="Header"/>
    </w:pPr>
  </w:p>
</w:hdr>
</file>

<file path=word/header1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811C3" w14:textId="77777777" w:rsidR="004C6421" w:rsidRDefault="004C6421">
    <w:pPr>
      <w:pStyle w:val="Header"/>
    </w:pPr>
  </w:p>
</w:hdr>
</file>

<file path=word/header1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2B6E3" w14:textId="77777777" w:rsidR="004C6421" w:rsidRDefault="004C6421">
    <w:pPr>
      <w:pStyle w:val="Header"/>
    </w:pPr>
  </w:p>
</w:hdr>
</file>

<file path=word/header1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0EEE" w14:textId="77777777" w:rsidR="004C6421" w:rsidRDefault="004C6421">
    <w:pPr>
      <w:pStyle w:val="Header"/>
      <w:rPr>
        <w:rFonts w:eastAsia="Calibri"/>
      </w:rPr>
    </w:pPr>
  </w:p>
</w:hdr>
</file>

<file path=word/header1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CB9F9" w14:textId="77777777" w:rsidR="004C6421" w:rsidRDefault="004C6421">
    <w:pPr>
      <w:pStyle w:val="Header"/>
    </w:pPr>
  </w:p>
</w:hdr>
</file>

<file path=word/header1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CA56F" w14:textId="77777777" w:rsidR="004C6421" w:rsidRDefault="004C6421">
    <w:pPr>
      <w:pStyle w:val="Header"/>
    </w:pPr>
  </w:p>
</w:hdr>
</file>

<file path=word/header1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2F2FA" w14:textId="77777777" w:rsidR="004C6421" w:rsidRDefault="004C6421">
    <w:pPr>
      <w:pStyle w:val="Header"/>
      <w:rPr>
        <w:rFonts w:eastAsia="Calibri"/>
      </w:rPr>
    </w:pPr>
  </w:p>
</w:hdr>
</file>

<file path=word/header1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02B43" w14:textId="77777777" w:rsidR="004C6421" w:rsidRDefault="004C6421">
    <w:pPr>
      <w:pStyle w:val="Header"/>
    </w:pPr>
  </w:p>
</w:hdr>
</file>

<file path=word/header1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1B2E9" w14:textId="77777777" w:rsidR="004C6421" w:rsidRDefault="004C6421">
    <w:pPr>
      <w:pStyle w:val="Header"/>
    </w:pPr>
  </w:p>
</w:hdr>
</file>

<file path=word/header1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8758C" w14:textId="77777777" w:rsidR="004C6421" w:rsidRDefault="004C6421">
    <w:pPr>
      <w:pStyle w:val="Header"/>
      <w:rPr>
        <w:rFonts w:eastAsia="Calibri"/>
      </w:rPr>
    </w:pPr>
  </w:p>
</w:hdr>
</file>

<file path=word/header1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8A181" w14:textId="77777777" w:rsidR="004C6421" w:rsidRDefault="004C642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33714" w14:textId="77777777" w:rsidR="004C6421" w:rsidRDefault="004C6421">
    <w:pPr>
      <w:pStyle w:val="Header"/>
    </w:pPr>
  </w:p>
</w:hdr>
</file>

<file path=word/header1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D3875" w14:textId="77777777" w:rsidR="004C6421" w:rsidRDefault="004C6421">
    <w:pPr>
      <w:pStyle w:val="Header"/>
    </w:pPr>
  </w:p>
</w:hdr>
</file>

<file path=word/header1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5187B" w14:textId="77777777" w:rsidR="004C6421" w:rsidRDefault="004C6421">
    <w:pPr>
      <w:pStyle w:val="Header"/>
      <w:rPr>
        <w:rFonts w:eastAsia="Calibri"/>
      </w:rPr>
    </w:pPr>
  </w:p>
</w:hdr>
</file>

<file path=word/header1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53C73" w14:textId="77777777" w:rsidR="004C6421" w:rsidRDefault="004C6421">
    <w:pPr>
      <w:pStyle w:val="Header"/>
    </w:pPr>
  </w:p>
</w:hdr>
</file>

<file path=word/header1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4AB1" w14:textId="77777777" w:rsidR="004C6421" w:rsidRDefault="004C6421">
    <w:pPr>
      <w:pStyle w:val="Header"/>
    </w:pPr>
  </w:p>
</w:hdr>
</file>

<file path=word/header1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EC5F7" w14:textId="77777777" w:rsidR="004C6421" w:rsidRDefault="004C6421">
    <w:pPr>
      <w:pStyle w:val="Header"/>
      <w:rPr>
        <w:rFonts w:eastAsia="Calibri"/>
      </w:rPr>
    </w:pPr>
  </w:p>
</w:hdr>
</file>

<file path=word/header1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66617" w14:textId="77777777" w:rsidR="004C6421" w:rsidRDefault="004C6421">
    <w:pPr>
      <w:pStyle w:val="Header"/>
    </w:pPr>
  </w:p>
</w:hdr>
</file>

<file path=word/header1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62E44" w14:textId="77777777" w:rsidR="004C6421" w:rsidRDefault="004C6421">
    <w:pPr>
      <w:pStyle w:val="Header"/>
    </w:pPr>
  </w:p>
</w:hdr>
</file>

<file path=word/header1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E387" w14:textId="77777777" w:rsidR="004C6421" w:rsidRDefault="004C6421">
    <w:pPr>
      <w:pStyle w:val="Header"/>
    </w:pPr>
  </w:p>
</w:hdr>
</file>

<file path=word/header1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55FBD" w14:textId="77777777" w:rsidR="004C6421" w:rsidRDefault="004C6421">
    <w:pPr>
      <w:pStyle w:val="Header"/>
    </w:pPr>
  </w:p>
</w:hdr>
</file>

<file path=word/header1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584BC" w14:textId="77777777" w:rsidR="004C6421" w:rsidRDefault="004C64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EA208" w14:textId="77777777" w:rsidR="00863339" w:rsidRPr="00863339" w:rsidRDefault="00863339" w:rsidP="00863339">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20077" w14:textId="77777777" w:rsidR="004C6421" w:rsidRDefault="004C6421">
    <w:pPr>
      <w:pStyle w:val="Header"/>
    </w:pPr>
  </w:p>
</w:hdr>
</file>

<file path=word/header2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59184" w14:textId="77777777" w:rsidR="004C6421" w:rsidRDefault="004C6421">
    <w:pPr>
      <w:pStyle w:val="Header"/>
    </w:pPr>
  </w:p>
</w:hdr>
</file>

<file path=word/header2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BA063" w14:textId="77777777" w:rsidR="004C6421" w:rsidRDefault="004C6421">
    <w:pPr>
      <w:pStyle w:val="Header"/>
    </w:pPr>
  </w:p>
</w:hdr>
</file>

<file path=word/header2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7DDA" w14:textId="77777777" w:rsidR="004C6421" w:rsidRDefault="004C6421">
    <w:pPr>
      <w:pStyle w:val="Header"/>
    </w:pPr>
  </w:p>
</w:hdr>
</file>

<file path=word/header2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8077B" w14:textId="77777777" w:rsidR="004C6421" w:rsidRDefault="004C6421">
    <w:pPr>
      <w:pStyle w:val="Header"/>
      <w:rPr>
        <w:sz w:val="10"/>
      </w:rPr>
    </w:pPr>
  </w:p>
</w:hdr>
</file>

<file path=word/header2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D9056" w14:textId="77777777" w:rsidR="004C6421" w:rsidRDefault="004C6421">
    <w:pPr>
      <w:pStyle w:val="Header"/>
    </w:pPr>
  </w:p>
</w:hdr>
</file>

<file path=word/header2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D3ECD" w14:textId="77777777" w:rsidR="004C6421" w:rsidRDefault="004C6421">
    <w:pPr>
      <w:pStyle w:val="Header"/>
    </w:pPr>
  </w:p>
</w:hdr>
</file>

<file path=word/header2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21EFE" w14:textId="77777777" w:rsidR="004C6421" w:rsidRDefault="004C6421">
    <w:pPr>
      <w:pStyle w:val="Header"/>
      <w:rPr>
        <w:rFonts w:eastAsia="Calibri"/>
      </w:rPr>
    </w:pPr>
  </w:p>
</w:hdr>
</file>

<file path=word/header2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FDE62" w14:textId="77777777" w:rsidR="004C6421" w:rsidRDefault="004C6421">
    <w:pPr>
      <w:pStyle w:val="Header"/>
    </w:pPr>
  </w:p>
</w:hdr>
</file>

<file path=word/header2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038E6" w14:textId="77777777" w:rsidR="004C6421" w:rsidRDefault="004C6421">
    <w:pPr>
      <w:pStyle w:val="Header"/>
    </w:pPr>
  </w:p>
</w:hdr>
</file>

<file path=word/header2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FAB45" w14:textId="77777777" w:rsidR="004C6421" w:rsidRDefault="004C6421">
    <w:pPr>
      <w:pStyle w:val="Header"/>
      <w:rPr>
        <w:rFonts w:eastAsia="Calibri"/>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5A161" w14:textId="77777777" w:rsidR="004C6421" w:rsidRDefault="004C6421">
    <w:pPr>
      <w:pStyle w:val="Header"/>
    </w:pPr>
  </w:p>
</w:hdr>
</file>

<file path=word/header2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05CE9" w14:textId="77777777" w:rsidR="004C6421" w:rsidRDefault="004C6421">
    <w:pPr>
      <w:pStyle w:val="Header"/>
    </w:pPr>
  </w:p>
</w:hdr>
</file>

<file path=word/header2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DABD6" w14:textId="77777777" w:rsidR="00CC179E" w:rsidRDefault="00CC179E">
    <w:pPr>
      <w:pStyle w:val="Header"/>
    </w:pPr>
  </w:p>
</w:hdr>
</file>

<file path=word/header2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5EFBD" w14:textId="77777777" w:rsidR="00CC179E" w:rsidRDefault="00CC179E">
    <w:pPr>
      <w:pStyle w:val="Header"/>
      <w:rPr>
        <w:rFonts w:eastAsia="Calibri"/>
      </w:rPr>
    </w:pPr>
  </w:p>
</w:hdr>
</file>

<file path=word/header2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D47EA" w14:textId="77777777" w:rsidR="00CC179E" w:rsidRDefault="00CC179E">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4A491" w14:textId="77777777" w:rsidR="004C6421" w:rsidRDefault="004C642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1026C" w14:textId="77777777" w:rsidR="004C6421" w:rsidRDefault="004C642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4E32A" w14:textId="77777777" w:rsidR="004C6421" w:rsidRDefault="004C6421">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1574C" w14:textId="77777777" w:rsidR="004C6421" w:rsidRDefault="004C6421">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BCCF4" w14:textId="77777777" w:rsidR="004C6421" w:rsidRDefault="004C6421">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0DC7B" w14:textId="77777777" w:rsidR="004C6421" w:rsidRDefault="004C6421">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7EE0B" w14:textId="77777777" w:rsidR="004C6421" w:rsidRDefault="004C6421">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13117" w14:textId="77777777" w:rsidR="004C6421" w:rsidRDefault="004C64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22325" w14:textId="77777777" w:rsidR="00863339" w:rsidRPr="00863339" w:rsidRDefault="00863339" w:rsidP="00863339">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AF7D2" w14:textId="77777777" w:rsidR="004C6421" w:rsidRDefault="004C6421">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8F868" w14:textId="77777777" w:rsidR="004C6421" w:rsidRDefault="004C6421">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7A236" w14:textId="77777777" w:rsidR="004C6421" w:rsidRDefault="004C6421">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297B7" w14:textId="77777777" w:rsidR="004C6421" w:rsidRDefault="004C6421">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A4CF5" w14:textId="77777777" w:rsidR="004C6421" w:rsidRDefault="004C6421">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3C1B3" w14:textId="77777777" w:rsidR="004C6421" w:rsidRDefault="004C6421">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1B573" w14:textId="77777777" w:rsidR="004C6421" w:rsidRDefault="004C6421">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6DCD2" w14:textId="77777777" w:rsidR="004C6421" w:rsidRDefault="004C6421">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69A87" w14:textId="77777777" w:rsidR="004C6421" w:rsidRDefault="004C6421">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A3B57" w14:textId="77777777" w:rsidR="004C6421" w:rsidRDefault="004C64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64427" w14:textId="77777777" w:rsidR="004C6421" w:rsidRDefault="004C6421">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0FCCE" w14:textId="77777777" w:rsidR="004C6421" w:rsidRDefault="004C6421">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A4D29" w14:textId="77777777" w:rsidR="004C6421" w:rsidRDefault="004C6421">
    <w:pPr>
      <w:pStyle w:val="Header"/>
      <w:rPr>
        <w:rFonts w:eastAsia="Calibri"/>
      </w:rP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75313" w14:textId="77777777" w:rsidR="004C6421" w:rsidRDefault="004C6421">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1BC82" w14:textId="77777777" w:rsidR="004C6421" w:rsidRDefault="004C6421">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21843" w14:textId="77777777" w:rsidR="004C6421" w:rsidRDefault="004C6421">
    <w:pPr>
      <w:pStyle w:val="Header"/>
      <w:rPr>
        <w:rFonts w:eastAsia="Calibri"/>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C74E6" w14:textId="77777777" w:rsidR="004C6421" w:rsidRDefault="004C6421">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6E43C" w14:textId="77777777" w:rsidR="004C6421" w:rsidRDefault="004C6421">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E8F0" w14:textId="77777777" w:rsidR="004C6421" w:rsidRDefault="004C6421">
    <w:pPr>
      <w:pStyle w:val="Header"/>
      <w:rPr>
        <w:rFonts w:eastAsia="Calibri"/>
      </w:rP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9F069" w14:textId="77777777" w:rsidR="004C6421" w:rsidRDefault="004C6421">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6AC6" w14:textId="77777777" w:rsidR="004C6421" w:rsidRDefault="004C64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0EA02" w14:textId="77777777" w:rsidR="004C6421" w:rsidRDefault="004C6421">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0512C" w14:textId="77777777" w:rsidR="004C6421" w:rsidRDefault="004C6421">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4306A" w14:textId="77777777" w:rsidR="004C6421" w:rsidRDefault="004C6421">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4A05D" w14:textId="77777777" w:rsidR="004C6421" w:rsidRDefault="004C6421">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335A8" w14:textId="77777777" w:rsidR="004C6421" w:rsidRDefault="004C6421">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2659D" w14:textId="77777777" w:rsidR="004C6421" w:rsidRDefault="004C6421">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AB326" w14:textId="77777777" w:rsidR="004C6421" w:rsidRDefault="004C6421">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813F3" w14:textId="77777777" w:rsidR="004C6421" w:rsidRDefault="004C6421">
    <w:pPr>
      <w:pStyle w:val="Header"/>
      <w:rPr>
        <w:rFonts w:eastAsia="Calibri"/>
      </w:rP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9DBD8" w14:textId="77777777" w:rsidR="004C6421" w:rsidRDefault="004C6421">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26868" w14:textId="77777777" w:rsidR="004C6421" w:rsidRDefault="004C6421">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98455" w14:textId="77777777" w:rsidR="004C6421" w:rsidRDefault="004C6421">
    <w:pPr>
      <w:pStyle w:val="Header"/>
      <w:rPr>
        <w:rFonts w:eastAsia="Calibri"/>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F1691" w14:textId="77777777" w:rsidR="004C6421" w:rsidRDefault="004C6421">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BA38F" w14:textId="77777777" w:rsidR="004C6421" w:rsidRDefault="004C6421">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8F3C6" w14:textId="77777777" w:rsidR="004C6421" w:rsidRDefault="004C6421">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344AE" w14:textId="77777777" w:rsidR="004C6421" w:rsidRDefault="004C6421">
    <w:pPr>
      <w:pStyle w:val="Header"/>
      <w:rPr>
        <w:rFonts w:eastAsia="Calibri"/>
      </w:rP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42E84" w14:textId="77777777" w:rsidR="004C6421" w:rsidRDefault="004C6421">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5A702" w14:textId="77777777" w:rsidR="004C6421" w:rsidRDefault="004C6421">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0B78A" w14:textId="77777777" w:rsidR="004C6421" w:rsidRDefault="004C6421">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279CA" w14:textId="77777777" w:rsidR="004C6421" w:rsidRDefault="004C6421">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91459" w14:textId="77777777" w:rsidR="004C6421" w:rsidRDefault="004C6421">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62B16" w14:textId="77777777" w:rsidR="004C6421" w:rsidRDefault="004C6421">
    <w:pPr>
      <w:pStyle w:val="Header"/>
      <w:rPr>
        <w:rFonts w:eastAsia="Calibri"/>
      </w:rP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A51DE" w14:textId="77777777" w:rsidR="004C6421" w:rsidRDefault="004C642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A1423" w14:textId="77777777" w:rsidR="004C6421" w:rsidRDefault="004C6421">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3A19A" w14:textId="77777777" w:rsidR="004C6421" w:rsidRDefault="004C6421">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EAAAD" w14:textId="77777777" w:rsidR="004C6421" w:rsidRDefault="004C6421">
    <w:pPr>
      <w:pStyle w:val="Header"/>
      <w:rPr>
        <w:rFonts w:eastAsia="Calibri"/>
      </w:rP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32C4C" w14:textId="77777777" w:rsidR="004C6421" w:rsidRDefault="004C6421">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D211E" w14:textId="77777777" w:rsidR="004C6421" w:rsidRDefault="004C6421">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D3A1A" w14:textId="77777777" w:rsidR="004C6421" w:rsidRDefault="004C6421">
    <w:pPr>
      <w:pStyle w:val="Header"/>
      <w:rPr>
        <w:rFonts w:eastAsia="Calibri"/>
      </w:rP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AEAC6" w14:textId="77777777" w:rsidR="004C6421" w:rsidRDefault="004C6421">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6BB0E" w14:textId="77777777" w:rsidR="004C6421" w:rsidRDefault="004C6421">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01B1B" w14:textId="77777777" w:rsidR="004C6421" w:rsidRDefault="004C6421">
    <w:pPr>
      <w:pStyle w:val="Header"/>
      <w:rPr>
        <w:rFonts w:eastAsia="Calibri"/>
      </w:rP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8177B" w14:textId="77777777" w:rsidR="004C6421" w:rsidRDefault="004C6421">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6B3D0" w14:textId="77777777" w:rsidR="004C6421" w:rsidRDefault="004C642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8B1C6" w14:textId="77777777" w:rsidR="004C6421" w:rsidRDefault="004C6421">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DE3AC" w14:textId="77777777" w:rsidR="004C6421" w:rsidRDefault="004C6421">
    <w:pPr>
      <w:pStyle w:val="Header"/>
      <w:rPr>
        <w:rFonts w:eastAsia="Calibri"/>
      </w:rP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40770" w14:textId="77777777" w:rsidR="004C6421" w:rsidRDefault="004C6421">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0C8A7" w14:textId="77777777" w:rsidR="004C6421" w:rsidRDefault="004C6421">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9137B" w14:textId="77777777" w:rsidR="004C6421" w:rsidRDefault="004C6421">
    <w:pPr>
      <w:pStyle w:val="Header"/>
      <w:rPr>
        <w:rFonts w:eastAsia="Calibri"/>
      </w:rP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E8345" w14:textId="77777777" w:rsidR="004C6421" w:rsidRDefault="004C6421">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5AF43" w14:textId="77777777" w:rsidR="004C6421" w:rsidRDefault="004C6421">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989B2" w14:textId="77777777" w:rsidR="004C6421" w:rsidRDefault="004C6421">
    <w:pPr>
      <w:pStyle w:val="Header"/>
      <w:rPr>
        <w:rFonts w:eastAsia="Calibri"/>
      </w:rP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10944" w14:textId="77777777" w:rsidR="004C6421" w:rsidRDefault="004C6421">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5F08B" w14:textId="77777777" w:rsidR="004C6421" w:rsidRDefault="004C6421">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1C06C" w14:textId="77777777" w:rsidR="004C6421" w:rsidRDefault="004C6421">
    <w:pPr>
      <w:pStyle w:val="Header"/>
      <w:rPr>
        <w:rFonts w:eastAsia="Calibri"/>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F7B3C" w14:textId="77777777" w:rsidR="004C6421" w:rsidRDefault="004C6421">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385E0" w14:textId="77777777" w:rsidR="004C6421" w:rsidRDefault="004C6421">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B99F4" w14:textId="77777777" w:rsidR="004C6421" w:rsidRDefault="004C6421">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2EBBE" w14:textId="77777777" w:rsidR="004C6421" w:rsidRDefault="004C6421">
    <w:pPr>
      <w:pStyle w:val="Header"/>
      <w:rPr>
        <w:rFonts w:eastAsia="Calibri"/>
      </w:rP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230A4" w14:textId="77777777" w:rsidR="004C6421" w:rsidRDefault="004C6421">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FE9F5" w14:textId="77777777" w:rsidR="004C6421" w:rsidRDefault="004C6421">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0592C" w14:textId="77777777" w:rsidR="004C6421" w:rsidRDefault="004C6421">
    <w:pPr>
      <w:pStyle w:val="Header"/>
      <w:rPr>
        <w:rFonts w:eastAsia="Calibri"/>
      </w:rP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84DC5" w14:textId="77777777" w:rsidR="004C6421" w:rsidRDefault="004C6421">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E401E" w14:textId="77777777" w:rsidR="004C6421" w:rsidRDefault="004C6421">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FD3BE" w14:textId="77777777" w:rsidR="004C6421" w:rsidRDefault="004C6421">
    <w:pPr>
      <w:pStyle w:val="Header"/>
      <w:rPr>
        <w:rFonts w:eastAsia="Calibri"/>
      </w:rP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7ED44" w14:textId="77777777" w:rsidR="004C6421" w:rsidRDefault="004C64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E140CA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5A6272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C20270C"/>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AD788A4A"/>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3FE8279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6A5F4E"/>
    <w:multiLevelType w:val="hybridMultilevel"/>
    <w:tmpl w:val="AE266700"/>
    <w:lvl w:ilvl="0" w:tplc="FC165A54">
      <w:start w:val="1"/>
      <w:numFmt w:val="decimal"/>
      <w:lvlText w:val="%1."/>
      <w:lvlJc w:val="left"/>
      <w:pPr>
        <w:ind w:left="720" w:hanging="360"/>
      </w:pPr>
    </w:lvl>
    <w:lvl w:ilvl="1" w:tplc="C7FCAA58">
      <w:start w:val="1"/>
      <w:numFmt w:val="lowerLetter"/>
      <w:lvlText w:val="%2."/>
      <w:lvlJc w:val="left"/>
      <w:pPr>
        <w:ind w:left="1440" w:hanging="360"/>
      </w:pPr>
    </w:lvl>
    <w:lvl w:ilvl="2" w:tplc="7506D4F2">
      <w:start w:val="1"/>
      <w:numFmt w:val="lowerRoman"/>
      <w:lvlText w:val="%3."/>
      <w:lvlJc w:val="right"/>
      <w:pPr>
        <w:ind w:left="2160" w:hanging="180"/>
      </w:pPr>
    </w:lvl>
    <w:lvl w:ilvl="3" w:tplc="F5705300">
      <w:start w:val="1"/>
      <w:numFmt w:val="decimal"/>
      <w:lvlText w:val="%4."/>
      <w:lvlJc w:val="left"/>
      <w:pPr>
        <w:ind w:left="2880" w:hanging="360"/>
      </w:pPr>
    </w:lvl>
    <w:lvl w:ilvl="4" w:tplc="B75AAAFE">
      <w:start w:val="1"/>
      <w:numFmt w:val="lowerLetter"/>
      <w:lvlText w:val="%5."/>
      <w:lvlJc w:val="left"/>
      <w:pPr>
        <w:ind w:left="3600" w:hanging="360"/>
      </w:pPr>
    </w:lvl>
    <w:lvl w:ilvl="5" w:tplc="83025F30">
      <w:start w:val="1"/>
      <w:numFmt w:val="lowerRoman"/>
      <w:lvlText w:val="%6."/>
      <w:lvlJc w:val="right"/>
      <w:pPr>
        <w:ind w:left="4320" w:hanging="180"/>
      </w:pPr>
    </w:lvl>
    <w:lvl w:ilvl="6" w:tplc="526A1D46">
      <w:start w:val="1"/>
      <w:numFmt w:val="decimal"/>
      <w:lvlText w:val="%7."/>
      <w:lvlJc w:val="left"/>
      <w:pPr>
        <w:ind w:left="5040" w:hanging="360"/>
      </w:pPr>
    </w:lvl>
    <w:lvl w:ilvl="7" w:tplc="5FC6AD9E">
      <w:start w:val="1"/>
      <w:numFmt w:val="lowerLetter"/>
      <w:lvlText w:val="%8."/>
      <w:lvlJc w:val="left"/>
      <w:pPr>
        <w:ind w:left="5760" w:hanging="360"/>
      </w:pPr>
    </w:lvl>
    <w:lvl w:ilvl="8" w:tplc="F7309166">
      <w:start w:val="1"/>
      <w:numFmt w:val="lowerRoman"/>
      <w:lvlText w:val="%9."/>
      <w:lvlJc w:val="right"/>
      <w:pPr>
        <w:ind w:left="6480" w:hanging="180"/>
      </w:pPr>
    </w:lvl>
  </w:abstractNum>
  <w:abstractNum w:abstractNumId="6" w15:restartNumberingAfterBreak="0">
    <w:nsid w:val="02003373"/>
    <w:multiLevelType w:val="hybridMultilevel"/>
    <w:tmpl w:val="F3802738"/>
    <w:lvl w:ilvl="0" w:tplc="FC26DA30">
      <w:start w:val="1"/>
      <w:numFmt w:val="bullet"/>
      <w:lvlText w:val="-"/>
      <w:lvlJc w:val="left"/>
      <w:pPr>
        <w:ind w:left="720" w:hanging="360"/>
      </w:pPr>
      <w:rPr>
        <w:rFonts w:ascii="Symbol" w:hAnsi="Symbol" w:hint="default"/>
      </w:rPr>
    </w:lvl>
    <w:lvl w:ilvl="1" w:tplc="0462880E">
      <w:start w:val="1"/>
      <w:numFmt w:val="bullet"/>
      <w:lvlText w:val="o"/>
      <w:lvlJc w:val="left"/>
      <w:pPr>
        <w:ind w:left="1440" w:hanging="360"/>
      </w:pPr>
      <w:rPr>
        <w:rFonts w:ascii="Courier New" w:hAnsi="Courier New" w:hint="default"/>
      </w:rPr>
    </w:lvl>
    <w:lvl w:ilvl="2" w:tplc="F90A8E8E">
      <w:start w:val="1"/>
      <w:numFmt w:val="bullet"/>
      <w:lvlText w:val=""/>
      <w:lvlJc w:val="left"/>
      <w:pPr>
        <w:ind w:left="2160" w:hanging="360"/>
      </w:pPr>
      <w:rPr>
        <w:rFonts w:ascii="Wingdings" w:hAnsi="Wingdings" w:hint="default"/>
      </w:rPr>
    </w:lvl>
    <w:lvl w:ilvl="3" w:tplc="6D4420D6">
      <w:start w:val="1"/>
      <w:numFmt w:val="bullet"/>
      <w:lvlText w:val=""/>
      <w:lvlJc w:val="left"/>
      <w:pPr>
        <w:ind w:left="2880" w:hanging="360"/>
      </w:pPr>
      <w:rPr>
        <w:rFonts w:ascii="Symbol" w:hAnsi="Symbol" w:hint="default"/>
      </w:rPr>
    </w:lvl>
    <w:lvl w:ilvl="4" w:tplc="16727DC8">
      <w:start w:val="1"/>
      <w:numFmt w:val="bullet"/>
      <w:lvlText w:val="o"/>
      <w:lvlJc w:val="left"/>
      <w:pPr>
        <w:ind w:left="3600" w:hanging="360"/>
      </w:pPr>
      <w:rPr>
        <w:rFonts w:ascii="Courier New" w:hAnsi="Courier New" w:hint="default"/>
      </w:rPr>
    </w:lvl>
    <w:lvl w:ilvl="5" w:tplc="C7B4C740">
      <w:start w:val="1"/>
      <w:numFmt w:val="bullet"/>
      <w:lvlText w:val=""/>
      <w:lvlJc w:val="left"/>
      <w:pPr>
        <w:ind w:left="4320" w:hanging="360"/>
      </w:pPr>
      <w:rPr>
        <w:rFonts w:ascii="Wingdings" w:hAnsi="Wingdings" w:hint="default"/>
      </w:rPr>
    </w:lvl>
    <w:lvl w:ilvl="6" w:tplc="6172E3C4">
      <w:start w:val="1"/>
      <w:numFmt w:val="bullet"/>
      <w:lvlText w:val=""/>
      <w:lvlJc w:val="left"/>
      <w:pPr>
        <w:ind w:left="5040" w:hanging="360"/>
      </w:pPr>
      <w:rPr>
        <w:rFonts w:ascii="Symbol" w:hAnsi="Symbol" w:hint="default"/>
      </w:rPr>
    </w:lvl>
    <w:lvl w:ilvl="7" w:tplc="778A8E7C">
      <w:start w:val="1"/>
      <w:numFmt w:val="bullet"/>
      <w:lvlText w:val="o"/>
      <w:lvlJc w:val="left"/>
      <w:pPr>
        <w:ind w:left="5760" w:hanging="360"/>
      </w:pPr>
      <w:rPr>
        <w:rFonts w:ascii="Courier New" w:hAnsi="Courier New" w:hint="default"/>
      </w:rPr>
    </w:lvl>
    <w:lvl w:ilvl="8" w:tplc="B5700FD6">
      <w:start w:val="1"/>
      <w:numFmt w:val="bullet"/>
      <w:lvlText w:val=""/>
      <w:lvlJc w:val="left"/>
      <w:pPr>
        <w:ind w:left="6480" w:hanging="360"/>
      </w:pPr>
      <w:rPr>
        <w:rFonts w:ascii="Wingdings" w:hAnsi="Wingdings" w:hint="default"/>
      </w:rPr>
    </w:lvl>
  </w:abstractNum>
  <w:abstractNum w:abstractNumId="7" w15:restartNumberingAfterBreak="0">
    <w:nsid w:val="03E93C56"/>
    <w:multiLevelType w:val="hybridMultilevel"/>
    <w:tmpl w:val="013A6670"/>
    <w:lvl w:ilvl="0" w:tplc="D8CCA47E">
      <w:start w:val="1"/>
      <w:numFmt w:val="bullet"/>
      <w:lvlText w:val="-"/>
      <w:lvlJc w:val="left"/>
      <w:pPr>
        <w:ind w:left="1440" w:hanging="360"/>
      </w:pPr>
      <w:rPr>
        <w:rFonts w:ascii="&quot;Times New Roman&quot;,serif" w:hAnsi="&quot;Times New Roman&quot;,serif"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52F1D3B"/>
    <w:multiLevelType w:val="hybridMultilevel"/>
    <w:tmpl w:val="38A2126E"/>
    <w:lvl w:ilvl="0" w:tplc="218C80C4">
      <w:start w:val="1"/>
      <w:numFmt w:val="bullet"/>
      <w:lvlText w:val="-"/>
      <w:lvlJc w:val="left"/>
      <w:pPr>
        <w:ind w:left="696" w:hanging="360"/>
      </w:pPr>
      <w:rPr>
        <w:rFonts w:ascii="Calibri" w:hAnsi="Calibri" w:hint="default"/>
      </w:rPr>
    </w:lvl>
    <w:lvl w:ilvl="1" w:tplc="08090003" w:tentative="1">
      <w:start w:val="1"/>
      <w:numFmt w:val="bullet"/>
      <w:lvlText w:val="o"/>
      <w:lvlJc w:val="left"/>
      <w:pPr>
        <w:ind w:left="1416" w:hanging="360"/>
      </w:pPr>
      <w:rPr>
        <w:rFonts w:ascii="Courier New" w:hAnsi="Courier New" w:cs="Courier New" w:hint="default"/>
      </w:rPr>
    </w:lvl>
    <w:lvl w:ilvl="2" w:tplc="08090005" w:tentative="1">
      <w:start w:val="1"/>
      <w:numFmt w:val="bullet"/>
      <w:lvlText w:val=""/>
      <w:lvlJc w:val="left"/>
      <w:pPr>
        <w:ind w:left="2136" w:hanging="360"/>
      </w:pPr>
      <w:rPr>
        <w:rFonts w:ascii="Wingdings" w:hAnsi="Wingdings" w:hint="default"/>
      </w:rPr>
    </w:lvl>
    <w:lvl w:ilvl="3" w:tplc="08090001" w:tentative="1">
      <w:start w:val="1"/>
      <w:numFmt w:val="bullet"/>
      <w:lvlText w:val=""/>
      <w:lvlJc w:val="left"/>
      <w:pPr>
        <w:ind w:left="2856" w:hanging="360"/>
      </w:pPr>
      <w:rPr>
        <w:rFonts w:ascii="Symbol" w:hAnsi="Symbol" w:hint="default"/>
      </w:rPr>
    </w:lvl>
    <w:lvl w:ilvl="4" w:tplc="08090003" w:tentative="1">
      <w:start w:val="1"/>
      <w:numFmt w:val="bullet"/>
      <w:lvlText w:val="o"/>
      <w:lvlJc w:val="left"/>
      <w:pPr>
        <w:ind w:left="3576" w:hanging="360"/>
      </w:pPr>
      <w:rPr>
        <w:rFonts w:ascii="Courier New" w:hAnsi="Courier New" w:cs="Courier New" w:hint="default"/>
      </w:rPr>
    </w:lvl>
    <w:lvl w:ilvl="5" w:tplc="08090005" w:tentative="1">
      <w:start w:val="1"/>
      <w:numFmt w:val="bullet"/>
      <w:lvlText w:val=""/>
      <w:lvlJc w:val="left"/>
      <w:pPr>
        <w:ind w:left="4296" w:hanging="360"/>
      </w:pPr>
      <w:rPr>
        <w:rFonts w:ascii="Wingdings" w:hAnsi="Wingdings" w:hint="default"/>
      </w:rPr>
    </w:lvl>
    <w:lvl w:ilvl="6" w:tplc="08090001" w:tentative="1">
      <w:start w:val="1"/>
      <w:numFmt w:val="bullet"/>
      <w:lvlText w:val=""/>
      <w:lvlJc w:val="left"/>
      <w:pPr>
        <w:ind w:left="5016" w:hanging="360"/>
      </w:pPr>
      <w:rPr>
        <w:rFonts w:ascii="Symbol" w:hAnsi="Symbol" w:hint="default"/>
      </w:rPr>
    </w:lvl>
    <w:lvl w:ilvl="7" w:tplc="08090003" w:tentative="1">
      <w:start w:val="1"/>
      <w:numFmt w:val="bullet"/>
      <w:lvlText w:val="o"/>
      <w:lvlJc w:val="left"/>
      <w:pPr>
        <w:ind w:left="5736" w:hanging="360"/>
      </w:pPr>
      <w:rPr>
        <w:rFonts w:ascii="Courier New" w:hAnsi="Courier New" w:cs="Courier New" w:hint="default"/>
      </w:rPr>
    </w:lvl>
    <w:lvl w:ilvl="8" w:tplc="08090005" w:tentative="1">
      <w:start w:val="1"/>
      <w:numFmt w:val="bullet"/>
      <w:lvlText w:val=""/>
      <w:lvlJc w:val="left"/>
      <w:pPr>
        <w:ind w:left="6456" w:hanging="360"/>
      </w:pPr>
      <w:rPr>
        <w:rFonts w:ascii="Wingdings" w:hAnsi="Wingdings" w:hint="default"/>
      </w:rPr>
    </w:lvl>
  </w:abstractNum>
  <w:abstractNum w:abstractNumId="9" w15:restartNumberingAfterBreak="0">
    <w:nsid w:val="06331374"/>
    <w:multiLevelType w:val="hybridMultilevel"/>
    <w:tmpl w:val="F94A11DC"/>
    <w:lvl w:ilvl="0" w:tplc="18090015">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06F47115"/>
    <w:multiLevelType w:val="hybridMultilevel"/>
    <w:tmpl w:val="523AD6C6"/>
    <w:lvl w:ilvl="0" w:tplc="E4E01FB6">
      <w:start w:val="1"/>
      <w:numFmt w:val="lowerRoman"/>
      <w:lvlText w:val="%1."/>
      <w:lvlJc w:val="right"/>
      <w:pPr>
        <w:ind w:left="720" w:hanging="360"/>
      </w:pPr>
    </w:lvl>
    <w:lvl w:ilvl="1" w:tplc="CC14CE30">
      <w:start w:val="1"/>
      <w:numFmt w:val="lowerLetter"/>
      <w:lvlText w:val="%2."/>
      <w:lvlJc w:val="left"/>
      <w:pPr>
        <w:ind w:left="1440" w:hanging="360"/>
      </w:pPr>
    </w:lvl>
    <w:lvl w:ilvl="2" w:tplc="7C30A1AA">
      <w:start w:val="1"/>
      <w:numFmt w:val="lowerRoman"/>
      <w:lvlText w:val="%3."/>
      <w:lvlJc w:val="right"/>
      <w:pPr>
        <w:ind w:left="2160" w:hanging="180"/>
      </w:pPr>
    </w:lvl>
    <w:lvl w:ilvl="3" w:tplc="A5343F08">
      <w:start w:val="1"/>
      <w:numFmt w:val="decimal"/>
      <w:lvlText w:val="%4."/>
      <w:lvlJc w:val="left"/>
      <w:pPr>
        <w:ind w:left="2880" w:hanging="360"/>
      </w:pPr>
    </w:lvl>
    <w:lvl w:ilvl="4" w:tplc="A412B3A4">
      <w:start w:val="1"/>
      <w:numFmt w:val="lowerLetter"/>
      <w:lvlText w:val="%5."/>
      <w:lvlJc w:val="left"/>
      <w:pPr>
        <w:ind w:left="3600" w:hanging="360"/>
      </w:pPr>
    </w:lvl>
    <w:lvl w:ilvl="5" w:tplc="2D3A5EC6">
      <w:start w:val="1"/>
      <w:numFmt w:val="lowerRoman"/>
      <w:lvlText w:val="%6."/>
      <w:lvlJc w:val="right"/>
      <w:pPr>
        <w:ind w:left="4320" w:hanging="180"/>
      </w:pPr>
    </w:lvl>
    <w:lvl w:ilvl="6" w:tplc="442A8E74">
      <w:start w:val="1"/>
      <w:numFmt w:val="decimal"/>
      <w:lvlText w:val="%7."/>
      <w:lvlJc w:val="left"/>
      <w:pPr>
        <w:ind w:left="5040" w:hanging="360"/>
      </w:pPr>
    </w:lvl>
    <w:lvl w:ilvl="7" w:tplc="978A2838">
      <w:start w:val="1"/>
      <w:numFmt w:val="lowerLetter"/>
      <w:lvlText w:val="%8."/>
      <w:lvlJc w:val="left"/>
      <w:pPr>
        <w:ind w:left="5760" w:hanging="360"/>
      </w:pPr>
    </w:lvl>
    <w:lvl w:ilvl="8" w:tplc="5EC4DE44">
      <w:start w:val="1"/>
      <w:numFmt w:val="lowerRoman"/>
      <w:lvlText w:val="%9."/>
      <w:lvlJc w:val="right"/>
      <w:pPr>
        <w:ind w:left="6480" w:hanging="180"/>
      </w:pPr>
    </w:lvl>
  </w:abstractNum>
  <w:abstractNum w:abstractNumId="11" w15:restartNumberingAfterBreak="0">
    <w:nsid w:val="07D98546"/>
    <w:multiLevelType w:val="hybridMultilevel"/>
    <w:tmpl w:val="6D76B0A6"/>
    <w:lvl w:ilvl="0" w:tplc="3D16F5F8">
      <w:start w:val="1"/>
      <w:numFmt w:val="bullet"/>
      <w:lvlText w:val=""/>
      <w:lvlJc w:val="left"/>
      <w:pPr>
        <w:ind w:left="720" w:hanging="360"/>
      </w:pPr>
      <w:rPr>
        <w:rFonts w:ascii="Symbol" w:hAnsi="Symbol" w:hint="default"/>
      </w:rPr>
    </w:lvl>
    <w:lvl w:ilvl="1" w:tplc="F5CE726E">
      <w:start w:val="1"/>
      <w:numFmt w:val="bullet"/>
      <w:lvlText w:val="o"/>
      <w:lvlJc w:val="left"/>
      <w:pPr>
        <w:ind w:left="1440" w:hanging="360"/>
      </w:pPr>
      <w:rPr>
        <w:rFonts w:ascii="Courier New" w:hAnsi="Courier New" w:hint="default"/>
      </w:rPr>
    </w:lvl>
    <w:lvl w:ilvl="2" w:tplc="4DE4A18C">
      <w:start w:val="1"/>
      <w:numFmt w:val="bullet"/>
      <w:lvlText w:val=""/>
      <w:lvlJc w:val="left"/>
      <w:pPr>
        <w:ind w:left="2160" w:hanging="360"/>
      </w:pPr>
      <w:rPr>
        <w:rFonts w:ascii="Wingdings" w:hAnsi="Wingdings" w:hint="default"/>
      </w:rPr>
    </w:lvl>
    <w:lvl w:ilvl="3" w:tplc="28FC9676">
      <w:start w:val="1"/>
      <w:numFmt w:val="bullet"/>
      <w:lvlText w:val=""/>
      <w:lvlJc w:val="left"/>
      <w:pPr>
        <w:ind w:left="2880" w:hanging="360"/>
      </w:pPr>
      <w:rPr>
        <w:rFonts w:ascii="Symbol" w:hAnsi="Symbol" w:hint="default"/>
      </w:rPr>
    </w:lvl>
    <w:lvl w:ilvl="4" w:tplc="948E80A8">
      <w:start w:val="1"/>
      <w:numFmt w:val="bullet"/>
      <w:lvlText w:val="o"/>
      <w:lvlJc w:val="left"/>
      <w:pPr>
        <w:ind w:left="3600" w:hanging="360"/>
      </w:pPr>
      <w:rPr>
        <w:rFonts w:ascii="Courier New" w:hAnsi="Courier New" w:hint="default"/>
      </w:rPr>
    </w:lvl>
    <w:lvl w:ilvl="5" w:tplc="20D04130">
      <w:start w:val="1"/>
      <w:numFmt w:val="bullet"/>
      <w:lvlText w:val=""/>
      <w:lvlJc w:val="left"/>
      <w:pPr>
        <w:ind w:left="4320" w:hanging="360"/>
      </w:pPr>
      <w:rPr>
        <w:rFonts w:ascii="Wingdings" w:hAnsi="Wingdings" w:hint="default"/>
      </w:rPr>
    </w:lvl>
    <w:lvl w:ilvl="6" w:tplc="3A4C0894">
      <w:start w:val="1"/>
      <w:numFmt w:val="bullet"/>
      <w:lvlText w:val=""/>
      <w:lvlJc w:val="left"/>
      <w:pPr>
        <w:ind w:left="5040" w:hanging="360"/>
      </w:pPr>
      <w:rPr>
        <w:rFonts w:ascii="Symbol" w:hAnsi="Symbol" w:hint="default"/>
      </w:rPr>
    </w:lvl>
    <w:lvl w:ilvl="7" w:tplc="94BEA838">
      <w:start w:val="1"/>
      <w:numFmt w:val="bullet"/>
      <w:lvlText w:val="o"/>
      <w:lvlJc w:val="left"/>
      <w:pPr>
        <w:ind w:left="5760" w:hanging="360"/>
      </w:pPr>
      <w:rPr>
        <w:rFonts w:ascii="Courier New" w:hAnsi="Courier New" w:hint="default"/>
      </w:rPr>
    </w:lvl>
    <w:lvl w:ilvl="8" w:tplc="F59CF7E0">
      <w:start w:val="1"/>
      <w:numFmt w:val="bullet"/>
      <w:lvlText w:val=""/>
      <w:lvlJc w:val="left"/>
      <w:pPr>
        <w:ind w:left="6480" w:hanging="360"/>
      </w:pPr>
      <w:rPr>
        <w:rFonts w:ascii="Wingdings" w:hAnsi="Wingdings" w:hint="default"/>
      </w:rPr>
    </w:lvl>
  </w:abstractNum>
  <w:abstractNum w:abstractNumId="12" w15:restartNumberingAfterBreak="0">
    <w:nsid w:val="0869CDD7"/>
    <w:multiLevelType w:val="hybridMultilevel"/>
    <w:tmpl w:val="E6F60F72"/>
    <w:lvl w:ilvl="0" w:tplc="CC5A35A2">
      <w:start w:val="1"/>
      <w:numFmt w:val="bullet"/>
      <w:lvlText w:val="-"/>
      <w:lvlJc w:val="left"/>
      <w:pPr>
        <w:ind w:left="720" w:hanging="360"/>
      </w:pPr>
      <w:rPr>
        <w:rFonts w:ascii="Symbol" w:hAnsi="Symbol" w:hint="default"/>
      </w:rPr>
    </w:lvl>
    <w:lvl w:ilvl="1" w:tplc="E90CF390">
      <w:start w:val="1"/>
      <w:numFmt w:val="bullet"/>
      <w:lvlText w:val="o"/>
      <w:lvlJc w:val="left"/>
      <w:pPr>
        <w:ind w:left="1440" w:hanging="360"/>
      </w:pPr>
      <w:rPr>
        <w:rFonts w:ascii="Courier New" w:hAnsi="Courier New" w:hint="default"/>
      </w:rPr>
    </w:lvl>
    <w:lvl w:ilvl="2" w:tplc="62C827A8">
      <w:start w:val="1"/>
      <w:numFmt w:val="bullet"/>
      <w:lvlText w:val=""/>
      <w:lvlJc w:val="left"/>
      <w:pPr>
        <w:ind w:left="2160" w:hanging="360"/>
      </w:pPr>
      <w:rPr>
        <w:rFonts w:ascii="Wingdings" w:hAnsi="Wingdings" w:hint="default"/>
      </w:rPr>
    </w:lvl>
    <w:lvl w:ilvl="3" w:tplc="C6AC6B24">
      <w:start w:val="1"/>
      <w:numFmt w:val="bullet"/>
      <w:lvlText w:val=""/>
      <w:lvlJc w:val="left"/>
      <w:pPr>
        <w:ind w:left="2880" w:hanging="360"/>
      </w:pPr>
      <w:rPr>
        <w:rFonts w:ascii="Symbol" w:hAnsi="Symbol" w:hint="default"/>
      </w:rPr>
    </w:lvl>
    <w:lvl w:ilvl="4" w:tplc="DF44F6A4">
      <w:start w:val="1"/>
      <w:numFmt w:val="bullet"/>
      <w:lvlText w:val="o"/>
      <w:lvlJc w:val="left"/>
      <w:pPr>
        <w:ind w:left="3600" w:hanging="360"/>
      </w:pPr>
      <w:rPr>
        <w:rFonts w:ascii="Courier New" w:hAnsi="Courier New" w:hint="default"/>
      </w:rPr>
    </w:lvl>
    <w:lvl w:ilvl="5" w:tplc="8126F19E">
      <w:start w:val="1"/>
      <w:numFmt w:val="bullet"/>
      <w:lvlText w:val=""/>
      <w:lvlJc w:val="left"/>
      <w:pPr>
        <w:ind w:left="4320" w:hanging="360"/>
      </w:pPr>
      <w:rPr>
        <w:rFonts w:ascii="Wingdings" w:hAnsi="Wingdings" w:hint="default"/>
      </w:rPr>
    </w:lvl>
    <w:lvl w:ilvl="6" w:tplc="E4401EFE">
      <w:start w:val="1"/>
      <w:numFmt w:val="bullet"/>
      <w:lvlText w:val=""/>
      <w:lvlJc w:val="left"/>
      <w:pPr>
        <w:ind w:left="5040" w:hanging="360"/>
      </w:pPr>
      <w:rPr>
        <w:rFonts w:ascii="Symbol" w:hAnsi="Symbol" w:hint="default"/>
      </w:rPr>
    </w:lvl>
    <w:lvl w:ilvl="7" w:tplc="57C0F16C">
      <w:start w:val="1"/>
      <w:numFmt w:val="bullet"/>
      <w:lvlText w:val="o"/>
      <w:lvlJc w:val="left"/>
      <w:pPr>
        <w:ind w:left="5760" w:hanging="360"/>
      </w:pPr>
      <w:rPr>
        <w:rFonts w:ascii="Courier New" w:hAnsi="Courier New" w:hint="default"/>
      </w:rPr>
    </w:lvl>
    <w:lvl w:ilvl="8" w:tplc="59DA7ED4">
      <w:start w:val="1"/>
      <w:numFmt w:val="bullet"/>
      <w:lvlText w:val=""/>
      <w:lvlJc w:val="left"/>
      <w:pPr>
        <w:ind w:left="6480" w:hanging="360"/>
      </w:pPr>
      <w:rPr>
        <w:rFonts w:ascii="Wingdings" w:hAnsi="Wingdings" w:hint="default"/>
      </w:rPr>
    </w:lvl>
  </w:abstractNum>
  <w:abstractNum w:abstractNumId="13" w15:restartNumberingAfterBreak="0">
    <w:nsid w:val="08AF58AF"/>
    <w:multiLevelType w:val="hybridMultilevel"/>
    <w:tmpl w:val="DB0CF5D2"/>
    <w:lvl w:ilvl="0" w:tplc="218C80C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F41E71"/>
    <w:multiLevelType w:val="hybridMultilevel"/>
    <w:tmpl w:val="8BBC1E6E"/>
    <w:lvl w:ilvl="0" w:tplc="7C1A5438">
      <w:start w:val="17"/>
      <w:numFmt w:val="bullet"/>
      <w:lvlText w:val="-"/>
      <w:lvlJc w:val="left"/>
      <w:pPr>
        <w:ind w:left="720" w:hanging="360"/>
      </w:pPr>
      <w:rPr>
        <w:rFonts w:ascii="Times New Roman" w:eastAsia="Times New Roman" w:hAnsi="Times New Roman"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0B41762F"/>
    <w:multiLevelType w:val="hybridMultilevel"/>
    <w:tmpl w:val="75860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34378D"/>
    <w:multiLevelType w:val="hybridMultilevel"/>
    <w:tmpl w:val="DC28A7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0F34087D"/>
    <w:multiLevelType w:val="hybridMultilevel"/>
    <w:tmpl w:val="EEA26554"/>
    <w:lvl w:ilvl="0" w:tplc="9C18E2D8">
      <w:start w:val="3"/>
      <w:numFmt w:val="decimal"/>
      <w:lvlText w:val="%1."/>
      <w:lvlJc w:val="left"/>
      <w:pPr>
        <w:ind w:left="720" w:hanging="360"/>
      </w:pPr>
    </w:lvl>
    <w:lvl w:ilvl="1" w:tplc="2E4EAE98">
      <w:start w:val="1"/>
      <w:numFmt w:val="lowerLetter"/>
      <w:lvlText w:val="%2."/>
      <w:lvlJc w:val="left"/>
      <w:pPr>
        <w:ind w:left="1440" w:hanging="360"/>
      </w:pPr>
    </w:lvl>
    <w:lvl w:ilvl="2" w:tplc="A11E6626">
      <w:start w:val="1"/>
      <w:numFmt w:val="lowerRoman"/>
      <w:lvlText w:val="%3."/>
      <w:lvlJc w:val="right"/>
      <w:pPr>
        <w:ind w:left="2160" w:hanging="180"/>
      </w:pPr>
    </w:lvl>
    <w:lvl w:ilvl="3" w:tplc="29CE4106">
      <w:start w:val="1"/>
      <w:numFmt w:val="decimal"/>
      <w:lvlText w:val="%4."/>
      <w:lvlJc w:val="left"/>
      <w:pPr>
        <w:ind w:left="2880" w:hanging="360"/>
      </w:pPr>
    </w:lvl>
    <w:lvl w:ilvl="4" w:tplc="D444D812">
      <w:start w:val="1"/>
      <w:numFmt w:val="lowerLetter"/>
      <w:lvlText w:val="%5."/>
      <w:lvlJc w:val="left"/>
      <w:pPr>
        <w:ind w:left="3600" w:hanging="360"/>
      </w:pPr>
    </w:lvl>
    <w:lvl w:ilvl="5" w:tplc="CF42B4F0">
      <w:start w:val="1"/>
      <w:numFmt w:val="lowerRoman"/>
      <w:lvlText w:val="%6."/>
      <w:lvlJc w:val="right"/>
      <w:pPr>
        <w:ind w:left="4320" w:hanging="180"/>
      </w:pPr>
    </w:lvl>
    <w:lvl w:ilvl="6" w:tplc="0700C77A">
      <w:start w:val="1"/>
      <w:numFmt w:val="decimal"/>
      <w:lvlText w:val="%7."/>
      <w:lvlJc w:val="left"/>
      <w:pPr>
        <w:ind w:left="5040" w:hanging="360"/>
      </w:pPr>
    </w:lvl>
    <w:lvl w:ilvl="7" w:tplc="17E63D3A">
      <w:start w:val="1"/>
      <w:numFmt w:val="lowerLetter"/>
      <w:lvlText w:val="%8."/>
      <w:lvlJc w:val="left"/>
      <w:pPr>
        <w:ind w:left="5760" w:hanging="360"/>
      </w:pPr>
    </w:lvl>
    <w:lvl w:ilvl="8" w:tplc="4482C260">
      <w:start w:val="1"/>
      <w:numFmt w:val="lowerRoman"/>
      <w:lvlText w:val="%9."/>
      <w:lvlJc w:val="right"/>
      <w:pPr>
        <w:ind w:left="6480" w:hanging="180"/>
      </w:pPr>
    </w:lvl>
  </w:abstractNum>
  <w:abstractNum w:abstractNumId="18" w15:restartNumberingAfterBreak="0">
    <w:nsid w:val="0FFB5314"/>
    <w:multiLevelType w:val="hybridMultilevel"/>
    <w:tmpl w:val="0B088D8A"/>
    <w:lvl w:ilvl="0" w:tplc="18090011">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100D6C98"/>
    <w:multiLevelType w:val="hybridMultilevel"/>
    <w:tmpl w:val="C1183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0E31054"/>
    <w:multiLevelType w:val="hybridMultilevel"/>
    <w:tmpl w:val="56EE6114"/>
    <w:lvl w:ilvl="0" w:tplc="CFA0E118">
      <w:start w:val="1"/>
      <w:numFmt w:val="decimal"/>
      <w:lvlText w:val="%1."/>
      <w:lvlJc w:val="left"/>
      <w:pPr>
        <w:ind w:left="720" w:hanging="360"/>
      </w:pPr>
    </w:lvl>
    <w:lvl w:ilvl="1" w:tplc="FB12925A">
      <w:start w:val="1"/>
      <w:numFmt w:val="lowerLetter"/>
      <w:lvlText w:val="%2."/>
      <w:lvlJc w:val="left"/>
      <w:pPr>
        <w:ind w:left="1440" w:hanging="360"/>
      </w:pPr>
    </w:lvl>
    <w:lvl w:ilvl="2" w:tplc="20E2E64E">
      <w:start w:val="1"/>
      <w:numFmt w:val="lowerRoman"/>
      <w:lvlText w:val="%3."/>
      <w:lvlJc w:val="right"/>
      <w:pPr>
        <w:ind w:left="2160" w:hanging="180"/>
      </w:pPr>
    </w:lvl>
    <w:lvl w:ilvl="3" w:tplc="FB6E4BF0">
      <w:start w:val="1"/>
      <w:numFmt w:val="decimal"/>
      <w:lvlText w:val="%4."/>
      <w:lvlJc w:val="left"/>
      <w:pPr>
        <w:ind w:left="2880" w:hanging="360"/>
      </w:pPr>
    </w:lvl>
    <w:lvl w:ilvl="4" w:tplc="918E96C4">
      <w:start w:val="1"/>
      <w:numFmt w:val="lowerLetter"/>
      <w:lvlText w:val="%5."/>
      <w:lvlJc w:val="left"/>
      <w:pPr>
        <w:ind w:left="3600" w:hanging="360"/>
      </w:pPr>
    </w:lvl>
    <w:lvl w:ilvl="5" w:tplc="5AF2756E">
      <w:start w:val="1"/>
      <w:numFmt w:val="lowerRoman"/>
      <w:lvlText w:val="%6."/>
      <w:lvlJc w:val="right"/>
      <w:pPr>
        <w:ind w:left="4320" w:hanging="180"/>
      </w:pPr>
    </w:lvl>
    <w:lvl w:ilvl="6" w:tplc="863E6374">
      <w:start w:val="1"/>
      <w:numFmt w:val="decimal"/>
      <w:lvlText w:val="%7."/>
      <w:lvlJc w:val="left"/>
      <w:pPr>
        <w:ind w:left="5040" w:hanging="360"/>
      </w:pPr>
    </w:lvl>
    <w:lvl w:ilvl="7" w:tplc="DC2066C6">
      <w:start w:val="1"/>
      <w:numFmt w:val="lowerLetter"/>
      <w:lvlText w:val="%8."/>
      <w:lvlJc w:val="left"/>
      <w:pPr>
        <w:ind w:left="5760" w:hanging="360"/>
      </w:pPr>
    </w:lvl>
    <w:lvl w:ilvl="8" w:tplc="591E6DF6">
      <w:start w:val="1"/>
      <w:numFmt w:val="lowerRoman"/>
      <w:lvlText w:val="%9."/>
      <w:lvlJc w:val="right"/>
      <w:pPr>
        <w:ind w:left="6480" w:hanging="180"/>
      </w:pPr>
    </w:lvl>
  </w:abstractNum>
  <w:abstractNum w:abstractNumId="21" w15:restartNumberingAfterBreak="0">
    <w:nsid w:val="13281B67"/>
    <w:multiLevelType w:val="hybridMultilevel"/>
    <w:tmpl w:val="A6605D1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2" w15:restartNumberingAfterBreak="0">
    <w:nsid w:val="141BF058"/>
    <w:multiLevelType w:val="hybridMultilevel"/>
    <w:tmpl w:val="FFFFFFFF"/>
    <w:lvl w:ilvl="0" w:tplc="91FC187E">
      <w:start w:val="1"/>
      <w:numFmt w:val="decimal"/>
      <w:lvlText w:val="%1."/>
      <w:lvlJc w:val="left"/>
      <w:pPr>
        <w:ind w:left="720" w:hanging="360"/>
      </w:pPr>
    </w:lvl>
    <w:lvl w:ilvl="1" w:tplc="EEC0EBC8">
      <w:start w:val="1"/>
      <w:numFmt w:val="decimal"/>
      <w:lvlText w:val="%2.1."/>
      <w:lvlJc w:val="left"/>
      <w:pPr>
        <w:ind w:left="1440" w:hanging="360"/>
      </w:pPr>
    </w:lvl>
    <w:lvl w:ilvl="2" w:tplc="12F81ABE">
      <w:start w:val="1"/>
      <w:numFmt w:val="lowerRoman"/>
      <w:lvlText w:val="%3."/>
      <w:lvlJc w:val="right"/>
      <w:pPr>
        <w:ind w:left="2160" w:hanging="180"/>
      </w:pPr>
    </w:lvl>
    <w:lvl w:ilvl="3" w:tplc="7394980A">
      <w:start w:val="1"/>
      <w:numFmt w:val="decimal"/>
      <w:lvlText w:val="%4."/>
      <w:lvlJc w:val="left"/>
      <w:pPr>
        <w:ind w:left="2880" w:hanging="360"/>
      </w:pPr>
    </w:lvl>
    <w:lvl w:ilvl="4" w:tplc="1DDE14BE">
      <w:start w:val="1"/>
      <w:numFmt w:val="lowerLetter"/>
      <w:lvlText w:val="%5."/>
      <w:lvlJc w:val="left"/>
      <w:pPr>
        <w:ind w:left="3600" w:hanging="360"/>
      </w:pPr>
    </w:lvl>
    <w:lvl w:ilvl="5" w:tplc="2C8A1C2E">
      <w:start w:val="1"/>
      <w:numFmt w:val="lowerRoman"/>
      <w:lvlText w:val="%6."/>
      <w:lvlJc w:val="right"/>
      <w:pPr>
        <w:ind w:left="4320" w:hanging="180"/>
      </w:pPr>
    </w:lvl>
    <w:lvl w:ilvl="6" w:tplc="97566698">
      <w:start w:val="1"/>
      <w:numFmt w:val="decimal"/>
      <w:lvlText w:val="%7."/>
      <w:lvlJc w:val="left"/>
      <w:pPr>
        <w:ind w:left="5040" w:hanging="360"/>
      </w:pPr>
    </w:lvl>
    <w:lvl w:ilvl="7" w:tplc="5E7AE0C4">
      <w:start w:val="1"/>
      <w:numFmt w:val="lowerLetter"/>
      <w:lvlText w:val="%8."/>
      <w:lvlJc w:val="left"/>
      <w:pPr>
        <w:ind w:left="5760" w:hanging="360"/>
      </w:pPr>
    </w:lvl>
    <w:lvl w:ilvl="8" w:tplc="5FA6B6C4">
      <w:start w:val="1"/>
      <w:numFmt w:val="lowerRoman"/>
      <w:lvlText w:val="%9."/>
      <w:lvlJc w:val="right"/>
      <w:pPr>
        <w:ind w:left="6480" w:hanging="180"/>
      </w:pPr>
    </w:lvl>
  </w:abstractNum>
  <w:abstractNum w:abstractNumId="23" w15:restartNumberingAfterBreak="0">
    <w:nsid w:val="14244ED7"/>
    <w:multiLevelType w:val="multilevel"/>
    <w:tmpl w:val="98069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4ED7B12"/>
    <w:multiLevelType w:val="hybridMultilevel"/>
    <w:tmpl w:val="29EA5478"/>
    <w:lvl w:ilvl="0" w:tplc="7AACA2A8">
      <w:start w:val="1"/>
      <w:numFmt w:val="lowerRoman"/>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5" w15:restartNumberingAfterBreak="0">
    <w:nsid w:val="15E226B0"/>
    <w:multiLevelType w:val="multilevel"/>
    <w:tmpl w:val="C5D2BA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165622D8"/>
    <w:multiLevelType w:val="hybridMultilevel"/>
    <w:tmpl w:val="E6E46808"/>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165C3F6D"/>
    <w:multiLevelType w:val="hybridMultilevel"/>
    <w:tmpl w:val="4EDE002A"/>
    <w:lvl w:ilvl="0" w:tplc="9E1AC07E">
      <w:start w:val="1"/>
      <w:numFmt w:val="bullet"/>
      <w:lvlText w:val="·"/>
      <w:lvlJc w:val="left"/>
      <w:pPr>
        <w:ind w:left="720" w:hanging="360"/>
      </w:pPr>
      <w:rPr>
        <w:rFonts w:ascii="Symbol" w:hAnsi="Symbol" w:hint="default"/>
      </w:rPr>
    </w:lvl>
    <w:lvl w:ilvl="1" w:tplc="508224BC">
      <w:start w:val="1"/>
      <w:numFmt w:val="bullet"/>
      <w:lvlText w:val="o"/>
      <w:lvlJc w:val="left"/>
      <w:pPr>
        <w:ind w:left="1440" w:hanging="360"/>
      </w:pPr>
      <w:rPr>
        <w:rFonts w:ascii="Courier New" w:hAnsi="Courier New" w:hint="default"/>
      </w:rPr>
    </w:lvl>
    <w:lvl w:ilvl="2" w:tplc="9F481042">
      <w:start w:val="1"/>
      <w:numFmt w:val="bullet"/>
      <w:lvlText w:val=""/>
      <w:lvlJc w:val="left"/>
      <w:pPr>
        <w:ind w:left="2160" w:hanging="360"/>
      </w:pPr>
      <w:rPr>
        <w:rFonts w:ascii="Wingdings" w:hAnsi="Wingdings" w:hint="default"/>
      </w:rPr>
    </w:lvl>
    <w:lvl w:ilvl="3" w:tplc="23665F78">
      <w:start w:val="1"/>
      <w:numFmt w:val="bullet"/>
      <w:lvlText w:val=""/>
      <w:lvlJc w:val="left"/>
      <w:pPr>
        <w:ind w:left="2880" w:hanging="360"/>
      </w:pPr>
      <w:rPr>
        <w:rFonts w:ascii="Symbol" w:hAnsi="Symbol" w:hint="default"/>
      </w:rPr>
    </w:lvl>
    <w:lvl w:ilvl="4" w:tplc="F2821104">
      <w:start w:val="1"/>
      <w:numFmt w:val="bullet"/>
      <w:lvlText w:val="o"/>
      <w:lvlJc w:val="left"/>
      <w:pPr>
        <w:ind w:left="3600" w:hanging="360"/>
      </w:pPr>
      <w:rPr>
        <w:rFonts w:ascii="Courier New" w:hAnsi="Courier New" w:hint="default"/>
      </w:rPr>
    </w:lvl>
    <w:lvl w:ilvl="5" w:tplc="1A8256D0">
      <w:start w:val="1"/>
      <w:numFmt w:val="bullet"/>
      <w:lvlText w:val=""/>
      <w:lvlJc w:val="left"/>
      <w:pPr>
        <w:ind w:left="4320" w:hanging="360"/>
      </w:pPr>
      <w:rPr>
        <w:rFonts w:ascii="Wingdings" w:hAnsi="Wingdings" w:hint="default"/>
      </w:rPr>
    </w:lvl>
    <w:lvl w:ilvl="6" w:tplc="EB802166">
      <w:start w:val="1"/>
      <w:numFmt w:val="bullet"/>
      <w:lvlText w:val=""/>
      <w:lvlJc w:val="left"/>
      <w:pPr>
        <w:ind w:left="5040" w:hanging="360"/>
      </w:pPr>
      <w:rPr>
        <w:rFonts w:ascii="Symbol" w:hAnsi="Symbol" w:hint="default"/>
      </w:rPr>
    </w:lvl>
    <w:lvl w:ilvl="7" w:tplc="CA1E5EAC">
      <w:start w:val="1"/>
      <w:numFmt w:val="bullet"/>
      <w:lvlText w:val="o"/>
      <w:lvlJc w:val="left"/>
      <w:pPr>
        <w:ind w:left="5760" w:hanging="360"/>
      </w:pPr>
      <w:rPr>
        <w:rFonts w:ascii="Courier New" w:hAnsi="Courier New" w:hint="default"/>
      </w:rPr>
    </w:lvl>
    <w:lvl w:ilvl="8" w:tplc="5F70D53E">
      <w:start w:val="1"/>
      <w:numFmt w:val="bullet"/>
      <w:lvlText w:val=""/>
      <w:lvlJc w:val="left"/>
      <w:pPr>
        <w:ind w:left="6480" w:hanging="360"/>
      </w:pPr>
      <w:rPr>
        <w:rFonts w:ascii="Wingdings" w:hAnsi="Wingdings" w:hint="default"/>
      </w:rPr>
    </w:lvl>
  </w:abstractNum>
  <w:abstractNum w:abstractNumId="28" w15:restartNumberingAfterBreak="0">
    <w:nsid w:val="17280188"/>
    <w:multiLevelType w:val="hybridMultilevel"/>
    <w:tmpl w:val="E94EFBCE"/>
    <w:lvl w:ilvl="0" w:tplc="28B87E4A">
      <w:start w:val="1"/>
      <w:numFmt w:val="bullet"/>
      <w:lvlText w:val="-"/>
      <w:lvlJc w:val="left"/>
      <w:pPr>
        <w:ind w:left="720" w:hanging="360"/>
      </w:pPr>
      <w:rPr>
        <w:rFonts w:ascii="Times New Roman" w:eastAsia="Times New Roman" w:hAnsi="Times New Roman" w:cs="Times New Roman" w:hint="default"/>
      </w:rPr>
    </w:lvl>
    <w:lvl w:ilvl="1" w:tplc="D820F8FC">
      <w:numFmt w:val="bullet"/>
      <w:lvlText w:val="-"/>
      <w:lvlJc w:val="left"/>
      <w:pPr>
        <w:ind w:left="1440" w:hanging="360"/>
      </w:pPr>
      <w:rPr>
        <w:rFonts w:ascii="Calibri" w:eastAsiaTheme="minorHAnsi" w:hAnsi="Calibri" w:cs="Calibri"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172BDCA7"/>
    <w:multiLevelType w:val="hybridMultilevel"/>
    <w:tmpl w:val="4D96CB28"/>
    <w:lvl w:ilvl="0" w:tplc="7C728B4A">
      <w:start w:val="1"/>
      <w:numFmt w:val="lowerRoman"/>
      <w:lvlText w:val="%1)"/>
      <w:lvlJc w:val="left"/>
      <w:pPr>
        <w:ind w:left="1080" w:hanging="720"/>
      </w:pPr>
      <w:rPr>
        <w:rFonts w:ascii="Arial Narrow" w:hAnsi="Arial Narrow" w:hint="default"/>
      </w:rPr>
    </w:lvl>
    <w:lvl w:ilvl="1" w:tplc="2C4CEDF2">
      <w:start w:val="1"/>
      <w:numFmt w:val="lowerLetter"/>
      <w:lvlText w:val="%2."/>
      <w:lvlJc w:val="left"/>
      <w:pPr>
        <w:ind w:left="1440" w:hanging="360"/>
      </w:pPr>
    </w:lvl>
    <w:lvl w:ilvl="2" w:tplc="0A84AC36">
      <w:start w:val="1"/>
      <w:numFmt w:val="lowerRoman"/>
      <w:lvlText w:val="%3."/>
      <w:lvlJc w:val="right"/>
      <w:pPr>
        <w:ind w:left="2160" w:hanging="180"/>
      </w:pPr>
    </w:lvl>
    <w:lvl w:ilvl="3" w:tplc="2AC8BFD2">
      <w:start w:val="1"/>
      <w:numFmt w:val="decimal"/>
      <w:lvlText w:val="%4."/>
      <w:lvlJc w:val="left"/>
      <w:pPr>
        <w:ind w:left="2880" w:hanging="360"/>
      </w:pPr>
    </w:lvl>
    <w:lvl w:ilvl="4" w:tplc="59C43046">
      <w:start w:val="1"/>
      <w:numFmt w:val="lowerLetter"/>
      <w:lvlText w:val="%5."/>
      <w:lvlJc w:val="left"/>
      <w:pPr>
        <w:ind w:left="3600" w:hanging="360"/>
      </w:pPr>
    </w:lvl>
    <w:lvl w:ilvl="5" w:tplc="7390BB7C">
      <w:start w:val="1"/>
      <w:numFmt w:val="lowerRoman"/>
      <w:lvlText w:val="%6."/>
      <w:lvlJc w:val="right"/>
      <w:pPr>
        <w:ind w:left="4320" w:hanging="180"/>
      </w:pPr>
    </w:lvl>
    <w:lvl w:ilvl="6" w:tplc="02AC030A">
      <w:start w:val="1"/>
      <w:numFmt w:val="decimal"/>
      <w:lvlText w:val="%7."/>
      <w:lvlJc w:val="left"/>
      <w:pPr>
        <w:ind w:left="5040" w:hanging="360"/>
      </w:pPr>
    </w:lvl>
    <w:lvl w:ilvl="7" w:tplc="FB06A9BE">
      <w:start w:val="1"/>
      <w:numFmt w:val="lowerLetter"/>
      <w:lvlText w:val="%8."/>
      <w:lvlJc w:val="left"/>
      <w:pPr>
        <w:ind w:left="5760" w:hanging="360"/>
      </w:pPr>
    </w:lvl>
    <w:lvl w:ilvl="8" w:tplc="580EAAC4">
      <w:start w:val="1"/>
      <w:numFmt w:val="lowerRoman"/>
      <w:lvlText w:val="%9."/>
      <w:lvlJc w:val="right"/>
      <w:pPr>
        <w:ind w:left="6480" w:hanging="180"/>
      </w:pPr>
    </w:lvl>
  </w:abstractNum>
  <w:abstractNum w:abstractNumId="30" w15:restartNumberingAfterBreak="0">
    <w:nsid w:val="1730F492"/>
    <w:multiLevelType w:val="hybridMultilevel"/>
    <w:tmpl w:val="B4C0DDCC"/>
    <w:lvl w:ilvl="0" w:tplc="85F8F1B0">
      <w:start w:val="1"/>
      <w:numFmt w:val="bullet"/>
      <w:lvlText w:val=""/>
      <w:lvlJc w:val="left"/>
      <w:pPr>
        <w:ind w:left="720" w:hanging="360"/>
      </w:pPr>
      <w:rPr>
        <w:rFonts w:ascii="Symbol" w:hAnsi="Symbol" w:hint="default"/>
      </w:rPr>
    </w:lvl>
    <w:lvl w:ilvl="1" w:tplc="B5BC9448">
      <w:start w:val="1"/>
      <w:numFmt w:val="bullet"/>
      <w:lvlText w:val="o"/>
      <w:lvlJc w:val="left"/>
      <w:pPr>
        <w:ind w:left="1440" w:hanging="360"/>
      </w:pPr>
      <w:rPr>
        <w:rFonts w:ascii="Courier New" w:hAnsi="Courier New" w:hint="default"/>
      </w:rPr>
    </w:lvl>
    <w:lvl w:ilvl="2" w:tplc="0BF28036">
      <w:start w:val="1"/>
      <w:numFmt w:val="bullet"/>
      <w:lvlText w:val=""/>
      <w:lvlJc w:val="left"/>
      <w:pPr>
        <w:ind w:left="2160" w:hanging="360"/>
      </w:pPr>
      <w:rPr>
        <w:rFonts w:ascii="Wingdings" w:hAnsi="Wingdings" w:hint="default"/>
      </w:rPr>
    </w:lvl>
    <w:lvl w:ilvl="3" w:tplc="34BEB214">
      <w:start w:val="1"/>
      <w:numFmt w:val="bullet"/>
      <w:lvlText w:val=""/>
      <w:lvlJc w:val="left"/>
      <w:pPr>
        <w:ind w:left="2880" w:hanging="360"/>
      </w:pPr>
      <w:rPr>
        <w:rFonts w:ascii="Symbol" w:hAnsi="Symbol" w:hint="default"/>
      </w:rPr>
    </w:lvl>
    <w:lvl w:ilvl="4" w:tplc="59709E74">
      <w:start w:val="1"/>
      <w:numFmt w:val="bullet"/>
      <w:lvlText w:val="o"/>
      <w:lvlJc w:val="left"/>
      <w:pPr>
        <w:ind w:left="3600" w:hanging="360"/>
      </w:pPr>
      <w:rPr>
        <w:rFonts w:ascii="Courier New" w:hAnsi="Courier New" w:hint="default"/>
      </w:rPr>
    </w:lvl>
    <w:lvl w:ilvl="5" w:tplc="68366D4E">
      <w:start w:val="1"/>
      <w:numFmt w:val="bullet"/>
      <w:lvlText w:val=""/>
      <w:lvlJc w:val="left"/>
      <w:pPr>
        <w:ind w:left="4320" w:hanging="360"/>
      </w:pPr>
      <w:rPr>
        <w:rFonts w:ascii="Wingdings" w:hAnsi="Wingdings" w:hint="default"/>
      </w:rPr>
    </w:lvl>
    <w:lvl w:ilvl="6" w:tplc="D520D9C2">
      <w:start w:val="1"/>
      <w:numFmt w:val="bullet"/>
      <w:lvlText w:val=""/>
      <w:lvlJc w:val="left"/>
      <w:pPr>
        <w:ind w:left="5040" w:hanging="360"/>
      </w:pPr>
      <w:rPr>
        <w:rFonts w:ascii="Symbol" w:hAnsi="Symbol" w:hint="default"/>
      </w:rPr>
    </w:lvl>
    <w:lvl w:ilvl="7" w:tplc="AB009B6E">
      <w:start w:val="1"/>
      <w:numFmt w:val="bullet"/>
      <w:lvlText w:val="o"/>
      <w:lvlJc w:val="left"/>
      <w:pPr>
        <w:ind w:left="5760" w:hanging="360"/>
      </w:pPr>
      <w:rPr>
        <w:rFonts w:ascii="Courier New" w:hAnsi="Courier New" w:hint="default"/>
      </w:rPr>
    </w:lvl>
    <w:lvl w:ilvl="8" w:tplc="6F6AC93E">
      <w:start w:val="1"/>
      <w:numFmt w:val="bullet"/>
      <w:lvlText w:val=""/>
      <w:lvlJc w:val="left"/>
      <w:pPr>
        <w:ind w:left="6480" w:hanging="360"/>
      </w:pPr>
      <w:rPr>
        <w:rFonts w:ascii="Wingdings" w:hAnsi="Wingdings" w:hint="default"/>
      </w:rPr>
    </w:lvl>
  </w:abstractNum>
  <w:abstractNum w:abstractNumId="31" w15:restartNumberingAfterBreak="0">
    <w:nsid w:val="18220F9B"/>
    <w:multiLevelType w:val="hybridMultilevel"/>
    <w:tmpl w:val="BCACA684"/>
    <w:lvl w:ilvl="0" w:tplc="18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943AF22"/>
    <w:multiLevelType w:val="hybridMultilevel"/>
    <w:tmpl w:val="FFFFFFFF"/>
    <w:lvl w:ilvl="0" w:tplc="F2F688FA">
      <w:start w:val="1"/>
      <w:numFmt w:val="decimal"/>
      <w:lvlText w:val="%1."/>
      <w:lvlJc w:val="left"/>
      <w:pPr>
        <w:ind w:left="720" w:hanging="360"/>
      </w:pPr>
    </w:lvl>
    <w:lvl w:ilvl="1" w:tplc="8562956E">
      <w:start w:val="1"/>
      <w:numFmt w:val="lowerLetter"/>
      <w:lvlText w:val="%2."/>
      <w:lvlJc w:val="left"/>
      <w:pPr>
        <w:ind w:left="1440" w:hanging="360"/>
      </w:pPr>
    </w:lvl>
    <w:lvl w:ilvl="2" w:tplc="48623FFC">
      <w:start w:val="1"/>
      <w:numFmt w:val="lowerRoman"/>
      <w:lvlText w:val="%3."/>
      <w:lvlJc w:val="right"/>
      <w:pPr>
        <w:ind w:left="2160" w:hanging="180"/>
      </w:pPr>
    </w:lvl>
    <w:lvl w:ilvl="3" w:tplc="131EE938">
      <w:start w:val="1"/>
      <w:numFmt w:val="decimal"/>
      <w:lvlText w:val="%4."/>
      <w:lvlJc w:val="left"/>
      <w:pPr>
        <w:ind w:left="2880" w:hanging="360"/>
      </w:pPr>
    </w:lvl>
    <w:lvl w:ilvl="4" w:tplc="B178D99A">
      <w:start w:val="1"/>
      <w:numFmt w:val="lowerLetter"/>
      <w:lvlText w:val="%5."/>
      <w:lvlJc w:val="left"/>
      <w:pPr>
        <w:ind w:left="3600" w:hanging="360"/>
      </w:pPr>
    </w:lvl>
    <w:lvl w:ilvl="5" w:tplc="9EE2F188">
      <w:start w:val="1"/>
      <w:numFmt w:val="lowerRoman"/>
      <w:lvlText w:val="%6."/>
      <w:lvlJc w:val="right"/>
      <w:pPr>
        <w:ind w:left="4320" w:hanging="180"/>
      </w:pPr>
    </w:lvl>
    <w:lvl w:ilvl="6" w:tplc="9EB049AA">
      <w:start w:val="1"/>
      <w:numFmt w:val="decimal"/>
      <w:lvlText w:val="%7."/>
      <w:lvlJc w:val="left"/>
      <w:pPr>
        <w:ind w:left="5040" w:hanging="360"/>
      </w:pPr>
    </w:lvl>
    <w:lvl w:ilvl="7" w:tplc="66D67C22">
      <w:start w:val="1"/>
      <w:numFmt w:val="lowerLetter"/>
      <w:lvlText w:val="%8."/>
      <w:lvlJc w:val="left"/>
      <w:pPr>
        <w:ind w:left="5760" w:hanging="360"/>
      </w:pPr>
    </w:lvl>
    <w:lvl w:ilvl="8" w:tplc="8EF6D5DA">
      <w:start w:val="1"/>
      <w:numFmt w:val="lowerRoman"/>
      <w:lvlText w:val="%9."/>
      <w:lvlJc w:val="right"/>
      <w:pPr>
        <w:ind w:left="6480" w:hanging="180"/>
      </w:pPr>
    </w:lvl>
  </w:abstractNum>
  <w:abstractNum w:abstractNumId="33" w15:restartNumberingAfterBreak="0">
    <w:nsid w:val="19811323"/>
    <w:multiLevelType w:val="hybridMultilevel"/>
    <w:tmpl w:val="D428AE04"/>
    <w:lvl w:ilvl="0" w:tplc="D8CCA47E">
      <w:start w:val="1"/>
      <w:numFmt w:val="bullet"/>
      <w:lvlText w:val="-"/>
      <w:lvlJc w:val="left"/>
      <w:pPr>
        <w:ind w:left="1429" w:hanging="360"/>
      </w:pPr>
      <w:rPr>
        <w:rFonts w:ascii="&quot;Times New Roman&quot;,serif" w:hAnsi="&quot;Times New Roman&quot;,serif"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3number"/>
      <w:lvlText w:val="(%2)"/>
      <w:lvlJc w:val="left"/>
      <w:pPr>
        <w:tabs>
          <w:tab w:val="num" w:pos="850"/>
        </w:tabs>
        <w:ind w:left="850" w:hanging="850"/>
      </w:pPr>
    </w:lvl>
    <w:lvl w:ilvl="2">
      <w:start w:val="1"/>
      <w:numFmt w:val="decimal"/>
      <w:pStyle w:val="Point0number"/>
      <w:lvlText w:val="(%3)"/>
      <w:lvlJc w:val="left"/>
      <w:pPr>
        <w:tabs>
          <w:tab w:val="num" w:pos="1417"/>
        </w:tabs>
        <w:ind w:left="1417" w:hanging="567"/>
      </w:pPr>
    </w:lvl>
    <w:lvl w:ilvl="3">
      <w:start w:val="1"/>
      <w:numFmt w:val="lowerLetter"/>
      <w:pStyle w:val="Point0letter"/>
      <w:lvlText w:val="(%4)"/>
      <w:lvlJc w:val="left"/>
      <w:pPr>
        <w:tabs>
          <w:tab w:val="num" w:pos="1417"/>
        </w:tabs>
        <w:ind w:left="1417" w:hanging="567"/>
      </w:pPr>
    </w:lvl>
    <w:lvl w:ilvl="4">
      <w:start w:val="1"/>
      <w:numFmt w:val="decimal"/>
      <w:pStyle w:val="Point1number"/>
      <w:lvlText w:val="(%5)"/>
      <w:lvlJc w:val="left"/>
      <w:pPr>
        <w:tabs>
          <w:tab w:val="num" w:pos="1984"/>
        </w:tabs>
        <w:ind w:left="1984" w:hanging="567"/>
      </w:pPr>
    </w:lvl>
    <w:lvl w:ilvl="5">
      <w:start w:val="1"/>
      <w:numFmt w:val="lowerLetter"/>
      <w:pStyle w:val="Point1letter"/>
      <w:lvlText w:val="(%6)"/>
      <w:lvlJc w:val="left"/>
      <w:pPr>
        <w:tabs>
          <w:tab w:val="num" w:pos="1984"/>
        </w:tabs>
        <w:ind w:left="1984" w:hanging="567"/>
      </w:pPr>
    </w:lvl>
    <w:lvl w:ilvl="6">
      <w:start w:val="1"/>
      <w:numFmt w:val="decimal"/>
      <w:pStyle w:val="Point2number"/>
      <w:lvlText w:val="(%7)"/>
      <w:lvlJc w:val="left"/>
      <w:pPr>
        <w:tabs>
          <w:tab w:val="num" w:pos="2551"/>
        </w:tabs>
        <w:ind w:left="2551" w:hanging="567"/>
      </w:pPr>
    </w:lvl>
    <w:lvl w:ilvl="7">
      <w:start w:val="1"/>
      <w:numFmt w:val="lowerLetter"/>
      <w:pStyle w:val="Point2letter"/>
      <w:lvlText w:val="(%8)"/>
      <w:lvlJc w:val="left"/>
      <w:pPr>
        <w:tabs>
          <w:tab w:val="num" w:pos="2551"/>
        </w:tabs>
        <w:ind w:left="2551" w:hanging="567"/>
      </w:pPr>
    </w:lvl>
    <w:lvl w:ilvl="8">
      <w:start w:val="1"/>
      <w:numFmt w:val="lowerLetter"/>
      <w:pStyle w:val="Point3letter"/>
      <w:lvlText w:val="(%9)"/>
      <w:lvlJc w:val="left"/>
      <w:pPr>
        <w:tabs>
          <w:tab w:val="num" w:pos="3118"/>
        </w:tabs>
        <w:ind w:left="3118" w:hanging="567"/>
      </w:pPr>
    </w:lvl>
  </w:abstractNum>
  <w:abstractNum w:abstractNumId="35" w15:restartNumberingAfterBreak="0">
    <w:nsid w:val="1E317D26"/>
    <w:multiLevelType w:val="hybridMultilevel"/>
    <w:tmpl w:val="F2566412"/>
    <w:lvl w:ilvl="0" w:tplc="7CC4E43C">
      <w:start w:val="1"/>
      <w:numFmt w:val="decimal"/>
      <w:lvlText w:val="%1."/>
      <w:lvlJc w:val="left"/>
      <w:pPr>
        <w:ind w:left="720" w:hanging="360"/>
      </w:pPr>
    </w:lvl>
    <w:lvl w:ilvl="1" w:tplc="98B4BE10">
      <w:start w:val="1"/>
      <w:numFmt w:val="lowerLetter"/>
      <w:lvlText w:val="%2."/>
      <w:lvlJc w:val="left"/>
      <w:pPr>
        <w:ind w:left="1440" w:hanging="360"/>
      </w:pPr>
    </w:lvl>
    <w:lvl w:ilvl="2" w:tplc="E28A6A02">
      <w:start w:val="1"/>
      <w:numFmt w:val="lowerRoman"/>
      <w:lvlText w:val="%3."/>
      <w:lvlJc w:val="right"/>
      <w:pPr>
        <w:ind w:left="2160" w:hanging="180"/>
      </w:pPr>
    </w:lvl>
    <w:lvl w:ilvl="3" w:tplc="6EB468B2">
      <w:start w:val="1"/>
      <w:numFmt w:val="decimal"/>
      <w:lvlText w:val="%4."/>
      <w:lvlJc w:val="left"/>
      <w:pPr>
        <w:ind w:left="2880" w:hanging="360"/>
      </w:pPr>
    </w:lvl>
    <w:lvl w:ilvl="4" w:tplc="DD965FD8">
      <w:start w:val="1"/>
      <w:numFmt w:val="lowerLetter"/>
      <w:lvlText w:val="%5."/>
      <w:lvlJc w:val="left"/>
      <w:pPr>
        <w:ind w:left="3600" w:hanging="360"/>
      </w:pPr>
    </w:lvl>
    <w:lvl w:ilvl="5" w:tplc="4E466424">
      <w:start w:val="1"/>
      <w:numFmt w:val="lowerRoman"/>
      <w:lvlText w:val="%6."/>
      <w:lvlJc w:val="right"/>
      <w:pPr>
        <w:ind w:left="4320" w:hanging="180"/>
      </w:pPr>
    </w:lvl>
    <w:lvl w:ilvl="6" w:tplc="2174BC9C">
      <w:start w:val="1"/>
      <w:numFmt w:val="decimal"/>
      <w:lvlText w:val="%7."/>
      <w:lvlJc w:val="left"/>
      <w:pPr>
        <w:ind w:left="5040" w:hanging="360"/>
      </w:pPr>
    </w:lvl>
    <w:lvl w:ilvl="7" w:tplc="3EA00D02">
      <w:start w:val="1"/>
      <w:numFmt w:val="lowerLetter"/>
      <w:lvlText w:val="%8."/>
      <w:lvlJc w:val="left"/>
      <w:pPr>
        <w:ind w:left="5760" w:hanging="360"/>
      </w:pPr>
    </w:lvl>
    <w:lvl w:ilvl="8" w:tplc="4616220A">
      <w:start w:val="1"/>
      <w:numFmt w:val="lowerRoman"/>
      <w:lvlText w:val="%9."/>
      <w:lvlJc w:val="right"/>
      <w:pPr>
        <w:ind w:left="6480" w:hanging="180"/>
      </w:pPr>
    </w:lvl>
  </w:abstractNum>
  <w:abstractNum w:abstractNumId="36" w15:restartNumberingAfterBreak="0">
    <w:nsid w:val="1E950445"/>
    <w:multiLevelType w:val="multilevel"/>
    <w:tmpl w:val="610804BC"/>
    <w:lvl w:ilvl="0">
      <w:start w:val="1"/>
      <w:numFmt w:val="decimal"/>
      <w:lvlText w:val="%1."/>
      <w:lvlJc w:val="left"/>
      <w:pPr>
        <w:ind w:left="476" w:hanging="476"/>
      </w:pPr>
      <w:rPr>
        <w:rFonts w:hint="default"/>
        <w:b/>
        <w:bCs/>
      </w:rPr>
    </w:lvl>
    <w:lvl w:ilvl="1">
      <w:start w:val="1"/>
      <w:numFmt w:val="lowerLetter"/>
      <w:lvlText w:val="%2)"/>
      <w:lvlJc w:val="left"/>
      <w:pPr>
        <w:ind w:left="836" w:hanging="360"/>
      </w:p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1F000BCD"/>
    <w:multiLevelType w:val="hybridMultilevel"/>
    <w:tmpl w:val="E334FCE4"/>
    <w:lvl w:ilvl="0" w:tplc="41A8472E">
      <w:start w:val="1"/>
      <w:numFmt w:val="bullet"/>
      <w:lvlText w:val="-"/>
      <w:lvlJc w:val="left"/>
      <w:pPr>
        <w:ind w:left="720" w:hanging="360"/>
      </w:pPr>
      <w:rPr>
        <w:rFonts w:ascii="Calibri" w:hAnsi="Calibri" w:hint="default"/>
      </w:rPr>
    </w:lvl>
    <w:lvl w:ilvl="1" w:tplc="1382DC1A">
      <w:start w:val="1"/>
      <w:numFmt w:val="bullet"/>
      <w:lvlText w:val="o"/>
      <w:lvlJc w:val="left"/>
      <w:pPr>
        <w:ind w:left="1440" w:hanging="360"/>
      </w:pPr>
      <w:rPr>
        <w:rFonts w:ascii="Courier New" w:hAnsi="Courier New" w:hint="default"/>
      </w:rPr>
    </w:lvl>
    <w:lvl w:ilvl="2" w:tplc="4A086676">
      <w:start w:val="1"/>
      <w:numFmt w:val="bullet"/>
      <w:lvlText w:val=""/>
      <w:lvlJc w:val="left"/>
      <w:pPr>
        <w:ind w:left="2160" w:hanging="360"/>
      </w:pPr>
      <w:rPr>
        <w:rFonts w:ascii="Wingdings" w:hAnsi="Wingdings" w:hint="default"/>
      </w:rPr>
    </w:lvl>
    <w:lvl w:ilvl="3" w:tplc="24D8C2E8">
      <w:start w:val="1"/>
      <w:numFmt w:val="bullet"/>
      <w:lvlText w:val=""/>
      <w:lvlJc w:val="left"/>
      <w:pPr>
        <w:ind w:left="2880" w:hanging="360"/>
      </w:pPr>
      <w:rPr>
        <w:rFonts w:ascii="Symbol" w:hAnsi="Symbol" w:hint="default"/>
      </w:rPr>
    </w:lvl>
    <w:lvl w:ilvl="4" w:tplc="B8C04682">
      <w:start w:val="1"/>
      <w:numFmt w:val="bullet"/>
      <w:lvlText w:val="o"/>
      <w:lvlJc w:val="left"/>
      <w:pPr>
        <w:ind w:left="3600" w:hanging="360"/>
      </w:pPr>
      <w:rPr>
        <w:rFonts w:ascii="Courier New" w:hAnsi="Courier New" w:hint="default"/>
      </w:rPr>
    </w:lvl>
    <w:lvl w:ilvl="5" w:tplc="7D3033D2">
      <w:start w:val="1"/>
      <w:numFmt w:val="bullet"/>
      <w:lvlText w:val=""/>
      <w:lvlJc w:val="left"/>
      <w:pPr>
        <w:ind w:left="4320" w:hanging="360"/>
      </w:pPr>
      <w:rPr>
        <w:rFonts w:ascii="Wingdings" w:hAnsi="Wingdings" w:hint="default"/>
      </w:rPr>
    </w:lvl>
    <w:lvl w:ilvl="6" w:tplc="53D233BC">
      <w:start w:val="1"/>
      <w:numFmt w:val="bullet"/>
      <w:lvlText w:val=""/>
      <w:lvlJc w:val="left"/>
      <w:pPr>
        <w:ind w:left="5040" w:hanging="360"/>
      </w:pPr>
      <w:rPr>
        <w:rFonts w:ascii="Symbol" w:hAnsi="Symbol" w:hint="default"/>
      </w:rPr>
    </w:lvl>
    <w:lvl w:ilvl="7" w:tplc="187CA474">
      <w:start w:val="1"/>
      <w:numFmt w:val="bullet"/>
      <w:lvlText w:val="o"/>
      <w:lvlJc w:val="left"/>
      <w:pPr>
        <w:ind w:left="5760" w:hanging="360"/>
      </w:pPr>
      <w:rPr>
        <w:rFonts w:ascii="Courier New" w:hAnsi="Courier New" w:hint="default"/>
      </w:rPr>
    </w:lvl>
    <w:lvl w:ilvl="8" w:tplc="726C11C6">
      <w:start w:val="1"/>
      <w:numFmt w:val="bullet"/>
      <w:lvlText w:val=""/>
      <w:lvlJc w:val="left"/>
      <w:pPr>
        <w:ind w:left="6480" w:hanging="360"/>
      </w:pPr>
      <w:rPr>
        <w:rFonts w:ascii="Wingdings" w:hAnsi="Wingdings" w:hint="default"/>
      </w:rPr>
    </w:lvl>
  </w:abstractNum>
  <w:abstractNum w:abstractNumId="38"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1"/>
      <w:lvlText w:val="%1.%2."/>
      <w:lvlJc w:val="left"/>
      <w:pPr>
        <w:tabs>
          <w:tab w:val="num" w:pos="850"/>
        </w:tabs>
        <w:ind w:left="850" w:hanging="850"/>
      </w:pPr>
    </w:lvl>
    <w:lvl w:ilvl="2">
      <w:start w:val="1"/>
      <w:numFmt w:val="decimal"/>
      <w:pStyle w:val="NumPar2"/>
      <w:lvlText w:val="%1.%2.%3."/>
      <w:lvlJc w:val="left"/>
      <w:pPr>
        <w:tabs>
          <w:tab w:val="num" w:pos="850"/>
        </w:tabs>
        <w:ind w:left="850" w:hanging="850"/>
      </w:pPr>
    </w:lvl>
    <w:lvl w:ilvl="3">
      <w:start w:val="1"/>
      <w:numFmt w:val="decimal"/>
      <w:pStyle w:val="NumPar3"/>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3164AFB"/>
    <w:multiLevelType w:val="hybridMultilevel"/>
    <w:tmpl w:val="8B6C2238"/>
    <w:lvl w:ilvl="0" w:tplc="1C2C3C14">
      <w:start w:val="1"/>
      <w:numFmt w:val="decimal"/>
      <w:lvlText w:val="%1."/>
      <w:lvlJc w:val="left"/>
      <w:pPr>
        <w:ind w:left="1080" w:hanging="360"/>
      </w:pPr>
    </w:lvl>
    <w:lvl w:ilvl="1" w:tplc="400CA014">
      <w:start w:val="1"/>
      <w:numFmt w:val="lowerLetter"/>
      <w:lvlText w:val="%2."/>
      <w:lvlJc w:val="left"/>
      <w:pPr>
        <w:ind w:left="1800" w:hanging="360"/>
      </w:pPr>
    </w:lvl>
    <w:lvl w:ilvl="2" w:tplc="9FE250C4">
      <w:start w:val="1"/>
      <w:numFmt w:val="lowerRoman"/>
      <w:lvlText w:val="%3."/>
      <w:lvlJc w:val="right"/>
      <w:pPr>
        <w:ind w:left="2520" w:hanging="180"/>
      </w:pPr>
    </w:lvl>
    <w:lvl w:ilvl="3" w:tplc="0220BE9C">
      <w:start w:val="1"/>
      <w:numFmt w:val="decimal"/>
      <w:lvlText w:val="%4."/>
      <w:lvlJc w:val="left"/>
      <w:pPr>
        <w:ind w:left="3240" w:hanging="360"/>
      </w:pPr>
    </w:lvl>
    <w:lvl w:ilvl="4" w:tplc="194015C8">
      <w:start w:val="1"/>
      <w:numFmt w:val="lowerLetter"/>
      <w:lvlText w:val="%5."/>
      <w:lvlJc w:val="left"/>
      <w:pPr>
        <w:ind w:left="3960" w:hanging="360"/>
      </w:pPr>
    </w:lvl>
    <w:lvl w:ilvl="5" w:tplc="FD30D5EA">
      <w:start w:val="1"/>
      <w:numFmt w:val="lowerRoman"/>
      <w:lvlText w:val="%6."/>
      <w:lvlJc w:val="right"/>
      <w:pPr>
        <w:ind w:left="4680" w:hanging="180"/>
      </w:pPr>
    </w:lvl>
    <w:lvl w:ilvl="6" w:tplc="17522B08">
      <w:start w:val="1"/>
      <w:numFmt w:val="decimal"/>
      <w:lvlText w:val="%7."/>
      <w:lvlJc w:val="left"/>
      <w:pPr>
        <w:ind w:left="5400" w:hanging="360"/>
      </w:pPr>
    </w:lvl>
    <w:lvl w:ilvl="7" w:tplc="1C7E61F4">
      <w:start w:val="1"/>
      <w:numFmt w:val="lowerLetter"/>
      <w:lvlText w:val="%8."/>
      <w:lvlJc w:val="left"/>
      <w:pPr>
        <w:ind w:left="6120" w:hanging="360"/>
      </w:pPr>
    </w:lvl>
    <w:lvl w:ilvl="8" w:tplc="2A36D5F2">
      <w:start w:val="1"/>
      <w:numFmt w:val="lowerRoman"/>
      <w:lvlText w:val="%9."/>
      <w:lvlJc w:val="right"/>
      <w:pPr>
        <w:ind w:left="6840" w:hanging="180"/>
      </w:pPr>
    </w:lvl>
  </w:abstractNum>
  <w:abstractNum w:abstractNumId="40" w15:restartNumberingAfterBreak="0">
    <w:nsid w:val="23D4AE7B"/>
    <w:multiLevelType w:val="hybridMultilevel"/>
    <w:tmpl w:val="D528E2A2"/>
    <w:lvl w:ilvl="0" w:tplc="A4F03E4A">
      <w:start w:val="1"/>
      <w:numFmt w:val="decimal"/>
      <w:lvlText w:val="%1)"/>
      <w:lvlJc w:val="left"/>
      <w:pPr>
        <w:ind w:left="360" w:hanging="360"/>
      </w:pPr>
    </w:lvl>
    <w:lvl w:ilvl="1" w:tplc="1B62E92E">
      <w:start w:val="1"/>
      <w:numFmt w:val="lowerLetter"/>
      <w:lvlText w:val="%2."/>
      <w:lvlJc w:val="left"/>
      <w:pPr>
        <w:ind w:left="1080" w:hanging="360"/>
      </w:pPr>
    </w:lvl>
    <w:lvl w:ilvl="2" w:tplc="29F64C0A">
      <w:start w:val="1"/>
      <w:numFmt w:val="lowerRoman"/>
      <w:lvlText w:val="%3."/>
      <w:lvlJc w:val="right"/>
      <w:pPr>
        <w:ind w:left="1800" w:hanging="180"/>
      </w:pPr>
    </w:lvl>
    <w:lvl w:ilvl="3" w:tplc="A8CAB7D8">
      <w:start w:val="1"/>
      <w:numFmt w:val="decimal"/>
      <w:lvlText w:val="%4."/>
      <w:lvlJc w:val="left"/>
      <w:pPr>
        <w:ind w:left="2520" w:hanging="360"/>
      </w:pPr>
    </w:lvl>
    <w:lvl w:ilvl="4" w:tplc="72DA7254">
      <w:start w:val="1"/>
      <w:numFmt w:val="lowerLetter"/>
      <w:lvlText w:val="%5."/>
      <w:lvlJc w:val="left"/>
      <w:pPr>
        <w:ind w:left="3240" w:hanging="360"/>
      </w:pPr>
    </w:lvl>
    <w:lvl w:ilvl="5" w:tplc="8FB471FA">
      <w:start w:val="1"/>
      <w:numFmt w:val="lowerRoman"/>
      <w:lvlText w:val="%6."/>
      <w:lvlJc w:val="right"/>
      <w:pPr>
        <w:ind w:left="3960" w:hanging="180"/>
      </w:pPr>
    </w:lvl>
    <w:lvl w:ilvl="6" w:tplc="27404ED0">
      <w:start w:val="1"/>
      <w:numFmt w:val="decimal"/>
      <w:lvlText w:val="%7."/>
      <w:lvlJc w:val="left"/>
      <w:pPr>
        <w:ind w:left="4680" w:hanging="360"/>
      </w:pPr>
    </w:lvl>
    <w:lvl w:ilvl="7" w:tplc="01A68EE4">
      <w:start w:val="1"/>
      <w:numFmt w:val="lowerLetter"/>
      <w:lvlText w:val="%8."/>
      <w:lvlJc w:val="left"/>
      <w:pPr>
        <w:ind w:left="5400" w:hanging="360"/>
      </w:pPr>
    </w:lvl>
    <w:lvl w:ilvl="8" w:tplc="65B2D2A2">
      <w:start w:val="1"/>
      <w:numFmt w:val="lowerRoman"/>
      <w:lvlText w:val="%9."/>
      <w:lvlJc w:val="right"/>
      <w:pPr>
        <w:ind w:left="6120" w:hanging="180"/>
      </w:pPr>
    </w:lvl>
  </w:abstractNum>
  <w:abstractNum w:abstractNumId="41" w15:restartNumberingAfterBreak="0">
    <w:nsid w:val="24AF1572"/>
    <w:multiLevelType w:val="singleLevel"/>
    <w:tmpl w:val="3FE82790"/>
    <w:styleLink w:val="Puntielenco0"/>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26E7148B"/>
    <w:multiLevelType w:val="hybridMultilevel"/>
    <w:tmpl w:val="AE1ABF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281E48E5"/>
    <w:multiLevelType w:val="hybridMultilevel"/>
    <w:tmpl w:val="670CB30C"/>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4" w15:restartNumberingAfterBreak="0">
    <w:nsid w:val="282C67BF"/>
    <w:multiLevelType w:val="hybridMultilevel"/>
    <w:tmpl w:val="8DC0602E"/>
    <w:lvl w:ilvl="0" w:tplc="FFFFFFFF">
      <w:start w:val="1"/>
      <w:numFmt w:val="lowerLetter"/>
      <w:lvlText w:val="%1."/>
      <w:lvlJc w:val="left"/>
      <w:pPr>
        <w:ind w:left="720" w:hanging="360"/>
      </w:pPr>
    </w:lvl>
    <w:lvl w:ilvl="1" w:tplc="18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839411F"/>
    <w:multiLevelType w:val="hybridMultilevel"/>
    <w:tmpl w:val="0F08FEE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6" w15:restartNumberingAfterBreak="0">
    <w:nsid w:val="28BD17F5"/>
    <w:multiLevelType w:val="hybridMultilevel"/>
    <w:tmpl w:val="6E3089F2"/>
    <w:lvl w:ilvl="0" w:tplc="6E24EB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7" w15:restartNumberingAfterBreak="0">
    <w:nsid w:val="2A0B2753"/>
    <w:multiLevelType w:val="hybridMultilevel"/>
    <w:tmpl w:val="4ED0FDE0"/>
    <w:lvl w:ilvl="0" w:tplc="FF1EC724">
      <w:start w:val="2"/>
      <w:numFmt w:val="decimal"/>
      <w:lvlText w:val="%1."/>
      <w:lvlJc w:val="left"/>
      <w:pPr>
        <w:ind w:left="720" w:hanging="360"/>
      </w:pPr>
    </w:lvl>
    <w:lvl w:ilvl="1" w:tplc="58CCFBB0">
      <w:start w:val="1"/>
      <w:numFmt w:val="lowerLetter"/>
      <w:lvlText w:val="%2."/>
      <w:lvlJc w:val="left"/>
      <w:pPr>
        <w:ind w:left="1440" w:hanging="360"/>
      </w:pPr>
    </w:lvl>
    <w:lvl w:ilvl="2" w:tplc="3416B1D6">
      <w:start w:val="1"/>
      <w:numFmt w:val="lowerRoman"/>
      <w:lvlText w:val="%3."/>
      <w:lvlJc w:val="right"/>
      <w:pPr>
        <w:ind w:left="2160" w:hanging="180"/>
      </w:pPr>
    </w:lvl>
    <w:lvl w:ilvl="3" w:tplc="107E25C2">
      <w:start w:val="1"/>
      <w:numFmt w:val="decimal"/>
      <w:lvlText w:val="%4."/>
      <w:lvlJc w:val="left"/>
      <w:pPr>
        <w:ind w:left="2880" w:hanging="360"/>
      </w:pPr>
    </w:lvl>
    <w:lvl w:ilvl="4" w:tplc="07AA6102">
      <w:start w:val="1"/>
      <w:numFmt w:val="lowerLetter"/>
      <w:lvlText w:val="%5."/>
      <w:lvlJc w:val="left"/>
      <w:pPr>
        <w:ind w:left="3600" w:hanging="360"/>
      </w:pPr>
    </w:lvl>
    <w:lvl w:ilvl="5" w:tplc="240E7BF8">
      <w:start w:val="1"/>
      <w:numFmt w:val="lowerRoman"/>
      <w:lvlText w:val="%6."/>
      <w:lvlJc w:val="right"/>
      <w:pPr>
        <w:ind w:left="4320" w:hanging="180"/>
      </w:pPr>
    </w:lvl>
    <w:lvl w:ilvl="6" w:tplc="53322624">
      <w:start w:val="1"/>
      <w:numFmt w:val="decimal"/>
      <w:lvlText w:val="%7."/>
      <w:lvlJc w:val="left"/>
      <w:pPr>
        <w:ind w:left="5040" w:hanging="360"/>
      </w:pPr>
    </w:lvl>
    <w:lvl w:ilvl="7" w:tplc="7B9C8002">
      <w:start w:val="1"/>
      <w:numFmt w:val="lowerLetter"/>
      <w:lvlText w:val="%8."/>
      <w:lvlJc w:val="left"/>
      <w:pPr>
        <w:ind w:left="5760" w:hanging="360"/>
      </w:pPr>
    </w:lvl>
    <w:lvl w:ilvl="8" w:tplc="40929C8C">
      <w:start w:val="1"/>
      <w:numFmt w:val="lowerRoman"/>
      <w:lvlText w:val="%9."/>
      <w:lvlJc w:val="right"/>
      <w:pPr>
        <w:ind w:left="6480" w:hanging="180"/>
      </w:pPr>
    </w:lvl>
  </w:abstractNum>
  <w:abstractNum w:abstractNumId="48" w15:restartNumberingAfterBreak="0">
    <w:nsid w:val="2A4C5E6E"/>
    <w:multiLevelType w:val="hybridMultilevel"/>
    <w:tmpl w:val="B7D8745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9" w15:restartNumberingAfterBreak="0">
    <w:nsid w:val="2A8C6896"/>
    <w:multiLevelType w:val="hybridMultilevel"/>
    <w:tmpl w:val="2C564158"/>
    <w:lvl w:ilvl="0" w:tplc="18090015">
      <w:start w:val="17"/>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0" w15:restartNumberingAfterBreak="0">
    <w:nsid w:val="2A92660E"/>
    <w:multiLevelType w:val="hybridMultilevel"/>
    <w:tmpl w:val="E50C9DBA"/>
    <w:lvl w:ilvl="0" w:tplc="2EE8D4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B436764"/>
    <w:multiLevelType w:val="hybridMultilevel"/>
    <w:tmpl w:val="8DE88880"/>
    <w:lvl w:ilvl="0" w:tplc="B476C69E">
      <w:start w:val="1"/>
      <w:numFmt w:val="bullet"/>
      <w:lvlText w:val="-"/>
      <w:lvlJc w:val="left"/>
      <w:pPr>
        <w:ind w:left="1429" w:hanging="360"/>
      </w:pPr>
      <w:rPr>
        <w:rFonts w:ascii="Times" w:eastAsiaTheme="minorHAnsi" w:hAnsi="Times" w:cs="Time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53" w15:restartNumberingAfterBreak="0">
    <w:nsid w:val="2D7B7DD8"/>
    <w:multiLevelType w:val="hybridMultilevel"/>
    <w:tmpl w:val="B1C8EDC6"/>
    <w:lvl w:ilvl="0" w:tplc="0809001B">
      <w:start w:val="1"/>
      <w:numFmt w:val="lowerRoman"/>
      <w:lvlText w:val="%1."/>
      <w:lvlJc w:val="right"/>
      <w:pPr>
        <w:ind w:left="1200" w:hanging="360"/>
      </w:pPr>
      <w:rPr>
        <w:rFonts w:hint="default"/>
      </w:rPr>
    </w:lvl>
    <w:lvl w:ilvl="1" w:tplc="080C0003" w:tentative="1">
      <w:start w:val="1"/>
      <w:numFmt w:val="bullet"/>
      <w:lvlText w:val="o"/>
      <w:lvlJc w:val="left"/>
      <w:pPr>
        <w:ind w:left="1920" w:hanging="360"/>
      </w:pPr>
      <w:rPr>
        <w:rFonts w:ascii="Courier New" w:hAnsi="Courier New" w:cs="Courier New" w:hint="default"/>
      </w:rPr>
    </w:lvl>
    <w:lvl w:ilvl="2" w:tplc="080C0005" w:tentative="1">
      <w:start w:val="1"/>
      <w:numFmt w:val="bullet"/>
      <w:lvlText w:val=""/>
      <w:lvlJc w:val="left"/>
      <w:pPr>
        <w:ind w:left="2640" w:hanging="360"/>
      </w:pPr>
      <w:rPr>
        <w:rFonts w:ascii="Wingdings" w:hAnsi="Wingdings" w:hint="default"/>
      </w:rPr>
    </w:lvl>
    <w:lvl w:ilvl="3" w:tplc="080C0001" w:tentative="1">
      <w:start w:val="1"/>
      <w:numFmt w:val="bullet"/>
      <w:lvlText w:val=""/>
      <w:lvlJc w:val="left"/>
      <w:pPr>
        <w:ind w:left="3360" w:hanging="360"/>
      </w:pPr>
      <w:rPr>
        <w:rFonts w:ascii="Symbol" w:hAnsi="Symbol" w:hint="default"/>
      </w:rPr>
    </w:lvl>
    <w:lvl w:ilvl="4" w:tplc="080C0003" w:tentative="1">
      <w:start w:val="1"/>
      <w:numFmt w:val="bullet"/>
      <w:lvlText w:val="o"/>
      <w:lvlJc w:val="left"/>
      <w:pPr>
        <w:ind w:left="4080" w:hanging="360"/>
      </w:pPr>
      <w:rPr>
        <w:rFonts w:ascii="Courier New" w:hAnsi="Courier New" w:cs="Courier New" w:hint="default"/>
      </w:rPr>
    </w:lvl>
    <w:lvl w:ilvl="5" w:tplc="080C0005" w:tentative="1">
      <w:start w:val="1"/>
      <w:numFmt w:val="bullet"/>
      <w:lvlText w:val=""/>
      <w:lvlJc w:val="left"/>
      <w:pPr>
        <w:ind w:left="4800" w:hanging="360"/>
      </w:pPr>
      <w:rPr>
        <w:rFonts w:ascii="Wingdings" w:hAnsi="Wingdings" w:hint="default"/>
      </w:rPr>
    </w:lvl>
    <w:lvl w:ilvl="6" w:tplc="080C0001" w:tentative="1">
      <w:start w:val="1"/>
      <w:numFmt w:val="bullet"/>
      <w:lvlText w:val=""/>
      <w:lvlJc w:val="left"/>
      <w:pPr>
        <w:ind w:left="5520" w:hanging="360"/>
      </w:pPr>
      <w:rPr>
        <w:rFonts w:ascii="Symbol" w:hAnsi="Symbol" w:hint="default"/>
      </w:rPr>
    </w:lvl>
    <w:lvl w:ilvl="7" w:tplc="080C0003" w:tentative="1">
      <w:start w:val="1"/>
      <w:numFmt w:val="bullet"/>
      <w:lvlText w:val="o"/>
      <w:lvlJc w:val="left"/>
      <w:pPr>
        <w:ind w:left="6240" w:hanging="360"/>
      </w:pPr>
      <w:rPr>
        <w:rFonts w:ascii="Courier New" w:hAnsi="Courier New" w:cs="Courier New" w:hint="default"/>
      </w:rPr>
    </w:lvl>
    <w:lvl w:ilvl="8" w:tplc="080C0005" w:tentative="1">
      <w:start w:val="1"/>
      <w:numFmt w:val="bullet"/>
      <w:lvlText w:val=""/>
      <w:lvlJc w:val="left"/>
      <w:pPr>
        <w:ind w:left="6960" w:hanging="360"/>
      </w:pPr>
      <w:rPr>
        <w:rFonts w:ascii="Wingdings" w:hAnsi="Wingdings" w:hint="default"/>
      </w:rPr>
    </w:lvl>
  </w:abstractNum>
  <w:abstractNum w:abstractNumId="54" w15:restartNumberingAfterBreak="0">
    <w:nsid w:val="2E340810"/>
    <w:multiLevelType w:val="hybridMultilevel"/>
    <w:tmpl w:val="0A2E0620"/>
    <w:lvl w:ilvl="0" w:tplc="3988A4E4">
      <w:start w:val="1"/>
      <w:numFmt w:val="decimal"/>
      <w:lvlText w:val="%1."/>
      <w:lvlJc w:val="left"/>
      <w:pPr>
        <w:ind w:left="720" w:hanging="360"/>
      </w:pPr>
    </w:lvl>
    <w:lvl w:ilvl="1" w:tplc="71A08712">
      <w:start w:val="1"/>
      <w:numFmt w:val="lowerLetter"/>
      <w:lvlText w:val="%2."/>
      <w:lvlJc w:val="left"/>
      <w:pPr>
        <w:ind w:left="1440" w:hanging="360"/>
      </w:pPr>
    </w:lvl>
    <w:lvl w:ilvl="2" w:tplc="341CA6C8">
      <w:start w:val="1"/>
      <w:numFmt w:val="lowerRoman"/>
      <w:lvlText w:val="%3."/>
      <w:lvlJc w:val="right"/>
      <w:pPr>
        <w:ind w:left="2160" w:hanging="180"/>
      </w:pPr>
    </w:lvl>
    <w:lvl w:ilvl="3" w:tplc="C2D4D574">
      <w:start w:val="1"/>
      <w:numFmt w:val="decimal"/>
      <w:lvlText w:val="%4."/>
      <w:lvlJc w:val="left"/>
      <w:pPr>
        <w:ind w:left="2880" w:hanging="360"/>
      </w:pPr>
    </w:lvl>
    <w:lvl w:ilvl="4" w:tplc="457AA47C">
      <w:start w:val="1"/>
      <w:numFmt w:val="lowerLetter"/>
      <w:lvlText w:val="%5."/>
      <w:lvlJc w:val="left"/>
      <w:pPr>
        <w:ind w:left="3600" w:hanging="360"/>
      </w:pPr>
    </w:lvl>
    <w:lvl w:ilvl="5" w:tplc="DBF00120">
      <w:start w:val="1"/>
      <w:numFmt w:val="lowerRoman"/>
      <w:lvlText w:val="%6."/>
      <w:lvlJc w:val="right"/>
      <w:pPr>
        <w:ind w:left="4320" w:hanging="180"/>
      </w:pPr>
    </w:lvl>
    <w:lvl w:ilvl="6" w:tplc="713A207A">
      <w:start w:val="1"/>
      <w:numFmt w:val="decimal"/>
      <w:lvlText w:val="%7."/>
      <w:lvlJc w:val="left"/>
      <w:pPr>
        <w:ind w:left="5040" w:hanging="360"/>
      </w:pPr>
    </w:lvl>
    <w:lvl w:ilvl="7" w:tplc="41A81C90">
      <w:start w:val="1"/>
      <w:numFmt w:val="lowerLetter"/>
      <w:lvlText w:val="%8."/>
      <w:lvlJc w:val="left"/>
      <w:pPr>
        <w:ind w:left="5760" w:hanging="360"/>
      </w:pPr>
    </w:lvl>
    <w:lvl w:ilvl="8" w:tplc="11FC6786">
      <w:start w:val="1"/>
      <w:numFmt w:val="lowerRoman"/>
      <w:lvlText w:val="%9."/>
      <w:lvlJc w:val="right"/>
      <w:pPr>
        <w:ind w:left="6480" w:hanging="180"/>
      </w:pPr>
    </w:lvl>
  </w:abstractNum>
  <w:abstractNum w:abstractNumId="55" w15:restartNumberingAfterBreak="0">
    <w:nsid w:val="2ECB60E5"/>
    <w:multiLevelType w:val="hybridMultilevel"/>
    <w:tmpl w:val="CCCE8B74"/>
    <w:lvl w:ilvl="0" w:tplc="0410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1721DFB"/>
    <w:multiLevelType w:val="hybridMultilevel"/>
    <w:tmpl w:val="A000A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1B36938"/>
    <w:multiLevelType w:val="hybridMultilevel"/>
    <w:tmpl w:val="FFFFFFFF"/>
    <w:lvl w:ilvl="0" w:tplc="27C8A6CA">
      <w:start w:val="1"/>
      <w:numFmt w:val="decimal"/>
      <w:lvlText w:val="%1)"/>
      <w:lvlJc w:val="left"/>
      <w:pPr>
        <w:ind w:left="720" w:hanging="360"/>
      </w:pPr>
    </w:lvl>
    <w:lvl w:ilvl="1" w:tplc="320092F0">
      <w:start w:val="1"/>
      <w:numFmt w:val="lowerLetter"/>
      <w:lvlText w:val="%2."/>
      <w:lvlJc w:val="left"/>
      <w:pPr>
        <w:ind w:left="1440" w:hanging="360"/>
      </w:pPr>
    </w:lvl>
    <w:lvl w:ilvl="2" w:tplc="A8BCDE2E">
      <w:start w:val="1"/>
      <w:numFmt w:val="lowerRoman"/>
      <w:lvlText w:val="%3."/>
      <w:lvlJc w:val="right"/>
      <w:pPr>
        <w:ind w:left="2160" w:hanging="180"/>
      </w:pPr>
    </w:lvl>
    <w:lvl w:ilvl="3" w:tplc="0A18BAC0">
      <w:start w:val="1"/>
      <w:numFmt w:val="decimal"/>
      <w:lvlText w:val="%4."/>
      <w:lvlJc w:val="left"/>
      <w:pPr>
        <w:ind w:left="2880" w:hanging="360"/>
      </w:pPr>
    </w:lvl>
    <w:lvl w:ilvl="4" w:tplc="D9B0F620">
      <w:start w:val="1"/>
      <w:numFmt w:val="lowerLetter"/>
      <w:lvlText w:val="%5."/>
      <w:lvlJc w:val="left"/>
      <w:pPr>
        <w:ind w:left="3600" w:hanging="360"/>
      </w:pPr>
    </w:lvl>
    <w:lvl w:ilvl="5" w:tplc="EF5E7E2A">
      <w:start w:val="1"/>
      <w:numFmt w:val="lowerRoman"/>
      <w:lvlText w:val="%6."/>
      <w:lvlJc w:val="right"/>
      <w:pPr>
        <w:ind w:left="4320" w:hanging="180"/>
      </w:pPr>
    </w:lvl>
    <w:lvl w:ilvl="6" w:tplc="73B45644">
      <w:start w:val="1"/>
      <w:numFmt w:val="decimal"/>
      <w:lvlText w:val="%7."/>
      <w:lvlJc w:val="left"/>
      <w:pPr>
        <w:ind w:left="5040" w:hanging="360"/>
      </w:pPr>
    </w:lvl>
    <w:lvl w:ilvl="7" w:tplc="EE5C03F4">
      <w:start w:val="1"/>
      <w:numFmt w:val="lowerLetter"/>
      <w:lvlText w:val="%8."/>
      <w:lvlJc w:val="left"/>
      <w:pPr>
        <w:ind w:left="5760" w:hanging="360"/>
      </w:pPr>
    </w:lvl>
    <w:lvl w:ilvl="8" w:tplc="EA3C9C72">
      <w:start w:val="1"/>
      <w:numFmt w:val="lowerRoman"/>
      <w:lvlText w:val="%9."/>
      <w:lvlJc w:val="right"/>
      <w:pPr>
        <w:ind w:left="6480" w:hanging="180"/>
      </w:pPr>
    </w:lvl>
  </w:abstractNum>
  <w:abstractNum w:abstractNumId="58" w15:restartNumberingAfterBreak="0">
    <w:nsid w:val="31FA11EB"/>
    <w:multiLevelType w:val="singleLevel"/>
    <w:tmpl w:val="3E140CA2"/>
    <w:styleLink w:val="Stileimportato9"/>
    <w:lvl w:ilvl="0">
      <w:start w:val="1"/>
      <w:numFmt w:val="decimal"/>
      <w:lvlText w:val="%1."/>
      <w:lvlJc w:val="left"/>
      <w:pPr>
        <w:tabs>
          <w:tab w:val="num" w:pos="1209"/>
        </w:tabs>
        <w:ind w:left="1209" w:hanging="360"/>
      </w:pPr>
    </w:lvl>
  </w:abstractNum>
  <w:abstractNum w:abstractNumId="59" w15:restartNumberingAfterBreak="0">
    <w:nsid w:val="33022218"/>
    <w:multiLevelType w:val="hybridMultilevel"/>
    <w:tmpl w:val="99364126"/>
    <w:lvl w:ilvl="0" w:tplc="CBEE287A">
      <w:start w:val="3"/>
      <w:numFmt w:val="decimal"/>
      <w:lvlText w:val="%1."/>
      <w:lvlJc w:val="left"/>
      <w:pPr>
        <w:ind w:left="720" w:hanging="360"/>
      </w:pPr>
    </w:lvl>
    <w:lvl w:ilvl="1" w:tplc="2D8220A0">
      <w:start w:val="1"/>
      <w:numFmt w:val="lowerLetter"/>
      <w:lvlText w:val="%2."/>
      <w:lvlJc w:val="left"/>
      <w:pPr>
        <w:ind w:left="1440" w:hanging="360"/>
      </w:pPr>
    </w:lvl>
    <w:lvl w:ilvl="2" w:tplc="06706872">
      <w:start w:val="1"/>
      <w:numFmt w:val="lowerRoman"/>
      <w:lvlText w:val="%3."/>
      <w:lvlJc w:val="right"/>
      <w:pPr>
        <w:ind w:left="2160" w:hanging="180"/>
      </w:pPr>
    </w:lvl>
    <w:lvl w:ilvl="3" w:tplc="6714F92E">
      <w:start w:val="1"/>
      <w:numFmt w:val="decimal"/>
      <w:lvlText w:val="%4."/>
      <w:lvlJc w:val="left"/>
      <w:pPr>
        <w:ind w:left="2880" w:hanging="360"/>
      </w:pPr>
    </w:lvl>
    <w:lvl w:ilvl="4" w:tplc="12E8D4DA">
      <w:start w:val="1"/>
      <w:numFmt w:val="lowerLetter"/>
      <w:lvlText w:val="%5."/>
      <w:lvlJc w:val="left"/>
      <w:pPr>
        <w:ind w:left="3600" w:hanging="360"/>
      </w:pPr>
    </w:lvl>
    <w:lvl w:ilvl="5" w:tplc="69C4FDE4">
      <w:start w:val="1"/>
      <w:numFmt w:val="lowerRoman"/>
      <w:lvlText w:val="%6."/>
      <w:lvlJc w:val="right"/>
      <w:pPr>
        <w:ind w:left="4320" w:hanging="180"/>
      </w:pPr>
    </w:lvl>
    <w:lvl w:ilvl="6" w:tplc="CF78ECBA">
      <w:start w:val="1"/>
      <w:numFmt w:val="decimal"/>
      <w:lvlText w:val="%7."/>
      <w:lvlJc w:val="left"/>
      <w:pPr>
        <w:ind w:left="5040" w:hanging="360"/>
      </w:pPr>
    </w:lvl>
    <w:lvl w:ilvl="7" w:tplc="43F691B2">
      <w:start w:val="1"/>
      <w:numFmt w:val="lowerLetter"/>
      <w:lvlText w:val="%8."/>
      <w:lvlJc w:val="left"/>
      <w:pPr>
        <w:ind w:left="5760" w:hanging="360"/>
      </w:pPr>
    </w:lvl>
    <w:lvl w:ilvl="8" w:tplc="F13AD010">
      <w:start w:val="1"/>
      <w:numFmt w:val="lowerRoman"/>
      <w:lvlText w:val="%9."/>
      <w:lvlJc w:val="right"/>
      <w:pPr>
        <w:ind w:left="6480" w:hanging="180"/>
      </w:pPr>
    </w:lvl>
  </w:abstractNum>
  <w:abstractNum w:abstractNumId="60" w15:restartNumberingAfterBreak="0">
    <w:nsid w:val="339807E9"/>
    <w:multiLevelType w:val="hybridMultilevel"/>
    <w:tmpl w:val="269EC50C"/>
    <w:lvl w:ilvl="0" w:tplc="04100017">
      <w:start w:val="1"/>
      <w:numFmt w:val="lowerLetter"/>
      <w:lvlText w:val="%1)"/>
      <w:lvlJc w:val="left"/>
      <w:pPr>
        <w:ind w:left="720" w:hanging="360"/>
      </w:pPr>
      <w:rPr>
        <w:rFonts w:hint="default"/>
      </w:rPr>
    </w:lvl>
    <w:lvl w:ilvl="1" w:tplc="D820F8FC">
      <w:numFmt w:val="bullet"/>
      <w:lvlText w:val="-"/>
      <w:lvlJc w:val="left"/>
      <w:pPr>
        <w:ind w:left="1440" w:hanging="360"/>
      </w:pPr>
      <w:rPr>
        <w:rFonts w:ascii="Calibri" w:eastAsiaTheme="minorHAnsi" w:hAnsi="Calibri" w:cs="Calibri"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348B31EF"/>
    <w:multiLevelType w:val="hybridMultilevel"/>
    <w:tmpl w:val="0C64B88C"/>
    <w:lvl w:ilvl="0" w:tplc="8C5AEA30">
      <w:start w:val="1"/>
      <w:numFmt w:val="bullet"/>
      <w:lvlText w:val="·"/>
      <w:lvlJc w:val="left"/>
      <w:pPr>
        <w:ind w:left="720" w:hanging="360"/>
      </w:pPr>
      <w:rPr>
        <w:rFonts w:ascii="Symbol" w:hAnsi="Symbol" w:hint="default"/>
      </w:rPr>
    </w:lvl>
    <w:lvl w:ilvl="1" w:tplc="CACA1F3A">
      <w:start w:val="1"/>
      <w:numFmt w:val="bullet"/>
      <w:lvlText w:val="o"/>
      <w:lvlJc w:val="left"/>
      <w:pPr>
        <w:ind w:left="1440" w:hanging="360"/>
      </w:pPr>
      <w:rPr>
        <w:rFonts w:ascii="Courier New" w:hAnsi="Courier New" w:hint="default"/>
      </w:rPr>
    </w:lvl>
    <w:lvl w:ilvl="2" w:tplc="3918BF64">
      <w:start w:val="1"/>
      <w:numFmt w:val="bullet"/>
      <w:lvlText w:val=""/>
      <w:lvlJc w:val="left"/>
      <w:pPr>
        <w:ind w:left="2160" w:hanging="360"/>
      </w:pPr>
      <w:rPr>
        <w:rFonts w:ascii="Wingdings" w:hAnsi="Wingdings" w:hint="default"/>
      </w:rPr>
    </w:lvl>
    <w:lvl w:ilvl="3" w:tplc="E1E251FA">
      <w:start w:val="1"/>
      <w:numFmt w:val="bullet"/>
      <w:lvlText w:val=""/>
      <w:lvlJc w:val="left"/>
      <w:pPr>
        <w:ind w:left="2880" w:hanging="360"/>
      </w:pPr>
      <w:rPr>
        <w:rFonts w:ascii="Symbol" w:hAnsi="Symbol" w:hint="default"/>
      </w:rPr>
    </w:lvl>
    <w:lvl w:ilvl="4" w:tplc="79E012B0">
      <w:start w:val="1"/>
      <w:numFmt w:val="bullet"/>
      <w:lvlText w:val="o"/>
      <w:lvlJc w:val="left"/>
      <w:pPr>
        <w:ind w:left="3600" w:hanging="360"/>
      </w:pPr>
      <w:rPr>
        <w:rFonts w:ascii="Courier New" w:hAnsi="Courier New" w:hint="default"/>
      </w:rPr>
    </w:lvl>
    <w:lvl w:ilvl="5" w:tplc="597ED372">
      <w:start w:val="1"/>
      <w:numFmt w:val="bullet"/>
      <w:lvlText w:val=""/>
      <w:lvlJc w:val="left"/>
      <w:pPr>
        <w:ind w:left="4320" w:hanging="360"/>
      </w:pPr>
      <w:rPr>
        <w:rFonts w:ascii="Wingdings" w:hAnsi="Wingdings" w:hint="default"/>
      </w:rPr>
    </w:lvl>
    <w:lvl w:ilvl="6" w:tplc="32A42998">
      <w:start w:val="1"/>
      <w:numFmt w:val="bullet"/>
      <w:lvlText w:val=""/>
      <w:lvlJc w:val="left"/>
      <w:pPr>
        <w:ind w:left="5040" w:hanging="360"/>
      </w:pPr>
      <w:rPr>
        <w:rFonts w:ascii="Symbol" w:hAnsi="Symbol" w:hint="default"/>
      </w:rPr>
    </w:lvl>
    <w:lvl w:ilvl="7" w:tplc="168659A4">
      <w:start w:val="1"/>
      <w:numFmt w:val="bullet"/>
      <w:lvlText w:val="o"/>
      <w:lvlJc w:val="left"/>
      <w:pPr>
        <w:ind w:left="5760" w:hanging="360"/>
      </w:pPr>
      <w:rPr>
        <w:rFonts w:ascii="Courier New" w:hAnsi="Courier New" w:hint="default"/>
      </w:rPr>
    </w:lvl>
    <w:lvl w:ilvl="8" w:tplc="75965E78">
      <w:start w:val="1"/>
      <w:numFmt w:val="bullet"/>
      <w:lvlText w:val=""/>
      <w:lvlJc w:val="left"/>
      <w:pPr>
        <w:ind w:left="6480" w:hanging="360"/>
      </w:pPr>
      <w:rPr>
        <w:rFonts w:ascii="Wingdings" w:hAnsi="Wingdings" w:hint="default"/>
      </w:rPr>
    </w:lvl>
  </w:abstractNum>
  <w:abstractNum w:abstractNumId="62" w15:restartNumberingAfterBreak="0">
    <w:nsid w:val="34B4179E"/>
    <w:multiLevelType w:val="hybridMultilevel"/>
    <w:tmpl w:val="B08A5420"/>
    <w:lvl w:ilvl="0" w:tplc="67C66DFC">
      <w:numFmt w:val="bullet"/>
      <w:lvlText w:val="-"/>
      <w:lvlJc w:val="left"/>
      <w:pPr>
        <w:ind w:left="720" w:hanging="360"/>
      </w:pPr>
      <w:rPr>
        <w:rFonts w:ascii="Times New Roman" w:eastAsia="Times New Roman"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72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3" w15:restartNumberingAfterBreak="0">
    <w:nsid w:val="35E41947"/>
    <w:multiLevelType w:val="hybridMultilevel"/>
    <w:tmpl w:val="A470DA80"/>
    <w:lvl w:ilvl="0" w:tplc="ADE0F75A">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4" w15:restartNumberingAfterBreak="0">
    <w:nsid w:val="35FC3D1B"/>
    <w:multiLevelType w:val="hybridMultilevel"/>
    <w:tmpl w:val="D05E2708"/>
    <w:lvl w:ilvl="0" w:tplc="28B87E4A">
      <w:start w:val="1"/>
      <w:numFmt w:val="bullet"/>
      <w:lvlText w:val="-"/>
      <w:lvlJc w:val="left"/>
      <w:pPr>
        <w:ind w:left="919" w:hanging="360"/>
      </w:pPr>
      <w:rPr>
        <w:rFonts w:ascii="Times New Roman" w:eastAsia="Times New Roman" w:hAnsi="Times New Roman" w:cs="Times New Roman" w:hint="default"/>
      </w:rPr>
    </w:lvl>
    <w:lvl w:ilvl="1" w:tplc="04100019" w:tentative="1">
      <w:start w:val="1"/>
      <w:numFmt w:val="lowerLetter"/>
      <w:lvlText w:val="%2."/>
      <w:lvlJc w:val="left"/>
      <w:pPr>
        <w:ind w:left="1639" w:hanging="360"/>
      </w:pPr>
    </w:lvl>
    <w:lvl w:ilvl="2" w:tplc="0410001B" w:tentative="1">
      <w:start w:val="1"/>
      <w:numFmt w:val="lowerRoman"/>
      <w:lvlText w:val="%3."/>
      <w:lvlJc w:val="right"/>
      <w:pPr>
        <w:ind w:left="2359" w:hanging="180"/>
      </w:pPr>
    </w:lvl>
    <w:lvl w:ilvl="3" w:tplc="0410000F" w:tentative="1">
      <w:start w:val="1"/>
      <w:numFmt w:val="decimal"/>
      <w:lvlText w:val="%4."/>
      <w:lvlJc w:val="left"/>
      <w:pPr>
        <w:ind w:left="3079" w:hanging="360"/>
      </w:pPr>
    </w:lvl>
    <w:lvl w:ilvl="4" w:tplc="04100019" w:tentative="1">
      <w:start w:val="1"/>
      <w:numFmt w:val="lowerLetter"/>
      <w:lvlText w:val="%5."/>
      <w:lvlJc w:val="left"/>
      <w:pPr>
        <w:ind w:left="3799" w:hanging="360"/>
      </w:pPr>
    </w:lvl>
    <w:lvl w:ilvl="5" w:tplc="0410001B" w:tentative="1">
      <w:start w:val="1"/>
      <w:numFmt w:val="lowerRoman"/>
      <w:lvlText w:val="%6."/>
      <w:lvlJc w:val="right"/>
      <w:pPr>
        <w:ind w:left="4519" w:hanging="180"/>
      </w:pPr>
    </w:lvl>
    <w:lvl w:ilvl="6" w:tplc="0410000F" w:tentative="1">
      <w:start w:val="1"/>
      <w:numFmt w:val="decimal"/>
      <w:lvlText w:val="%7."/>
      <w:lvlJc w:val="left"/>
      <w:pPr>
        <w:ind w:left="5239" w:hanging="360"/>
      </w:pPr>
    </w:lvl>
    <w:lvl w:ilvl="7" w:tplc="04100019" w:tentative="1">
      <w:start w:val="1"/>
      <w:numFmt w:val="lowerLetter"/>
      <w:lvlText w:val="%8."/>
      <w:lvlJc w:val="left"/>
      <w:pPr>
        <w:ind w:left="5959" w:hanging="360"/>
      </w:pPr>
    </w:lvl>
    <w:lvl w:ilvl="8" w:tplc="0410001B" w:tentative="1">
      <w:start w:val="1"/>
      <w:numFmt w:val="lowerRoman"/>
      <w:lvlText w:val="%9."/>
      <w:lvlJc w:val="right"/>
      <w:pPr>
        <w:ind w:left="6679" w:hanging="180"/>
      </w:pPr>
    </w:lvl>
  </w:abstractNum>
  <w:abstractNum w:abstractNumId="65" w15:restartNumberingAfterBreak="0">
    <w:nsid w:val="36B7EA3A"/>
    <w:multiLevelType w:val="hybridMultilevel"/>
    <w:tmpl w:val="DA126374"/>
    <w:lvl w:ilvl="0" w:tplc="C69E552A">
      <w:start w:val="1"/>
      <w:numFmt w:val="bullet"/>
      <w:lvlText w:val="-"/>
      <w:lvlJc w:val="left"/>
      <w:pPr>
        <w:ind w:left="720" w:hanging="360"/>
      </w:pPr>
      <w:rPr>
        <w:rFonts w:ascii="Calibri" w:hAnsi="Calibri" w:hint="default"/>
      </w:rPr>
    </w:lvl>
    <w:lvl w:ilvl="1" w:tplc="C5CA705E">
      <w:start w:val="1"/>
      <w:numFmt w:val="bullet"/>
      <w:lvlText w:val="o"/>
      <w:lvlJc w:val="left"/>
      <w:pPr>
        <w:ind w:left="1440" w:hanging="360"/>
      </w:pPr>
      <w:rPr>
        <w:rFonts w:ascii="Courier New" w:hAnsi="Courier New" w:hint="default"/>
      </w:rPr>
    </w:lvl>
    <w:lvl w:ilvl="2" w:tplc="3F4253CA">
      <w:start w:val="1"/>
      <w:numFmt w:val="bullet"/>
      <w:lvlText w:val=""/>
      <w:lvlJc w:val="left"/>
      <w:pPr>
        <w:ind w:left="2160" w:hanging="360"/>
      </w:pPr>
      <w:rPr>
        <w:rFonts w:ascii="Wingdings" w:hAnsi="Wingdings" w:hint="default"/>
      </w:rPr>
    </w:lvl>
    <w:lvl w:ilvl="3" w:tplc="DFE26692">
      <w:start w:val="1"/>
      <w:numFmt w:val="bullet"/>
      <w:lvlText w:val=""/>
      <w:lvlJc w:val="left"/>
      <w:pPr>
        <w:ind w:left="2880" w:hanging="360"/>
      </w:pPr>
      <w:rPr>
        <w:rFonts w:ascii="Symbol" w:hAnsi="Symbol" w:hint="default"/>
      </w:rPr>
    </w:lvl>
    <w:lvl w:ilvl="4" w:tplc="70560F24">
      <w:start w:val="1"/>
      <w:numFmt w:val="bullet"/>
      <w:lvlText w:val="o"/>
      <w:lvlJc w:val="left"/>
      <w:pPr>
        <w:ind w:left="3600" w:hanging="360"/>
      </w:pPr>
      <w:rPr>
        <w:rFonts w:ascii="Courier New" w:hAnsi="Courier New" w:hint="default"/>
      </w:rPr>
    </w:lvl>
    <w:lvl w:ilvl="5" w:tplc="4E720168">
      <w:start w:val="1"/>
      <w:numFmt w:val="bullet"/>
      <w:lvlText w:val=""/>
      <w:lvlJc w:val="left"/>
      <w:pPr>
        <w:ind w:left="4320" w:hanging="360"/>
      </w:pPr>
      <w:rPr>
        <w:rFonts w:ascii="Wingdings" w:hAnsi="Wingdings" w:hint="default"/>
      </w:rPr>
    </w:lvl>
    <w:lvl w:ilvl="6" w:tplc="5C2677D0">
      <w:start w:val="1"/>
      <w:numFmt w:val="bullet"/>
      <w:lvlText w:val=""/>
      <w:lvlJc w:val="left"/>
      <w:pPr>
        <w:ind w:left="5040" w:hanging="360"/>
      </w:pPr>
      <w:rPr>
        <w:rFonts w:ascii="Symbol" w:hAnsi="Symbol" w:hint="default"/>
      </w:rPr>
    </w:lvl>
    <w:lvl w:ilvl="7" w:tplc="DBDC180E">
      <w:start w:val="1"/>
      <w:numFmt w:val="bullet"/>
      <w:lvlText w:val="o"/>
      <w:lvlJc w:val="left"/>
      <w:pPr>
        <w:ind w:left="5760" w:hanging="360"/>
      </w:pPr>
      <w:rPr>
        <w:rFonts w:ascii="Courier New" w:hAnsi="Courier New" w:hint="default"/>
      </w:rPr>
    </w:lvl>
    <w:lvl w:ilvl="8" w:tplc="57DCE5D6">
      <w:start w:val="1"/>
      <w:numFmt w:val="bullet"/>
      <w:lvlText w:val=""/>
      <w:lvlJc w:val="left"/>
      <w:pPr>
        <w:ind w:left="6480" w:hanging="360"/>
      </w:pPr>
      <w:rPr>
        <w:rFonts w:ascii="Wingdings" w:hAnsi="Wingdings" w:hint="default"/>
      </w:rPr>
    </w:lvl>
  </w:abstractNum>
  <w:abstractNum w:abstractNumId="66" w15:restartNumberingAfterBreak="0">
    <w:nsid w:val="372537F3"/>
    <w:multiLevelType w:val="hybridMultilevel"/>
    <w:tmpl w:val="3E14E07E"/>
    <w:lvl w:ilvl="0" w:tplc="8EBEB170">
      <w:start w:val="1"/>
      <w:numFmt w:val="decimal"/>
      <w:lvlText w:val="%1."/>
      <w:lvlJc w:val="left"/>
      <w:pPr>
        <w:ind w:left="720" w:hanging="360"/>
      </w:pPr>
    </w:lvl>
    <w:lvl w:ilvl="1" w:tplc="18090019" w:tentative="1">
      <w:start w:val="1"/>
      <w:numFmt w:val="lowerLetter"/>
      <w:lvlText w:val="%2."/>
      <w:lvlJc w:val="left"/>
      <w:pPr>
        <w:ind w:left="-720" w:hanging="360"/>
      </w:pPr>
    </w:lvl>
    <w:lvl w:ilvl="2" w:tplc="1809001B" w:tentative="1">
      <w:start w:val="1"/>
      <w:numFmt w:val="lowerRoman"/>
      <w:lvlText w:val="%3."/>
      <w:lvlJc w:val="right"/>
      <w:pPr>
        <w:ind w:left="0" w:hanging="180"/>
      </w:pPr>
    </w:lvl>
    <w:lvl w:ilvl="3" w:tplc="1809000F" w:tentative="1">
      <w:start w:val="1"/>
      <w:numFmt w:val="decimal"/>
      <w:lvlText w:val="%4."/>
      <w:lvlJc w:val="left"/>
      <w:pPr>
        <w:ind w:left="720" w:hanging="360"/>
      </w:pPr>
    </w:lvl>
    <w:lvl w:ilvl="4" w:tplc="18090019" w:tentative="1">
      <w:start w:val="1"/>
      <w:numFmt w:val="lowerLetter"/>
      <w:lvlText w:val="%5."/>
      <w:lvlJc w:val="left"/>
      <w:pPr>
        <w:ind w:left="1440" w:hanging="360"/>
      </w:pPr>
    </w:lvl>
    <w:lvl w:ilvl="5" w:tplc="1809001B" w:tentative="1">
      <w:start w:val="1"/>
      <w:numFmt w:val="lowerRoman"/>
      <w:lvlText w:val="%6."/>
      <w:lvlJc w:val="right"/>
      <w:pPr>
        <w:ind w:left="2160" w:hanging="180"/>
      </w:pPr>
    </w:lvl>
    <w:lvl w:ilvl="6" w:tplc="1809000F" w:tentative="1">
      <w:start w:val="1"/>
      <w:numFmt w:val="decimal"/>
      <w:lvlText w:val="%7."/>
      <w:lvlJc w:val="left"/>
      <w:pPr>
        <w:ind w:left="2880" w:hanging="360"/>
      </w:pPr>
    </w:lvl>
    <w:lvl w:ilvl="7" w:tplc="18090019" w:tentative="1">
      <w:start w:val="1"/>
      <w:numFmt w:val="lowerLetter"/>
      <w:lvlText w:val="%8."/>
      <w:lvlJc w:val="left"/>
      <w:pPr>
        <w:ind w:left="3600" w:hanging="360"/>
      </w:pPr>
    </w:lvl>
    <w:lvl w:ilvl="8" w:tplc="1809001B" w:tentative="1">
      <w:start w:val="1"/>
      <w:numFmt w:val="lowerRoman"/>
      <w:lvlText w:val="%9."/>
      <w:lvlJc w:val="right"/>
      <w:pPr>
        <w:ind w:left="4320" w:hanging="180"/>
      </w:pPr>
    </w:lvl>
  </w:abstractNum>
  <w:abstractNum w:abstractNumId="67" w15:restartNumberingAfterBreak="0">
    <w:nsid w:val="3758C3CB"/>
    <w:multiLevelType w:val="hybridMultilevel"/>
    <w:tmpl w:val="4DFC13A4"/>
    <w:lvl w:ilvl="0" w:tplc="BA84E760">
      <w:start w:val="1"/>
      <w:numFmt w:val="bullet"/>
      <w:lvlText w:val=""/>
      <w:lvlJc w:val="left"/>
      <w:pPr>
        <w:ind w:left="720" w:hanging="360"/>
      </w:pPr>
      <w:rPr>
        <w:rFonts w:ascii="Symbol" w:hAnsi="Symbol" w:hint="default"/>
      </w:rPr>
    </w:lvl>
    <w:lvl w:ilvl="1" w:tplc="ED1A8E8E">
      <w:start w:val="1"/>
      <w:numFmt w:val="bullet"/>
      <w:lvlText w:val="o"/>
      <w:lvlJc w:val="left"/>
      <w:pPr>
        <w:ind w:left="1440" w:hanging="360"/>
      </w:pPr>
      <w:rPr>
        <w:rFonts w:ascii="Courier New" w:hAnsi="Courier New" w:hint="default"/>
      </w:rPr>
    </w:lvl>
    <w:lvl w:ilvl="2" w:tplc="67B85CAA">
      <w:start w:val="1"/>
      <w:numFmt w:val="bullet"/>
      <w:lvlText w:val=""/>
      <w:lvlJc w:val="left"/>
      <w:pPr>
        <w:ind w:left="2160" w:hanging="360"/>
      </w:pPr>
      <w:rPr>
        <w:rFonts w:ascii="Wingdings" w:hAnsi="Wingdings" w:hint="default"/>
      </w:rPr>
    </w:lvl>
    <w:lvl w:ilvl="3" w:tplc="39DE89E6">
      <w:start w:val="1"/>
      <w:numFmt w:val="bullet"/>
      <w:lvlText w:val=""/>
      <w:lvlJc w:val="left"/>
      <w:pPr>
        <w:ind w:left="2880" w:hanging="360"/>
      </w:pPr>
      <w:rPr>
        <w:rFonts w:ascii="Symbol" w:hAnsi="Symbol" w:hint="default"/>
      </w:rPr>
    </w:lvl>
    <w:lvl w:ilvl="4" w:tplc="D560473C">
      <w:start w:val="1"/>
      <w:numFmt w:val="bullet"/>
      <w:lvlText w:val="o"/>
      <w:lvlJc w:val="left"/>
      <w:pPr>
        <w:ind w:left="3600" w:hanging="360"/>
      </w:pPr>
      <w:rPr>
        <w:rFonts w:ascii="Courier New" w:hAnsi="Courier New" w:hint="default"/>
      </w:rPr>
    </w:lvl>
    <w:lvl w:ilvl="5" w:tplc="5ACE0484">
      <w:start w:val="1"/>
      <w:numFmt w:val="bullet"/>
      <w:lvlText w:val=""/>
      <w:lvlJc w:val="left"/>
      <w:pPr>
        <w:ind w:left="4320" w:hanging="360"/>
      </w:pPr>
      <w:rPr>
        <w:rFonts w:ascii="Wingdings" w:hAnsi="Wingdings" w:hint="default"/>
      </w:rPr>
    </w:lvl>
    <w:lvl w:ilvl="6" w:tplc="8E560066">
      <w:start w:val="1"/>
      <w:numFmt w:val="bullet"/>
      <w:lvlText w:val=""/>
      <w:lvlJc w:val="left"/>
      <w:pPr>
        <w:ind w:left="5040" w:hanging="360"/>
      </w:pPr>
      <w:rPr>
        <w:rFonts w:ascii="Symbol" w:hAnsi="Symbol" w:hint="default"/>
      </w:rPr>
    </w:lvl>
    <w:lvl w:ilvl="7" w:tplc="8D743554">
      <w:start w:val="1"/>
      <w:numFmt w:val="bullet"/>
      <w:lvlText w:val="o"/>
      <w:lvlJc w:val="left"/>
      <w:pPr>
        <w:ind w:left="5760" w:hanging="360"/>
      </w:pPr>
      <w:rPr>
        <w:rFonts w:ascii="Courier New" w:hAnsi="Courier New" w:hint="default"/>
      </w:rPr>
    </w:lvl>
    <w:lvl w:ilvl="8" w:tplc="40A0AD42">
      <w:start w:val="1"/>
      <w:numFmt w:val="bullet"/>
      <w:lvlText w:val=""/>
      <w:lvlJc w:val="left"/>
      <w:pPr>
        <w:ind w:left="6480" w:hanging="360"/>
      </w:pPr>
      <w:rPr>
        <w:rFonts w:ascii="Wingdings" w:hAnsi="Wingdings" w:hint="default"/>
      </w:rPr>
    </w:lvl>
  </w:abstractNum>
  <w:abstractNum w:abstractNumId="68" w15:restartNumberingAfterBreak="0">
    <w:nsid w:val="377D80B8"/>
    <w:multiLevelType w:val="hybridMultilevel"/>
    <w:tmpl w:val="817C1776"/>
    <w:lvl w:ilvl="0" w:tplc="5C7C5328">
      <w:start w:val="1"/>
      <w:numFmt w:val="decimal"/>
      <w:lvlText w:val="%1."/>
      <w:lvlJc w:val="left"/>
      <w:pPr>
        <w:ind w:left="720" w:hanging="360"/>
      </w:pPr>
    </w:lvl>
    <w:lvl w:ilvl="1" w:tplc="89A628D8">
      <w:start w:val="1"/>
      <w:numFmt w:val="lowerLetter"/>
      <w:lvlText w:val="%2."/>
      <w:lvlJc w:val="left"/>
      <w:pPr>
        <w:ind w:left="1440" w:hanging="360"/>
      </w:pPr>
    </w:lvl>
    <w:lvl w:ilvl="2" w:tplc="69EE39E2">
      <w:start w:val="1"/>
      <w:numFmt w:val="lowerRoman"/>
      <w:lvlText w:val="%3."/>
      <w:lvlJc w:val="right"/>
      <w:pPr>
        <w:ind w:left="2160" w:hanging="180"/>
      </w:pPr>
    </w:lvl>
    <w:lvl w:ilvl="3" w:tplc="F98CFEEA">
      <w:start w:val="1"/>
      <w:numFmt w:val="decimal"/>
      <w:lvlText w:val="%4."/>
      <w:lvlJc w:val="left"/>
      <w:pPr>
        <w:ind w:left="2880" w:hanging="360"/>
      </w:pPr>
    </w:lvl>
    <w:lvl w:ilvl="4" w:tplc="1F14A060">
      <w:start w:val="1"/>
      <w:numFmt w:val="lowerLetter"/>
      <w:lvlText w:val="%5."/>
      <w:lvlJc w:val="left"/>
      <w:pPr>
        <w:ind w:left="3600" w:hanging="360"/>
      </w:pPr>
    </w:lvl>
    <w:lvl w:ilvl="5" w:tplc="EFF2C43E">
      <w:start w:val="1"/>
      <w:numFmt w:val="lowerRoman"/>
      <w:lvlText w:val="%6."/>
      <w:lvlJc w:val="right"/>
      <w:pPr>
        <w:ind w:left="4320" w:hanging="180"/>
      </w:pPr>
    </w:lvl>
    <w:lvl w:ilvl="6" w:tplc="24121E84">
      <w:start w:val="1"/>
      <w:numFmt w:val="decimal"/>
      <w:lvlText w:val="%7."/>
      <w:lvlJc w:val="left"/>
      <w:pPr>
        <w:ind w:left="5040" w:hanging="360"/>
      </w:pPr>
    </w:lvl>
    <w:lvl w:ilvl="7" w:tplc="1FB6D0DE">
      <w:start w:val="1"/>
      <w:numFmt w:val="lowerLetter"/>
      <w:lvlText w:val="%8."/>
      <w:lvlJc w:val="left"/>
      <w:pPr>
        <w:ind w:left="5760" w:hanging="360"/>
      </w:pPr>
    </w:lvl>
    <w:lvl w:ilvl="8" w:tplc="7F042080">
      <w:start w:val="1"/>
      <w:numFmt w:val="lowerRoman"/>
      <w:lvlText w:val="%9."/>
      <w:lvlJc w:val="right"/>
      <w:pPr>
        <w:ind w:left="6480" w:hanging="180"/>
      </w:pPr>
    </w:lvl>
  </w:abstractNum>
  <w:abstractNum w:abstractNumId="69" w15:restartNumberingAfterBreak="0">
    <w:nsid w:val="38456AB7"/>
    <w:multiLevelType w:val="hybridMultilevel"/>
    <w:tmpl w:val="3E14E07E"/>
    <w:lvl w:ilvl="0" w:tplc="FFFFFFFF">
      <w:start w:val="1"/>
      <w:numFmt w:val="decimal"/>
      <w:lvlText w:val="%1."/>
      <w:lvlJc w:val="left"/>
      <w:pPr>
        <w:ind w:left="720" w:hanging="360"/>
      </w:pPr>
    </w:lvl>
    <w:lvl w:ilvl="1" w:tplc="FFFFFFFF" w:tentative="1">
      <w:start w:val="1"/>
      <w:numFmt w:val="lowerLetter"/>
      <w:lvlText w:val="%2."/>
      <w:lvlJc w:val="left"/>
      <w:pPr>
        <w:ind w:left="-720" w:hanging="360"/>
      </w:pPr>
    </w:lvl>
    <w:lvl w:ilvl="2" w:tplc="FFFFFFFF" w:tentative="1">
      <w:start w:val="1"/>
      <w:numFmt w:val="lowerRoman"/>
      <w:lvlText w:val="%3."/>
      <w:lvlJc w:val="right"/>
      <w:pPr>
        <w:ind w:left="0" w:hanging="180"/>
      </w:pPr>
    </w:lvl>
    <w:lvl w:ilvl="3" w:tplc="FFFFFFFF" w:tentative="1">
      <w:start w:val="1"/>
      <w:numFmt w:val="decimal"/>
      <w:lvlText w:val="%4."/>
      <w:lvlJc w:val="left"/>
      <w:pPr>
        <w:ind w:left="720" w:hanging="360"/>
      </w:pPr>
    </w:lvl>
    <w:lvl w:ilvl="4" w:tplc="FFFFFFFF" w:tentative="1">
      <w:start w:val="1"/>
      <w:numFmt w:val="lowerLetter"/>
      <w:lvlText w:val="%5."/>
      <w:lvlJc w:val="left"/>
      <w:pPr>
        <w:ind w:left="1440" w:hanging="360"/>
      </w:pPr>
    </w:lvl>
    <w:lvl w:ilvl="5" w:tplc="FFFFFFFF" w:tentative="1">
      <w:start w:val="1"/>
      <w:numFmt w:val="lowerRoman"/>
      <w:lvlText w:val="%6."/>
      <w:lvlJc w:val="right"/>
      <w:pPr>
        <w:ind w:left="2160" w:hanging="180"/>
      </w:pPr>
    </w:lvl>
    <w:lvl w:ilvl="6" w:tplc="FFFFFFFF" w:tentative="1">
      <w:start w:val="1"/>
      <w:numFmt w:val="decimal"/>
      <w:lvlText w:val="%7."/>
      <w:lvlJc w:val="left"/>
      <w:pPr>
        <w:ind w:left="2880" w:hanging="360"/>
      </w:pPr>
    </w:lvl>
    <w:lvl w:ilvl="7" w:tplc="FFFFFFFF" w:tentative="1">
      <w:start w:val="1"/>
      <w:numFmt w:val="lowerLetter"/>
      <w:lvlText w:val="%8."/>
      <w:lvlJc w:val="left"/>
      <w:pPr>
        <w:ind w:left="3600" w:hanging="360"/>
      </w:pPr>
    </w:lvl>
    <w:lvl w:ilvl="8" w:tplc="FFFFFFFF" w:tentative="1">
      <w:start w:val="1"/>
      <w:numFmt w:val="lowerRoman"/>
      <w:lvlText w:val="%9."/>
      <w:lvlJc w:val="right"/>
      <w:pPr>
        <w:ind w:left="4320" w:hanging="180"/>
      </w:pPr>
    </w:lvl>
  </w:abstractNum>
  <w:abstractNum w:abstractNumId="70" w15:restartNumberingAfterBreak="0">
    <w:nsid w:val="38694BE1"/>
    <w:multiLevelType w:val="hybridMultilevel"/>
    <w:tmpl w:val="604EEDF2"/>
    <w:lvl w:ilvl="0" w:tplc="7C1A5438">
      <w:start w:val="17"/>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1" w15:restartNumberingAfterBreak="0">
    <w:nsid w:val="3B8CD78C"/>
    <w:multiLevelType w:val="hybridMultilevel"/>
    <w:tmpl w:val="CCDA5AB8"/>
    <w:lvl w:ilvl="0" w:tplc="D80E48EE">
      <w:start w:val="1"/>
      <w:numFmt w:val="decimal"/>
      <w:lvlText w:val="%1."/>
      <w:lvlJc w:val="left"/>
      <w:pPr>
        <w:ind w:left="720" w:hanging="360"/>
      </w:pPr>
    </w:lvl>
    <w:lvl w:ilvl="1" w:tplc="57BC2BA0">
      <w:start w:val="1"/>
      <w:numFmt w:val="lowerLetter"/>
      <w:lvlText w:val="%2."/>
      <w:lvlJc w:val="left"/>
      <w:pPr>
        <w:ind w:left="1440" w:hanging="360"/>
      </w:pPr>
    </w:lvl>
    <w:lvl w:ilvl="2" w:tplc="0F64D1EE">
      <w:start w:val="1"/>
      <w:numFmt w:val="lowerRoman"/>
      <w:lvlText w:val="%3."/>
      <w:lvlJc w:val="right"/>
      <w:pPr>
        <w:ind w:left="2160" w:hanging="180"/>
      </w:pPr>
    </w:lvl>
    <w:lvl w:ilvl="3" w:tplc="2E64383C">
      <w:start w:val="1"/>
      <w:numFmt w:val="decimal"/>
      <w:lvlText w:val="%4."/>
      <w:lvlJc w:val="left"/>
      <w:pPr>
        <w:ind w:left="2880" w:hanging="360"/>
      </w:pPr>
    </w:lvl>
    <w:lvl w:ilvl="4" w:tplc="CBB0DC1A">
      <w:start w:val="1"/>
      <w:numFmt w:val="lowerLetter"/>
      <w:lvlText w:val="%5."/>
      <w:lvlJc w:val="left"/>
      <w:pPr>
        <w:ind w:left="3600" w:hanging="360"/>
      </w:pPr>
    </w:lvl>
    <w:lvl w:ilvl="5" w:tplc="80329570">
      <w:start w:val="1"/>
      <w:numFmt w:val="lowerRoman"/>
      <w:lvlText w:val="%6."/>
      <w:lvlJc w:val="right"/>
      <w:pPr>
        <w:ind w:left="4320" w:hanging="180"/>
      </w:pPr>
    </w:lvl>
    <w:lvl w:ilvl="6" w:tplc="89C4BDF6">
      <w:start w:val="1"/>
      <w:numFmt w:val="decimal"/>
      <w:lvlText w:val="%7."/>
      <w:lvlJc w:val="left"/>
      <w:pPr>
        <w:ind w:left="5040" w:hanging="360"/>
      </w:pPr>
    </w:lvl>
    <w:lvl w:ilvl="7" w:tplc="FF2CC2DC">
      <w:start w:val="1"/>
      <w:numFmt w:val="lowerLetter"/>
      <w:lvlText w:val="%8."/>
      <w:lvlJc w:val="left"/>
      <w:pPr>
        <w:ind w:left="5760" w:hanging="360"/>
      </w:pPr>
    </w:lvl>
    <w:lvl w:ilvl="8" w:tplc="22CAF0FA">
      <w:start w:val="1"/>
      <w:numFmt w:val="lowerRoman"/>
      <w:lvlText w:val="%9."/>
      <w:lvlJc w:val="right"/>
      <w:pPr>
        <w:ind w:left="6480" w:hanging="180"/>
      </w:pPr>
    </w:lvl>
  </w:abstractNum>
  <w:abstractNum w:abstractNumId="72" w15:restartNumberingAfterBreak="0">
    <w:nsid w:val="3DF2400B"/>
    <w:multiLevelType w:val="hybridMultilevel"/>
    <w:tmpl w:val="6AE078CE"/>
    <w:lvl w:ilvl="0" w:tplc="EFFAF4EA">
      <w:start w:val="1"/>
      <w:numFmt w:val="decimal"/>
      <w:lvlText w:val="%1."/>
      <w:lvlJc w:val="left"/>
      <w:pPr>
        <w:ind w:left="720" w:hanging="360"/>
      </w:pPr>
    </w:lvl>
    <w:lvl w:ilvl="1" w:tplc="51EC3BF0">
      <w:start w:val="1"/>
      <w:numFmt w:val="lowerLetter"/>
      <w:lvlText w:val="%2."/>
      <w:lvlJc w:val="left"/>
      <w:pPr>
        <w:ind w:left="1440" w:hanging="360"/>
      </w:pPr>
    </w:lvl>
    <w:lvl w:ilvl="2" w:tplc="E40890F6">
      <w:start w:val="1"/>
      <w:numFmt w:val="lowerRoman"/>
      <w:lvlText w:val="%3."/>
      <w:lvlJc w:val="right"/>
      <w:pPr>
        <w:ind w:left="2160" w:hanging="180"/>
      </w:pPr>
    </w:lvl>
    <w:lvl w:ilvl="3" w:tplc="9FA276BA">
      <w:start w:val="1"/>
      <w:numFmt w:val="decimal"/>
      <w:lvlText w:val="%4."/>
      <w:lvlJc w:val="left"/>
      <w:pPr>
        <w:ind w:left="2880" w:hanging="360"/>
      </w:pPr>
    </w:lvl>
    <w:lvl w:ilvl="4" w:tplc="3FAC320E">
      <w:start w:val="1"/>
      <w:numFmt w:val="lowerLetter"/>
      <w:lvlText w:val="%5."/>
      <w:lvlJc w:val="left"/>
      <w:pPr>
        <w:ind w:left="3600" w:hanging="360"/>
      </w:pPr>
    </w:lvl>
    <w:lvl w:ilvl="5" w:tplc="A17A4636">
      <w:start w:val="1"/>
      <w:numFmt w:val="lowerRoman"/>
      <w:lvlText w:val="%6."/>
      <w:lvlJc w:val="right"/>
      <w:pPr>
        <w:ind w:left="4320" w:hanging="180"/>
      </w:pPr>
    </w:lvl>
    <w:lvl w:ilvl="6" w:tplc="06542920">
      <w:start w:val="1"/>
      <w:numFmt w:val="decimal"/>
      <w:lvlText w:val="%7."/>
      <w:lvlJc w:val="left"/>
      <w:pPr>
        <w:ind w:left="5040" w:hanging="360"/>
      </w:pPr>
    </w:lvl>
    <w:lvl w:ilvl="7" w:tplc="38265764">
      <w:start w:val="1"/>
      <w:numFmt w:val="lowerLetter"/>
      <w:lvlText w:val="%8."/>
      <w:lvlJc w:val="left"/>
      <w:pPr>
        <w:ind w:left="5760" w:hanging="360"/>
      </w:pPr>
    </w:lvl>
    <w:lvl w:ilvl="8" w:tplc="E85E00CC">
      <w:start w:val="1"/>
      <w:numFmt w:val="lowerRoman"/>
      <w:lvlText w:val="%9."/>
      <w:lvlJc w:val="right"/>
      <w:pPr>
        <w:ind w:left="6480" w:hanging="180"/>
      </w:pPr>
    </w:lvl>
  </w:abstractNum>
  <w:abstractNum w:abstractNumId="73" w15:restartNumberingAfterBreak="0">
    <w:nsid w:val="3F5DAD3D"/>
    <w:multiLevelType w:val="hybridMultilevel"/>
    <w:tmpl w:val="19D8C2B2"/>
    <w:lvl w:ilvl="0" w:tplc="C2E428C2">
      <w:start w:val="1"/>
      <w:numFmt w:val="bullet"/>
      <w:lvlText w:val=""/>
      <w:lvlJc w:val="left"/>
      <w:pPr>
        <w:ind w:left="720" w:hanging="360"/>
      </w:pPr>
      <w:rPr>
        <w:rFonts w:ascii="Symbol" w:hAnsi="Symbol" w:hint="default"/>
      </w:rPr>
    </w:lvl>
    <w:lvl w:ilvl="1" w:tplc="0C22B68E">
      <w:start w:val="1"/>
      <w:numFmt w:val="bullet"/>
      <w:lvlText w:val="o"/>
      <w:lvlJc w:val="left"/>
      <w:pPr>
        <w:ind w:left="1440" w:hanging="360"/>
      </w:pPr>
      <w:rPr>
        <w:rFonts w:ascii="Courier New" w:hAnsi="Courier New" w:hint="default"/>
      </w:rPr>
    </w:lvl>
    <w:lvl w:ilvl="2" w:tplc="E4D0A124">
      <w:start w:val="1"/>
      <w:numFmt w:val="bullet"/>
      <w:lvlText w:val=""/>
      <w:lvlJc w:val="left"/>
      <w:pPr>
        <w:ind w:left="2160" w:hanging="360"/>
      </w:pPr>
      <w:rPr>
        <w:rFonts w:ascii="Wingdings" w:hAnsi="Wingdings" w:hint="default"/>
      </w:rPr>
    </w:lvl>
    <w:lvl w:ilvl="3" w:tplc="8B8C0FE0">
      <w:start w:val="1"/>
      <w:numFmt w:val="bullet"/>
      <w:lvlText w:val=""/>
      <w:lvlJc w:val="left"/>
      <w:pPr>
        <w:ind w:left="2880" w:hanging="360"/>
      </w:pPr>
      <w:rPr>
        <w:rFonts w:ascii="Symbol" w:hAnsi="Symbol" w:hint="default"/>
      </w:rPr>
    </w:lvl>
    <w:lvl w:ilvl="4" w:tplc="8200B01A">
      <w:start w:val="1"/>
      <w:numFmt w:val="bullet"/>
      <w:lvlText w:val="o"/>
      <w:lvlJc w:val="left"/>
      <w:pPr>
        <w:ind w:left="3600" w:hanging="360"/>
      </w:pPr>
      <w:rPr>
        <w:rFonts w:ascii="Courier New" w:hAnsi="Courier New" w:hint="default"/>
      </w:rPr>
    </w:lvl>
    <w:lvl w:ilvl="5" w:tplc="8CE23AFA">
      <w:start w:val="1"/>
      <w:numFmt w:val="bullet"/>
      <w:lvlText w:val=""/>
      <w:lvlJc w:val="left"/>
      <w:pPr>
        <w:ind w:left="4320" w:hanging="360"/>
      </w:pPr>
      <w:rPr>
        <w:rFonts w:ascii="Wingdings" w:hAnsi="Wingdings" w:hint="default"/>
      </w:rPr>
    </w:lvl>
    <w:lvl w:ilvl="6" w:tplc="FE767C14">
      <w:start w:val="1"/>
      <w:numFmt w:val="bullet"/>
      <w:lvlText w:val=""/>
      <w:lvlJc w:val="left"/>
      <w:pPr>
        <w:ind w:left="5040" w:hanging="360"/>
      </w:pPr>
      <w:rPr>
        <w:rFonts w:ascii="Symbol" w:hAnsi="Symbol" w:hint="default"/>
      </w:rPr>
    </w:lvl>
    <w:lvl w:ilvl="7" w:tplc="7C4E4910">
      <w:start w:val="1"/>
      <w:numFmt w:val="bullet"/>
      <w:lvlText w:val="o"/>
      <w:lvlJc w:val="left"/>
      <w:pPr>
        <w:ind w:left="5760" w:hanging="360"/>
      </w:pPr>
      <w:rPr>
        <w:rFonts w:ascii="Courier New" w:hAnsi="Courier New" w:hint="default"/>
      </w:rPr>
    </w:lvl>
    <w:lvl w:ilvl="8" w:tplc="5ADE80FC">
      <w:start w:val="1"/>
      <w:numFmt w:val="bullet"/>
      <w:lvlText w:val=""/>
      <w:lvlJc w:val="left"/>
      <w:pPr>
        <w:ind w:left="6480" w:hanging="360"/>
      </w:pPr>
      <w:rPr>
        <w:rFonts w:ascii="Wingdings" w:hAnsi="Wingdings" w:hint="default"/>
      </w:rPr>
    </w:lvl>
  </w:abstractNum>
  <w:abstractNum w:abstractNumId="74" w15:restartNumberingAfterBreak="0">
    <w:nsid w:val="3FC5D24E"/>
    <w:multiLevelType w:val="hybridMultilevel"/>
    <w:tmpl w:val="F5C29AC8"/>
    <w:lvl w:ilvl="0" w:tplc="8062D636">
      <w:start w:val="1"/>
      <w:numFmt w:val="bullet"/>
      <w:lvlText w:val="-"/>
      <w:lvlJc w:val="left"/>
      <w:pPr>
        <w:ind w:left="720" w:hanging="360"/>
      </w:pPr>
      <w:rPr>
        <w:rFonts w:ascii="Calibri" w:hAnsi="Calibri" w:hint="default"/>
      </w:rPr>
    </w:lvl>
    <w:lvl w:ilvl="1" w:tplc="770EEB34">
      <w:start w:val="1"/>
      <w:numFmt w:val="bullet"/>
      <w:lvlText w:val="o"/>
      <w:lvlJc w:val="left"/>
      <w:pPr>
        <w:ind w:left="1440" w:hanging="360"/>
      </w:pPr>
      <w:rPr>
        <w:rFonts w:ascii="Courier New" w:hAnsi="Courier New" w:hint="default"/>
      </w:rPr>
    </w:lvl>
    <w:lvl w:ilvl="2" w:tplc="BE6EF79E">
      <w:start w:val="1"/>
      <w:numFmt w:val="bullet"/>
      <w:lvlText w:val=""/>
      <w:lvlJc w:val="left"/>
      <w:pPr>
        <w:ind w:left="2160" w:hanging="360"/>
      </w:pPr>
      <w:rPr>
        <w:rFonts w:ascii="Wingdings" w:hAnsi="Wingdings" w:hint="default"/>
      </w:rPr>
    </w:lvl>
    <w:lvl w:ilvl="3" w:tplc="22F8C68A">
      <w:start w:val="1"/>
      <w:numFmt w:val="bullet"/>
      <w:lvlText w:val=""/>
      <w:lvlJc w:val="left"/>
      <w:pPr>
        <w:ind w:left="2880" w:hanging="360"/>
      </w:pPr>
      <w:rPr>
        <w:rFonts w:ascii="Symbol" w:hAnsi="Symbol" w:hint="default"/>
      </w:rPr>
    </w:lvl>
    <w:lvl w:ilvl="4" w:tplc="44168134">
      <w:start w:val="1"/>
      <w:numFmt w:val="bullet"/>
      <w:lvlText w:val="o"/>
      <w:lvlJc w:val="left"/>
      <w:pPr>
        <w:ind w:left="3600" w:hanging="360"/>
      </w:pPr>
      <w:rPr>
        <w:rFonts w:ascii="Courier New" w:hAnsi="Courier New" w:hint="default"/>
      </w:rPr>
    </w:lvl>
    <w:lvl w:ilvl="5" w:tplc="0D70E404">
      <w:start w:val="1"/>
      <w:numFmt w:val="bullet"/>
      <w:lvlText w:val=""/>
      <w:lvlJc w:val="left"/>
      <w:pPr>
        <w:ind w:left="4320" w:hanging="360"/>
      </w:pPr>
      <w:rPr>
        <w:rFonts w:ascii="Wingdings" w:hAnsi="Wingdings" w:hint="default"/>
      </w:rPr>
    </w:lvl>
    <w:lvl w:ilvl="6" w:tplc="F20EAB4A">
      <w:start w:val="1"/>
      <w:numFmt w:val="bullet"/>
      <w:lvlText w:val=""/>
      <w:lvlJc w:val="left"/>
      <w:pPr>
        <w:ind w:left="5040" w:hanging="360"/>
      </w:pPr>
      <w:rPr>
        <w:rFonts w:ascii="Symbol" w:hAnsi="Symbol" w:hint="default"/>
      </w:rPr>
    </w:lvl>
    <w:lvl w:ilvl="7" w:tplc="D52202C8">
      <w:start w:val="1"/>
      <w:numFmt w:val="bullet"/>
      <w:lvlText w:val="o"/>
      <w:lvlJc w:val="left"/>
      <w:pPr>
        <w:ind w:left="5760" w:hanging="360"/>
      </w:pPr>
      <w:rPr>
        <w:rFonts w:ascii="Courier New" w:hAnsi="Courier New" w:hint="default"/>
      </w:rPr>
    </w:lvl>
    <w:lvl w:ilvl="8" w:tplc="EDEC057C">
      <w:start w:val="1"/>
      <w:numFmt w:val="bullet"/>
      <w:lvlText w:val=""/>
      <w:lvlJc w:val="left"/>
      <w:pPr>
        <w:ind w:left="6480" w:hanging="360"/>
      </w:pPr>
      <w:rPr>
        <w:rFonts w:ascii="Wingdings" w:hAnsi="Wingdings" w:hint="default"/>
      </w:rPr>
    </w:lvl>
  </w:abstractNum>
  <w:abstractNum w:abstractNumId="75" w15:restartNumberingAfterBreak="0">
    <w:nsid w:val="41227CF3"/>
    <w:multiLevelType w:val="hybridMultilevel"/>
    <w:tmpl w:val="399A2470"/>
    <w:lvl w:ilvl="0" w:tplc="CC0442CE">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6" w15:restartNumberingAfterBreak="0">
    <w:nsid w:val="414855CA"/>
    <w:multiLevelType w:val="hybridMultilevel"/>
    <w:tmpl w:val="CBD06058"/>
    <w:lvl w:ilvl="0" w:tplc="72CEB050">
      <w:start w:val="2"/>
      <w:numFmt w:val="decimal"/>
      <w:lvlText w:val="%1."/>
      <w:lvlJc w:val="left"/>
      <w:pPr>
        <w:ind w:left="720" w:hanging="360"/>
      </w:pPr>
    </w:lvl>
    <w:lvl w:ilvl="1" w:tplc="7F729E30">
      <w:start w:val="1"/>
      <w:numFmt w:val="lowerLetter"/>
      <w:lvlText w:val="%2."/>
      <w:lvlJc w:val="left"/>
      <w:pPr>
        <w:ind w:left="1440" w:hanging="360"/>
      </w:pPr>
    </w:lvl>
    <w:lvl w:ilvl="2" w:tplc="47087F4A">
      <w:start w:val="1"/>
      <w:numFmt w:val="lowerRoman"/>
      <w:lvlText w:val="%3."/>
      <w:lvlJc w:val="right"/>
      <w:pPr>
        <w:ind w:left="2160" w:hanging="180"/>
      </w:pPr>
    </w:lvl>
    <w:lvl w:ilvl="3" w:tplc="CD46AED0">
      <w:start w:val="1"/>
      <w:numFmt w:val="decimal"/>
      <w:lvlText w:val="%4."/>
      <w:lvlJc w:val="left"/>
      <w:pPr>
        <w:ind w:left="2880" w:hanging="360"/>
      </w:pPr>
    </w:lvl>
    <w:lvl w:ilvl="4" w:tplc="10422988">
      <w:start w:val="1"/>
      <w:numFmt w:val="lowerLetter"/>
      <w:lvlText w:val="%5."/>
      <w:lvlJc w:val="left"/>
      <w:pPr>
        <w:ind w:left="3600" w:hanging="360"/>
      </w:pPr>
    </w:lvl>
    <w:lvl w:ilvl="5" w:tplc="A0B233D8">
      <w:start w:val="1"/>
      <w:numFmt w:val="lowerRoman"/>
      <w:lvlText w:val="%6."/>
      <w:lvlJc w:val="right"/>
      <w:pPr>
        <w:ind w:left="4320" w:hanging="180"/>
      </w:pPr>
    </w:lvl>
    <w:lvl w:ilvl="6" w:tplc="77823684">
      <w:start w:val="1"/>
      <w:numFmt w:val="decimal"/>
      <w:lvlText w:val="%7."/>
      <w:lvlJc w:val="left"/>
      <w:pPr>
        <w:ind w:left="5040" w:hanging="360"/>
      </w:pPr>
    </w:lvl>
    <w:lvl w:ilvl="7" w:tplc="D04C8A74">
      <w:start w:val="1"/>
      <w:numFmt w:val="lowerLetter"/>
      <w:lvlText w:val="%8."/>
      <w:lvlJc w:val="left"/>
      <w:pPr>
        <w:ind w:left="5760" w:hanging="360"/>
      </w:pPr>
    </w:lvl>
    <w:lvl w:ilvl="8" w:tplc="F064B0A8">
      <w:start w:val="1"/>
      <w:numFmt w:val="lowerRoman"/>
      <w:lvlText w:val="%9."/>
      <w:lvlJc w:val="right"/>
      <w:pPr>
        <w:ind w:left="6480" w:hanging="180"/>
      </w:pPr>
    </w:lvl>
  </w:abstractNum>
  <w:abstractNum w:abstractNumId="77" w15:restartNumberingAfterBreak="0">
    <w:nsid w:val="414F4186"/>
    <w:multiLevelType w:val="hybridMultilevel"/>
    <w:tmpl w:val="CE1E0CBC"/>
    <w:name w:val="Heading22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8" w15:restartNumberingAfterBreak="0">
    <w:nsid w:val="41D67D92"/>
    <w:multiLevelType w:val="hybridMultilevel"/>
    <w:tmpl w:val="4B707842"/>
    <w:lvl w:ilvl="0" w:tplc="FB5C9744">
      <w:start w:val="1"/>
      <w:numFmt w:val="bullet"/>
      <w:lvlText w:val=""/>
      <w:lvlJc w:val="left"/>
      <w:pPr>
        <w:ind w:left="720" w:hanging="360"/>
      </w:pPr>
      <w:rPr>
        <w:rFonts w:ascii="Symbol" w:hAnsi="Symbol" w:hint="default"/>
      </w:rPr>
    </w:lvl>
    <w:lvl w:ilvl="1" w:tplc="7ED42678">
      <w:start w:val="1"/>
      <w:numFmt w:val="bullet"/>
      <w:lvlText w:val="o"/>
      <w:lvlJc w:val="left"/>
      <w:pPr>
        <w:ind w:left="1440" w:hanging="360"/>
      </w:pPr>
      <w:rPr>
        <w:rFonts w:ascii="Courier New" w:hAnsi="Courier New" w:hint="default"/>
      </w:rPr>
    </w:lvl>
    <w:lvl w:ilvl="2" w:tplc="2C74D8CC">
      <w:start w:val="1"/>
      <w:numFmt w:val="bullet"/>
      <w:lvlText w:val=""/>
      <w:lvlJc w:val="left"/>
      <w:pPr>
        <w:ind w:left="2160" w:hanging="360"/>
      </w:pPr>
      <w:rPr>
        <w:rFonts w:ascii="Wingdings" w:hAnsi="Wingdings" w:hint="default"/>
      </w:rPr>
    </w:lvl>
    <w:lvl w:ilvl="3" w:tplc="BA725A80">
      <w:start w:val="1"/>
      <w:numFmt w:val="bullet"/>
      <w:lvlText w:val=""/>
      <w:lvlJc w:val="left"/>
      <w:pPr>
        <w:ind w:left="2880" w:hanging="360"/>
      </w:pPr>
      <w:rPr>
        <w:rFonts w:ascii="Symbol" w:hAnsi="Symbol" w:hint="default"/>
      </w:rPr>
    </w:lvl>
    <w:lvl w:ilvl="4" w:tplc="33AA5C24">
      <w:start w:val="1"/>
      <w:numFmt w:val="bullet"/>
      <w:lvlText w:val="o"/>
      <w:lvlJc w:val="left"/>
      <w:pPr>
        <w:ind w:left="3600" w:hanging="360"/>
      </w:pPr>
      <w:rPr>
        <w:rFonts w:ascii="Courier New" w:hAnsi="Courier New" w:hint="default"/>
      </w:rPr>
    </w:lvl>
    <w:lvl w:ilvl="5" w:tplc="3C9EE60C">
      <w:start w:val="1"/>
      <w:numFmt w:val="bullet"/>
      <w:lvlText w:val=""/>
      <w:lvlJc w:val="left"/>
      <w:pPr>
        <w:ind w:left="4320" w:hanging="360"/>
      </w:pPr>
      <w:rPr>
        <w:rFonts w:ascii="Wingdings" w:hAnsi="Wingdings" w:hint="default"/>
      </w:rPr>
    </w:lvl>
    <w:lvl w:ilvl="6" w:tplc="D98C7E5A">
      <w:start w:val="1"/>
      <w:numFmt w:val="bullet"/>
      <w:lvlText w:val=""/>
      <w:lvlJc w:val="left"/>
      <w:pPr>
        <w:ind w:left="5040" w:hanging="360"/>
      </w:pPr>
      <w:rPr>
        <w:rFonts w:ascii="Symbol" w:hAnsi="Symbol" w:hint="default"/>
      </w:rPr>
    </w:lvl>
    <w:lvl w:ilvl="7" w:tplc="DFE4E6D0">
      <w:start w:val="1"/>
      <w:numFmt w:val="bullet"/>
      <w:lvlText w:val="o"/>
      <w:lvlJc w:val="left"/>
      <w:pPr>
        <w:ind w:left="5760" w:hanging="360"/>
      </w:pPr>
      <w:rPr>
        <w:rFonts w:ascii="Courier New" w:hAnsi="Courier New" w:hint="default"/>
      </w:rPr>
    </w:lvl>
    <w:lvl w:ilvl="8" w:tplc="37588974">
      <w:start w:val="1"/>
      <w:numFmt w:val="bullet"/>
      <w:lvlText w:val=""/>
      <w:lvlJc w:val="left"/>
      <w:pPr>
        <w:ind w:left="6480" w:hanging="360"/>
      </w:pPr>
      <w:rPr>
        <w:rFonts w:ascii="Wingdings" w:hAnsi="Wingdings" w:hint="default"/>
      </w:rPr>
    </w:lvl>
  </w:abstractNum>
  <w:abstractNum w:abstractNumId="79" w15:restartNumberingAfterBreak="0">
    <w:nsid w:val="41FAAE18"/>
    <w:multiLevelType w:val="hybridMultilevel"/>
    <w:tmpl w:val="FFFFFFFF"/>
    <w:lvl w:ilvl="0" w:tplc="DEE4899E">
      <w:start w:val="1"/>
      <w:numFmt w:val="decimal"/>
      <w:lvlText w:val="%1."/>
      <w:lvlJc w:val="left"/>
      <w:pPr>
        <w:ind w:left="720" w:hanging="360"/>
      </w:pPr>
    </w:lvl>
    <w:lvl w:ilvl="1" w:tplc="F4C0354E">
      <w:start w:val="1"/>
      <w:numFmt w:val="lowerLetter"/>
      <w:lvlText w:val="%2."/>
      <w:lvlJc w:val="left"/>
      <w:pPr>
        <w:ind w:left="1440" w:hanging="360"/>
      </w:pPr>
    </w:lvl>
    <w:lvl w:ilvl="2" w:tplc="50985BBC">
      <w:start w:val="1"/>
      <w:numFmt w:val="lowerRoman"/>
      <w:lvlText w:val="%3."/>
      <w:lvlJc w:val="right"/>
      <w:pPr>
        <w:ind w:left="2160" w:hanging="180"/>
      </w:pPr>
    </w:lvl>
    <w:lvl w:ilvl="3" w:tplc="AF307020">
      <w:start w:val="1"/>
      <w:numFmt w:val="decimal"/>
      <w:lvlText w:val="%4."/>
      <w:lvlJc w:val="left"/>
      <w:pPr>
        <w:ind w:left="2880" w:hanging="360"/>
      </w:pPr>
    </w:lvl>
    <w:lvl w:ilvl="4" w:tplc="170C70E0">
      <w:start w:val="1"/>
      <w:numFmt w:val="lowerLetter"/>
      <w:lvlText w:val="%5."/>
      <w:lvlJc w:val="left"/>
      <w:pPr>
        <w:ind w:left="3600" w:hanging="360"/>
      </w:pPr>
    </w:lvl>
    <w:lvl w:ilvl="5" w:tplc="B07616C2">
      <w:start w:val="1"/>
      <w:numFmt w:val="lowerRoman"/>
      <w:lvlText w:val="%6."/>
      <w:lvlJc w:val="right"/>
      <w:pPr>
        <w:ind w:left="4320" w:hanging="180"/>
      </w:pPr>
    </w:lvl>
    <w:lvl w:ilvl="6" w:tplc="6ADE2816">
      <w:start w:val="1"/>
      <w:numFmt w:val="decimal"/>
      <w:lvlText w:val="%7."/>
      <w:lvlJc w:val="left"/>
      <w:pPr>
        <w:ind w:left="5040" w:hanging="360"/>
      </w:pPr>
    </w:lvl>
    <w:lvl w:ilvl="7" w:tplc="4E5810F4">
      <w:start w:val="1"/>
      <w:numFmt w:val="lowerLetter"/>
      <w:lvlText w:val="%8."/>
      <w:lvlJc w:val="left"/>
      <w:pPr>
        <w:ind w:left="5760" w:hanging="360"/>
      </w:pPr>
    </w:lvl>
    <w:lvl w:ilvl="8" w:tplc="C93CA548">
      <w:start w:val="1"/>
      <w:numFmt w:val="lowerRoman"/>
      <w:lvlText w:val="%9."/>
      <w:lvlJc w:val="right"/>
      <w:pPr>
        <w:ind w:left="6480" w:hanging="180"/>
      </w:pPr>
    </w:lvl>
  </w:abstractNum>
  <w:abstractNum w:abstractNumId="8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1" w15:restartNumberingAfterBreak="0">
    <w:nsid w:val="42737F5F"/>
    <w:multiLevelType w:val="hybridMultilevel"/>
    <w:tmpl w:val="30D47F12"/>
    <w:lvl w:ilvl="0" w:tplc="18090011">
      <w:start w:val="1"/>
      <w:numFmt w:val="decimal"/>
      <w:lvlText w:val="%1)"/>
      <w:lvlJc w:val="left"/>
      <w:pPr>
        <w:ind w:left="720" w:hanging="360"/>
      </w:pPr>
      <w:rPr>
        <w:rFonts w:hint="default"/>
      </w:rPr>
    </w:lvl>
    <w:lvl w:ilvl="1" w:tplc="7AACA2A8">
      <w:start w:val="1"/>
      <w:numFmt w:val="lowerRoman"/>
      <w:lvlText w:val="%2)"/>
      <w:lvlJc w:val="left"/>
      <w:pPr>
        <w:ind w:left="1440" w:hanging="360"/>
      </w:pPr>
      <w:rPr>
        <w:rFonts w:hint="default"/>
      </w:rPr>
    </w:lvl>
    <w:lvl w:ilvl="2" w:tplc="135C1798">
      <w:start w:val="1"/>
      <w:numFmt w:val="lowerRoman"/>
      <w:lvlText w:val="%3."/>
      <w:lvlJc w:val="right"/>
      <w:pPr>
        <w:ind w:left="2160" w:hanging="180"/>
      </w:pPr>
    </w:lvl>
    <w:lvl w:ilvl="3" w:tplc="8EBEB170">
      <w:start w:val="1"/>
      <w:numFmt w:val="decimal"/>
      <w:lvlText w:val="%4."/>
      <w:lvlJc w:val="left"/>
      <w:pPr>
        <w:ind w:left="2880" w:hanging="360"/>
      </w:pPr>
    </w:lvl>
    <w:lvl w:ilvl="4" w:tplc="C03A1DA6">
      <w:start w:val="1"/>
      <w:numFmt w:val="lowerLetter"/>
      <w:lvlText w:val="%5."/>
      <w:lvlJc w:val="left"/>
      <w:pPr>
        <w:ind w:left="3600" w:hanging="360"/>
      </w:pPr>
    </w:lvl>
    <w:lvl w:ilvl="5" w:tplc="F2E60BEE">
      <w:start w:val="1"/>
      <w:numFmt w:val="lowerRoman"/>
      <w:lvlText w:val="%6."/>
      <w:lvlJc w:val="right"/>
      <w:pPr>
        <w:ind w:left="4320" w:hanging="180"/>
      </w:pPr>
    </w:lvl>
    <w:lvl w:ilvl="6" w:tplc="FF086586">
      <w:start w:val="1"/>
      <w:numFmt w:val="decimal"/>
      <w:lvlText w:val="%7."/>
      <w:lvlJc w:val="left"/>
      <w:pPr>
        <w:ind w:left="5040" w:hanging="360"/>
      </w:pPr>
    </w:lvl>
    <w:lvl w:ilvl="7" w:tplc="4B904216">
      <w:start w:val="1"/>
      <w:numFmt w:val="lowerLetter"/>
      <w:lvlText w:val="%8."/>
      <w:lvlJc w:val="left"/>
      <w:pPr>
        <w:ind w:left="5760" w:hanging="360"/>
      </w:pPr>
    </w:lvl>
    <w:lvl w:ilvl="8" w:tplc="C6CAEAEE">
      <w:start w:val="1"/>
      <w:numFmt w:val="lowerRoman"/>
      <w:lvlText w:val="%9."/>
      <w:lvlJc w:val="right"/>
      <w:pPr>
        <w:ind w:left="6480" w:hanging="180"/>
      </w:pPr>
    </w:lvl>
  </w:abstractNum>
  <w:abstractNum w:abstractNumId="82" w15:restartNumberingAfterBreak="0">
    <w:nsid w:val="42DE3906"/>
    <w:multiLevelType w:val="hybridMultilevel"/>
    <w:tmpl w:val="FFFFFFFF"/>
    <w:lvl w:ilvl="0" w:tplc="AD8C62EC">
      <w:start w:val="1"/>
      <w:numFmt w:val="bullet"/>
      <w:lvlText w:val=""/>
      <w:lvlJc w:val="left"/>
      <w:pPr>
        <w:ind w:left="720" w:hanging="360"/>
      </w:pPr>
      <w:rPr>
        <w:rFonts w:ascii="Symbol" w:hAnsi="Symbol" w:hint="default"/>
      </w:rPr>
    </w:lvl>
    <w:lvl w:ilvl="1" w:tplc="62584E8C">
      <w:start w:val="1"/>
      <w:numFmt w:val="bullet"/>
      <w:lvlText w:val="o"/>
      <w:lvlJc w:val="left"/>
      <w:pPr>
        <w:ind w:left="1440" w:hanging="360"/>
      </w:pPr>
      <w:rPr>
        <w:rFonts w:ascii="Courier New" w:hAnsi="Courier New" w:hint="default"/>
      </w:rPr>
    </w:lvl>
    <w:lvl w:ilvl="2" w:tplc="B1C2F78C">
      <w:start w:val="1"/>
      <w:numFmt w:val="bullet"/>
      <w:lvlText w:val=""/>
      <w:lvlJc w:val="left"/>
      <w:pPr>
        <w:ind w:left="2160" w:hanging="360"/>
      </w:pPr>
      <w:rPr>
        <w:rFonts w:ascii="Wingdings" w:hAnsi="Wingdings" w:hint="default"/>
      </w:rPr>
    </w:lvl>
    <w:lvl w:ilvl="3" w:tplc="4E487676">
      <w:start w:val="1"/>
      <w:numFmt w:val="bullet"/>
      <w:lvlText w:val=""/>
      <w:lvlJc w:val="left"/>
      <w:pPr>
        <w:ind w:left="2880" w:hanging="360"/>
      </w:pPr>
      <w:rPr>
        <w:rFonts w:ascii="Symbol" w:hAnsi="Symbol" w:hint="default"/>
      </w:rPr>
    </w:lvl>
    <w:lvl w:ilvl="4" w:tplc="052CA484">
      <w:start w:val="1"/>
      <w:numFmt w:val="bullet"/>
      <w:lvlText w:val="o"/>
      <w:lvlJc w:val="left"/>
      <w:pPr>
        <w:ind w:left="3600" w:hanging="360"/>
      </w:pPr>
      <w:rPr>
        <w:rFonts w:ascii="Courier New" w:hAnsi="Courier New" w:hint="default"/>
      </w:rPr>
    </w:lvl>
    <w:lvl w:ilvl="5" w:tplc="078854A2">
      <w:start w:val="1"/>
      <w:numFmt w:val="bullet"/>
      <w:lvlText w:val=""/>
      <w:lvlJc w:val="left"/>
      <w:pPr>
        <w:ind w:left="4320" w:hanging="360"/>
      </w:pPr>
      <w:rPr>
        <w:rFonts w:ascii="Wingdings" w:hAnsi="Wingdings" w:hint="default"/>
      </w:rPr>
    </w:lvl>
    <w:lvl w:ilvl="6" w:tplc="33780E46">
      <w:start w:val="1"/>
      <w:numFmt w:val="bullet"/>
      <w:lvlText w:val=""/>
      <w:lvlJc w:val="left"/>
      <w:pPr>
        <w:ind w:left="5040" w:hanging="360"/>
      </w:pPr>
      <w:rPr>
        <w:rFonts w:ascii="Symbol" w:hAnsi="Symbol" w:hint="default"/>
      </w:rPr>
    </w:lvl>
    <w:lvl w:ilvl="7" w:tplc="D5302284">
      <w:start w:val="1"/>
      <w:numFmt w:val="bullet"/>
      <w:lvlText w:val="o"/>
      <w:lvlJc w:val="left"/>
      <w:pPr>
        <w:ind w:left="5760" w:hanging="360"/>
      </w:pPr>
      <w:rPr>
        <w:rFonts w:ascii="Courier New" w:hAnsi="Courier New" w:hint="default"/>
      </w:rPr>
    </w:lvl>
    <w:lvl w:ilvl="8" w:tplc="9D6232FE">
      <w:start w:val="1"/>
      <w:numFmt w:val="bullet"/>
      <w:lvlText w:val=""/>
      <w:lvlJc w:val="left"/>
      <w:pPr>
        <w:ind w:left="6480" w:hanging="360"/>
      </w:pPr>
      <w:rPr>
        <w:rFonts w:ascii="Wingdings" w:hAnsi="Wingdings" w:hint="default"/>
      </w:rPr>
    </w:lvl>
  </w:abstractNum>
  <w:abstractNum w:abstractNumId="8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84" w15:restartNumberingAfterBreak="0">
    <w:nsid w:val="43CB7CB9"/>
    <w:multiLevelType w:val="hybridMultilevel"/>
    <w:tmpl w:val="3776FB5C"/>
    <w:lvl w:ilvl="0" w:tplc="C582BF1E">
      <w:start w:val="1"/>
      <w:numFmt w:val="bullet"/>
      <w:lvlText w:val="-"/>
      <w:lvlJc w:val="left"/>
      <w:pPr>
        <w:ind w:left="720" w:hanging="360"/>
      </w:pPr>
      <w:rPr>
        <w:rFonts w:ascii="Calibri" w:hAnsi="Calibri" w:hint="default"/>
      </w:rPr>
    </w:lvl>
    <w:lvl w:ilvl="1" w:tplc="925EA5CC">
      <w:start w:val="1"/>
      <w:numFmt w:val="bullet"/>
      <w:lvlText w:val="o"/>
      <w:lvlJc w:val="left"/>
      <w:pPr>
        <w:ind w:left="1440" w:hanging="360"/>
      </w:pPr>
      <w:rPr>
        <w:rFonts w:ascii="Courier New" w:hAnsi="Courier New" w:hint="default"/>
      </w:rPr>
    </w:lvl>
    <w:lvl w:ilvl="2" w:tplc="EDA8F6C6">
      <w:start w:val="1"/>
      <w:numFmt w:val="bullet"/>
      <w:lvlText w:val=""/>
      <w:lvlJc w:val="left"/>
      <w:pPr>
        <w:ind w:left="2160" w:hanging="360"/>
      </w:pPr>
      <w:rPr>
        <w:rFonts w:ascii="Wingdings" w:hAnsi="Wingdings" w:hint="default"/>
      </w:rPr>
    </w:lvl>
    <w:lvl w:ilvl="3" w:tplc="9622194E">
      <w:start w:val="1"/>
      <w:numFmt w:val="bullet"/>
      <w:lvlText w:val=""/>
      <w:lvlJc w:val="left"/>
      <w:pPr>
        <w:ind w:left="2880" w:hanging="360"/>
      </w:pPr>
      <w:rPr>
        <w:rFonts w:ascii="Symbol" w:hAnsi="Symbol" w:hint="default"/>
      </w:rPr>
    </w:lvl>
    <w:lvl w:ilvl="4" w:tplc="0A025828">
      <w:start w:val="1"/>
      <w:numFmt w:val="bullet"/>
      <w:lvlText w:val="o"/>
      <w:lvlJc w:val="left"/>
      <w:pPr>
        <w:ind w:left="3600" w:hanging="360"/>
      </w:pPr>
      <w:rPr>
        <w:rFonts w:ascii="Courier New" w:hAnsi="Courier New" w:hint="default"/>
      </w:rPr>
    </w:lvl>
    <w:lvl w:ilvl="5" w:tplc="812A91E8">
      <w:start w:val="1"/>
      <w:numFmt w:val="bullet"/>
      <w:lvlText w:val=""/>
      <w:lvlJc w:val="left"/>
      <w:pPr>
        <w:ind w:left="4320" w:hanging="360"/>
      </w:pPr>
      <w:rPr>
        <w:rFonts w:ascii="Wingdings" w:hAnsi="Wingdings" w:hint="default"/>
      </w:rPr>
    </w:lvl>
    <w:lvl w:ilvl="6" w:tplc="1EFAAA5A">
      <w:start w:val="1"/>
      <w:numFmt w:val="bullet"/>
      <w:lvlText w:val=""/>
      <w:lvlJc w:val="left"/>
      <w:pPr>
        <w:ind w:left="5040" w:hanging="360"/>
      </w:pPr>
      <w:rPr>
        <w:rFonts w:ascii="Symbol" w:hAnsi="Symbol" w:hint="default"/>
      </w:rPr>
    </w:lvl>
    <w:lvl w:ilvl="7" w:tplc="A8880DE8">
      <w:start w:val="1"/>
      <w:numFmt w:val="bullet"/>
      <w:lvlText w:val="o"/>
      <w:lvlJc w:val="left"/>
      <w:pPr>
        <w:ind w:left="5760" w:hanging="360"/>
      </w:pPr>
      <w:rPr>
        <w:rFonts w:ascii="Courier New" w:hAnsi="Courier New" w:hint="default"/>
      </w:rPr>
    </w:lvl>
    <w:lvl w:ilvl="8" w:tplc="D6ECD9E2">
      <w:start w:val="1"/>
      <w:numFmt w:val="bullet"/>
      <w:lvlText w:val=""/>
      <w:lvlJc w:val="left"/>
      <w:pPr>
        <w:ind w:left="6480" w:hanging="360"/>
      </w:pPr>
      <w:rPr>
        <w:rFonts w:ascii="Wingdings" w:hAnsi="Wingdings" w:hint="default"/>
      </w:rPr>
    </w:lvl>
  </w:abstractNum>
  <w:abstractNum w:abstractNumId="85" w15:restartNumberingAfterBreak="0">
    <w:nsid w:val="440F2D35"/>
    <w:multiLevelType w:val="hybridMultilevel"/>
    <w:tmpl w:val="E6B8E182"/>
    <w:lvl w:ilvl="0" w:tplc="FFFFFFFF">
      <w:start w:val="1"/>
      <w:numFmt w:val="bullet"/>
      <w:lvlText w:val="-"/>
      <w:lvlJc w:val="left"/>
      <w:pPr>
        <w:ind w:left="2138" w:hanging="360"/>
      </w:pPr>
      <w:rPr>
        <w:rFonts w:ascii="Times New Roman" w:hAnsi="Times New Roman"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86" w15:restartNumberingAfterBreak="0">
    <w:nsid w:val="447233BC"/>
    <w:multiLevelType w:val="hybridMultilevel"/>
    <w:tmpl w:val="1D98CFB4"/>
    <w:lvl w:ilvl="0" w:tplc="CDE203F6">
      <w:start w:val="1"/>
      <w:numFmt w:val="decimal"/>
      <w:lvlText w:val="%1."/>
      <w:lvlJc w:val="left"/>
      <w:pPr>
        <w:ind w:left="720" w:hanging="360"/>
      </w:pPr>
    </w:lvl>
    <w:lvl w:ilvl="1" w:tplc="36B8A8B8">
      <w:start w:val="1"/>
      <w:numFmt w:val="lowerLetter"/>
      <w:lvlText w:val="%2."/>
      <w:lvlJc w:val="left"/>
      <w:pPr>
        <w:ind w:left="1440" w:hanging="360"/>
      </w:pPr>
    </w:lvl>
    <w:lvl w:ilvl="2" w:tplc="329265BC">
      <w:start w:val="1"/>
      <w:numFmt w:val="lowerRoman"/>
      <w:lvlText w:val="%3."/>
      <w:lvlJc w:val="right"/>
      <w:pPr>
        <w:ind w:left="2160" w:hanging="180"/>
      </w:pPr>
    </w:lvl>
    <w:lvl w:ilvl="3" w:tplc="438252A0">
      <w:start w:val="1"/>
      <w:numFmt w:val="decimal"/>
      <w:lvlText w:val="%4."/>
      <w:lvlJc w:val="left"/>
      <w:pPr>
        <w:ind w:left="2880" w:hanging="360"/>
      </w:pPr>
    </w:lvl>
    <w:lvl w:ilvl="4" w:tplc="3E4C4EFA">
      <w:start w:val="1"/>
      <w:numFmt w:val="lowerLetter"/>
      <w:lvlText w:val="%5."/>
      <w:lvlJc w:val="left"/>
      <w:pPr>
        <w:ind w:left="3600" w:hanging="360"/>
      </w:pPr>
    </w:lvl>
    <w:lvl w:ilvl="5" w:tplc="1C0AF6EA">
      <w:start w:val="1"/>
      <w:numFmt w:val="lowerRoman"/>
      <w:lvlText w:val="%6."/>
      <w:lvlJc w:val="right"/>
      <w:pPr>
        <w:ind w:left="4320" w:hanging="180"/>
      </w:pPr>
    </w:lvl>
    <w:lvl w:ilvl="6" w:tplc="002032FC">
      <w:start w:val="1"/>
      <w:numFmt w:val="decimal"/>
      <w:lvlText w:val="%7."/>
      <w:lvlJc w:val="left"/>
      <w:pPr>
        <w:ind w:left="5040" w:hanging="360"/>
      </w:pPr>
    </w:lvl>
    <w:lvl w:ilvl="7" w:tplc="4CA27BF2">
      <w:start w:val="1"/>
      <w:numFmt w:val="lowerLetter"/>
      <w:lvlText w:val="%8."/>
      <w:lvlJc w:val="left"/>
      <w:pPr>
        <w:ind w:left="5760" w:hanging="360"/>
      </w:pPr>
    </w:lvl>
    <w:lvl w:ilvl="8" w:tplc="4ED46F5C">
      <w:start w:val="1"/>
      <w:numFmt w:val="lowerRoman"/>
      <w:lvlText w:val="%9."/>
      <w:lvlJc w:val="right"/>
      <w:pPr>
        <w:ind w:left="6480" w:hanging="180"/>
      </w:pPr>
    </w:lvl>
  </w:abstractNum>
  <w:abstractNum w:abstractNumId="8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88" w15:restartNumberingAfterBreak="0">
    <w:nsid w:val="455631AC"/>
    <w:multiLevelType w:val="hybridMultilevel"/>
    <w:tmpl w:val="84FA0DAE"/>
    <w:lvl w:ilvl="0" w:tplc="218C80C4">
      <w:start w:val="1"/>
      <w:numFmt w:val="bullet"/>
      <w:lvlText w:val="-"/>
      <w:lvlJc w:val="left"/>
      <w:pPr>
        <w:ind w:left="720" w:hanging="360"/>
      </w:pPr>
      <w:rPr>
        <w:rFonts w:ascii="Calibri" w:hAnsi="Calibri" w:hint="default"/>
      </w:rPr>
    </w:lvl>
    <w:lvl w:ilvl="1" w:tplc="43023A84">
      <w:start w:val="1"/>
      <w:numFmt w:val="bullet"/>
      <w:lvlText w:val="o"/>
      <w:lvlJc w:val="left"/>
      <w:pPr>
        <w:ind w:left="1440" w:hanging="360"/>
      </w:pPr>
      <w:rPr>
        <w:rFonts w:ascii="Courier New" w:hAnsi="Courier New" w:hint="default"/>
      </w:rPr>
    </w:lvl>
    <w:lvl w:ilvl="2" w:tplc="35A8F86E">
      <w:start w:val="1"/>
      <w:numFmt w:val="bullet"/>
      <w:lvlText w:val=""/>
      <w:lvlJc w:val="left"/>
      <w:pPr>
        <w:ind w:left="2160" w:hanging="360"/>
      </w:pPr>
      <w:rPr>
        <w:rFonts w:ascii="Wingdings" w:hAnsi="Wingdings" w:hint="default"/>
      </w:rPr>
    </w:lvl>
    <w:lvl w:ilvl="3" w:tplc="33A0F0A8">
      <w:start w:val="1"/>
      <w:numFmt w:val="bullet"/>
      <w:lvlText w:val=""/>
      <w:lvlJc w:val="left"/>
      <w:pPr>
        <w:ind w:left="2880" w:hanging="360"/>
      </w:pPr>
      <w:rPr>
        <w:rFonts w:ascii="Symbol" w:hAnsi="Symbol" w:hint="default"/>
      </w:rPr>
    </w:lvl>
    <w:lvl w:ilvl="4" w:tplc="F6B04706">
      <w:start w:val="1"/>
      <w:numFmt w:val="bullet"/>
      <w:lvlText w:val="o"/>
      <w:lvlJc w:val="left"/>
      <w:pPr>
        <w:ind w:left="3600" w:hanging="360"/>
      </w:pPr>
      <w:rPr>
        <w:rFonts w:ascii="Courier New" w:hAnsi="Courier New" w:hint="default"/>
      </w:rPr>
    </w:lvl>
    <w:lvl w:ilvl="5" w:tplc="0EAAD594">
      <w:start w:val="1"/>
      <w:numFmt w:val="bullet"/>
      <w:lvlText w:val=""/>
      <w:lvlJc w:val="left"/>
      <w:pPr>
        <w:ind w:left="4320" w:hanging="360"/>
      </w:pPr>
      <w:rPr>
        <w:rFonts w:ascii="Wingdings" w:hAnsi="Wingdings" w:hint="default"/>
      </w:rPr>
    </w:lvl>
    <w:lvl w:ilvl="6" w:tplc="12E066FC">
      <w:start w:val="1"/>
      <w:numFmt w:val="bullet"/>
      <w:lvlText w:val=""/>
      <w:lvlJc w:val="left"/>
      <w:pPr>
        <w:ind w:left="5040" w:hanging="360"/>
      </w:pPr>
      <w:rPr>
        <w:rFonts w:ascii="Symbol" w:hAnsi="Symbol" w:hint="default"/>
      </w:rPr>
    </w:lvl>
    <w:lvl w:ilvl="7" w:tplc="6C9CF37E">
      <w:start w:val="1"/>
      <w:numFmt w:val="bullet"/>
      <w:lvlText w:val="o"/>
      <w:lvlJc w:val="left"/>
      <w:pPr>
        <w:ind w:left="5760" w:hanging="360"/>
      </w:pPr>
      <w:rPr>
        <w:rFonts w:ascii="Courier New" w:hAnsi="Courier New" w:hint="default"/>
      </w:rPr>
    </w:lvl>
    <w:lvl w:ilvl="8" w:tplc="BC06DF1C">
      <w:start w:val="1"/>
      <w:numFmt w:val="bullet"/>
      <w:lvlText w:val=""/>
      <w:lvlJc w:val="left"/>
      <w:pPr>
        <w:ind w:left="6480" w:hanging="360"/>
      </w:pPr>
      <w:rPr>
        <w:rFonts w:ascii="Wingdings" w:hAnsi="Wingdings" w:hint="default"/>
      </w:rPr>
    </w:lvl>
  </w:abstractNum>
  <w:abstractNum w:abstractNumId="89" w15:restartNumberingAfterBreak="0">
    <w:nsid w:val="45CA1CA0"/>
    <w:multiLevelType w:val="hybridMultilevel"/>
    <w:tmpl w:val="4B74FB9A"/>
    <w:lvl w:ilvl="0" w:tplc="0410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0" w15:restartNumberingAfterBreak="0">
    <w:nsid w:val="46101FB5"/>
    <w:multiLevelType w:val="hybridMultilevel"/>
    <w:tmpl w:val="199AB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1" w15:restartNumberingAfterBreak="0">
    <w:nsid w:val="468F2093"/>
    <w:multiLevelType w:val="multilevel"/>
    <w:tmpl w:val="C99AB46E"/>
    <w:name w:val="NumPar2"/>
    <w:lvl w:ilvl="0">
      <w:start w:val="1"/>
      <w:numFmt w:val="decimal"/>
      <w:lvlRestart w:val="0"/>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47542ACE"/>
    <w:multiLevelType w:val="hybridMultilevel"/>
    <w:tmpl w:val="DCE6E23E"/>
    <w:lvl w:ilvl="0" w:tplc="73C0F010">
      <w:start w:val="1"/>
      <w:numFmt w:val="lowerRoman"/>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3" w15:restartNumberingAfterBreak="0">
    <w:nsid w:val="483C6ACF"/>
    <w:multiLevelType w:val="hybridMultilevel"/>
    <w:tmpl w:val="B110549E"/>
    <w:name w:val="Heading22"/>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4" w15:restartNumberingAfterBreak="0">
    <w:nsid w:val="48D00E20"/>
    <w:multiLevelType w:val="hybridMultilevel"/>
    <w:tmpl w:val="CCC06296"/>
    <w:lvl w:ilvl="0" w:tplc="EADA3AE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5" w15:restartNumberingAfterBreak="0">
    <w:nsid w:val="493B5AE0"/>
    <w:multiLevelType w:val="hybridMultilevel"/>
    <w:tmpl w:val="72A80998"/>
    <w:lvl w:ilvl="0" w:tplc="6E6EFFBA">
      <w:start w:val="1"/>
      <w:numFmt w:val="bullet"/>
      <w:lvlText w:val=""/>
      <w:lvlJc w:val="left"/>
      <w:pPr>
        <w:ind w:left="720" w:hanging="360"/>
      </w:pPr>
      <w:rPr>
        <w:rFonts w:ascii="Symbol" w:hAnsi="Symbol" w:hint="default"/>
      </w:rPr>
    </w:lvl>
    <w:lvl w:ilvl="1" w:tplc="1C1CCC76">
      <w:start w:val="1"/>
      <w:numFmt w:val="bullet"/>
      <w:lvlText w:val="o"/>
      <w:lvlJc w:val="left"/>
      <w:pPr>
        <w:ind w:left="1440" w:hanging="360"/>
      </w:pPr>
      <w:rPr>
        <w:rFonts w:ascii="Courier New" w:hAnsi="Courier New" w:hint="default"/>
      </w:rPr>
    </w:lvl>
    <w:lvl w:ilvl="2" w:tplc="61486A5C">
      <w:start w:val="1"/>
      <w:numFmt w:val="bullet"/>
      <w:lvlText w:val=""/>
      <w:lvlJc w:val="left"/>
      <w:pPr>
        <w:ind w:left="2160" w:hanging="360"/>
      </w:pPr>
      <w:rPr>
        <w:rFonts w:ascii="Wingdings" w:hAnsi="Wingdings" w:hint="default"/>
      </w:rPr>
    </w:lvl>
    <w:lvl w:ilvl="3" w:tplc="B39C15D8">
      <w:start w:val="1"/>
      <w:numFmt w:val="bullet"/>
      <w:lvlText w:val=""/>
      <w:lvlJc w:val="left"/>
      <w:pPr>
        <w:ind w:left="2880" w:hanging="360"/>
      </w:pPr>
      <w:rPr>
        <w:rFonts w:ascii="Symbol" w:hAnsi="Symbol" w:hint="default"/>
      </w:rPr>
    </w:lvl>
    <w:lvl w:ilvl="4" w:tplc="569E71DA">
      <w:start w:val="1"/>
      <w:numFmt w:val="bullet"/>
      <w:lvlText w:val="o"/>
      <w:lvlJc w:val="left"/>
      <w:pPr>
        <w:ind w:left="3600" w:hanging="360"/>
      </w:pPr>
      <w:rPr>
        <w:rFonts w:ascii="Courier New" w:hAnsi="Courier New" w:hint="default"/>
      </w:rPr>
    </w:lvl>
    <w:lvl w:ilvl="5" w:tplc="125CBE6E">
      <w:start w:val="1"/>
      <w:numFmt w:val="bullet"/>
      <w:lvlText w:val=""/>
      <w:lvlJc w:val="left"/>
      <w:pPr>
        <w:ind w:left="4320" w:hanging="360"/>
      </w:pPr>
      <w:rPr>
        <w:rFonts w:ascii="Wingdings" w:hAnsi="Wingdings" w:hint="default"/>
      </w:rPr>
    </w:lvl>
    <w:lvl w:ilvl="6" w:tplc="330E1BAC">
      <w:start w:val="1"/>
      <w:numFmt w:val="bullet"/>
      <w:lvlText w:val=""/>
      <w:lvlJc w:val="left"/>
      <w:pPr>
        <w:ind w:left="5040" w:hanging="360"/>
      </w:pPr>
      <w:rPr>
        <w:rFonts w:ascii="Symbol" w:hAnsi="Symbol" w:hint="default"/>
      </w:rPr>
    </w:lvl>
    <w:lvl w:ilvl="7" w:tplc="0B4CB97C">
      <w:start w:val="1"/>
      <w:numFmt w:val="bullet"/>
      <w:lvlText w:val="o"/>
      <w:lvlJc w:val="left"/>
      <w:pPr>
        <w:ind w:left="5760" w:hanging="360"/>
      </w:pPr>
      <w:rPr>
        <w:rFonts w:ascii="Courier New" w:hAnsi="Courier New" w:hint="default"/>
      </w:rPr>
    </w:lvl>
    <w:lvl w:ilvl="8" w:tplc="60B6A082">
      <w:start w:val="1"/>
      <w:numFmt w:val="bullet"/>
      <w:lvlText w:val=""/>
      <w:lvlJc w:val="left"/>
      <w:pPr>
        <w:ind w:left="6480" w:hanging="360"/>
      </w:pPr>
      <w:rPr>
        <w:rFonts w:ascii="Wingdings" w:hAnsi="Wingdings" w:hint="default"/>
      </w:rPr>
    </w:lvl>
  </w:abstractNum>
  <w:abstractNum w:abstractNumId="96" w15:restartNumberingAfterBreak="0">
    <w:nsid w:val="49D773DC"/>
    <w:multiLevelType w:val="hybridMultilevel"/>
    <w:tmpl w:val="E1EE12C2"/>
    <w:lvl w:ilvl="0" w:tplc="873C997E">
      <w:numFmt w:val="bullet"/>
      <w:lvlText w:val="-"/>
      <w:lvlJc w:val="left"/>
      <w:pPr>
        <w:ind w:left="720" w:hanging="360"/>
      </w:pPr>
      <w:rPr>
        <w:rFonts w:ascii="Times New Roman" w:eastAsia="Times New Roman"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7" w15:restartNumberingAfterBreak="0">
    <w:nsid w:val="4C4115D3"/>
    <w:multiLevelType w:val="hybridMultilevel"/>
    <w:tmpl w:val="D4E4AC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8" w15:restartNumberingAfterBreak="0">
    <w:nsid w:val="4F7D33CD"/>
    <w:multiLevelType w:val="hybridMultilevel"/>
    <w:tmpl w:val="033A27AA"/>
    <w:lvl w:ilvl="0" w:tplc="FFFFFFFF">
      <w:start w:val="1"/>
      <w:numFmt w:val="bullet"/>
      <w:lvlText w:val="·"/>
      <w:lvlJc w:val="left"/>
      <w:pPr>
        <w:ind w:left="720" w:hanging="360"/>
      </w:pPr>
      <w:rPr>
        <w:rFonts w:ascii="Symbol" w:hAnsi="Symbol" w:hint="default"/>
      </w:rPr>
    </w:lvl>
    <w:lvl w:ilvl="1" w:tplc="B50E7C80">
      <w:start w:val="1"/>
      <w:numFmt w:val="bullet"/>
      <w:lvlText w:val="o"/>
      <w:lvlJc w:val="left"/>
      <w:pPr>
        <w:ind w:left="1440" w:hanging="360"/>
      </w:pPr>
      <w:rPr>
        <w:rFonts w:ascii="Courier New" w:hAnsi="Courier New" w:hint="default"/>
      </w:rPr>
    </w:lvl>
    <w:lvl w:ilvl="2" w:tplc="B582F2EC">
      <w:start w:val="1"/>
      <w:numFmt w:val="bullet"/>
      <w:lvlText w:val=""/>
      <w:lvlJc w:val="left"/>
      <w:pPr>
        <w:ind w:left="2160" w:hanging="360"/>
      </w:pPr>
      <w:rPr>
        <w:rFonts w:ascii="Wingdings" w:hAnsi="Wingdings" w:hint="default"/>
      </w:rPr>
    </w:lvl>
    <w:lvl w:ilvl="3" w:tplc="CFA22DC0">
      <w:start w:val="1"/>
      <w:numFmt w:val="bullet"/>
      <w:lvlText w:val=""/>
      <w:lvlJc w:val="left"/>
      <w:pPr>
        <w:ind w:left="2880" w:hanging="360"/>
      </w:pPr>
      <w:rPr>
        <w:rFonts w:ascii="Symbol" w:hAnsi="Symbol" w:hint="default"/>
      </w:rPr>
    </w:lvl>
    <w:lvl w:ilvl="4" w:tplc="A090585A">
      <w:start w:val="1"/>
      <w:numFmt w:val="bullet"/>
      <w:lvlText w:val="o"/>
      <w:lvlJc w:val="left"/>
      <w:pPr>
        <w:ind w:left="3600" w:hanging="360"/>
      </w:pPr>
      <w:rPr>
        <w:rFonts w:ascii="Courier New" w:hAnsi="Courier New" w:hint="default"/>
      </w:rPr>
    </w:lvl>
    <w:lvl w:ilvl="5" w:tplc="DC34638A">
      <w:start w:val="1"/>
      <w:numFmt w:val="bullet"/>
      <w:lvlText w:val=""/>
      <w:lvlJc w:val="left"/>
      <w:pPr>
        <w:ind w:left="4320" w:hanging="360"/>
      </w:pPr>
      <w:rPr>
        <w:rFonts w:ascii="Wingdings" w:hAnsi="Wingdings" w:hint="default"/>
      </w:rPr>
    </w:lvl>
    <w:lvl w:ilvl="6" w:tplc="0B50478A">
      <w:start w:val="1"/>
      <w:numFmt w:val="bullet"/>
      <w:lvlText w:val=""/>
      <w:lvlJc w:val="left"/>
      <w:pPr>
        <w:ind w:left="5040" w:hanging="360"/>
      </w:pPr>
      <w:rPr>
        <w:rFonts w:ascii="Symbol" w:hAnsi="Symbol" w:hint="default"/>
      </w:rPr>
    </w:lvl>
    <w:lvl w:ilvl="7" w:tplc="F0F48B46">
      <w:start w:val="1"/>
      <w:numFmt w:val="bullet"/>
      <w:lvlText w:val="o"/>
      <w:lvlJc w:val="left"/>
      <w:pPr>
        <w:ind w:left="5760" w:hanging="360"/>
      </w:pPr>
      <w:rPr>
        <w:rFonts w:ascii="Courier New" w:hAnsi="Courier New" w:hint="default"/>
      </w:rPr>
    </w:lvl>
    <w:lvl w:ilvl="8" w:tplc="A1AE2EFE">
      <w:start w:val="1"/>
      <w:numFmt w:val="bullet"/>
      <w:lvlText w:val=""/>
      <w:lvlJc w:val="left"/>
      <w:pPr>
        <w:ind w:left="6480" w:hanging="360"/>
      </w:pPr>
      <w:rPr>
        <w:rFonts w:ascii="Wingdings" w:hAnsi="Wingdings" w:hint="default"/>
      </w:rPr>
    </w:lvl>
  </w:abstractNum>
  <w:abstractNum w:abstractNumId="99" w15:restartNumberingAfterBreak="0">
    <w:nsid w:val="52EC6ECC"/>
    <w:multiLevelType w:val="hybridMultilevel"/>
    <w:tmpl w:val="A5067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53DA2203"/>
    <w:multiLevelType w:val="hybridMultilevel"/>
    <w:tmpl w:val="0DE8BB92"/>
    <w:lvl w:ilvl="0" w:tplc="28B87E4A">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1" w15:restartNumberingAfterBreak="0">
    <w:nsid w:val="540174FD"/>
    <w:multiLevelType w:val="hybridMultilevel"/>
    <w:tmpl w:val="3836CA74"/>
    <w:lvl w:ilvl="0" w:tplc="43EAD3D8">
      <w:start w:val="1"/>
      <w:numFmt w:val="bullet"/>
      <w:lvlText w:val="-"/>
      <w:lvlJc w:val="left"/>
      <w:pPr>
        <w:ind w:left="720" w:hanging="360"/>
      </w:pPr>
      <w:rPr>
        <w:rFonts w:ascii="Symbol" w:hAnsi="Symbol" w:hint="default"/>
      </w:rPr>
    </w:lvl>
    <w:lvl w:ilvl="1" w:tplc="C33687BC">
      <w:start w:val="1"/>
      <w:numFmt w:val="bullet"/>
      <w:lvlText w:val="o"/>
      <w:lvlJc w:val="left"/>
      <w:pPr>
        <w:ind w:left="1440" w:hanging="360"/>
      </w:pPr>
      <w:rPr>
        <w:rFonts w:ascii="Courier New" w:hAnsi="Courier New" w:hint="default"/>
      </w:rPr>
    </w:lvl>
    <w:lvl w:ilvl="2" w:tplc="B2CCF1B4">
      <w:start w:val="1"/>
      <w:numFmt w:val="bullet"/>
      <w:lvlText w:val=""/>
      <w:lvlJc w:val="left"/>
      <w:pPr>
        <w:ind w:left="2160" w:hanging="360"/>
      </w:pPr>
      <w:rPr>
        <w:rFonts w:ascii="Wingdings" w:hAnsi="Wingdings" w:hint="default"/>
      </w:rPr>
    </w:lvl>
    <w:lvl w:ilvl="3" w:tplc="411657AC">
      <w:start w:val="1"/>
      <w:numFmt w:val="bullet"/>
      <w:lvlText w:val=""/>
      <w:lvlJc w:val="left"/>
      <w:pPr>
        <w:ind w:left="2880" w:hanging="360"/>
      </w:pPr>
      <w:rPr>
        <w:rFonts w:ascii="Symbol" w:hAnsi="Symbol" w:hint="default"/>
      </w:rPr>
    </w:lvl>
    <w:lvl w:ilvl="4" w:tplc="BDC6F242">
      <w:start w:val="1"/>
      <w:numFmt w:val="bullet"/>
      <w:lvlText w:val="o"/>
      <w:lvlJc w:val="left"/>
      <w:pPr>
        <w:ind w:left="3600" w:hanging="360"/>
      </w:pPr>
      <w:rPr>
        <w:rFonts w:ascii="Courier New" w:hAnsi="Courier New" w:hint="default"/>
      </w:rPr>
    </w:lvl>
    <w:lvl w:ilvl="5" w:tplc="77301190">
      <w:start w:val="1"/>
      <w:numFmt w:val="bullet"/>
      <w:lvlText w:val=""/>
      <w:lvlJc w:val="left"/>
      <w:pPr>
        <w:ind w:left="4320" w:hanging="360"/>
      </w:pPr>
      <w:rPr>
        <w:rFonts w:ascii="Wingdings" w:hAnsi="Wingdings" w:hint="default"/>
      </w:rPr>
    </w:lvl>
    <w:lvl w:ilvl="6" w:tplc="3E72EFDA">
      <w:start w:val="1"/>
      <w:numFmt w:val="bullet"/>
      <w:lvlText w:val=""/>
      <w:lvlJc w:val="left"/>
      <w:pPr>
        <w:ind w:left="5040" w:hanging="360"/>
      </w:pPr>
      <w:rPr>
        <w:rFonts w:ascii="Symbol" w:hAnsi="Symbol" w:hint="default"/>
      </w:rPr>
    </w:lvl>
    <w:lvl w:ilvl="7" w:tplc="187CAED0">
      <w:start w:val="1"/>
      <w:numFmt w:val="bullet"/>
      <w:lvlText w:val="o"/>
      <w:lvlJc w:val="left"/>
      <w:pPr>
        <w:ind w:left="5760" w:hanging="360"/>
      </w:pPr>
      <w:rPr>
        <w:rFonts w:ascii="Courier New" w:hAnsi="Courier New" w:hint="default"/>
      </w:rPr>
    </w:lvl>
    <w:lvl w:ilvl="8" w:tplc="FE942D0A">
      <w:start w:val="1"/>
      <w:numFmt w:val="bullet"/>
      <w:lvlText w:val=""/>
      <w:lvlJc w:val="left"/>
      <w:pPr>
        <w:ind w:left="6480" w:hanging="360"/>
      </w:pPr>
      <w:rPr>
        <w:rFonts w:ascii="Wingdings" w:hAnsi="Wingdings" w:hint="default"/>
      </w:rPr>
    </w:lvl>
  </w:abstractNum>
  <w:abstractNum w:abstractNumId="10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03" w15:restartNumberingAfterBreak="0">
    <w:nsid w:val="559B6D28"/>
    <w:multiLevelType w:val="hybridMultilevel"/>
    <w:tmpl w:val="F1F6F1A4"/>
    <w:lvl w:ilvl="0" w:tplc="D8CCA47E">
      <w:start w:val="1"/>
      <w:numFmt w:val="bullet"/>
      <w:lvlText w:val="-"/>
      <w:lvlJc w:val="left"/>
      <w:pPr>
        <w:ind w:left="1429" w:hanging="360"/>
      </w:pPr>
      <w:rPr>
        <w:rFonts w:ascii="&quot;Times New Roman&quot;,serif" w:hAnsi="&quot;Times New Roman&quot;,serif"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4" w15:restartNumberingAfterBreak="0">
    <w:nsid w:val="55C10E65"/>
    <w:multiLevelType w:val="multilevel"/>
    <w:tmpl w:val="8D7C4D2A"/>
    <w:lvl w:ilvl="0">
      <w:start w:val="1"/>
      <w:numFmt w:val="decimal"/>
      <w:pStyle w:val="LegalNumPar"/>
      <w:lvlText w:val="%1."/>
      <w:lvlJc w:val="left"/>
      <w:pPr>
        <w:ind w:left="476" w:hanging="476"/>
      </w:pPr>
      <w:rPr>
        <w:rFonts w:hint="default"/>
        <w:b/>
        <w:bCs/>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5" w15:restartNumberingAfterBreak="0">
    <w:nsid w:val="56A3B146"/>
    <w:multiLevelType w:val="hybridMultilevel"/>
    <w:tmpl w:val="FFFFFFFF"/>
    <w:lvl w:ilvl="0" w:tplc="538C7BCC">
      <w:start w:val="1"/>
      <w:numFmt w:val="bullet"/>
      <w:lvlText w:val=""/>
      <w:lvlJc w:val="left"/>
      <w:pPr>
        <w:ind w:left="720" w:hanging="360"/>
      </w:pPr>
      <w:rPr>
        <w:rFonts w:ascii="Symbol" w:hAnsi="Symbol" w:hint="default"/>
      </w:rPr>
    </w:lvl>
    <w:lvl w:ilvl="1" w:tplc="AEB619B0">
      <w:start w:val="1"/>
      <w:numFmt w:val="bullet"/>
      <w:lvlText w:val="o"/>
      <w:lvlJc w:val="left"/>
      <w:pPr>
        <w:ind w:left="1440" w:hanging="360"/>
      </w:pPr>
      <w:rPr>
        <w:rFonts w:ascii="Courier New" w:hAnsi="Courier New" w:hint="default"/>
      </w:rPr>
    </w:lvl>
    <w:lvl w:ilvl="2" w:tplc="FCB2E71E">
      <w:start w:val="1"/>
      <w:numFmt w:val="bullet"/>
      <w:lvlText w:val=""/>
      <w:lvlJc w:val="left"/>
      <w:pPr>
        <w:ind w:left="2160" w:hanging="360"/>
      </w:pPr>
      <w:rPr>
        <w:rFonts w:ascii="Wingdings" w:hAnsi="Wingdings" w:hint="default"/>
      </w:rPr>
    </w:lvl>
    <w:lvl w:ilvl="3" w:tplc="2A460294">
      <w:start w:val="1"/>
      <w:numFmt w:val="bullet"/>
      <w:lvlText w:val=""/>
      <w:lvlJc w:val="left"/>
      <w:pPr>
        <w:ind w:left="2880" w:hanging="360"/>
      </w:pPr>
      <w:rPr>
        <w:rFonts w:ascii="Symbol" w:hAnsi="Symbol" w:hint="default"/>
      </w:rPr>
    </w:lvl>
    <w:lvl w:ilvl="4" w:tplc="3EBE5880">
      <w:start w:val="1"/>
      <w:numFmt w:val="bullet"/>
      <w:lvlText w:val="o"/>
      <w:lvlJc w:val="left"/>
      <w:pPr>
        <w:ind w:left="3600" w:hanging="360"/>
      </w:pPr>
      <w:rPr>
        <w:rFonts w:ascii="Courier New" w:hAnsi="Courier New" w:hint="default"/>
      </w:rPr>
    </w:lvl>
    <w:lvl w:ilvl="5" w:tplc="7F6853FE">
      <w:start w:val="1"/>
      <w:numFmt w:val="bullet"/>
      <w:lvlText w:val=""/>
      <w:lvlJc w:val="left"/>
      <w:pPr>
        <w:ind w:left="4320" w:hanging="360"/>
      </w:pPr>
      <w:rPr>
        <w:rFonts w:ascii="Wingdings" w:hAnsi="Wingdings" w:hint="default"/>
      </w:rPr>
    </w:lvl>
    <w:lvl w:ilvl="6" w:tplc="A45A9BBE">
      <w:start w:val="1"/>
      <w:numFmt w:val="bullet"/>
      <w:lvlText w:val=""/>
      <w:lvlJc w:val="left"/>
      <w:pPr>
        <w:ind w:left="5040" w:hanging="360"/>
      </w:pPr>
      <w:rPr>
        <w:rFonts w:ascii="Symbol" w:hAnsi="Symbol" w:hint="default"/>
      </w:rPr>
    </w:lvl>
    <w:lvl w:ilvl="7" w:tplc="5DDA074C">
      <w:start w:val="1"/>
      <w:numFmt w:val="bullet"/>
      <w:lvlText w:val="o"/>
      <w:lvlJc w:val="left"/>
      <w:pPr>
        <w:ind w:left="5760" w:hanging="360"/>
      </w:pPr>
      <w:rPr>
        <w:rFonts w:ascii="Courier New" w:hAnsi="Courier New" w:hint="default"/>
      </w:rPr>
    </w:lvl>
    <w:lvl w:ilvl="8" w:tplc="735ABAA8">
      <w:start w:val="1"/>
      <w:numFmt w:val="bullet"/>
      <w:lvlText w:val=""/>
      <w:lvlJc w:val="left"/>
      <w:pPr>
        <w:ind w:left="6480" w:hanging="360"/>
      </w:pPr>
      <w:rPr>
        <w:rFonts w:ascii="Wingdings" w:hAnsi="Wingdings" w:hint="default"/>
      </w:rPr>
    </w:lvl>
  </w:abstractNum>
  <w:abstractNum w:abstractNumId="106" w15:restartNumberingAfterBreak="0">
    <w:nsid w:val="58306812"/>
    <w:multiLevelType w:val="hybridMultilevel"/>
    <w:tmpl w:val="A414406A"/>
    <w:lvl w:ilvl="0" w:tplc="81704D26">
      <w:start w:val="1"/>
      <w:numFmt w:val="decimal"/>
      <w:lvlText w:val="%1."/>
      <w:lvlJc w:val="left"/>
      <w:pPr>
        <w:ind w:left="720" w:hanging="360"/>
      </w:pPr>
    </w:lvl>
    <w:lvl w:ilvl="1" w:tplc="3812771A">
      <w:start w:val="1"/>
      <w:numFmt w:val="lowerLetter"/>
      <w:lvlText w:val="%2."/>
      <w:lvlJc w:val="left"/>
      <w:pPr>
        <w:ind w:left="1440" w:hanging="360"/>
      </w:pPr>
    </w:lvl>
    <w:lvl w:ilvl="2" w:tplc="BCCC7F8E">
      <w:start w:val="1"/>
      <w:numFmt w:val="lowerRoman"/>
      <w:lvlText w:val="%3."/>
      <w:lvlJc w:val="right"/>
      <w:pPr>
        <w:ind w:left="2160" w:hanging="180"/>
      </w:pPr>
    </w:lvl>
    <w:lvl w:ilvl="3" w:tplc="ED1E3E9A">
      <w:start w:val="1"/>
      <w:numFmt w:val="decimal"/>
      <w:lvlText w:val="%4."/>
      <w:lvlJc w:val="left"/>
      <w:pPr>
        <w:ind w:left="2880" w:hanging="360"/>
      </w:pPr>
    </w:lvl>
    <w:lvl w:ilvl="4" w:tplc="200832B0">
      <w:start w:val="1"/>
      <w:numFmt w:val="lowerLetter"/>
      <w:lvlText w:val="%5."/>
      <w:lvlJc w:val="left"/>
      <w:pPr>
        <w:ind w:left="3600" w:hanging="360"/>
      </w:pPr>
    </w:lvl>
    <w:lvl w:ilvl="5" w:tplc="07C8DB6C">
      <w:start w:val="1"/>
      <w:numFmt w:val="lowerRoman"/>
      <w:lvlText w:val="%6."/>
      <w:lvlJc w:val="right"/>
      <w:pPr>
        <w:ind w:left="4320" w:hanging="180"/>
      </w:pPr>
    </w:lvl>
    <w:lvl w:ilvl="6" w:tplc="7DB27892">
      <w:start w:val="1"/>
      <w:numFmt w:val="decimal"/>
      <w:lvlText w:val="%7."/>
      <w:lvlJc w:val="left"/>
      <w:pPr>
        <w:ind w:left="5040" w:hanging="360"/>
      </w:pPr>
    </w:lvl>
    <w:lvl w:ilvl="7" w:tplc="E16EB3FA">
      <w:start w:val="1"/>
      <w:numFmt w:val="lowerLetter"/>
      <w:lvlText w:val="%8."/>
      <w:lvlJc w:val="left"/>
      <w:pPr>
        <w:ind w:left="5760" w:hanging="360"/>
      </w:pPr>
    </w:lvl>
    <w:lvl w:ilvl="8" w:tplc="2398F53E">
      <w:start w:val="1"/>
      <w:numFmt w:val="lowerRoman"/>
      <w:lvlText w:val="%9."/>
      <w:lvlJc w:val="right"/>
      <w:pPr>
        <w:ind w:left="6480" w:hanging="180"/>
      </w:pPr>
    </w:lvl>
  </w:abstractNum>
  <w:abstractNum w:abstractNumId="107" w15:restartNumberingAfterBreak="0">
    <w:nsid w:val="58E05220"/>
    <w:multiLevelType w:val="hybridMultilevel"/>
    <w:tmpl w:val="B378B32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1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1" w15:restartNumberingAfterBreak="0">
    <w:nsid w:val="5E2E53FD"/>
    <w:multiLevelType w:val="hybridMultilevel"/>
    <w:tmpl w:val="CCCE8B74"/>
    <w:lvl w:ilvl="0" w:tplc="0410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F0D4639"/>
    <w:multiLevelType w:val="hybridMultilevel"/>
    <w:tmpl w:val="7A1CF0CE"/>
    <w:lvl w:ilvl="0" w:tplc="8EBEB170">
      <w:start w:val="1"/>
      <w:numFmt w:val="decimal"/>
      <w:lvlText w:val="%1."/>
      <w:lvlJc w:val="left"/>
      <w:pPr>
        <w:ind w:left="288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3" w15:restartNumberingAfterBreak="0">
    <w:nsid w:val="60601DA6"/>
    <w:multiLevelType w:val="hybridMultilevel"/>
    <w:tmpl w:val="50EE3990"/>
    <w:lvl w:ilvl="0" w:tplc="0809000F">
      <w:start w:val="1"/>
      <w:numFmt w:val="decimal"/>
      <w:lvlText w:val="%1."/>
      <w:lvlJc w:val="left"/>
      <w:pPr>
        <w:ind w:left="1490" w:hanging="360"/>
      </w:p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114" w15:restartNumberingAfterBreak="0">
    <w:nsid w:val="624AD152"/>
    <w:multiLevelType w:val="hybridMultilevel"/>
    <w:tmpl w:val="88BC0D52"/>
    <w:lvl w:ilvl="0" w:tplc="57D01C9A">
      <w:start w:val="5"/>
      <w:numFmt w:val="decimal"/>
      <w:lvlText w:val="%1."/>
      <w:lvlJc w:val="left"/>
      <w:pPr>
        <w:ind w:left="720" w:hanging="360"/>
      </w:pPr>
    </w:lvl>
    <w:lvl w:ilvl="1" w:tplc="BB763844">
      <w:start w:val="1"/>
      <w:numFmt w:val="lowerLetter"/>
      <w:lvlText w:val="%2."/>
      <w:lvlJc w:val="left"/>
      <w:pPr>
        <w:ind w:left="1440" w:hanging="360"/>
      </w:pPr>
    </w:lvl>
    <w:lvl w:ilvl="2" w:tplc="16200EBC">
      <w:start w:val="1"/>
      <w:numFmt w:val="lowerRoman"/>
      <w:lvlText w:val="%3."/>
      <w:lvlJc w:val="right"/>
      <w:pPr>
        <w:ind w:left="2160" w:hanging="180"/>
      </w:pPr>
    </w:lvl>
    <w:lvl w:ilvl="3" w:tplc="B7BAEAE6">
      <w:start w:val="1"/>
      <w:numFmt w:val="decimal"/>
      <w:lvlText w:val="%4."/>
      <w:lvlJc w:val="left"/>
      <w:pPr>
        <w:ind w:left="2880" w:hanging="360"/>
      </w:pPr>
    </w:lvl>
    <w:lvl w:ilvl="4" w:tplc="1C36C86A">
      <w:start w:val="1"/>
      <w:numFmt w:val="lowerLetter"/>
      <w:lvlText w:val="%5."/>
      <w:lvlJc w:val="left"/>
      <w:pPr>
        <w:ind w:left="3600" w:hanging="360"/>
      </w:pPr>
    </w:lvl>
    <w:lvl w:ilvl="5" w:tplc="3E42E02A">
      <w:start w:val="1"/>
      <w:numFmt w:val="lowerRoman"/>
      <w:lvlText w:val="%6."/>
      <w:lvlJc w:val="right"/>
      <w:pPr>
        <w:ind w:left="4320" w:hanging="180"/>
      </w:pPr>
    </w:lvl>
    <w:lvl w:ilvl="6" w:tplc="5D22767E">
      <w:start w:val="1"/>
      <w:numFmt w:val="decimal"/>
      <w:lvlText w:val="%7."/>
      <w:lvlJc w:val="left"/>
      <w:pPr>
        <w:ind w:left="5040" w:hanging="360"/>
      </w:pPr>
    </w:lvl>
    <w:lvl w:ilvl="7" w:tplc="3B629350">
      <w:start w:val="1"/>
      <w:numFmt w:val="lowerLetter"/>
      <w:lvlText w:val="%8."/>
      <w:lvlJc w:val="left"/>
      <w:pPr>
        <w:ind w:left="5760" w:hanging="360"/>
      </w:pPr>
    </w:lvl>
    <w:lvl w:ilvl="8" w:tplc="F24E56F6">
      <w:start w:val="1"/>
      <w:numFmt w:val="lowerRoman"/>
      <w:lvlText w:val="%9."/>
      <w:lvlJc w:val="right"/>
      <w:pPr>
        <w:ind w:left="6480" w:hanging="180"/>
      </w:pPr>
    </w:lvl>
  </w:abstractNum>
  <w:abstractNum w:abstractNumId="115" w15:restartNumberingAfterBreak="0">
    <w:nsid w:val="63A15AD3"/>
    <w:multiLevelType w:val="hybridMultilevel"/>
    <w:tmpl w:val="13087CA4"/>
    <w:lvl w:ilvl="0" w:tplc="D4E27C9A">
      <w:start w:val="1"/>
      <w:numFmt w:val="bullet"/>
      <w:pStyle w:val="TOC1"/>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6" w15:restartNumberingAfterBreak="0">
    <w:nsid w:val="64A12FA4"/>
    <w:multiLevelType w:val="multilevel"/>
    <w:tmpl w:val="01AC73DA"/>
    <w:name w:val="Heading"/>
    <w:lvl w:ilvl="0">
      <w:start w:val="1"/>
      <w:numFmt w:val="decimal"/>
      <w:lvlRestart w:val="0"/>
      <w:pStyle w:val="Heading1"/>
      <w:lvlText w:val="%1."/>
      <w:lvlJc w:val="left"/>
      <w:pPr>
        <w:tabs>
          <w:tab w:val="num" w:pos="850"/>
        </w:tabs>
        <w:ind w:left="850" w:hanging="850"/>
      </w:pPr>
      <w:rPr>
        <w:rFonts w:hint="default"/>
      </w:rPr>
    </w:lvl>
    <w:lvl w:ilvl="1">
      <w:start w:val="1"/>
      <w:numFmt w:val="decimal"/>
      <w:pStyle w:val="Heading2"/>
      <w:lvlText w:val="%1.%2."/>
      <w:lvlJc w:val="left"/>
      <w:pPr>
        <w:tabs>
          <w:tab w:val="num" w:pos="850"/>
        </w:tabs>
        <w:ind w:left="850" w:hanging="850"/>
      </w:pPr>
      <w:rPr>
        <w:rFonts w:hint="default"/>
      </w:rPr>
    </w:lvl>
    <w:lvl w:ilvl="2">
      <w:start w:val="1"/>
      <w:numFmt w:val="decimal"/>
      <w:pStyle w:val="Heading3"/>
      <w:lvlText w:val="%1.%2.%3."/>
      <w:lvlJc w:val="left"/>
      <w:pPr>
        <w:tabs>
          <w:tab w:val="num" w:pos="850"/>
        </w:tabs>
        <w:ind w:left="850" w:hanging="850"/>
      </w:pPr>
      <w:rPr>
        <w:rFonts w:hint="default"/>
      </w:rPr>
    </w:lvl>
    <w:lvl w:ilvl="3">
      <w:start w:val="1"/>
      <w:numFmt w:val="decimal"/>
      <w:pStyle w:val="Heading4"/>
      <w:lvlText w:val="%1.%2.%3.%4."/>
      <w:lvlJc w:val="left"/>
      <w:pPr>
        <w:tabs>
          <w:tab w:val="num" w:pos="850"/>
        </w:tabs>
        <w:ind w:left="850" w:hanging="85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64AB3191"/>
    <w:multiLevelType w:val="hybridMultilevel"/>
    <w:tmpl w:val="5896E506"/>
    <w:lvl w:ilvl="0" w:tplc="D78A6090">
      <w:start w:val="1"/>
      <w:numFmt w:val="decimal"/>
      <w:lvlText w:val="%1."/>
      <w:lvlJc w:val="left"/>
      <w:pPr>
        <w:ind w:left="720" w:hanging="360"/>
      </w:pPr>
    </w:lvl>
    <w:lvl w:ilvl="1" w:tplc="F5F09EA2">
      <w:start w:val="1"/>
      <w:numFmt w:val="lowerLetter"/>
      <w:lvlText w:val="%2."/>
      <w:lvlJc w:val="left"/>
      <w:pPr>
        <w:ind w:left="1440" w:hanging="360"/>
      </w:pPr>
    </w:lvl>
    <w:lvl w:ilvl="2" w:tplc="4D80862E">
      <w:start w:val="1"/>
      <w:numFmt w:val="lowerRoman"/>
      <w:lvlText w:val="%3."/>
      <w:lvlJc w:val="right"/>
      <w:pPr>
        <w:ind w:left="2160" w:hanging="180"/>
      </w:pPr>
    </w:lvl>
    <w:lvl w:ilvl="3" w:tplc="F4FC0AEE">
      <w:start w:val="1"/>
      <w:numFmt w:val="decimal"/>
      <w:lvlText w:val="%4."/>
      <w:lvlJc w:val="left"/>
      <w:pPr>
        <w:ind w:left="2880" w:hanging="360"/>
      </w:pPr>
    </w:lvl>
    <w:lvl w:ilvl="4" w:tplc="8C4CEC54">
      <w:start w:val="1"/>
      <w:numFmt w:val="lowerLetter"/>
      <w:lvlText w:val="%5."/>
      <w:lvlJc w:val="left"/>
      <w:pPr>
        <w:ind w:left="3600" w:hanging="360"/>
      </w:pPr>
    </w:lvl>
    <w:lvl w:ilvl="5" w:tplc="16DEB25A">
      <w:start w:val="1"/>
      <w:numFmt w:val="lowerRoman"/>
      <w:lvlText w:val="%6."/>
      <w:lvlJc w:val="right"/>
      <w:pPr>
        <w:ind w:left="4320" w:hanging="180"/>
      </w:pPr>
    </w:lvl>
    <w:lvl w:ilvl="6" w:tplc="DAF47FDE">
      <w:start w:val="1"/>
      <w:numFmt w:val="decimal"/>
      <w:lvlText w:val="%7."/>
      <w:lvlJc w:val="left"/>
      <w:pPr>
        <w:ind w:left="5040" w:hanging="360"/>
      </w:pPr>
    </w:lvl>
    <w:lvl w:ilvl="7" w:tplc="C9EAB030">
      <w:start w:val="1"/>
      <w:numFmt w:val="lowerLetter"/>
      <w:lvlText w:val="%8."/>
      <w:lvlJc w:val="left"/>
      <w:pPr>
        <w:ind w:left="5760" w:hanging="360"/>
      </w:pPr>
    </w:lvl>
    <w:lvl w:ilvl="8" w:tplc="BC08FFF8">
      <w:start w:val="1"/>
      <w:numFmt w:val="lowerRoman"/>
      <w:lvlText w:val="%9."/>
      <w:lvlJc w:val="right"/>
      <w:pPr>
        <w:ind w:left="6480" w:hanging="180"/>
      </w:pPr>
    </w:lvl>
  </w:abstractNum>
  <w:abstractNum w:abstractNumId="118" w15:restartNumberingAfterBreak="0">
    <w:nsid w:val="64EC091A"/>
    <w:multiLevelType w:val="hybridMultilevel"/>
    <w:tmpl w:val="A5402258"/>
    <w:lvl w:ilvl="0" w:tplc="6B703342">
      <w:numFmt w:val="bullet"/>
      <w:lvlText w:val="-"/>
      <w:lvlJc w:val="left"/>
      <w:pPr>
        <w:ind w:left="360" w:hanging="360"/>
      </w:pPr>
      <w:rPr>
        <w:rFonts w:ascii="Calibri" w:eastAsiaTheme="minorHAnsi" w:hAnsi="Calibri" w:cs="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9" w15:restartNumberingAfterBreak="0">
    <w:nsid w:val="65344C90"/>
    <w:multiLevelType w:val="hybridMultilevel"/>
    <w:tmpl w:val="475E3F6E"/>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0" w15:restartNumberingAfterBreak="0">
    <w:nsid w:val="674B6638"/>
    <w:multiLevelType w:val="hybridMultilevel"/>
    <w:tmpl w:val="82AED0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22" w15:restartNumberingAfterBreak="0">
    <w:nsid w:val="68275928"/>
    <w:multiLevelType w:val="hybridMultilevel"/>
    <w:tmpl w:val="EEA83D3E"/>
    <w:lvl w:ilvl="0" w:tplc="0310DEC8">
      <w:start w:val="1"/>
      <w:numFmt w:val="decimal"/>
      <w:lvlText w:val="%1."/>
      <w:lvlJc w:val="left"/>
      <w:pPr>
        <w:ind w:left="720" w:hanging="360"/>
      </w:pPr>
    </w:lvl>
    <w:lvl w:ilvl="1" w:tplc="4296C1E0">
      <w:start w:val="1"/>
      <w:numFmt w:val="lowerLetter"/>
      <w:lvlText w:val="%2."/>
      <w:lvlJc w:val="left"/>
      <w:pPr>
        <w:ind w:left="1440" w:hanging="360"/>
      </w:pPr>
    </w:lvl>
    <w:lvl w:ilvl="2" w:tplc="251874FE">
      <w:start w:val="1"/>
      <w:numFmt w:val="lowerRoman"/>
      <w:lvlText w:val="%3."/>
      <w:lvlJc w:val="right"/>
      <w:pPr>
        <w:ind w:left="2160" w:hanging="180"/>
      </w:pPr>
    </w:lvl>
    <w:lvl w:ilvl="3" w:tplc="D0BE86EC">
      <w:start w:val="1"/>
      <w:numFmt w:val="decimal"/>
      <w:lvlText w:val="%4."/>
      <w:lvlJc w:val="left"/>
      <w:pPr>
        <w:ind w:left="2880" w:hanging="360"/>
      </w:pPr>
    </w:lvl>
    <w:lvl w:ilvl="4" w:tplc="742AF87E">
      <w:start w:val="1"/>
      <w:numFmt w:val="lowerLetter"/>
      <w:lvlText w:val="%5."/>
      <w:lvlJc w:val="left"/>
      <w:pPr>
        <w:ind w:left="3600" w:hanging="360"/>
      </w:pPr>
    </w:lvl>
    <w:lvl w:ilvl="5" w:tplc="7D0A5CF0">
      <w:start w:val="1"/>
      <w:numFmt w:val="lowerRoman"/>
      <w:lvlText w:val="%6."/>
      <w:lvlJc w:val="right"/>
      <w:pPr>
        <w:ind w:left="4320" w:hanging="180"/>
      </w:pPr>
    </w:lvl>
    <w:lvl w:ilvl="6" w:tplc="BA7CCF8E">
      <w:start w:val="1"/>
      <w:numFmt w:val="decimal"/>
      <w:lvlText w:val="%7."/>
      <w:lvlJc w:val="left"/>
      <w:pPr>
        <w:ind w:left="5040" w:hanging="360"/>
      </w:pPr>
    </w:lvl>
    <w:lvl w:ilvl="7" w:tplc="F68027A2">
      <w:start w:val="1"/>
      <w:numFmt w:val="lowerLetter"/>
      <w:lvlText w:val="%8."/>
      <w:lvlJc w:val="left"/>
      <w:pPr>
        <w:ind w:left="5760" w:hanging="360"/>
      </w:pPr>
    </w:lvl>
    <w:lvl w:ilvl="8" w:tplc="B8E6DEAE">
      <w:start w:val="1"/>
      <w:numFmt w:val="lowerRoman"/>
      <w:lvlText w:val="%9."/>
      <w:lvlJc w:val="right"/>
      <w:pPr>
        <w:ind w:left="6480" w:hanging="180"/>
      </w:pPr>
    </w:lvl>
  </w:abstractNum>
  <w:abstractNum w:abstractNumId="123" w15:restartNumberingAfterBreak="0">
    <w:nsid w:val="686C5300"/>
    <w:multiLevelType w:val="hybridMultilevel"/>
    <w:tmpl w:val="CDC23668"/>
    <w:lvl w:ilvl="0" w:tplc="B1C0C5CC">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4" w15:restartNumberingAfterBreak="0">
    <w:nsid w:val="69936A2E"/>
    <w:multiLevelType w:val="hybridMultilevel"/>
    <w:tmpl w:val="7DFCC346"/>
    <w:lvl w:ilvl="0" w:tplc="5380BE8C">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5" w15:restartNumberingAfterBreak="0">
    <w:nsid w:val="6B9B6369"/>
    <w:multiLevelType w:val="hybridMultilevel"/>
    <w:tmpl w:val="15EAFC7E"/>
    <w:lvl w:ilvl="0" w:tplc="2DBE2F9C">
      <w:start w:val="1"/>
      <w:numFmt w:val="decimal"/>
      <w:lvlText w:val="%1."/>
      <w:lvlJc w:val="left"/>
      <w:pPr>
        <w:ind w:left="1080" w:hanging="360"/>
      </w:pPr>
    </w:lvl>
    <w:lvl w:ilvl="1" w:tplc="C3820358">
      <w:start w:val="1"/>
      <w:numFmt w:val="lowerLetter"/>
      <w:lvlText w:val="%2."/>
      <w:lvlJc w:val="left"/>
      <w:pPr>
        <w:ind w:left="1800" w:hanging="360"/>
      </w:pPr>
    </w:lvl>
    <w:lvl w:ilvl="2" w:tplc="B9D2414A">
      <w:start w:val="1"/>
      <w:numFmt w:val="lowerRoman"/>
      <w:lvlText w:val="%3."/>
      <w:lvlJc w:val="right"/>
      <w:pPr>
        <w:ind w:left="2520" w:hanging="180"/>
      </w:pPr>
    </w:lvl>
    <w:lvl w:ilvl="3" w:tplc="FFEA6E2E">
      <w:start w:val="1"/>
      <w:numFmt w:val="decimal"/>
      <w:lvlText w:val="%4."/>
      <w:lvlJc w:val="left"/>
      <w:pPr>
        <w:ind w:left="3240" w:hanging="360"/>
      </w:pPr>
    </w:lvl>
    <w:lvl w:ilvl="4" w:tplc="7278C902">
      <w:start w:val="1"/>
      <w:numFmt w:val="lowerLetter"/>
      <w:lvlText w:val="%5."/>
      <w:lvlJc w:val="left"/>
      <w:pPr>
        <w:ind w:left="3960" w:hanging="360"/>
      </w:pPr>
    </w:lvl>
    <w:lvl w:ilvl="5" w:tplc="06902786">
      <w:start w:val="1"/>
      <w:numFmt w:val="lowerRoman"/>
      <w:lvlText w:val="%6."/>
      <w:lvlJc w:val="right"/>
      <w:pPr>
        <w:ind w:left="4680" w:hanging="180"/>
      </w:pPr>
    </w:lvl>
    <w:lvl w:ilvl="6" w:tplc="85AA4446">
      <w:start w:val="1"/>
      <w:numFmt w:val="decimal"/>
      <w:lvlText w:val="%7."/>
      <w:lvlJc w:val="left"/>
      <w:pPr>
        <w:ind w:left="5400" w:hanging="360"/>
      </w:pPr>
    </w:lvl>
    <w:lvl w:ilvl="7" w:tplc="A01E4640">
      <w:start w:val="1"/>
      <w:numFmt w:val="lowerLetter"/>
      <w:lvlText w:val="%8."/>
      <w:lvlJc w:val="left"/>
      <w:pPr>
        <w:ind w:left="6120" w:hanging="360"/>
      </w:pPr>
    </w:lvl>
    <w:lvl w:ilvl="8" w:tplc="8C5E8914">
      <w:start w:val="1"/>
      <w:numFmt w:val="lowerRoman"/>
      <w:lvlText w:val="%9."/>
      <w:lvlJc w:val="right"/>
      <w:pPr>
        <w:ind w:left="6840" w:hanging="180"/>
      </w:pPr>
    </w:lvl>
  </w:abstractNum>
  <w:abstractNum w:abstractNumId="126" w15:restartNumberingAfterBreak="0">
    <w:nsid w:val="6DA324ED"/>
    <w:multiLevelType w:val="hybridMultilevel"/>
    <w:tmpl w:val="AB046AC0"/>
    <w:lvl w:ilvl="0" w:tplc="C3145206">
      <w:start w:val="4"/>
      <w:numFmt w:val="decimal"/>
      <w:lvlText w:val="%1."/>
      <w:lvlJc w:val="left"/>
      <w:pPr>
        <w:ind w:left="720" w:hanging="360"/>
      </w:pPr>
    </w:lvl>
    <w:lvl w:ilvl="1" w:tplc="16562EF0">
      <w:start w:val="1"/>
      <w:numFmt w:val="lowerLetter"/>
      <w:lvlText w:val="%2."/>
      <w:lvlJc w:val="left"/>
      <w:pPr>
        <w:ind w:left="1440" w:hanging="360"/>
      </w:pPr>
    </w:lvl>
    <w:lvl w:ilvl="2" w:tplc="25409482">
      <w:start w:val="1"/>
      <w:numFmt w:val="lowerRoman"/>
      <w:lvlText w:val="%3."/>
      <w:lvlJc w:val="right"/>
      <w:pPr>
        <w:ind w:left="2160" w:hanging="180"/>
      </w:pPr>
    </w:lvl>
    <w:lvl w:ilvl="3" w:tplc="D3029B4A">
      <w:start w:val="1"/>
      <w:numFmt w:val="decimal"/>
      <w:lvlText w:val="%4."/>
      <w:lvlJc w:val="left"/>
      <w:pPr>
        <w:ind w:left="2880" w:hanging="360"/>
      </w:pPr>
    </w:lvl>
    <w:lvl w:ilvl="4" w:tplc="11066422">
      <w:start w:val="1"/>
      <w:numFmt w:val="lowerLetter"/>
      <w:lvlText w:val="%5."/>
      <w:lvlJc w:val="left"/>
      <w:pPr>
        <w:ind w:left="3600" w:hanging="360"/>
      </w:pPr>
    </w:lvl>
    <w:lvl w:ilvl="5" w:tplc="C8A61EE4">
      <w:start w:val="1"/>
      <w:numFmt w:val="lowerRoman"/>
      <w:lvlText w:val="%6."/>
      <w:lvlJc w:val="right"/>
      <w:pPr>
        <w:ind w:left="4320" w:hanging="180"/>
      </w:pPr>
    </w:lvl>
    <w:lvl w:ilvl="6" w:tplc="67A001A8">
      <w:start w:val="1"/>
      <w:numFmt w:val="decimal"/>
      <w:lvlText w:val="%7."/>
      <w:lvlJc w:val="left"/>
      <w:pPr>
        <w:ind w:left="5040" w:hanging="360"/>
      </w:pPr>
    </w:lvl>
    <w:lvl w:ilvl="7" w:tplc="CB1EC7B4">
      <w:start w:val="1"/>
      <w:numFmt w:val="lowerLetter"/>
      <w:lvlText w:val="%8."/>
      <w:lvlJc w:val="left"/>
      <w:pPr>
        <w:ind w:left="5760" w:hanging="360"/>
      </w:pPr>
    </w:lvl>
    <w:lvl w:ilvl="8" w:tplc="BC1E438C">
      <w:start w:val="1"/>
      <w:numFmt w:val="lowerRoman"/>
      <w:lvlText w:val="%9."/>
      <w:lvlJc w:val="right"/>
      <w:pPr>
        <w:ind w:left="6480" w:hanging="180"/>
      </w:pPr>
    </w:lvl>
  </w:abstractNum>
  <w:abstractNum w:abstractNumId="127" w15:restartNumberingAfterBreak="0">
    <w:nsid w:val="6DEA7483"/>
    <w:multiLevelType w:val="hybridMultilevel"/>
    <w:tmpl w:val="189A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DED619B"/>
    <w:multiLevelType w:val="hybridMultilevel"/>
    <w:tmpl w:val="FD30E5B0"/>
    <w:lvl w:ilvl="0" w:tplc="ADE0F75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9" w15:restartNumberingAfterBreak="0">
    <w:nsid w:val="6ED65A49"/>
    <w:multiLevelType w:val="hybridMultilevel"/>
    <w:tmpl w:val="0182460E"/>
    <w:lvl w:ilvl="0" w:tplc="1809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0" w15:restartNumberingAfterBreak="0">
    <w:nsid w:val="70257864"/>
    <w:multiLevelType w:val="hybridMultilevel"/>
    <w:tmpl w:val="B2D04A18"/>
    <w:lvl w:ilvl="0" w:tplc="7AACA2A8">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7027604A"/>
    <w:multiLevelType w:val="hybridMultilevel"/>
    <w:tmpl w:val="6894551A"/>
    <w:lvl w:ilvl="0" w:tplc="60C4BCA6">
      <w:start w:val="1"/>
      <w:numFmt w:val="lowerRoman"/>
      <w:lvlText w:val="%1."/>
      <w:lvlJc w:val="right"/>
      <w:pPr>
        <w:ind w:left="720" w:hanging="360"/>
      </w:pPr>
    </w:lvl>
    <w:lvl w:ilvl="1" w:tplc="D0DE7B0A">
      <w:start w:val="1"/>
      <w:numFmt w:val="lowerLetter"/>
      <w:lvlText w:val="%2."/>
      <w:lvlJc w:val="left"/>
      <w:pPr>
        <w:ind w:left="1440" w:hanging="360"/>
      </w:pPr>
    </w:lvl>
    <w:lvl w:ilvl="2" w:tplc="8A403568">
      <w:start w:val="1"/>
      <w:numFmt w:val="lowerRoman"/>
      <w:lvlText w:val="%3."/>
      <w:lvlJc w:val="right"/>
      <w:pPr>
        <w:ind w:left="2160" w:hanging="180"/>
      </w:pPr>
    </w:lvl>
    <w:lvl w:ilvl="3" w:tplc="4AD2D12C">
      <w:start w:val="1"/>
      <w:numFmt w:val="decimal"/>
      <w:lvlText w:val="%4."/>
      <w:lvlJc w:val="left"/>
      <w:pPr>
        <w:ind w:left="2880" w:hanging="360"/>
      </w:pPr>
    </w:lvl>
    <w:lvl w:ilvl="4" w:tplc="184466CE">
      <w:start w:val="1"/>
      <w:numFmt w:val="lowerLetter"/>
      <w:lvlText w:val="%5."/>
      <w:lvlJc w:val="left"/>
      <w:pPr>
        <w:ind w:left="3600" w:hanging="360"/>
      </w:pPr>
    </w:lvl>
    <w:lvl w:ilvl="5" w:tplc="4CE697FC">
      <w:start w:val="1"/>
      <w:numFmt w:val="lowerRoman"/>
      <w:lvlText w:val="%6."/>
      <w:lvlJc w:val="right"/>
      <w:pPr>
        <w:ind w:left="4320" w:hanging="180"/>
      </w:pPr>
    </w:lvl>
    <w:lvl w:ilvl="6" w:tplc="107CB322">
      <w:start w:val="1"/>
      <w:numFmt w:val="decimal"/>
      <w:lvlText w:val="%7."/>
      <w:lvlJc w:val="left"/>
      <w:pPr>
        <w:ind w:left="5040" w:hanging="360"/>
      </w:pPr>
    </w:lvl>
    <w:lvl w:ilvl="7" w:tplc="D5F49DFE">
      <w:start w:val="1"/>
      <w:numFmt w:val="lowerLetter"/>
      <w:lvlText w:val="%8."/>
      <w:lvlJc w:val="left"/>
      <w:pPr>
        <w:ind w:left="5760" w:hanging="360"/>
      </w:pPr>
    </w:lvl>
    <w:lvl w:ilvl="8" w:tplc="C4E07C50">
      <w:start w:val="1"/>
      <w:numFmt w:val="lowerRoman"/>
      <w:lvlText w:val="%9."/>
      <w:lvlJc w:val="right"/>
      <w:pPr>
        <w:ind w:left="6480" w:hanging="180"/>
      </w:pPr>
    </w:lvl>
  </w:abstractNum>
  <w:abstractNum w:abstractNumId="132" w15:restartNumberingAfterBreak="0">
    <w:nsid w:val="70500DE9"/>
    <w:multiLevelType w:val="hybridMultilevel"/>
    <w:tmpl w:val="C332FCB4"/>
    <w:lvl w:ilvl="0" w:tplc="7AACA2A8">
      <w:start w:val="1"/>
      <w:numFmt w:val="lowerRoman"/>
      <w:lvlText w:val="%1)"/>
      <w:lvlJc w:val="left"/>
      <w:pPr>
        <w:ind w:left="1080" w:hanging="360"/>
      </w:pPr>
      <w:rPr>
        <w:rFonts w:hint="default"/>
      </w:rPr>
    </w:lvl>
    <w:lvl w:ilvl="1" w:tplc="FFFFFFFF">
      <w:start w:val="1"/>
      <w:numFmt w:val="lowerRoman"/>
      <w:lvlText w:val="%2)"/>
      <w:lvlJc w:val="left"/>
      <w:pPr>
        <w:ind w:left="1800" w:hanging="360"/>
      </w:pPr>
      <w:rPr>
        <w:rFonts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Roman"/>
      <w:lvlText w:val="%5."/>
      <w:lvlJc w:val="righ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33" w15:restartNumberingAfterBreak="0">
    <w:nsid w:val="71161A9B"/>
    <w:multiLevelType w:val="hybridMultilevel"/>
    <w:tmpl w:val="B6EE62E8"/>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4" w15:restartNumberingAfterBreak="0">
    <w:nsid w:val="71F93315"/>
    <w:multiLevelType w:val="hybridMultilevel"/>
    <w:tmpl w:val="C32CE0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5" w15:restartNumberingAfterBreak="0">
    <w:nsid w:val="726E3DB0"/>
    <w:multiLevelType w:val="hybridMultilevel"/>
    <w:tmpl w:val="A7B0B03C"/>
    <w:lvl w:ilvl="0" w:tplc="28B87E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3761BF6"/>
    <w:multiLevelType w:val="hybridMultilevel"/>
    <w:tmpl w:val="FFFFFFFF"/>
    <w:lvl w:ilvl="0" w:tplc="CEFAE81C">
      <w:start w:val="2"/>
      <w:numFmt w:val="decimal"/>
      <w:lvlText w:val="%1."/>
      <w:lvlJc w:val="left"/>
      <w:pPr>
        <w:ind w:left="720" w:hanging="360"/>
      </w:pPr>
    </w:lvl>
    <w:lvl w:ilvl="1" w:tplc="095A45DC">
      <w:start w:val="1"/>
      <w:numFmt w:val="lowerLetter"/>
      <w:lvlText w:val="%2."/>
      <w:lvlJc w:val="left"/>
      <w:pPr>
        <w:ind w:left="1440" w:hanging="360"/>
      </w:pPr>
    </w:lvl>
    <w:lvl w:ilvl="2" w:tplc="99D4FD6C">
      <w:start w:val="1"/>
      <w:numFmt w:val="lowerRoman"/>
      <w:lvlText w:val="%3."/>
      <w:lvlJc w:val="right"/>
      <w:pPr>
        <w:ind w:left="2160" w:hanging="180"/>
      </w:pPr>
    </w:lvl>
    <w:lvl w:ilvl="3" w:tplc="C41E4DB6">
      <w:start w:val="1"/>
      <w:numFmt w:val="decimal"/>
      <w:lvlText w:val="%4."/>
      <w:lvlJc w:val="left"/>
      <w:pPr>
        <w:ind w:left="2880" w:hanging="360"/>
      </w:pPr>
    </w:lvl>
    <w:lvl w:ilvl="4" w:tplc="A48AD790">
      <w:start w:val="1"/>
      <w:numFmt w:val="lowerLetter"/>
      <w:lvlText w:val="%5."/>
      <w:lvlJc w:val="left"/>
      <w:pPr>
        <w:ind w:left="3600" w:hanging="360"/>
      </w:pPr>
    </w:lvl>
    <w:lvl w:ilvl="5" w:tplc="448408A2">
      <w:start w:val="1"/>
      <w:numFmt w:val="lowerRoman"/>
      <w:lvlText w:val="%6."/>
      <w:lvlJc w:val="right"/>
      <w:pPr>
        <w:ind w:left="4320" w:hanging="180"/>
      </w:pPr>
    </w:lvl>
    <w:lvl w:ilvl="6" w:tplc="B19A031A">
      <w:start w:val="1"/>
      <w:numFmt w:val="decimal"/>
      <w:lvlText w:val="%7."/>
      <w:lvlJc w:val="left"/>
      <w:pPr>
        <w:ind w:left="5040" w:hanging="360"/>
      </w:pPr>
    </w:lvl>
    <w:lvl w:ilvl="7" w:tplc="37B0DE34">
      <w:start w:val="1"/>
      <w:numFmt w:val="lowerLetter"/>
      <w:lvlText w:val="%8."/>
      <w:lvlJc w:val="left"/>
      <w:pPr>
        <w:ind w:left="5760" w:hanging="360"/>
      </w:pPr>
    </w:lvl>
    <w:lvl w:ilvl="8" w:tplc="1DACC56E">
      <w:start w:val="1"/>
      <w:numFmt w:val="lowerRoman"/>
      <w:lvlText w:val="%9."/>
      <w:lvlJc w:val="right"/>
      <w:pPr>
        <w:ind w:left="6480" w:hanging="180"/>
      </w:pPr>
    </w:lvl>
  </w:abstractNum>
  <w:abstractNum w:abstractNumId="137" w15:restartNumberingAfterBreak="0">
    <w:nsid w:val="74466B1D"/>
    <w:multiLevelType w:val="hybridMultilevel"/>
    <w:tmpl w:val="8E9805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8" w15:restartNumberingAfterBreak="0">
    <w:nsid w:val="74A03A6C"/>
    <w:multiLevelType w:val="hybridMultilevel"/>
    <w:tmpl w:val="83689C3A"/>
    <w:lvl w:ilvl="0" w:tplc="07967068">
      <w:start w:val="2"/>
      <w:numFmt w:val="decimal"/>
      <w:lvlText w:val="%1."/>
      <w:lvlJc w:val="left"/>
      <w:pPr>
        <w:ind w:left="720" w:hanging="360"/>
      </w:pPr>
    </w:lvl>
    <w:lvl w:ilvl="1" w:tplc="A1BE8E88">
      <w:start w:val="1"/>
      <w:numFmt w:val="lowerLetter"/>
      <w:lvlText w:val="%2."/>
      <w:lvlJc w:val="left"/>
      <w:pPr>
        <w:ind w:left="1440" w:hanging="360"/>
      </w:pPr>
    </w:lvl>
    <w:lvl w:ilvl="2" w:tplc="81F4F64C">
      <w:start w:val="1"/>
      <w:numFmt w:val="lowerRoman"/>
      <w:lvlText w:val="%3."/>
      <w:lvlJc w:val="right"/>
      <w:pPr>
        <w:ind w:left="2160" w:hanging="180"/>
      </w:pPr>
    </w:lvl>
    <w:lvl w:ilvl="3" w:tplc="4BE4E32C">
      <w:start w:val="1"/>
      <w:numFmt w:val="decimal"/>
      <w:lvlText w:val="%4."/>
      <w:lvlJc w:val="left"/>
      <w:pPr>
        <w:ind w:left="2880" w:hanging="360"/>
      </w:pPr>
    </w:lvl>
    <w:lvl w:ilvl="4" w:tplc="D4F8C2E4">
      <w:start w:val="1"/>
      <w:numFmt w:val="lowerLetter"/>
      <w:lvlText w:val="%5."/>
      <w:lvlJc w:val="left"/>
      <w:pPr>
        <w:ind w:left="3600" w:hanging="360"/>
      </w:pPr>
    </w:lvl>
    <w:lvl w:ilvl="5" w:tplc="240057E6">
      <w:start w:val="1"/>
      <w:numFmt w:val="lowerRoman"/>
      <w:lvlText w:val="%6."/>
      <w:lvlJc w:val="right"/>
      <w:pPr>
        <w:ind w:left="4320" w:hanging="180"/>
      </w:pPr>
    </w:lvl>
    <w:lvl w:ilvl="6" w:tplc="7DD60212">
      <w:start w:val="1"/>
      <w:numFmt w:val="decimal"/>
      <w:lvlText w:val="%7."/>
      <w:lvlJc w:val="left"/>
      <w:pPr>
        <w:ind w:left="5040" w:hanging="360"/>
      </w:pPr>
    </w:lvl>
    <w:lvl w:ilvl="7" w:tplc="BA7495EE">
      <w:start w:val="1"/>
      <w:numFmt w:val="lowerLetter"/>
      <w:lvlText w:val="%8."/>
      <w:lvlJc w:val="left"/>
      <w:pPr>
        <w:ind w:left="5760" w:hanging="360"/>
      </w:pPr>
    </w:lvl>
    <w:lvl w:ilvl="8" w:tplc="7338BFE8">
      <w:start w:val="1"/>
      <w:numFmt w:val="lowerRoman"/>
      <w:lvlText w:val="%9."/>
      <w:lvlJc w:val="right"/>
      <w:pPr>
        <w:ind w:left="6480" w:hanging="180"/>
      </w:pPr>
    </w:lvl>
  </w:abstractNum>
  <w:abstractNum w:abstractNumId="139" w15:restartNumberingAfterBreak="0">
    <w:nsid w:val="74B061B5"/>
    <w:multiLevelType w:val="hybridMultilevel"/>
    <w:tmpl w:val="5E3230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0" w15:restartNumberingAfterBreak="0">
    <w:nsid w:val="75E1084C"/>
    <w:multiLevelType w:val="hybridMultilevel"/>
    <w:tmpl w:val="F2B23B7C"/>
    <w:lvl w:ilvl="0" w:tplc="28B87E4A">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1" w15:restartNumberingAfterBreak="0">
    <w:nsid w:val="79045D38"/>
    <w:multiLevelType w:val="hybridMultilevel"/>
    <w:tmpl w:val="12440D7A"/>
    <w:lvl w:ilvl="0" w:tplc="87C63BDA">
      <w:start w:val="1"/>
      <w:numFmt w:val="bullet"/>
      <w:lvlText w:val="-"/>
      <w:lvlJc w:val="left"/>
      <w:pPr>
        <w:ind w:left="720" w:hanging="360"/>
      </w:pPr>
      <w:rPr>
        <w:rFonts w:ascii="Calibri" w:hAnsi="Calibri" w:hint="default"/>
      </w:rPr>
    </w:lvl>
    <w:lvl w:ilvl="1" w:tplc="88220FD4">
      <w:start w:val="1"/>
      <w:numFmt w:val="bullet"/>
      <w:lvlText w:val="o"/>
      <w:lvlJc w:val="left"/>
      <w:pPr>
        <w:ind w:left="1440" w:hanging="360"/>
      </w:pPr>
      <w:rPr>
        <w:rFonts w:ascii="Courier New" w:hAnsi="Courier New" w:hint="default"/>
      </w:rPr>
    </w:lvl>
    <w:lvl w:ilvl="2" w:tplc="8DDC97EA">
      <w:start w:val="1"/>
      <w:numFmt w:val="bullet"/>
      <w:lvlText w:val=""/>
      <w:lvlJc w:val="left"/>
      <w:pPr>
        <w:ind w:left="2160" w:hanging="360"/>
      </w:pPr>
      <w:rPr>
        <w:rFonts w:ascii="Wingdings" w:hAnsi="Wingdings" w:hint="default"/>
      </w:rPr>
    </w:lvl>
    <w:lvl w:ilvl="3" w:tplc="72328A3E">
      <w:start w:val="1"/>
      <w:numFmt w:val="bullet"/>
      <w:lvlText w:val=""/>
      <w:lvlJc w:val="left"/>
      <w:pPr>
        <w:ind w:left="2880" w:hanging="360"/>
      </w:pPr>
      <w:rPr>
        <w:rFonts w:ascii="Symbol" w:hAnsi="Symbol" w:hint="default"/>
      </w:rPr>
    </w:lvl>
    <w:lvl w:ilvl="4" w:tplc="EFC8766E">
      <w:start w:val="1"/>
      <w:numFmt w:val="bullet"/>
      <w:lvlText w:val="o"/>
      <w:lvlJc w:val="left"/>
      <w:pPr>
        <w:ind w:left="3600" w:hanging="360"/>
      </w:pPr>
      <w:rPr>
        <w:rFonts w:ascii="Courier New" w:hAnsi="Courier New" w:hint="default"/>
      </w:rPr>
    </w:lvl>
    <w:lvl w:ilvl="5" w:tplc="CE148478">
      <w:start w:val="1"/>
      <w:numFmt w:val="bullet"/>
      <w:lvlText w:val=""/>
      <w:lvlJc w:val="left"/>
      <w:pPr>
        <w:ind w:left="4320" w:hanging="360"/>
      </w:pPr>
      <w:rPr>
        <w:rFonts w:ascii="Wingdings" w:hAnsi="Wingdings" w:hint="default"/>
      </w:rPr>
    </w:lvl>
    <w:lvl w:ilvl="6" w:tplc="93FEDBA6">
      <w:start w:val="1"/>
      <w:numFmt w:val="bullet"/>
      <w:lvlText w:val=""/>
      <w:lvlJc w:val="left"/>
      <w:pPr>
        <w:ind w:left="5040" w:hanging="360"/>
      </w:pPr>
      <w:rPr>
        <w:rFonts w:ascii="Symbol" w:hAnsi="Symbol" w:hint="default"/>
      </w:rPr>
    </w:lvl>
    <w:lvl w:ilvl="7" w:tplc="0300650C">
      <w:start w:val="1"/>
      <w:numFmt w:val="bullet"/>
      <w:lvlText w:val="o"/>
      <w:lvlJc w:val="left"/>
      <w:pPr>
        <w:ind w:left="5760" w:hanging="360"/>
      </w:pPr>
      <w:rPr>
        <w:rFonts w:ascii="Courier New" w:hAnsi="Courier New" w:hint="default"/>
      </w:rPr>
    </w:lvl>
    <w:lvl w:ilvl="8" w:tplc="E55CBBBA">
      <w:start w:val="1"/>
      <w:numFmt w:val="bullet"/>
      <w:lvlText w:val=""/>
      <w:lvlJc w:val="left"/>
      <w:pPr>
        <w:ind w:left="6480" w:hanging="360"/>
      </w:pPr>
      <w:rPr>
        <w:rFonts w:ascii="Wingdings" w:hAnsi="Wingdings" w:hint="default"/>
      </w:rPr>
    </w:lvl>
  </w:abstractNum>
  <w:abstractNum w:abstractNumId="142" w15:restartNumberingAfterBreak="0">
    <w:nsid w:val="7AABB31F"/>
    <w:multiLevelType w:val="hybridMultilevel"/>
    <w:tmpl w:val="C0B2E1DA"/>
    <w:lvl w:ilvl="0" w:tplc="E35CEB48">
      <w:start w:val="1"/>
      <w:numFmt w:val="bullet"/>
      <w:lvlText w:val=""/>
      <w:lvlJc w:val="left"/>
      <w:pPr>
        <w:ind w:left="720" w:hanging="360"/>
      </w:pPr>
      <w:rPr>
        <w:rFonts w:ascii="Symbol" w:hAnsi="Symbol" w:hint="default"/>
      </w:rPr>
    </w:lvl>
    <w:lvl w:ilvl="1" w:tplc="BA6415FA">
      <w:start w:val="1"/>
      <w:numFmt w:val="bullet"/>
      <w:lvlText w:val="o"/>
      <w:lvlJc w:val="left"/>
      <w:pPr>
        <w:ind w:left="1440" w:hanging="360"/>
      </w:pPr>
      <w:rPr>
        <w:rFonts w:ascii="Courier New" w:hAnsi="Courier New" w:hint="default"/>
      </w:rPr>
    </w:lvl>
    <w:lvl w:ilvl="2" w:tplc="9DF4391A">
      <w:start w:val="1"/>
      <w:numFmt w:val="bullet"/>
      <w:lvlText w:val=""/>
      <w:lvlJc w:val="left"/>
      <w:pPr>
        <w:ind w:left="2160" w:hanging="360"/>
      </w:pPr>
      <w:rPr>
        <w:rFonts w:ascii="Wingdings" w:hAnsi="Wingdings" w:hint="default"/>
      </w:rPr>
    </w:lvl>
    <w:lvl w:ilvl="3" w:tplc="E5629312">
      <w:start w:val="1"/>
      <w:numFmt w:val="bullet"/>
      <w:lvlText w:val=""/>
      <w:lvlJc w:val="left"/>
      <w:pPr>
        <w:ind w:left="2880" w:hanging="360"/>
      </w:pPr>
      <w:rPr>
        <w:rFonts w:ascii="Symbol" w:hAnsi="Symbol" w:hint="default"/>
      </w:rPr>
    </w:lvl>
    <w:lvl w:ilvl="4" w:tplc="BFB043B0">
      <w:start w:val="1"/>
      <w:numFmt w:val="bullet"/>
      <w:lvlText w:val="o"/>
      <w:lvlJc w:val="left"/>
      <w:pPr>
        <w:ind w:left="3600" w:hanging="360"/>
      </w:pPr>
      <w:rPr>
        <w:rFonts w:ascii="Courier New" w:hAnsi="Courier New" w:hint="default"/>
      </w:rPr>
    </w:lvl>
    <w:lvl w:ilvl="5" w:tplc="49C4551E">
      <w:start w:val="1"/>
      <w:numFmt w:val="bullet"/>
      <w:lvlText w:val=""/>
      <w:lvlJc w:val="left"/>
      <w:pPr>
        <w:ind w:left="4320" w:hanging="360"/>
      </w:pPr>
      <w:rPr>
        <w:rFonts w:ascii="Wingdings" w:hAnsi="Wingdings" w:hint="default"/>
      </w:rPr>
    </w:lvl>
    <w:lvl w:ilvl="6" w:tplc="CBCE1F7A">
      <w:start w:val="1"/>
      <w:numFmt w:val="bullet"/>
      <w:lvlText w:val=""/>
      <w:lvlJc w:val="left"/>
      <w:pPr>
        <w:ind w:left="5040" w:hanging="360"/>
      </w:pPr>
      <w:rPr>
        <w:rFonts w:ascii="Symbol" w:hAnsi="Symbol" w:hint="default"/>
      </w:rPr>
    </w:lvl>
    <w:lvl w:ilvl="7" w:tplc="0CE40150">
      <w:start w:val="1"/>
      <w:numFmt w:val="bullet"/>
      <w:lvlText w:val="o"/>
      <w:lvlJc w:val="left"/>
      <w:pPr>
        <w:ind w:left="5760" w:hanging="360"/>
      </w:pPr>
      <w:rPr>
        <w:rFonts w:ascii="Courier New" w:hAnsi="Courier New" w:hint="default"/>
      </w:rPr>
    </w:lvl>
    <w:lvl w:ilvl="8" w:tplc="C69CDB26">
      <w:start w:val="1"/>
      <w:numFmt w:val="bullet"/>
      <w:lvlText w:val=""/>
      <w:lvlJc w:val="left"/>
      <w:pPr>
        <w:ind w:left="6480" w:hanging="360"/>
      </w:pPr>
      <w:rPr>
        <w:rFonts w:ascii="Wingdings" w:hAnsi="Wingdings" w:hint="default"/>
      </w:rPr>
    </w:lvl>
  </w:abstractNum>
  <w:abstractNum w:abstractNumId="143" w15:restartNumberingAfterBreak="0">
    <w:nsid w:val="7B036820"/>
    <w:multiLevelType w:val="hybridMultilevel"/>
    <w:tmpl w:val="A59489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4" w15:restartNumberingAfterBreak="0">
    <w:nsid w:val="7C1E722D"/>
    <w:multiLevelType w:val="hybridMultilevel"/>
    <w:tmpl w:val="CD90AF7C"/>
    <w:lvl w:ilvl="0" w:tplc="96B06C16">
      <w:start w:val="3"/>
      <w:numFmt w:val="decimal"/>
      <w:lvlText w:val="%1."/>
      <w:lvlJc w:val="left"/>
      <w:pPr>
        <w:ind w:left="720" w:hanging="360"/>
      </w:pPr>
    </w:lvl>
    <w:lvl w:ilvl="1" w:tplc="F604AB2E">
      <w:start w:val="1"/>
      <w:numFmt w:val="lowerLetter"/>
      <w:lvlText w:val="%2."/>
      <w:lvlJc w:val="left"/>
      <w:pPr>
        <w:ind w:left="1440" w:hanging="360"/>
      </w:pPr>
    </w:lvl>
    <w:lvl w:ilvl="2" w:tplc="858E1414">
      <w:start w:val="1"/>
      <w:numFmt w:val="lowerRoman"/>
      <w:lvlText w:val="%3."/>
      <w:lvlJc w:val="right"/>
      <w:pPr>
        <w:ind w:left="2160" w:hanging="180"/>
      </w:pPr>
    </w:lvl>
    <w:lvl w:ilvl="3" w:tplc="C82AA9D6">
      <w:start w:val="1"/>
      <w:numFmt w:val="decimal"/>
      <w:lvlText w:val="%4."/>
      <w:lvlJc w:val="left"/>
      <w:pPr>
        <w:ind w:left="2880" w:hanging="360"/>
      </w:pPr>
    </w:lvl>
    <w:lvl w:ilvl="4" w:tplc="265ABB36">
      <w:start w:val="1"/>
      <w:numFmt w:val="lowerLetter"/>
      <w:lvlText w:val="%5."/>
      <w:lvlJc w:val="left"/>
      <w:pPr>
        <w:ind w:left="3600" w:hanging="360"/>
      </w:pPr>
    </w:lvl>
    <w:lvl w:ilvl="5" w:tplc="8144B16A">
      <w:start w:val="1"/>
      <w:numFmt w:val="lowerRoman"/>
      <w:lvlText w:val="%6."/>
      <w:lvlJc w:val="right"/>
      <w:pPr>
        <w:ind w:left="4320" w:hanging="180"/>
      </w:pPr>
    </w:lvl>
    <w:lvl w:ilvl="6" w:tplc="B36847C0">
      <w:start w:val="1"/>
      <w:numFmt w:val="decimal"/>
      <w:lvlText w:val="%7."/>
      <w:lvlJc w:val="left"/>
      <w:pPr>
        <w:ind w:left="5040" w:hanging="360"/>
      </w:pPr>
    </w:lvl>
    <w:lvl w:ilvl="7" w:tplc="154A2C14">
      <w:start w:val="1"/>
      <w:numFmt w:val="lowerLetter"/>
      <w:lvlText w:val="%8."/>
      <w:lvlJc w:val="left"/>
      <w:pPr>
        <w:ind w:left="5760" w:hanging="360"/>
      </w:pPr>
    </w:lvl>
    <w:lvl w:ilvl="8" w:tplc="55A8677A">
      <w:start w:val="1"/>
      <w:numFmt w:val="lowerRoman"/>
      <w:lvlText w:val="%9."/>
      <w:lvlJc w:val="right"/>
      <w:pPr>
        <w:ind w:left="6480" w:hanging="180"/>
      </w:pPr>
    </w:lvl>
  </w:abstractNum>
  <w:num w:numId="1">
    <w:abstractNumId w:val="40"/>
  </w:num>
  <w:num w:numId="2">
    <w:abstractNumId w:val="117"/>
  </w:num>
  <w:num w:numId="3">
    <w:abstractNumId w:val="5"/>
  </w:num>
  <w:num w:numId="4">
    <w:abstractNumId w:val="61"/>
  </w:num>
  <w:num w:numId="5">
    <w:abstractNumId w:val="29"/>
  </w:num>
  <w:num w:numId="6">
    <w:abstractNumId w:val="30"/>
  </w:num>
  <w:num w:numId="7">
    <w:abstractNumId w:val="110"/>
  </w:num>
  <w:num w:numId="8">
    <w:abstractNumId w:val="80"/>
  </w:num>
  <w:num w:numId="9">
    <w:abstractNumId w:val="121"/>
  </w:num>
  <w:num w:numId="10">
    <w:abstractNumId w:val="52"/>
  </w:num>
  <w:num w:numId="11">
    <w:abstractNumId w:val="83"/>
  </w:num>
  <w:num w:numId="12">
    <w:abstractNumId w:val="38"/>
  </w:num>
  <w:num w:numId="13">
    <w:abstractNumId w:val="116"/>
  </w:num>
  <w:num w:numId="14">
    <w:abstractNumId w:val="34"/>
  </w:num>
  <w:num w:numId="15">
    <w:abstractNumId w:val="87"/>
  </w:num>
  <w:num w:numId="16">
    <w:abstractNumId w:val="108"/>
  </w:num>
  <w:num w:numId="17">
    <w:abstractNumId w:val="109"/>
  </w:num>
  <w:num w:numId="18">
    <w:abstractNumId w:val="102"/>
  </w:num>
  <w:num w:numId="19">
    <w:abstractNumId w:val="41"/>
  </w:num>
  <w:num w:numId="20">
    <w:abstractNumId w:val="4"/>
  </w:num>
  <w:num w:numId="21">
    <w:abstractNumId w:val="115"/>
  </w:num>
  <w:num w:numId="22">
    <w:abstractNumId w:val="58"/>
  </w:num>
  <w:num w:numId="23">
    <w:abstractNumId w:val="0"/>
  </w:num>
  <w:num w:numId="24">
    <w:abstractNumId w:val="3"/>
  </w:num>
  <w:num w:numId="25">
    <w:abstractNumId w:val="2"/>
  </w:num>
  <w:num w:numId="26">
    <w:abstractNumId w:val="1"/>
  </w:num>
  <w:num w:numId="27">
    <w:abstractNumId w:val="49"/>
  </w:num>
  <w:num w:numId="28">
    <w:abstractNumId w:val="77"/>
  </w:num>
  <w:num w:numId="29">
    <w:abstractNumId w:val="62"/>
  </w:num>
  <w:num w:numId="30">
    <w:abstractNumId w:val="67"/>
  </w:num>
  <w:num w:numId="31">
    <w:abstractNumId w:val="104"/>
  </w:num>
  <w:num w:numId="32">
    <w:abstractNumId w:val="137"/>
  </w:num>
  <w:num w:numId="33">
    <w:abstractNumId w:val="81"/>
  </w:num>
  <w:num w:numId="34">
    <w:abstractNumId w:val="70"/>
  </w:num>
  <w:num w:numId="35">
    <w:abstractNumId w:val="14"/>
  </w:num>
  <w:num w:numId="36">
    <w:abstractNumId w:val="18"/>
  </w:num>
  <w:num w:numId="3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2"/>
  </w:num>
  <w:num w:numId="39">
    <w:abstractNumId w:val="112"/>
  </w:num>
  <w:num w:numId="40">
    <w:abstractNumId w:val="124"/>
  </w:num>
  <w:num w:numId="41">
    <w:abstractNumId w:val="128"/>
  </w:num>
  <w:num w:numId="42">
    <w:abstractNumId w:val="63"/>
  </w:num>
  <w:num w:numId="43">
    <w:abstractNumId w:val="96"/>
  </w:num>
  <w:num w:numId="4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6"/>
  </w:num>
  <w:num w:numId="47">
    <w:abstractNumId w:val="89"/>
  </w:num>
  <w:num w:numId="48">
    <w:abstractNumId w:val="125"/>
  </w:num>
  <w:num w:numId="49">
    <w:abstractNumId w:val="39"/>
  </w:num>
  <w:num w:numId="50">
    <w:abstractNumId w:val="133"/>
  </w:num>
  <w:num w:numId="51">
    <w:abstractNumId w:val="21"/>
  </w:num>
  <w:num w:numId="52">
    <w:abstractNumId w:val="113"/>
  </w:num>
  <w:num w:numId="53">
    <w:abstractNumId w:val="51"/>
  </w:num>
  <w:num w:numId="54">
    <w:abstractNumId w:val="37"/>
  </w:num>
  <w:num w:numId="55">
    <w:abstractNumId w:val="84"/>
  </w:num>
  <w:num w:numId="56">
    <w:abstractNumId w:val="31"/>
  </w:num>
  <w:num w:numId="57">
    <w:abstractNumId w:val="16"/>
  </w:num>
  <w:num w:numId="58">
    <w:abstractNumId w:val="43"/>
  </w:num>
  <w:num w:numId="59">
    <w:abstractNumId w:val="90"/>
  </w:num>
  <w:num w:numId="60">
    <w:abstractNumId w:val="94"/>
  </w:num>
  <w:num w:numId="61">
    <w:abstractNumId w:val="71"/>
  </w:num>
  <w:num w:numId="62">
    <w:abstractNumId w:val="46"/>
  </w:num>
  <w:num w:numId="63">
    <w:abstractNumId w:val="28"/>
  </w:num>
  <w:num w:numId="64">
    <w:abstractNumId w:val="60"/>
  </w:num>
  <w:num w:numId="65">
    <w:abstractNumId w:val="64"/>
  </w:num>
  <w:num w:numId="66">
    <w:abstractNumId w:val="141"/>
  </w:num>
  <w:num w:numId="67">
    <w:abstractNumId w:val="140"/>
  </w:num>
  <w:num w:numId="68">
    <w:abstractNumId w:val="100"/>
  </w:num>
  <w:num w:numId="69">
    <w:abstractNumId w:val="85"/>
  </w:num>
  <w:num w:numId="70">
    <w:abstractNumId w:val="25"/>
  </w:num>
  <w:num w:numId="71">
    <w:abstractNumId w:val="75"/>
  </w:num>
  <w:num w:numId="72">
    <w:abstractNumId w:val="103"/>
  </w:num>
  <w:num w:numId="73">
    <w:abstractNumId w:val="7"/>
  </w:num>
  <w:num w:numId="74">
    <w:abstractNumId w:val="33"/>
  </w:num>
  <w:num w:numId="75">
    <w:abstractNumId w:val="99"/>
  </w:num>
  <w:num w:numId="76">
    <w:abstractNumId w:val="15"/>
  </w:num>
  <w:num w:numId="77">
    <w:abstractNumId w:val="106"/>
  </w:num>
  <w:num w:numId="78">
    <w:abstractNumId w:val="72"/>
  </w:num>
  <w:num w:numId="79">
    <w:abstractNumId w:val="131"/>
  </w:num>
  <w:num w:numId="80">
    <w:abstractNumId w:val="35"/>
  </w:num>
  <w:num w:numId="81">
    <w:abstractNumId w:val="88"/>
  </w:num>
  <w:num w:numId="82">
    <w:abstractNumId w:val="98"/>
  </w:num>
  <w:num w:numId="83">
    <w:abstractNumId w:val="53"/>
  </w:num>
  <w:num w:numId="84">
    <w:abstractNumId w:val="111"/>
  </w:num>
  <w:num w:numId="85">
    <w:abstractNumId w:val="56"/>
  </w:num>
  <w:num w:numId="86">
    <w:abstractNumId w:val="55"/>
  </w:num>
  <w:num w:numId="87">
    <w:abstractNumId w:val="92"/>
  </w:num>
  <w:num w:numId="88">
    <w:abstractNumId w:val="50"/>
  </w:num>
  <w:num w:numId="89">
    <w:abstractNumId w:val="127"/>
  </w:num>
  <w:num w:numId="90">
    <w:abstractNumId w:val="135"/>
  </w:num>
  <w:num w:numId="91">
    <w:abstractNumId w:val="20"/>
  </w:num>
  <w:num w:numId="92">
    <w:abstractNumId w:val="78"/>
  </w:num>
  <w:num w:numId="93">
    <w:abstractNumId w:val="13"/>
  </w:num>
  <w:num w:numId="94">
    <w:abstractNumId w:val="8"/>
  </w:num>
  <w:num w:numId="95">
    <w:abstractNumId w:val="19"/>
  </w:num>
  <w:num w:numId="96">
    <w:abstractNumId w:val="143"/>
  </w:num>
  <w:num w:numId="97">
    <w:abstractNumId w:val="97"/>
  </w:num>
  <w:num w:numId="98">
    <w:abstractNumId w:val="101"/>
  </w:num>
  <w:num w:numId="99">
    <w:abstractNumId w:val="6"/>
  </w:num>
  <w:num w:numId="100">
    <w:abstractNumId w:val="12"/>
  </w:num>
  <w:num w:numId="101">
    <w:abstractNumId w:val="120"/>
  </w:num>
  <w:num w:numId="102">
    <w:abstractNumId w:val="45"/>
  </w:num>
  <w:num w:numId="103">
    <w:abstractNumId w:val="23"/>
  </w:num>
  <w:num w:numId="104">
    <w:abstractNumId w:val="44"/>
  </w:num>
  <w:num w:numId="105">
    <w:abstractNumId w:val="123"/>
  </w:num>
  <w:num w:numId="106">
    <w:abstractNumId w:val="68"/>
  </w:num>
  <w:num w:numId="107">
    <w:abstractNumId w:val="27"/>
  </w:num>
  <w:num w:numId="108">
    <w:abstractNumId w:val="9"/>
  </w:num>
  <w:num w:numId="109">
    <w:abstractNumId w:val="139"/>
  </w:num>
  <w:num w:numId="110">
    <w:abstractNumId w:val="136"/>
  </w:num>
  <w:num w:numId="111">
    <w:abstractNumId w:val="32"/>
  </w:num>
  <w:num w:numId="112">
    <w:abstractNumId w:val="42"/>
  </w:num>
  <w:num w:numId="113">
    <w:abstractNumId w:val="119"/>
  </w:num>
  <w:num w:numId="114">
    <w:abstractNumId w:val="65"/>
  </w:num>
  <w:num w:numId="115">
    <w:abstractNumId w:val="10"/>
  </w:num>
  <w:num w:numId="116">
    <w:abstractNumId w:val="74"/>
  </w:num>
  <w:num w:numId="117">
    <w:abstractNumId w:val="11"/>
  </w:num>
  <w:num w:numId="118">
    <w:abstractNumId w:val="73"/>
  </w:num>
  <w:num w:numId="119">
    <w:abstractNumId w:val="142"/>
  </w:num>
  <w:num w:numId="120">
    <w:abstractNumId w:val="95"/>
  </w:num>
  <w:num w:numId="121">
    <w:abstractNumId w:val="114"/>
  </w:num>
  <w:num w:numId="122">
    <w:abstractNumId w:val="126"/>
  </w:num>
  <w:num w:numId="123">
    <w:abstractNumId w:val="17"/>
  </w:num>
  <w:num w:numId="124">
    <w:abstractNumId w:val="76"/>
  </w:num>
  <w:num w:numId="125">
    <w:abstractNumId w:val="86"/>
  </w:num>
  <w:num w:numId="126">
    <w:abstractNumId w:val="59"/>
  </w:num>
  <w:num w:numId="127">
    <w:abstractNumId w:val="138"/>
  </w:num>
  <w:num w:numId="128">
    <w:abstractNumId w:val="122"/>
  </w:num>
  <w:num w:numId="129">
    <w:abstractNumId w:val="144"/>
  </w:num>
  <w:num w:numId="130">
    <w:abstractNumId w:val="47"/>
  </w:num>
  <w:num w:numId="131">
    <w:abstractNumId w:val="54"/>
  </w:num>
  <w:num w:numId="132">
    <w:abstractNumId w:val="107"/>
  </w:num>
  <w:num w:numId="133">
    <w:abstractNumId w:val="118"/>
  </w:num>
  <w:num w:numId="134">
    <w:abstractNumId w:val="66"/>
  </w:num>
  <w:num w:numId="135">
    <w:abstractNumId w:val="132"/>
  </w:num>
  <w:num w:numId="136">
    <w:abstractNumId w:val="26"/>
  </w:num>
  <w:num w:numId="137">
    <w:abstractNumId w:val="48"/>
  </w:num>
  <w:num w:numId="138">
    <w:abstractNumId w:val="57"/>
  </w:num>
  <w:num w:numId="139">
    <w:abstractNumId w:val="134"/>
  </w:num>
  <w:num w:numId="140">
    <w:abstractNumId w:val="130"/>
  </w:num>
  <w:num w:numId="141">
    <w:abstractNumId w:val="69"/>
  </w:num>
  <w:num w:numId="142">
    <w:abstractNumId w:val="1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91"/>
  </w:num>
  <w:num w:numId="144">
    <w:abstractNumId w:val="105"/>
  </w:num>
  <w:num w:numId="145">
    <w:abstractNumId w:val="22"/>
  </w:num>
  <w:num w:numId="146">
    <w:abstractNumId w:val="79"/>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EPKit_DocumentHasBeenSaved" w:val="true"/>
    <w:docVar w:name="LW_ACCOMPAGNANT.CP" w:val="do"/>
    <w:docVar w:name="LW_ANNEX_NBR_FIRST" w:val="1"/>
    <w:docVar w:name="LW_ANNEX_NBR_LAST" w:val="1"/>
    <w:docVar w:name="LW_ANNEX_UNIQUE" w:val="1"/>
    <w:docVar w:name="LW_CORRIGENDUM" w:val="&lt;UNUSED&gt;"/>
    <w:docVar w:name="LW_COVERPAGE_EXISTS" w:val="True"/>
    <w:docVar w:name="LW_COVERPAGE_GUID" w:val="F90BCD9B-5B81-486F-B44A-647A4539B5D4"/>
    <w:docVar w:name="LW_COVERPAGE_TYPE" w:val="1"/>
    <w:docVar w:name="LW_CROSSREFERENCE" w:val="&lt;UNUSED&gt;"/>
    <w:docVar w:name="LW_DocType" w:val="NORMAL"/>
    <w:docVar w:name="LW_EMISSION" w:val="29.10.2024"/>
    <w:docVar w:name="LW_EMISSION_ISODATE" w:val="2024-10-29"/>
    <w:docVar w:name="LW_EMISSION_LOCATION" w:val="BRX"/>
    <w:docVar w:name="LW_EMISSION_PREFIX" w:val="Bruksela, dnia "/>
    <w:docVar w:name="LW_EMISSION_SUFFIX" w:val=" r."/>
    <w:docVar w:name="LW_ID_DOCTYPE_NONLW" w:val="CP-036"/>
    <w:docVar w:name="LW_LANGUE" w:val="PL"/>
    <w:docVar w:name="LW_LEVEL_OF_SENSITIVITY" w:val="Standard treatment"/>
    <w:docVar w:name="LW_NOM.INST" w:val="KOMISJA EUROPEJSKA"/>
    <w:docVar w:name="LW_NOM.INST_JOINTDOC" w:val="&lt;EMPTY&gt;"/>
    <w:docVar w:name="LW_OBJETACTEPRINCIPAL.CP" w:val="zmieniaj\u261?cej decyzj\u281? wykonawcz\u261? (UE) (ST 10160/21 INIT; ST 10160/21 ADD 1 REV 2) z dnia 13 lipca 2021 r. w sprawie zatwierdzenia oceny planu odbudowy i zwi\u281?kszania odporno\u347?ci W\u322?och"/>
    <w:docVar w:name="LW_PART_NBR" w:val="1"/>
    <w:docVar w:name="LW_PART_NBR_TOTAL" w:val="1"/>
    <w:docVar w:name="LW_REF.INST.NEW" w:val="COM"/>
    <w:docVar w:name="LW_REF.INST.NEW_ADOPTED" w:val="final"/>
    <w:docVar w:name="LW_REF.INST.NEW_TEXT" w:val="(2024) 50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ZA\u321?\u260?CZNIK_x000b_"/>
    <w:docVar w:name="LW_TYPEACTEPRINCIPAL.CP" w:val="wniosku dotycz\u261?cego DECYZJI WYKONAWCZEJ RADY"/>
    <w:docVar w:name="LwApiVersions" w:val="LW4CoDe 1.24.5.0; LW 9.0, Build 20240221"/>
  </w:docVars>
  <w:rsids>
    <w:rsidRoot w:val="00797973"/>
    <w:rsid w:val="00025B48"/>
    <w:rsid w:val="000264C8"/>
    <w:rsid w:val="00063AB8"/>
    <w:rsid w:val="0007055F"/>
    <w:rsid w:val="000A0365"/>
    <w:rsid w:val="000B152A"/>
    <w:rsid w:val="000B644F"/>
    <w:rsid w:val="000D1E66"/>
    <w:rsid w:val="000F2C39"/>
    <w:rsid w:val="00104262"/>
    <w:rsid w:val="00120A27"/>
    <w:rsid w:val="00127DC5"/>
    <w:rsid w:val="00153D85"/>
    <w:rsid w:val="001A750D"/>
    <w:rsid w:val="001C07D3"/>
    <w:rsid w:val="001D4EFF"/>
    <w:rsid w:val="001E6E7E"/>
    <w:rsid w:val="002175A3"/>
    <w:rsid w:val="00237A09"/>
    <w:rsid w:val="002408C3"/>
    <w:rsid w:val="00245678"/>
    <w:rsid w:val="0024604F"/>
    <w:rsid w:val="00272E8B"/>
    <w:rsid w:val="002807ED"/>
    <w:rsid w:val="002A4185"/>
    <w:rsid w:val="002A7B62"/>
    <w:rsid w:val="002C3613"/>
    <w:rsid w:val="002D46A5"/>
    <w:rsid w:val="002E290A"/>
    <w:rsid w:val="002E384E"/>
    <w:rsid w:val="002F001D"/>
    <w:rsid w:val="003306E4"/>
    <w:rsid w:val="003370EB"/>
    <w:rsid w:val="00346C19"/>
    <w:rsid w:val="00364121"/>
    <w:rsid w:val="003645DA"/>
    <w:rsid w:val="00386EA9"/>
    <w:rsid w:val="003B0356"/>
    <w:rsid w:val="003B140F"/>
    <w:rsid w:val="003B6E4B"/>
    <w:rsid w:val="003C6067"/>
    <w:rsid w:val="003D2578"/>
    <w:rsid w:val="0042346C"/>
    <w:rsid w:val="004521C1"/>
    <w:rsid w:val="00452447"/>
    <w:rsid w:val="00460367"/>
    <w:rsid w:val="0047551C"/>
    <w:rsid w:val="004771FB"/>
    <w:rsid w:val="004A1E60"/>
    <w:rsid w:val="004B403E"/>
    <w:rsid w:val="004C6421"/>
    <w:rsid w:val="004D64DD"/>
    <w:rsid w:val="0052267D"/>
    <w:rsid w:val="00526514"/>
    <w:rsid w:val="0057395E"/>
    <w:rsid w:val="00591751"/>
    <w:rsid w:val="005A53E8"/>
    <w:rsid w:val="005C3B3F"/>
    <w:rsid w:val="005E6D31"/>
    <w:rsid w:val="00604673"/>
    <w:rsid w:val="0062677C"/>
    <w:rsid w:val="006513B7"/>
    <w:rsid w:val="0066435D"/>
    <w:rsid w:val="00667721"/>
    <w:rsid w:val="006A3B76"/>
    <w:rsid w:val="006B112A"/>
    <w:rsid w:val="006B4FDA"/>
    <w:rsid w:val="006F167A"/>
    <w:rsid w:val="00715D1F"/>
    <w:rsid w:val="00735E1E"/>
    <w:rsid w:val="00750647"/>
    <w:rsid w:val="00784351"/>
    <w:rsid w:val="00797973"/>
    <w:rsid w:val="007A6EE4"/>
    <w:rsid w:val="007B4ED4"/>
    <w:rsid w:val="007C544F"/>
    <w:rsid w:val="007D0AEC"/>
    <w:rsid w:val="00822FFB"/>
    <w:rsid w:val="00853344"/>
    <w:rsid w:val="00856385"/>
    <w:rsid w:val="00863339"/>
    <w:rsid w:val="00872A0B"/>
    <w:rsid w:val="008B49D3"/>
    <w:rsid w:val="008D5B47"/>
    <w:rsid w:val="009013F1"/>
    <w:rsid w:val="00902C54"/>
    <w:rsid w:val="009151E2"/>
    <w:rsid w:val="00936106"/>
    <w:rsid w:val="00953334"/>
    <w:rsid w:val="009A20E5"/>
    <w:rsid w:val="009C6139"/>
    <w:rsid w:val="009D1962"/>
    <w:rsid w:val="009E65CA"/>
    <w:rsid w:val="009F0E4E"/>
    <w:rsid w:val="009F4117"/>
    <w:rsid w:val="00A43A79"/>
    <w:rsid w:val="00A526D2"/>
    <w:rsid w:val="00A625A1"/>
    <w:rsid w:val="00A8457D"/>
    <w:rsid w:val="00A86A07"/>
    <w:rsid w:val="00AA3794"/>
    <w:rsid w:val="00B0473E"/>
    <w:rsid w:val="00B110B4"/>
    <w:rsid w:val="00B23BF6"/>
    <w:rsid w:val="00B35CE6"/>
    <w:rsid w:val="00B670B0"/>
    <w:rsid w:val="00B93F55"/>
    <w:rsid w:val="00B95B7F"/>
    <w:rsid w:val="00BB05C5"/>
    <w:rsid w:val="00C04A66"/>
    <w:rsid w:val="00C16B9D"/>
    <w:rsid w:val="00C53742"/>
    <w:rsid w:val="00C5457C"/>
    <w:rsid w:val="00C63F25"/>
    <w:rsid w:val="00C65356"/>
    <w:rsid w:val="00C82945"/>
    <w:rsid w:val="00C86E22"/>
    <w:rsid w:val="00C941E1"/>
    <w:rsid w:val="00C94A26"/>
    <w:rsid w:val="00C95E78"/>
    <w:rsid w:val="00CC179E"/>
    <w:rsid w:val="00CF0D60"/>
    <w:rsid w:val="00D03EE5"/>
    <w:rsid w:val="00D409F2"/>
    <w:rsid w:val="00D47926"/>
    <w:rsid w:val="00D7175D"/>
    <w:rsid w:val="00D82A02"/>
    <w:rsid w:val="00D906ED"/>
    <w:rsid w:val="00DA281A"/>
    <w:rsid w:val="00DC3310"/>
    <w:rsid w:val="00DD689D"/>
    <w:rsid w:val="00E23B01"/>
    <w:rsid w:val="00E3444D"/>
    <w:rsid w:val="00E635F7"/>
    <w:rsid w:val="00EA0F38"/>
    <w:rsid w:val="00EB615E"/>
    <w:rsid w:val="00EC0543"/>
    <w:rsid w:val="00ED7456"/>
    <w:rsid w:val="00EE5BEA"/>
    <w:rsid w:val="00EF26DB"/>
    <w:rsid w:val="00F0702B"/>
    <w:rsid w:val="00F2015C"/>
    <w:rsid w:val="00F3771C"/>
    <w:rsid w:val="00F47C1B"/>
    <w:rsid w:val="00F53360"/>
    <w:rsid w:val="00F647F9"/>
    <w:rsid w:val="00F65E5D"/>
    <w:rsid w:val="00F82D74"/>
    <w:rsid w:val="00FA4877"/>
    <w:rsid w:val="00FB0AD4"/>
    <w:rsid w:val="044742B5"/>
    <w:rsid w:val="0462D826"/>
    <w:rsid w:val="11BA62C7"/>
    <w:rsid w:val="15FBE8C3"/>
    <w:rsid w:val="26E1990D"/>
    <w:rsid w:val="2E2C3A65"/>
    <w:rsid w:val="388B7B7C"/>
    <w:rsid w:val="3FA34591"/>
    <w:rsid w:val="40DA567C"/>
    <w:rsid w:val="466C92AD"/>
    <w:rsid w:val="49EC4C24"/>
    <w:rsid w:val="528A4D29"/>
    <w:rsid w:val="67FB3ADB"/>
    <w:rsid w:val="78F0F899"/>
    <w:rsid w:val="7BED96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915299"/>
  <w15:chartTrackingRefBased/>
  <w15:docId w15:val="{3C6C06D0-63D7-44CA-8AB2-5FB0CE4F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lang w:val="pl" w:eastAsia="en-IE"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973"/>
    <w:pPr>
      <w:spacing w:after="0" w:line="240" w:lineRule="auto"/>
    </w:pPr>
    <w:rPr>
      <w:rFonts w:ascii="Times New Roman" w:eastAsia="Times New Roman" w:hAnsi="Times New Roman" w:cs="Times New Roman"/>
      <w:kern w:val="0"/>
      <w:sz w:val="24"/>
      <w14:ligatures w14:val="none"/>
    </w:rPr>
  </w:style>
  <w:style w:type="paragraph" w:styleId="Heading1">
    <w:name w:val="heading 1"/>
    <w:basedOn w:val="Normal"/>
    <w:next w:val="Text1"/>
    <w:link w:val="Heading1Char"/>
    <w:uiPriority w:val="9"/>
    <w:qFormat/>
    <w:rsid w:val="00797973"/>
    <w:pPr>
      <w:keepNext/>
      <w:numPr>
        <w:numId w:val="13"/>
      </w:numPr>
      <w:spacing w:before="360" w:after="120"/>
      <w:jc w:val="both"/>
      <w:outlineLvl w:val="0"/>
    </w:pPr>
    <w:rPr>
      <w:rFonts w:eastAsiaTheme="majorEastAsia"/>
      <w:b/>
      <w:smallCaps/>
    </w:rPr>
  </w:style>
  <w:style w:type="paragraph" w:styleId="Heading2">
    <w:name w:val="heading 2"/>
    <w:basedOn w:val="Normal"/>
    <w:next w:val="Text1"/>
    <w:link w:val="Heading2Char"/>
    <w:uiPriority w:val="9"/>
    <w:unhideWhenUsed/>
    <w:qFormat/>
    <w:rsid w:val="00797973"/>
    <w:pPr>
      <w:keepNext/>
      <w:numPr>
        <w:ilvl w:val="1"/>
        <w:numId w:val="13"/>
      </w:numPr>
      <w:spacing w:before="120" w:after="120"/>
      <w:jc w:val="both"/>
      <w:outlineLvl w:val="1"/>
    </w:pPr>
    <w:rPr>
      <w:rFonts w:eastAsiaTheme="majorEastAsia"/>
      <w:b/>
    </w:rPr>
  </w:style>
  <w:style w:type="paragraph" w:styleId="Heading3">
    <w:name w:val="heading 3"/>
    <w:basedOn w:val="Normal"/>
    <w:next w:val="Text1"/>
    <w:link w:val="Heading3Char"/>
    <w:uiPriority w:val="9"/>
    <w:unhideWhenUsed/>
    <w:qFormat/>
    <w:rsid w:val="00797973"/>
    <w:pPr>
      <w:keepNext/>
      <w:numPr>
        <w:ilvl w:val="2"/>
        <w:numId w:val="13"/>
      </w:numPr>
      <w:spacing w:before="120" w:after="120"/>
      <w:jc w:val="both"/>
      <w:outlineLvl w:val="2"/>
    </w:pPr>
    <w:rPr>
      <w:rFonts w:eastAsiaTheme="majorEastAsia"/>
      <w:i/>
    </w:rPr>
  </w:style>
  <w:style w:type="paragraph" w:styleId="Heading4">
    <w:name w:val="heading 4"/>
    <w:basedOn w:val="Normal"/>
    <w:next w:val="Text1"/>
    <w:link w:val="Heading4Char"/>
    <w:uiPriority w:val="9"/>
    <w:unhideWhenUsed/>
    <w:qFormat/>
    <w:rsid w:val="00797973"/>
    <w:pPr>
      <w:keepNext/>
      <w:numPr>
        <w:ilvl w:val="3"/>
        <w:numId w:val="13"/>
      </w:numPr>
      <w:spacing w:before="120" w:after="120"/>
      <w:jc w:val="both"/>
      <w:outlineLvl w:val="3"/>
    </w:pPr>
    <w:rPr>
      <w:rFonts w:eastAsiaTheme="majorEastAsia"/>
    </w:rPr>
  </w:style>
  <w:style w:type="paragraph" w:styleId="Heading5">
    <w:name w:val="heading 5"/>
    <w:basedOn w:val="Normal"/>
    <w:next w:val="Normal"/>
    <w:link w:val="Heading5Char"/>
    <w:uiPriority w:val="9"/>
    <w:unhideWhenUsed/>
    <w:qFormat/>
    <w:rsid w:val="003370EB"/>
    <w:pPr>
      <w:keepNext/>
      <w:keepLines/>
      <w:spacing w:before="80" w:after="40" w:line="279" w:lineRule="auto"/>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unhideWhenUsed/>
    <w:qFormat/>
    <w:rsid w:val="003370EB"/>
    <w:pPr>
      <w:keepNext/>
      <w:keepLines/>
      <w:spacing w:before="40" w:line="279" w:lineRule="auto"/>
      <w:outlineLvl w:val="5"/>
    </w:pPr>
    <w:rPr>
      <w:rFonts w:asciiTheme="minorHAnsi" w:eastAsiaTheme="majorEastAsia" w:hAnsiTheme="minorHAnsi" w:cstheme="majorBidi"/>
      <w:i/>
      <w:color w:val="595959" w:themeColor="text1" w:themeTint="A6"/>
    </w:rPr>
  </w:style>
  <w:style w:type="paragraph" w:styleId="Heading7">
    <w:name w:val="heading 7"/>
    <w:basedOn w:val="Normal"/>
    <w:next w:val="Normal"/>
    <w:link w:val="Heading7Char"/>
    <w:uiPriority w:val="9"/>
    <w:unhideWhenUsed/>
    <w:qFormat/>
    <w:rsid w:val="003370EB"/>
    <w:pPr>
      <w:keepNext/>
      <w:keepLines/>
      <w:spacing w:before="40" w:line="279"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3370EB"/>
    <w:pPr>
      <w:keepNext/>
      <w:keepLines/>
      <w:spacing w:line="279" w:lineRule="auto"/>
      <w:outlineLvl w:val="7"/>
    </w:pPr>
    <w:rPr>
      <w:rFonts w:asciiTheme="minorHAnsi" w:eastAsiaTheme="majorEastAsia" w:hAnsiTheme="minorHAnsi" w:cstheme="majorBidi"/>
      <w:i/>
      <w:color w:val="272727" w:themeColor="text1" w:themeTint="D8"/>
    </w:rPr>
  </w:style>
  <w:style w:type="paragraph" w:styleId="Heading9">
    <w:name w:val="heading 9"/>
    <w:basedOn w:val="Normal"/>
    <w:next w:val="Normal"/>
    <w:link w:val="Heading9Char"/>
    <w:uiPriority w:val="9"/>
    <w:unhideWhenUsed/>
    <w:qFormat/>
    <w:rsid w:val="003370EB"/>
    <w:pPr>
      <w:keepNext/>
      <w:keepLines/>
      <w:spacing w:line="279"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973"/>
    <w:rPr>
      <w:rFonts w:ascii="Times New Roman" w:eastAsiaTheme="majorEastAsia" w:hAnsi="Times New Roman" w:cs="Times New Roman"/>
      <w:b/>
      <w:smallCaps/>
      <w:kern w:val="0"/>
      <w:sz w:val="24"/>
      <w14:ligatures w14:val="none"/>
    </w:rPr>
  </w:style>
  <w:style w:type="character" w:customStyle="1" w:styleId="Heading2Char">
    <w:name w:val="Heading 2 Char"/>
    <w:basedOn w:val="DefaultParagraphFont"/>
    <w:link w:val="Heading2"/>
    <w:uiPriority w:val="9"/>
    <w:rsid w:val="00797973"/>
    <w:rPr>
      <w:rFonts w:ascii="Times New Roman" w:eastAsiaTheme="majorEastAsia" w:hAnsi="Times New Roman" w:cs="Times New Roman"/>
      <w:b/>
      <w:kern w:val="0"/>
      <w:sz w:val="24"/>
      <w14:ligatures w14:val="none"/>
    </w:rPr>
  </w:style>
  <w:style w:type="character" w:customStyle="1" w:styleId="Heading3Char">
    <w:name w:val="Heading 3 Char"/>
    <w:basedOn w:val="DefaultParagraphFont"/>
    <w:link w:val="Heading3"/>
    <w:uiPriority w:val="9"/>
    <w:rsid w:val="00797973"/>
    <w:rPr>
      <w:rFonts w:ascii="Times New Roman" w:eastAsiaTheme="majorEastAsia" w:hAnsi="Times New Roman" w:cs="Times New Roman"/>
      <w:i/>
      <w:kern w:val="0"/>
      <w:sz w:val="24"/>
      <w14:ligatures w14:val="none"/>
    </w:rPr>
  </w:style>
  <w:style w:type="character" w:customStyle="1" w:styleId="Heading4Char">
    <w:name w:val="Heading 4 Char"/>
    <w:basedOn w:val="DefaultParagraphFont"/>
    <w:link w:val="Heading4"/>
    <w:uiPriority w:val="9"/>
    <w:rsid w:val="00797973"/>
    <w:rPr>
      <w:rFonts w:ascii="Times New Roman" w:eastAsiaTheme="majorEastAsia" w:hAnsi="Times New Roman" w:cs="Times New Roman"/>
      <w:kern w:val="0"/>
      <w:sz w:val="24"/>
      <w14:ligatures w14:val="none"/>
    </w:rPr>
  </w:style>
  <w:style w:type="numbering" w:customStyle="1" w:styleId="NoList1">
    <w:name w:val="No List1"/>
    <w:next w:val="NoList"/>
    <w:uiPriority w:val="99"/>
    <w:semiHidden/>
    <w:unhideWhenUsed/>
    <w:rsid w:val="00797973"/>
  </w:style>
  <w:style w:type="paragraph" w:customStyle="1" w:styleId="Text1">
    <w:name w:val="Text 1"/>
    <w:basedOn w:val="Normal"/>
    <w:rsid w:val="00797973"/>
    <w:pPr>
      <w:spacing w:before="120" w:after="120"/>
      <w:ind w:left="850"/>
      <w:jc w:val="both"/>
    </w:pPr>
  </w:style>
  <w:style w:type="paragraph" w:styleId="Header">
    <w:name w:val="header"/>
    <w:basedOn w:val="Normal"/>
    <w:link w:val="HeaderChar"/>
    <w:uiPriority w:val="99"/>
    <w:unhideWhenUsed/>
    <w:rsid w:val="00797973"/>
    <w:pPr>
      <w:tabs>
        <w:tab w:val="center" w:pos="4535"/>
        <w:tab w:val="right" w:pos="9071"/>
      </w:tabs>
      <w:spacing w:after="120"/>
      <w:jc w:val="both"/>
    </w:pPr>
  </w:style>
  <w:style w:type="character" w:customStyle="1" w:styleId="HeaderChar">
    <w:name w:val="Header Char"/>
    <w:basedOn w:val="DefaultParagraphFont"/>
    <w:link w:val="Header"/>
    <w:uiPriority w:val="99"/>
    <w:rsid w:val="00797973"/>
    <w:rPr>
      <w:rFonts w:ascii="Times New Roman" w:eastAsia="Times New Roman" w:hAnsi="Times New Roman" w:cs="Times New Roman"/>
      <w:kern w:val="0"/>
      <w:sz w:val="24"/>
      <w14:ligatures w14:val="none"/>
    </w:rPr>
  </w:style>
  <w:style w:type="paragraph" w:styleId="Footer">
    <w:name w:val="footer"/>
    <w:basedOn w:val="Normal"/>
    <w:link w:val="FooterChar"/>
    <w:uiPriority w:val="99"/>
    <w:unhideWhenUsed/>
    <w:rsid w:val="00797973"/>
    <w:pPr>
      <w:tabs>
        <w:tab w:val="center" w:pos="4535"/>
        <w:tab w:val="right" w:pos="9071"/>
        <w:tab w:val="right" w:pos="9921"/>
      </w:tabs>
      <w:spacing w:before="360"/>
      <w:ind w:left="-850" w:right="-850"/>
    </w:pPr>
  </w:style>
  <w:style w:type="character" w:customStyle="1" w:styleId="FooterChar">
    <w:name w:val="Footer Char"/>
    <w:basedOn w:val="DefaultParagraphFont"/>
    <w:link w:val="Footer"/>
    <w:uiPriority w:val="99"/>
    <w:rsid w:val="00797973"/>
    <w:rPr>
      <w:rFonts w:ascii="Times New Roman" w:eastAsia="Times New Roman" w:hAnsi="Times New Roman" w:cs="Times New Roman"/>
      <w:kern w:val="0"/>
      <w:sz w:val="24"/>
      <w14:ligatures w14:val="none"/>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
    <w:basedOn w:val="Normal"/>
    <w:link w:val="FootnoteTextChar"/>
    <w:uiPriority w:val="99"/>
    <w:unhideWhenUsed/>
    <w:rsid w:val="00797973"/>
    <w:pPr>
      <w:ind w:left="720" w:hanging="720"/>
      <w:jc w:val="both"/>
    </w:pPr>
    <w:rPr>
      <w:sz w:val="20"/>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uiPriority w:val="99"/>
    <w:rsid w:val="00797973"/>
    <w:rPr>
      <w:rFonts w:ascii="Times New Roman" w:eastAsia="Times New Roman" w:hAnsi="Times New Roman" w:cs="Times New Roman"/>
      <w:kern w:val="0"/>
      <w:sz w:val="20"/>
      <w14:ligatures w14:val="none"/>
    </w:rPr>
  </w:style>
  <w:style w:type="paragraph" w:styleId="TOCHeading">
    <w:name w:val="TOC Heading"/>
    <w:basedOn w:val="Normal"/>
    <w:next w:val="Normal"/>
    <w:uiPriority w:val="39"/>
    <w:semiHidden/>
    <w:unhideWhenUsed/>
    <w:qFormat/>
    <w:rsid w:val="00797973"/>
    <w:pPr>
      <w:spacing w:before="120" w:after="240"/>
      <w:jc w:val="center"/>
    </w:pPr>
    <w:rPr>
      <w:b/>
      <w:sz w:val="28"/>
    </w:rPr>
  </w:style>
  <w:style w:type="paragraph" w:styleId="TOC1">
    <w:name w:val="toc 1"/>
    <w:basedOn w:val="Normal"/>
    <w:next w:val="Normal"/>
    <w:uiPriority w:val="39"/>
    <w:semiHidden/>
    <w:unhideWhenUsed/>
    <w:rsid w:val="00797973"/>
    <w:pPr>
      <w:numPr>
        <w:numId w:val="21"/>
      </w:numPr>
      <w:tabs>
        <w:tab w:val="right" w:leader="dot" w:pos="9071"/>
      </w:tabs>
      <w:spacing w:before="60" w:after="120"/>
      <w:ind w:left="0" w:firstLine="0"/>
    </w:pPr>
  </w:style>
  <w:style w:type="paragraph" w:styleId="TOC2">
    <w:name w:val="toc 2"/>
    <w:basedOn w:val="Normal"/>
    <w:next w:val="Normal"/>
    <w:uiPriority w:val="39"/>
    <w:semiHidden/>
    <w:unhideWhenUsed/>
    <w:rsid w:val="00797973"/>
    <w:pPr>
      <w:tabs>
        <w:tab w:val="right" w:leader="dot" w:pos="9071"/>
      </w:tabs>
      <w:spacing w:before="60" w:after="120"/>
      <w:ind w:left="850" w:hanging="850"/>
    </w:pPr>
  </w:style>
  <w:style w:type="paragraph" w:styleId="TOC3">
    <w:name w:val="toc 3"/>
    <w:basedOn w:val="Normal"/>
    <w:next w:val="Normal"/>
    <w:uiPriority w:val="39"/>
    <w:semiHidden/>
    <w:unhideWhenUsed/>
    <w:rsid w:val="00797973"/>
    <w:pPr>
      <w:tabs>
        <w:tab w:val="right" w:leader="dot" w:pos="9071"/>
      </w:tabs>
      <w:spacing w:before="60" w:after="120"/>
      <w:ind w:left="850" w:hanging="850"/>
    </w:pPr>
  </w:style>
  <w:style w:type="paragraph" w:styleId="TOC4">
    <w:name w:val="toc 4"/>
    <w:basedOn w:val="Normal"/>
    <w:next w:val="Normal"/>
    <w:uiPriority w:val="39"/>
    <w:semiHidden/>
    <w:unhideWhenUsed/>
    <w:rsid w:val="00797973"/>
    <w:pPr>
      <w:tabs>
        <w:tab w:val="right" w:leader="dot" w:pos="9071"/>
      </w:tabs>
      <w:spacing w:before="60" w:after="120"/>
      <w:ind w:left="850" w:hanging="850"/>
    </w:pPr>
  </w:style>
  <w:style w:type="paragraph" w:styleId="TOC5">
    <w:name w:val="toc 5"/>
    <w:basedOn w:val="Normal"/>
    <w:next w:val="Normal"/>
    <w:uiPriority w:val="39"/>
    <w:semiHidden/>
    <w:unhideWhenUsed/>
    <w:rsid w:val="00797973"/>
    <w:pPr>
      <w:tabs>
        <w:tab w:val="right" w:leader="dot" w:pos="9071"/>
      </w:tabs>
      <w:spacing w:before="300" w:after="120"/>
    </w:pPr>
  </w:style>
  <w:style w:type="paragraph" w:styleId="TOC6">
    <w:name w:val="toc 6"/>
    <w:basedOn w:val="Normal"/>
    <w:next w:val="Normal"/>
    <w:uiPriority w:val="39"/>
    <w:semiHidden/>
    <w:unhideWhenUsed/>
    <w:rsid w:val="00797973"/>
    <w:pPr>
      <w:tabs>
        <w:tab w:val="right" w:leader="dot" w:pos="9071"/>
      </w:tabs>
      <w:spacing w:before="240" w:after="120"/>
    </w:pPr>
  </w:style>
  <w:style w:type="paragraph" w:styleId="TOC7">
    <w:name w:val="toc 7"/>
    <w:basedOn w:val="Normal"/>
    <w:next w:val="Normal"/>
    <w:uiPriority w:val="39"/>
    <w:semiHidden/>
    <w:unhideWhenUsed/>
    <w:rsid w:val="00797973"/>
    <w:pPr>
      <w:tabs>
        <w:tab w:val="right" w:leader="dot" w:pos="9071"/>
      </w:tabs>
      <w:spacing w:before="180" w:after="120"/>
    </w:pPr>
  </w:style>
  <w:style w:type="paragraph" w:styleId="TOC8">
    <w:name w:val="toc 8"/>
    <w:basedOn w:val="Normal"/>
    <w:next w:val="Normal"/>
    <w:uiPriority w:val="39"/>
    <w:semiHidden/>
    <w:unhideWhenUsed/>
    <w:rsid w:val="00797973"/>
    <w:pPr>
      <w:tabs>
        <w:tab w:val="right" w:leader="dot" w:pos="9071"/>
      </w:tabs>
      <w:spacing w:before="120" w:after="120"/>
    </w:pPr>
  </w:style>
  <w:style w:type="paragraph" w:styleId="TOC9">
    <w:name w:val="toc 9"/>
    <w:basedOn w:val="Normal"/>
    <w:next w:val="Normal"/>
    <w:uiPriority w:val="39"/>
    <w:semiHidden/>
    <w:unhideWhenUsed/>
    <w:rsid w:val="00797973"/>
    <w:pPr>
      <w:tabs>
        <w:tab w:val="right" w:leader="dot" w:pos="9071"/>
      </w:tabs>
      <w:spacing w:before="120" w:after="120"/>
      <w:jc w:val="both"/>
    </w:pPr>
  </w:style>
  <w:style w:type="paragraph" w:customStyle="1" w:styleId="HeaderLandscape">
    <w:name w:val="HeaderLandscape"/>
    <w:basedOn w:val="Normal"/>
    <w:rsid w:val="00797973"/>
    <w:pPr>
      <w:tabs>
        <w:tab w:val="center" w:pos="7285"/>
        <w:tab w:val="right" w:pos="14003"/>
      </w:tabs>
      <w:spacing w:after="120"/>
      <w:jc w:val="both"/>
    </w:pPr>
  </w:style>
  <w:style w:type="paragraph" w:customStyle="1" w:styleId="FooterLandscape">
    <w:name w:val="FooterLandscape"/>
    <w:basedOn w:val="Normal"/>
    <w:rsid w:val="00797973"/>
    <w:pPr>
      <w:tabs>
        <w:tab w:val="center" w:pos="7285"/>
        <w:tab w:val="center" w:pos="10913"/>
        <w:tab w:val="right" w:pos="15137"/>
      </w:tabs>
      <w:spacing w:before="360"/>
      <w:ind w:left="-567" w:right="-567"/>
    </w:p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w:basedOn w:val="DefaultParagraphFont"/>
    <w:link w:val="1"/>
    <w:uiPriority w:val="99"/>
    <w:unhideWhenUsed/>
    <w:qFormat/>
    <w:rsid w:val="00797973"/>
    <w:rPr>
      <w:vertAlign w:val="superscript"/>
    </w:rPr>
  </w:style>
  <w:style w:type="paragraph" w:customStyle="1" w:styleId="1">
    <w:name w:val="1"/>
    <w:basedOn w:val="Normal"/>
    <w:link w:val="FootnoteReference"/>
    <w:uiPriority w:val="99"/>
    <w:rsid w:val="00797973"/>
    <w:pPr>
      <w:spacing w:after="160" w:line="240" w:lineRule="exact"/>
      <w:jc w:val="both"/>
    </w:pPr>
    <w:rPr>
      <w:rFonts w:asciiTheme="minorHAnsi" w:eastAsiaTheme="minorHAnsi" w:hAnsiTheme="minorHAnsi" w:cstheme="minorBidi"/>
      <w:kern w:val="2"/>
      <w:sz w:val="22"/>
      <w:vertAlign w:val="superscript"/>
      <w14:ligatures w14:val="standardContextual"/>
    </w:rPr>
  </w:style>
  <w:style w:type="paragraph" w:customStyle="1" w:styleId="HeaderSensitivity">
    <w:name w:val="Header Sensitivity"/>
    <w:basedOn w:val="Normal"/>
    <w:rsid w:val="00797973"/>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HeaderSensitivityRight">
    <w:name w:val="Header Sensitivity Right"/>
    <w:basedOn w:val="Normal"/>
    <w:rsid w:val="00797973"/>
    <w:pPr>
      <w:spacing w:after="120"/>
      <w:jc w:val="right"/>
    </w:pPr>
    <w:rPr>
      <w:sz w:val="28"/>
    </w:rPr>
  </w:style>
  <w:style w:type="paragraph" w:customStyle="1" w:styleId="FooterSensitivity">
    <w:name w:val="Footer Sensitivity"/>
    <w:basedOn w:val="Normal"/>
    <w:rsid w:val="00797973"/>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customStyle="1" w:styleId="Text2">
    <w:name w:val="Text 2"/>
    <w:basedOn w:val="Normal"/>
    <w:rsid w:val="00797973"/>
    <w:pPr>
      <w:spacing w:before="120" w:after="120"/>
      <w:ind w:left="1417"/>
      <w:jc w:val="both"/>
    </w:pPr>
  </w:style>
  <w:style w:type="paragraph" w:customStyle="1" w:styleId="Text3">
    <w:name w:val="Text 3"/>
    <w:basedOn w:val="Normal"/>
    <w:rsid w:val="00797973"/>
    <w:pPr>
      <w:spacing w:before="120" w:after="120"/>
      <w:ind w:left="1984"/>
      <w:jc w:val="both"/>
    </w:pPr>
  </w:style>
  <w:style w:type="paragraph" w:customStyle="1" w:styleId="Text4">
    <w:name w:val="Text 4"/>
    <w:basedOn w:val="Normal"/>
    <w:rsid w:val="00797973"/>
    <w:pPr>
      <w:spacing w:before="120" w:after="120"/>
      <w:ind w:left="2551"/>
      <w:jc w:val="both"/>
    </w:pPr>
  </w:style>
  <w:style w:type="paragraph" w:customStyle="1" w:styleId="NormalCentered">
    <w:name w:val="Normal Centered"/>
    <w:basedOn w:val="Normal"/>
    <w:rsid w:val="00797973"/>
    <w:pPr>
      <w:spacing w:before="120" w:after="120"/>
      <w:jc w:val="center"/>
    </w:pPr>
  </w:style>
  <w:style w:type="paragraph" w:customStyle="1" w:styleId="NormalLeft">
    <w:name w:val="Normal Left"/>
    <w:basedOn w:val="Normal"/>
    <w:rsid w:val="00797973"/>
    <w:pPr>
      <w:spacing w:before="120" w:after="120"/>
    </w:pPr>
  </w:style>
  <w:style w:type="paragraph" w:customStyle="1" w:styleId="NormalRight">
    <w:name w:val="Normal Right"/>
    <w:basedOn w:val="Normal"/>
    <w:rsid w:val="00797973"/>
    <w:pPr>
      <w:spacing w:before="120" w:after="120"/>
      <w:jc w:val="right"/>
    </w:pPr>
  </w:style>
  <w:style w:type="paragraph" w:customStyle="1" w:styleId="QuotedText">
    <w:name w:val="Quoted Text"/>
    <w:basedOn w:val="Normal"/>
    <w:rsid w:val="00797973"/>
    <w:pPr>
      <w:spacing w:before="120" w:after="120"/>
      <w:ind w:left="1417"/>
      <w:jc w:val="both"/>
    </w:pPr>
  </w:style>
  <w:style w:type="paragraph" w:customStyle="1" w:styleId="Point0">
    <w:name w:val="Point 0"/>
    <w:basedOn w:val="Normal"/>
    <w:rsid w:val="00797973"/>
    <w:pPr>
      <w:spacing w:before="120" w:after="120"/>
      <w:ind w:left="850" w:hanging="850"/>
      <w:jc w:val="both"/>
    </w:pPr>
  </w:style>
  <w:style w:type="paragraph" w:customStyle="1" w:styleId="Point1">
    <w:name w:val="Point 1"/>
    <w:basedOn w:val="Normal"/>
    <w:rsid w:val="00797973"/>
    <w:pPr>
      <w:spacing w:before="120" w:after="120"/>
      <w:ind w:left="1417" w:hanging="567"/>
      <w:jc w:val="both"/>
    </w:pPr>
  </w:style>
  <w:style w:type="paragraph" w:customStyle="1" w:styleId="Point2">
    <w:name w:val="Point 2"/>
    <w:basedOn w:val="Normal"/>
    <w:rsid w:val="00797973"/>
    <w:pPr>
      <w:spacing w:before="120" w:after="120"/>
      <w:ind w:left="1984" w:hanging="567"/>
      <w:jc w:val="both"/>
    </w:pPr>
  </w:style>
  <w:style w:type="paragraph" w:customStyle="1" w:styleId="Point3">
    <w:name w:val="Point 3"/>
    <w:basedOn w:val="Normal"/>
    <w:rsid w:val="00797973"/>
    <w:pPr>
      <w:spacing w:before="120" w:after="120"/>
      <w:ind w:left="2551" w:hanging="567"/>
      <w:jc w:val="both"/>
    </w:pPr>
  </w:style>
  <w:style w:type="paragraph" w:customStyle="1" w:styleId="Point4">
    <w:name w:val="Point 4"/>
    <w:basedOn w:val="Normal"/>
    <w:rsid w:val="00797973"/>
    <w:pPr>
      <w:spacing w:before="120" w:after="120"/>
      <w:ind w:left="3118" w:hanging="567"/>
      <w:jc w:val="both"/>
    </w:pPr>
  </w:style>
  <w:style w:type="paragraph" w:customStyle="1" w:styleId="Tiret0">
    <w:name w:val="Tiret 0"/>
    <w:basedOn w:val="Point0"/>
    <w:rsid w:val="00797973"/>
    <w:pPr>
      <w:numPr>
        <w:numId w:val="7"/>
      </w:numPr>
    </w:pPr>
  </w:style>
  <w:style w:type="paragraph" w:customStyle="1" w:styleId="Tiret1">
    <w:name w:val="Tiret 1"/>
    <w:basedOn w:val="Point1"/>
    <w:rsid w:val="00797973"/>
    <w:pPr>
      <w:numPr>
        <w:numId w:val="8"/>
      </w:numPr>
      <w:tabs>
        <w:tab w:val="num" w:pos="3118"/>
      </w:tabs>
      <w:ind w:left="3118"/>
    </w:pPr>
  </w:style>
  <w:style w:type="paragraph" w:customStyle="1" w:styleId="Tiret2">
    <w:name w:val="Tiret 2"/>
    <w:basedOn w:val="Point2"/>
    <w:rsid w:val="00797973"/>
    <w:pPr>
      <w:numPr>
        <w:numId w:val="9"/>
      </w:numPr>
      <w:tabs>
        <w:tab w:val="num" w:pos="360"/>
      </w:tabs>
      <w:ind w:left="360" w:hanging="360"/>
    </w:pPr>
  </w:style>
  <w:style w:type="paragraph" w:customStyle="1" w:styleId="Tiret3">
    <w:name w:val="Tiret 3"/>
    <w:basedOn w:val="Point3"/>
    <w:rsid w:val="00797973"/>
    <w:pPr>
      <w:numPr>
        <w:numId w:val="10"/>
      </w:numPr>
      <w:tabs>
        <w:tab w:val="num" w:pos="360"/>
      </w:tabs>
      <w:ind w:left="360" w:hanging="360"/>
    </w:pPr>
  </w:style>
  <w:style w:type="paragraph" w:customStyle="1" w:styleId="Tiret4">
    <w:name w:val="Tiret 4"/>
    <w:basedOn w:val="Point4"/>
    <w:rsid w:val="00797973"/>
    <w:pPr>
      <w:numPr>
        <w:numId w:val="11"/>
      </w:numPr>
      <w:ind w:left="1440" w:hanging="360"/>
    </w:pPr>
  </w:style>
  <w:style w:type="paragraph" w:customStyle="1" w:styleId="PointDouble0">
    <w:name w:val="PointDouble 0"/>
    <w:basedOn w:val="Normal"/>
    <w:rsid w:val="00797973"/>
    <w:pPr>
      <w:tabs>
        <w:tab w:val="left" w:pos="850"/>
      </w:tabs>
      <w:spacing w:before="120" w:after="120"/>
      <w:ind w:left="1417" w:hanging="1417"/>
      <w:jc w:val="both"/>
    </w:pPr>
  </w:style>
  <w:style w:type="paragraph" w:customStyle="1" w:styleId="PointDouble1">
    <w:name w:val="PointDouble 1"/>
    <w:basedOn w:val="Normal"/>
    <w:rsid w:val="00797973"/>
    <w:pPr>
      <w:tabs>
        <w:tab w:val="left" w:pos="1417"/>
      </w:tabs>
      <w:spacing w:before="120" w:after="120"/>
      <w:ind w:left="1984" w:hanging="1134"/>
      <w:jc w:val="both"/>
    </w:pPr>
  </w:style>
  <w:style w:type="paragraph" w:customStyle="1" w:styleId="PointDouble2">
    <w:name w:val="PointDouble 2"/>
    <w:basedOn w:val="Normal"/>
    <w:rsid w:val="00797973"/>
    <w:pPr>
      <w:tabs>
        <w:tab w:val="left" w:pos="1984"/>
      </w:tabs>
      <w:spacing w:before="120" w:after="120"/>
      <w:ind w:left="2551" w:hanging="1134"/>
      <w:jc w:val="both"/>
    </w:pPr>
  </w:style>
  <w:style w:type="paragraph" w:customStyle="1" w:styleId="PointDouble3">
    <w:name w:val="PointDouble 3"/>
    <w:basedOn w:val="Normal"/>
    <w:rsid w:val="00797973"/>
    <w:pPr>
      <w:tabs>
        <w:tab w:val="left" w:pos="2551"/>
      </w:tabs>
      <w:spacing w:before="120" w:after="120"/>
      <w:ind w:left="3118" w:hanging="1134"/>
      <w:jc w:val="both"/>
    </w:pPr>
  </w:style>
  <w:style w:type="paragraph" w:customStyle="1" w:styleId="PointDouble4">
    <w:name w:val="PointDouble 4"/>
    <w:basedOn w:val="Normal"/>
    <w:rsid w:val="00797973"/>
    <w:pPr>
      <w:tabs>
        <w:tab w:val="left" w:pos="3118"/>
      </w:tabs>
      <w:spacing w:before="120" w:after="120"/>
      <w:ind w:left="3685" w:hanging="1134"/>
      <w:jc w:val="both"/>
    </w:pPr>
  </w:style>
  <w:style w:type="paragraph" w:customStyle="1" w:styleId="PointTriple0">
    <w:name w:val="PointTriple 0"/>
    <w:basedOn w:val="Normal"/>
    <w:rsid w:val="00797973"/>
    <w:pPr>
      <w:tabs>
        <w:tab w:val="left" w:pos="850"/>
        <w:tab w:val="left" w:pos="1417"/>
      </w:tabs>
      <w:spacing w:before="120" w:after="120"/>
      <w:ind w:left="1984" w:hanging="1984"/>
      <w:jc w:val="both"/>
    </w:pPr>
  </w:style>
  <w:style w:type="paragraph" w:customStyle="1" w:styleId="PointTriple1">
    <w:name w:val="PointTriple 1"/>
    <w:basedOn w:val="Normal"/>
    <w:rsid w:val="00797973"/>
    <w:pPr>
      <w:tabs>
        <w:tab w:val="left" w:pos="1417"/>
        <w:tab w:val="left" w:pos="1984"/>
      </w:tabs>
      <w:spacing w:before="120" w:after="120"/>
      <w:ind w:left="2551" w:hanging="1701"/>
      <w:jc w:val="both"/>
    </w:pPr>
  </w:style>
  <w:style w:type="paragraph" w:customStyle="1" w:styleId="PointTriple2">
    <w:name w:val="PointTriple 2"/>
    <w:basedOn w:val="Normal"/>
    <w:rsid w:val="00797973"/>
    <w:pPr>
      <w:tabs>
        <w:tab w:val="left" w:pos="1984"/>
        <w:tab w:val="left" w:pos="2551"/>
      </w:tabs>
      <w:spacing w:before="120" w:after="120"/>
      <w:ind w:left="3118" w:hanging="1701"/>
      <w:jc w:val="both"/>
    </w:pPr>
  </w:style>
  <w:style w:type="paragraph" w:customStyle="1" w:styleId="PointTriple3">
    <w:name w:val="PointTriple 3"/>
    <w:basedOn w:val="Normal"/>
    <w:rsid w:val="00797973"/>
    <w:pPr>
      <w:tabs>
        <w:tab w:val="left" w:pos="2551"/>
        <w:tab w:val="left" w:pos="3118"/>
      </w:tabs>
      <w:spacing w:before="120" w:after="120"/>
      <w:ind w:left="3685" w:hanging="1701"/>
      <w:jc w:val="both"/>
    </w:pPr>
  </w:style>
  <w:style w:type="paragraph" w:customStyle="1" w:styleId="PointTriple4">
    <w:name w:val="PointTriple 4"/>
    <w:basedOn w:val="Normal"/>
    <w:rsid w:val="00797973"/>
    <w:pPr>
      <w:tabs>
        <w:tab w:val="left" w:pos="3118"/>
        <w:tab w:val="left" w:pos="3685"/>
      </w:tabs>
      <w:spacing w:before="120" w:after="120"/>
      <w:ind w:left="4252" w:hanging="1701"/>
      <w:jc w:val="both"/>
    </w:pPr>
  </w:style>
  <w:style w:type="paragraph" w:customStyle="1" w:styleId="NumPar1">
    <w:name w:val="NumPar 1"/>
    <w:basedOn w:val="Normal"/>
    <w:next w:val="Text1"/>
    <w:rsid w:val="00797973"/>
    <w:pPr>
      <w:numPr>
        <w:ilvl w:val="1"/>
        <w:numId w:val="12"/>
      </w:numPr>
      <w:spacing w:before="120" w:after="120"/>
      <w:jc w:val="both"/>
    </w:pPr>
  </w:style>
  <w:style w:type="paragraph" w:customStyle="1" w:styleId="NumPar2">
    <w:name w:val="NumPar 2"/>
    <w:basedOn w:val="Normal"/>
    <w:next w:val="Text1"/>
    <w:rsid w:val="00797973"/>
    <w:pPr>
      <w:numPr>
        <w:ilvl w:val="2"/>
        <w:numId w:val="12"/>
      </w:numPr>
      <w:tabs>
        <w:tab w:val="num" w:pos="1209"/>
      </w:tabs>
      <w:spacing w:before="120" w:after="120"/>
      <w:ind w:left="1209" w:hanging="360"/>
      <w:jc w:val="both"/>
    </w:pPr>
  </w:style>
  <w:style w:type="paragraph" w:customStyle="1" w:styleId="NumPar3">
    <w:name w:val="NumPar 3"/>
    <w:basedOn w:val="Normal"/>
    <w:next w:val="Text1"/>
    <w:rsid w:val="00797973"/>
    <w:pPr>
      <w:numPr>
        <w:ilvl w:val="3"/>
        <w:numId w:val="12"/>
      </w:numPr>
      <w:tabs>
        <w:tab w:val="num" w:pos="1209"/>
      </w:tabs>
      <w:spacing w:before="120" w:after="120"/>
      <w:ind w:left="1209" w:hanging="360"/>
      <w:jc w:val="both"/>
    </w:pPr>
  </w:style>
  <w:style w:type="paragraph" w:customStyle="1" w:styleId="NumPar4">
    <w:name w:val="NumPar 4"/>
    <w:basedOn w:val="Normal"/>
    <w:next w:val="Text1"/>
    <w:rsid w:val="00797973"/>
    <w:pPr>
      <w:tabs>
        <w:tab w:val="num" w:pos="850"/>
      </w:tabs>
      <w:spacing w:before="120" w:after="120"/>
      <w:ind w:left="850" w:hanging="850"/>
      <w:jc w:val="both"/>
    </w:pPr>
  </w:style>
  <w:style w:type="paragraph" w:customStyle="1" w:styleId="ManualNumPar1">
    <w:name w:val="Manual NumPar 1"/>
    <w:basedOn w:val="Normal"/>
    <w:next w:val="Text1"/>
    <w:rsid w:val="00797973"/>
    <w:pPr>
      <w:spacing w:before="120" w:after="120"/>
      <w:ind w:left="850" w:hanging="850"/>
      <w:jc w:val="both"/>
    </w:pPr>
  </w:style>
  <w:style w:type="paragraph" w:customStyle="1" w:styleId="ManualNumPar2">
    <w:name w:val="Manual NumPar 2"/>
    <w:basedOn w:val="Normal"/>
    <w:next w:val="Text1"/>
    <w:rsid w:val="00797973"/>
    <w:pPr>
      <w:spacing w:before="120" w:after="120"/>
      <w:ind w:left="850" w:hanging="850"/>
      <w:jc w:val="both"/>
    </w:pPr>
  </w:style>
  <w:style w:type="paragraph" w:customStyle="1" w:styleId="ManualNumPar3">
    <w:name w:val="Manual NumPar 3"/>
    <w:basedOn w:val="Normal"/>
    <w:next w:val="Text1"/>
    <w:rsid w:val="00797973"/>
    <w:pPr>
      <w:spacing w:before="120" w:after="120"/>
      <w:ind w:left="850" w:hanging="850"/>
      <w:jc w:val="both"/>
    </w:pPr>
  </w:style>
  <w:style w:type="paragraph" w:customStyle="1" w:styleId="ManualNumPar4">
    <w:name w:val="Manual NumPar 4"/>
    <w:basedOn w:val="Normal"/>
    <w:next w:val="Text1"/>
    <w:rsid w:val="00797973"/>
    <w:pPr>
      <w:spacing w:before="120" w:after="120"/>
      <w:ind w:left="850" w:hanging="850"/>
      <w:jc w:val="both"/>
    </w:pPr>
  </w:style>
  <w:style w:type="paragraph" w:customStyle="1" w:styleId="QuotedNumPar">
    <w:name w:val="Quoted NumPar"/>
    <w:basedOn w:val="Normal"/>
    <w:rsid w:val="00797973"/>
    <w:pPr>
      <w:spacing w:before="120" w:after="120"/>
      <w:ind w:left="1417" w:hanging="567"/>
      <w:jc w:val="both"/>
    </w:pPr>
  </w:style>
  <w:style w:type="paragraph" w:customStyle="1" w:styleId="ManualHeading1">
    <w:name w:val="Manual Heading 1"/>
    <w:basedOn w:val="Normal"/>
    <w:next w:val="Text1"/>
    <w:rsid w:val="00797973"/>
    <w:pPr>
      <w:keepNext/>
      <w:tabs>
        <w:tab w:val="left" w:pos="850"/>
      </w:tabs>
      <w:spacing w:before="360" w:after="120"/>
      <w:ind w:left="850" w:hanging="850"/>
      <w:jc w:val="both"/>
      <w:outlineLvl w:val="0"/>
    </w:pPr>
    <w:rPr>
      <w:b/>
      <w:smallCaps/>
    </w:rPr>
  </w:style>
  <w:style w:type="paragraph" w:customStyle="1" w:styleId="ManualHeading2">
    <w:name w:val="Manual Heading 2"/>
    <w:basedOn w:val="Normal"/>
    <w:next w:val="Text1"/>
    <w:rsid w:val="00797973"/>
    <w:pPr>
      <w:keepNext/>
      <w:tabs>
        <w:tab w:val="left" w:pos="850"/>
      </w:tabs>
      <w:spacing w:before="120" w:after="120"/>
      <w:ind w:left="850" w:hanging="850"/>
      <w:jc w:val="both"/>
      <w:outlineLvl w:val="1"/>
    </w:pPr>
    <w:rPr>
      <w:b/>
    </w:rPr>
  </w:style>
  <w:style w:type="paragraph" w:customStyle="1" w:styleId="ManualHeading3">
    <w:name w:val="Manual Heading 3"/>
    <w:basedOn w:val="Normal"/>
    <w:next w:val="Text1"/>
    <w:rsid w:val="00797973"/>
    <w:pPr>
      <w:keepNext/>
      <w:tabs>
        <w:tab w:val="left" w:pos="850"/>
      </w:tabs>
      <w:spacing w:before="120" w:after="120"/>
      <w:ind w:left="850" w:hanging="850"/>
      <w:jc w:val="both"/>
      <w:outlineLvl w:val="2"/>
    </w:pPr>
    <w:rPr>
      <w:i/>
    </w:rPr>
  </w:style>
  <w:style w:type="paragraph" w:customStyle="1" w:styleId="ManualHeading4">
    <w:name w:val="Manual Heading 4"/>
    <w:basedOn w:val="Normal"/>
    <w:next w:val="Text1"/>
    <w:rsid w:val="00797973"/>
    <w:pPr>
      <w:keepNext/>
      <w:tabs>
        <w:tab w:val="left" w:pos="850"/>
      </w:tabs>
      <w:spacing w:before="120" w:after="120"/>
      <w:ind w:left="850" w:hanging="850"/>
      <w:jc w:val="both"/>
      <w:outlineLvl w:val="3"/>
    </w:pPr>
  </w:style>
  <w:style w:type="paragraph" w:customStyle="1" w:styleId="ChapterTitle">
    <w:name w:val="ChapterTitle"/>
    <w:basedOn w:val="Normal"/>
    <w:next w:val="Normal"/>
    <w:rsid w:val="00797973"/>
    <w:pPr>
      <w:keepNext/>
      <w:spacing w:before="120" w:after="360"/>
      <w:jc w:val="center"/>
    </w:pPr>
    <w:rPr>
      <w:b/>
      <w:sz w:val="32"/>
    </w:rPr>
  </w:style>
  <w:style w:type="paragraph" w:customStyle="1" w:styleId="PartTitle">
    <w:name w:val="PartTitle"/>
    <w:basedOn w:val="Normal"/>
    <w:next w:val="ChapterTitle"/>
    <w:rsid w:val="00797973"/>
    <w:pPr>
      <w:keepNext/>
      <w:pageBreakBefore/>
      <w:spacing w:before="120" w:after="360"/>
      <w:jc w:val="center"/>
    </w:pPr>
    <w:rPr>
      <w:b/>
      <w:sz w:val="36"/>
    </w:rPr>
  </w:style>
  <w:style w:type="paragraph" w:customStyle="1" w:styleId="SectionTitle">
    <w:name w:val="SectionTitle"/>
    <w:basedOn w:val="Normal"/>
    <w:next w:val="Heading1"/>
    <w:rsid w:val="00797973"/>
    <w:pPr>
      <w:keepNext/>
      <w:spacing w:before="120" w:after="360"/>
      <w:jc w:val="center"/>
    </w:pPr>
    <w:rPr>
      <w:b/>
      <w:smallCaps/>
      <w:sz w:val="28"/>
    </w:rPr>
  </w:style>
  <w:style w:type="paragraph" w:customStyle="1" w:styleId="TableTitle">
    <w:name w:val="Table Title"/>
    <w:basedOn w:val="Normal"/>
    <w:next w:val="Normal"/>
    <w:rsid w:val="00797973"/>
    <w:pPr>
      <w:spacing w:before="120" w:after="120"/>
      <w:jc w:val="center"/>
    </w:pPr>
    <w:rPr>
      <w:b/>
    </w:rPr>
  </w:style>
  <w:style w:type="character" w:customStyle="1" w:styleId="Marker">
    <w:name w:val="Marker"/>
    <w:basedOn w:val="DefaultParagraphFont"/>
    <w:rsid w:val="00797973"/>
    <w:rPr>
      <w:color w:val="0000FF"/>
      <w:shd w:val="clear" w:color="auto" w:fill="auto"/>
    </w:rPr>
  </w:style>
  <w:style w:type="character" w:customStyle="1" w:styleId="Marker1">
    <w:name w:val="Marker1"/>
    <w:basedOn w:val="DefaultParagraphFont"/>
    <w:rsid w:val="00797973"/>
    <w:rPr>
      <w:color w:val="008000"/>
      <w:shd w:val="clear" w:color="auto" w:fill="auto"/>
    </w:rPr>
  </w:style>
  <w:style w:type="character" w:customStyle="1" w:styleId="Marker2">
    <w:name w:val="Marker2"/>
    <w:basedOn w:val="DefaultParagraphFont"/>
    <w:rsid w:val="00797973"/>
    <w:rPr>
      <w:color w:val="FF0000"/>
      <w:shd w:val="clear" w:color="auto" w:fill="auto"/>
    </w:rPr>
  </w:style>
  <w:style w:type="paragraph" w:customStyle="1" w:styleId="Point0number">
    <w:name w:val="Point 0 (number)"/>
    <w:basedOn w:val="Normal"/>
    <w:rsid w:val="00797973"/>
    <w:pPr>
      <w:numPr>
        <w:ilvl w:val="2"/>
        <w:numId w:val="14"/>
      </w:numPr>
      <w:tabs>
        <w:tab w:val="clear" w:pos="1417"/>
        <w:tab w:val="num" w:pos="360"/>
      </w:tabs>
      <w:spacing w:before="120" w:after="120"/>
      <w:ind w:left="360" w:hanging="360"/>
      <w:jc w:val="both"/>
    </w:pPr>
  </w:style>
  <w:style w:type="paragraph" w:customStyle="1" w:styleId="Point1number">
    <w:name w:val="Point 1 (number)"/>
    <w:basedOn w:val="Normal"/>
    <w:rsid w:val="00797973"/>
    <w:pPr>
      <w:numPr>
        <w:ilvl w:val="4"/>
        <w:numId w:val="14"/>
      </w:numPr>
      <w:tabs>
        <w:tab w:val="num" w:pos="360"/>
      </w:tabs>
      <w:spacing w:before="120" w:after="120"/>
      <w:ind w:left="360"/>
      <w:jc w:val="both"/>
    </w:pPr>
  </w:style>
  <w:style w:type="paragraph" w:customStyle="1" w:styleId="Point2number">
    <w:name w:val="Point 2 (number)"/>
    <w:basedOn w:val="Normal"/>
    <w:rsid w:val="00797973"/>
    <w:pPr>
      <w:numPr>
        <w:ilvl w:val="6"/>
        <w:numId w:val="14"/>
      </w:numPr>
      <w:tabs>
        <w:tab w:val="num" w:pos="360"/>
        <w:tab w:val="num" w:pos="1984"/>
      </w:tabs>
      <w:spacing w:before="120" w:after="120"/>
      <w:ind w:left="1984"/>
      <w:jc w:val="both"/>
    </w:pPr>
  </w:style>
  <w:style w:type="paragraph" w:customStyle="1" w:styleId="Point3number">
    <w:name w:val="Point 3 (number)"/>
    <w:basedOn w:val="Normal"/>
    <w:rsid w:val="00797973"/>
    <w:pPr>
      <w:numPr>
        <w:ilvl w:val="1"/>
        <w:numId w:val="14"/>
      </w:numPr>
      <w:tabs>
        <w:tab w:val="num" w:pos="360"/>
        <w:tab w:val="num" w:pos="2551"/>
      </w:tabs>
      <w:spacing w:before="120" w:after="120"/>
      <w:ind w:left="2551"/>
      <w:jc w:val="both"/>
    </w:pPr>
  </w:style>
  <w:style w:type="paragraph" w:customStyle="1" w:styleId="Point0letter">
    <w:name w:val="Point 0 (letter)"/>
    <w:basedOn w:val="Normal"/>
    <w:rsid w:val="00797973"/>
    <w:pPr>
      <w:numPr>
        <w:ilvl w:val="3"/>
        <w:numId w:val="14"/>
      </w:numPr>
      <w:tabs>
        <w:tab w:val="clear" w:pos="1417"/>
        <w:tab w:val="num" w:pos="360"/>
      </w:tabs>
      <w:spacing w:before="120" w:after="120"/>
      <w:ind w:left="360" w:hanging="360"/>
      <w:jc w:val="both"/>
    </w:pPr>
  </w:style>
  <w:style w:type="paragraph" w:customStyle="1" w:styleId="Point1letter">
    <w:name w:val="Point 1 (letter)"/>
    <w:basedOn w:val="Normal"/>
    <w:rsid w:val="00797973"/>
    <w:pPr>
      <w:numPr>
        <w:ilvl w:val="5"/>
        <w:numId w:val="14"/>
      </w:numPr>
      <w:tabs>
        <w:tab w:val="num" w:pos="360"/>
      </w:tabs>
      <w:spacing w:before="120" w:after="120"/>
      <w:ind w:left="360"/>
      <w:jc w:val="both"/>
    </w:pPr>
  </w:style>
  <w:style w:type="paragraph" w:customStyle="1" w:styleId="Point2letter">
    <w:name w:val="Point 2 (letter)"/>
    <w:basedOn w:val="Normal"/>
    <w:rsid w:val="00797973"/>
    <w:pPr>
      <w:numPr>
        <w:ilvl w:val="7"/>
        <w:numId w:val="14"/>
      </w:numPr>
      <w:tabs>
        <w:tab w:val="num" w:pos="360"/>
        <w:tab w:val="num" w:pos="1984"/>
      </w:tabs>
      <w:spacing w:before="120" w:after="120"/>
      <w:ind w:left="1984"/>
      <w:jc w:val="both"/>
    </w:pPr>
  </w:style>
  <w:style w:type="paragraph" w:customStyle="1" w:styleId="Point3letter">
    <w:name w:val="Point 3 (letter)"/>
    <w:basedOn w:val="Normal"/>
    <w:rsid w:val="00797973"/>
    <w:pPr>
      <w:numPr>
        <w:ilvl w:val="8"/>
        <w:numId w:val="14"/>
      </w:numPr>
      <w:tabs>
        <w:tab w:val="num" w:pos="360"/>
        <w:tab w:val="num" w:pos="2551"/>
      </w:tabs>
      <w:spacing w:before="120" w:after="120"/>
      <w:ind w:left="2551"/>
      <w:jc w:val="both"/>
    </w:pPr>
  </w:style>
  <w:style w:type="paragraph" w:customStyle="1" w:styleId="Point4letter">
    <w:name w:val="Point 4 (letter)"/>
    <w:basedOn w:val="Normal"/>
    <w:rsid w:val="00797973"/>
    <w:pPr>
      <w:tabs>
        <w:tab w:val="num" w:pos="3118"/>
      </w:tabs>
      <w:spacing w:before="120" w:after="120"/>
      <w:ind w:left="3118" w:hanging="567"/>
      <w:jc w:val="both"/>
    </w:pPr>
  </w:style>
  <w:style w:type="paragraph" w:customStyle="1" w:styleId="Bullet0">
    <w:name w:val="Bullet 0"/>
    <w:basedOn w:val="Normal"/>
    <w:rsid w:val="00797973"/>
    <w:pPr>
      <w:numPr>
        <w:numId w:val="15"/>
      </w:numPr>
      <w:tabs>
        <w:tab w:val="num" w:pos="643"/>
      </w:tabs>
      <w:spacing w:before="120" w:after="120"/>
      <w:ind w:left="643" w:hanging="360"/>
      <w:jc w:val="both"/>
    </w:pPr>
  </w:style>
  <w:style w:type="paragraph" w:customStyle="1" w:styleId="Bullet1">
    <w:name w:val="Bullet 1"/>
    <w:basedOn w:val="Normal"/>
    <w:rsid w:val="00797973"/>
    <w:pPr>
      <w:numPr>
        <w:numId w:val="16"/>
      </w:numPr>
      <w:tabs>
        <w:tab w:val="num" w:pos="926"/>
      </w:tabs>
      <w:spacing w:before="120" w:after="120"/>
      <w:ind w:left="926" w:hanging="360"/>
      <w:jc w:val="both"/>
    </w:pPr>
  </w:style>
  <w:style w:type="paragraph" w:customStyle="1" w:styleId="Bullet2">
    <w:name w:val="Bullet 2"/>
    <w:basedOn w:val="Normal"/>
    <w:rsid w:val="00797973"/>
    <w:pPr>
      <w:numPr>
        <w:numId w:val="17"/>
      </w:numPr>
      <w:spacing w:before="120" w:after="120"/>
      <w:jc w:val="both"/>
    </w:pPr>
  </w:style>
  <w:style w:type="paragraph" w:customStyle="1" w:styleId="Bullet3">
    <w:name w:val="Bullet 3"/>
    <w:basedOn w:val="Normal"/>
    <w:rsid w:val="00797973"/>
    <w:pPr>
      <w:tabs>
        <w:tab w:val="num" w:pos="2551"/>
      </w:tabs>
      <w:spacing w:before="120" w:after="120"/>
      <w:ind w:left="2551" w:hanging="567"/>
      <w:jc w:val="both"/>
    </w:pPr>
  </w:style>
  <w:style w:type="paragraph" w:customStyle="1" w:styleId="Bullet4">
    <w:name w:val="Bullet 4"/>
    <w:basedOn w:val="Normal"/>
    <w:rsid w:val="00797973"/>
    <w:pPr>
      <w:numPr>
        <w:numId w:val="18"/>
      </w:numPr>
      <w:spacing w:before="120" w:after="120"/>
      <w:jc w:val="both"/>
    </w:pPr>
  </w:style>
  <w:style w:type="paragraph" w:customStyle="1" w:styleId="Langue">
    <w:name w:val="Langue"/>
    <w:basedOn w:val="Normal"/>
    <w:next w:val="Rfrenceinterne"/>
    <w:rsid w:val="00797973"/>
    <w:pPr>
      <w:framePr w:wrap="around" w:vAnchor="page" w:hAnchor="text" w:xAlign="center" w:y="14741"/>
      <w:spacing w:after="600"/>
      <w:jc w:val="center"/>
    </w:pPr>
    <w:rPr>
      <w:b/>
      <w:caps/>
    </w:rPr>
  </w:style>
  <w:style w:type="paragraph" w:customStyle="1" w:styleId="Rfrenceinterne">
    <w:name w:val="Référence interne"/>
    <w:basedOn w:val="Normal"/>
    <w:next w:val="Rfrenceinterinstitutionnelle"/>
    <w:rsid w:val="00797973"/>
    <w:pPr>
      <w:ind w:left="5103"/>
    </w:pPr>
  </w:style>
  <w:style w:type="paragraph" w:customStyle="1" w:styleId="Rfrenceinterinstitutionnelle">
    <w:name w:val="Référence interinstitutionnelle"/>
    <w:basedOn w:val="Normal"/>
    <w:next w:val="Statut"/>
    <w:rsid w:val="00797973"/>
    <w:pPr>
      <w:ind w:left="5103"/>
    </w:pPr>
  </w:style>
  <w:style w:type="paragraph" w:customStyle="1" w:styleId="Statut">
    <w:name w:val="Statut"/>
    <w:basedOn w:val="Normal"/>
    <w:next w:val="Typedudocument"/>
    <w:rsid w:val="00797973"/>
    <w:pPr>
      <w:spacing w:before="360"/>
      <w:jc w:val="center"/>
    </w:pPr>
  </w:style>
  <w:style w:type="paragraph" w:customStyle="1" w:styleId="Typedudocument">
    <w:name w:val="Type du document"/>
    <w:basedOn w:val="Normal"/>
    <w:next w:val="Titreobjet"/>
    <w:rsid w:val="00797973"/>
    <w:pPr>
      <w:spacing w:before="360"/>
      <w:jc w:val="center"/>
    </w:pPr>
    <w:rPr>
      <w:b/>
    </w:rPr>
  </w:style>
  <w:style w:type="paragraph" w:customStyle="1" w:styleId="Titreobjet">
    <w:name w:val="Titre objet"/>
    <w:basedOn w:val="Normal"/>
    <w:next w:val="IntrtEEE"/>
    <w:rsid w:val="00797973"/>
    <w:pPr>
      <w:spacing w:before="360" w:after="360"/>
      <w:jc w:val="center"/>
    </w:pPr>
    <w:rPr>
      <w:b/>
    </w:rPr>
  </w:style>
  <w:style w:type="paragraph" w:customStyle="1" w:styleId="IntrtEEE">
    <w:name w:val="Intérêt EEE"/>
    <w:basedOn w:val="Languesfaisantfoi"/>
    <w:next w:val="Normal"/>
    <w:rsid w:val="00797973"/>
    <w:pPr>
      <w:spacing w:after="240"/>
    </w:pPr>
  </w:style>
  <w:style w:type="paragraph" w:customStyle="1" w:styleId="Languesfaisantfoi">
    <w:name w:val="Langues faisant foi"/>
    <w:basedOn w:val="Normal"/>
    <w:next w:val="Normal"/>
    <w:rsid w:val="00797973"/>
    <w:pPr>
      <w:spacing w:before="360"/>
      <w:jc w:val="center"/>
    </w:pPr>
  </w:style>
  <w:style w:type="paragraph" w:customStyle="1" w:styleId="Nomdelinstitution">
    <w:name w:val="Nom de l'institution"/>
    <w:basedOn w:val="Normal"/>
    <w:next w:val="Emission"/>
    <w:rsid w:val="00797973"/>
    <w:rPr>
      <w:rFonts w:ascii="Arial" w:hAnsi="Arial" w:cs="Arial"/>
    </w:rPr>
  </w:style>
  <w:style w:type="paragraph" w:customStyle="1" w:styleId="Emission">
    <w:name w:val="Emission"/>
    <w:basedOn w:val="Normal"/>
    <w:next w:val="Rfrenceinstitutionnelle"/>
    <w:rsid w:val="00797973"/>
    <w:pPr>
      <w:ind w:left="5103"/>
    </w:pPr>
  </w:style>
  <w:style w:type="paragraph" w:customStyle="1" w:styleId="Rfrenceinstitutionnelle">
    <w:name w:val="Référence institutionnelle"/>
    <w:basedOn w:val="Normal"/>
    <w:next w:val="Confidentialit"/>
    <w:rsid w:val="00797973"/>
    <w:pPr>
      <w:spacing w:after="240"/>
      <w:ind w:left="5103"/>
    </w:pPr>
  </w:style>
  <w:style w:type="paragraph" w:customStyle="1" w:styleId="Confidentialit">
    <w:name w:val="Confidentialité"/>
    <w:basedOn w:val="Normal"/>
    <w:next w:val="TypedudocumentPagedecouverture"/>
    <w:rsid w:val="00797973"/>
    <w:pPr>
      <w:spacing w:before="240" w:after="240"/>
      <w:ind w:left="5103"/>
    </w:pPr>
    <w:rPr>
      <w:i/>
      <w:sz w:val="32"/>
    </w:rPr>
  </w:style>
  <w:style w:type="paragraph" w:customStyle="1" w:styleId="TypedudocumentPagedecouverture">
    <w:name w:val="Type du document (Page de couverture)"/>
    <w:basedOn w:val="Typedudocument"/>
    <w:next w:val="TitreobjetPagedecouverture"/>
    <w:rsid w:val="00797973"/>
  </w:style>
  <w:style w:type="paragraph" w:customStyle="1" w:styleId="TitreobjetPagedecouverture">
    <w:name w:val="Titre objet (Page de couverture)"/>
    <w:basedOn w:val="Titreobjet"/>
    <w:next w:val="IntrtEEEPagedecouverture"/>
    <w:rsid w:val="00797973"/>
  </w:style>
  <w:style w:type="paragraph" w:customStyle="1" w:styleId="IntrtEEEPagedecouverture">
    <w:name w:val="Intérêt EEE (Page de couverture)"/>
    <w:basedOn w:val="IntrtEEE"/>
    <w:next w:val="Rfrencecroise"/>
    <w:rsid w:val="00797973"/>
  </w:style>
  <w:style w:type="paragraph" w:customStyle="1" w:styleId="Rfrencecroise">
    <w:name w:val="Référence croisée"/>
    <w:basedOn w:val="Normal"/>
    <w:rsid w:val="00797973"/>
    <w:pPr>
      <w:jc w:val="center"/>
    </w:pPr>
  </w:style>
  <w:style w:type="paragraph" w:customStyle="1" w:styleId="Pagedecouverture">
    <w:name w:val="Page de couverture"/>
    <w:basedOn w:val="Normal"/>
    <w:next w:val="Normal"/>
    <w:rsid w:val="00797973"/>
    <w:pPr>
      <w:jc w:val="both"/>
    </w:pPr>
  </w:style>
  <w:style w:type="paragraph" w:customStyle="1" w:styleId="Declassification">
    <w:name w:val="Declassification"/>
    <w:basedOn w:val="Normal"/>
    <w:next w:val="Normal"/>
    <w:rsid w:val="00797973"/>
    <w:pPr>
      <w:jc w:val="both"/>
    </w:pPr>
  </w:style>
  <w:style w:type="paragraph" w:customStyle="1" w:styleId="Disclaimer">
    <w:name w:val="Disclaimer"/>
    <w:basedOn w:val="Normal"/>
    <w:rsid w:val="00797973"/>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jc w:val="both"/>
    </w:pPr>
  </w:style>
  <w:style w:type="paragraph" w:customStyle="1" w:styleId="SecurityMarking">
    <w:name w:val="SecurityMarking"/>
    <w:basedOn w:val="Normal"/>
    <w:rsid w:val="00797973"/>
    <w:pPr>
      <w:ind w:left="5103"/>
    </w:pPr>
    <w:rPr>
      <w:sz w:val="28"/>
    </w:rPr>
  </w:style>
  <w:style w:type="paragraph" w:customStyle="1" w:styleId="DateMarking">
    <w:name w:val="DateMarking"/>
    <w:basedOn w:val="Normal"/>
    <w:rsid w:val="00797973"/>
    <w:pPr>
      <w:ind w:left="5103"/>
    </w:pPr>
    <w:rPr>
      <w:i/>
      <w:sz w:val="28"/>
    </w:rPr>
  </w:style>
  <w:style w:type="paragraph" w:customStyle="1" w:styleId="ReleasableTo">
    <w:name w:val="ReleasableTo"/>
    <w:basedOn w:val="Normal"/>
    <w:rsid w:val="00797973"/>
    <w:pPr>
      <w:ind w:left="5103"/>
    </w:pPr>
    <w:rPr>
      <w:i/>
      <w:sz w:val="28"/>
    </w:rPr>
  </w:style>
  <w:style w:type="paragraph" w:customStyle="1" w:styleId="Annexetitreexpos">
    <w:name w:val="Annexe titre (exposé)"/>
    <w:basedOn w:val="Normal"/>
    <w:next w:val="Normal"/>
    <w:rsid w:val="00797973"/>
    <w:pPr>
      <w:spacing w:before="120" w:after="120"/>
      <w:jc w:val="center"/>
    </w:pPr>
    <w:rPr>
      <w:b/>
      <w:u w:val="single"/>
    </w:rPr>
  </w:style>
  <w:style w:type="paragraph" w:customStyle="1" w:styleId="Annexetitre">
    <w:name w:val="Annexe titre"/>
    <w:basedOn w:val="Normal"/>
    <w:next w:val="Normal"/>
    <w:rsid w:val="00797973"/>
    <w:pPr>
      <w:spacing w:before="120" w:after="120"/>
      <w:jc w:val="center"/>
    </w:pPr>
    <w:rPr>
      <w:b/>
      <w:u w:val="single"/>
    </w:rPr>
  </w:style>
  <w:style w:type="paragraph" w:customStyle="1" w:styleId="Annexetitrefichefinancire">
    <w:name w:val="Annexe titre (fiche financière)"/>
    <w:basedOn w:val="Normal"/>
    <w:next w:val="Normal"/>
    <w:rsid w:val="00797973"/>
    <w:pPr>
      <w:spacing w:before="120" w:after="120"/>
      <w:jc w:val="center"/>
    </w:pPr>
    <w:rPr>
      <w:b/>
      <w:u w:val="single"/>
    </w:rPr>
  </w:style>
  <w:style w:type="paragraph" w:customStyle="1" w:styleId="Applicationdirecte">
    <w:name w:val="Application directe"/>
    <w:basedOn w:val="Normal"/>
    <w:next w:val="Fait"/>
    <w:rsid w:val="00797973"/>
    <w:pPr>
      <w:spacing w:before="480" w:after="120"/>
      <w:jc w:val="both"/>
    </w:pPr>
  </w:style>
  <w:style w:type="paragraph" w:customStyle="1" w:styleId="Fait">
    <w:name w:val="Fait à"/>
    <w:basedOn w:val="Normal"/>
    <w:next w:val="Institutionquisigne"/>
    <w:rsid w:val="00797973"/>
    <w:pPr>
      <w:keepNext/>
      <w:spacing w:before="120"/>
      <w:jc w:val="both"/>
    </w:pPr>
  </w:style>
  <w:style w:type="paragraph" w:customStyle="1" w:styleId="Institutionquisigne">
    <w:name w:val="Institution qui signe"/>
    <w:basedOn w:val="Normal"/>
    <w:next w:val="Personnequisigne"/>
    <w:rsid w:val="00797973"/>
    <w:pPr>
      <w:keepNext/>
      <w:tabs>
        <w:tab w:val="left" w:pos="4252"/>
      </w:tabs>
      <w:spacing w:before="720"/>
      <w:jc w:val="both"/>
    </w:pPr>
    <w:rPr>
      <w:i/>
    </w:rPr>
  </w:style>
  <w:style w:type="paragraph" w:customStyle="1" w:styleId="Personnequisigne">
    <w:name w:val="Personne qui signe"/>
    <w:basedOn w:val="Normal"/>
    <w:next w:val="Institutionquisigne"/>
    <w:rsid w:val="00797973"/>
    <w:pPr>
      <w:tabs>
        <w:tab w:val="left" w:pos="4252"/>
      </w:tabs>
    </w:pPr>
    <w:rPr>
      <w:i/>
    </w:rPr>
  </w:style>
  <w:style w:type="paragraph" w:customStyle="1" w:styleId="Avertissementtitre">
    <w:name w:val="Avertissement titre"/>
    <w:basedOn w:val="Normal"/>
    <w:next w:val="Normal"/>
    <w:rsid w:val="00797973"/>
    <w:pPr>
      <w:keepNext/>
      <w:spacing w:before="480" w:after="120"/>
      <w:jc w:val="both"/>
    </w:pPr>
    <w:rPr>
      <w:u w:val="single"/>
    </w:rPr>
  </w:style>
  <w:style w:type="paragraph" w:customStyle="1" w:styleId="Confidence">
    <w:name w:val="Confidence"/>
    <w:basedOn w:val="Normal"/>
    <w:next w:val="Normal"/>
    <w:rsid w:val="00797973"/>
    <w:pPr>
      <w:spacing w:before="360" w:after="120"/>
      <w:jc w:val="center"/>
    </w:pPr>
  </w:style>
  <w:style w:type="paragraph" w:customStyle="1" w:styleId="Considrant">
    <w:name w:val="Considérant"/>
    <w:basedOn w:val="Normal"/>
    <w:rsid w:val="00797973"/>
    <w:pPr>
      <w:tabs>
        <w:tab w:val="num" w:pos="709"/>
      </w:tabs>
      <w:spacing w:before="120" w:after="120"/>
      <w:ind w:left="709" w:hanging="709"/>
      <w:jc w:val="both"/>
    </w:pPr>
  </w:style>
  <w:style w:type="paragraph" w:customStyle="1" w:styleId="Corrigendum">
    <w:name w:val="Corrigendum"/>
    <w:basedOn w:val="Normal"/>
    <w:next w:val="Normal"/>
    <w:rsid w:val="00797973"/>
    <w:pPr>
      <w:spacing w:after="240"/>
    </w:pPr>
  </w:style>
  <w:style w:type="paragraph" w:customStyle="1" w:styleId="Datedadoption">
    <w:name w:val="Date d'adoption"/>
    <w:basedOn w:val="Normal"/>
    <w:next w:val="Titreobjet"/>
    <w:rsid w:val="00797973"/>
    <w:pPr>
      <w:spacing w:before="360"/>
      <w:jc w:val="center"/>
    </w:pPr>
    <w:rPr>
      <w:b/>
    </w:rPr>
  </w:style>
  <w:style w:type="paragraph" w:customStyle="1" w:styleId="Exposdesmotifstitre">
    <w:name w:val="Exposé des motifs titre"/>
    <w:basedOn w:val="Normal"/>
    <w:next w:val="Normal"/>
    <w:rsid w:val="00797973"/>
    <w:pPr>
      <w:spacing w:before="120" w:after="120"/>
      <w:jc w:val="center"/>
    </w:pPr>
    <w:rPr>
      <w:b/>
      <w:u w:val="single"/>
    </w:rPr>
  </w:style>
  <w:style w:type="paragraph" w:customStyle="1" w:styleId="Formuledadoption">
    <w:name w:val="Formule d'adoption"/>
    <w:basedOn w:val="Normal"/>
    <w:next w:val="Titrearticle"/>
    <w:rsid w:val="00797973"/>
    <w:pPr>
      <w:keepNext/>
      <w:spacing w:before="120" w:after="120"/>
      <w:jc w:val="both"/>
    </w:pPr>
  </w:style>
  <w:style w:type="paragraph" w:customStyle="1" w:styleId="Titrearticle">
    <w:name w:val="Titre article"/>
    <w:basedOn w:val="Normal"/>
    <w:next w:val="Normal"/>
    <w:rsid w:val="00797973"/>
    <w:pPr>
      <w:keepNext/>
      <w:spacing w:before="360" w:after="120"/>
      <w:jc w:val="center"/>
    </w:pPr>
    <w:rPr>
      <w:i/>
    </w:rPr>
  </w:style>
  <w:style w:type="paragraph" w:customStyle="1" w:styleId="Institutionquiagit">
    <w:name w:val="Institution qui agit"/>
    <w:basedOn w:val="Normal"/>
    <w:next w:val="Normal"/>
    <w:rsid w:val="00797973"/>
    <w:pPr>
      <w:keepNext/>
      <w:spacing w:before="600" w:after="120"/>
      <w:jc w:val="both"/>
    </w:pPr>
  </w:style>
  <w:style w:type="paragraph" w:customStyle="1" w:styleId="ManualConsidrant">
    <w:name w:val="Manual Considérant"/>
    <w:basedOn w:val="Normal"/>
    <w:rsid w:val="00797973"/>
    <w:pPr>
      <w:spacing w:before="120" w:after="120"/>
      <w:ind w:left="709" w:hanging="709"/>
      <w:jc w:val="both"/>
    </w:pPr>
  </w:style>
  <w:style w:type="character" w:customStyle="1" w:styleId="Added">
    <w:name w:val="Added"/>
    <w:basedOn w:val="DefaultParagraphFont"/>
    <w:rsid w:val="00797973"/>
    <w:rPr>
      <w:b/>
      <w:u w:val="single"/>
      <w:shd w:val="clear" w:color="auto" w:fill="auto"/>
    </w:rPr>
  </w:style>
  <w:style w:type="character" w:customStyle="1" w:styleId="Deleted">
    <w:name w:val="Deleted"/>
    <w:basedOn w:val="DefaultParagraphFont"/>
    <w:rsid w:val="00797973"/>
    <w:rPr>
      <w:strike/>
      <w:dstrike w:val="0"/>
      <w:shd w:val="clear" w:color="auto" w:fill="auto"/>
    </w:rPr>
  </w:style>
  <w:style w:type="paragraph" w:customStyle="1" w:styleId="Address">
    <w:name w:val="Address"/>
    <w:basedOn w:val="Normal"/>
    <w:next w:val="Normal"/>
    <w:rsid w:val="00797973"/>
    <w:pPr>
      <w:keepLines/>
      <w:spacing w:before="120" w:after="120" w:line="360" w:lineRule="auto"/>
      <w:ind w:left="3402"/>
    </w:pPr>
  </w:style>
  <w:style w:type="paragraph" w:customStyle="1" w:styleId="Objetexterne">
    <w:name w:val="Objet externe"/>
    <w:basedOn w:val="Normal"/>
    <w:next w:val="Normal"/>
    <w:rsid w:val="00797973"/>
    <w:pPr>
      <w:spacing w:before="120" w:after="120"/>
      <w:jc w:val="both"/>
    </w:pPr>
    <w:rPr>
      <w:i/>
      <w:caps/>
    </w:rPr>
  </w:style>
  <w:style w:type="paragraph" w:customStyle="1" w:styleId="Supertitre">
    <w:name w:val="Supertitre"/>
    <w:basedOn w:val="Normal"/>
    <w:next w:val="Normal"/>
    <w:rsid w:val="00797973"/>
    <w:pPr>
      <w:spacing w:after="600"/>
      <w:jc w:val="center"/>
    </w:pPr>
    <w:rPr>
      <w:b/>
    </w:rPr>
  </w:style>
  <w:style w:type="paragraph" w:customStyle="1" w:styleId="Fichefinanciretitre">
    <w:name w:val="Fiche financière titre"/>
    <w:basedOn w:val="Normal"/>
    <w:next w:val="Normal"/>
    <w:rsid w:val="00797973"/>
    <w:pPr>
      <w:spacing w:before="120" w:after="120"/>
      <w:jc w:val="center"/>
    </w:pPr>
    <w:rPr>
      <w:b/>
      <w:u w:val="single"/>
    </w:rPr>
  </w:style>
  <w:style w:type="paragraph" w:customStyle="1" w:styleId="DatedadoptionPagedecouverture">
    <w:name w:val="Date d'adoption (Page de couverture)"/>
    <w:basedOn w:val="Datedadoption"/>
    <w:next w:val="TitreobjetPagedecouverture"/>
    <w:rsid w:val="00797973"/>
  </w:style>
  <w:style w:type="paragraph" w:customStyle="1" w:styleId="RfrenceinterinstitutionnellePagedecouverture">
    <w:name w:val="Référence interinstitutionnelle (Page de couverture)"/>
    <w:basedOn w:val="Rfrenceinterinstitutionnelle"/>
    <w:next w:val="Confidentialit"/>
    <w:rsid w:val="00797973"/>
  </w:style>
  <w:style w:type="paragraph" w:customStyle="1" w:styleId="StatutPagedecouverture">
    <w:name w:val="Statut (Page de couverture)"/>
    <w:basedOn w:val="Statut"/>
    <w:next w:val="TypedudocumentPagedecouverture"/>
    <w:rsid w:val="00797973"/>
  </w:style>
  <w:style w:type="paragraph" w:customStyle="1" w:styleId="Volume">
    <w:name w:val="Volume"/>
    <w:basedOn w:val="Normal"/>
    <w:next w:val="Confidentialit"/>
    <w:rsid w:val="00797973"/>
    <w:pPr>
      <w:spacing w:after="240"/>
      <w:ind w:left="5103"/>
    </w:pPr>
  </w:style>
  <w:style w:type="paragraph" w:customStyle="1" w:styleId="Accompagnant">
    <w:name w:val="Accompagnant"/>
    <w:basedOn w:val="Normal"/>
    <w:next w:val="Typeacteprincipal"/>
    <w:rsid w:val="00797973"/>
    <w:pPr>
      <w:spacing w:after="240"/>
      <w:jc w:val="center"/>
    </w:pPr>
    <w:rPr>
      <w:b/>
      <w:i/>
    </w:rPr>
  </w:style>
  <w:style w:type="paragraph" w:customStyle="1" w:styleId="Typeacteprincipal">
    <w:name w:val="Type acte principal"/>
    <w:basedOn w:val="Normal"/>
    <w:next w:val="Objetacteprincipal"/>
    <w:rsid w:val="00797973"/>
    <w:pPr>
      <w:spacing w:after="240"/>
      <w:jc w:val="center"/>
    </w:pPr>
    <w:rPr>
      <w:b/>
    </w:rPr>
  </w:style>
  <w:style w:type="paragraph" w:customStyle="1" w:styleId="Objetacteprincipal">
    <w:name w:val="Objet acte principal"/>
    <w:basedOn w:val="Normal"/>
    <w:next w:val="Titrearticle"/>
    <w:rsid w:val="00797973"/>
    <w:pPr>
      <w:spacing w:after="360"/>
      <w:jc w:val="center"/>
    </w:pPr>
    <w:rPr>
      <w:b/>
    </w:rPr>
  </w:style>
  <w:style w:type="paragraph" w:customStyle="1" w:styleId="AccompagnantPagedecouverture">
    <w:name w:val="Accompagnant (Page de couverture)"/>
    <w:basedOn w:val="Accompagnant"/>
    <w:next w:val="TypeacteprincipalPagedecouverture"/>
    <w:rsid w:val="00797973"/>
  </w:style>
  <w:style w:type="paragraph" w:customStyle="1" w:styleId="TypeacteprincipalPagedecouverture">
    <w:name w:val="Type acte principal (Page de couverture)"/>
    <w:basedOn w:val="Typeacteprincipal"/>
    <w:next w:val="ObjetacteprincipalPagedecouverture"/>
    <w:rsid w:val="00797973"/>
  </w:style>
  <w:style w:type="paragraph" w:customStyle="1" w:styleId="ObjetacteprincipalPagedecouverture">
    <w:name w:val="Objet acte principal (Page de couverture)"/>
    <w:basedOn w:val="Objetacteprincipal"/>
    <w:next w:val="Rfrencecroise"/>
    <w:rsid w:val="00797973"/>
  </w:style>
  <w:style w:type="paragraph" w:customStyle="1" w:styleId="LanguesfaisantfoiPagedecouverture">
    <w:name w:val="Langues faisant foi (Page de couverture)"/>
    <w:basedOn w:val="Normal"/>
    <w:next w:val="Normal"/>
    <w:rsid w:val="00797973"/>
    <w:pPr>
      <w:spacing w:before="360"/>
      <w:jc w:val="center"/>
    </w:pPr>
  </w:style>
  <w:style w:type="paragraph" w:styleId="ListBullet">
    <w:name w:val="List Bullet"/>
    <w:basedOn w:val="Normal"/>
    <w:uiPriority w:val="99"/>
    <w:semiHidden/>
    <w:unhideWhenUsed/>
    <w:rsid w:val="00797973"/>
    <w:pPr>
      <w:numPr>
        <w:numId w:val="20"/>
      </w:numPr>
      <w:tabs>
        <w:tab w:val="num" w:pos="850"/>
      </w:tabs>
      <w:spacing w:before="120" w:after="120"/>
      <w:ind w:left="720"/>
      <w:contextualSpacing/>
      <w:jc w:val="both"/>
    </w:pPr>
  </w:style>
  <w:style w:type="paragraph" w:styleId="ListBullet2">
    <w:name w:val="List Bullet 2"/>
    <w:basedOn w:val="Normal"/>
    <w:uiPriority w:val="99"/>
    <w:semiHidden/>
    <w:unhideWhenUsed/>
    <w:rsid w:val="00797973"/>
    <w:pPr>
      <w:tabs>
        <w:tab w:val="num" w:pos="643"/>
      </w:tabs>
      <w:spacing w:before="120" w:after="120"/>
      <w:ind w:left="643" w:hanging="360"/>
      <w:contextualSpacing/>
      <w:jc w:val="both"/>
    </w:pPr>
  </w:style>
  <w:style w:type="paragraph" w:styleId="ListBullet3">
    <w:name w:val="List Bullet 3"/>
    <w:basedOn w:val="Normal"/>
    <w:uiPriority w:val="99"/>
    <w:semiHidden/>
    <w:unhideWhenUsed/>
    <w:rsid w:val="00797973"/>
    <w:pPr>
      <w:tabs>
        <w:tab w:val="num" w:pos="926"/>
      </w:tabs>
      <w:spacing w:before="120" w:after="120"/>
      <w:ind w:left="926" w:hanging="360"/>
      <w:contextualSpacing/>
      <w:jc w:val="both"/>
    </w:pPr>
  </w:style>
  <w:style w:type="paragraph" w:styleId="ListBullet4">
    <w:name w:val="List Bullet 4"/>
    <w:basedOn w:val="Normal"/>
    <w:uiPriority w:val="99"/>
    <w:semiHidden/>
    <w:unhideWhenUsed/>
    <w:rsid w:val="00797973"/>
    <w:pPr>
      <w:tabs>
        <w:tab w:val="num" w:pos="3118"/>
      </w:tabs>
      <w:spacing w:before="120" w:after="120"/>
      <w:ind w:left="3118" w:hanging="567"/>
      <w:contextualSpacing/>
      <w:jc w:val="both"/>
    </w:pPr>
  </w:style>
  <w:style w:type="character" w:styleId="CommentReference">
    <w:name w:val="annotation reference"/>
    <w:basedOn w:val="DefaultParagraphFont"/>
    <w:uiPriority w:val="99"/>
    <w:unhideWhenUsed/>
    <w:rsid w:val="00797973"/>
    <w:rPr>
      <w:sz w:val="16"/>
    </w:rPr>
  </w:style>
  <w:style w:type="paragraph" w:styleId="CommentText">
    <w:name w:val="annotation text"/>
    <w:basedOn w:val="Normal"/>
    <w:link w:val="CommentTextChar"/>
    <w:uiPriority w:val="99"/>
    <w:unhideWhenUsed/>
    <w:rsid w:val="00797973"/>
    <w:pPr>
      <w:spacing w:before="120" w:after="120"/>
      <w:jc w:val="both"/>
    </w:pPr>
    <w:rPr>
      <w:sz w:val="20"/>
    </w:rPr>
  </w:style>
  <w:style w:type="character" w:customStyle="1" w:styleId="CommentTextChar">
    <w:name w:val="Comment Text Char"/>
    <w:basedOn w:val="DefaultParagraphFont"/>
    <w:link w:val="CommentText"/>
    <w:uiPriority w:val="99"/>
    <w:rsid w:val="00797973"/>
    <w:rPr>
      <w:rFonts w:ascii="Times New Roman" w:eastAsia="Times New Roman" w:hAnsi="Times New Roman" w:cs="Times New Roman"/>
      <w:kern w:val="0"/>
      <w:sz w:val="20"/>
      <w14:ligatures w14:val="none"/>
    </w:rPr>
  </w:style>
  <w:style w:type="paragraph" w:styleId="CommentSubject">
    <w:name w:val="annotation subject"/>
    <w:basedOn w:val="CommentText"/>
    <w:next w:val="CommentText"/>
    <w:link w:val="CommentSubjectChar"/>
    <w:uiPriority w:val="99"/>
    <w:semiHidden/>
    <w:unhideWhenUsed/>
    <w:rsid w:val="00797973"/>
    <w:rPr>
      <w:b/>
    </w:rPr>
  </w:style>
  <w:style w:type="character" w:customStyle="1" w:styleId="CommentSubjectChar">
    <w:name w:val="Comment Subject Char"/>
    <w:basedOn w:val="CommentTextChar"/>
    <w:link w:val="CommentSubject"/>
    <w:uiPriority w:val="99"/>
    <w:semiHidden/>
    <w:rsid w:val="00797973"/>
    <w:rPr>
      <w:rFonts w:ascii="Times New Roman" w:eastAsia="Times New Roman" w:hAnsi="Times New Roman" w:cs="Times New Roman"/>
      <w:b/>
      <w:kern w:val="0"/>
      <w:sz w:val="20"/>
      <w14:ligatures w14:val="none"/>
    </w:rPr>
  </w:style>
  <w:style w:type="paragraph" w:styleId="BalloonText">
    <w:name w:val="Balloon Text"/>
    <w:basedOn w:val="Normal"/>
    <w:link w:val="BalloonTextChar"/>
    <w:uiPriority w:val="99"/>
    <w:semiHidden/>
    <w:unhideWhenUsed/>
    <w:rsid w:val="00797973"/>
    <w:pPr>
      <w:jc w:val="both"/>
    </w:pPr>
    <w:rPr>
      <w:rFonts w:ascii="Segoe UI" w:hAnsi="Segoe UI" w:cs="Segoe UI"/>
      <w:sz w:val="18"/>
    </w:rPr>
  </w:style>
  <w:style w:type="character" w:customStyle="1" w:styleId="BalloonTextChar">
    <w:name w:val="Balloon Text Char"/>
    <w:basedOn w:val="DefaultParagraphFont"/>
    <w:link w:val="BalloonText"/>
    <w:uiPriority w:val="99"/>
    <w:semiHidden/>
    <w:rsid w:val="00797973"/>
    <w:rPr>
      <w:rFonts w:ascii="Segoe UI" w:eastAsia="Times New Roman" w:hAnsi="Segoe UI" w:cs="Segoe UI"/>
      <w:kern w:val="0"/>
      <w:sz w:val="18"/>
      <w14:ligatures w14:val="none"/>
    </w:rPr>
  </w:style>
  <w:style w:type="paragraph" w:styleId="Revision">
    <w:name w:val="Revision"/>
    <w:hidden/>
    <w:uiPriority w:val="99"/>
    <w:semiHidden/>
    <w:rsid w:val="00797973"/>
    <w:pPr>
      <w:spacing w:after="0" w:line="240" w:lineRule="auto"/>
    </w:pPr>
    <w:rPr>
      <w:rFonts w:ascii="Times New Roman" w:hAnsi="Times New Roman" w:cs="Times New Roman"/>
      <w:kern w:val="0"/>
      <w:sz w:val="24"/>
      <w14:ligatures w14:val="none"/>
    </w:rPr>
  </w:style>
  <w:style w:type="paragraph" w:styleId="ListParagraph">
    <w:name w:val="List Paragraph"/>
    <w:aliases w:val="numbered list,2,OBC Bullet,Normal 1,Task Body,Viñetas (Inicio Parrafo),3 Txt tabla,Zerrenda-paragrafoa,Fiche List Paragraph,Dot pt,F5 List Paragraph,List Paragraph1,No Spacing1,List Paragraph Char Char Char,Indicator Text"/>
    <w:basedOn w:val="Normal"/>
    <w:link w:val="ListParagraphChar"/>
    <w:uiPriority w:val="34"/>
    <w:qFormat/>
    <w:rsid w:val="00797973"/>
    <w:pPr>
      <w:spacing w:before="120" w:after="120"/>
      <w:ind w:left="720"/>
      <w:contextualSpacing/>
      <w:jc w:val="both"/>
    </w:pPr>
  </w:style>
  <w:style w:type="character" w:customStyle="1" w:styleId="ListParagraphChar">
    <w:name w:val="List Paragraph Char"/>
    <w:aliases w:val="numbered list Char,2 Char,OBC Bullet Char,Normal 1 Char,Task Body Char,Viñetas (Inicio Parrafo) Char,3 Txt tabla Char,Zerrenda-paragrafoa Char,Fiche List Paragraph Char,Dot pt Char,F5 List Paragraph Char,List Paragraph1 Char"/>
    <w:basedOn w:val="DefaultParagraphFont"/>
    <w:link w:val="ListParagraph"/>
    <w:uiPriority w:val="34"/>
    <w:qFormat/>
    <w:locked/>
    <w:rsid w:val="00797973"/>
    <w:rPr>
      <w:rFonts w:ascii="Times New Roman" w:eastAsia="Times New Roman" w:hAnsi="Times New Roman" w:cs="Times New Roman"/>
      <w:kern w:val="0"/>
      <w:sz w:val="24"/>
      <w14:ligatures w14:val="none"/>
    </w:rPr>
  </w:style>
  <w:style w:type="character" w:customStyle="1" w:styleId="normaltextrun">
    <w:name w:val="normaltextrun"/>
    <w:basedOn w:val="DefaultParagraphFont"/>
    <w:rsid w:val="00797973"/>
  </w:style>
  <w:style w:type="character" w:customStyle="1" w:styleId="eop">
    <w:name w:val="eop"/>
    <w:basedOn w:val="DefaultParagraphFont"/>
    <w:rsid w:val="00797973"/>
  </w:style>
  <w:style w:type="character" w:styleId="Hyperlink">
    <w:name w:val="Hyperlink"/>
    <w:basedOn w:val="DefaultParagraphFont"/>
    <w:uiPriority w:val="99"/>
    <w:unhideWhenUsed/>
    <w:rsid w:val="00797973"/>
    <w:rPr>
      <w:color w:val="0563C1" w:themeColor="hyperlink"/>
      <w:u w:val="single"/>
    </w:rPr>
  </w:style>
  <w:style w:type="character" w:customStyle="1" w:styleId="y2iqfc">
    <w:name w:val="y2iqfc"/>
    <w:basedOn w:val="DefaultParagraphFont"/>
    <w:rsid w:val="00797973"/>
  </w:style>
  <w:style w:type="character" w:styleId="IntenseEmphasis">
    <w:name w:val="Intense Emphasis"/>
    <w:basedOn w:val="DefaultParagraphFont"/>
    <w:uiPriority w:val="21"/>
    <w:qFormat/>
    <w:rsid w:val="00797973"/>
    <w:rPr>
      <w:i/>
      <w:color w:val="4472C4" w:themeColor="accent1"/>
    </w:rPr>
  </w:style>
  <w:style w:type="paragraph" w:customStyle="1" w:styleId="Times12">
    <w:name w:val="Times12"/>
    <w:basedOn w:val="Normal"/>
    <w:rsid w:val="00797973"/>
    <w:pPr>
      <w:suppressAutoHyphens/>
      <w:spacing w:after="140"/>
      <w:jc w:val="both"/>
    </w:pPr>
    <w:rPr>
      <w:rFonts w:ascii="Times" w:eastAsia="SimSun" w:hAnsi="Times" w:cs="Times"/>
      <w:color w:val="00000A"/>
      <w:kern w:val="1"/>
    </w:rPr>
  </w:style>
  <w:style w:type="paragraph" w:customStyle="1" w:styleId="paragraph">
    <w:name w:val="paragraph"/>
    <w:basedOn w:val="Normal"/>
    <w:rsid w:val="00797973"/>
    <w:pPr>
      <w:spacing w:before="100" w:beforeAutospacing="1" w:after="100" w:afterAutospacing="1"/>
    </w:pPr>
  </w:style>
  <w:style w:type="paragraph" w:customStyle="1" w:styleId="FooterCoverPage">
    <w:name w:val="Footer Cover Page"/>
    <w:basedOn w:val="Normal"/>
    <w:link w:val="FooterCoverPageChar"/>
    <w:rsid w:val="00797973"/>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sid w:val="00797973"/>
    <w:rPr>
      <w:rFonts w:ascii="Times New Roman" w:eastAsia="Times New Roman" w:hAnsi="Times New Roman" w:cs="Times New Roman"/>
      <w:kern w:val="0"/>
      <w:sz w:val="24"/>
      <w14:ligatures w14:val="none"/>
    </w:rPr>
  </w:style>
  <w:style w:type="paragraph" w:customStyle="1" w:styleId="HeaderCoverPage">
    <w:name w:val="Header Cover Page"/>
    <w:basedOn w:val="Normal"/>
    <w:link w:val="HeaderCoverPageChar"/>
    <w:rsid w:val="00797973"/>
    <w:pPr>
      <w:tabs>
        <w:tab w:val="center" w:pos="4535"/>
        <w:tab w:val="right" w:pos="9071"/>
      </w:tabs>
      <w:spacing w:after="120"/>
      <w:jc w:val="both"/>
    </w:pPr>
  </w:style>
  <w:style w:type="character" w:customStyle="1" w:styleId="HeaderCoverPageChar">
    <w:name w:val="Header Cover Page Char"/>
    <w:basedOn w:val="DefaultParagraphFont"/>
    <w:link w:val="HeaderCoverPage"/>
    <w:rsid w:val="00797973"/>
    <w:rPr>
      <w:rFonts w:ascii="Times New Roman" w:eastAsia="Times New Roman" w:hAnsi="Times New Roman" w:cs="Times New Roman"/>
      <w:kern w:val="0"/>
      <w:sz w:val="24"/>
      <w14:ligatures w14:val="none"/>
    </w:rPr>
  </w:style>
  <w:style w:type="table" w:styleId="TableGrid">
    <w:name w:val="Table Grid"/>
    <w:basedOn w:val="TableNormal"/>
    <w:uiPriority w:val="59"/>
    <w:rsid w:val="00797973"/>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Puntielenco0">
    <w:name w:val="Punti elenco.0"/>
    <w:rsid w:val="00797973"/>
    <w:pPr>
      <w:numPr>
        <w:numId w:val="19"/>
      </w:numPr>
    </w:pPr>
  </w:style>
  <w:style w:type="paragraph" w:styleId="IntenseQuote">
    <w:name w:val="Intense Quote"/>
    <w:basedOn w:val="Normal"/>
    <w:next w:val="Normal"/>
    <w:link w:val="IntenseQuoteChar"/>
    <w:uiPriority w:val="30"/>
    <w:qFormat/>
    <w:rsid w:val="00797973"/>
    <w:pPr>
      <w:pBdr>
        <w:top w:val="single" w:sz="4" w:space="10" w:color="4472C4" w:themeColor="accent1"/>
        <w:bottom w:val="single" w:sz="4" w:space="10" w:color="4472C4" w:themeColor="accent1"/>
      </w:pBdr>
      <w:spacing w:before="360" w:after="360"/>
      <w:ind w:left="864" w:right="864"/>
      <w:jc w:val="center"/>
    </w:pPr>
    <w:rPr>
      <w:i/>
      <w:color w:val="4472C4" w:themeColor="accent1"/>
    </w:rPr>
  </w:style>
  <w:style w:type="character" w:customStyle="1" w:styleId="IntenseQuoteChar">
    <w:name w:val="Intense Quote Char"/>
    <w:basedOn w:val="DefaultParagraphFont"/>
    <w:link w:val="IntenseQuote"/>
    <w:uiPriority w:val="30"/>
    <w:rsid w:val="00797973"/>
    <w:rPr>
      <w:rFonts w:ascii="Times New Roman" w:eastAsia="Times New Roman" w:hAnsi="Times New Roman" w:cs="Times New Roman"/>
      <w:i/>
      <w:color w:val="4472C4" w:themeColor="accent1"/>
      <w:kern w:val="0"/>
      <w:sz w:val="24"/>
      <w14:ligatures w14:val="none"/>
    </w:rPr>
  </w:style>
  <w:style w:type="character" w:customStyle="1" w:styleId="FootnoteCharacters">
    <w:name w:val="Footnote Characters"/>
    <w:rsid w:val="00797973"/>
    <w:rPr>
      <w:vertAlign w:val="superscript"/>
    </w:rPr>
  </w:style>
  <w:style w:type="paragraph" w:customStyle="1" w:styleId="Paragrafoelenco1">
    <w:name w:val="Paragrafo elenco1"/>
    <w:basedOn w:val="Normal"/>
    <w:rsid w:val="00797973"/>
    <w:pPr>
      <w:spacing w:after="160" w:line="254" w:lineRule="auto"/>
      <w:ind w:left="720"/>
      <w:contextualSpacing/>
    </w:pPr>
    <w:rPr>
      <w:color w:val="00000A"/>
      <w:kern w:val="1"/>
      <w:sz w:val="20"/>
    </w:rPr>
  </w:style>
  <w:style w:type="paragraph" w:styleId="NormalWeb">
    <w:name w:val="Normal (Web)"/>
    <w:basedOn w:val="Normal"/>
    <w:uiPriority w:val="99"/>
    <w:unhideWhenUsed/>
    <w:rsid w:val="00797973"/>
    <w:pPr>
      <w:spacing w:before="100" w:beforeAutospacing="1" w:after="100" w:afterAutospacing="1"/>
    </w:pPr>
  </w:style>
  <w:style w:type="character" w:customStyle="1" w:styleId="normaltextrun1">
    <w:name w:val="normaltextrun1"/>
    <w:basedOn w:val="DefaultParagraphFont"/>
    <w:rsid w:val="00797973"/>
  </w:style>
  <w:style w:type="numbering" w:customStyle="1" w:styleId="Stileimportato9">
    <w:name w:val="Stile importato 9"/>
    <w:rsid w:val="00797973"/>
    <w:pPr>
      <w:numPr>
        <w:numId w:val="22"/>
      </w:numPr>
    </w:pPr>
  </w:style>
  <w:style w:type="character" w:customStyle="1" w:styleId="Hyperlink0">
    <w:name w:val="Hyperlink.0"/>
    <w:rsid w:val="00797973"/>
  </w:style>
  <w:style w:type="paragraph" w:customStyle="1" w:styleId="Descriptiontext">
    <w:name w:val="Description text"/>
    <w:basedOn w:val="Normal"/>
    <w:link w:val="DescriptiontextChar"/>
    <w:qFormat/>
    <w:rsid w:val="00797973"/>
    <w:pPr>
      <w:spacing w:before="120" w:after="120"/>
      <w:ind w:left="709"/>
      <w:jc w:val="both"/>
    </w:pPr>
  </w:style>
  <w:style w:type="paragraph" w:customStyle="1" w:styleId="Descriptiontitle">
    <w:name w:val="Description title"/>
    <w:basedOn w:val="Descriptiontext"/>
    <w:link w:val="DescriptiontitleChar"/>
    <w:rsid w:val="00797973"/>
  </w:style>
  <w:style w:type="character" w:customStyle="1" w:styleId="DescriptiontextChar">
    <w:name w:val="Description text Char"/>
    <w:basedOn w:val="DefaultParagraphFont"/>
    <w:link w:val="Descriptiontext"/>
    <w:rsid w:val="00797973"/>
    <w:rPr>
      <w:rFonts w:ascii="Times New Roman" w:eastAsia="Times New Roman" w:hAnsi="Times New Roman" w:cs="Times New Roman"/>
      <w:kern w:val="0"/>
      <w:sz w:val="24"/>
      <w14:ligatures w14:val="none"/>
    </w:rPr>
  </w:style>
  <w:style w:type="character" w:customStyle="1" w:styleId="DescriptiontitleChar">
    <w:name w:val="Description title Char"/>
    <w:basedOn w:val="DescriptiontextChar"/>
    <w:link w:val="Descriptiontitle"/>
    <w:rsid w:val="00797973"/>
    <w:rPr>
      <w:rFonts w:ascii="Times New Roman" w:eastAsia="Times New Roman" w:hAnsi="Times New Roman" w:cs="Times New Roman"/>
      <w:kern w:val="0"/>
      <w:sz w:val="24"/>
      <w14:ligatures w14:val="none"/>
    </w:rPr>
  </w:style>
  <w:style w:type="paragraph" w:customStyle="1" w:styleId="Axistitle">
    <w:name w:val="Axis title"/>
    <w:basedOn w:val="Normal"/>
    <w:link w:val="AxistitleChar"/>
    <w:qFormat/>
    <w:rsid w:val="00797973"/>
    <w:pPr>
      <w:spacing w:before="320" w:after="240"/>
      <w:ind w:left="709"/>
      <w:jc w:val="both"/>
    </w:pPr>
    <w:rPr>
      <w:i/>
    </w:rPr>
  </w:style>
  <w:style w:type="character" w:customStyle="1" w:styleId="AxistitleChar">
    <w:name w:val="Axis title Char"/>
    <w:basedOn w:val="DefaultParagraphFont"/>
    <w:link w:val="Axistitle"/>
    <w:rsid w:val="00797973"/>
    <w:rPr>
      <w:rFonts w:ascii="Times New Roman" w:eastAsia="Times New Roman" w:hAnsi="Times New Roman" w:cs="Times New Roman"/>
      <w:i/>
      <w:kern w:val="0"/>
      <w:sz w:val="24"/>
      <w14:ligatures w14:val="none"/>
    </w:rPr>
  </w:style>
  <w:style w:type="character" w:customStyle="1" w:styleId="Mention1">
    <w:name w:val="Mention1"/>
    <w:basedOn w:val="DefaultParagraphFont"/>
    <w:uiPriority w:val="99"/>
    <w:unhideWhenUsed/>
    <w:rsid w:val="00797973"/>
    <w:rPr>
      <w:color w:val="2B579A"/>
      <w:shd w:val="clear" w:color="auto" w:fill="E6E6E6"/>
    </w:rPr>
  </w:style>
  <w:style w:type="character" w:customStyle="1" w:styleId="superscript">
    <w:name w:val="superscript"/>
    <w:basedOn w:val="DefaultParagraphFont"/>
    <w:rsid w:val="00797973"/>
  </w:style>
  <w:style w:type="paragraph" w:styleId="ListNumber4">
    <w:name w:val="List Number 4"/>
    <w:basedOn w:val="Normal"/>
    <w:uiPriority w:val="99"/>
    <w:semiHidden/>
    <w:unhideWhenUsed/>
    <w:rsid w:val="00797973"/>
    <w:pPr>
      <w:numPr>
        <w:numId w:val="23"/>
      </w:numPr>
      <w:tabs>
        <w:tab w:val="num" w:pos="360"/>
      </w:tabs>
      <w:spacing w:before="120" w:after="120"/>
      <w:ind w:left="720"/>
      <w:contextualSpacing/>
      <w:jc w:val="both"/>
    </w:pPr>
    <w:rPr>
      <w:rFonts w:eastAsiaTheme="minorHAnsi"/>
    </w:rPr>
  </w:style>
  <w:style w:type="numbering" w:customStyle="1" w:styleId="NoList2">
    <w:name w:val="No List2"/>
    <w:next w:val="NoList"/>
    <w:uiPriority w:val="99"/>
    <w:semiHidden/>
    <w:unhideWhenUsed/>
    <w:rsid w:val="00797973"/>
  </w:style>
  <w:style w:type="paragraph" w:styleId="Caption">
    <w:name w:val="caption"/>
    <w:basedOn w:val="Normal"/>
    <w:next w:val="Normal"/>
    <w:uiPriority w:val="35"/>
    <w:semiHidden/>
    <w:unhideWhenUsed/>
    <w:qFormat/>
    <w:rsid w:val="00797973"/>
    <w:pPr>
      <w:spacing w:after="200"/>
      <w:jc w:val="both"/>
    </w:pPr>
    <w:rPr>
      <w:rFonts w:eastAsiaTheme="minorHAnsi"/>
      <w:i/>
      <w:color w:val="44546A" w:themeColor="text2"/>
      <w:sz w:val="18"/>
    </w:rPr>
  </w:style>
  <w:style w:type="paragraph" w:styleId="TableofFigures">
    <w:name w:val="table of figures"/>
    <w:basedOn w:val="Normal"/>
    <w:next w:val="Normal"/>
    <w:uiPriority w:val="99"/>
    <w:semiHidden/>
    <w:unhideWhenUsed/>
    <w:rsid w:val="00797973"/>
    <w:pPr>
      <w:spacing w:before="120"/>
      <w:jc w:val="both"/>
    </w:pPr>
    <w:rPr>
      <w:rFonts w:eastAsiaTheme="minorHAnsi"/>
    </w:rPr>
  </w:style>
  <w:style w:type="paragraph" w:styleId="ListNumber">
    <w:name w:val="List Number"/>
    <w:basedOn w:val="Normal"/>
    <w:uiPriority w:val="99"/>
    <w:semiHidden/>
    <w:unhideWhenUsed/>
    <w:rsid w:val="00797973"/>
    <w:pPr>
      <w:numPr>
        <w:numId w:val="24"/>
      </w:numPr>
      <w:spacing w:before="120" w:after="120"/>
      <w:ind w:left="0" w:firstLine="0"/>
      <w:contextualSpacing/>
      <w:jc w:val="both"/>
    </w:pPr>
    <w:rPr>
      <w:rFonts w:eastAsiaTheme="minorHAnsi"/>
    </w:rPr>
  </w:style>
  <w:style w:type="paragraph" w:styleId="ListNumber2">
    <w:name w:val="List Number 2"/>
    <w:basedOn w:val="Normal"/>
    <w:uiPriority w:val="99"/>
    <w:semiHidden/>
    <w:unhideWhenUsed/>
    <w:rsid w:val="00797973"/>
    <w:pPr>
      <w:numPr>
        <w:numId w:val="25"/>
      </w:numPr>
      <w:tabs>
        <w:tab w:val="num" w:pos="360"/>
      </w:tabs>
      <w:spacing w:before="120" w:after="120"/>
      <w:ind w:left="0" w:firstLine="0"/>
      <w:contextualSpacing/>
      <w:jc w:val="both"/>
    </w:pPr>
    <w:rPr>
      <w:rFonts w:eastAsiaTheme="minorHAnsi"/>
    </w:rPr>
  </w:style>
  <w:style w:type="paragraph" w:styleId="ListNumber3">
    <w:name w:val="List Number 3"/>
    <w:basedOn w:val="Normal"/>
    <w:uiPriority w:val="99"/>
    <w:semiHidden/>
    <w:unhideWhenUsed/>
    <w:rsid w:val="00797973"/>
    <w:pPr>
      <w:numPr>
        <w:numId w:val="26"/>
      </w:numPr>
      <w:spacing w:before="120" w:after="120"/>
      <w:ind w:left="0" w:firstLine="0"/>
      <w:contextualSpacing/>
      <w:jc w:val="both"/>
    </w:pPr>
    <w:rPr>
      <w:rFonts w:eastAsiaTheme="minorHAnsi"/>
    </w:rPr>
  </w:style>
  <w:style w:type="character" w:customStyle="1" w:styleId="Mention2">
    <w:name w:val="Mention2"/>
    <w:basedOn w:val="DefaultParagraphFont"/>
    <w:uiPriority w:val="99"/>
    <w:unhideWhenUsed/>
    <w:rsid w:val="00797973"/>
    <w:rPr>
      <w:color w:val="2B579A"/>
      <w:shd w:val="clear" w:color="auto" w:fill="E6E6E6"/>
    </w:rPr>
  </w:style>
  <w:style w:type="paragraph" w:customStyle="1" w:styleId="TechnicalBlock">
    <w:name w:val="Technical Block"/>
    <w:basedOn w:val="Normal"/>
    <w:link w:val="TechnicalBlockChar"/>
    <w:rsid w:val="00797973"/>
    <w:pPr>
      <w:spacing w:after="240"/>
      <w:jc w:val="center"/>
      <w:textAlignment w:val="baseline"/>
    </w:pPr>
  </w:style>
  <w:style w:type="character" w:customStyle="1" w:styleId="TechnicalBlockChar">
    <w:name w:val="Technical Block Char"/>
    <w:basedOn w:val="DefaultParagraphFont"/>
    <w:link w:val="TechnicalBlock"/>
    <w:rsid w:val="00797973"/>
    <w:rPr>
      <w:rFonts w:ascii="Times New Roman" w:eastAsia="Times New Roman" w:hAnsi="Times New Roman" w:cs="Times New Roman"/>
      <w:kern w:val="0"/>
      <w:sz w:val="24"/>
      <w14:ligatures w14:val="none"/>
    </w:rPr>
  </w:style>
  <w:style w:type="paragraph" w:customStyle="1" w:styleId="EntText">
    <w:name w:val="EntText"/>
    <w:basedOn w:val="Normal"/>
    <w:rsid w:val="00797973"/>
    <w:pPr>
      <w:spacing w:before="120" w:after="120" w:line="360" w:lineRule="auto"/>
    </w:pPr>
    <w:rPr>
      <w:rFonts w:eastAsiaTheme="minorHAnsi"/>
    </w:rPr>
  </w:style>
  <w:style w:type="paragraph" w:customStyle="1" w:styleId="Lignefinal">
    <w:name w:val="Ligne final"/>
    <w:basedOn w:val="Normal"/>
    <w:next w:val="Normal"/>
    <w:rsid w:val="00797973"/>
    <w:pPr>
      <w:pBdr>
        <w:bottom w:val="single" w:sz="4" w:space="0" w:color="000000"/>
      </w:pBdr>
      <w:spacing w:before="360" w:after="120" w:line="360" w:lineRule="auto"/>
      <w:ind w:left="3400" w:right="3400"/>
      <w:jc w:val="center"/>
    </w:pPr>
    <w:rPr>
      <w:rFonts w:eastAsiaTheme="minorHAnsi"/>
      <w:b/>
    </w:rPr>
  </w:style>
  <w:style w:type="paragraph" w:customStyle="1" w:styleId="pj">
    <w:name w:val="p.j."/>
    <w:basedOn w:val="Normal"/>
    <w:link w:val="pjChar"/>
    <w:rsid w:val="00797973"/>
    <w:pPr>
      <w:spacing w:before="1200" w:after="120"/>
      <w:ind w:left="1440" w:hanging="1440"/>
    </w:pPr>
  </w:style>
  <w:style w:type="character" w:customStyle="1" w:styleId="pjChar">
    <w:name w:val="p.j. Char"/>
    <w:basedOn w:val="DefaultParagraphFont"/>
    <w:link w:val="pj"/>
    <w:rsid w:val="00797973"/>
    <w:rPr>
      <w:rFonts w:ascii="Times New Roman" w:eastAsia="Times New Roman" w:hAnsi="Times New Roman" w:cs="Times New Roman"/>
      <w:kern w:val="0"/>
      <w:sz w:val="24"/>
      <w14:ligatures w14:val="none"/>
    </w:rPr>
  </w:style>
  <w:style w:type="paragraph" w:customStyle="1" w:styleId="nbbordered">
    <w:name w:val="nb bordered"/>
    <w:basedOn w:val="Normal"/>
    <w:link w:val="nbborderedChar"/>
    <w:rsid w:val="00797973"/>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b/>
    </w:rPr>
  </w:style>
  <w:style w:type="character" w:customStyle="1" w:styleId="nbborderedChar">
    <w:name w:val="nb bordered Char"/>
    <w:basedOn w:val="DefaultParagraphFont"/>
    <w:link w:val="nbbordered"/>
    <w:rsid w:val="00797973"/>
    <w:rPr>
      <w:rFonts w:ascii="Times New Roman" w:eastAsia="Times New Roman" w:hAnsi="Times New Roman" w:cs="Times New Roman"/>
      <w:b/>
      <w:kern w:val="0"/>
      <w:sz w:val="24"/>
      <w14:ligatures w14:val="none"/>
    </w:rPr>
  </w:style>
  <w:style w:type="paragraph" w:customStyle="1" w:styleId="HeaderCouncil">
    <w:name w:val="Header Council"/>
    <w:basedOn w:val="Normal"/>
    <w:link w:val="HeaderCouncilChar"/>
    <w:rsid w:val="00797973"/>
    <w:rPr>
      <w:sz w:val="2"/>
    </w:rPr>
  </w:style>
  <w:style w:type="character" w:customStyle="1" w:styleId="HeaderCouncilChar">
    <w:name w:val="Header Council Char"/>
    <w:basedOn w:val="DefaultParagraphFont"/>
    <w:link w:val="HeaderCouncil"/>
    <w:rsid w:val="00797973"/>
    <w:rPr>
      <w:rFonts w:ascii="Times New Roman" w:eastAsia="Times New Roman" w:hAnsi="Times New Roman" w:cs="Times New Roman"/>
      <w:kern w:val="0"/>
      <w:sz w:val="2"/>
      <w14:ligatures w14:val="none"/>
    </w:rPr>
  </w:style>
  <w:style w:type="paragraph" w:customStyle="1" w:styleId="HeaderCouncilLarge">
    <w:name w:val="Header Council Large"/>
    <w:basedOn w:val="Normal"/>
    <w:link w:val="HeaderCouncilLargeChar"/>
    <w:rsid w:val="00797973"/>
    <w:pPr>
      <w:spacing w:after="440"/>
    </w:pPr>
    <w:rPr>
      <w:sz w:val="2"/>
    </w:rPr>
  </w:style>
  <w:style w:type="character" w:customStyle="1" w:styleId="HeaderCouncilLargeChar">
    <w:name w:val="Header Council Large Char"/>
    <w:basedOn w:val="DefaultParagraphFont"/>
    <w:link w:val="HeaderCouncilLarge"/>
    <w:rsid w:val="00797973"/>
    <w:rPr>
      <w:rFonts w:ascii="Times New Roman" w:eastAsia="Times New Roman" w:hAnsi="Times New Roman" w:cs="Times New Roman"/>
      <w:kern w:val="0"/>
      <w:sz w:val="2"/>
      <w14:ligatures w14:val="none"/>
    </w:rPr>
  </w:style>
  <w:style w:type="paragraph" w:customStyle="1" w:styleId="FooterCouncil">
    <w:name w:val="Footer Council"/>
    <w:basedOn w:val="Normal"/>
    <w:link w:val="FooterCouncilChar"/>
    <w:rsid w:val="00797973"/>
    <w:rPr>
      <w:sz w:val="2"/>
    </w:rPr>
  </w:style>
  <w:style w:type="character" w:customStyle="1" w:styleId="FooterCouncilChar">
    <w:name w:val="Footer Council Char"/>
    <w:basedOn w:val="DefaultParagraphFont"/>
    <w:link w:val="FooterCouncil"/>
    <w:rsid w:val="00797973"/>
    <w:rPr>
      <w:rFonts w:ascii="Times New Roman" w:eastAsia="Times New Roman" w:hAnsi="Times New Roman" w:cs="Times New Roman"/>
      <w:kern w:val="0"/>
      <w:sz w:val="2"/>
      <w14:ligatures w14:val="none"/>
    </w:rPr>
  </w:style>
  <w:style w:type="paragraph" w:customStyle="1" w:styleId="FooterText">
    <w:name w:val="Footer Text"/>
    <w:basedOn w:val="Normal"/>
    <w:rsid w:val="00797973"/>
  </w:style>
  <w:style w:type="character" w:styleId="PlaceholderText">
    <w:name w:val="Placeholder Text"/>
    <w:basedOn w:val="DefaultParagraphFont"/>
    <w:uiPriority w:val="99"/>
    <w:semiHidden/>
    <w:rsid w:val="00797973"/>
    <w:rPr>
      <w:color w:val="808080"/>
    </w:rPr>
  </w:style>
  <w:style w:type="character" w:customStyle="1" w:styleId="findhit">
    <w:name w:val="findhit"/>
    <w:basedOn w:val="DefaultParagraphFont"/>
    <w:rsid w:val="00797973"/>
  </w:style>
  <w:style w:type="character" w:customStyle="1" w:styleId="tabchar">
    <w:name w:val="tabchar"/>
    <w:basedOn w:val="DefaultParagraphFont"/>
    <w:rsid w:val="00797973"/>
  </w:style>
  <w:style w:type="paragraph" w:customStyle="1" w:styleId="pf0">
    <w:name w:val="pf0"/>
    <w:basedOn w:val="Normal"/>
    <w:rsid w:val="00797973"/>
    <w:pPr>
      <w:spacing w:before="100" w:beforeAutospacing="1" w:after="100" w:afterAutospacing="1"/>
    </w:pPr>
  </w:style>
  <w:style w:type="character" w:customStyle="1" w:styleId="cf01">
    <w:name w:val="cf01"/>
    <w:basedOn w:val="DefaultParagraphFont"/>
    <w:rsid w:val="00797973"/>
    <w:rPr>
      <w:rFonts w:ascii="Segoe UI" w:hAnsi="Segoe UI" w:cs="Segoe UI" w:hint="default"/>
      <w:b/>
      <w:sz w:val="18"/>
    </w:rPr>
  </w:style>
  <w:style w:type="character" w:customStyle="1" w:styleId="cf11">
    <w:name w:val="cf11"/>
    <w:basedOn w:val="DefaultParagraphFont"/>
    <w:rsid w:val="00797973"/>
    <w:rPr>
      <w:rFonts w:ascii="Segoe UI" w:hAnsi="Segoe UI" w:cs="Segoe UI" w:hint="default"/>
      <w:sz w:val="18"/>
    </w:rPr>
  </w:style>
  <w:style w:type="paragraph" w:customStyle="1" w:styleId="LegalNumPar">
    <w:name w:val="LegalNumPar"/>
    <w:basedOn w:val="Normal"/>
    <w:rsid w:val="00797973"/>
    <w:pPr>
      <w:numPr>
        <w:numId w:val="31"/>
      </w:numPr>
      <w:spacing w:after="160" w:line="259" w:lineRule="auto"/>
    </w:pPr>
    <w:rPr>
      <w:rFonts w:asciiTheme="minorHAnsi" w:eastAsiaTheme="minorHAnsi" w:hAnsiTheme="minorHAnsi" w:cstheme="minorBidi"/>
      <w:sz w:val="22"/>
    </w:rPr>
  </w:style>
  <w:style w:type="paragraph" w:customStyle="1" w:styleId="LegalNumPar2">
    <w:name w:val="LegalNumPar2"/>
    <w:basedOn w:val="Normal"/>
    <w:rsid w:val="00797973"/>
    <w:pPr>
      <w:numPr>
        <w:ilvl w:val="1"/>
        <w:numId w:val="31"/>
      </w:numPr>
      <w:spacing w:after="160" w:line="259" w:lineRule="auto"/>
    </w:pPr>
    <w:rPr>
      <w:rFonts w:asciiTheme="minorHAnsi" w:eastAsiaTheme="minorHAnsi" w:hAnsiTheme="minorHAnsi" w:cstheme="minorBidi"/>
      <w:sz w:val="22"/>
    </w:rPr>
  </w:style>
  <w:style w:type="paragraph" w:customStyle="1" w:styleId="LegalNumPar3">
    <w:name w:val="LegalNumPar3"/>
    <w:basedOn w:val="Normal"/>
    <w:rsid w:val="00797973"/>
    <w:pPr>
      <w:numPr>
        <w:ilvl w:val="2"/>
        <w:numId w:val="31"/>
      </w:numPr>
      <w:spacing w:after="160" w:line="259" w:lineRule="auto"/>
    </w:pPr>
    <w:rPr>
      <w:rFonts w:asciiTheme="minorHAnsi" w:eastAsiaTheme="minorHAnsi" w:hAnsiTheme="minorHAnsi" w:cstheme="minorBidi"/>
      <w:sz w:val="22"/>
    </w:rPr>
  </w:style>
  <w:style w:type="character" w:styleId="SubtleEmphasis">
    <w:name w:val="Subtle Emphasis"/>
    <w:basedOn w:val="DefaultParagraphFont"/>
    <w:uiPriority w:val="19"/>
    <w:qFormat/>
    <w:rsid w:val="00797973"/>
    <w:rPr>
      <w:i/>
      <w:color w:val="404040" w:themeColor="text1" w:themeTint="BF"/>
    </w:rPr>
  </w:style>
  <w:style w:type="character" w:customStyle="1" w:styleId="Mention3">
    <w:name w:val="Mention3"/>
    <w:basedOn w:val="DefaultParagraphFont"/>
    <w:uiPriority w:val="99"/>
    <w:unhideWhenUsed/>
    <w:rsid w:val="00797973"/>
    <w:rPr>
      <w:color w:val="2B579A"/>
      <w:shd w:val="clear" w:color="auto" w:fill="E6E6E6"/>
    </w:rPr>
  </w:style>
  <w:style w:type="character" w:customStyle="1" w:styleId="Mention4">
    <w:name w:val="Mention4"/>
    <w:basedOn w:val="DefaultParagraphFont"/>
    <w:uiPriority w:val="99"/>
    <w:unhideWhenUsed/>
    <w:rsid w:val="00797973"/>
    <w:rPr>
      <w:color w:val="2B579A"/>
      <w:shd w:val="clear" w:color="auto" w:fill="E6E6E6"/>
    </w:rPr>
  </w:style>
  <w:style w:type="character" w:customStyle="1" w:styleId="ui-provider">
    <w:name w:val="ui-provider"/>
    <w:basedOn w:val="DefaultParagraphFont"/>
    <w:uiPriority w:val="1"/>
    <w:rsid w:val="00797973"/>
  </w:style>
  <w:style w:type="character" w:customStyle="1" w:styleId="UnresolvedMention1">
    <w:name w:val="Unresolved Mention1"/>
    <w:basedOn w:val="DefaultParagraphFont"/>
    <w:uiPriority w:val="99"/>
    <w:semiHidden/>
    <w:unhideWhenUsed/>
    <w:rsid w:val="00797973"/>
    <w:rPr>
      <w:color w:val="605E5C"/>
      <w:shd w:val="clear" w:color="auto" w:fill="E1DFDD"/>
    </w:rPr>
  </w:style>
  <w:style w:type="paragraph" w:customStyle="1" w:styleId="P68B1DB1-Normale1">
    <w:name w:val="P68B1DB1-Normale1"/>
    <w:basedOn w:val="Normal"/>
    <w:rsid w:val="00797973"/>
    <w:pPr>
      <w:spacing w:after="160" w:line="259" w:lineRule="auto"/>
    </w:pPr>
    <w:rPr>
      <w:rFonts w:ascii="Calibri" w:eastAsia="Calibri" w:hAnsi="Calibri" w:cs="Calibri"/>
      <w:b/>
      <w:sz w:val="22"/>
    </w:rPr>
  </w:style>
  <w:style w:type="paragraph" w:customStyle="1" w:styleId="P68B1DB1-Normale6">
    <w:name w:val="P68B1DB1-Normale6"/>
    <w:basedOn w:val="Normal"/>
    <w:rsid w:val="00797973"/>
    <w:pPr>
      <w:spacing w:after="160" w:line="259" w:lineRule="auto"/>
    </w:pPr>
    <w:rPr>
      <w:rFonts w:eastAsia="Calibri"/>
      <w:sz w:val="20"/>
    </w:rPr>
  </w:style>
  <w:style w:type="character" w:customStyle="1" w:styleId="s10">
    <w:name w:val="s10"/>
    <w:basedOn w:val="DefaultParagraphFont"/>
    <w:rsid w:val="00797973"/>
  </w:style>
  <w:style w:type="character" w:customStyle="1" w:styleId="Mention5">
    <w:name w:val="Mention5"/>
    <w:basedOn w:val="DefaultParagraphFont"/>
    <w:uiPriority w:val="99"/>
    <w:unhideWhenUsed/>
    <w:rsid w:val="00797973"/>
    <w:rPr>
      <w:color w:val="2B579A"/>
      <w:shd w:val="clear" w:color="auto" w:fill="E1DFDD"/>
    </w:rPr>
  </w:style>
  <w:style w:type="character" w:customStyle="1" w:styleId="UnresolvedMention2">
    <w:name w:val="Unresolved Mention2"/>
    <w:basedOn w:val="DefaultParagraphFont"/>
    <w:uiPriority w:val="99"/>
    <w:semiHidden/>
    <w:unhideWhenUsed/>
    <w:rsid w:val="00797973"/>
    <w:rPr>
      <w:color w:val="605E5C"/>
      <w:shd w:val="clear" w:color="auto" w:fill="E1DFDD"/>
    </w:rPr>
  </w:style>
  <w:style w:type="character" w:customStyle="1" w:styleId="font71">
    <w:name w:val="font71"/>
    <w:basedOn w:val="DefaultParagraphFont"/>
    <w:rsid w:val="00797973"/>
    <w:rPr>
      <w:rFonts w:ascii="Times New Roman" w:hAnsi="Times New Roman" w:cs="Times New Roman" w:hint="default"/>
      <w:b w:val="0"/>
      <w:i w:val="0"/>
      <w:strike w:val="0"/>
      <w:dstrike w:val="0"/>
      <w:color w:val="000000"/>
      <w:sz w:val="20"/>
      <w:u w:val="none"/>
      <w:effect w:val="none"/>
    </w:rPr>
  </w:style>
  <w:style w:type="character" w:customStyle="1" w:styleId="font81">
    <w:name w:val="font81"/>
    <w:basedOn w:val="DefaultParagraphFont"/>
    <w:rsid w:val="00797973"/>
    <w:rPr>
      <w:rFonts w:ascii="Times New Roman" w:hAnsi="Times New Roman" w:cs="Times New Roman" w:hint="default"/>
      <w:b w:val="0"/>
      <w:i w:val="0"/>
      <w:strike w:val="0"/>
      <w:dstrike w:val="0"/>
      <w:color w:val="006100"/>
      <w:sz w:val="20"/>
      <w:u w:val="none"/>
      <w:effect w:val="none"/>
    </w:rPr>
  </w:style>
  <w:style w:type="character" w:customStyle="1" w:styleId="font111">
    <w:name w:val="font111"/>
    <w:basedOn w:val="DefaultParagraphFont"/>
    <w:rsid w:val="00797973"/>
    <w:rPr>
      <w:rFonts w:ascii="Times New Roman" w:hAnsi="Times New Roman" w:cs="Times New Roman" w:hint="default"/>
      <w:b w:val="0"/>
      <w:i w:val="0"/>
      <w:strike w:val="0"/>
      <w:dstrike w:val="0"/>
      <w:color w:val="006100"/>
      <w:sz w:val="20"/>
      <w:u w:val="none"/>
      <w:effect w:val="none"/>
    </w:rPr>
  </w:style>
  <w:style w:type="paragraph" w:customStyle="1" w:styleId="Default">
    <w:name w:val="Default"/>
    <w:rsid w:val="00797973"/>
    <w:pPr>
      <w:autoSpaceDE w:val="0"/>
      <w:autoSpaceDN w:val="0"/>
      <w:adjustRightInd w:val="0"/>
      <w:spacing w:after="0" w:line="240" w:lineRule="auto"/>
    </w:pPr>
    <w:rPr>
      <w:rFonts w:ascii="Times New Roman" w:hAnsi="Times New Roman" w:cs="Times New Roman"/>
      <w:color w:val="000000"/>
      <w:kern w:val="0"/>
      <w:sz w:val="24"/>
      <w14:ligatures w14:val="none"/>
    </w:rPr>
  </w:style>
  <w:style w:type="character" w:customStyle="1" w:styleId="Mention6">
    <w:name w:val="Mention6"/>
    <w:basedOn w:val="DefaultParagraphFont"/>
    <w:uiPriority w:val="99"/>
    <w:unhideWhenUsed/>
    <w:rsid w:val="00797973"/>
    <w:rPr>
      <w:color w:val="2B579A"/>
      <w:shd w:val="clear" w:color="auto" w:fill="E6E6E6"/>
    </w:rPr>
  </w:style>
  <w:style w:type="character" w:styleId="FollowedHyperlink">
    <w:name w:val="FollowedHyperlink"/>
    <w:basedOn w:val="DefaultParagraphFont"/>
    <w:uiPriority w:val="99"/>
    <w:semiHidden/>
    <w:unhideWhenUsed/>
    <w:rsid w:val="00797973"/>
    <w:rPr>
      <w:color w:val="954F72" w:themeColor="followedHyperlink"/>
      <w:u w:val="single"/>
    </w:rPr>
  </w:style>
  <w:style w:type="character" w:customStyle="1" w:styleId="Mention7">
    <w:name w:val="Mention7"/>
    <w:basedOn w:val="DefaultParagraphFont"/>
    <w:uiPriority w:val="99"/>
    <w:unhideWhenUsed/>
    <w:rsid w:val="00797973"/>
    <w:rPr>
      <w:color w:val="2B579A"/>
      <w:shd w:val="clear" w:color="auto" w:fill="E6E6E6"/>
    </w:rPr>
  </w:style>
  <w:style w:type="character" w:customStyle="1" w:styleId="Mention">
    <w:name w:val="Mention"/>
    <w:basedOn w:val="DefaultParagraphFont"/>
    <w:uiPriority w:val="99"/>
    <w:unhideWhenUsed/>
    <w:rsid w:val="00797973"/>
    <w:rPr>
      <w:color w:val="2B579A"/>
      <w:shd w:val="clear" w:color="auto" w:fill="E1DFDD"/>
    </w:rPr>
  </w:style>
  <w:style w:type="character" w:customStyle="1" w:styleId="Mention9">
    <w:name w:val="Mention9"/>
    <w:basedOn w:val="DefaultParagraphFont"/>
    <w:uiPriority w:val="99"/>
    <w:unhideWhenUsed/>
    <w:rsid w:val="00797973"/>
    <w:rPr>
      <w:color w:val="2B579A"/>
      <w:shd w:val="clear" w:color="auto" w:fill="E1DFDD"/>
    </w:rPr>
  </w:style>
  <w:style w:type="character" w:customStyle="1" w:styleId="UnresolvedMention">
    <w:name w:val="Unresolved Mention"/>
    <w:basedOn w:val="DefaultParagraphFont"/>
    <w:uiPriority w:val="99"/>
    <w:semiHidden/>
    <w:unhideWhenUsed/>
    <w:rsid w:val="00797973"/>
    <w:rPr>
      <w:color w:val="605E5C"/>
      <w:shd w:val="clear" w:color="auto" w:fill="E1DFDD"/>
    </w:rPr>
  </w:style>
  <w:style w:type="character" w:customStyle="1" w:styleId="Heading5Char">
    <w:name w:val="Heading 5 Char"/>
    <w:basedOn w:val="DefaultParagraphFont"/>
    <w:link w:val="Heading5"/>
    <w:uiPriority w:val="9"/>
    <w:rsid w:val="003370EB"/>
    <w:rPr>
      <w:rFonts w:eastAsiaTheme="majorEastAsia" w:cstheme="majorBidi"/>
      <w:color w:val="2F5496" w:themeColor="accent1" w:themeShade="BF"/>
      <w:kern w:val="0"/>
      <w:sz w:val="24"/>
      <w14:ligatures w14:val="none"/>
    </w:rPr>
  </w:style>
  <w:style w:type="character" w:customStyle="1" w:styleId="Heading6Char">
    <w:name w:val="Heading 6 Char"/>
    <w:basedOn w:val="DefaultParagraphFont"/>
    <w:link w:val="Heading6"/>
    <w:uiPriority w:val="9"/>
    <w:rsid w:val="003370EB"/>
    <w:rPr>
      <w:rFonts w:eastAsiaTheme="majorEastAsia" w:cstheme="majorBidi"/>
      <w:i/>
      <w:color w:val="595959" w:themeColor="text1" w:themeTint="A6"/>
      <w:kern w:val="0"/>
      <w:sz w:val="24"/>
      <w14:ligatures w14:val="none"/>
    </w:rPr>
  </w:style>
  <w:style w:type="character" w:customStyle="1" w:styleId="Heading7Char">
    <w:name w:val="Heading 7 Char"/>
    <w:basedOn w:val="DefaultParagraphFont"/>
    <w:link w:val="Heading7"/>
    <w:uiPriority w:val="9"/>
    <w:rsid w:val="003370EB"/>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rsid w:val="003370EB"/>
    <w:rPr>
      <w:rFonts w:eastAsiaTheme="majorEastAsia" w:cstheme="majorBidi"/>
      <w:i/>
      <w:color w:val="272727" w:themeColor="text1" w:themeTint="D8"/>
      <w:kern w:val="0"/>
      <w:sz w:val="24"/>
      <w14:ligatures w14:val="none"/>
    </w:rPr>
  </w:style>
  <w:style w:type="character" w:customStyle="1" w:styleId="Heading9Char">
    <w:name w:val="Heading 9 Char"/>
    <w:basedOn w:val="DefaultParagraphFont"/>
    <w:link w:val="Heading9"/>
    <w:uiPriority w:val="9"/>
    <w:rsid w:val="003370EB"/>
    <w:rPr>
      <w:rFonts w:eastAsiaTheme="majorEastAsia" w:cstheme="majorBidi"/>
      <w:color w:val="272727" w:themeColor="text1" w:themeTint="D8"/>
      <w:kern w:val="0"/>
      <w:sz w:val="24"/>
      <w14:ligatures w14:val="none"/>
    </w:rPr>
  </w:style>
  <w:style w:type="character" w:customStyle="1" w:styleId="TitleChar">
    <w:name w:val="Title Char"/>
    <w:basedOn w:val="DefaultParagraphFont"/>
    <w:link w:val="Title"/>
    <w:uiPriority w:val="10"/>
    <w:rsid w:val="003370EB"/>
    <w:rPr>
      <w:rFonts w:asciiTheme="majorHAnsi" w:eastAsiaTheme="majorEastAsia" w:hAnsiTheme="majorHAnsi" w:cstheme="majorBidi"/>
      <w:kern w:val="28"/>
      <w:sz w:val="56"/>
    </w:rPr>
  </w:style>
  <w:style w:type="paragraph" w:styleId="Title">
    <w:name w:val="Title"/>
    <w:basedOn w:val="Normal"/>
    <w:next w:val="Normal"/>
    <w:link w:val="TitleChar"/>
    <w:uiPriority w:val="10"/>
    <w:qFormat/>
    <w:rsid w:val="003370EB"/>
    <w:pPr>
      <w:spacing w:after="80"/>
      <w:contextualSpacing/>
    </w:pPr>
    <w:rPr>
      <w:rFonts w:asciiTheme="majorHAnsi" w:eastAsiaTheme="majorEastAsia" w:hAnsiTheme="majorHAnsi" w:cstheme="majorBidi"/>
      <w:kern w:val="28"/>
      <w:sz w:val="56"/>
      <w14:ligatures w14:val="standardContextual"/>
    </w:rPr>
  </w:style>
  <w:style w:type="character" w:customStyle="1" w:styleId="TitleChar1">
    <w:name w:val="Title Char1"/>
    <w:basedOn w:val="DefaultParagraphFont"/>
    <w:uiPriority w:val="10"/>
    <w:rsid w:val="003370EB"/>
    <w:rPr>
      <w:rFonts w:asciiTheme="majorHAnsi" w:eastAsiaTheme="majorEastAsia" w:hAnsiTheme="majorHAnsi" w:cstheme="majorBidi"/>
      <w:kern w:val="28"/>
      <w:sz w:val="56"/>
      <w14:ligatures w14:val="none"/>
    </w:rPr>
  </w:style>
  <w:style w:type="character" w:customStyle="1" w:styleId="SubtitleChar">
    <w:name w:val="Subtitle Char"/>
    <w:basedOn w:val="DefaultParagraphFont"/>
    <w:link w:val="Subtitle"/>
    <w:uiPriority w:val="11"/>
    <w:rsid w:val="003370EB"/>
    <w:rPr>
      <w:rFonts w:eastAsiaTheme="majorEastAsia" w:cstheme="majorBidi"/>
      <w:color w:val="595959" w:themeColor="text1" w:themeTint="A6"/>
      <w:sz w:val="28"/>
    </w:rPr>
  </w:style>
  <w:style w:type="paragraph" w:styleId="Subtitle">
    <w:name w:val="Subtitle"/>
    <w:basedOn w:val="Normal"/>
    <w:next w:val="Normal"/>
    <w:link w:val="SubtitleChar"/>
    <w:uiPriority w:val="11"/>
    <w:qFormat/>
    <w:rsid w:val="003370EB"/>
    <w:pPr>
      <w:numPr>
        <w:ilvl w:val="1"/>
      </w:numPr>
      <w:spacing w:after="160" w:line="279" w:lineRule="auto"/>
    </w:pPr>
    <w:rPr>
      <w:rFonts w:asciiTheme="minorHAnsi" w:eastAsiaTheme="majorEastAsia" w:hAnsiTheme="minorHAnsi" w:cstheme="majorBidi"/>
      <w:color w:val="595959" w:themeColor="text1" w:themeTint="A6"/>
      <w:kern w:val="2"/>
      <w:sz w:val="28"/>
      <w14:ligatures w14:val="standardContextual"/>
    </w:rPr>
  </w:style>
  <w:style w:type="character" w:customStyle="1" w:styleId="SubtitleChar1">
    <w:name w:val="Subtitle Char1"/>
    <w:basedOn w:val="DefaultParagraphFont"/>
    <w:uiPriority w:val="11"/>
    <w:rsid w:val="003370EB"/>
    <w:rPr>
      <w:rFonts w:eastAsiaTheme="minorEastAsia"/>
      <w:color w:val="5A5A5A" w:themeColor="text1" w:themeTint="A5"/>
      <w:kern w:val="0"/>
      <w14:ligatures w14:val="none"/>
    </w:rPr>
  </w:style>
  <w:style w:type="character" w:customStyle="1" w:styleId="QuoteChar">
    <w:name w:val="Quote Char"/>
    <w:basedOn w:val="DefaultParagraphFont"/>
    <w:link w:val="Quote"/>
    <w:uiPriority w:val="29"/>
    <w:rsid w:val="003370EB"/>
    <w:rPr>
      <w:i/>
      <w:color w:val="404040" w:themeColor="text1" w:themeTint="BF"/>
    </w:rPr>
  </w:style>
  <w:style w:type="paragraph" w:styleId="Quote">
    <w:name w:val="Quote"/>
    <w:basedOn w:val="Normal"/>
    <w:next w:val="Normal"/>
    <w:link w:val="QuoteChar"/>
    <w:uiPriority w:val="29"/>
    <w:qFormat/>
    <w:rsid w:val="003370EB"/>
    <w:pPr>
      <w:spacing w:before="160" w:after="160" w:line="279" w:lineRule="auto"/>
      <w:jc w:val="center"/>
    </w:pPr>
    <w:rPr>
      <w:rFonts w:asciiTheme="minorHAnsi" w:eastAsiaTheme="minorHAnsi" w:hAnsiTheme="minorHAnsi" w:cstheme="minorBidi"/>
      <w:i/>
      <w:color w:val="404040" w:themeColor="text1" w:themeTint="BF"/>
      <w:kern w:val="2"/>
      <w:sz w:val="22"/>
      <w14:ligatures w14:val="standardContextual"/>
    </w:rPr>
  </w:style>
  <w:style w:type="character" w:customStyle="1" w:styleId="QuoteChar1">
    <w:name w:val="Quote Char1"/>
    <w:basedOn w:val="DefaultParagraphFont"/>
    <w:uiPriority w:val="29"/>
    <w:rsid w:val="003370EB"/>
    <w:rPr>
      <w:rFonts w:ascii="Times New Roman" w:eastAsia="Times New Roman" w:hAnsi="Times New Roman" w:cs="Times New Roman"/>
      <w:i/>
      <w:color w:val="404040" w:themeColor="text1" w:themeTint="BF"/>
      <w:kern w:val="0"/>
      <w:sz w:val="24"/>
      <w14:ligatures w14:val="none"/>
    </w:rPr>
  </w:style>
  <w:style w:type="character" w:styleId="IntenseReference">
    <w:name w:val="Intense Reference"/>
    <w:basedOn w:val="DefaultParagraphFont"/>
    <w:uiPriority w:val="32"/>
    <w:qFormat/>
    <w:rsid w:val="003370EB"/>
    <w:rPr>
      <w:b/>
      <w:smallCaps/>
      <w:color w:val="2F5496" w:themeColor="accent1" w:themeShade="BF"/>
    </w:rPr>
  </w:style>
  <w:style w:type="paragraph" w:customStyle="1" w:styleId="P68B1DB1-Heading11">
    <w:name w:val="P68B1DB1-Heading11"/>
    <w:basedOn w:val="Heading1"/>
    <w:rPr>
      <w:u w:val="single"/>
    </w:rPr>
  </w:style>
  <w:style w:type="paragraph" w:customStyle="1" w:styleId="P68B1DB1-Normal2">
    <w:name w:val="P68B1DB1-Normal2"/>
    <w:basedOn w:val="Normal"/>
    <w:rPr>
      <w:b/>
    </w:rPr>
  </w:style>
  <w:style w:type="paragraph" w:customStyle="1" w:styleId="P68B1DB1-Normal3">
    <w:name w:val="P68B1DB1-Normal3"/>
    <w:basedOn w:val="Normal"/>
    <w:rPr>
      <w:rFonts w:ascii="Arial Narrow" w:hAnsi="Arial Narrow"/>
      <w:b/>
      <w:sz w:val="20"/>
    </w:rPr>
  </w:style>
  <w:style w:type="paragraph" w:customStyle="1" w:styleId="P68B1DB1-Normal4">
    <w:name w:val="P68B1DB1-Normal4"/>
    <w:basedOn w:val="Normal"/>
    <w:rPr>
      <w:rFonts w:ascii="Arial Narrow" w:hAnsi="Arial Narrow"/>
      <w:color w:val="006100"/>
      <w:sz w:val="20"/>
    </w:rPr>
  </w:style>
  <w:style w:type="paragraph" w:customStyle="1" w:styleId="P68B1DB1-ListParagraph5">
    <w:name w:val="P68B1DB1-ListParagraph5"/>
    <w:basedOn w:val="ListParagraph"/>
    <w:rPr>
      <w:rFonts w:ascii="Arial Narrow" w:hAnsi="Arial Narrow"/>
      <w:color w:val="006100"/>
      <w:sz w:val="20"/>
    </w:rPr>
  </w:style>
  <w:style w:type="paragraph" w:customStyle="1" w:styleId="P68B1DB1-Normal6">
    <w:name w:val="P68B1DB1-Normal6"/>
    <w:basedOn w:val="Normal"/>
    <w:rPr>
      <w:rFonts w:ascii="Arial Narrow" w:hAnsi="Arial Narrow"/>
      <w:sz w:val="20"/>
    </w:rPr>
  </w:style>
  <w:style w:type="paragraph" w:customStyle="1" w:styleId="P68B1DB1-Normal7">
    <w:name w:val="P68B1DB1-Normal7"/>
    <w:basedOn w:val="Normal"/>
    <w:rPr>
      <w:rFonts w:asciiTheme="minorHAnsi" w:hAnsiTheme="minorHAnsi"/>
      <w:color w:val="006100"/>
      <w:sz w:val="20"/>
    </w:rPr>
  </w:style>
  <w:style w:type="paragraph" w:customStyle="1" w:styleId="P68B1DB1-Normal8">
    <w:name w:val="P68B1DB1-Normal8"/>
    <w:basedOn w:val="Normal"/>
    <w:rPr>
      <w:color w:val="006100"/>
      <w:sz w:val="20"/>
    </w:rPr>
  </w:style>
  <w:style w:type="paragraph" w:customStyle="1" w:styleId="P68B1DB1-Normal9">
    <w:name w:val="P68B1DB1-Normal9"/>
    <w:basedOn w:val="Normal"/>
    <w:rPr>
      <w:b/>
      <w:u w:val="single"/>
    </w:rPr>
  </w:style>
  <w:style w:type="paragraph" w:customStyle="1" w:styleId="P68B1DB1-Normal10">
    <w:name w:val="P68B1DB1-Normal10"/>
    <w:basedOn w:val="Normal"/>
    <w:rPr>
      <w:i/>
    </w:rPr>
  </w:style>
  <w:style w:type="paragraph" w:customStyle="1" w:styleId="P68B1DB1-Normal11">
    <w:name w:val="P68B1DB1-Normal11"/>
    <w:basedOn w:val="Normal"/>
    <w:rPr>
      <w:color w:val="000000" w:themeColor="text1"/>
    </w:rPr>
  </w:style>
  <w:style w:type="paragraph" w:customStyle="1" w:styleId="P68B1DB1-Normal12">
    <w:name w:val="P68B1DB1-Normal12"/>
    <w:basedOn w:val="Normal"/>
    <w:rPr>
      <w:i/>
      <w:u w:val="single"/>
    </w:rPr>
  </w:style>
  <w:style w:type="paragraph" w:customStyle="1" w:styleId="P68B1DB1-Normal13">
    <w:name w:val="P68B1DB1-Normal13"/>
    <w:basedOn w:val="Normal"/>
    <w:rPr>
      <w:sz w:val="12"/>
    </w:rPr>
  </w:style>
  <w:style w:type="paragraph" w:customStyle="1" w:styleId="P68B1DB1-Normal14">
    <w:name w:val="P68B1DB1-Normal14"/>
    <w:basedOn w:val="Normal"/>
    <w:rPr>
      <w:rFonts w:ascii="Arial Narrow" w:hAnsi="Arial Narrow"/>
    </w:rPr>
  </w:style>
  <w:style w:type="paragraph" w:customStyle="1" w:styleId="P68B1DB1-Normal15">
    <w:name w:val="P68B1DB1-Normal15"/>
    <w:basedOn w:val="Normal"/>
    <w:rPr>
      <w:rFonts w:ascii="Arial Narrow" w:hAnsi="Arial Narrow"/>
      <w:b/>
      <w:color w:val="006100"/>
      <w:sz w:val="20"/>
    </w:rPr>
  </w:style>
  <w:style w:type="paragraph" w:customStyle="1" w:styleId="P68B1DB1-Normal16">
    <w:name w:val="P68B1DB1-Normal16"/>
    <w:basedOn w:val="Normal"/>
    <w:rPr>
      <w:rFonts w:ascii="Arial Narrow" w:hAnsi="Arial Narrow"/>
      <w:color w:val="006100"/>
    </w:rPr>
  </w:style>
  <w:style w:type="paragraph" w:customStyle="1" w:styleId="P68B1DB1-Normal17">
    <w:name w:val="P68B1DB1-Normal17"/>
    <w:basedOn w:val="Normal"/>
    <w:rPr>
      <w:b/>
      <w:color w:val="000000" w:themeColor="text1"/>
    </w:rPr>
  </w:style>
  <w:style w:type="paragraph" w:customStyle="1" w:styleId="P68B1DB1-paragraph18">
    <w:name w:val="P68B1DB1-paragraph18"/>
    <w:basedOn w:val="paragraph"/>
    <w:rPr>
      <w:rFonts w:ascii="Arial Narrow" w:hAnsi="Arial Narrow"/>
      <w:color w:val="006100"/>
      <w:sz w:val="20"/>
    </w:rPr>
  </w:style>
  <w:style w:type="paragraph" w:customStyle="1" w:styleId="P68B1DB1-LegalNumPar19">
    <w:name w:val="P68B1DB1-LegalNumPar19"/>
    <w:basedOn w:val="LegalNumPar"/>
    <w:rPr>
      <w:rFonts w:ascii="Times New Roman" w:hAnsi="Times New Roman"/>
      <w:sz w:val="24"/>
    </w:rPr>
  </w:style>
  <w:style w:type="paragraph" w:customStyle="1" w:styleId="P68B1DB1-LegalNumPar220">
    <w:name w:val="P68B1DB1-LegalNumPar220"/>
    <w:basedOn w:val="LegalNumPar2"/>
    <w:rPr>
      <w:rFonts w:ascii="Times New Roman" w:hAnsi="Times New Roman"/>
      <w:sz w:val="24"/>
    </w:rPr>
  </w:style>
  <w:style w:type="paragraph" w:customStyle="1" w:styleId="P68B1DB1-Normal21">
    <w:name w:val="P68B1DB1-Normal21"/>
    <w:basedOn w:val="Normal"/>
    <w:rPr>
      <w:b/>
      <w:color w:val="000000"/>
      <w:shd w:val="clear" w:color="auto" w:fill="FFFFFF"/>
    </w:rPr>
  </w:style>
  <w:style w:type="paragraph" w:customStyle="1" w:styleId="P68B1DB1-Paragrafoelenco122">
    <w:name w:val="P68B1DB1-Paragrafoelenco122"/>
    <w:basedOn w:val="Paragrafoelenco1"/>
    <w:rPr>
      <w:color w:val="auto"/>
      <w:sz w:val="24"/>
    </w:rPr>
  </w:style>
  <w:style w:type="paragraph" w:customStyle="1" w:styleId="P68B1DB1-ListParagraph23">
    <w:name w:val="P68B1DB1-ListParagraph23"/>
    <w:basedOn w:val="ListParagraph"/>
    <w:rPr>
      <w:rFonts w:ascii="Arial Narrow" w:hAnsi="Arial Narrow"/>
      <w:sz w:val="20"/>
    </w:rPr>
  </w:style>
  <w:style w:type="paragraph" w:customStyle="1" w:styleId="P68B1DB1-Normal24">
    <w:name w:val="P68B1DB1-Normal24"/>
    <w:basedOn w:val="Normal"/>
    <w:rPr>
      <w:color w:val="006100"/>
    </w:rPr>
  </w:style>
  <w:style w:type="paragraph" w:customStyle="1" w:styleId="P68B1DB1-Normal25">
    <w:name w:val="P68B1DB1-Normal25"/>
    <w:basedOn w:val="Normal"/>
    <w:rPr>
      <w:rFonts w:ascii="Arial Narrow" w:hAnsi="Arial Narrow"/>
      <w:b/>
      <w:color w:val="000000"/>
      <w:sz w:val="20"/>
    </w:rPr>
  </w:style>
  <w:style w:type="paragraph" w:customStyle="1" w:styleId="P68B1DB1-Normal26">
    <w:name w:val="P68B1DB1-Normal26"/>
    <w:basedOn w:val="Normal"/>
    <w:rPr>
      <w:i/>
      <w:color w:val="4472C4" w:themeColor="accent1"/>
    </w:rPr>
  </w:style>
  <w:style w:type="paragraph" w:customStyle="1" w:styleId="P68B1DB1-Normal27">
    <w:name w:val="P68B1DB1-Normal27"/>
    <w:basedOn w:val="Normal"/>
    <w:rPr>
      <w:rFonts w:ascii="Arial Narrow" w:hAnsi="Arial Narrow"/>
      <w:color w:val="000000"/>
      <w:sz w:val="20"/>
    </w:rPr>
  </w:style>
  <w:style w:type="paragraph" w:customStyle="1" w:styleId="P68B1DB1-Normal28">
    <w:name w:val="P68B1DB1-Normal28"/>
    <w:basedOn w:val="Normal"/>
    <w:rPr>
      <w:rFonts w:ascii="Arial Narrow" w:hAnsi="Arial Narrow"/>
      <w:color w:val="006600"/>
      <w:sz w:val="20"/>
    </w:rPr>
  </w:style>
  <w:style w:type="paragraph" w:customStyle="1" w:styleId="P68B1DB1-Heading429">
    <w:name w:val="P68B1DB1-Heading429"/>
    <w:basedOn w:val="Heading4"/>
    <w:rPr>
      <w:b/>
    </w:rPr>
  </w:style>
  <w:style w:type="paragraph" w:customStyle="1" w:styleId="P68B1DB1-ListParagraph30">
    <w:name w:val="P68B1DB1-ListParagraph30"/>
    <w:basedOn w:val="ListParagraph"/>
    <w:rPr>
      <w:color w:val="000000" w:themeColor="text1"/>
    </w:rPr>
  </w:style>
  <w:style w:type="paragraph" w:customStyle="1" w:styleId="P68B1DB1-Normal31">
    <w:name w:val="P68B1DB1-Normal31"/>
    <w:basedOn w:val="Normal"/>
    <w:rPr>
      <w:u w:val="single"/>
    </w:rPr>
  </w:style>
  <w:style w:type="paragraph" w:customStyle="1" w:styleId="P68B1DB1-ListParagraph32">
    <w:name w:val="P68B1DB1-ListParagraph32"/>
    <w:basedOn w:val="ListParagraph"/>
    <w:rPr>
      <w:u w:val="single"/>
    </w:rPr>
  </w:style>
  <w:style w:type="paragraph" w:customStyle="1" w:styleId="P68B1DB1-Heading133">
    <w:name w:val="P68B1DB1-Heading133"/>
    <w:basedOn w:val="Heading1"/>
    <w:rPr>
      <w:rFonts w:eastAsia="Times New Roman"/>
    </w:rPr>
  </w:style>
  <w:style w:type="paragraph" w:customStyle="1" w:styleId="P68B1DB1-Normal34">
    <w:name w:val="P68B1DB1-Normal34"/>
    <w:basedOn w:val="Normal"/>
    <w:rPr>
      <w:sz w:val="23"/>
    </w:rPr>
  </w:style>
  <w:style w:type="paragraph" w:customStyle="1" w:styleId="P68B1DB1-ListParagraph35">
    <w:name w:val="P68B1DB1-ListParagraph35"/>
    <w:basedOn w:val="ListParagraph"/>
    <w:rPr>
      <w:b/>
    </w:rPr>
  </w:style>
  <w:style w:type="paragraph" w:customStyle="1" w:styleId="P68B1DB1-Normal36">
    <w:name w:val="P68B1DB1-Normal36"/>
    <w:basedOn w:val="Normal"/>
    <w:rPr>
      <w:b/>
      <w:color w:val="000000" w:themeColor="text1"/>
      <w:sz w:val="20"/>
    </w:rPr>
  </w:style>
  <w:style w:type="paragraph" w:customStyle="1" w:styleId="P68B1DB1-Normal37">
    <w:name w:val="P68B1DB1-Normal37"/>
    <w:basedOn w:val="Normal"/>
    <w:rPr>
      <w:sz w:val="20"/>
    </w:rPr>
  </w:style>
  <w:style w:type="paragraph" w:customStyle="1" w:styleId="P68B1DB1-Normal38">
    <w:name w:val="P68B1DB1-Normal38"/>
    <w:basedOn w:val="Normal"/>
    <w:rPr>
      <w:color w:val="006600"/>
      <w:sz w:val="20"/>
    </w:rPr>
  </w:style>
  <w:style w:type="paragraph" w:customStyle="1" w:styleId="P68B1DB1-Normal39">
    <w:name w:val="P68B1DB1-Normal39"/>
    <w:basedOn w:val="Normal"/>
    <w:rPr>
      <w:rFonts w:eastAsia="Calibri"/>
      <w:b/>
    </w:rPr>
  </w:style>
  <w:style w:type="paragraph" w:customStyle="1" w:styleId="P68B1DB1-NumPar140">
    <w:name w:val="P68B1DB1-NumPar140"/>
    <w:basedOn w:val="NumPar1"/>
    <w:rPr>
      <w:rFonts w:eastAsia="Calibri"/>
      <w:b/>
    </w:rPr>
  </w:style>
  <w:style w:type="paragraph" w:customStyle="1" w:styleId="P68B1DB1-Normal41">
    <w:name w:val="P68B1DB1-Normal41"/>
    <w:basedOn w:val="Normal"/>
    <w:rPr>
      <w:rFonts w:eastAsia="Calibri"/>
    </w:rPr>
  </w:style>
  <w:style w:type="paragraph" w:customStyle="1" w:styleId="P68B1DB1-NumPar142">
    <w:name w:val="P68B1DB1-NumPar142"/>
    <w:basedOn w:val="NumPar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3.xml"/><Relationship Id="rId299" Type="http://schemas.openxmlformats.org/officeDocument/2006/relationships/footer" Target="footer143.xml"/><Relationship Id="rId21" Type="http://schemas.openxmlformats.org/officeDocument/2006/relationships/footer" Target="footer5.xml"/><Relationship Id="rId63" Type="http://schemas.openxmlformats.org/officeDocument/2006/relationships/header" Target="header26.xml"/><Relationship Id="rId159" Type="http://schemas.openxmlformats.org/officeDocument/2006/relationships/header" Target="header74.xml"/><Relationship Id="rId324" Type="http://schemas.openxmlformats.org/officeDocument/2006/relationships/header" Target="header156.xml"/><Relationship Id="rId366" Type="http://schemas.openxmlformats.org/officeDocument/2006/relationships/header" Target="header177.xml"/><Relationship Id="rId170" Type="http://schemas.openxmlformats.org/officeDocument/2006/relationships/header" Target="header79.xml"/><Relationship Id="rId226" Type="http://schemas.openxmlformats.org/officeDocument/2006/relationships/footer" Target="footer106.xml"/><Relationship Id="rId433" Type="http://schemas.openxmlformats.org/officeDocument/2006/relationships/header" Target="header210.xml"/><Relationship Id="rId268" Type="http://schemas.openxmlformats.org/officeDocument/2006/relationships/footer" Target="footer127.xml"/><Relationship Id="rId32" Type="http://schemas.openxmlformats.org/officeDocument/2006/relationships/footer" Target="footer10.xml"/><Relationship Id="rId74" Type="http://schemas.openxmlformats.org/officeDocument/2006/relationships/header" Target="header31.xml"/><Relationship Id="rId128" Type="http://schemas.openxmlformats.org/officeDocument/2006/relationships/header" Target="header58.xml"/><Relationship Id="rId335" Type="http://schemas.openxmlformats.org/officeDocument/2006/relationships/footer" Target="footer161.xml"/><Relationship Id="rId377" Type="http://schemas.openxmlformats.org/officeDocument/2006/relationships/footer" Target="footer182.xml"/><Relationship Id="rId5" Type="http://schemas.openxmlformats.org/officeDocument/2006/relationships/numbering" Target="numbering.xml"/><Relationship Id="rId181" Type="http://schemas.openxmlformats.org/officeDocument/2006/relationships/footer" Target="footer84.xml"/><Relationship Id="rId237" Type="http://schemas.openxmlformats.org/officeDocument/2006/relationships/header" Target="header113.xml"/><Relationship Id="rId402" Type="http://schemas.openxmlformats.org/officeDocument/2006/relationships/header" Target="header195.xml"/><Relationship Id="rId279" Type="http://schemas.openxmlformats.org/officeDocument/2006/relationships/header" Target="header134.xml"/><Relationship Id="rId43" Type="http://schemas.openxmlformats.org/officeDocument/2006/relationships/footer" Target="footer15.xml"/><Relationship Id="rId139" Type="http://schemas.openxmlformats.org/officeDocument/2006/relationships/footer" Target="footer63.xml"/><Relationship Id="rId290" Type="http://schemas.openxmlformats.org/officeDocument/2006/relationships/header" Target="header139.xml"/><Relationship Id="rId304" Type="http://schemas.openxmlformats.org/officeDocument/2006/relationships/footer" Target="footer145.xml"/><Relationship Id="rId346" Type="http://schemas.openxmlformats.org/officeDocument/2006/relationships/footer" Target="footer166.xml"/><Relationship Id="rId388" Type="http://schemas.openxmlformats.org/officeDocument/2006/relationships/footer" Target="footer187.xml"/><Relationship Id="rId85" Type="http://schemas.openxmlformats.org/officeDocument/2006/relationships/footer" Target="footer36.xml"/><Relationship Id="rId150" Type="http://schemas.openxmlformats.org/officeDocument/2006/relationships/header" Target="header69.xml"/><Relationship Id="rId192" Type="http://schemas.openxmlformats.org/officeDocument/2006/relationships/header" Target="header90.xml"/><Relationship Id="rId206" Type="http://schemas.openxmlformats.org/officeDocument/2006/relationships/header" Target="header97.xml"/><Relationship Id="rId413" Type="http://schemas.openxmlformats.org/officeDocument/2006/relationships/footer" Target="footer199.xml"/><Relationship Id="rId248" Type="http://schemas.openxmlformats.org/officeDocument/2006/relationships/header" Target="header118.xml"/><Relationship Id="rId12" Type="http://schemas.openxmlformats.org/officeDocument/2006/relationships/header" Target="header1.xml"/><Relationship Id="rId33" Type="http://schemas.openxmlformats.org/officeDocument/2006/relationships/footer" Target="footer11.xml"/><Relationship Id="rId108" Type="http://schemas.openxmlformats.org/officeDocument/2006/relationships/header" Target="header48.xml"/><Relationship Id="rId129" Type="http://schemas.openxmlformats.org/officeDocument/2006/relationships/header" Target="header59.xml"/><Relationship Id="rId280" Type="http://schemas.openxmlformats.org/officeDocument/2006/relationships/footer" Target="footer133.xml"/><Relationship Id="rId315" Type="http://schemas.openxmlformats.org/officeDocument/2006/relationships/header" Target="header152.xml"/><Relationship Id="rId336" Type="http://schemas.openxmlformats.org/officeDocument/2006/relationships/header" Target="header162.xml"/><Relationship Id="rId357" Type="http://schemas.openxmlformats.org/officeDocument/2006/relationships/header" Target="header173.xml"/><Relationship Id="rId54" Type="http://schemas.openxmlformats.org/officeDocument/2006/relationships/header" Target="header21.xml"/><Relationship Id="rId75" Type="http://schemas.openxmlformats.org/officeDocument/2006/relationships/header" Target="header32.xml"/><Relationship Id="rId96" Type="http://schemas.openxmlformats.org/officeDocument/2006/relationships/header" Target="header42.xml"/><Relationship Id="rId140" Type="http://schemas.openxmlformats.org/officeDocument/2006/relationships/header" Target="header64.xml"/><Relationship Id="rId161" Type="http://schemas.openxmlformats.org/officeDocument/2006/relationships/footer" Target="footer74.xml"/><Relationship Id="rId182" Type="http://schemas.openxmlformats.org/officeDocument/2006/relationships/header" Target="header85.xml"/><Relationship Id="rId217" Type="http://schemas.openxmlformats.org/officeDocument/2006/relationships/footer" Target="footer102.xml"/><Relationship Id="rId378" Type="http://schemas.openxmlformats.org/officeDocument/2006/relationships/header" Target="header183.xml"/><Relationship Id="rId399" Type="http://schemas.openxmlformats.org/officeDocument/2006/relationships/header" Target="header194.xml"/><Relationship Id="rId403" Type="http://schemas.openxmlformats.org/officeDocument/2006/relationships/footer" Target="footer195.xml"/><Relationship Id="rId6" Type="http://schemas.openxmlformats.org/officeDocument/2006/relationships/styles" Target="styles.xml"/><Relationship Id="rId238" Type="http://schemas.openxmlformats.org/officeDocument/2006/relationships/footer" Target="footer112.xml"/><Relationship Id="rId259" Type="http://schemas.openxmlformats.org/officeDocument/2006/relationships/footer" Target="footer123.xml"/><Relationship Id="rId424" Type="http://schemas.openxmlformats.org/officeDocument/2006/relationships/header" Target="header206.xml"/><Relationship Id="rId23" Type="http://schemas.openxmlformats.org/officeDocument/2006/relationships/footer" Target="footer6.xml"/><Relationship Id="rId119" Type="http://schemas.openxmlformats.org/officeDocument/2006/relationships/footer" Target="footer53.xml"/><Relationship Id="rId270" Type="http://schemas.openxmlformats.org/officeDocument/2006/relationships/header" Target="header129.xml"/><Relationship Id="rId291" Type="http://schemas.openxmlformats.org/officeDocument/2006/relationships/header" Target="header140.xml"/><Relationship Id="rId305" Type="http://schemas.openxmlformats.org/officeDocument/2006/relationships/footer" Target="footer146.xml"/><Relationship Id="rId326" Type="http://schemas.openxmlformats.org/officeDocument/2006/relationships/header" Target="header157.xml"/><Relationship Id="rId347" Type="http://schemas.openxmlformats.org/officeDocument/2006/relationships/footer" Target="footer167.xml"/><Relationship Id="rId44" Type="http://schemas.openxmlformats.org/officeDocument/2006/relationships/header" Target="header16.xml"/><Relationship Id="rId65" Type="http://schemas.openxmlformats.org/officeDocument/2006/relationships/footer" Target="footer26.xml"/><Relationship Id="rId86" Type="http://schemas.openxmlformats.org/officeDocument/2006/relationships/header" Target="header37.xml"/><Relationship Id="rId130" Type="http://schemas.openxmlformats.org/officeDocument/2006/relationships/footer" Target="footer58.xml"/><Relationship Id="rId151" Type="http://schemas.openxmlformats.org/officeDocument/2006/relationships/footer" Target="footer69.xml"/><Relationship Id="rId368" Type="http://schemas.openxmlformats.org/officeDocument/2006/relationships/header" Target="header178.xml"/><Relationship Id="rId389" Type="http://schemas.openxmlformats.org/officeDocument/2006/relationships/footer" Target="footer188.xml"/><Relationship Id="rId172" Type="http://schemas.openxmlformats.org/officeDocument/2006/relationships/footer" Target="footer79.xml"/><Relationship Id="rId193" Type="http://schemas.openxmlformats.org/officeDocument/2006/relationships/footer" Target="footer90.xml"/><Relationship Id="rId207" Type="http://schemas.openxmlformats.org/officeDocument/2006/relationships/header" Target="header98.xml"/><Relationship Id="rId228" Type="http://schemas.openxmlformats.org/officeDocument/2006/relationships/header" Target="header108.xml"/><Relationship Id="rId249" Type="http://schemas.openxmlformats.org/officeDocument/2006/relationships/header" Target="header119.xml"/><Relationship Id="rId414" Type="http://schemas.openxmlformats.org/officeDocument/2006/relationships/footer" Target="footer200.xml"/><Relationship Id="rId435" Type="http://schemas.openxmlformats.org/officeDocument/2006/relationships/header" Target="header211.xml"/><Relationship Id="rId13" Type="http://schemas.openxmlformats.org/officeDocument/2006/relationships/header" Target="header2.xml"/><Relationship Id="rId109" Type="http://schemas.openxmlformats.org/officeDocument/2006/relationships/footer" Target="footer48.xml"/><Relationship Id="rId260" Type="http://schemas.openxmlformats.org/officeDocument/2006/relationships/header" Target="header124.xml"/><Relationship Id="rId281" Type="http://schemas.openxmlformats.org/officeDocument/2006/relationships/footer" Target="footer134.xml"/><Relationship Id="rId316" Type="http://schemas.openxmlformats.org/officeDocument/2006/relationships/footer" Target="footer151.xml"/><Relationship Id="rId337" Type="http://schemas.openxmlformats.org/officeDocument/2006/relationships/footer" Target="footer162.xml"/><Relationship Id="rId34" Type="http://schemas.openxmlformats.org/officeDocument/2006/relationships/header" Target="header12.xml"/><Relationship Id="rId55" Type="http://schemas.openxmlformats.org/officeDocument/2006/relationships/footer" Target="footer21.xml"/><Relationship Id="rId76" Type="http://schemas.openxmlformats.org/officeDocument/2006/relationships/footer" Target="footer31.xml"/><Relationship Id="rId97" Type="http://schemas.openxmlformats.org/officeDocument/2006/relationships/footer" Target="footer42.xml"/><Relationship Id="rId120" Type="http://schemas.openxmlformats.org/officeDocument/2006/relationships/header" Target="header54.xml"/><Relationship Id="rId141" Type="http://schemas.openxmlformats.org/officeDocument/2006/relationships/header" Target="header65.xml"/><Relationship Id="rId358" Type="http://schemas.openxmlformats.org/officeDocument/2006/relationships/footer" Target="footer172.xml"/><Relationship Id="rId379" Type="http://schemas.openxmlformats.org/officeDocument/2006/relationships/footer" Target="footer183.xml"/><Relationship Id="rId7" Type="http://schemas.openxmlformats.org/officeDocument/2006/relationships/settings" Target="settings.xml"/><Relationship Id="rId162" Type="http://schemas.openxmlformats.org/officeDocument/2006/relationships/header" Target="header75.xml"/><Relationship Id="rId183" Type="http://schemas.openxmlformats.org/officeDocument/2006/relationships/header" Target="header86.xml"/><Relationship Id="rId218" Type="http://schemas.openxmlformats.org/officeDocument/2006/relationships/header" Target="header103.xml"/><Relationship Id="rId239" Type="http://schemas.openxmlformats.org/officeDocument/2006/relationships/footer" Target="footer113.xml"/><Relationship Id="rId390" Type="http://schemas.openxmlformats.org/officeDocument/2006/relationships/header" Target="header189.xml"/><Relationship Id="rId404" Type="http://schemas.openxmlformats.org/officeDocument/2006/relationships/header" Target="header196.xml"/><Relationship Id="rId425" Type="http://schemas.openxmlformats.org/officeDocument/2006/relationships/footer" Target="footer205.xml"/><Relationship Id="rId250" Type="http://schemas.openxmlformats.org/officeDocument/2006/relationships/footer" Target="footer118.xml"/><Relationship Id="rId271" Type="http://schemas.openxmlformats.org/officeDocument/2006/relationships/footer" Target="footer129.xml"/><Relationship Id="rId292" Type="http://schemas.openxmlformats.org/officeDocument/2006/relationships/footer" Target="footer139.xml"/><Relationship Id="rId306" Type="http://schemas.openxmlformats.org/officeDocument/2006/relationships/header" Target="header147.xml"/><Relationship Id="rId24" Type="http://schemas.openxmlformats.org/officeDocument/2006/relationships/header" Target="header7.xml"/><Relationship Id="rId45" Type="http://schemas.openxmlformats.org/officeDocument/2006/relationships/header" Target="header17.xml"/><Relationship Id="rId66" Type="http://schemas.openxmlformats.org/officeDocument/2006/relationships/header" Target="header27.xml"/><Relationship Id="rId87" Type="http://schemas.openxmlformats.org/officeDocument/2006/relationships/header" Target="header38.xml"/><Relationship Id="rId110" Type="http://schemas.openxmlformats.org/officeDocument/2006/relationships/header" Target="header49.xml"/><Relationship Id="rId131" Type="http://schemas.openxmlformats.org/officeDocument/2006/relationships/footer" Target="footer59.xml"/><Relationship Id="rId327" Type="http://schemas.openxmlformats.org/officeDocument/2006/relationships/header" Target="header158.xml"/><Relationship Id="rId348" Type="http://schemas.openxmlformats.org/officeDocument/2006/relationships/header" Target="header168.xml"/><Relationship Id="rId369" Type="http://schemas.openxmlformats.org/officeDocument/2006/relationships/header" Target="header179.xml"/><Relationship Id="rId152" Type="http://schemas.openxmlformats.org/officeDocument/2006/relationships/header" Target="header70.xml"/><Relationship Id="rId173" Type="http://schemas.openxmlformats.org/officeDocument/2006/relationships/footer" Target="footer80.xml"/><Relationship Id="rId194" Type="http://schemas.openxmlformats.org/officeDocument/2006/relationships/header" Target="header91.xml"/><Relationship Id="rId208" Type="http://schemas.openxmlformats.org/officeDocument/2006/relationships/footer" Target="footer97.xml"/><Relationship Id="rId229" Type="http://schemas.openxmlformats.org/officeDocument/2006/relationships/footer" Target="footer108.xml"/><Relationship Id="rId380" Type="http://schemas.openxmlformats.org/officeDocument/2006/relationships/header" Target="header184.xml"/><Relationship Id="rId415" Type="http://schemas.openxmlformats.org/officeDocument/2006/relationships/header" Target="header201.xml"/><Relationship Id="rId436" Type="http://schemas.openxmlformats.org/officeDocument/2006/relationships/header" Target="header212.xml"/><Relationship Id="rId240" Type="http://schemas.openxmlformats.org/officeDocument/2006/relationships/header" Target="header114.xml"/><Relationship Id="rId261" Type="http://schemas.openxmlformats.org/officeDocument/2006/relationships/header" Target="header125.xml"/><Relationship Id="rId14" Type="http://schemas.openxmlformats.org/officeDocument/2006/relationships/footer" Target="footer1.xml"/><Relationship Id="rId35" Type="http://schemas.openxmlformats.org/officeDocument/2006/relationships/footer" Target="footer12.xml"/><Relationship Id="rId56" Type="http://schemas.openxmlformats.org/officeDocument/2006/relationships/header" Target="header22.xml"/><Relationship Id="rId77" Type="http://schemas.openxmlformats.org/officeDocument/2006/relationships/footer" Target="footer32.xml"/><Relationship Id="rId100" Type="http://schemas.openxmlformats.org/officeDocument/2006/relationships/footer" Target="footer43.xml"/><Relationship Id="rId282" Type="http://schemas.openxmlformats.org/officeDocument/2006/relationships/header" Target="header135.xml"/><Relationship Id="rId317" Type="http://schemas.openxmlformats.org/officeDocument/2006/relationships/footer" Target="footer152.xml"/><Relationship Id="rId338" Type="http://schemas.openxmlformats.org/officeDocument/2006/relationships/header" Target="header163.xml"/><Relationship Id="rId359" Type="http://schemas.openxmlformats.org/officeDocument/2006/relationships/footer" Target="footer173.xml"/><Relationship Id="rId8" Type="http://schemas.openxmlformats.org/officeDocument/2006/relationships/webSettings" Target="webSettings.xml"/><Relationship Id="rId98" Type="http://schemas.openxmlformats.org/officeDocument/2006/relationships/header" Target="header43.xml"/><Relationship Id="rId121" Type="http://schemas.openxmlformats.org/officeDocument/2006/relationships/footer" Target="footer54.xml"/><Relationship Id="rId142" Type="http://schemas.openxmlformats.org/officeDocument/2006/relationships/footer" Target="footer64.xml"/><Relationship Id="rId163" Type="http://schemas.openxmlformats.org/officeDocument/2006/relationships/footer" Target="footer75.xml"/><Relationship Id="rId184" Type="http://schemas.openxmlformats.org/officeDocument/2006/relationships/footer" Target="footer85.xml"/><Relationship Id="rId219" Type="http://schemas.openxmlformats.org/officeDocument/2006/relationships/header" Target="header104.xml"/><Relationship Id="rId370" Type="http://schemas.openxmlformats.org/officeDocument/2006/relationships/footer" Target="footer178.xml"/><Relationship Id="rId391" Type="http://schemas.openxmlformats.org/officeDocument/2006/relationships/footer" Target="footer189.xml"/><Relationship Id="rId405" Type="http://schemas.openxmlformats.org/officeDocument/2006/relationships/header" Target="header197.xml"/><Relationship Id="rId426" Type="http://schemas.openxmlformats.org/officeDocument/2006/relationships/footer" Target="footer206.xml"/><Relationship Id="rId230" Type="http://schemas.openxmlformats.org/officeDocument/2006/relationships/header" Target="header109.xml"/><Relationship Id="rId251" Type="http://schemas.openxmlformats.org/officeDocument/2006/relationships/footer" Target="footer119.xml"/><Relationship Id="rId25" Type="http://schemas.openxmlformats.org/officeDocument/2006/relationships/header" Target="header8.xml"/><Relationship Id="rId46" Type="http://schemas.openxmlformats.org/officeDocument/2006/relationships/footer" Target="footer16.xml"/><Relationship Id="rId67" Type="http://schemas.openxmlformats.org/officeDocument/2006/relationships/footer" Target="footer27.xml"/><Relationship Id="rId272" Type="http://schemas.openxmlformats.org/officeDocument/2006/relationships/header" Target="header130.xml"/><Relationship Id="rId293" Type="http://schemas.openxmlformats.org/officeDocument/2006/relationships/footer" Target="footer140.xml"/><Relationship Id="rId307" Type="http://schemas.openxmlformats.org/officeDocument/2006/relationships/footer" Target="footer147.xml"/><Relationship Id="rId328" Type="http://schemas.openxmlformats.org/officeDocument/2006/relationships/footer" Target="footer157.xml"/><Relationship Id="rId349" Type="http://schemas.openxmlformats.org/officeDocument/2006/relationships/footer" Target="footer168.xml"/><Relationship Id="rId88" Type="http://schemas.openxmlformats.org/officeDocument/2006/relationships/footer" Target="footer37.xml"/><Relationship Id="rId111" Type="http://schemas.openxmlformats.org/officeDocument/2006/relationships/header" Target="header50.xml"/><Relationship Id="rId132" Type="http://schemas.openxmlformats.org/officeDocument/2006/relationships/header" Target="header60.xml"/><Relationship Id="rId153" Type="http://schemas.openxmlformats.org/officeDocument/2006/relationships/header" Target="header71.xml"/><Relationship Id="rId174" Type="http://schemas.openxmlformats.org/officeDocument/2006/relationships/header" Target="header81.xml"/><Relationship Id="rId195" Type="http://schemas.openxmlformats.org/officeDocument/2006/relationships/header" Target="header92.xml"/><Relationship Id="rId209" Type="http://schemas.openxmlformats.org/officeDocument/2006/relationships/footer" Target="footer98.xml"/><Relationship Id="rId360" Type="http://schemas.openxmlformats.org/officeDocument/2006/relationships/header" Target="header174.xml"/><Relationship Id="rId381" Type="http://schemas.openxmlformats.org/officeDocument/2006/relationships/header" Target="header185.xml"/><Relationship Id="rId416" Type="http://schemas.openxmlformats.org/officeDocument/2006/relationships/footer" Target="footer201.xml"/><Relationship Id="rId220" Type="http://schemas.openxmlformats.org/officeDocument/2006/relationships/footer" Target="footer103.xml"/><Relationship Id="rId241" Type="http://schemas.openxmlformats.org/officeDocument/2006/relationships/footer" Target="footer114.xml"/><Relationship Id="rId437" Type="http://schemas.openxmlformats.org/officeDocument/2006/relationships/footer" Target="footer211.xml"/><Relationship Id="rId15" Type="http://schemas.openxmlformats.org/officeDocument/2006/relationships/footer" Target="footer2.xml"/><Relationship Id="rId36" Type="http://schemas.openxmlformats.org/officeDocument/2006/relationships/hyperlink" Target="https://www.inps.it/" TargetMode="External"/><Relationship Id="rId57" Type="http://schemas.openxmlformats.org/officeDocument/2006/relationships/header" Target="header23.xml"/><Relationship Id="rId262" Type="http://schemas.openxmlformats.org/officeDocument/2006/relationships/footer" Target="footer124.xml"/><Relationship Id="rId283" Type="http://schemas.openxmlformats.org/officeDocument/2006/relationships/footer" Target="footer135.xml"/><Relationship Id="rId318" Type="http://schemas.openxmlformats.org/officeDocument/2006/relationships/header" Target="header153.xml"/><Relationship Id="rId339" Type="http://schemas.openxmlformats.org/officeDocument/2006/relationships/header" Target="header164.xml"/><Relationship Id="rId78" Type="http://schemas.openxmlformats.org/officeDocument/2006/relationships/header" Target="header33.xml"/><Relationship Id="rId99" Type="http://schemas.openxmlformats.org/officeDocument/2006/relationships/header" Target="header44.xml"/><Relationship Id="rId101" Type="http://schemas.openxmlformats.org/officeDocument/2006/relationships/footer" Target="footer44.xml"/><Relationship Id="rId122" Type="http://schemas.openxmlformats.org/officeDocument/2006/relationships/header" Target="header55.xml"/><Relationship Id="rId143" Type="http://schemas.openxmlformats.org/officeDocument/2006/relationships/footer" Target="footer65.xml"/><Relationship Id="rId164" Type="http://schemas.openxmlformats.org/officeDocument/2006/relationships/header" Target="header76.xml"/><Relationship Id="rId185" Type="http://schemas.openxmlformats.org/officeDocument/2006/relationships/footer" Target="footer86.xml"/><Relationship Id="rId350" Type="http://schemas.openxmlformats.org/officeDocument/2006/relationships/header" Target="header169.xml"/><Relationship Id="rId371" Type="http://schemas.openxmlformats.org/officeDocument/2006/relationships/footer" Target="footer179.xml"/><Relationship Id="rId406" Type="http://schemas.openxmlformats.org/officeDocument/2006/relationships/footer" Target="footer196.xml"/><Relationship Id="rId9" Type="http://schemas.openxmlformats.org/officeDocument/2006/relationships/footnotes" Target="footnotes.xml"/><Relationship Id="rId210" Type="http://schemas.openxmlformats.org/officeDocument/2006/relationships/header" Target="header99.xml"/><Relationship Id="rId392" Type="http://schemas.openxmlformats.org/officeDocument/2006/relationships/header" Target="header190.xml"/><Relationship Id="rId427" Type="http://schemas.openxmlformats.org/officeDocument/2006/relationships/header" Target="header207.xml"/><Relationship Id="rId26" Type="http://schemas.openxmlformats.org/officeDocument/2006/relationships/footer" Target="footer7.xml"/><Relationship Id="rId231" Type="http://schemas.openxmlformats.org/officeDocument/2006/relationships/header" Target="header110.xml"/><Relationship Id="rId252" Type="http://schemas.openxmlformats.org/officeDocument/2006/relationships/header" Target="header120.xml"/><Relationship Id="rId273" Type="http://schemas.openxmlformats.org/officeDocument/2006/relationships/header" Target="header131.xml"/><Relationship Id="rId294" Type="http://schemas.openxmlformats.org/officeDocument/2006/relationships/header" Target="header141.xml"/><Relationship Id="rId308" Type="http://schemas.openxmlformats.org/officeDocument/2006/relationships/header" Target="header148.xml"/><Relationship Id="rId329" Type="http://schemas.openxmlformats.org/officeDocument/2006/relationships/footer" Target="footer158.xml"/><Relationship Id="rId47" Type="http://schemas.openxmlformats.org/officeDocument/2006/relationships/footer" Target="footer17.xml"/><Relationship Id="rId68" Type="http://schemas.openxmlformats.org/officeDocument/2006/relationships/header" Target="header28.xml"/><Relationship Id="rId89" Type="http://schemas.openxmlformats.org/officeDocument/2006/relationships/footer" Target="footer38.xml"/><Relationship Id="rId112" Type="http://schemas.openxmlformats.org/officeDocument/2006/relationships/footer" Target="footer49.xml"/><Relationship Id="rId133" Type="http://schemas.openxmlformats.org/officeDocument/2006/relationships/footer" Target="footer60.xml"/><Relationship Id="rId154" Type="http://schemas.openxmlformats.org/officeDocument/2006/relationships/footer" Target="footer70.xml"/><Relationship Id="rId175" Type="http://schemas.openxmlformats.org/officeDocument/2006/relationships/footer" Target="footer81.xml"/><Relationship Id="rId340" Type="http://schemas.openxmlformats.org/officeDocument/2006/relationships/footer" Target="footer163.xml"/><Relationship Id="rId361" Type="http://schemas.openxmlformats.org/officeDocument/2006/relationships/footer" Target="footer174.xml"/><Relationship Id="rId196" Type="http://schemas.openxmlformats.org/officeDocument/2006/relationships/footer" Target="footer91.xml"/><Relationship Id="rId200" Type="http://schemas.openxmlformats.org/officeDocument/2006/relationships/header" Target="header94.xml"/><Relationship Id="rId382" Type="http://schemas.openxmlformats.org/officeDocument/2006/relationships/footer" Target="footer184.xml"/><Relationship Id="rId417" Type="http://schemas.openxmlformats.org/officeDocument/2006/relationships/header" Target="header202.xml"/><Relationship Id="rId438" Type="http://schemas.openxmlformats.org/officeDocument/2006/relationships/footer" Target="footer212.xml"/><Relationship Id="rId16" Type="http://schemas.openxmlformats.org/officeDocument/2006/relationships/header" Target="header3.xml"/><Relationship Id="rId221" Type="http://schemas.openxmlformats.org/officeDocument/2006/relationships/footer" Target="footer104.xml"/><Relationship Id="rId242" Type="http://schemas.openxmlformats.org/officeDocument/2006/relationships/header" Target="header115.xml"/><Relationship Id="rId263" Type="http://schemas.openxmlformats.org/officeDocument/2006/relationships/footer" Target="footer125.xml"/><Relationship Id="rId284" Type="http://schemas.openxmlformats.org/officeDocument/2006/relationships/header" Target="header136.xml"/><Relationship Id="rId319" Type="http://schemas.openxmlformats.org/officeDocument/2006/relationships/footer" Target="footer153.xml"/><Relationship Id="rId37" Type="http://schemas.openxmlformats.org/officeDocument/2006/relationships/hyperlink" Target="https://www.inps.it/" TargetMode="External"/><Relationship Id="rId58" Type="http://schemas.openxmlformats.org/officeDocument/2006/relationships/footer" Target="footer22.xml"/><Relationship Id="rId79" Type="http://schemas.openxmlformats.org/officeDocument/2006/relationships/footer" Target="footer33.xml"/><Relationship Id="rId102" Type="http://schemas.openxmlformats.org/officeDocument/2006/relationships/header" Target="header45.xml"/><Relationship Id="rId123" Type="http://schemas.openxmlformats.org/officeDocument/2006/relationships/header" Target="header56.xml"/><Relationship Id="rId144" Type="http://schemas.openxmlformats.org/officeDocument/2006/relationships/header" Target="header66.xml"/><Relationship Id="rId330" Type="http://schemas.openxmlformats.org/officeDocument/2006/relationships/header" Target="header159.xml"/><Relationship Id="rId90" Type="http://schemas.openxmlformats.org/officeDocument/2006/relationships/header" Target="header39.xml"/><Relationship Id="rId165" Type="http://schemas.openxmlformats.org/officeDocument/2006/relationships/header" Target="header77.xml"/><Relationship Id="rId186" Type="http://schemas.openxmlformats.org/officeDocument/2006/relationships/header" Target="header87.xml"/><Relationship Id="rId351" Type="http://schemas.openxmlformats.org/officeDocument/2006/relationships/header" Target="header170.xml"/><Relationship Id="rId372" Type="http://schemas.openxmlformats.org/officeDocument/2006/relationships/header" Target="header180.xml"/><Relationship Id="rId393" Type="http://schemas.openxmlformats.org/officeDocument/2006/relationships/header" Target="header191.xml"/><Relationship Id="rId407" Type="http://schemas.openxmlformats.org/officeDocument/2006/relationships/footer" Target="footer197.xml"/><Relationship Id="rId428" Type="http://schemas.openxmlformats.org/officeDocument/2006/relationships/footer" Target="footer207.xml"/><Relationship Id="rId211" Type="http://schemas.openxmlformats.org/officeDocument/2006/relationships/footer" Target="footer99.xml"/><Relationship Id="rId232" Type="http://schemas.openxmlformats.org/officeDocument/2006/relationships/footer" Target="footer109.xml"/><Relationship Id="rId253" Type="http://schemas.openxmlformats.org/officeDocument/2006/relationships/footer" Target="footer120.xml"/><Relationship Id="rId274" Type="http://schemas.openxmlformats.org/officeDocument/2006/relationships/footer" Target="footer130.xml"/><Relationship Id="rId295" Type="http://schemas.openxmlformats.org/officeDocument/2006/relationships/footer" Target="footer141.xml"/><Relationship Id="rId309" Type="http://schemas.openxmlformats.org/officeDocument/2006/relationships/header" Target="header149.xml"/><Relationship Id="rId27" Type="http://schemas.openxmlformats.org/officeDocument/2006/relationships/footer" Target="footer8.xml"/><Relationship Id="rId48" Type="http://schemas.openxmlformats.org/officeDocument/2006/relationships/header" Target="header18.xml"/><Relationship Id="rId69" Type="http://schemas.openxmlformats.org/officeDocument/2006/relationships/header" Target="header29.xml"/><Relationship Id="rId113" Type="http://schemas.openxmlformats.org/officeDocument/2006/relationships/footer" Target="footer50.xml"/><Relationship Id="rId134" Type="http://schemas.openxmlformats.org/officeDocument/2006/relationships/header" Target="header61.xml"/><Relationship Id="rId320" Type="http://schemas.openxmlformats.org/officeDocument/2006/relationships/header" Target="header154.xml"/><Relationship Id="rId80" Type="http://schemas.openxmlformats.org/officeDocument/2006/relationships/header" Target="header34.xml"/><Relationship Id="rId155" Type="http://schemas.openxmlformats.org/officeDocument/2006/relationships/footer" Target="footer71.xml"/><Relationship Id="rId176" Type="http://schemas.openxmlformats.org/officeDocument/2006/relationships/header" Target="header82.xml"/><Relationship Id="rId197" Type="http://schemas.openxmlformats.org/officeDocument/2006/relationships/footer" Target="footer92.xml"/><Relationship Id="rId341" Type="http://schemas.openxmlformats.org/officeDocument/2006/relationships/footer" Target="footer164.xml"/><Relationship Id="rId362" Type="http://schemas.openxmlformats.org/officeDocument/2006/relationships/header" Target="header175.xml"/><Relationship Id="rId383" Type="http://schemas.openxmlformats.org/officeDocument/2006/relationships/footer" Target="footer185.xml"/><Relationship Id="rId418" Type="http://schemas.openxmlformats.org/officeDocument/2006/relationships/header" Target="header203.xml"/><Relationship Id="rId439" Type="http://schemas.openxmlformats.org/officeDocument/2006/relationships/header" Target="header213.xml"/><Relationship Id="rId201" Type="http://schemas.openxmlformats.org/officeDocument/2006/relationships/header" Target="header95.xml"/><Relationship Id="rId222" Type="http://schemas.openxmlformats.org/officeDocument/2006/relationships/header" Target="header105.xml"/><Relationship Id="rId243" Type="http://schemas.openxmlformats.org/officeDocument/2006/relationships/header" Target="header116.xml"/><Relationship Id="rId264" Type="http://schemas.openxmlformats.org/officeDocument/2006/relationships/header" Target="header126.xml"/><Relationship Id="rId285" Type="http://schemas.openxmlformats.org/officeDocument/2006/relationships/header" Target="header137.xml"/><Relationship Id="rId17" Type="http://schemas.openxmlformats.org/officeDocument/2006/relationships/footer" Target="footer3.xml"/><Relationship Id="rId38" Type="http://schemas.openxmlformats.org/officeDocument/2006/relationships/header" Target="header13.xml"/><Relationship Id="rId59" Type="http://schemas.openxmlformats.org/officeDocument/2006/relationships/footer" Target="footer23.xml"/><Relationship Id="rId103" Type="http://schemas.openxmlformats.org/officeDocument/2006/relationships/footer" Target="footer45.xml"/><Relationship Id="rId124" Type="http://schemas.openxmlformats.org/officeDocument/2006/relationships/footer" Target="footer55.xml"/><Relationship Id="rId310" Type="http://schemas.openxmlformats.org/officeDocument/2006/relationships/footer" Target="footer148.xml"/><Relationship Id="rId70" Type="http://schemas.openxmlformats.org/officeDocument/2006/relationships/footer" Target="footer28.xml"/><Relationship Id="rId91" Type="http://schemas.openxmlformats.org/officeDocument/2006/relationships/footer" Target="footer39.xml"/><Relationship Id="rId145" Type="http://schemas.openxmlformats.org/officeDocument/2006/relationships/footer" Target="footer66.xml"/><Relationship Id="rId166" Type="http://schemas.openxmlformats.org/officeDocument/2006/relationships/footer" Target="footer76.xml"/><Relationship Id="rId187" Type="http://schemas.openxmlformats.org/officeDocument/2006/relationships/footer" Target="footer87.xml"/><Relationship Id="rId331" Type="http://schemas.openxmlformats.org/officeDocument/2006/relationships/footer" Target="footer159.xml"/><Relationship Id="rId352" Type="http://schemas.openxmlformats.org/officeDocument/2006/relationships/footer" Target="footer169.xml"/><Relationship Id="rId373" Type="http://schemas.openxmlformats.org/officeDocument/2006/relationships/footer" Target="footer180.xml"/><Relationship Id="rId394" Type="http://schemas.openxmlformats.org/officeDocument/2006/relationships/footer" Target="footer190.xml"/><Relationship Id="rId408" Type="http://schemas.openxmlformats.org/officeDocument/2006/relationships/header" Target="header198.xml"/><Relationship Id="rId429" Type="http://schemas.openxmlformats.org/officeDocument/2006/relationships/header" Target="header208.xml"/><Relationship Id="rId1" Type="http://schemas.openxmlformats.org/officeDocument/2006/relationships/customXml" Target="../customXml/item1.xml"/><Relationship Id="rId212" Type="http://schemas.openxmlformats.org/officeDocument/2006/relationships/header" Target="header100.xml"/><Relationship Id="rId233" Type="http://schemas.openxmlformats.org/officeDocument/2006/relationships/footer" Target="footer110.xml"/><Relationship Id="rId254" Type="http://schemas.openxmlformats.org/officeDocument/2006/relationships/header" Target="header121.xml"/><Relationship Id="rId440" Type="http://schemas.openxmlformats.org/officeDocument/2006/relationships/footer" Target="footer213.xml"/><Relationship Id="rId28" Type="http://schemas.openxmlformats.org/officeDocument/2006/relationships/header" Target="header9.xml"/><Relationship Id="rId49" Type="http://schemas.openxmlformats.org/officeDocument/2006/relationships/footer" Target="footer18.xml"/><Relationship Id="rId114" Type="http://schemas.openxmlformats.org/officeDocument/2006/relationships/header" Target="header51.xml"/><Relationship Id="rId275" Type="http://schemas.openxmlformats.org/officeDocument/2006/relationships/footer" Target="footer131.xml"/><Relationship Id="rId296" Type="http://schemas.openxmlformats.org/officeDocument/2006/relationships/header" Target="header142.xml"/><Relationship Id="rId300" Type="http://schemas.openxmlformats.org/officeDocument/2006/relationships/header" Target="header144.xml"/><Relationship Id="rId60" Type="http://schemas.openxmlformats.org/officeDocument/2006/relationships/header" Target="header24.xml"/><Relationship Id="rId81" Type="http://schemas.openxmlformats.org/officeDocument/2006/relationships/header" Target="header35.xml"/><Relationship Id="rId135" Type="http://schemas.openxmlformats.org/officeDocument/2006/relationships/header" Target="header62.xml"/><Relationship Id="rId156" Type="http://schemas.openxmlformats.org/officeDocument/2006/relationships/header" Target="header72.xml"/><Relationship Id="rId177" Type="http://schemas.openxmlformats.org/officeDocument/2006/relationships/header" Target="header83.xml"/><Relationship Id="rId198" Type="http://schemas.openxmlformats.org/officeDocument/2006/relationships/header" Target="header93.xml"/><Relationship Id="rId321" Type="http://schemas.openxmlformats.org/officeDocument/2006/relationships/header" Target="header155.xml"/><Relationship Id="rId342" Type="http://schemas.openxmlformats.org/officeDocument/2006/relationships/header" Target="header165.xml"/><Relationship Id="rId363" Type="http://schemas.openxmlformats.org/officeDocument/2006/relationships/header" Target="header176.xml"/><Relationship Id="rId384" Type="http://schemas.openxmlformats.org/officeDocument/2006/relationships/header" Target="header186.xml"/><Relationship Id="rId419" Type="http://schemas.openxmlformats.org/officeDocument/2006/relationships/footer" Target="footer202.xml"/><Relationship Id="rId202" Type="http://schemas.openxmlformats.org/officeDocument/2006/relationships/footer" Target="footer94.xml"/><Relationship Id="rId223" Type="http://schemas.openxmlformats.org/officeDocument/2006/relationships/footer" Target="footer105.xml"/><Relationship Id="rId244" Type="http://schemas.openxmlformats.org/officeDocument/2006/relationships/footer" Target="footer115.xml"/><Relationship Id="rId430" Type="http://schemas.openxmlformats.org/officeDocument/2006/relationships/header" Target="header209.xml"/><Relationship Id="rId18" Type="http://schemas.openxmlformats.org/officeDocument/2006/relationships/header" Target="header4.xml"/><Relationship Id="rId39" Type="http://schemas.openxmlformats.org/officeDocument/2006/relationships/header" Target="header14.xml"/><Relationship Id="rId265" Type="http://schemas.openxmlformats.org/officeDocument/2006/relationships/footer" Target="footer126.xml"/><Relationship Id="rId286" Type="http://schemas.openxmlformats.org/officeDocument/2006/relationships/footer" Target="footer136.xml"/><Relationship Id="rId50" Type="http://schemas.openxmlformats.org/officeDocument/2006/relationships/header" Target="header19.xml"/><Relationship Id="rId104" Type="http://schemas.openxmlformats.org/officeDocument/2006/relationships/header" Target="header46.xml"/><Relationship Id="rId125" Type="http://schemas.openxmlformats.org/officeDocument/2006/relationships/footer" Target="footer56.xml"/><Relationship Id="rId146" Type="http://schemas.openxmlformats.org/officeDocument/2006/relationships/header" Target="header67.xml"/><Relationship Id="rId167" Type="http://schemas.openxmlformats.org/officeDocument/2006/relationships/footer" Target="footer77.xml"/><Relationship Id="rId188" Type="http://schemas.openxmlformats.org/officeDocument/2006/relationships/header" Target="header88.xml"/><Relationship Id="rId311" Type="http://schemas.openxmlformats.org/officeDocument/2006/relationships/footer" Target="footer149.xml"/><Relationship Id="rId332" Type="http://schemas.openxmlformats.org/officeDocument/2006/relationships/header" Target="header160.xml"/><Relationship Id="rId353" Type="http://schemas.openxmlformats.org/officeDocument/2006/relationships/footer" Target="footer170.xml"/><Relationship Id="rId374" Type="http://schemas.openxmlformats.org/officeDocument/2006/relationships/header" Target="header181.xml"/><Relationship Id="rId395" Type="http://schemas.openxmlformats.org/officeDocument/2006/relationships/footer" Target="footer191.xml"/><Relationship Id="rId409" Type="http://schemas.openxmlformats.org/officeDocument/2006/relationships/footer" Target="footer198.xml"/><Relationship Id="rId71" Type="http://schemas.openxmlformats.org/officeDocument/2006/relationships/footer" Target="footer29.xml"/><Relationship Id="rId92" Type="http://schemas.openxmlformats.org/officeDocument/2006/relationships/header" Target="header40.xml"/><Relationship Id="rId213" Type="http://schemas.openxmlformats.org/officeDocument/2006/relationships/header" Target="header101.xml"/><Relationship Id="rId234" Type="http://schemas.openxmlformats.org/officeDocument/2006/relationships/header" Target="header111.xml"/><Relationship Id="rId420" Type="http://schemas.openxmlformats.org/officeDocument/2006/relationships/footer" Target="footer203.xml"/><Relationship Id="rId2" Type="http://schemas.openxmlformats.org/officeDocument/2006/relationships/customXml" Target="../customXml/item2.xml"/><Relationship Id="rId29" Type="http://schemas.openxmlformats.org/officeDocument/2006/relationships/footer" Target="footer9.xml"/><Relationship Id="rId255" Type="http://schemas.openxmlformats.org/officeDocument/2006/relationships/header" Target="header122.xml"/><Relationship Id="rId276" Type="http://schemas.openxmlformats.org/officeDocument/2006/relationships/header" Target="header132.xml"/><Relationship Id="rId297" Type="http://schemas.openxmlformats.org/officeDocument/2006/relationships/header" Target="header143.xml"/><Relationship Id="rId441" Type="http://schemas.openxmlformats.org/officeDocument/2006/relationships/fontTable" Target="fontTable.xml"/><Relationship Id="rId40" Type="http://schemas.openxmlformats.org/officeDocument/2006/relationships/footer" Target="footer13.xml"/><Relationship Id="rId115" Type="http://schemas.openxmlformats.org/officeDocument/2006/relationships/footer" Target="footer51.xml"/><Relationship Id="rId136" Type="http://schemas.openxmlformats.org/officeDocument/2006/relationships/footer" Target="footer61.xml"/><Relationship Id="rId157" Type="http://schemas.openxmlformats.org/officeDocument/2006/relationships/footer" Target="footer72.xml"/><Relationship Id="rId178" Type="http://schemas.openxmlformats.org/officeDocument/2006/relationships/footer" Target="footer82.xml"/><Relationship Id="rId301" Type="http://schemas.openxmlformats.org/officeDocument/2006/relationships/footer" Target="footer144.xml"/><Relationship Id="rId322" Type="http://schemas.openxmlformats.org/officeDocument/2006/relationships/footer" Target="footer154.xml"/><Relationship Id="rId343" Type="http://schemas.openxmlformats.org/officeDocument/2006/relationships/footer" Target="footer165.xml"/><Relationship Id="rId364" Type="http://schemas.openxmlformats.org/officeDocument/2006/relationships/footer" Target="footer175.xml"/><Relationship Id="rId61" Type="http://schemas.openxmlformats.org/officeDocument/2006/relationships/footer" Target="footer24.xml"/><Relationship Id="rId82" Type="http://schemas.openxmlformats.org/officeDocument/2006/relationships/footer" Target="footer34.xml"/><Relationship Id="rId199" Type="http://schemas.openxmlformats.org/officeDocument/2006/relationships/footer" Target="footer93.xml"/><Relationship Id="rId203" Type="http://schemas.openxmlformats.org/officeDocument/2006/relationships/footer" Target="footer95.xml"/><Relationship Id="rId385" Type="http://schemas.openxmlformats.org/officeDocument/2006/relationships/footer" Target="footer186.xml"/><Relationship Id="rId19" Type="http://schemas.openxmlformats.org/officeDocument/2006/relationships/header" Target="header5.xml"/><Relationship Id="rId224" Type="http://schemas.openxmlformats.org/officeDocument/2006/relationships/header" Target="header106.xml"/><Relationship Id="rId245" Type="http://schemas.openxmlformats.org/officeDocument/2006/relationships/footer" Target="footer116.xml"/><Relationship Id="rId266" Type="http://schemas.openxmlformats.org/officeDocument/2006/relationships/header" Target="header127.xml"/><Relationship Id="rId287" Type="http://schemas.openxmlformats.org/officeDocument/2006/relationships/footer" Target="footer137.xml"/><Relationship Id="rId410" Type="http://schemas.openxmlformats.org/officeDocument/2006/relationships/hyperlink" Target="http://www.syllabus.gov.it" TargetMode="External"/><Relationship Id="rId431" Type="http://schemas.openxmlformats.org/officeDocument/2006/relationships/footer" Target="footer208.xml"/><Relationship Id="rId30" Type="http://schemas.openxmlformats.org/officeDocument/2006/relationships/header" Target="header10.xml"/><Relationship Id="rId105" Type="http://schemas.openxmlformats.org/officeDocument/2006/relationships/header" Target="header47.xml"/><Relationship Id="rId126" Type="http://schemas.openxmlformats.org/officeDocument/2006/relationships/header" Target="header57.xml"/><Relationship Id="rId147" Type="http://schemas.openxmlformats.org/officeDocument/2006/relationships/header" Target="header68.xml"/><Relationship Id="rId168" Type="http://schemas.openxmlformats.org/officeDocument/2006/relationships/header" Target="header78.xml"/><Relationship Id="rId312" Type="http://schemas.openxmlformats.org/officeDocument/2006/relationships/header" Target="header150.xml"/><Relationship Id="rId333" Type="http://schemas.openxmlformats.org/officeDocument/2006/relationships/header" Target="header161.xml"/><Relationship Id="rId354" Type="http://schemas.openxmlformats.org/officeDocument/2006/relationships/header" Target="header171.xml"/><Relationship Id="rId51" Type="http://schemas.openxmlformats.org/officeDocument/2006/relationships/header" Target="header20.xml"/><Relationship Id="rId72" Type="http://schemas.openxmlformats.org/officeDocument/2006/relationships/header" Target="header30.xml"/><Relationship Id="rId93" Type="http://schemas.openxmlformats.org/officeDocument/2006/relationships/header" Target="header41.xml"/><Relationship Id="rId189" Type="http://schemas.openxmlformats.org/officeDocument/2006/relationships/header" Target="header89.xml"/><Relationship Id="rId375" Type="http://schemas.openxmlformats.org/officeDocument/2006/relationships/header" Target="header182.xml"/><Relationship Id="rId396" Type="http://schemas.openxmlformats.org/officeDocument/2006/relationships/header" Target="header192.xml"/><Relationship Id="rId3" Type="http://schemas.openxmlformats.org/officeDocument/2006/relationships/customXml" Target="../customXml/item3.xml"/><Relationship Id="rId214" Type="http://schemas.openxmlformats.org/officeDocument/2006/relationships/footer" Target="footer100.xml"/><Relationship Id="rId235" Type="http://schemas.openxmlformats.org/officeDocument/2006/relationships/footer" Target="footer111.xml"/><Relationship Id="rId256" Type="http://schemas.openxmlformats.org/officeDocument/2006/relationships/footer" Target="footer121.xml"/><Relationship Id="rId277" Type="http://schemas.openxmlformats.org/officeDocument/2006/relationships/footer" Target="footer132.xml"/><Relationship Id="rId298" Type="http://schemas.openxmlformats.org/officeDocument/2006/relationships/footer" Target="footer142.xml"/><Relationship Id="rId400" Type="http://schemas.openxmlformats.org/officeDocument/2006/relationships/footer" Target="footer193.xml"/><Relationship Id="rId421" Type="http://schemas.openxmlformats.org/officeDocument/2006/relationships/header" Target="header204.xml"/><Relationship Id="rId442" Type="http://schemas.openxmlformats.org/officeDocument/2006/relationships/theme" Target="theme/theme1.xml"/><Relationship Id="rId116" Type="http://schemas.openxmlformats.org/officeDocument/2006/relationships/header" Target="header52.xml"/><Relationship Id="rId137" Type="http://schemas.openxmlformats.org/officeDocument/2006/relationships/footer" Target="footer62.xml"/><Relationship Id="rId158" Type="http://schemas.openxmlformats.org/officeDocument/2006/relationships/header" Target="header73.xml"/><Relationship Id="rId302" Type="http://schemas.openxmlformats.org/officeDocument/2006/relationships/header" Target="header145.xml"/><Relationship Id="rId323" Type="http://schemas.openxmlformats.org/officeDocument/2006/relationships/footer" Target="footer155.xml"/><Relationship Id="rId344" Type="http://schemas.openxmlformats.org/officeDocument/2006/relationships/header" Target="header166.xml"/><Relationship Id="rId20" Type="http://schemas.openxmlformats.org/officeDocument/2006/relationships/footer" Target="footer4.xml"/><Relationship Id="rId41" Type="http://schemas.openxmlformats.org/officeDocument/2006/relationships/footer" Target="footer14.xml"/><Relationship Id="rId62" Type="http://schemas.openxmlformats.org/officeDocument/2006/relationships/header" Target="header25.xml"/><Relationship Id="rId83" Type="http://schemas.openxmlformats.org/officeDocument/2006/relationships/footer" Target="footer35.xml"/><Relationship Id="rId179" Type="http://schemas.openxmlformats.org/officeDocument/2006/relationships/footer" Target="footer83.xml"/><Relationship Id="rId365" Type="http://schemas.openxmlformats.org/officeDocument/2006/relationships/footer" Target="footer176.xml"/><Relationship Id="rId386" Type="http://schemas.openxmlformats.org/officeDocument/2006/relationships/header" Target="header187.xml"/><Relationship Id="rId190" Type="http://schemas.openxmlformats.org/officeDocument/2006/relationships/footer" Target="footer88.xml"/><Relationship Id="rId204" Type="http://schemas.openxmlformats.org/officeDocument/2006/relationships/header" Target="header96.xml"/><Relationship Id="rId225" Type="http://schemas.openxmlformats.org/officeDocument/2006/relationships/header" Target="header107.xml"/><Relationship Id="rId246" Type="http://schemas.openxmlformats.org/officeDocument/2006/relationships/header" Target="header117.xml"/><Relationship Id="rId267" Type="http://schemas.openxmlformats.org/officeDocument/2006/relationships/header" Target="header128.xml"/><Relationship Id="rId288" Type="http://schemas.openxmlformats.org/officeDocument/2006/relationships/header" Target="header138.xml"/><Relationship Id="rId411" Type="http://schemas.openxmlformats.org/officeDocument/2006/relationships/header" Target="header199.xml"/><Relationship Id="rId432" Type="http://schemas.openxmlformats.org/officeDocument/2006/relationships/footer" Target="footer209.xml"/><Relationship Id="rId106" Type="http://schemas.openxmlformats.org/officeDocument/2006/relationships/footer" Target="footer46.xml"/><Relationship Id="rId127" Type="http://schemas.openxmlformats.org/officeDocument/2006/relationships/footer" Target="footer57.xml"/><Relationship Id="rId313" Type="http://schemas.openxmlformats.org/officeDocument/2006/relationships/footer" Target="footer150.xml"/><Relationship Id="rId10" Type="http://schemas.openxmlformats.org/officeDocument/2006/relationships/endnotes" Target="endnotes.xml"/><Relationship Id="rId31" Type="http://schemas.openxmlformats.org/officeDocument/2006/relationships/header" Target="header11.xml"/><Relationship Id="rId52" Type="http://schemas.openxmlformats.org/officeDocument/2006/relationships/footer" Target="footer19.xml"/><Relationship Id="rId73" Type="http://schemas.openxmlformats.org/officeDocument/2006/relationships/footer" Target="footer30.xml"/><Relationship Id="rId94" Type="http://schemas.openxmlformats.org/officeDocument/2006/relationships/footer" Target="footer40.xml"/><Relationship Id="rId148" Type="http://schemas.openxmlformats.org/officeDocument/2006/relationships/footer" Target="footer67.xml"/><Relationship Id="rId169" Type="http://schemas.openxmlformats.org/officeDocument/2006/relationships/footer" Target="footer78.xml"/><Relationship Id="rId334" Type="http://schemas.openxmlformats.org/officeDocument/2006/relationships/footer" Target="footer160.xml"/><Relationship Id="rId355" Type="http://schemas.openxmlformats.org/officeDocument/2006/relationships/footer" Target="footer171.xml"/><Relationship Id="rId376" Type="http://schemas.openxmlformats.org/officeDocument/2006/relationships/footer" Target="footer181.xml"/><Relationship Id="rId397" Type="http://schemas.openxmlformats.org/officeDocument/2006/relationships/footer" Target="footer192.xml"/><Relationship Id="rId4" Type="http://schemas.openxmlformats.org/officeDocument/2006/relationships/customXml" Target="../customXml/item4.xml"/><Relationship Id="rId180" Type="http://schemas.openxmlformats.org/officeDocument/2006/relationships/header" Target="header84.xml"/><Relationship Id="rId215" Type="http://schemas.openxmlformats.org/officeDocument/2006/relationships/footer" Target="footer101.xml"/><Relationship Id="rId236" Type="http://schemas.openxmlformats.org/officeDocument/2006/relationships/header" Target="header112.xml"/><Relationship Id="rId257" Type="http://schemas.openxmlformats.org/officeDocument/2006/relationships/footer" Target="footer122.xml"/><Relationship Id="rId278" Type="http://schemas.openxmlformats.org/officeDocument/2006/relationships/header" Target="header133.xml"/><Relationship Id="rId401" Type="http://schemas.openxmlformats.org/officeDocument/2006/relationships/footer" Target="footer194.xml"/><Relationship Id="rId422" Type="http://schemas.openxmlformats.org/officeDocument/2006/relationships/footer" Target="footer204.xml"/><Relationship Id="rId303" Type="http://schemas.openxmlformats.org/officeDocument/2006/relationships/header" Target="header146.xml"/><Relationship Id="rId42" Type="http://schemas.openxmlformats.org/officeDocument/2006/relationships/header" Target="header15.xml"/><Relationship Id="rId84" Type="http://schemas.openxmlformats.org/officeDocument/2006/relationships/header" Target="header36.xml"/><Relationship Id="rId138" Type="http://schemas.openxmlformats.org/officeDocument/2006/relationships/header" Target="header63.xml"/><Relationship Id="rId345" Type="http://schemas.openxmlformats.org/officeDocument/2006/relationships/header" Target="header167.xml"/><Relationship Id="rId387" Type="http://schemas.openxmlformats.org/officeDocument/2006/relationships/header" Target="header188.xml"/><Relationship Id="rId191" Type="http://schemas.openxmlformats.org/officeDocument/2006/relationships/footer" Target="footer89.xml"/><Relationship Id="rId205" Type="http://schemas.openxmlformats.org/officeDocument/2006/relationships/footer" Target="footer96.xml"/><Relationship Id="rId247" Type="http://schemas.openxmlformats.org/officeDocument/2006/relationships/footer" Target="footer117.xml"/><Relationship Id="rId412" Type="http://schemas.openxmlformats.org/officeDocument/2006/relationships/header" Target="header200.xml"/><Relationship Id="rId107" Type="http://schemas.openxmlformats.org/officeDocument/2006/relationships/footer" Target="footer47.xml"/><Relationship Id="rId289" Type="http://schemas.openxmlformats.org/officeDocument/2006/relationships/footer" Target="footer138.xml"/><Relationship Id="rId11" Type="http://schemas.openxmlformats.org/officeDocument/2006/relationships/image" Target="media/image1.emf"/><Relationship Id="rId53" Type="http://schemas.openxmlformats.org/officeDocument/2006/relationships/footer" Target="footer20.xml"/><Relationship Id="rId149" Type="http://schemas.openxmlformats.org/officeDocument/2006/relationships/footer" Target="footer68.xml"/><Relationship Id="rId314" Type="http://schemas.openxmlformats.org/officeDocument/2006/relationships/header" Target="header151.xml"/><Relationship Id="rId356" Type="http://schemas.openxmlformats.org/officeDocument/2006/relationships/header" Target="header172.xml"/><Relationship Id="rId398" Type="http://schemas.openxmlformats.org/officeDocument/2006/relationships/header" Target="header193.xml"/><Relationship Id="rId95" Type="http://schemas.openxmlformats.org/officeDocument/2006/relationships/footer" Target="footer41.xml"/><Relationship Id="rId160" Type="http://schemas.openxmlformats.org/officeDocument/2006/relationships/footer" Target="footer73.xml"/><Relationship Id="rId216" Type="http://schemas.openxmlformats.org/officeDocument/2006/relationships/header" Target="header102.xml"/><Relationship Id="rId423" Type="http://schemas.openxmlformats.org/officeDocument/2006/relationships/header" Target="header205.xml"/><Relationship Id="rId258" Type="http://schemas.openxmlformats.org/officeDocument/2006/relationships/header" Target="header123.xml"/><Relationship Id="rId22" Type="http://schemas.openxmlformats.org/officeDocument/2006/relationships/header" Target="header6.xml"/><Relationship Id="rId64" Type="http://schemas.openxmlformats.org/officeDocument/2006/relationships/footer" Target="footer25.xml"/><Relationship Id="rId118" Type="http://schemas.openxmlformats.org/officeDocument/2006/relationships/footer" Target="footer52.xml"/><Relationship Id="rId325" Type="http://schemas.openxmlformats.org/officeDocument/2006/relationships/footer" Target="footer156.xml"/><Relationship Id="rId367" Type="http://schemas.openxmlformats.org/officeDocument/2006/relationships/footer" Target="footer177.xml"/><Relationship Id="rId171" Type="http://schemas.openxmlformats.org/officeDocument/2006/relationships/header" Target="header80.xml"/><Relationship Id="rId227" Type="http://schemas.openxmlformats.org/officeDocument/2006/relationships/footer" Target="footer107.xml"/><Relationship Id="rId269" Type="http://schemas.openxmlformats.org/officeDocument/2006/relationships/footer" Target="footer128.xml"/><Relationship Id="rId434" Type="http://schemas.openxmlformats.org/officeDocument/2006/relationships/footer" Target="footer2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094E9F29D6C04F85860C631ABC812A" ma:contentTypeVersion="29" ma:contentTypeDescription="Create a new document." ma:contentTypeScope="" ma:versionID="6d3c4561746dde6854beed5ac536aa89">
  <xsd:schema xmlns:xsd="http://www.w3.org/2001/XMLSchema" xmlns:xs="http://www.w3.org/2001/XMLSchema" xmlns:p="http://schemas.microsoft.com/office/2006/metadata/properties" xmlns:ns1="http://schemas.microsoft.com/sharepoint/v3" xmlns:ns2="1700ab43-7395-48ff-866c-657c86ba7f4e" xmlns:ns3="e6c3bc29-9e11-4027-900b-c73633d7928a" targetNamespace="http://schemas.microsoft.com/office/2006/metadata/properties" ma:root="true" ma:fieldsID="b0f6e0ccc5360b499f72697cc67fd040" ns1:_="" ns2:_="" ns3:_="">
    <xsd:import namespace="http://schemas.microsoft.com/sharepoint/v3"/>
    <xsd:import namespace="1700ab43-7395-48ff-866c-657c86ba7f4e"/>
    <xsd:import namespace="e6c3bc29-9e11-4027-900b-c73633d7928a"/>
    <xsd:element name="properties">
      <xsd:complexType>
        <xsd:sequence>
          <xsd:element name="documentManagement">
            <xsd:complexType>
              <xsd:all>
                <xsd:element ref="ns2:Status" minOccurs="0"/>
                <xsd:element ref="ns2:Deadline" minOccurs="0"/>
                <xsd:element ref="ns2:ISCreferencenumber" minOccurs="0"/>
                <xsd:element ref="ns2:Answersent" minOccurs="0"/>
                <xsd:element ref="ns2:Whoneedstoanswer" minOccurs="0"/>
                <xsd:element ref="ns2:Stage" minOccurs="0"/>
                <xsd:element ref="ns2:Level" minOccurs="0"/>
                <xsd:element ref="ns2:Scope" minOccurs="0"/>
                <xsd:element ref="ns2:Aresnumber" minOccurs="0"/>
                <xsd:element ref="ns3:SharedWithUsers" minOccurs="0"/>
                <xsd:element ref="ns3:SharedWithDetails" minOccurs="0"/>
                <xsd:element ref="ns2:MediaServiceMetadata" minOccurs="0"/>
                <xsd:element ref="ns2:MediaServiceFastMetadata" minOccurs="0"/>
                <xsd:element ref="ns2:MediaServiceAutoKeyPoints" minOccurs="0"/>
                <xsd:element ref="ns1:_ip_UnifiedCompliancePolicyProperties" minOccurs="0"/>
                <xsd:element ref="ns1:_ip_UnifiedCompliancePolicyUIAction"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ma:readOnly="false">
      <xsd:simpleType>
        <xsd:restriction base="dms:Note"/>
      </xsd:simpleType>
    </xsd:element>
    <xsd:element name="_ip_UnifiedCompliancePolicyUIAction" ma:index="24"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00ab43-7395-48ff-866c-657c86ba7f4e" elementFormDefault="qualified">
    <xsd:import namespace="http://schemas.microsoft.com/office/2006/documentManagement/types"/>
    <xsd:import namespace="http://schemas.microsoft.com/office/infopath/2007/PartnerControls"/>
    <xsd:element name="Status" ma:index="2" nillable="true" ma:displayName="Status" ma:format="Dropdown" ma:internalName="Status" ma:readOnly="false">
      <xsd:simpleType>
        <xsd:restriction base="dms:Choice">
          <xsd:enumeration value="Ongoing"/>
          <xsd:enumeration value="Closed"/>
        </xsd:restriction>
      </xsd:simpleType>
    </xsd:element>
    <xsd:element name="Deadline" ma:index="3" nillable="true" ma:displayName="Deadline" ma:format="DateOnly" ma:internalName="Deadline" ma:readOnly="false">
      <xsd:simpleType>
        <xsd:restriction base="dms:DateTime"/>
      </xsd:simpleType>
    </xsd:element>
    <xsd:element name="ISCreferencenumber" ma:index="4" nillable="true" ma:displayName="ISC reference number" ma:format="Dropdown" ma:internalName="ISCreferencenumber" ma:readOnly="false">
      <xsd:simpleType>
        <xsd:restriction base="dms:Text">
          <xsd:maxLength value="255"/>
        </xsd:restriction>
      </xsd:simpleType>
    </xsd:element>
    <xsd:element name="Answersent" ma:index="5" nillable="true" ma:displayName="Answer sent" ma:default="0" ma:format="Dropdown" ma:internalName="Answersent" ma:readOnly="false">
      <xsd:simpleType>
        <xsd:restriction base="dms:Boolean"/>
      </xsd:simpleType>
    </xsd:element>
    <xsd:element name="Whoneedstoanswer" ma:index="6" nillable="true" ma:displayName="Who needs to answer" ma:description="please indicate who received the ISC" ma:format="Dropdown" ma:internalName="Whoneedstoanswer" ma:readOnly="false">
      <xsd:simpleType>
        <xsd:restriction base="dms:Choice">
          <xsd:enumeration value="ECFIN"/>
          <xsd:enumeration value="SG RECOVER"/>
          <xsd:enumeration value="Both"/>
        </xsd:restriction>
      </xsd:simpleType>
    </xsd:element>
    <xsd:element name="Stage" ma:index="7" nillable="true" ma:displayName="Phase" ma:format="Dropdown" ma:internalName="Stage" ma:readOnly="false">
      <xsd:complexType>
        <xsd:complexContent>
          <xsd:extension base="dms:MultiChoice">
            <xsd:sequence>
              <xsd:element name="Value" maxOccurs="unbounded" minOccurs="0" nillable="true">
                <xsd:simpleType>
                  <xsd:restriction base="dms:Choice">
                    <xsd:enumeration value="Preparation"/>
                    <xsd:enumeration value="1st payment request"/>
                    <xsd:enumeration value="3rd Payment request"/>
                    <xsd:enumeration value="4th Payment request"/>
                    <xsd:enumeration value="5th Payment request"/>
                    <xsd:enumeration value="6th Payment request"/>
                    <xsd:enumeration value="2nd payment request"/>
                  </xsd:restriction>
                </xsd:simpleType>
              </xsd:element>
            </xsd:sequence>
          </xsd:extension>
        </xsd:complexContent>
      </xsd:complexType>
    </xsd:element>
    <xsd:element name="Level" ma:index="8" nillable="true" ma:displayName="Level" ma:description="depending if E&amp;D attended" ma:format="Dropdown" ma:internalName="Level" ma:readOnly="false">
      <xsd:simpleType>
        <xsd:restriction base="dms:Choice">
          <xsd:enumeration value="Principals"/>
          <xsd:enumeration value="Technical"/>
        </xsd:restriction>
      </xsd:simpleType>
    </xsd:element>
    <xsd:element name="Scope" ma:index="9" nillable="true" ma:displayName="Scope" ma:format="Dropdown" ma:internalName="Scope" ma:readOnly="false">
      <xsd:simpleType>
        <xsd:restriction base="dms:Choice">
          <xsd:enumeration value="General"/>
          <xsd:enumeration value="Thematic"/>
        </xsd:restriction>
      </xsd:simpleType>
    </xsd:element>
    <xsd:element name="Aresnumber" ma:index="10" nillable="true" ma:displayName="Ares number" ma:format="Dropdown" ma:internalName="Aresnumber"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OCR" ma:index="32" nillable="true" ma:displayName="Extracted Text" ma:hidden="true" ma:internalName="MediaServiceOCR" ma:readOnly="true">
      <xsd:simpleType>
        <xsd:restriction base="dms:Note"/>
      </xsd:simpleType>
    </xsd:element>
    <xsd:element name="MediaServiceLocation" ma:index="33" nillable="true" ma:displayName="Location" ma:hidden="true" ma:indexed="true" ma:internalName="MediaServiceLocatio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c3bc29-9e11-4027-900b-c73633d7928a"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bda955a7-c319-4d68-acea-690316db2eb1}" ma:internalName="TaxCatchAll" ma:readOnly="false" ma:showField="CatchAllData" ma:web="e6c3bc29-9e11-4027-900b-c73633d79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resnumber xmlns="1700ab43-7395-48ff-866c-657c86ba7f4e" xsi:nil="true"/>
    <_ip_UnifiedCompliancePolicyUIAction xmlns="http://schemas.microsoft.com/sharepoint/v3" xsi:nil="true"/>
    <ISCreferencenumber xmlns="1700ab43-7395-48ff-866c-657c86ba7f4e" xsi:nil="true"/>
    <Status xmlns="1700ab43-7395-48ff-866c-657c86ba7f4e" xsi:nil="true"/>
    <Whoneedstoanswer xmlns="1700ab43-7395-48ff-866c-657c86ba7f4e" xsi:nil="true"/>
    <TaxCatchAll xmlns="e6c3bc29-9e11-4027-900b-c73633d7928a" xsi:nil="true"/>
    <Stage xmlns="1700ab43-7395-48ff-866c-657c86ba7f4e" xsi:nil="true"/>
    <lcf76f155ced4ddcb4097134ff3c332f xmlns="1700ab43-7395-48ff-866c-657c86ba7f4e">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_ip_UnifiedCompliancePolicyProperties xmlns="http://schemas.microsoft.com/sharepoint/v3" xsi:nil="true"/>
    <Level xmlns="1700ab43-7395-48ff-866c-657c86ba7f4e" xsi:nil="true"/>
    <Deadline xmlns="1700ab43-7395-48ff-866c-657c86ba7f4e" xsi:nil="true"/>
    <Answersent xmlns="1700ab43-7395-48ff-866c-657c86ba7f4e">false</Answersent>
    <Scope xmlns="1700ab43-7395-48ff-866c-657c86ba7f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46D1E-36C4-4E12-AF2D-DF0915E8011D}">
  <ds:schemaRefs>
    <ds:schemaRef ds:uri="http://schemas.microsoft.com/sharepoint/v3/contenttype/forms"/>
  </ds:schemaRefs>
</ds:datastoreItem>
</file>

<file path=customXml/itemProps2.xml><?xml version="1.0" encoding="utf-8"?>
<ds:datastoreItem xmlns:ds="http://schemas.openxmlformats.org/officeDocument/2006/customXml" ds:itemID="{5D9B3117-8F8C-4FCD-804F-C6B3220E9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00ab43-7395-48ff-866c-657c86ba7f4e"/>
    <ds:schemaRef ds:uri="e6c3bc29-9e11-4027-900b-c73633d79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8A271E-0FA6-41C4-A6E6-2593D405CB91}">
  <ds:schemaRefs>
    <ds:schemaRef ds:uri="http://schemas.microsoft.com/office/2006/metadata/properties"/>
    <ds:schemaRef ds:uri="http://schemas.microsoft.com/office/infopath/2007/PartnerControls"/>
    <ds:schemaRef ds:uri="1700ab43-7395-48ff-866c-657c86ba7f4e"/>
    <ds:schemaRef ds:uri="http://schemas.microsoft.com/sharepoint/v3"/>
    <ds:schemaRef ds:uri="e6c3bc29-9e11-4027-900b-c73633d7928a"/>
  </ds:schemaRefs>
</ds:datastoreItem>
</file>

<file path=customXml/itemProps4.xml><?xml version="1.0" encoding="utf-8"?>
<ds:datastoreItem xmlns:ds="http://schemas.openxmlformats.org/officeDocument/2006/customXml" ds:itemID="{498DAB91-B7F1-456D-B34F-26461B339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19</Pages>
  <Words>139118</Words>
  <Characters>792978</Characters>
  <Application>Microsoft Office Word</Application>
  <DocSecurity>0</DocSecurity>
  <Lines>6608</Lines>
  <Paragraphs>1860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930236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FERRARO Giorgia (SG-RECOVER)</dc:creator>
  <cp:keywords/>
  <dc:description/>
  <cp:lastModifiedBy>EC CoDe</cp:lastModifiedBy>
  <cp:revision>13</cp:revision>
  <dcterms:created xsi:type="dcterms:W3CDTF">2024-10-28T15:48:00Z</dcterms:created>
  <dcterms:modified xsi:type="dcterms:W3CDTF">2024-11-05T17:52:00Z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0x01010062094E9F29D6C04F85860C631ABC812A</vt:lpwstr>
  </property>
  <property fmtid="{D5CDD505-2E9C-101B-9397-08002B2CF9AE}" pid="3" name="MSIP_Label_6bd9ddd1-4d20-43f6-abfa-fc3c07406f94_Enabled">
    <vt:lpwstr>true</vt:lpwstr>
  </property>
  <property fmtid="{D5CDD505-2E9C-101B-9397-08002B2CF9AE}" pid="4" name="MSIP_Label_6bd9ddd1-4d20-43f6-abfa-fc3c07406f94_SetDate">
    <vt:lpwstr>2024-10-22T07:51:32Z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ebb0bcd7-9f5c-47ae-bfd0-18cd25037765</vt:lpwstr>
  </property>
  <property fmtid="{D5CDD505-2E9C-101B-9397-08002B2CF9AE}" pid="9" name="MSIP_Label_6bd9ddd1-4d20-43f6-abfa-fc3c07406f94_ContentBits">
    <vt:lpwstr>0</vt:lpwstr>
  </property>
  <property fmtid="{D5CDD505-2E9C-101B-9397-08002B2CF9AE}" pid="10" name="MediaServiceImageTags">
    <vt:lpwstr/>
  </property>
  <property fmtid="{D5CDD505-2E9C-101B-9397-08002B2CF9AE}" pid="11" name="Level of sensitivity">
    <vt:lpwstr>Standard treatment</vt:lpwstr>
  </property>
  <property fmtid="{D5CDD505-2E9C-101B-9397-08002B2CF9AE}" pid="12" name="First annex">
    <vt:lpwstr>1</vt:lpwstr>
  </property>
  <property fmtid="{D5CDD505-2E9C-101B-9397-08002B2CF9AE}" pid="13" name="Last annex">
    <vt:lpwstr>1</vt:lpwstr>
  </property>
  <property fmtid="{D5CDD505-2E9C-101B-9397-08002B2CF9AE}" pid="14" name="Unique annex">
    <vt:lpwstr>1</vt:lpwstr>
  </property>
  <property fmtid="{D5CDD505-2E9C-101B-9397-08002B2CF9AE}" pid="15" name="Part">
    <vt:lpwstr>1</vt:lpwstr>
  </property>
  <property fmtid="{D5CDD505-2E9C-101B-9397-08002B2CF9AE}" pid="16" name="Total parts">
    <vt:lpwstr>1</vt:lpwstr>
  </property>
  <property fmtid="{D5CDD505-2E9C-101B-9397-08002B2CF9AE}" pid="17" name="DocStatus">
    <vt:lpwstr>Green</vt:lpwstr>
  </property>
  <property fmtid="{D5CDD505-2E9C-101B-9397-08002B2CF9AE}" pid="18" name="CPTemplateID">
    <vt:lpwstr>CP-036</vt:lpwstr>
  </property>
  <property fmtid="{D5CDD505-2E9C-101B-9397-08002B2CF9AE}" pid="19" name="Last edited using">
    <vt:lpwstr>LW 9.0, Build 20230317</vt:lpwstr>
  </property>
  <property fmtid="{D5CDD505-2E9C-101B-9397-08002B2CF9AE}" pid="20" name="Created using">
    <vt:lpwstr>LW 9.0, Build 20230317</vt:lpwstr>
  </property>
</Properties>
</file>